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5A" w:rsidRPr="0088595A" w:rsidRDefault="0088595A" w:rsidP="0088595A">
      <w:pPr>
        <w:jc w:val="center"/>
        <w:rPr>
          <w:rFonts w:ascii="Times New Roman" w:hAnsi="Times New Roman"/>
          <w:b/>
          <w:sz w:val="24"/>
          <w:szCs w:val="24"/>
        </w:rPr>
      </w:pPr>
      <w:r w:rsidRPr="0088595A">
        <w:rPr>
          <w:rFonts w:ascii="Times New Roman" w:hAnsi="Times New Roman"/>
          <w:b/>
          <w:sz w:val="24"/>
          <w:szCs w:val="24"/>
        </w:rPr>
        <w:t xml:space="preserve">Vyhlásenie </w:t>
      </w:r>
      <w:bookmarkStart w:id="0" w:name="_GoBack"/>
      <w:bookmarkEnd w:id="0"/>
      <w:r w:rsidRPr="0088595A">
        <w:rPr>
          <w:rFonts w:ascii="Times New Roman" w:hAnsi="Times New Roman"/>
          <w:b/>
          <w:sz w:val="24"/>
          <w:szCs w:val="24"/>
        </w:rPr>
        <w:t>o rozporoch</w:t>
      </w:r>
    </w:p>
    <w:p w:rsidR="0088595A" w:rsidRDefault="0088595A" w:rsidP="0088595A">
      <w:pPr>
        <w:ind w:firstLine="567"/>
        <w:jc w:val="both"/>
        <w:rPr>
          <w:rFonts w:ascii="Times New Roman" w:hAnsi="Times New Roman"/>
          <w:sz w:val="24"/>
          <w:szCs w:val="24"/>
        </w:rPr>
      </w:pPr>
    </w:p>
    <w:p w:rsidR="0088595A" w:rsidRDefault="0088595A" w:rsidP="0088595A">
      <w:pPr>
        <w:ind w:firstLine="567"/>
        <w:jc w:val="both"/>
        <w:rPr>
          <w:rFonts w:ascii="Times New Roman" w:hAnsi="Times New Roman"/>
          <w:sz w:val="24"/>
          <w:szCs w:val="24"/>
        </w:rPr>
      </w:pPr>
      <w:r>
        <w:rPr>
          <w:rFonts w:ascii="Times New Roman" w:hAnsi="Times New Roman"/>
          <w:sz w:val="24"/>
          <w:szCs w:val="24"/>
        </w:rPr>
        <w:t xml:space="preserve">Návrh nariadenia vlády </w:t>
      </w:r>
      <w:r w:rsidRPr="0088595A">
        <w:rPr>
          <w:rFonts w:ascii="Times New Roman" w:hAnsi="Times New Roman"/>
          <w:sz w:val="24"/>
          <w:szCs w:val="24"/>
        </w:rPr>
        <w:t xml:space="preserve">Slovenskej republiky, ktorým sa mení a dopĺňa nariadenie vlády Slovenskej republiky č. 189/2017 Z. z. o poskytovaní pomoci na dodávanie a distribúciu mlieka, ovocia, zeleniny a výrobkov z nich pre deti a žiakov v školských zariadeniach </w:t>
      </w:r>
      <w:r>
        <w:rPr>
          <w:rFonts w:ascii="Times New Roman" w:hAnsi="Times New Roman"/>
          <w:sz w:val="24"/>
          <w:szCs w:val="24"/>
        </w:rPr>
        <w:t>sa predkladá s týmito rozpormi</w:t>
      </w:r>
      <w:r w:rsidR="00FC29C9">
        <w:rPr>
          <w:rFonts w:ascii="Times New Roman" w:hAnsi="Times New Roman"/>
          <w:sz w:val="24"/>
          <w:szCs w:val="24"/>
        </w:rPr>
        <w:t xml:space="preserve"> s Potravinárskou komorou Slovenska (PKS), Republikovou úniou zamestnávateľov (RÚZ), Slovenskou poľnohospodárskou a potravinárskou komorou (SPPK) a Združením miest a obcí Slovenska (ZMOS)</w:t>
      </w:r>
      <w:r>
        <w:rPr>
          <w:rFonts w:ascii="Times New Roman" w:hAnsi="Times New Roman"/>
          <w:sz w:val="24"/>
          <w:szCs w:val="24"/>
        </w:rPr>
        <w:t>:</w:t>
      </w:r>
    </w:p>
    <w:p w:rsidR="0088595A" w:rsidRPr="0088595A" w:rsidRDefault="0088595A" w:rsidP="0088595A">
      <w:pPr>
        <w:ind w:firstLine="567"/>
        <w:jc w:val="both"/>
        <w:rPr>
          <w:rFonts w:ascii="Times New Roman" w:hAnsi="Times New Roman"/>
          <w:sz w:val="24"/>
          <w:szCs w:val="24"/>
        </w:rPr>
      </w:pPr>
    </w:p>
    <w:tbl>
      <w:tblPr>
        <w:tblW w:w="4943" w:type="pct"/>
        <w:jc w:val="center"/>
        <w:tblInd w:w="-111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77"/>
        <w:gridCol w:w="6793"/>
        <w:gridCol w:w="5900"/>
      </w:tblGrid>
      <w:tr w:rsidR="00FC29C9" w:rsidRPr="00FC29C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tcPr>
          <w:p w:rsidR="00FC29C9" w:rsidRPr="00FC29C9" w:rsidRDefault="00FC29C9" w:rsidP="00FC29C9">
            <w:pPr>
              <w:widowControl w:val="0"/>
              <w:jc w:val="center"/>
              <w:rPr>
                <w:rFonts w:ascii="Times New Roman" w:hAnsi="Times New Roman"/>
                <w:b/>
                <w:bCs/>
                <w:sz w:val="20"/>
                <w:szCs w:val="20"/>
              </w:rPr>
            </w:pPr>
            <w:r w:rsidRPr="00FC29C9">
              <w:rPr>
                <w:rFonts w:ascii="Times New Roman" w:hAnsi="Times New Roman"/>
                <w:b/>
                <w:bCs/>
                <w:sz w:val="20"/>
                <w:szCs w:val="20"/>
              </w:rPr>
              <w:t>pripomienkujúci subjekt</w:t>
            </w:r>
          </w:p>
        </w:tc>
        <w:tc>
          <w:tcPr>
            <w:tcW w:w="2397" w:type="pct"/>
            <w:tcBorders>
              <w:top w:val="outset" w:sz="6" w:space="0" w:color="000000"/>
              <w:left w:val="outset" w:sz="6" w:space="0" w:color="000000"/>
              <w:bottom w:val="outset" w:sz="6" w:space="0" w:color="000000"/>
              <w:right w:val="outset" w:sz="6" w:space="0" w:color="000000"/>
            </w:tcBorders>
            <w:vAlign w:val="center"/>
          </w:tcPr>
          <w:p w:rsidR="00FC29C9" w:rsidRPr="00FC29C9" w:rsidRDefault="00FC29C9" w:rsidP="00FC29C9">
            <w:pPr>
              <w:widowControl w:val="0"/>
              <w:jc w:val="center"/>
              <w:rPr>
                <w:rFonts w:ascii="Times New Roman" w:hAnsi="Times New Roman"/>
                <w:b/>
                <w:bCs/>
                <w:sz w:val="20"/>
                <w:szCs w:val="20"/>
              </w:rPr>
            </w:pPr>
            <w:r w:rsidRPr="00FC29C9">
              <w:rPr>
                <w:rFonts w:ascii="Times New Roman" w:hAnsi="Times New Roman"/>
                <w:b/>
                <w:bCs/>
                <w:sz w:val="20"/>
                <w:szCs w:val="20"/>
              </w:rPr>
              <w:t>pripomienka</w:t>
            </w:r>
          </w:p>
        </w:tc>
        <w:tc>
          <w:tcPr>
            <w:tcW w:w="2082" w:type="pct"/>
            <w:tcBorders>
              <w:top w:val="outset" w:sz="6" w:space="0" w:color="000000"/>
              <w:left w:val="outset" w:sz="6" w:space="0" w:color="000000"/>
              <w:bottom w:val="outset" w:sz="6" w:space="0" w:color="000000"/>
              <w:right w:val="outset" w:sz="6" w:space="0" w:color="000000"/>
            </w:tcBorders>
            <w:vAlign w:val="center"/>
          </w:tcPr>
          <w:p w:rsidR="00FC29C9" w:rsidRPr="00FC29C9" w:rsidRDefault="00FC29C9" w:rsidP="00FC29C9">
            <w:pPr>
              <w:widowControl w:val="0"/>
              <w:jc w:val="center"/>
              <w:rPr>
                <w:rFonts w:ascii="Times New Roman" w:hAnsi="Times New Roman"/>
                <w:b/>
                <w:sz w:val="20"/>
                <w:szCs w:val="20"/>
              </w:rPr>
            </w:pPr>
            <w:r w:rsidRPr="00FC29C9">
              <w:rPr>
                <w:rFonts w:ascii="Times New Roman" w:hAnsi="Times New Roman"/>
                <w:b/>
                <w:sz w:val="20"/>
                <w:szCs w:val="20"/>
              </w:rPr>
              <w:t>vyhodnotenie</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PKS</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b/>
                <w:bCs/>
                <w:sz w:val="20"/>
                <w:szCs w:val="20"/>
              </w:rPr>
              <w:t>Doložka vybraných vplyvov - Bod 2</w:t>
            </w:r>
            <w:r w:rsidRPr="00491009">
              <w:rPr>
                <w:rFonts w:ascii="Times New Roman" w:hAnsi="Times New Roman"/>
                <w:sz w:val="20"/>
                <w:szCs w:val="20"/>
              </w:rPr>
              <w:br/>
              <w:t xml:space="preserve">K bodu 2. Definovanie problému V bode 2. je uvedené: „... Cieľom navrhovaného nariadenia je zvýšiť účinnosť opatrení súvisiacich s podporu dodávania ovocia, zeleniny, mlieka a mliečnych výrobkov pre deti a žiakov dodávaných do školských zariadení a tým zvýšiť celkovú účinnosť školského programu. ... „ Zásadná pripomienka PKS: Uvedený cieľ nemôže byť reálne dosiahnutý z dôvodu zmeny nariadenia vylúčením dodávok mlieka a mliečnych výrobkov pre žiakov stredných škôl. Žiadame zachovanie možnosti dodávok „školského mlieka“ pre žiakov stredných škôl, ako je to uvedené v Stratégii Slovenskej republiky pre realizáciu školského programu na školské roky 2017/18 až 2022/23. PKS zásadne nesúhlasí s vylúčením poskytovania podpory pre žiakov stredných škôl.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Podľa čl. 23a ods. 2 písm. a) nariadenia (EÚ) č. 1308/2013 v platnom znení sa pri prideľovaní finančných prostriedkov EÚ členským štátom na poskytovanie pomoci zohľadňuje počet šesť- až desaťročných detí v dotknutom členskom štáte EÚ, čo sú deti vo vekovej skupine, ktorá navštevuje hlavne materské a základné školy. Slovenská republika okrem toho vo svojej stratégii ustanovila, že cieľovou skupinou, ktorej majú byť v rámci školského programu dodávané alebo distribuované výrobky a pre ktorú majú byť vykonávané sprievodné opatrenia, je skupina </w:t>
            </w:r>
            <w:proofErr w:type="spellStart"/>
            <w:r w:rsidRPr="00491009">
              <w:rPr>
                <w:rFonts w:ascii="Times New Roman" w:hAnsi="Times New Roman"/>
                <w:sz w:val="20"/>
                <w:szCs w:val="20"/>
              </w:rPr>
              <w:t>troj</w:t>
            </w:r>
            <w:proofErr w:type="spellEnd"/>
            <w:r w:rsidRPr="00491009">
              <w:rPr>
                <w:rFonts w:ascii="Times New Roman" w:hAnsi="Times New Roman"/>
                <w:sz w:val="20"/>
                <w:szCs w:val="20"/>
              </w:rPr>
              <w:t xml:space="preserve"> až osemnásť ročných detí, pričom tieto cieľové skupiny majú byť podľa stratégie „počas trvania školského programu monitorované a vyhodnocované a prípadne upravené“, v rámci čoho Slovenská republika túto cieľovú skupinu detí navrhovaným ustanovením zosúlaďuje s čl. 23a ods. 2 písm. a) nariadenia (EÚ) č. 1308/2013 v platnom znení s cieľom zníženia hornej vekovej hranice tejto cieľovej skupiny a zamerať sa na mladšie vekové skupiny.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PKS</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b/>
                <w:bCs/>
                <w:sz w:val="20"/>
                <w:szCs w:val="20"/>
              </w:rPr>
              <w:t xml:space="preserve">Pripomienky PKS k Analýze vplyvov na rozpočet verejnej správy, na zamestnanosť vo verejnej správe a financovanie návrhu k bodu 2.1.1. </w:t>
            </w:r>
            <w:r w:rsidRPr="00491009">
              <w:rPr>
                <w:rFonts w:ascii="Times New Roman" w:hAnsi="Times New Roman"/>
                <w:sz w:val="20"/>
                <w:szCs w:val="20"/>
              </w:rPr>
              <w:br/>
              <w:t>k bodu 2.1.1. V bode 2.1.1. je uvedené: Finančné prostriedky budú zabezpečené v rámci výdavkov kapitoly MPRV SR určených na Trhovo orientované výdavky 2014-2020 – podporné programy pre školské ovocie, zeleninu, mlieko a mliečne výrobky bez zvýšených požiadaviek na prostriedky štátneho rozpočtu. V rámci návrhu limitov rozpočtu rezortu sú na roky 2018-2021 rozpočtované alokácie na zdrojoch 1AF1 a 1AF2, programe 0CC0102 v celkovom objeme 6 122 499 eur ročne, z toho zdroje EÚ predstavujú objem 3 311 922 eur a spolufinancovanie zo ŠR objem 2 810 577 eur. Zásadná pripomienka PKS: Výška spolufinancovania zo štátneho rozpočtu SR je pre plnenie cieľov programu nepostačujúca. Pre splnenie cieľov stanovených v Stratégii Slovenskej republiky pre realizáciu školského programu na školské roky 2017/18 až 2022/23, teda naštartovanie rastu spotreby v školskom programe je nevyhnutné zvýšiť časť spolufinancovania programu zo štátneho rozpočtu SR na minimálne dvojnásobok hodnoty zdrojov z EÚ. Pre porovnanie uvádzame, že v Českej republike je program „</w:t>
            </w:r>
            <w:proofErr w:type="spellStart"/>
            <w:r w:rsidRPr="00491009">
              <w:rPr>
                <w:rFonts w:ascii="Times New Roman" w:hAnsi="Times New Roman"/>
                <w:sz w:val="20"/>
                <w:szCs w:val="20"/>
              </w:rPr>
              <w:t>Mléko</w:t>
            </w:r>
            <w:proofErr w:type="spellEnd"/>
            <w:r w:rsidRPr="00491009">
              <w:rPr>
                <w:rFonts w:ascii="Times New Roman" w:hAnsi="Times New Roman"/>
                <w:sz w:val="20"/>
                <w:szCs w:val="20"/>
              </w:rPr>
              <w:t xml:space="preserve"> do </w:t>
            </w:r>
            <w:proofErr w:type="spellStart"/>
            <w:r w:rsidRPr="00491009">
              <w:rPr>
                <w:rFonts w:ascii="Times New Roman" w:hAnsi="Times New Roman"/>
                <w:sz w:val="20"/>
                <w:szCs w:val="20"/>
              </w:rPr>
              <w:t>škol</w:t>
            </w:r>
            <w:proofErr w:type="spellEnd"/>
            <w:r w:rsidRPr="00491009">
              <w:rPr>
                <w:rFonts w:ascii="Times New Roman" w:hAnsi="Times New Roman"/>
                <w:sz w:val="20"/>
                <w:szCs w:val="20"/>
              </w:rPr>
              <w:t xml:space="preserve">“ </w:t>
            </w:r>
            <w:r w:rsidRPr="00491009">
              <w:rPr>
                <w:rFonts w:ascii="Times New Roman" w:hAnsi="Times New Roman"/>
                <w:sz w:val="20"/>
                <w:szCs w:val="20"/>
              </w:rPr>
              <w:lastRenderedPageBreak/>
              <w:t xml:space="preserve">podporovaný zo zdrojov EÚ vo výške 1,8 mil. € a zo štátneho rozpočtu ČR vo výške 10,4 mil. €.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lastRenderedPageBreak/>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Výška spolufinancovania školského programu prostredníctvom štátnej pomoci podľa čl. 23a ods. 6 a čl. 217 nariadenia č. 1308/2013 v platnom znení je plne závislá od zákona o štátnom rozpočte na príslušný rozpočtový rok a od celkového objemu finančných prostriedkov trhovo orientovaných výdavkov (TOV), vyčlenených na financovanie školského programu v rámci programu stabilizácie poľnohospodárstva a trhov s poľnohospodárskymi komoditami. Navrhované nariadenie vlády a ani príslušné nariadenie vlády navyše nemajú nijaký vplyv na výšku uvedeného spolufinancovania školského programu zo štátneho rozpočtu.</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lastRenderedPageBreak/>
              <w:t>PKS</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b/>
                <w:bCs/>
                <w:sz w:val="20"/>
                <w:szCs w:val="20"/>
              </w:rPr>
              <w:t xml:space="preserve">Prílohe č. 1 </w:t>
            </w:r>
            <w:r w:rsidRPr="00491009">
              <w:rPr>
                <w:rFonts w:ascii="Times New Roman" w:hAnsi="Times New Roman"/>
                <w:sz w:val="20"/>
                <w:szCs w:val="20"/>
              </w:rPr>
              <w:br/>
              <w:t xml:space="preserve">V Prílohe č. 1 je uvedený zoznam druhov výrobkov s najvyššou úhradou od žiaka a výškou pomoci Zásadná pripomienka PKS: V nariadení Európskeho parlamentu a Rady (EÚ) 2016/791 z 11.mája 2016 sa uvádza, že konzumácia konzumného mlieka ma klesajúcu tendenciu. Preto je vhodné zamerať distribúciu v rámci školských programov prednostne na tieto výrobky. To by pomohlo znížiť organizačnú záťaž v školách a zvýšiť pri obmedzenom rozpočte vplyv distribúcie, ktorá by bola v súlade so súčasnou praxou, keďže tieto výrobky sú distribuované najčastejšie. S cieľom riadiť sa výživovými odporúčaniami týkajúcimi sa absorpcie vápnika a podporovať spotrebu špecifických výrobkov alebo reagovať na špecifické výživové potreby detí na ich území a vzhľadom na rastúce problémy spojené s intoleranciou laktózy v mlieku by však členské štáty mali mať možnosť, pod podmienkou že už distribuujú konzumné mlieko a jeho obdoby bez laktózy, distribuovať ďalšie mliečne výrobky bez pridaných príchutí, ovocia, orieškov alebo kakaa, ako sú jogurty a syry, ktoré majú prospešný vplyv na zdravie detí. Vzhľadom na vyššie uvedené ciele a stratégiu, ako aj na fakt, že zvýšenie konzumácie neochuteného mlieka a mliečnych výrobkov bola od začiatku preferencia tak MPRV SR, ako aj EÚ, dodávatelia konzumné mlieko (polotučné mlieko neochutené UHT 250 ml) rovnako akceptovali ako prioritu a prispôsobili sa tomuto trendu. Navrhované sumy pomoci a ceny neochuteného mlieka však nereflektujú skutočnosť, že by sa malo stať prioritou v dodávkach školského mliečneho programu. Ak má byť prioritou zvýšenie konzumácie práve neochuteného mlieka, očakávame, že výška podpory tejto kategórie výrobkov bude adekvátne podporená a to minimálne výškou podpory na úrovni aktuálneho školského roka 2017/2018. Potravinárska komora Slovenska preto požaduje upraviť výšku pomoci a najvyššiu úhradu žiakom na všetky konzumné mlieka, ktoré sú v tomto návrhu nižšie oproti sumám v platnom nariadení, aby táto suma bola minimálne o 10% vyššia oproti sumám v súčasne platnom nariadení.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Úprava výšky pomoci na dodávanie alebo distribúciu výrobkov žiakom v rámci školského programu bola realizovaná v zmysle aktuálnej situácie na trhu v Slovenskej republike na základe výpočtov výskumného ústavu ekonomiky poľnohospodárstva a potravinárstva príspevkovej organizácie s názvom Národné poľnohospodárske a potravinárske centrum, ktoré tento ústav pre predkladateľa vykonal práve na účely tvorby navrhovaného nariadenia vlády, a to overiteľnou a nestrannou metódou podľa čl. 2 ods. 2 písm. c) vykonávacieho nariadenia (EÚ) 2017/39.</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PKS</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Doložka vybraných vplyvov - Bod 3</w:t>
            </w:r>
            <w:r w:rsidRPr="00FC29C9">
              <w:rPr>
                <w:rFonts w:ascii="Times New Roman" w:hAnsi="Times New Roman"/>
                <w:b/>
                <w:bCs/>
                <w:sz w:val="20"/>
                <w:szCs w:val="20"/>
              </w:rPr>
              <w:br/>
            </w:r>
            <w:r w:rsidRPr="00FC29C9">
              <w:rPr>
                <w:rFonts w:ascii="Times New Roman" w:hAnsi="Times New Roman"/>
                <w:bCs/>
                <w:sz w:val="20"/>
                <w:szCs w:val="20"/>
              </w:rPr>
              <w:t xml:space="preserve">V bode 3. Ciele a výsledný stav je uvedené: „.Prijaté zmeny v nariadení, by mali prispieť k zefektívneniu procesu vykonávania programu. Základné ciele programu sú: podporiť zvýšenie spotreby ovocia, zeleniny, mlieka a mliečnych výrobkov u detí a žiakov vo vzdelávacích zariadeniach a prispieť k vytváraniu ich zdravých stravovacích návykov.... „ Zásadná pripomienka PKS: Pretože cieľ by mal byť stanovený ako merateľný a špecifický, požaduje PKS upraviť text nasledovne: „ ...zmeny v nariadení majú zaistiť zvýšenie účasti žiakov v programe školské mlieko o </w:t>
            </w:r>
            <w:proofErr w:type="spellStart"/>
            <w:r w:rsidRPr="00FC29C9">
              <w:rPr>
                <w:rFonts w:ascii="Times New Roman" w:hAnsi="Times New Roman"/>
                <w:bCs/>
                <w:sz w:val="20"/>
                <w:szCs w:val="20"/>
              </w:rPr>
              <w:t>xy</w:t>
            </w:r>
            <w:proofErr w:type="spellEnd"/>
            <w:r w:rsidRPr="00FC29C9">
              <w:rPr>
                <w:rFonts w:ascii="Times New Roman" w:hAnsi="Times New Roman"/>
                <w:bCs/>
                <w:sz w:val="20"/>
                <w:szCs w:val="20"/>
              </w:rPr>
              <w:t xml:space="preserve"> % v roku 2018/19 oproti minulému obdobiu...“, teda stanoviť percento nárastu. Možné merateľné parametre sú: počet žiakov, množstvo dodaných schválených výrobkov, počet zapojených škôl, počet žiakov, atď.</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V bode 3 doložky vybraných vplyvov je uvedené, že navrhované nariadenie má za cieľ podporiť zvýšenie spotreby ovocia, zeleniny, mlieka a mliečnych výrobkov u detí a žiakov vo vzdelávacích zariadeniach a prispieť k vytváraniu ich zdravých stravovacích návykov, čo je cieľ totožný s cieľom vyjadreným v preambule nariadenia (EÚ) 2016/791. Navrhované nariadenie vlády však nemá za cieľ meniť počet žiakov, ktorý sa do školského programu zapoja. Ani výpadok žiakov stredných škôl totiž nemusí znamenať zníženie celkového počtu zapojených žiakov, pretože tento počet je možné saturovať počtom žiakov v základných alebo materských školách, ktorí doposiaľ do školského programu zapojení neboli. Dodávateľ si navyše môže aj </w:t>
            </w:r>
            <w:r w:rsidRPr="00491009">
              <w:rPr>
                <w:rFonts w:ascii="Times New Roman" w:hAnsi="Times New Roman"/>
                <w:sz w:val="20"/>
                <w:szCs w:val="20"/>
              </w:rPr>
              <w:lastRenderedPageBreak/>
              <w:t>naďalej efektívne regulovať množstvá dodávok do zapojených škôl cez jednotlivé zmluvné vzťahy.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lastRenderedPageBreak/>
              <w:t>PKS</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Čl. I bod 1. Vlastného materiálu</w:t>
            </w:r>
            <w:r w:rsidRPr="00FC29C9">
              <w:rPr>
                <w:rFonts w:ascii="Times New Roman" w:hAnsi="Times New Roman"/>
                <w:b/>
                <w:bCs/>
                <w:sz w:val="20"/>
                <w:szCs w:val="20"/>
              </w:rPr>
              <w:br/>
            </w:r>
            <w:r w:rsidRPr="00FC29C9">
              <w:rPr>
                <w:rFonts w:ascii="Times New Roman" w:hAnsi="Times New Roman"/>
                <w:bCs/>
                <w:sz w:val="20"/>
                <w:szCs w:val="20"/>
              </w:rPr>
              <w:t xml:space="preserve">V Čl. I v bode 1. je uvedené: „ V § 1 písm. a) sa za slová „(ďalej len „žiak“)“ vkladá čiarka a vypúšťajú sa slová „a pre žiakov na stredných školách,“. Súčasne sa vypúšťa poznámka pod čiarou k odkazu 7.“ Zásadná pripomienka PKS: PKS zásadne nesúhlasí s vylúčením poskytovania podpory pre žiakov stredných škôl ! - Tento návrh je v rozpore s cieľom navrhovaného nariadenia, a síce zvýšiť celkovú účinnosť školského programu. - Vylúčením žiakov stredných škôl z programu školské mlieko príde o podporu cca 20 000 žiakov na Slovensku. - Tento návrh je v rozpore so znením Stratégie Slovenskej republiky pre realizáciu školského programu na školské roky 2017/18 až 2022/23, ktorú schválila Komisia, v ktorej je uvedené, že cieľovou skupinou pre „školské mlieko“ sú aj deti vo veku 15-18 rokov na stredných školách: „ ... Pri poskytovaní mlieka a mliečnych výrobkov bude SR aj naďalej (v období od 1.8.2017 do 31.7.2023) podporovať cieľovú skupinu detí vo veku 3 - 18 rokov. A to: - deti v materských školách (3 – 5 rokov), - žiaci na základných školách (6 – 15 rokov), - žiaci na stredných školách (15 – 18 rokov) - deti materských škôl a žiaci základných škôl so špeciálnymi výchovno-vzdelávacími potrebami. Cieľové skupiny boli zriadené podľa predchádzajúcich skúseností v oboch programoch, pričom sa zohľadnili dobre fungujúce systémy. ...“ - Legislatíva Európskej Únie, konkrétne Nariadenie Európskeho parlamentu a Rady (EÚ) 2016/791 ako s cieľovú skupinu </w:t>
            </w:r>
            <w:proofErr w:type="spellStart"/>
            <w:r w:rsidRPr="00FC29C9">
              <w:rPr>
                <w:rFonts w:ascii="Times New Roman" w:hAnsi="Times New Roman"/>
                <w:bCs/>
                <w:sz w:val="20"/>
                <w:szCs w:val="20"/>
              </w:rPr>
              <w:t>nadalej</w:t>
            </w:r>
            <w:proofErr w:type="spellEnd"/>
            <w:r w:rsidRPr="00FC29C9">
              <w:rPr>
                <w:rFonts w:ascii="Times New Roman" w:hAnsi="Times New Roman"/>
                <w:bCs/>
                <w:sz w:val="20"/>
                <w:szCs w:val="20"/>
              </w:rPr>
              <w:t xml:space="preserve"> uvádza aj žiakov stredných škôl. - Ku rozhodnutiu vylúčenia podpory na „školské mlieko“ pre žiakov stredných škôl nie je uvedené v materiáloch pripomienkového konania žiadna argumentácia, chýbajú dôvody k takémuto rozhodnutiu. Prieskum, ktorý bol vykonaný v rámci projektu ÚVZ SR „Monitoring stravovacích zvyklostí a výživových preferencií vybranej populácie detí SR a hodnotenie expozície vybraných rizík spojených s konzumáciou jedál“ poukazuje na to, že u dospievajúcich od 15 – 18 rokov došlo k </w:t>
            </w:r>
            <w:proofErr w:type="spellStart"/>
            <w:r w:rsidRPr="00FC29C9">
              <w:rPr>
                <w:rFonts w:ascii="Times New Roman" w:hAnsi="Times New Roman"/>
                <w:bCs/>
                <w:sz w:val="20"/>
                <w:szCs w:val="20"/>
              </w:rPr>
              <w:t>signifikantnému</w:t>
            </w:r>
            <w:proofErr w:type="spellEnd"/>
            <w:r w:rsidRPr="00FC29C9">
              <w:rPr>
                <w:rFonts w:ascii="Times New Roman" w:hAnsi="Times New Roman"/>
                <w:bCs/>
                <w:sz w:val="20"/>
                <w:szCs w:val="20"/>
              </w:rPr>
              <w:t xml:space="preserve"> poklesu konzumácie mlieka a mliečnych výrobkov na cca 30% . Žiadame zachovanie možnosti dodávok „školského mlieka“ pre žiakov stredných škôl, ako je to uvedené v Stratégii Slovenskej republiky pre realizáciu školského programu na školské roky 2017/18 až 2022/23.</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Podľa čl. 23a ods. 2 písm. a) nariadenia (EÚ) č. 1308/2013 v platnom znení sa pri prideľovaní finančných prostriedkov EÚ členským štátom na poskytovanie pomoci zohľadňuje počet šesť- až desaťročných detí v dotknutom členskom štáte EÚ, čo sú deti vo vekovej skupine, ktorá navštevuje hlavne materské a základné školy. Slovenská republika okrem toho vo svojej stratégii ustanovila, že cieľovou skupinou, ktorej majú byť v rámci školského programu dodávané alebo distribuované výrobky a pre ktorú majú byť vykonávané sprievodné opatrenia, je skupina </w:t>
            </w:r>
            <w:proofErr w:type="spellStart"/>
            <w:r w:rsidRPr="00491009">
              <w:rPr>
                <w:rFonts w:ascii="Times New Roman" w:hAnsi="Times New Roman"/>
                <w:sz w:val="20"/>
                <w:szCs w:val="20"/>
              </w:rPr>
              <w:t>troj</w:t>
            </w:r>
            <w:proofErr w:type="spellEnd"/>
            <w:r w:rsidRPr="00491009">
              <w:rPr>
                <w:rFonts w:ascii="Times New Roman" w:hAnsi="Times New Roman"/>
                <w:sz w:val="20"/>
                <w:szCs w:val="20"/>
              </w:rPr>
              <w:t xml:space="preserve"> až osemnásť ročných detí, pričom tieto cieľové skupiny majú byť podľa stratégie „počas trvania školského programu monitorované a vyhodnocované a prípadne upravené“, v rámci čoho Slovenská republika túto cieľovú skupinu detí navrhovaným ustanovením zosúlaďuje s čl. 23a ods. 2 písm. a) nariadenia (EÚ) č. 1308/2013 v platnom znení s cieľom zníženia hornej vekovej hranice tejto cieľovej skupiny a zamerať sa na mladšie vekové skupiny.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RÚZSR</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1. Zásadná pripomienka k čl. I., novelizačné body 1, 2, 4, 8 a 17</w:t>
            </w:r>
            <w:r w:rsidRPr="00FC29C9">
              <w:rPr>
                <w:rFonts w:ascii="Times New Roman" w:hAnsi="Times New Roman"/>
                <w:b/>
                <w:bCs/>
                <w:sz w:val="20"/>
                <w:szCs w:val="20"/>
              </w:rPr>
              <w:br/>
            </w:r>
            <w:r w:rsidRPr="00FC29C9">
              <w:rPr>
                <w:rFonts w:ascii="Times New Roman" w:hAnsi="Times New Roman"/>
                <w:bCs/>
                <w:sz w:val="20"/>
                <w:szCs w:val="20"/>
              </w:rPr>
              <w:t xml:space="preserve">Deklarovaný cieľ - zvýšiť účinnosť opatrení súvisiacich s podporu dodávania ovocia, zeleniny, mlieka a mliečnych výrobkov pre deti a žiakov dodávaných do školských zariadení a tým zvýšiť celkovú účinnosť školského programu nemôže byť reálne dosiahnutý z dôvodu zmeny nariadenia vylúčením dodávok mlieka a mliečnych výrobkov pre žiakov stredných škôl. Žiadame zachovanie možnosti dodávok „školského mlieka“ pre žiakov stredných škôl, ako je to uvedené v Stratégii Slovenskej republiky pre realizáciu školského programu na školské roky 2017/18 až 2022/23. Odôvodnenie: RÚZ nesúhlasí s vylúčením poskytovania podpory pre žiakov stredných škôl. Tento návrh je v rozpore s cieľom navrhovaného </w:t>
            </w:r>
            <w:r w:rsidRPr="00FC29C9">
              <w:rPr>
                <w:rFonts w:ascii="Times New Roman" w:hAnsi="Times New Roman"/>
                <w:bCs/>
                <w:sz w:val="20"/>
                <w:szCs w:val="20"/>
              </w:rPr>
              <w:lastRenderedPageBreak/>
              <w:t xml:space="preserve">nariadenia, a síce zvýšiť celkovú účinnosť školského programu. Vylúčením žiakov stredných škôl z programu školské mlieko príde o podporu cca 20 000 žiakov na </w:t>
            </w:r>
            <w:proofErr w:type="spellStart"/>
            <w:r w:rsidRPr="00FC29C9">
              <w:rPr>
                <w:rFonts w:ascii="Times New Roman" w:hAnsi="Times New Roman"/>
                <w:bCs/>
                <w:sz w:val="20"/>
                <w:szCs w:val="20"/>
              </w:rPr>
              <w:t>Slovensku.Tento</w:t>
            </w:r>
            <w:proofErr w:type="spellEnd"/>
            <w:r w:rsidRPr="00FC29C9">
              <w:rPr>
                <w:rFonts w:ascii="Times New Roman" w:hAnsi="Times New Roman"/>
                <w:bCs/>
                <w:sz w:val="20"/>
                <w:szCs w:val="20"/>
              </w:rPr>
              <w:t xml:space="preserve"> návrh je v rozpore so schváleným znením Stratégie Slovenskej republiky pre realizáciu školského programu na školské roky 2017/18 až 2022/23, v ktorom je uvedené, že cieľovou skupinou pre „školské mlieko“ sú aj deti vo veku 15-18 rokov na stredných školách. Ku rozhodnutiu vylúčenia podpory na „školské mlieko“ pre žiakov stredných škôl nie je uvedené v materiáloch pripomienkového konania žiadna argumentácia, chýbajú dôvody k takémuto rozhodnutiu. Prieskum, ktorý bol vykonaný v rámci projektu ÚVZ SR „Monitoring stravovacích zvyklostí a výživových preferencií vybranej populácie detí SR a hodnotenie expozície vybraných rizík spojených s konzumáciou jedál“ poukazuje na to, že u dospievajúcich od 15 – 18 rokov došlo k </w:t>
            </w:r>
            <w:proofErr w:type="spellStart"/>
            <w:r w:rsidRPr="00FC29C9">
              <w:rPr>
                <w:rFonts w:ascii="Times New Roman" w:hAnsi="Times New Roman"/>
                <w:bCs/>
                <w:sz w:val="20"/>
                <w:szCs w:val="20"/>
              </w:rPr>
              <w:t>signifikantnému</w:t>
            </w:r>
            <w:proofErr w:type="spellEnd"/>
            <w:r w:rsidRPr="00FC29C9">
              <w:rPr>
                <w:rFonts w:ascii="Times New Roman" w:hAnsi="Times New Roman"/>
                <w:bCs/>
                <w:sz w:val="20"/>
                <w:szCs w:val="20"/>
              </w:rPr>
              <w:t xml:space="preserve"> poklesu konzumácie mlieka a mliečnych výrobkov na cca 30%. Navrhujeme zachovanie možnosti dodávok „školského mlieka“ pre žiakov stredných škôl, ako je to uvedené v Stratégii Slovenskej republiky pre realizáciu školského programu na školské roky 2017/18 až 2022/23.</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lastRenderedPageBreak/>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Podľa čl. 23a ods. 2 písm. a) nariadenia (EÚ) č. 1308/2013 v platnom znení sa pri prideľovaní finančných prostriedkov EÚ členským štátom na poskytovanie pomoci zohľadňuje počet šesť- až desaťročných detí v dotknutom členskom štáte EÚ, čo sú deti vo vekovej skupine, ktorá navštevuje hlavne materské a základné školy. Slovenská republika okrem toho vo svojej stratégii ustanovila, že cieľovou skupinou, ktorej majú byť v rámci školského programu dodávané alebo distribuované výrobky a pre ktorú majú byť vykonávané sprievodné opatrenia, je skupina </w:t>
            </w:r>
            <w:proofErr w:type="spellStart"/>
            <w:r w:rsidRPr="00491009">
              <w:rPr>
                <w:rFonts w:ascii="Times New Roman" w:hAnsi="Times New Roman"/>
                <w:sz w:val="20"/>
                <w:szCs w:val="20"/>
              </w:rPr>
              <w:t>troj</w:t>
            </w:r>
            <w:proofErr w:type="spellEnd"/>
            <w:r w:rsidRPr="00491009">
              <w:rPr>
                <w:rFonts w:ascii="Times New Roman" w:hAnsi="Times New Roman"/>
                <w:sz w:val="20"/>
                <w:szCs w:val="20"/>
              </w:rPr>
              <w:t xml:space="preserve"> až osemnásť ročných detí, pričom tieto cieľové </w:t>
            </w:r>
            <w:r w:rsidRPr="00491009">
              <w:rPr>
                <w:rFonts w:ascii="Times New Roman" w:hAnsi="Times New Roman"/>
                <w:sz w:val="20"/>
                <w:szCs w:val="20"/>
              </w:rPr>
              <w:lastRenderedPageBreak/>
              <w:t>skupiny majú byť podľa stratégie „počas trvania školského programu monitorované a vyhodnocované a prípadne upravené“, v rámci čoho Slovenská republika túto cieľovú skupinu detí navrhovaným ustanovením zosúlaďuje s čl. 23a ods. 2 písm. a) nariadenia (EÚ) č. 1308/2013 v platnom znení s cieľom zníženia hornej vekovej hranice tejto cieľovej skupiny a zamerať sa na mladšie vekové skupiny.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lastRenderedPageBreak/>
              <w:t>RÚZSR</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2. Zásadná pripomienka k Doložke vplyvov bod 3</w:t>
            </w:r>
            <w:r w:rsidRPr="00FC29C9">
              <w:rPr>
                <w:rFonts w:ascii="Times New Roman" w:hAnsi="Times New Roman"/>
                <w:b/>
                <w:bCs/>
                <w:sz w:val="20"/>
                <w:szCs w:val="20"/>
              </w:rPr>
              <w:br/>
            </w:r>
            <w:r w:rsidRPr="00FC29C9">
              <w:rPr>
                <w:rFonts w:ascii="Times New Roman" w:hAnsi="Times New Roman"/>
                <w:bCs/>
                <w:sz w:val="20"/>
                <w:szCs w:val="20"/>
              </w:rPr>
              <w:t xml:space="preserve">Pretože cieľ by mal byť stanovený ako merateľný a špecifický, požaduje PKS upraviť text nasledovne: „ ...zmeny v nariadení majú zaistiť zvýšenie účasti žiakov v programe školské mlieko o </w:t>
            </w:r>
            <w:proofErr w:type="spellStart"/>
            <w:r w:rsidRPr="00FC29C9">
              <w:rPr>
                <w:rFonts w:ascii="Times New Roman" w:hAnsi="Times New Roman"/>
                <w:bCs/>
                <w:sz w:val="20"/>
                <w:szCs w:val="20"/>
              </w:rPr>
              <w:t>xy</w:t>
            </w:r>
            <w:proofErr w:type="spellEnd"/>
            <w:r w:rsidRPr="00FC29C9">
              <w:rPr>
                <w:rFonts w:ascii="Times New Roman" w:hAnsi="Times New Roman"/>
                <w:bCs/>
                <w:sz w:val="20"/>
                <w:szCs w:val="20"/>
              </w:rPr>
              <w:t xml:space="preserve"> % v roku 2018/19 oproti minulému obdobiu...“, teda stanoviť percento nárastu. Možné merateľné parametre sú: počet žiakov, množstvo dodaných schválených výrobkov, počet zapojených škôl, počet žiakov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V bode 3 doložky vybraných vplyvov je uvedené, že navrhované nariadenie má za cieľ podporiť zvýšenie spotreby ovocia, zeleniny, mlieka a mliečnych výrobkov u detí a žiakov vo vzdelávacích zariadeniach a prispieť k vytváraniu ich zdravých stravovacích návykov, čo je cieľ totožný s cieľom vyjadreným v preambule nariadenia (EÚ) 2016/791. Navrhované nariadenie vlády však nemá za cieľ meniť počet žiakov, ktorý sa do školského programu zapoja. Ani výpadok žiakov stredných škôl totiž nemusí znamenať zníženie celkového počtu zapojených žiakov, pretože tento počet je možné saturovať počtom žiakov v základných alebo materských školách, ktorí doposiaľ do školského programu zapojení neboli. Dodávateľ si navyše môže aj naďalej efektívne regulovať množstvá dodávok do zapojených škôl cez jednotlivé zmluvné vzťahy.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RÚZSR</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3. Zásadná pripomienka k Analýze vplyvov na rozpočet verejnej správy, na zamestnanosť vo verejnej správe a financovanie návrhu bod 2.1.1.</w:t>
            </w:r>
            <w:r w:rsidRPr="00FC29C9">
              <w:rPr>
                <w:rFonts w:ascii="Times New Roman" w:hAnsi="Times New Roman"/>
                <w:b/>
                <w:bCs/>
                <w:sz w:val="20"/>
                <w:szCs w:val="20"/>
              </w:rPr>
              <w:br/>
            </w:r>
            <w:r w:rsidRPr="00FC29C9">
              <w:rPr>
                <w:rFonts w:ascii="Times New Roman" w:hAnsi="Times New Roman"/>
                <w:bCs/>
                <w:sz w:val="20"/>
                <w:szCs w:val="20"/>
              </w:rPr>
              <w:t>Výška spolufinancovania zo štátneho rozpočtu SR je pre plnenie cieľov programu nepostačujúca. Pre splnenie cieľov stanovených v Stratégii Slovenskej republiky pre realizáciu školského programu na školské roky 2017/18 až 2022/23, teda naštartovanie rastu spotreby v školskom programe je nevyhnutné zvýšiť časť spolufinancovania programu zo štátneho rozpočtu SR na minimálne dvojnásobok hodnoty zdrojov z EÚ. Pre porovnanie uvádzame, že v Českej republike je program „</w:t>
            </w:r>
            <w:proofErr w:type="spellStart"/>
            <w:r w:rsidRPr="00FC29C9">
              <w:rPr>
                <w:rFonts w:ascii="Times New Roman" w:hAnsi="Times New Roman"/>
                <w:bCs/>
                <w:sz w:val="20"/>
                <w:szCs w:val="20"/>
              </w:rPr>
              <w:t>Mléko</w:t>
            </w:r>
            <w:proofErr w:type="spellEnd"/>
            <w:r w:rsidRPr="00FC29C9">
              <w:rPr>
                <w:rFonts w:ascii="Times New Roman" w:hAnsi="Times New Roman"/>
                <w:bCs/>
                <w:sz w:val="20"/>
                <w:szCs w:val="20"/>
              </w:rPr>
              <w:t xml:space="preserve"> do </w:t>
            </w:r>
            <w:proofErr w:type="spellStart"/>
            <w:r w:rsidRPr="00FC29C9">
              <w:rPr>
                <w:rFonts w:ascii="Times New Roman" w:hAnsi="Times New Roman"/>
                <w:bCs/>
                <w:sz w:val="20"/>
                <w:szCs w:val="20"/>
              </w:rPr>
              <w:t>škol</w:t>
            </w:r>
            <w:proofErr w:type="spellEnd"/>
            <w:r w:rsidRPr="00FC29C9">
              <w:rPr>
                <w:rFonts w:ascii="Times New Roman" w:hAnsi="Times New Roman"/>
                <w:bCs/>
                <w:sz w:val="20"/>
                <w:szCs w:val="20"/>
              </w:rPr>
              <w:t>“ podporovaný zo zdrojov EÚ vo výške 1,8 mil. € a zo štátneho rozpočtu ČR vo výške 10,4 mil.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Výška spolufinancovania školského programu prostredníctvom štátnej pomoci podľa čl. 23a ods. 6 a čl. 217 nariadenia č. 1308/2013 v platnom znení je plne závislá od zákona o štátnom rozpočte na príslušný rozpočtový rok a od celkového objemu finančných prostriedkov trhovo orientovaných výdavkov (TOV), vyčlenených na financovanie školského programu v rámci programu stabilizácie poľnohospodárstva a trhov s poľnohospodárskymi komoditami. Navrhované nariadenie vlády a ani príslušné nariadenie vlády navyše nemajú nijaký vplyv na výšku uvedeného spolufinancovania školského programu zo štátneho rozpočtu.</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SPPK</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 xml:space="preserve">K bodu 2.1.1 Analýzy vplyvov na rozpočet verejnej správy, na zamestnanosť </w:t>
            </w:r>
            <w:r w:rsidRPr="00491009">
              <w:rPr>
                <w:rFonts w:ascii="Times New Roman" w:hAnsi="Times New Roman"/>
                <w:b/>
                <w:bCs/>
                <w:sz w:val="20"/>
                <w:szCs w:val="20"/>
              </w:rPr>
              <w:lastRenderedPageBreak/>
              <w:t>vo verejnej správe a financovanie návrhu</w:t>
            </w:r>
            <w:r w:rsidRPr="00FC29C9">
              <w:rPr>
                <w:rFonts w:ascii="Times New Roman" w:hAnsi="Times New Roman"/>
                <w:b/>
                <w:bCs/>
                <w:sz w:val="20"/>
                <w:szCs w:val="20"/>
              </w:rPr>
              <w:br/>
            </w:r>
            <w:r w:rsidRPr="00FC29C9">
              <w:rPr>
                <w:rFonts w:ascii="Times New Roman" w:hAnsi="Times New Roman"/>
                <w:bCs/>
                <w:sz w:val="20"/>
                <w:szCs w:val="20"/>
              </w:rPr>
              <w:t>V bode 2.1.1. Analýzy vplyvov na rozpočet verejnej správy, na zamestnanosť vo verejnej správe a financovanie návrhu je uvedené: „Finančné prostriedky budú zabezpečené v rámci výdavkov kapitoly MPRV SR určených na Trhovo orientované výdavky 2014-2020 – podporné programy pre školské ovocie, zeleninu, mlieko a mliečne výrobky bez zvýšených požiadaviek na prostriedky štátneho rozpočtu. V rámci návrhu limitov rozpočtu rezortu sú na roky 2018-2021 rozpočtované alokácie na zdrojoch 1AF1 a 1AF2, programe 0CC0102 v celkovom objeme 6 122 499 eur ročne, z toho zdroje EÚ predstavujú objem 3 311 922 eur a spolufinancovanie zo ŠR objem 2 810 577 eur.“ Máme za to, že výška spolufinancovania zo štátneho rozpočtu SR je pre plnenie cieľov programu nepostačujúca. Pre splnenie cieľov stanovených v Stratégii Slovenskej republiky pre realizáciu školského programu na školské roky 2017/18 až 2022/23, teda naštartovanie rastu spotreby v školskom programe je nevyhnutné zvýšiť časť spolufinancovania programu zo štátneho rozpočtu SR na minimálne dvojnásobok hodnoty zdrojov z EÚ. Pre porovnanie uvádzame, že v Českej republike je program „</w:t>
            </w:r>
            <w:proofErr w:type="spellStart"/>
            <w:r w:rsidRPr="00FC29C9">
              <w:rPr>
                <w:rFonts w:ascii="Times New Roman" w:hAnsi="Times New Roman"/>
                <w:bCs/>
                <w:sz w:val="20"/>
                <w:szCs w:val="20"/>
              </w:rPr>
              <w:t>Mléko</w:t>
            </w:r>
            <w:proofErr w:type="spellEnd"/>
            <w:r w:rsidRPr="00FC29C9">
              <w:rPr>
                <w:rFonts w:ascii="Times New Roman" w:hAnsi="Times New Roman"/>
                <w:bCs/>
                <w:sz w:val="20"/>
                <w:szCs w:val="20"/>
              </w:rPr>
              <w:t xml:space="preserve"> do </w:t>
            </w:r>
            <w:proofErr w:type="spellStart"/>
            <w:r w:rsidRPr="00FC29C9">
              <w:rPr>
                <w:rFonts w:ascii="Times New Roman" w:hAnsi="Times New Roman"/>
                <w:bCs/>
                <w:sz w:val="20"/>
                <w:szCs w:val="20"/>
              </w:rPr>
              <w:t>škol</w:t>
            </w:r>
            <w:proofErr w:type="spellEnd"/>
            <w:r w:rsidRPr="00FC29C9">
              <w:rPr>
                <w:rFonts w:ascii="Times New Roman" w:hAnsi="Times New Roman"/>
                <w:bCs/>
                <w:sz w:val="20"/>
                <w:szCs w:val="20"/>
              </w:rPr>
              <w:t>“ podporovaný zo zdrojov EÚ vo výške 1,8 mil. € a zo štátneho rozpočtu ČR vo výške 10,4 mil. €.</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lastRenderedPageBreak/>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w:t>
            </w:r>
            <w:r w:rsidRPr="00491009">
              <w:rPr>
                <w:rFonts w:ascii="Times New Roman" w:hAnsi="Times New Roman"/>
                <w:sz w:val="20"/>
                <w:szCs w:val="20"/>
              </w:rPr>
              <w:lastRenderedPageBreak/>
              <w:t>odstránený a trvá. Výška spolufinancovania školského programu prostredníctvom štátnej pomoci podľa čl. 23a ods. 6 a čl. 217 nariadenia č. 1308/2013 v platnom znení je plne závislá od zákona o štátnom rozpočte na príslušný rozpočtový rok a od celkového objemu finančných prostriedkov trhovo orientovaných výdavkov (TOV), vyčlenených na financovanie školského programu v rámci programu stabilizácie poľnohospodárstva a trhov s poľnohospodárskymi komoditami. Navrhované nariadenie vlády a ani príslušné nariadenie vlády navyše nemajú nijaký vplyv na výšku uvedeného spolufinancovania školského programu zo štátneho rozpočtu.</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lastRenderedPageBreak/>
              <w:t>SPPK</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K Čl. I bod 33. (príloha č. 1 k nariadeniu vlády č. 189.2017 Z. z.)</w:t>
            </w:r>
            <w:r w:rsidRPr="00FC29C9">
              <w:rPr>
                <w:rFonts w:ascii="Times New Roman" w:hAnsi="Times New Roman"/>
                <w:b/>
                <w:bCs/>
                <w:sz w:val="20"/>
                <w:szCs w:val="20"/>
              </w:rPr>
              <w:br/>
            </w:r>
            <w:r w:rsidRPr="00FC29C9">
              <w:rPr>
                <w:rFonts w:ascii="Times New Roman" w:hAnsi="Times New Roman"/>
                <w:bCs/>
                <w:sz w:val="20"/>
                <w:szCs w:val="20"/>
              </w:rPr>
              <w:t xml:space="preserve">V prílohe č. 1 žiadame upraviť výšku pomoci a najvyššiu úhradu žiakom na všetky konzumné mlieka, ktoré sú v tomto návrhu nižšie oproti sumám v platnom nariadení, aby táto suma bola minimálne o 10% vyššia oproti sumám v súčasne platnom nariadení. Odôvodnenie: V nariadení Európskeho parlamentu a Rady (EÚ) 2016/791 z 11.mája 2016 sa uvádza, že konzumácia konzumného mlieka ma klesajúcu tendenciu. Preto je vhodné zamerať distribúciu v rámci školských programov prednostne na tieto výrobky. To by pomohlo znížiť organizačnú záťaž v školách a zvýšiť pri obmedzenom rozpočte vplyv distribúcie, ktorá by bola v súlade so súčasnou praxou, keďže tieto výrobky sú distribuované najčastejšie. S cieľom riadiť sa výživovými odporúčaniami týkajúcimi sa absorpcie vápnika a podporovať spotrebu špecifických výrobkov alebo reagovať na špecifické výživové potreby detí na ich území a vzhľadom na rastúce problémy spojené s intoleranciou laktózy v mlieku by však členské štáty mali mať možnosť, pod podmienkou že už distribuujú konzumné mlieko a jeho obdoby bez laktózy, distribuovať ďalšie mliečne výrobky bez pridaných príchutí, ovocia, orieškov alebo kakaa, ako sú jogurty a syry, ktoré majú prospešný vplyv na zdravie detí. Vzhľadom na vyššie uvedené ciele a stratégiu, ako aj na fakt, že zvýšenie konzumácie neochuteného mlieka a mliečnych výrobkov bola od začiatku preferencia tak MPRV SR, ako aj EÚ, dodávatelia konzumné mlieko (polotučné mlieko neochutené UHT 250 ml) rovnako akceptovali ako prioritu a prispôsobili sa tomuto trendu. Navrhované sumy pomoci a ceny neochuteného mlieka však nereflektujú skutočnosť, že by sa malo stať prioritou v dodávkach školského mliečneho programu. Ak má byť prioritou zvýšenie konzumácie práve neochuteného mlieka, očakávame, že výška podpory tejto kategórie výrobkov bude adekvátne podporená a to minimálne výškou podpory na </w:t>
            </w:r>
            <w:r w:rsidRPr="00FC29C9">
              <w:rPr>
                <w:rFonts w:ascii="Times New Roman" w:hAnsi="Times New Roman"/>
                <w:bCs/>
                <w:sz w:val="20"/>
                <w:szCs w:val="20"/>
              </w:rPr>
              <w:lastRenderedPageBreak/>
              <w:t>úrovni aktuálneho školského roka 2017/2018.</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lastRenderedPageBreak/>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Úprava výšky pomoci na dodávanie alebo distribúciu výrobkov žiakom v rámci školského programu bola realizovaná v zmysle aktuálnej situácie na trhu v Slovenskej republike na základe výpočtov výskumného ústavu ekonomiky poľnohospodárstva a potravinárstva príspevkovej organizácie s názvom Národné poľnohospodárske a potravinárske centrum, ktoré tento ústav pre predkladateľa vykonal práve na účely tvorby navrhovaného nariadenia vlády, a to overiteľnou a nestrannou metódou podľa čl. 2 ods. 2 písm. c) vykonávacieho nariadenia (EÚ) 2017/39.</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lastRenderedPageBreak/>
              <w:t>SPPK</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K bodu 2. Doložky vybraných vplyvov (Definovanie problému)</w:t>
            </w:r>
            <w:r w:rsidRPr="00FC29C9">
              <w:rPr>
                <w:rFonts w:ascii="Times New Roman" w:hAnsi="Times New Roman"/>
                <w:b/>
                <w:bCs/>
                <w:sz w:val="20"/>
                <w:szCs w:val="20"/>
              </w:rPr>
              <w:br/>
            </w:r>
            <w:r w:rsidRPr="00FC29C9">
              <w:rPr>
                <w:rFonts w:ascii="Times New Roman" w:hAnsi="Times New Roman"/>
                <w:bCs/>
                <w:sz w:val="20"/>
                <w:szCs w:val="20"/>
              </w:rPr>
              <w:t>V bode 2. Doložky vybraných vplyvov je uvedené: „... Cieľom navrhovaného nariadenia je zvýšiť účinnosť opatrení súvisiacich s podporu dodávania ovocia, zeleniny, mlieka a mliečnych výrobkov pre deti a žiakov dodávaných do školských zariadení a tým zvýšiť celkovú účinnosť školského programu. ... „ Máme za to, že uvedený cieľ nemôže byť reálne dosiahnutý z dôvodu zmeny nariadenia vylúčením dodávok mlieka a mliečnych výrobkov pre žiakov stredných škôl. Žiadame zachovanie možnosti dodávok „školského mlieka“ pre žiakov stredných škôl, ako je to uvedené v Stratégii Slovenskej republiky pre realizáciu školského programu na školské roky 2017/18 až 2022/23.</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Podľa čl. 23a ods. 2 písm. a) nariadenia (EÚ) č. 1308/2013 v platnom znení sa pri prideľovaní finančných prostriedkov EÚ členským štátom na poskytovanie pomoci zohľadňuje počet šesť- až desaťročných detí v dotknutom členskom štáte EÚ, čo sú deti vo vekovej skupine, ktorá navštevuje hlavne materské a základné školy. Slovenská republika okrem toho vo svojej stratégii ustanovila, že cieľovou skupinou, ktorej majú byť v rámci školského programu dodávané alebo distribuované výrobky a pre ktorú majú byť vykonávané sprievodné opatrenia, je skupina </w:t>
            </w:r>
            <w:proofErr w:type="spellStart"/>
            <w:r w:rsidRPr="00491009">
              <w:rPr>
                <w:rFonts w:ascii="Times New Roman" w:hAnsi="Times New Roman"/>
                <w:sz w:val="20"/>
                <w:szCs w:val="20"/>
              </w:rPr>
              <w:t>troj</w:t>
            </w:r>
            <w:proofErr w:type="spellEnd"/>
            <w:r w:rsidRPr="00491009">
              <w:rPr>
                <w:rFonts w:ascii="Times New Roman" w:hAnsi="Times New Roman"/>
                <w:sz w:val="20"/>
                <w:szCs w:val="20"/>
              </w:rPr>
              <w:t xml:space="preserve"> až osemnásť ročných detí, pričom tieto cieľové skupiny majú byť podľa stratégie „počas trvania školského programu monitorované a vyhodnocované a prípadne upravené“, v rámci čoho Slovenská republika túto cieľovú skupinu detí navrhovaným ustanovením zosúlaďuje s čl. 23a ods. 2 písm. a) nariadenia (EÚ) č. 1308/2013 v platnom znení s cieľom zníženia hornej vekovej hranice tejto cieľovej skupiny a zamerať sa na mladšie vekové skupiny.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SPPK</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K bodu 3 Doložky vybraných vplyvov</w:t>
            </w:r>
            <w:r w:rsidRPr="00FC29C9">
              <w:rPr>
                <w:rFonts w:ascii="Times New Roman" w:hAnsi="Times New Roman"/>
                <w:b/>
                <w:bCs/>
                <w:sz w:val="20"/>
                <w:szCs w:val="20"/>
              </w:rPr>
              <w:br/>
            </w:r>
            <w:r w:rsidRPr="00FC29C9">
              <w:rPr>
                <w:rFonts w:ascii="Times New Roman" w:hAnsi="Times New Roman"/>
                <w:bCs/>
                <w:sz w:val="20"/>
                <w:szCs w:val="20"/>
              </w:rPr>
              <w:t xml:space="preserve">V bode 3. Doložky vybraných vplyvov sú ciele a výsledný stav uvedené nasledovne: „.Prijaté zmeny v nariadení, by mali prispieť k zefektívneniu procesu vykonávania programu. Základné ciele programu sú: podporiť zvýšenie spotreby ovocia, zeleniny, mlieka a mliečnych výrobkov u detí a žiakov vo vzdelávacích zariadeniach a prispieť k vytváraniu ich zdravých stravovacích návykov.... „ Pretože cieľ by mal byť stanovený ako merateľný a špecifický, požadujeme upraviť text nasledovne: „ ...zmeny v nariadení majú zaistiť zvýšenie účasti žiakov v programe školské mlieko o </w:t>
            </w:r>
            <w:proofErr w:type="spellStart"/>
            <w:r w:rsidRPr="00FC29C9">
              <w:rPr>
                <w:rFonts w:ascii="Times New Roman" w:hAnsi="Times New Roman"/>
                <w:bCs/>
                <w:sz w:val="20"/>
                <w:szCs w:val="20"/>
              </w:rPr>
              <w:t>xy</w:t>
            </w:r>
            <w:proofErr w:type="spellEnd"/>
            <w:r w:rsidRPr="00FC29C9">
              <w:rPr>
                <w:rFonts w:ascii="Times New Roman" w:hAnsi="Times New Roman"/>
                <w:bCs/>
                <w:sz w:val="20"/>
                <w:szCs w:val="20"/>
              </w:rPr>
              <w:t xml:space="preserve"> % v roku 2018/19 oproti minulému obdobiu...“, teda stanoviť percento nárastu. Možné merateľné parametre sú: počet žiakov, množstvo dodaných schválených výrobkov, počet zapojených škôl, počet žiakov ...</w:t>
            </w:r>
            <w:r w:rsidRPr="00FC29C9">
              <w:rPr>
                <w:rFonts w:ascii="Times New Roman" w:hAnsi="Times New Roman"/>
                <w:b/>
                <w:bCs/>
                <w:sz w:val="20"/>
                <w:szCs w:val="20"/>
              </w:rPr>
              <w:t xml:space="preserve">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trvá. V bode 3 doložky vybraných vplyvov je uvedené, že navrhované nariadenie má za cieľ podporiť zvýšenie spotreby ovocia, zeleniny, mlieka a mliečnych výrobkov u detí a žiakov vo vzdelávacích zariadeniach a prispieť k vytváraniu ich zdravých stravovacích návykov, čo je cieľ totožný s cieľom vyjadreným v preambule nariadenia (EÚ) 2016/791. Navrhované nariadenie vlády však nemá za cieľ meniť počet žiakov, ktorý sa do školského programu zapoja. Ani výpadok žiakov stredných škôl totiž nemusí znamenať zníženie celkového počtu zapojených žiakov, pretože tento počet je možné saturovať počtom žiakov v základných alebo materských školách, ktorí doposiaľ do školského programu zapojení neboli. Dodávateľ si navyše môže aj naďalej efektívne regulovať množstvá dodávok do zapojených škôl cez jednotlivé zmluvné vzťahy.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t>SPPK</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 xml:space="preserve">K Čl. I bod 1, bod 4, bod 8, bod 17 </w:t>
            </w:r>
            <w:r w:rsidRPr="00FC29C9">
              <w:rPr>
                <w:rFonts w:ascii="Times New Roman" w:hAnsi="Times New Roman"/>
                <w:b/>
                <w:bCs/>
                <w:sz w:val="20"/>
                <w:szCs w:val="20"/>
              </w:rPr>
              <w:br/>
            </w:r>
            <w:r w:rsidRPr="00FC29C9">
              <w:rPr>
                <w:rFonts w:ascii="Times New Roman" w:hAnsi="Times New Roman"/>
                <w:bCs/>
                <w:sz w:val="20"/>
                <w:szCs w:val="20"/>
              </w:rPr>
              <w:t xml:space="preserve">Z Čl. I žiadame vypustiť novelizačný bod 1, 4, 8, 17 a nasledujúce novelizačné body primerane upraviť a prečíslovať. Okrem uvedeného poukazujeme na chybu v novelizačnom bode 8 - uvádza sa nesprávne § 3 ods. 4 písm. c), v ktorom sa vypúšťané slová nenachádzajú. Odôvodnenie: Zásadne nesúhlasíme s vylúčením poskytovania podpory pre žiakov stredných škôl. Uvedený novelizačný bod je v rozpore s cieľom navrhovaného nariadenia, to je zvýšiť celkovú účinnosť školského programu. Vylúčením žiakov stredných škôl z programu školské mlieko príde o podporu cca 20 000 žiakov na Slovensku. Predmetný novelizačný bod je v rozpore aj so znením Stratégie Slovenskej republiky pre realizáciu školského programu na školské roky 2017/18 až 2022/23, ktorú schválila Komisia (ďalej len Stratégia SR“), </w:t>
            </w:r>
            <w:r w:rsidRPr="00FC29C9">
              <w:rPr>
                <w:rFonts w:ascii="Times New Roman" w:hAnsi="Times New Roman"/>
                <w:bCs/>
                <w:sz w:val="20"/>
                <w:szCs w:val="20"/>
              </w:rPr>
              <w:lastRenderedPageBreak/>
              <w:t xml:space="preserve">nakoľko sa v nej uvádza, že cieľovou skupinou pre „školské mlieko“ sú aj deti vo veku 15-18 rokov na stredných školách. V časti 4 Stratégie SR, str. 11 sa uvádza, že: „... Pri poskytovaní mlieka a mliečnych výrobkov bude SR aj naďalej (v období od 1.8.2017 do 31.7.2023) podporovať cieľovú skupinu detí vo veku 3 - 18 rokov. A to: - deti v materských školách (3 – 5 rokov), - žiaci na základných školách (6 – 15 rokov), - žiaci na stredných školách (15 – 18 rokov), - deti materských škôl a žiaci základných škôl so špeciálnymi výchovno-vzdelávacími potrebami. Cieľové skupiny boli zriadené podľa predchádzajúcich skúseností v oboch programoch, pričom sa zohľadnili dobre fungujúce systémy. ...“ Máme za to, že právny poriadok EÚ nevylučuje podporu žiakov stredných škôl z režimu pomoci na zlepšenie distribúcie poľnohospodárskych výrobkov a na zlepšenie stravovacích návykov detí. V zmysle čl. 22 Nariadenia Európskeho parlamentu a Rady (EÚ) č. 2016/791 totiž naďalej platí, že cieľovou skupinou sú aj deti, ktoré pravidelne navštevujú vzdelávacie zariadenia na úrovni strednej školy. Sme preto názoru, že znenie dôvodovej správy k predmetnému novelizačnému bodu je nepostačujúce. V sprievodnej dokumentácii absentuje riadne odôvodnenie rozhodnutia vylúčiť podporu na „školské mlieko“ pre žiakov stredných škôl. V tejto súvislosti si dovoľujeme upriamiť pozornosť na prieskum, ktorý bol vykonaný v rámci projektu ÚVZ SR „Monitoring stravovacích zvyklostí a výživových preferencií vybranej populácie detí SR a hodnotenie expozície vybraných rizík spojených s konzumáciou jedál. Ten </w:t>
            </w:r>
            <w:proofErr w:type="spellStart"/>
            <w:r w:rsidRPr="00FC29C9">
              <w:rPr>
                <w:rFonts w:ascii="Times New Roman" w:hAnsi="Times New Roman"/>
                <w:bCs/>
                <w:sz w:val="20"/>
                <w:szCs w:val="20"/>
              </w:rPr>
              <w:t>poukazal</w:t>
            </w:r>
            <w:proofErr w:type="spellEnd"/>
            <w:r w:rsidRPr="00FC29C9">
              <w:rPr>
                <w:rFonts w:ascii="Times New Roman" w:hAnsi="Times New Roman"/>
                <w:bCs/>
                <w:sz w:val="20"/>
                <w:szCs w:val="20"/>
              </w:rPr>
              <w:t xml:space="preserve"> na to, že u dospievajúcich od 15 – 18 rokov došlo k </w:t>
            </w:r>
            <w:proofErr w:type="spellStart"/>
            <w:r w:rsidRPr="00FC29C9">
              <w:rPr>
                <w:rFonts w:ascii="Times New Roman" w:hAnsi="Times New Roman"/>
                <w:bCs/>
                <w:sz w:val="20"/>
                <w:szCs w:val="20"/>
              </w:rPr>
              <w:t>signifikantnému</w:t>
            </w:r>
            <w:proofErr w:type="spellEnd"/>
            <w:r w:rsidRPr="00FC29C9">
              <w:rPr>
                <w:rFonts w:ascii="Times New Roman" w:hAnsi="Times New Roman"/>
                <w:bCs/>
                <w:sz w:val="20"/>
                <w:szCs w:val="20"/>
              </w:rPr>
              <w:t xml:space="preserve"> poklesu konzumácie mlieka a mliečnych výrobkov na cca 30% . Žiadame preto zachovanie možnosti dodávok „školského mlieka“ pre žiakov stredných škôl, ako je to uvedené v Stratégii Slovenskej republiky pre realizáciu školského programu na školské roky 2017/18 až 2022/23.</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lastRenderedPageBreak/>
              <w:t xml:space="preserve">Dňa 21.6.2018 sa uskutočnilo </w:t>
            </w:r>
            <w:proofErr w:type="spellStart"/>
            <w:r w:rsidRPr="00491009">
              <w:rPr>
                <w:rFonts w:ascii="Times New Roman" w:hAnsi="Times New Roman"/>
                <w:sz w:val="20"/>
                <w:szCs w:val="20"/>
              </w:rPr>
              <w:t>rozporové</w:t>
            </w:r>
            <w:proofErr w:type="spellEnd"/>
            <w:r w:rsidRPr="00491009">
              <w:rPr>
                <w:rFonts w:ascii="Times New Roman" w:hAnsi="Times New Roman"/>
                <w:sz w:val="20"/>
                <w:szCs w:val="20"/>
              </w:rPr>
              <w:t xml:space="preserve"> konanie. Rozpor nebol odstránený a </w:t>
            </w:r>
            <w:proofErr w:type="spellStart"/>
            <w:r w:rsidRPr="00491009">
              <w:rPr>
                <w:rFonts w:ascii="Times New Roman" w:hAnsi="Times New Roman"/>
                <w:sz w:val="20"/>
                <w:szCs w:val="20"/>
              </w:rPr>
              <w:t>trvá.Podľa</w:t>
            </w:r>
            <w:proofErr w:type="spellEnd"/>
            <w:r w:rsidRPr="00491009">
              <w:rPr>
                <w:rFonts w:ascii="Times New Roman" w:hAnsi="Times New Roman"/>
                <w:sz w:val="20"/>
                <w:szCs w:val="20"/>
              </w:rPr>
              <w:t xml:space="preserve"> čl. 23a ods. 2 písm. a) nariadenia (EÚ) č. 1308/2013 v platnom znení sa pri prideľovaní finančných prostriedkov EÚ členským štátom na poskytovanie pomoci zohľadňuje počet šesť- až desaťročných detí v dotknutom členskom štáte EÚ, čo sú deti vo vekovej skupine, ktorá navštevuje hlavne materské a základné školy. Slovenská republika okrem toho vo svojej stratégii ustanovila, že cieľovou skupinou, ktorej majú byť v rámci školského programu dodávané alebo distribuované výrobky a pre ktorú majú byť vykonávané sprievodné opatrenia, je skupina </w:t>
            </w:r>
            <w:proofErr w:type="spellStart"/>
            <w:r w:rsidRPr="00491009">
              <w:rPr>
                <w:rFonts w:ascii="Times New Roman" w:hAnsi="Times New Roman"/>
                <w:sz w:val="20"/>
                <w:szCs w:val="20"/>
              </w:rPr>
              <w:t>troj</w:t>
            </w:r>
            <w:proofErr w:type="spellEnd"/>
            <w:r w:rsidRPr="00491009">
              <w:rPr>
                <w:rFonts w:ascii="Times New Roman" w:hAnsi="Times New Roman"/>
                <w:sz w:val="20"/>
                <w:szCs w:val="20"/>
              </w:rPr>
              <w:t xml:space="preserve"> až osemnásť ročných detí, pričom tieto cieľové skupiny majú byť podľa stratégie „počas trvania školského programu </w:t>
            </w:r>
            <w:r w:rsidRPr="00491009">
              <w:rPr>
                <w:rFonts w:ascii="Times New Roman" w:hAnsi="Times New Roman"/>
                <w:sz w:val="20"/>
                <w:szCs w:val="20"/>
              </w:rPr>
              <w:lastRenderedPageBreak/>
              <w:t>monitorované a vyhodnocované a prípadne upravené“, v rámci čoho Slovenská republika túto cieľovú skupinu detí navrhovaným ustanovením zosúlaďuje s čl. 23a ods. 2 písm. a) nariadenia (EÚ) č. 1308/2013 v platnom znení s cieľom zníženia hornej vekovej hranice tejto cieľovej skupiny a zamerať sa na mladšie vekové skupiny.</w:t>
            </w:r>
          </w:p>
        </w:tc>
      </w:tr>
      <w:tr w:rsidR="00FC29C9" w:rsidRPr="00491009" w:rsidTr="00FC29C9">
        <w:trPr>
          <w:jc w:val="center"/>
        </w:trPr>
        <w:tc>
          <w:tcPr>
            <w:tcW w:w="521"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jc w:val="center"/>
              <w:rPr>
                <w:rFonts w:ascii="Times New Roman" w:hAnsi="Times New Roman"/>
                <w:b/>
                <w:bCs/>
                <w:sz w:val="20"/>
                <w:szCs w:val="20"/>
              </w:rPr>
            </w:pPr>
            <w:r w:rsidRPr="00491009">
              <w:rPr>
                <w:rFonts w:ascii="Times New Roman" w:hAnsi="Times New Roman"/>
                <w:b/>
                <w:bCs/>
                <w:sz w:val="20"/>
                <w:szCs w:val="20"/>
              </w:rPr>
              <w:lastRenderedPageBreak/>
              <w:t>ZMOS</w:t>
            </w:r>
          </w:p>
        </w:tc>
        <w:tc>
          <w:tcPr>
            <w:tcW w:w="2397" w:type="pct"/>
            <w:tcBorders>
              <w:top w:val="outset" w:sz="6" w:space="0" w:color="000000"/>
              <w:left w:val="outset" w:sz="6" w:space="0" w:color="000000"/>
              <w:bottom w:val="outset" w:sz="6" w:space="0" w:color="000000"/>
              <w:right w:val="outset" w:sz="6" w:space="0" w:color="000000"/>
            </w:tcBorders>
            <w:vAlign w:val="center"/>
            <w:hideMark/>
          </w:tcPr>
          <w:p w:rsidR="00FC29C9" w:rsidRPr="00FC29C9" w:rsidRDefault="00FC29C9" w:rsidP="004A5BED">
            <w:pPr>
              <w:widowControl w:val="0"/>
              <w:rPr>
                <w:rFonts w:ascii="Times New Roman" w:hAnsi="Times New Roman"/>
                <w:b/>
                <w:bCs/>
                <w:sz w:val="20"/>
                <w:szCs w:val="20"/>
              </w:rPr>
            </w:pPr>
            <w:r w:rsidRPr="00491009">
              <w:rPr>
                <w:rFonts w:ascii="Times New Roman" w:hAnsi="Times New Roman"/>
                <w:b/>
                <w:bCs/>
                <w:sz w:val="20"/>
                <w:szCs w:val="20"/>
              </w:rPr>
              <w:t>K doložke vplyvov a samotnému návrhu</w:t>
            </w:r>
            <w:r w:rsidRPr="00FC29C9">
              <w:rPr>
                <w:rFonts w:ascii="Times New Roman" w:hAnsi="Times New Roman"/>
                <w:b/>
                <w:bCs/>
                <w:sz w:val="20"/>
                <w:szCs w:val="20"/>
              </w:rPr>
              <w:br/>
            </w:r>
            <w:r w:rsidRPr="00FC29C9">
              <w:rPr>
                <w:rFonts w:ascii="Times New Roman" w:hAnsi="Times New Roman"/>
                <w:bCs/>
                <w:sz w:val="20"/>
                <w:szCs w:val="20"/>
              </w:rPr>
              <w:t>V doložke vplyvov sa neuvádza dopad na rozpočty miest a obcí ako zriaďovateľov, respektíve dopad na rozpočty materských škôl a základných škôl. Nariadenie vlády počíta s pomocou na zabezpečovanie činností hlavne podnikateľom (§ 1 písm. a) a b), alebo iným fyzickým osobám podnikateľom alebo právnickým osobám. Náklady, ktoré vznikajú samotným školám spojené s personálnym zabezpečením (manipulácia, administratíva..) alebo priamo finančné požiadavky na úhradu podľa prílohy 1 a 2 sa z pomoci školám neuhrádzajú. Doterajšie skúsenosti hovoria, že programy sa uskutočňujú len v rámci školských jedální, teda dotované mlieko, mliečne výrobky alebo ovocie dostávajú len deti a žiaci, ktorí sú stravníkmi. Ostatné deti a žiaci túto pomoc nedostávajú. Žiadame preto také úpravy návrhu, ktoré zabezpečia úhradu nákladov aj školám a nie len podnikateľským subjektom a tak, aby ani zákonní zástupcovia detí neboli zaťažovaní zvyšovaním poplatkov. Taktiež akcie organizované podľa § 1 písm. c) by mali byť financované tak, aby boli hradené aj náklady školy ako napr. doprava na exkurziu, výsadba a údržba vonkajších priestorov.. .</w:t>
            </w:r>
          </w:p>
        </w:tc>
        <w:tc>
          <w:tcPr>
            <w:tcW w:w="2082" w:type="pct"/>
            <w:tcBorders>
              <w:top w:val="outset" w:sz="6" w:space="0" w:color="000000"/>
              <w:left w:val="outset" w:sz="6" w:space="0" w:color="000000"/>
              <w:bottom w:val="outset" w:sz="6" w:space="0" w:color="000000"/>
              <w:right w:val="outset" w:sz="6" w:space="0" w:color="000000"/>
            </w:tcBorders>
            <w:vAlign w:val="center"/>
            <w:hideMark/>
          </w:tcPr>
          <w:p w:rsidR="00FC29C9" w:rsidRPr="00491009" w:rsidRDefault="00FC29C9" w:rsidP="004A5BED">
            <w:pPr>
              <w:widowControl w:val="0"/>
              <w:rPr>
                <w:rFonts w:ascii="Times New Roman" w:hAnsi="Times New Roman"/>
                <w:sz w:val="20"/>
                <w:szCs w:val="20"/>
              </w:rPr>
            </w:pPr>
            <w:r w:rsidRPr="00491009">
              <w:rPr>
                <w:rFonts w:ascii="Times New Roman" w:hAnsi="Times New Roman"/>
                <w:sz w:val="20"/>
                <w:szCs w:val="20"/>
              </w:rPr>
              <w:t xml:space="preserve">Táto pripomienka sa netýka samotného návrhu nariadenia vlády, ktorý je predmetom legislatívneho procesu, ale už účinného naradenia vlády SR č. 189/2017 Z. z. ako aj celého systému poskytovania pomoci, ktorého zmena nie je a ani nemôže byť predmetom predloženého návrhu nariadenia vlády. Nariadenie vlády SR č. 189/2017 Z. z. ustanovuje podmienky poskytovania pomoci na dodávanie alebo distribúciu ovocia, zeleniny a mliečnych výrobkov žiakom do škôl pre dodávateľov alebo distribútorov týchto výrobkov. Tento mechanizmus poskytovania pomoci je zakotvený aj v stratégii Slovenskej republiky na vykonávanie školského programu, ktorá už bola uverejnená Európskou komisiou podľa čl. 2 ods. 3 vykonávacieho nariadenia (EÚ) 2017/39. Pokiaľ ide o náklady na personálne zabezpečenie vykonávania školského programu na úrovni škôl, ktorých zriaďovateľmi sú obce, tak tieto nemožno uhrádzať z prostriedkov EÚ určených na vykonávanie školského programu, a to na základe čl. 4 ods. 4 delegovaného nariadenia (EÚ) 2017/40, podľa ktorého „Výdavky súvisiace s nákladmi na zamestnancov nie sú oprávnené na pomoc Únie, pokiaľ sa tieto náklady </w:t>
            </w:r>
            <w:r w:rsidRPr="00491009">
              <w:rPr>
                <w:rFonts w:ascii="Times New Roman" w:hAnsi="Times New Roman"/>
                <w:sz w:val="20"/>
                <w:szCs w:val="20"/>
              </w:rPr>
              <w:lastRenderedPageBreak/>
              <w:t>na zamestnancov financujú z verejných finančných prostriedkov členského štátu.“. Čo sa týka úhrad škôl za dodávanie výrobkov do škôl v rámci školského programu, tak tieto výdavky školám predsa uhrádzajú žiaci, ktorí sú do školského programu zapojení. Nariadenie vlády SR č. 189/2017 Z. z. školám neustanovuje, že musia výrobky dodávané v rámci školského programu distribuovať prostredníctvom zariadení školského stravovania. Školy však môžu túto možnosť využiť v súlade s čl. 11 delegovaného nariadenia (EÚ) 2017/40, pričom tieto výrobky nesmú nahrádzať výrobky, ktoré sú súčasťou riadnych školských jedál, nesmú sa používať na ich prípravu a musia byť v rámci školského programu vždy jasne rozpoznateľné. Tendencia EÚ je teda oddeľovať distribúciu výrobkov dodávaných v rámci školského programu od distribúcie jedál v zariadeniach školského stravovania, nie spájať ju s ním a už vôbec nie financovať tieto dve distribúcie potravín žiakom spoločne z prostriedkov určených na vykonávanie školského programu. Vykonávanie akýchkoľvek činností, zabezpečovaných prijímateľmi pomoci v rámci školského programu pre zapojené školy, podlieha zmluvnému vzťahu medzi príslušnou školou a dodávateľom. To platí aj pri zabezpečovaní tzv. sprievodných činností. Školy teda nie sú v dôsledku naradenia vlády SR č. 189/2017 Z. z. povinné takéto zmluvy uzavierať a do školského programu sa zapájať, zvlášť ak im to nedovoľujú ich vlastné organizačné možnosti. MPRV SR si je vedomé potreby pokrytia nákladov škôl a školských zariadení, ktoré na druhej strane nie sú oprávnené v rozsahu tohto programu. Pri súčasnom objeme finančných prostriedkov určených na účely predmetného nariadenia vlády kapitola rezortu nedokáže vyčleniť z alokovaných prostriedkov pre účely programu prostriedky pre ďalšie náklady vznikajúce pri realizácii programu. MPRV SR bude v tomto smere vyvíjať úsilie pri rokovaniach o štátnom rozpočte na rok 2019. Rozpor trvá.</w:t>
            </w:r>
          </w:p>
        </w:tc>
      </w:tr>
    </w:tbl>
    <w:p w:rsidR="00112394" w:rsidRPr="0088595A" w:rsidRDefault="00112394">
      <w:pPr>
        <w:rPr>
          <w:rFonts w:ascii="Times New Roman" w:hAnsi="Times New Roman"/>
          <w:sz w:val="24"/>
          <w:szCs w:val="24"/>
        </w:rPr>
      </w:pPr>
    </w:p>
    <w:sectPr w:rsidR="00112394" w:rsidRPr="0088595A" w:rsidSect="0088595A">
      <w:footerReference w:type="default" r:id="rId7"/>
      <w:pgSz w:w="16838" w:h="11906" w:orient="landscape"/>
      <w:pgMar w:top="1135" w:right="1387" w:bottom="851"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40" w:rsidRDefault="00300840" w:rsidP="00612F61">
      <w:r>
        <w:separator/>
      </w:r>
    </w:p>
  </w:endnote>
  <w:endnote w:type="continuationSeparator" w:id="0">
    <w:p w:rsidR="00300840" w:rsidRDefault="00300840" w:rsidP="0061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048031389"/>
      <w:docPartObj>
        <w:docPartGallery w:val="Page Numbers (Bottom of Page)"/>
        <w:docPartUnique/>
      </w:docPartObj>
    </w:sdtPr>
    <w:sdtEndPr/>
    <w:sdtContent>
      <w:p w:rsidR="00612F61" w:rsidRPr="0088595A" w:rsidRDefault="00612F61">
        <w:pPr>
          <w:pStyle w:val="Pta"/>
          <w:jc w:val="center"/>
          <w:rPr>
            <w:rFonts w:ascii="Times New Roman" w:hAnsi="Times New Roman"/>
            <w:sz w:val="24"/>
            <w:szCs w:val="24"/>
          </w:rPr>
        </w:pPr>
        <w:r w:rsidRPr="0088595A">
          <w:rPr>
            <w:rFonts w:ascii="Times New Roman" w:hAnsi="Times New Roman"/>
            <w:sz w:val="24"/>
            <w:szCs w:val="24"/>
          </w:rPr>
          <w:fldChar w:fldCharType="begin"/>
        </w:r>
        <w:r w:rsidRPr="0088595A">
          <w:rPr>
            <w:rFonts w:ascii="Times New Roman" w:hAnsi="Times New Roman"/>
            <w:sz w:val="24"/>
            <w:szCs w:val="24"/>
          </w:rPr>
          <w:instrText>PAGE   \* MERGEFORMAT</w:instrText>
        </w:r>
        <w:r w:rsidRPr="0088595A">
          <w:rPr>
            <w:rFonts w:ascii="Times New Roman" w:hAnsi="Times New Roman"/>
            <w:sz w:val="24"/>
            <w:szCs w:val="24"/>
          </w:rPr>
          <w:fldChar w:fldCharType="separate"/>
        </w:r>
        <w:r w:rsidR="00FC29C9">
          <w:rPr>
            <w:rFonts w:ascii="Times New Roman" w:hAnsi="Times New Roman"/>
            <w:noProof/>
            <w:sz w:val="24"/>
            <w:szCs w:val="24"/>
          </w:rPr>
          <w:t>1</w:t>
        </w:r>
        <w:r w:rsidRPr="0088595A">
          <w:rPr>
            <w:rFonts w:ascii="Times New Roman" w:hAnsi="Times New Roman"/>
            <w:sz w:val="24"/>
            <w:szCs w:val="24"/>
          </w:rPr>
          <w:fldChar w:fldCharType="end"/>
        </w:r>
      </w:p>
    </w:sdtContent>
  </w:sdt>
  <w:p w:rsidR="00612F61" w:rsidRPr="0088595A" w:rsidRDefault="00612F61">
    <w:pPr>
      <w:pStyle w:val="Pta"/>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40" w:rsidRDefault="00300840" w:rsidP="00612F61">
      <w:r>
        <w:separator/>
      </w:r>
    </w:p>
  </w:footnote>
  <w:footnote w:type="continuationSeparator" w:id="0">
    <w:p w:rsidR="00300840" w:rsidRDefault="00300840" w:rsidP="00612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61"/>
    <w:rsid w:val="00112394"/>
    <w:rsid w:val="00300840"/>
    <w:rsid w:val="0046732D"/>
    <w:rsid w:val="004E6C92"/>
    <w:rsid w:val="00532D57"/>
    <w:rsid w:val="00612F61"/>
    <w:rsid w:val="0088595A"/>
    <w:rsid w:val="00FC29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2F61"/>
    <w:pPr>
      <w:jc w:val="left"/>
    </w:pPr>
    <w:rPr>
      <w:rFonts w:ascii="Calibri" w:hAnsi="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2F61"/>
    <w:pPr>
      <w:tabs>
        <w:tab w:val="center" w:pos="4536"/>
        <w:tab w:val="right" w:pos="9072"/>
      </w:tabs>
    </w:pPr>
  </w:style>
  <w:style w:type="character" w:customStyle="1" w:styleId="HlavikaChar">
    <w:name w:val="Hlavička Char"/>
    <w:basedOn w:val="Predvolenpsmoodseku"/>
    <w:link w:val="Hlavika"/>
    <w:uiPriority w:val="99"/>
    <w:rsid w:val="00612F61"/>
    <w:rPr>
      <w:rFonts w:ascii="Calibri" w:hAnsi="Calibri"/>
      <w:sz w:val="22"/>
      <w:szCs w:val="22"/>
    </w:rPr>
  </w:style>
  <w:style w:type="paragraph" w:styleId="Pta">
    <w:name w:val="footer"/>
    <w:basedOn w:val="Normlny"/>
    <w:link w:val="PtaChar"/>
    <w:uiPriority w:val="99"/>
    <w:unhideWhenUsed/>
    <w:rsid w:val="00612F61"/>
    <w:pPr>
      <w:tabs>
        <w:tab w:val="center" w:pos="4536"/>
        <w:tab w:val="right" w:pos="9072"/>
      </w:tabs>
    </w:pPr>
  </w:style>
  <w:style w:type="character" w:customStyle="1" w:styleId="PtaChar">
    <w:name w:val="Päta Char"/>
    <w:basedOn w:val="Predvolenpsmoodseku"/>
    <w:link w:val="Pta"/>
    <w:uiPriority w:val="99"/>
    <w:rsid w:val="00612F6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2F61"/>
    <w:pPr>
      <w:jc w:val="left"/>
    </w:pPr>
    <w:rPr>
      <w:rFonts w:ascii="Calibri" w:hAnsi="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2F61"/>
    <w:pPr>
      <w:tabs>
        <w:tab w:val="center" w:pos="4536"/>
        <w:tab w:val="right" w:pos="9072"/>
      </w:tabs>
    </w:pPr>
  </w:style>
  <w:style w:type="character" w:customStyle="1" w:styleId="HlavikaChar">
    <w:name w:val="Hlavička Char"/>
    <w:basedOn w:val="Predvolenpsmoodseku"/>
    <w:link w:val="Hlavika"/>
    <w:uiPriority w:val="99"/>
    <w:rsid w:val="00612F61"/>
    <w:rPr>
      <w:rFonts w:ascii="Calibri" w:hAnsi="Calibri"/>
      <w:sz w:val="22"/>
      <w:szCs w:val="22"/>
    </w:rPr>
  </w:style>
  <w:style w:type="paragraph" w:styleId="Pta">
    <w:name w:val="footer"/>
    <w:basedOn w:val="Normlny"/>
    <w:link w:val="PtaChar"/>
    <w:uiPriority w:val="99"/>
    <w:unhideWhenUsed/>
    <w:rsid w:val="00612F61"/>
    <w:pPr>
      <w:tabs>
        <w:tab w:val="center" w:pos="4536"/>
        <w:tab w:val="right" w:pos="9072"/>
      </w:tabs>
    </w:pPr>
  </w:style>
  <w:style w:type="character" w:customStyle="1" w:styleId="PtaChar">
    <w:name w:val="Päta Char"/>
    <w:basedOn w:val="Predvolenpsmoodseku"/>
    <w:link w:val="Pta"/>
    <w:uiPriority w:val="99"/>
    <w:rsid w:val="00612F6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076">
      <w:bodyDiv w:val="1"/>
      <w:marLeft w:val="0"/>
      <w:marRight w:val="0"/>
      <w:marTop w:val="0"/>
      <w:marBottom w:val="0"/>
      <w:divBdr>
        <w:top w:val="none" w:sz="0" w:space="0" w:color="auto"/>
        <w:left w:val="none" w:sz="0" w:space="0" w:color="auto"/>
        <w:bottom w:val="none" w:sz="0" w:space="0" w:color="auto"/>
        <w:right w:val="none" w:sz="0" w:space="0" w:color="auto"/>
      </w:divBdr>
    </w:div>
    <w:div w:id="596913553">
      <w:bodyDiv w:val="1"/>
      <w:marLeft w:val="0"/>
      <w:marRight w:val="0"/>
      <w:marTop w:val="0"/>
      <w:marBottom w:val="0"/>
      <w:divBdr>
        <w:top w:val="none" w:sz="0" w:space="0" w:color="auto"/>
        <w:left w:val="none" w:sz="0" w:space="0" w:color="auto"/>
        <w:bottom w:val="none" w:sz="0" w:space="0" w:color="auto"/>
        <w:right w:val="none" w:sz="0" w:space="0" w:color="auto"/>
      </w:divBdr>
    </w:div>
    <w:div w:id="1506825136">
      <w:bodyDiv w:val="1"/>
      <w:marLeft w:val="0"/>
      <w:marRight w:val="0"/>
      <w:marTop w:val="0"/>
      <w:marBottom w:val="0"/>
      <w:divBdr>
        <w:top w:val="none" w:sz="0" w:space="0" w:color="auto"/>
        <w:left w:val="none" w:sz="0" w:space="0" w:color="auto"/>
        <w:bottom w:val="none" w:sz="0" w:space="0" w:color="auto"/>
        <w:right w:val="none" w:sz="0" w:space="0" w:color="auto"/>
      </w:divBdr>
    </w:div>
    <w:div w:id="18431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5076</Words>
  <Characters>28937</Characters>
  <Application>Microsoft Office Word</Application>
  <DocSecurity>0</DocSecurity>
  <Lines>241</Lines>
  <Paragraphs>67</Paragraphs>
  <ScaleCrop>false</ScaleCrop>
  <Company>MPRVSR</Company>
  <LinksUpToDate>false</LinksUpToDate>
  <CharactersWithSpaces>33946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Pavol Ňuňuk</cp:lastModifiedBy>
  <cp:revision>3</cp:revision>
  <dcterms:created xsi:type="dcterms:W3CDTF">2018-06-19T13:28:00Z</dcterms:created>
  <dcterms:modified xsi:type="dcterms:W3CDTF">2018-06-21T19:13:00Z</dcterms:modified>
</cp:coreProperties>
</file>