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41559" w:rsidRDefault="00E41559">
      <w:pPr>
        <w:jc w:val="center"/>
        <w:divId w:val="402072924"/>
        <w:rPr>
          <w:rFonts w:ascii="Times" w:hAnsi="Times" w:cs="Times"/>
          <w:sz w:val="25"/>
          <w:szCs w:val="25"/>
        </w:rPr>
      </w:pPr>
      <w:r>
        <w:rPr>
          <w:rFonts w:ascii="Times" w:hAnsi="Times" w:cs="Times"/>
          <w:sz w:val="25"/>
          <w:szCs w:val="25"/>
        </w:rPr>
        <w:t>Návrh na ukončenie platnosti všetkých bilaterálnych dohôd o ochrane a podpore investícií uzavretých s členskými štátmi Európskej únie</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41559" w:rsidP="00E41559">
            <w:pPr>
              <w:spacing w:after="0" w:line="240" w:lineRule="auto"/>
              <w:rPr>
                <w:rFonts w:ascii="Times New Roman" w:hAnsi="Times New Roman" w:cs="Calibri"/>
                <w:sz w:val="20"/>
                <w:szCs w:val="20"/>
              </w:rPr>
            </w:pPr>
            <w:r>
              <w:rPr>
                <w:rFonts w:ascii="Times" w:hAnsi="Times" w:cs="Times"/>
                <w:sz w:val="25"/>
                <w:szCs w:val="25"/>
              </w:rPr>
              <w:t>12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41559" w:rsidP="00E41559">
            <w:pPr>
              <w:spacing w:after="0" w:line="240" w:lineRule="auto"/>
              <w:rPr>
                <w:rFonts w:ascii="Times New Roman" w:hAnsi="Times New Roman" w:cs="Calibri"/>
                <w:sz w:val="20"/>
                <w:szCs w:val="20"/>
              </w:rPr>
            </w:pPr>
            <w:r>
              <w:rPr>
                <w:rFonts w:ascii="Times" w:hAnsi="Times" w:cs="Times"/>
                <w:sz w:val="25"/>
                <w:szCs w:val="25"/>
              </w:rPr>
              <w:t>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41559" w:rsidP="00E41559">
            <w:pPr>
              <w:spacing w:after="0" w:line="240" w:lineRule="auto"/>
              <w:rPr>
                <w:rFonts w:ascii="Times New Roman" w:hAnsi="Times New Roman" w:cs="Calibri"/>
                <w:sz w:val="20"/>
                <w:szCs w:val="20"/>
              </w:rPr>
            </w:pPr>
            <w:r>
              <w:rPr>
                <w:rFonts w:ascii="Times" w:hAnsi="Times" w:cs="Times"/>
                <w:sz w:val="25"/>
                <w:szCs w:val="25"/>
              </w:rPr>
              <w:t>10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41559" w:rsidP="00E41559">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41559" w:rsidP="00E41559">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41559" w:rsidRDefault="00E4155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E41559">
        <w:trPr>
          <w:divId w:val="138729462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Vôbec nezaslali</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sz w:val="20"/>
                <w:szCs w:val="20"/>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sz w:val="20"/>
                <w:szCs w:val="20"/>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sz w:val="20"/>
                <w:szCs w:val="20"/>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sz w:val="20"/>
                <w:szCs w:val="20"/>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sz w:val="20"/>
                <w:szCs w:val="20"/>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sz w:val="20"/>
                <w:szCs w:val="20"/>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sz w:val="20"/>
                <w:szCs w:val="20"/>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sz w:val="20"/>
                <w:szCs w:val="20"/>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sz w:val="20"/>
                <w:szCs w:val="20"/>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sz w:val="20"/>
                <w:szCs w:val="20"/>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x</w:t>
            </w:r>
          </w:p>
        </w:tc>
      </w:tr>
      <w:tr w:rsidR="00E41559">
        <w:trPr>
          <w:divId w:val="1387294627"/>
          <w:jc w:val="center"/>
        </w:trPr>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41559" w:rsidRDefault="00E4155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41559" w:rsidRDefault="00E4155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4347"/>
        <w:gridCol w:w="446"/>
        <w:gridCol w:w="523"/>
        <w:gridCol w:w="2363"/>
      </w:tblGrid>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Spôsob vyhodnotenia</w:t>
            </w:r>
          </w:p>
        </w:tc>
      </w:tr>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t>OK</w:t>
            </w:r>
          </w:p>
        </w:tc>
      </w:tr>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t>OK</w:t>
            </w:r>
          </w:p>
        </w:tc>
      </w:tr>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br/>
              <w:t xml:space="preserve">Odporúčame predkladateľovi dopracovať doložku vybraných vplyvov. Odôvodnenie: Materiál neobsahuje doložku vybraných vplyvov, čím nespĺňa formálne náležitosti podľa Jednotnej metodiky -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t>Doložka vplyvov bola doplnená.</w:t>
            </w:r>
          </w:p>
        </w:tc>
      </w:tr>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br/>
              <w:t xml:space="preserve">MPRV SR nepredkladá pripomienky k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t>OK</w:t>
            </w:r>
          </w:p>
        </w:tc>
      </w:tr>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br/>
              <w:t xml:space="preserve">K doložke vybraných vplyvov Upozorňujeme predkladateľa, že na predložený materiál sa vzťahuje Jednotná metodika na posudzovanie vybraných vplyvov (uznesenie vlády SR č. 76/2016) (ďalej len „jednotná metodika“); z tohto dôvodu je povinnou súčasťou predkladaného materiálu v súlade so Smernicou na prípravu a predkladanie materiálov na rokovanie vlády Slovenskej republiky a jednotnou metodikou aj doložka vybraných vplyvov vypracovaná podľa jednotnej metodiky a zároveň bolo pri príprave a predkladaní predloženého materiálu potrebné dodržať postup podľa jednotnej metodiky (informačná povinnosť voči Ministerstvu hospodárstva Slovenskej republiky za účelom rozhodnutia o uskutočnení konzultácií s podnikateľským prostredím podľa bodu 5.6. jednotnej metodiky; predbežné pripomienkové konanie, ak predložený návrh predpokladá niektorý z vybraných vplyvov). Upozorňujeme predkladateľa na bod 9.2. jednotnej metodiky,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t>Doložka vplyvov bola doplnená. Nakoľko ide o implementáciu rozhodnutia Súdneho dvora EÚ, ktoré má SR povinnosť uskutočniť v čo najkratšom možnom čase, konzultácie s podnikateľskými subjektami nie sú dôvodné.</w:t>
            </w:r>
          </w:p>
        </w:tc>
      </w:tr>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br/>
              <w:t>Navrhujeme na obal materiálu uviesť predkladateľov a to podpredsedu vlády a ministra financií a ministra zahraničných vecí a európskych záležitostí.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t>Na obale materiálu bol uvedený predkladateľ a spolupodpisujúci.</w:t>
            </w:r>
          </w:p>
        </w:tc>
      </w:tr>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br/>
              <w:t>Navrhujeme v prílohe „Prehľad investičných dohôd uzavretých s členskými štátmi EÚ“ uvádzať celé názvy dohôd.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t>Tabuľka bola prepracovaná a boli v nej uvedené celé názvy investičných dohôd.</w:t>
            </w:r>
          </w:p>
        </w:tc>
      </w:tr>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t>OK</w:t>
            </w:r>
          </w:p>
        </w:tc>
      </w:tr>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br/>
              <w:t>K obalu materiálu: - v časti „Obsah materiálu“ navrhujeme doplniť bod „Návrh uznesenia NR SR“ a „Doložka vplyvov“; - v časti „Predkladá:“ je potrebné pod výraz „minister financií Slovenskej republiky“ uviesť „Spolupodpisuje: Miroslav Lajčák, minister zahraničných vecí a európskych záležitostí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t>Pripomienky boli zapracované v rámci obalu materiálu.</w:t>
            </w:r>
          </w:p>
        </w:tc>
      </w:tr>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br/>
              <w:t xml:space="preserve">1. V druhom odseku návrhu sa uvádza nasledovné: "Týmto rozhodnutím Súdneho dvora sa definitívne potvrdil rozpor arbitrážnej doložky obsiahnutej v intra-EÚ dohodách s právom EÚ, čo znamená ich neaplikovateľnosť. Preto v prípade sporov investora a členského štátu EÚ (ďalej len „členský štát“) podľa intra-EÚ dohody neexistuje platná ponuka štátu na arbitráž. (...)". Pri čítaní druhej vety vyvstáva otázka, či má byť znenie „platná ponuka štátu na arbitráž“ chápané ako všeobecný súhlas štátu prostredníctvom bilaterálnej dohody s riešením sporov formou rozhodcovského konania alebo ako konkrétny návrh štátu na prejednanie konkrétneho sporu pred rozhodcovským súdom. Ak ponuka na arbitráž má byť chápaná ako postúpenie konkrétneho sporu pred rozhodcovský súd, tak tu nie je zahrnutá možnosť postúpenia sporu pred rozhodcovský súd na základe ponuky investora. Teda by sa dalo z tejto vety dedukovať, že platná ponuka investora na arbitráž existuje a že takýto spôsob riešenia sporu medzi štátom a investorom by sa dal považovať za kompatibilný s právom EÚ. Preto odporúčame dané tvrdenie preformulovať, aby nevznikali rôzne nesprávne interpretácie, ktoré by neboli v súlade s rozsudkom Súdneho dvora EÚ vo veci C-284/16. Takisto v druhej vete sa uvádza len "v prípade sporov investora a členského štátu", čo by mohlo byť takisto chápané, že ide o akéhokoľvek investora, hoci intra-EÚ dohody zaväzujú len investorov z členských štátov EÚ, ktoré tieto dohody podpísali. Členský štát EÚ sa má podľa druhej vety ďalej uvádzať len ako "členský štát", no v uvedenej vete sa ďalej spomína len "štát". Z uvedených dôvodov odporúčame druhú vetu druhého odseku návrhu upresniť alebo preformulovať, aby sa predišlo nesprávnej interpretácii. 2. V treťom odseku návrhu sa uvádza, že "členské štáty majú povinnosť (...) zamedziť uplatňovanie Zmluvy o energetickej charte v rámci EÚ". Použité slovo „zamedziť“, čiže znemožniť, nedovoliť, vytvára dojem, že Zmluva o energetickej charte nemá byť uplatňovaná v rámci EÚ en bloc, a teda žiadna jej časť, avšak z poznámky pod čiarou č. 2 vyplýva, že sa bude potrebné bližšie zaoberať tým, ktoré konkrétne ustanovenia tejto dohody sú v rozpore s právom EÚ a tieto by sa mali následne členskými štátmi prestať uplatňovať. Ak platí znenie uvedenej poznámky pod čiarou, samotný text by mal byť preformulovaný napríklad nasledovne: "členské štáty majú povinnosť (...) po hlbšej analýze primerane obmedziť uplatňovanie Zmluvy o energetickej charte v rámci EÚ ". 3. V poznámke pod čiarou č. 1 navrhujeme nahradiť „vzhľadom na skutočnosť, že“ slovným spojením „aj keď“, ktoré podľa nášho názoru vhodnejšie vystihuje príčinnú súvislosť skutočností uvedených v danej poznámke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t xml:space="preserve">1. Akceptované v plnom rozsahu, text bol upresnený. 2. Čiastočne akceptované, text bol preformulovaný v duchu podobnom, ako bolo navrhnuté. 3. Akceptované v plnom rozsahu. </w:t>
            </w:r>
          </w:p>
        </w:tc>
      </w:tr>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t>OK</w:t>
            </w:r>
          </w:p>
        </w:tc>
      </w:tr>
      <w:tr w:rsidR="00E41559">
        <w:trPr>
          <w:divId w:val="5450284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41559" w:rsidRDefault="00E41559">
            <w:pPr>
              <w:rPr>
                <w:rFonts w:ascii="Times" w:hAnsi="Times" w:cs="Times"/>
                <w:sz w:val="25"/>
                <w:szCs w:val="25"/>
              </w:rPr>
            </w:pPr>
            <w:r>
              <w:rPr>
                <w:rFonts w:ascii="Times" w:hAnsi="Times" w:cs="Times"/>
                <w:sz w:val="25"/>
                <w:szCs w:val="25"/>
              </w:rPr>
              <w:t>OK</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41559"/>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543">
      <w:bodyDiv w:val="1"/>
      <w:marLeft w:val="0"/>
      <w:marRight w:val="0"/>
      <w:marTop w:val="0"/>
      <w:marBottom w:val="0"/>
      <w:divBdr>
        <w:top w:val="none" w:sz="0" w:space="0" w:color="auto"/>
        <w:left w:val="none" w:sz="0" w:space="0" w:color="auto"/>
        <w:bottom w:val="none" w:sz="0" w:space="0" w:color="auto"/>
        <w:right w:val="none" w:sz="0" w:space="0" w:color="auto"/>
      </w:divBdr>
    </w:div>
    <w:div w:id="185486333">
      <w:bodyDiv w:val="1"/>
      <w:marLeft w:val="0"/>
      <w:marRight w:val="0"/>
      <w:marTop w:val="0"/>
      <w:marBottom w:val="0"/>
      <w:divBdr>
        <w:top w:val="none" w:sz="0" w:space="0" w:color="auto"/>
        <w:left w:val="none" w:sz="0" w:space="0" w:color="auto"/>
        <w:bottom w:val="none" w:sz="0" w:space="0" w:color="auto"/>
        <w:right w:val="none" w:sz="0" w:space="0" w:color="auto"/>
      </w:divBdr>
    </w:div>
    <w:div w:id="402072924">
      <w:bodyDiv w:val="1"/>
      <w:marLeft w:val="0"/>
      <w:marRight w:val="0"/>
      <w:marTop w:val="0"/>
      <w:marBottom w:val="0"/>
      <w:divBdr>
        <w:top w:val="none" w:sz="0" w:space="0" w:color="auto"/>
        <w:left w:val="none" w:sz="0" w:space="0" w:color="auto"/>
        <w:bottom w:val="none" w:sz="0" w:space="0" w:color="auto"/>
        <w:right w:val="none" w:sz="0" w:space="0" w:color="auto"/>
      </w:divBdr>
    </w:div>
    <w:div w:id="545028458">
      <w:bodyDiv w:val="1"/>
      <w:marLeft w:val="0"/>
      <w:marRight w:val="0"/>
      <w:marTop w:val="0"/>
      <w:marBottom w:val="0"/>
      <w:divBdr>
        <w:top w:val="none" w:sz="0" w:space="0" w:color="auto"/>
        <w:left w:val="none" w:sz="0" w:space="0" w:color="auto"/>
        <w:bottom w:val="none" w:sz="0" w:space="0" w:color="auto"/>
        <w:right w:val="none" w:sz="0" w:space="0" w:color="auto"/>
      </w:divBdr>
    </w:div>
    <w:div w:id="613948355">
      <w:bodyDiv w:val="1"/>
      <w:marLeft w:val="0"/>
      <w:marRight w:val="0"/>
      <w:marTop w:val="0"/>
      <w:marBottom w:val="0"/>
      <w:divBdr>
        <w:top w:val="none" w:sz="0" w:space="0" w:color="auto"/>
        <w:left w:val="none" w:sz="0" w:space="0" w:color="auto"/>
        <w:bottom w:val="none" w:sz="0" w:space="0" w:color="auto"/>
        <w:right w:val="none" w:sz="0" w:space="0" w:color="auto"/>
      </w:divBdr>
    </w:div>
    <w:div w:id="894049600">
      <w:bodyDiv w:val="1"/>
      <w:marLeft w:val="0"/>
      <w:marRight w:val="0"/>
      <w:marTop w:val="0"/>
      <w:marBottom w:val="0"/>
      <w:divBdr>
        <w:top w:val="none" w:sz="0" w:space="0" w:color="auto"/>
        <w:left w:val="none" w:sz="0" w:space="0" w:color="auto"/>
        <w:bottom w:val="none" w:sz="0" w:space="0" w:color="auto"/>
        <w:right w:val="none" w:sz="0" w:space="0" w:color="auto"/>
      </w:divBdr>
    </w:div>
    <w:div w:id="1387294627">
      <w:bodyDiv w:val="1"/>
      <w:marLeft w:val="0"/>
      <w:marRight w:val="0"/>
      <w:marTop w:val="0"/>
      <w:marBottom w:val="0"/>
      <w:divBdr>
        <w:top w:val="none" w:sz="0" w:space="0" w:color="auto"/>
        <w:left w:val="none" w:sz="0" w:space="0" w:color="auto"/>
        <w:bottom w:val="none" w:sz="0" w:space="0" w:color="auto"/>
        <w:right w:val="none" w:sz="0" w:space="0" w:color="auto"/>
      </w:divBdr>
    </w:div>
    <w:div w:id="18021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6.2018 9:35:04"/>
    <f:field ref="objchangedby" par="" text="Administrator, System"/>
    <f:field ref="objmodifiedat" par="" text="20.6.2018 9:35:0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1472</Words>
  <Characters>8391</Characters>
  <Application>Microsoft Office Word</Application>
  <DocSecurity>4</DocSecurity>
  <Lines>69</Lines>
  <Paragraphs>19</Paragraphs>
  <ScaleCrop>false</ScaleCrop>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2018-06-20T07:35:00Z</dcterms:created>
  <dcterms:modified xsi:type="dcterms:W3CDTF">2018-06-20T07:35:00Z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Akt medzinárodného práva</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Medzinárodné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Miroslav Kabát</vt:lpwstr>
  </property>
  <property name="FSC#SKEDITIONSLOVLEX@103.510:zodppredkladatel" pid="11" fmtid="{D5CDD505-2E9C-101B-9397-08002B2CF9AE}">
    <vt:lpwstr>Peter Kažimír</vt:lpwstr>
  </property>
  <property name="FSC#SKEDITIONSLOVLEX@103.510:dalsipredkladatel" pid="12" fmtid="{D5CDD505-2E9C-101B-9397-08002B2CF9AE}">
    <vt:lpwstr>Miroslav Lajčák</vt:lpwstr>
  </property>
  <property name="FSC#SKEDITIONSLOVLEX@103.510:nazovpredpis" pid="13" fmtid="{D5CDD505-2E9C-101B-9397-08002B2CF9AE}">
    <vt:lpwstr> Návrh na ukončenie platnosti všetkých bilaterálnych dohôd o ochrane a podpore investícií uzavretých s členskými štátmi Európskej únie</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Návrh na ukončenie platnosti všetkých bilaterálnych dohôd o ochrane a podpore investícií uzavretých s členskými štátmi Európskej únie</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MF/012931/2018-333</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LP/2018/347</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materiál Návrh na ukončenie platnosti všetkých bilaterálnych dohôd o ochrane a podpore investícií uzavretých s členskými štátmi Európskej únie._x000d__x000a__x000d__x000a_Účelom je ukončiť platnosť všetkých bilaterálnych dohôd o ochrane a podpore investícií uzavretých vzájomne medzi členskými štátmi EÚ. Táto povinnosť vyplýva všetkým členským štátom EÚ z rozhodnutia Súdneho dvora EÚ vo veci C-284/16, Achmea proti Slovenskej republike._x000d__x000a__x000d__x000a_Tieto bilaterálne investičné dohody sú podľa Článku 7 odsek 4 Ústavy Slovenskej republiky medzinárodnými zmluvami, ktoré pred ratifikáciou prezidentom Slovenskej republiky vyžadujú súhlas Národnej rady Slovenskej republiky a majú prednosť pred zákonmi podľa Článku 7 odsek 5 Ústavy Slovenskej republiky._x000d__x000a_</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minister zahraničných vecí a európskych záležitostí Slovenskej republiky,_x000d__x000a_podpredseda vlády a minister financií Slovenskej republiky,_x000d__x000a_predseda vlády Slovenskej republiky</vt:lpwstr>
  </property>
  <property name="FSC#SKEDITIONSLOVLEX@103.510:AttrStrListDocPropUznesenieNaVedomie" pid="136" fmtid="{D5CDD505-2E9C-101B-9397-08002B2CF9AE}">
    <vt:lpwstr>prezident Slovenskej republiky_x000d__x000a_predseda Národnej rady Slovenskej republiky </vt:lpwstr>
  </property>
  <property name="FSC#SKEDITIONSLOVLEX@103.510:funkciaPred" pid="137" fmtid="{D5CDD505-2E9C-101B-9397-08002B2CF9AE}">
    <vt:lpwstr>hlavný štátny radca</vt:lpwstr>
  </property>
  <property name="FSC#SKEDITIONSLOVLEX@103.510:funkciaPredAkuzativ" pid="138" fmtid="{D5CDD505-2E9C-101B-9397-08002B2CF9AE}">
    <vt:lpwstr>hlavnému štátnemu radcovi</vt:lpwstr>
  </property>
  <property name="FSC#SKEDITIONSLOVLEX@103.510:funkciaPredDativ" pid="139" fmtid="{D5CDD505-2E9C-101B-9397-08002B2CF9AE}">
    <vt:lpwstr>hlavného štátneho radcu</vt:lpwstr>
  </property>
  <property name="FSC#SKEDITIONSLOVLEX@103.510:funkciaZodpPred" pid="140" fmtid="{D5CDD505-2E9C-101B-9397-08002B2CF9AE}">
    <vt:lpwstr>minister financií Slovenskej republiky</vt:lpwstr>
  </property>
  <property name="FSC#SKEDITIONSLOVLEX@103.510:funkciaZodpPredAkuzativ" pid="141" fmtid="{D5CDD505-2E9C-101B-9397-08002B2CF9AE}">
    <vt:lpwstr>ministrovi financií Slovenskej republiky</vt:lpwstr>
  </property>
  <property name="FSC#SKEDITIONSLOVLEX@103.510:funkciaZodpPredDativ" pid="142" fmtid="{D5CDD505-2E9C-101B-9397-08002B2CF9AE}">
    <vt:lpwstr>ministra financií Slovenskej republiky</vt:lpwstr>
  </property>
  <property name="FSC#SKEDITIONSLOVLEX@103.510:funkciaDalsiPred" pid="143" fmtid="{D5CDD505-2E9C-101B-9397-08002B2CF9AE}">
    <vt:lpwstr>minister zahraničných vecí a európskych záležitostí Slovenskej republiky, </vt:lpwstr>
  </property>
  <property name="FSC#SKEDITIONSLOVLEX@103.510:funkciaDalsiPredAkuzativ" pid="144" fmtid="{D5CDD505-2E9C-101B-9397-08002B2CF9AE}">
    <vt:lpwstr>ministrovi zahraničných vecí a európskych záležitostí Slovenskej republiky, </vt:lpwstr>
  </property>
  <property name="FSC#SKEDITIONSLOVLEX@103.510:funkciaDalsiPredDativ" pid="145" fmtid="{D5CDD505-2E9C-101B-9397-08002B2CF9AE}">
    <vt:lpwstr>ministra zahraničných vecí a európskych záležitostí Slovenskej republiky, </vt:lpwstr>
  </property>
  <property name="FSC#SKEDITIONSLOVLEX@103.510:predkladateliaObalSD" pid="146" fmtid="{D5CDD505-2E9C-101B-9397-08002B2CF9AE}">
    <vt:lpwstr>Peter Kažimír_x000d__x000a_minister financií Slovenskej republiky_x000d__x000a_Miroslav Lajčák_x000d__x000a_minister zahraničných vecí a európskych záležitostí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align="center"&gt;&lt;strong&gt;Predkladacia správa&lt;/strong&gt;&lt;/p&gt;&lt;p&gt;&amp;nbsp;&lt;/p&gt;&lt;p&gt;Ministerstvo financií Slovenskej republiky predkladá &lt;em&gt;Návrh na ukončenie platnosti všetkých bilaterálnych dohôd o ochrane a podpore investícií uzavretých s členskými štátmi Európskej únie&lt;/em&gt; (ďalej len &lt;em&gt;„návrh“&lt;/em&gt;).&lt;/p&gt;&lt;p&gt;&amp;nbsp;&lt;/p&gt;&lt;p&gt;Dňa 6. marca 2018 vydal Súdny dvor Európskej únie svoje rozhodnutie vo veci C-284/16, Achmea proti Slovenskej republike (ďalej len „&lt;em&gt;Rozhodnutie Achmea&lt;/em&gt;“), ktorým rozhodol, že systém arbitráží medzi investorom a&amp;nbsp;štátom, tak ako je zavedený prostredníctvom bilaterálnych dohôd o ochrane a podpore investícií uzavretých vzájomne medzi členskými štátmi EÚ (ďalej len &lt;em&gt;„intra-EÚ dohody“&lt;/em&gt;), je nekompatibilný s&amp;nbsp;právom EÚ.&lt;/p&gt;&lt;p&gt;&amp;nbsp;&lt;/p&gt;&lt;p&gt;Všetky členské štáty Európskej únie sú povinné vyvodiť dôsledky vyplývajúce z&amp;nbsp;Rozhodnutia Achmea, a&amp;nbsp;to na základe zásady lojálnej spolupráce podľa čl. 4 ods. 3 Zmluvy o&amp;nbsp;Európskej únii a&amp;nbsp;v&amp;nbsp;súlade so všeobecnými princípmi autonómie, prednosti a&amp;nbsp;priameho účinku práva EÚ. Členské štáty majú povinnosť okamžite ukončiť všetky intra-EÚ dohody a&amp;nbsp;zamedziť uplatňovanie Zmluvy o&amp;nbsp;energetickej charte v&amp;nbsp;rámci EÚ s&amp;nbsp;cieľom zabezpečiť právnu istotu, tak ako to vyplýva z&amp;nbsp;príslušnej judikatúry EÚ.&lt;/p&gt;&lt;p&gt;&amp;nbsp;&lt;/p&gt;&lt;p&gt;Ministerstvo financií SR navrhuje ukončenie týchto intra-EÚ dohôd s&amp;nbsp;ostatnými členskými štátmi bilaterálnou cestou, čo predstavuje najrýchlejšiu a&amp;nbsp;najschodnejšiu alternatívu riešenia súčasnej situácie. Alternatívne bude Ministerstvo financií SR podporovať kroky Európskej komisie, ktorá sa snaží o&amp;nbsp;multilaterálne ukončenie intra-EÚ dohôd, avšak v&amp;nbsp;predpokladanom časovom horizonte až 18 mesiacov, ako aj o&amp;nbsp;dosiahnutie politickej deklarácie všetkých členských štátov EÚ, v&amp;nbsp;ktorej by akceptovali právne následky Rozhodnutia Achmea .&lt;/p&gt;&lt;p&gt;&amp;nbsp;&lt;/p&gt;&lt;p&gt;Predmetné intra-EÚ dohody sú hospodárskymi zmluvami všeobecnej povahy (čl. 7 ods. 4 Ústavy SR), ktoré majú charakter prezidentskej zmluvy, priamo zakladajú práva a povinnosti fyzických alebo právnických osôb a majú podľa čl. 7 ods. 5 Ústavy SR prednosť pred zákonmi SR. Z&amp;nbsp;tohto dôvodu sa tento návrh predkladá Národnej rade SR na vyslovenie súhlasu a&amp;nbsp;prezidentovi SR na schválenie. Vzhľadom na povinnosť všetkých členských štátov EÚ vylúčiť čo v&amp;nbsp;najkratšom čase uplatňovanie intra-EÚ dohôd, ktorá vyplynula z&amp;nbsp;Rozhodnutia Achmea, materiál sa predkladá na skrátené pripomienkové konanie.&lt;/p&gt;&lt;p&gt;&amp;nbsp;&lt;/p&gt;&lt;p&gt;&amp;nbsp;&lt;/p&gt;&lt;p&gt;&amp;nbsp;&lt;/p&gt;&lt;p&gt;&amp;nbsp;&lt;/p&gt;&lt;p&gt;&amp;nbsp;&lt;/p&gt;</vt:lpwstr>
  </property>
  <property name="FSC#COOSYSTEM@1.1:Container" pid="149" fmtid="{D5CDD505-2E9C-101B-9397-08002B2CF9AE}">
    <vt:lpwstr>COO.2145.1000.3.2782275</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20. 6. 2018</vt:lpwstr>
  </property>
</Properties>
</file>