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A72F2C" w:rsidP="00501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Zvýšením úrovne triedeného zberu</w:t>
            </w:r>
            <w:r w:rsidR="005017B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komunálnych odpadov môže dôjsť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 zníženiu miestneho poplatku za komunálne odpady a drobné stavebné odpady.</w:t>
            </w:r>
            <w:r w:rsidR="00C7684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Táto skutočnosť však závisí od súčasnej úrovne triedeného zberu a najmä od reálnej výšky miestneho poplatku</w:t>
            </w:r>
            <w:r w:rsidR="00C31C4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za komunálne odpady</w:t>
            </w:r>
            <w:r w:rsidR="00C7684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ktorá môže ale aj nemusí zodpovedať skutočným nákladom obce na zber a nakladanie s komunálnym odpadom.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C7684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Sekundárny pozitívny vplyv môže nastať vytvorením nových finančných zdrojov a plošnej podpore domáceho kompostovania, kedy by domácnosti mohli byť prostredníctvom dotácie zabezpečené domácim kompostovacím zásobníkom (kompostérom) na biologicky rozložiteľné komunálne odpady.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5369E6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Domácnosti,</w:t>
            </w:r>
            <w:r w:rsidR="00C31C4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obce.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4B56A9" w:rsidP="004B5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Stagnácia triedeného zberu komunálnych odpadov môže mať vplyv na každoročný nárast finančných prostriedkov na zneškodňovanie komunálnych odpadov skládkovaním, čo sa môže preja</w:t>
            </w:r>
            <w:r w:rsidR="00C31C4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viť vo zvyšovaní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miestne</w:t>
            </w:r>
            <w:r w:rsidR="007A015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ho poplatku za komunálne odpady a drobné stavebné odpady.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5017BD" w:rsidP="005369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Domácnosti</w:t>
            </w:r>
            <w:r w:rsidR="005369E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24847" w:rsidP="004B56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  <w:r w:rsidR="007E63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7E637B"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Obyvatelia SR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7E637B" w:rsidP="007E63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C12D2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</w:t>
            </w:r>
            <w:r w:rsidR="007E637B"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–</w:t>
            </w: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C12D25"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Zákonný poplatok </w:t>
            </w:r>
            <w:r w:rsidR="007E637B"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 skládkovanie komunálneho odpadu</w:t>
            </w: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882876"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pri nezmenenej ročnej úrovni skládkovania KO (1,2 mi. ton)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1B2C5C" w:rsidRDefault="007E637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Výpočty vychádzajú z ročného množstva uloženého zmesového komunálneho odpadu a objemného odpadu na skládku odpadov: 1,2 mil. ton.</w:t>
            </w:r>
          </w:p>
          <w:p w:rsidR="007E637B" w:rsidRPr="001B2C5C" w:rsidRDefault="007E637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Súčasná najvýhodnejšia sadzba: 4,98 EUR</w:t>
            </w:r>
            <w:r w:rsidR="003E0059"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/t</w:t>
            </w:r>
          </w:p>
          <w:p w:rsidR="007E637B" w:rsidRDefault="007E637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Súčasná najnevýhodnejšia sadzba: 9,96 EUR</w:t>
            </w:r>
            <w:r w:rsidR="003E0059"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/t</w:t>
            </w:r>
          </w:p>
          <w:p w:rsidR="00556D4A" w:rsidRPr="0028502E" w:rsidRDefault="00556D4A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8502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Súčasná najvýhodnejšia sadzba dopadu na domácnosť: 4,39 EUR ročne</w:t>
            </w:r>
          </w:p>
          <w:p w:rsidR="00556D4A" w:rsidRPr="0028502E" w:rsidRDefault="00556D4A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8502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Súčasná najnevýhodnejšia sadzba dopadu na domácnosť: 8,77 EUR ročne</w:t>
            </w:r>
          </w:p>
          <w:p w:rsidR="007E637B" w:rsidRPr="001B2C5C" w:rsidRDefault="007E637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Navrhovaná najvýhodnejšia sadzba 2019: </w:t>
            </w:r>
            <w:r w:rsidR="003E0059"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5 EUR/t</w:t>
            </w:r>
          </w:p>
          <w:p w:rsidR="007E637B" w:rsidRPr="001B2C5C" w:rsidRDefault="007E637B" w:rsidP="007E6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Navrhovaná najvýhodnejšia sadzba 2020: 8</w:t>
            </w:r>
            <w:r w:rsidR="003E0059"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EUR/t</w:t>
            </w:r>
          </w:p>
          <w:p w:rsidR="007E637B" w:rsidRPr="001B2C5C" w:rsidRDefault="007E637B" w:rsidP="007E6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Navrhovaná najvýhodnejšia sadzba 2021: 11 EU</w:t>
            </w:r>
            <w:r w:rsidR="003E0059"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R/t</w:t>
            </w:r>
          </w:p>
          <w:p w:rsidR="003E0059" w:rsidRPr="001B2C5C" w:rsidRDefault="003E0059" w:rsidP="007E63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Navrhovaná najmenej výhodná sadzba 2019: 17 EUR/t</w:t>
            </w:r>
          </w:p>
          <w:p w:rsidR="003E0059" w:rsidRPr="001B2C5C" w:rsidRDefault="003E0059" w:rsidP="003E0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Navrhovaná najmenej výhodná sadzba 2020: 26 EUR/t</w:t>
            </w:r>
          </w:p>
          <w:p w:rsidR="003E0059" w:rsidRPr="001B2C5C" w:rsidRDefault="003E0059" w:rsidP="003E0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Navrhovaná najmenej výhodná sadzba 2021: 33 EUR/t</w:t>
            </w:r>
          </w:p>
          <w:p w:rsidR="003E0059" w:rsidRPr="0028502E" w:rsidRDefault="006335A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8502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Navrhovaná najvýhodnejšia sadzba dopadu na domácnosť 2019: 4,18 EUR ročne </w:t>
            </w:r>
          </w:p>
          <w:p w:rsidR="006335A7" w:rsidRPr="0028502E" w:rsidRDefault="006335A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8502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Navrhovaná najvýhodnejšia sadzba dopadu na domácnosť 2020: 3,52 EUR ročne</w:t>
            </w:r>
          </w:p>
          <w:p w:rsidR="006335A7" w:rsidRPr="0028502E" w:rsidRDefault="006335A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8502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Navrhovaná najvýhodnejšia sadzba dopadu na domácnosť 2021: 2,91 EUR ročne</w:t>
            </w:r>
          </w:p>
          <w:p w:rsidR="006335A7" w:rsidRPr="0028502E" w:rsidRDefault="006335A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8502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Navrhovaná najmenej výhodná sadzba dopadu na domácnosť 2019: 14,22 EUR ročne</w:t>
            </w:r>
          </w:p>
          <w:p w:rsidR="006335A7" w:rsidRPr="0028502E" w:rsidRDefault="006335A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8502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Navrhovaná najmenej výhodná sadzba dopadu na domácnosť 2020: 11,45 EUR ročne</w:t>
            </w:r>
          </w:p>
          <w:p w:rsidR="006335A7" w:rsidRPr="0028502E" w:rsidRDefault="006335A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8502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Navrhovaná najmenej výhodná sadzba dopadu na domácnosť 2021: 8,72 EUR ročne</w:t>
            </w:r>
          </w:p>
          <w:p w:rsidR="006C4FC3" w:rsidRPr="00C12D25" w:rsidRDefault="006C4FC3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u w:val="single"/>
                <w:lang w:eastAsia="sk-SK"/>
              </w:rPr>
            </w:pPr>
          </w:p>
          <w:p w:rsidR="006C4FC3" w:rsidRPr="00C12D25" w:rsidRDefault="006C4FC3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u w:val="single"/>
                <w:lang w:eastAsia="sk-SK"/>
              </w:rPr>
            </w:pPr>
          </w:p>
          <w:p w:rsidR="007E637B" w:rsidRPr="001B2C5C" w:rsidRDefault="003E0059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sk-SK"/>
              </w:rPr>
            </w:pP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sk-SK"/>
              </w:rPr>
              <w:t>Porovnanie – najvýhodnejšia sadzba:</w:t>
            </w:r>
          </w:p>
          <w:p w:rsidR="006C4FC3" w:rsidRPr="001B2C5C" w:rsidRDefault="006C4FC3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sk-SK"/>
              </w:rPr>
            </w:pPr>
          </w:p>
          <w:p w:rsidR="003E0059" w:rsidRPr="001B2C5C" w:rsidRDefault="003E0059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Súčasná najvýhodnejšia sadzba: </w:t>
            </w:r>
            <w:r w:rsidR="006C4FC3"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6</w:t>
            </w: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mil. EUR</w:t>
            </w:r>
          </w:p>
          <w:p w:rsidR="006C4FC3" w:rsidRPr="001B2C5C" w:rsidRDefault="006C4FC3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3E0059" w:rsidRPr="001B2C5C" w:rsidRDefault="003E0059" w:rsidP="003E0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Navrhovaná najvýhodnejšia sadzba 2019: 6 mil. EUR</w:t>
            </w:r>
          </w:p>
          <w:p w:rsidR="003E0059" w:rsidRPr="001B2C5C" w:rsidRDefault="003E0059" w:rsidP="003E0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Navrhovaná najvýhodnejšia sadzba 2020: 9,6 mil. EUR</w:t>
            </w:r>
          </w:p>
          <w:p w:rsidR="003E0059" w:rsidRPr="001B2C5C" w:rsidRDefault="003E0059" w:rsidP="003E0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Navrhovaná najvýhodnejšia sadzba 2021: 13,2 mil. EUR</w:t>
            </w:r>
          </w:p>
          <w:p w:rsidR="006C4FC3" w:rsidRPr="001B2C5C" w:rsidRDefault="006C4FC3" w:rsidP="006C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sk-SK"/>
              </w:rPr>
            </w:pPr>
          </w:p>
          <w:p w:rsidR="006C4FC3" w:rsidRPr="001B2C5C" w:rsidRDefault="006C4FC3" w:rsidP="006C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sk-SK"/>
              </w:rPr>
            </w:pP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sk-SK"/>
              </w:rPr>
              <w:t>Porovnanie – najmenej výhodná sadzba:</w:t>
            </w:r>
          </w:p>
          <w:p w:rsidR="006C4FC3" w:rsidRPr="001B2C5C" w:rsidRDefault="006C4FC3" w:rsidP="006C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sk-SK"/>
              </w:rPr>
            </w:pPr>
            <w:bookmarkStart w:id="0" w:name="_GoBack"/>
            <w:bookmarkEnd w:id="0"/>
          </w:p>
          <w:p w:rsidR="006C4FC3" w:rsidRPr="001B2C5C" w:rsidRDefault="006C4FC3" w:rsidP="006C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Súčasná najmenej výhodná sadzba: 12 mil. EUR</w:t>
            </w:r>
          </w:p>
          <w:p w:rsidR="006C4FC3" w:rsidRPr="001B2C5C" w:rsidRDefault="006C4FC3" w:rsidP="006C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6C4FC3" w:rsidRPr="001B2C5C" w:rsidRDefault="006C4FC3" w:rsidP="006C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Navrhovaná najmenej výhodná sadzba 2019: 20,4 mil. EUR</w:t>
            </w:r>
          </w:p>
          <w:p w:rsidR="006C4FC3" w:rsidRPr="001B2C5C" w:rsidRDefault="006C4FC3" w:rsidP="006C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Navrhovaná najmenej výhodná sadzba 2020: 31,2 mil. EUR</w:t>
            </w:r>
          </w:p>
          <w:p w:rsidR="006C4FC3" w:rsidRPr="001B2C5C" w:rsidRDefault="006C4FC3" w:rsidP="006C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Navrhovaná najmenej výhodná sadzba 2021: 39,6 mil. EUR</w:t>
            </w:r>
          </w:p>
          <w:p w:rsidR="003E0059" w:rsidRPr="00CA6BAF" w:rsidRDefault="003E0059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7E637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5 435 343 (stav k 31.12.2016)</w:t>
            </w: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12D25" w:rsidRDefault="005C774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Vzhľadom na skutočnosť, že</w:t>
            </w:r>
            <w:r w:rsidR="00751559"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výška miestneho poplatku za komunálne odpady nemusí zodpovedať skutočným nákladom na odpadové hospodárstvo obce, tento vplyv nie je možné </w:t>
            </w:r>
            <w:r w:rsidR="007E637B"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jednoznačne </w:t>
            </w:r>
            <w:r w:rsidR="00751559"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kvantifikovať.</w:t>
            </w:r>
            <w:r w:rsidR="006C4FC3"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Kvantifikácia bola urobená len na základe porovnania jednotlivých sadzieb</w:t>
            </w:r>
            <w:r w:rsidR="007E637B"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6C4FC3"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 skládkovanie komunálnych odpadov podľa súčasnej právnej úpravy a navrhovanej právnej úpravy</w:t>
            </w:r>
            <w:r w:rsidR="006C4FC3" w:rsidRPr="00C12D25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40544D" w:rsidRDefault="00751559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Predkladaný materiál nemá vplyvy na prístup  zdrojom, právam, tovarom a službám.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213170" w:rsidRDefault="00213170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DE4530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Predkladaný </w:t>
            </w:r>
            <w:r w:rsidR="00751559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materiál nemá vplyv na zraniteľné s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kupiny obyvateľstva alebo skupiny</w:t>
            </w:r>
            <w:r w:rsidR="00751559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v riziku chudoby alebo sociálneho vylúčenia.</w:t>
            </w: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8D5CC0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Predkladaný materiál nevedie k diskriminácii niektorých skupín obyvateľstva.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8D5CC0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Predkladaný materiál nevedie k zväčšovaniu rodových nerovností.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691547" w:rsidRDefault="00691547" w:rsidP="00691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Zníženie skládkovania odpadov a presun materiálového toku odpadov k ich recyklácii prináša vznik nových pracovných miest v sektore odpadového hospodárstva. Nové pracovné miesta môžu v dôsledku zvýšenej miery triedeného zberu vzniknúť vo sfére zberu odpadov, dotrieďovania vytriedených zložiek komunálnych odpadov ako aj v samotných zariadeniach na zhodnocovanie odpadov. Vznik nových pracovných miest nie je možné kvantifikovať.</w:t>
            </w:r>
          </w:p>
          <w:p w:rsidR="00691547" w:rsidRPr="00A30F1C" w:rsidRDefault="00691547" w:rsidP="00691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691547" w:rsidRPr="00A30F1C" w:rsidRDefault="00691547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Návrh zákona nevedie k zániku pracovných miest.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691547" w:rsidRPr="00A30F1C" w:rsidRDefault="00691547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Predkladaný materiál neovplyvňuje dopyt po práci.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691547" w:rsidRDefault="00691547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994C53" w:rsidRPr="00A30F1C" w:rsidRDefault="00691547" w:rsidP="00691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Nepredpokladá sa vplyv predkladaného materiálu na fungovanie trhu práce.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E75869" w:rsidRDefault="00E75869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994C53" w:rsidRPr="00A30F1C" w:rsidRDefault="00505FF1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Neboli identifikované špecifické vplyvy.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E75869" w:rsidRDefault="00E75869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994C53" w:rsidRPr="00A30F1C" w:rsidRDefault="00E75869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Tento vplyv sa nepredpokladá.</w:t>
            </w:r>
          </w:p>
        </w:tc>
      </w:tr>
    </w:tbl>
    <w:p w:rsidR="00CB3623" w:rsidRDefault="00CB3623"/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3A3" w:rsidRDefault="001E53A3" w:rsidP="001D6749">
      <w:pPr>
        <w:spacing w:after="0" w:line="240" w:lineRule="auto"/>
      </w:pPr>
      <w:r>
        <w:separator/>
      </w:r>
    </w:p>
  </w:endnote>
  <w:endnote w:type="continuationSeparator" w:id="0">
    <w:p w:rsidR="001E53A3" w:rsidRDefault="001E53A3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9E79D0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9E79D0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3A3" w:rsidRDefault="001E53A3" w:rsidP="001D6749">
      <w:pPr>
        <w:spacing w:after="0" w:line="240" w:lineRule="auto"/>
      </w:pPr>
      <w:r>
        <w:separator/>
      </w:r>
    </w:p>
  </w:footnote>
  <w:footnote w:type="continuationSeparator" w:id="0">
    <w:p w:rsidR="001E53A3" w:rsidRDefault="001E53A3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1414A"/>
    <w:rsid w:val="000274D0"/>
    <w:rsid w:val="001548A8"/>
    <w:rsid w:val="00165321"/>
    <w:rsid w:val="001B2C5C"/>
    <w:rsid w:val="001D6749"/>
    <w:rsid w:val="001E53A3"/>
    <w:rsid w:val="001F7932"/>
    <w:rsid w:val="00204D10"/>
    <w:rsid w:val="00213170"/>
    <w:rsid w:val="00224847"/>
    <w:rsid w:val="00227A26"/>
    <w:rsid w:val="002747C8"/>
    <w:rsid w:val="00275F99"/>
    <w:rsid w:val="0028502E"/>
    <w:rsid w:val="002E0883"/>
    <w:rsid w:val="00337B5D"/>
    <w:rsid w:val="003541E9"/>
    <w:rsid w:val="00357E2A"/>
    <w:rsid w:val="00362CBF"/>
    <w:rsid w:val="003849C7"/>
    <w:rsid w:val="003E0059"/>
    <w:rsid w:val="0040544D"/>
    <w:rsid w:val="00466488"/>
    <w:rsid w:val="004903EB"/>
    <w:rsid w:val="004B0B91"/>
    <w:rsid w:val="004B56A9"/>
    <w:rsid w:val="004F2664"/>
    <w:rsid w:val="005017BD"/>
    <w:rsid w:val="00505FF1"/>
    <w:rsid w:val="0051643C"/>
    <w:rsid w:val="00520808"/>
    <w:rsid w:val="005369E6"/>
    <w:rsid w:val="00556D4A"/>
    <w:rsid w:val="00585AD3"/>
    <w:rsid w:val="005A57C8"/>
    <w:rsid w:val="005C774B"/>
    <w:rsid w:val="006335A7"/>
    <w:rsid w:val="00691547"/>
    <w:rsid w:val="006B34DA"/>
    <w:rsid w:val="006C4FC3"/>
    <w:rsid w:val="00714A34"/>
    <w:rsid w:val="00751559"/>
    <w:rsid w:val="007A015E"/>
    <w:rsid w:val="007B003C"/>
    <w:rsid w:val="007D6A40"/>
    <w:rsid w:val="007E637B"/>
    <w:rsid w:val="00881728"/>
    <w:rsid w:val="00882876"/>
    <w:rsid w:val="008A4F7C"/>
    <w:rsid w:val="008B1806"/>
    <w:rsid w:val="008D5CC0"/>
    <w:rsid w:val="00921D53"/>
    <w:rsid w:val="00943698"/>
    <w:rsid w:val="00972E46"/>
    <w:rsid w:val="00994C53"/>
    <w:rsid w:val="00997B26"/>
    <w:rsid w:val="009B755F"/>
    <w:rsid w:val="009D623E"/>
    <w:rsid w:val="009E79D0"/>
    <w:rsid w:val="009F385D"/>
    <w:rsid w:val="00A30F1C"/>
    <w:rsid w:val="00A53AFA"/>
    <w:rsid w:val="00A605B0"/>
    <w:rsid w:val="00A72F2C"/>
    <w:rsid w:val="00A87D5B"/>
    <w:rsid w:val="00AF0327"/>
    <w:rsid w:val="00AF39B8"/>
    <w:rsid w:val="00AF79AE"/>
    <w:rsid w:val="00B4080A"/>
    <w:rsid w:val="00B437B3"/>
    <w:rsid w:val="00B90A2F"/>
    <w:rsid w:val="00BC22E3"/>
    <w:rsid w:val="00C12D25"/>
    <w:rsid w:val="00C31C46"/>
    <w:rsid w:val="00C63956"/>
    <w:rsid w:val="00C7684B"/>
    <w:rsid w:val="00C77AA2"/>
    <w:rsid w:val="00CA023C"/>
    <w:rsid w:val="00CA3E12"/>
    <w:rsid w:val="00CA6BAF"/>
    <w:rsid w:val="00CB3623"/>
    <w:rsid w:val="00CD4982"/>
    <w:rsid w:val="00D829FE"/>
    <w:rsid w:val="00D921AE"/>
    <w:rsid w:val="00DA4453"/>
    <w:rsid w:val="00DE4530"/>
    <w:rsid w:val="00E12300"/>
    <w:rsid w:val="00E22685"/>
    <w:rsid w:val="00E40428"/>
    <w:rsid w:val="00E538C0"/>
    <w:rsid w:val="00E75869"/>
    <w:rsid w:val="00E96A59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  <w:rsid w:val="00F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E2A45-4206-4E0F-98AD-EA05B3AD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B37B-C042-493B-A49B-BE0094F6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Hlávek Michal</cp:lastModifiedBy>
  <cp:revision>2</cp:revision>
  <cp:lastPrinted>2016-03-03T08:34:00Z</cp:lastPrinted>
  <dcterms:created xsi:type="dcterms:W3CDTF">2017-12-13T08:28:00Z</dcterms:created>
  <dcterms:modified xsi:type="dcterms:W3CDTF">2017-12-13T08:28:00Z</dcterms:modified>
</cp:coreProperties>
</file>