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tc>
                <w:tcPr>
                  <w:tcW w:w="436" w:type="dxa"/>
                </w:tcPr>
                <w:p w:rsidR="009F2DFA" w:rsidRPr="00F04CCD" w:rsidRDefault="009F2DFA" w:rsidP="007B71A4">
                  <w:pPr>
                    <w:jc w:val="center"/>
                  </w:pPr>
                  <w:r w:rsidRPr="00F04CCD">
                    <w:rPr>
                      <w:rFonts w:ascii="MS Mincho" w:eastAsia="MS Mincho" w:hAnsi="MS Mincho" w:cs="MS Mincho" w:hint="eastAsia"/>
                    </w:rPr>
                    <w:t>☐</w:t>
                  </w:r>
                </w:p>
              </w:tc>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tc>
                <w:tcPr>
                  <w:tcW w:w="436" w:type="dxa"/>
                </w:tcPr>
                <w:p w:rsidR="009F2DFA" w:rsidRPr="00F04CCD" w:rsidRDefault="009F2DFA" w:rsidP="007B71A4">
                  <w:pPr>
                    <w:jc w:val="center"/>
                  </w:pPr>
                  <w:r w:rsidRPr="00F04CCD">
                    <w:rPr>
                      <w:rFonts w:ascii="MS Mincho" w:eastAsia="MS Mincho" w:hAnsi="MS Mincho" w:cs="MS Mincho" w:hint="eastAsia"/>
                    </w:rPr>
                    <w:t>☐</w:t>
                  </w:r>
                </w:p>
              </w:tc>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tc>
                <w:tcPr>
                  <w:tcW w:w="436" w:type="dxa"/>
                </w:tcPr>
                <w:p w:rsidR="009F2DFA" w:rsidRPr="00F04CCD" w:rsidRDefault="00511EB6" w:rsidP="007B71A4">
                  <w:pPr>
                    <w:jc w:val="center"/>
                  </w:pPr>
                  <w:r>
                    <w:rPr>
                      <w:rFonts w:ascii="MS Gothic" w:eastAsia="MS Gothic" w:hAnsi="MS Gothic" w:hint="eastAsia"/>
                    </w:rPr>
                    <w:t>☒</w:t>
                  </w:r>
                </w:p>
              </w:tc>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Pr>
          <w:p w:rsidR="00E25C2D" w:rsidRPr="00777E1B" w:rsidRDefault="0008491F" w:rsidP="0008491F">
            <w:pPr>
              <w:jc w:val="both"/>
            </w:pPr>
            <w:r w:rsidRPr="00777E1B">
              <w:t xml:space="preserve">Návrh </w:t>
            </w:r>
            <w:r w:rsidR="00BF1928">
              <w:t>v čl. I.</w:t>
            </w:r>
            <w:r w:rsidR="00BF1928" w:rsidRPr="00777E1B">
              <w:t xml:space="preserve"> sa </w:t>
            </w:r>
            <w:r w:rsidRPr="00777E1B">
              <w:t>bude vzťahovať na všetky</w:t>
            </w:r>
            <w:r w:rsidR="00511EB6" w:rsidRPr="00777E1B">
              <w:t xml:space="preserve"> </w:t>
            </w:r>
            <w:r w:rsidRPr="00777E1B">
              <w:t xml:space="preserve">podnikateľské subjekty, na ktoré sa v zmysle zákona č. 289/2008 Z. z. v znení neskorších predpisov vzťahuje povinnosť evidovať prijaté tržby pri predaji tovaru alebo poskytovaní služieb taxatívne ustanovených v prílohe č. 1 </w:t>
            </w:r>
            <w:r w:rsidR="004D5D4F" w:rsidRPr="00777E1B">
              <w:t>k</w:t>
            </w:r>
            <w:r w:rsidRPr="00777E1B">
              <w:t> cit. zákonu v registračnej pokladnici</w:t>
            </w:r>
            <w:r w:rsidR="006543CE" w:rsidRPr="00777E1B">
              <w:t xml:space="preserve"> alebo vo virtuálnej pokladnici</w:t>
            </w:r>
            <w:r w:rsidR="00E25C2D" w:rsidRPr="00777E1B">
              <w:t xml:space="preserve"> a na podnikateľské subjekty, ktoré vyrábajú, predávajú alebo distribuujú  pokladnice</w:t>
            </w:r>
            <w:r w:rsidR="00017859" w:rsidRPr="00777E1B">
              <w:t>.</w:t>
            </w:r>
          </w:p>
          <w:p w:rsidR="009F2DFA" w:rsidRPr="00777E1B" w:rsidRDefault="009F2DFA" w:rsidP="0008491F">
            <w:pPr>
              <w:jc w:val="both"/>
            </w:pPr>
          </w:p>
          <w:p w:rsidR="00EF6320" w:rsidRPr="00777E1B" w:rsidRDefault="00017859" w:rsidP="00540EB0">
            <w:pPr>
              <w:spacing w:after="160" w:line="259" w:lineRule="auto"/>
              <w:jc w:val="both"/>
            </w:pPr>
            <w:r w:rsidRPr="00777E1B">
              <w:t>Pokiaľ ide o počet podnikateľských subjektov</w:t>
            </w:r>
            <w:r w:rsidR="00540EB0" w:rsidRPr="00777E1B">
              <w:t>,</w:t>
            </w:r>
            <w:r w:rsidRPr="00777E1B">
              <w:t xml:space="preserve"> návrh zákona sa bude dotýkať cca 1</w:t>
            </w:r>
            <w:r w:rsidR="00D51953">
              <w:t>23</w:t>
            </w:r>
            <w:r w:rsidRPr="00777E1B">
              <w:t xml:space="preserve"> 000 podnikateľov, ktorí používajú klasické elektronické registračné pokladnice a môže sa dotýkať aj cca 23 000 podnikateľov, ktorí používajú virtuálne registračné pokladnice</w:t>
            </w:r>
            <w:r w:rsidR="00540EB0" w:rsidRPr="00777E1B">
              <w:t xml:space="preserve">, a to z dôvodu, že by sa rozhodli vymeniť virtuálnu registračnú pokladnicu za on-line registračnú pokladnicu. </w:t>
            </w:r>
            <w:r w:rsidRPr="00777E1B">
              <w:t xml:space="preserve"> </w:t>
            </w:r>
          </w:p>
          <w:p w:rsidR="00EF6320" w:rsidRDefault="00EF6320" w:rsidP="00CC0059">
            <w:r w:rsidRPr="00777E1B">
              <w:t>Zároveň sa návrh zákona bude dotýkať aj výrobcov, dovozcov a distribútorov elektronických registračných pokladníc</w:t>
            </w:r>
            <w:r w:rsidR="00010640" w:rsidRPr="00777E1B">
              <w:t>, ktorých je cca 20</w:t>
            </w:r>
            <w:r w:rsidRPr="00777E1B">
              <w:t>.</w:t>
            </w:r>
          </w:p>
          <w:p w:rsidR="00A36AC0" w:rsidRDefault="00A36AC0" w:rsidP="00CC0059"/>
          <w:p w:rsidR="00BF1928" w:rsidRPr="00BF1928" w:rsidRDefault="00A36AC0" w:rsidP="00BF1928">
            <w:pPr>
              <w:jc w:val="both"/>
            </w:pPr>
            <w:r w:rsidRPr="00BF1928">
              <w:t>Návrh v</w:t>
            </w:r>
            <w:r w:rsidR="00BF1928" w:rsidRPr="00BF1928">
              <w:t> </w:t>
            </w:r>
            <w:r w:rsidRPr="00BF1928">
              <w:t>čl</w:t>
            </w:r>
            <w:r w:rsidR="00BF1928" w:rsidRPr="00BF1928">
              <w:t xml:space="preserve">.  II </w:t>
            </w:r>
            <w:r w:rsidR="00700FE9">
              <w:t xml:space="preserve">sa </w:t>
            </w:r>
            <w:r w:rsidR="00BF1928" w:rsidRPr="00BF1928">
              <w:t>zavádza oslobodenie nepeňažného príjmu zamestnanca s uzatvorenou pracovnou zmluvou do výšky 60 eur za ubytovanie poskytnuté zamestnávateľom. Uvedené opatrenie podporuje v období nedostatku pracovnej sily jej mobilitu. Z uvedeného vyplýva, že ide o podnikateľov, ktorí zamestnávajú osoby, ktorým zároveň poskytujú ubytovanie.</w:t>
            </w:r>
          </w:p>
          <w:p w:rsidR="00BF1928" w:rsidRDefault="00BF1928" w:rsidP="00A36AC0">
            <w:pPr>
              <w:spacing w:line="276" w:lineRule="auto"/>
              <w:jc w:val="both"/>
            </w:pPr>
          </w:p>
          <w:p w:rsidR="00A36AC0" w:rsidRPr="00777E1B" w:rsidRDefault="00BF1928" w:rsidP="00A36AC0">
            <w:pPr>
              <w:spacing w:line="276" w:lineRule="auto"/>
              <w:jc w:val="both"/>
            </w:pPr>
            <w:r>
              <w:t xml:space="preserve">Návrh v čl. </w:t>
            </w:r>
            <w:r w:rsidR="00A36AC0">
              <w:t>III</w:t>
            </w:r>
            <w:r>
              <w:t xml:space="preserve"> a </w:t>
            </w:r>
            <w:r w:rsidR="00700FE9">
              <w:t>IV</w:t>
            </w:r>
            <w:r w:rsidR="00A36AC0">
              <w:t xml:space="preserve"> nemá vplyv na podnikateľské prostredie. </w:t>
            </w:r>
          </w:p>
          <w:p w:rsidR="004A2F4D" w:rsidRPr="00F04CCD" w:rsidRDefault="004A2F4D" w:rsidP="004A2F4D">
            <w:pPr>
              <w:jc w:val="both"/>
              <w:rPr>
                <w:i/>
              </w:rPr>
            </w:pPr>
          </w:p>
        </w:tc>
      </w:tr>
      <w:tr w:rsidR="009F2DFA" w:rsidRPr="00F04CCD" w:rsidTr="007B71A4">
        <w:trPr>
          <w:trHeight w:val="339"/>
        </w:trPr>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Pr>
          <w:p w:rsidR="0008491F" w:rsidRPr="00EF6320" w:rsidRDefault="0008491F" w:rsidP="008A58BE">
            <w:pPr>
              <w:jc w:val="both"/>
              <w:rPr>
                <w:b/>
                <w:color w:val="000000"/>
              </w:rPr>
            </w:pPr>
            <w:r w:rsidRPr="00EF6320">
              <w:rPr>
                <w:b/>
                <w:color w:val="000000"/>
              </w:rPr>
              <w:t>Na konzultácie boli prizvaní:</w:t>
            </w:r>
          </w:p>
          <w:p w:rsidR="00EF6320" w:rsidRDefault="00EF6320" w:rsidP="008A58BE">
            <w:pPr>
              <w:pStyle w:val="Standard"/>
              <w:jc w:val="both"/>
              <w:rPr>
                <w:rFonts w:ascii="Times New Roman" w:hAnsi="Times New Roman" w:cs="Times New Roman"/>
                <w:color w:val="000000"/>
                <w:sz w:val="20"/>
                <w:szCs w:val="20"/>
              </w:rPr>
            </w:pPr>
          </w:p>
          <w:p w:rsidR="00EF6320" w:rsidRPr="00EF6320" w:rsidRDefault="00EF6320" w:rsidP="008A58BE">
            <w:pPr>
              <w:pStyle w:val="Standard"/>
              <w:jc w:val="both"/>
              <w:rPr>
                <w:rFonts w:ascii="Times New Roman" w:hAnsi="Times New Roman" w:cs="Times New Roman"/>
                <w:sz w:val="20"/>
                <w:szCs w:val="20"/>
              </w:rPr>
            </w:pPr>
            <w:r w:rsidRPr="00EF6320">
              <w:rPr>
                <w:rFonts w:ascii="Times New Roman" w:hAnsi="Times New Roman" w:cs="Times New Roman"/>
                <w:color w:val="000000"/>
                <w:sz w:val="20"/>
                <w:szCs w:val="20"/>
              </w:rPr>
              <w:t>Nadväzne na Jednotnú metodiku na posudzovanie vplyvov,  ministerstvo financií dňa 1</w:t>
            </w:r>
            <w:r w:rsidR="00540EB0">
              <w:rPr>
                <w:rFonts w:ascii="Times New Roman" w:hAnsi="Times New Roman" w:cs="Times New Roman"/>
                <w:color w:val="000000"/>
                <w:sz w:val="20"/>
                <w:szCs w:val="20"/>
              </w:rPr>
              <w:t>6</w:t>
            </w:r>
            <w:r w:rsidRPr="00EF6320">
              <w:rPr>
                <w:rFonts w:ascii="Times New Roman" w:hAnsi="Times New Roman" w:cs="Times New Roman"/>
                <w:color w:val="000000"/>
                <w:sz w:val="20"/>
                <w:szCs w:val="20"/>
              </w:rPr>
              <w:t xml:space="preserve">. </w:t>
            </w:r>
            <w:r w:rsidR="00540EB0">
              <w:rPr>
                <w:rFonts w:ascii="Times New Roman" w:hAnsi="Times New Roman" w:cs="Times New Roman"/>
                <w:color w:val="000000"/>
                <w:sz w:val="20"/>
                <w:szCs w:val="20"/>
              </w:rPr>
              <w:t>04</w:t>
            </w:r>
            <w:r w:rsidRPr="00EF6320">
              <w:rPr>
                <w:rFonts w:ascii="Times New Roman" w:hAnsi="Times New Roman" w:cs="Times New Roman"/>
                <w:color w:val="000000"/>
                <w:sz w:val="20"/>
                <w:szCs w:val="20"/>
              </w:rPr>
              <w:t>. 201</w:t>
            </w:r>
            <w:r w:rsidR="00540EB0">
              <w:rPr>
                <w:rFonts w:ascii="Times New Roman" w:hAnsi="Times New Roman" w:cs="Times New Roman"/>
                <w:color w:val="000000"/>
                <w:sz w:val="20"/>
                <w:szCs w:val="20"/>
              </w:rPr>
              <w:t>8</w:t>
            </w:r>
            <w:r w:rsidRPr="00EF6320">
              <w:rPr>
                <w:rFonts w:ascii="Times New Roman" w:hAnsi="Times New Roman" w:cs="Times New Roman"/>
                <w:color w:val="000000"/>
                <w:sz w:val="20"/>
                <w:szCs w:val="20"/>
              </w:rPr>
              <w:t xml:space="preserve"> zahájilo  konzultácie k pripravovanej novele </w:t>
            </w:r>
            <w:r w:rsidRPr="00EF6320">
              <w:rPr>
                <w:rFonts w:ascii="Times New Roman" w:hAnsi="Times New Roman" w:cs="Times New Roman"/>
                <w:sz w:val="20"/>
                <w:szCs w:val="20"/>
              </w:rPr>
              <w:t>zákona č. 289/2008 Z. z. v znení neskorších predpisov</w:t>
            </w:r>
            <w:r w:rsidRPr="00EF6320">
              <w:rPr>
                <w:rFonts w:ascii="Times New Roman" w:hAnsi="Times New Roman" w:cs="Times New Roman"/>
                <w:bCs/>
                <w:color w:val="000000"/>
                <w:sz w:val="20"/>
                <w:szCs w:val="20"/>
              </w:rPr>
              <w:t>.</w:t>
            </w:r>
          </w:p>
          <w:p w:rsidR="00EF6320" w:rsidRPr="00EF6320" w:rsidRDefault="00EF6320" w:rsidP="008A58BE">
            <w:pPr>
              <w:pStyle w:val="Standard"/>
              <w:jc w:val="both"/>
              <w:rPr>
                <w:rFonts w:ascii="Times New Roman" w:hAnsi="Times New Roman" w:cs="Times New Roman"/>
                <w:b/>
                <w:color w:val="000000"/>
                <w:sz w:val="20"/>
                <w:szCs w:val="20"/>
              </w:rPr>
            </w:pPr>
          </w:p>
          <w:p w:rsidR="00EF6320" w:rsidRPr="00EF6320" w:rsidRDefault="00EF6320" w:rsidP="008A58BE">
            <w:pPr>
              <w:pStyle w:val="Standard"/>
              <w:jc w:val="both"/>
              <w:rPr>
                <w:rFonts w:ascii="Times New Roman" w:hAnsi="Times New Roman" w:cs="Times New Roman"/>
                <w:sz w:val="20"/>
                <w:szCs w:val="20"/>
              </w:rPr>
            </w:pPr>
            <w:r w:rsidRPr="00EF6320">
              <w:rPr>
                <w:rFonts w:ascii="Times New Roman" w:hAnsi="Times New Roman" w:cs="Times New Roman"/>
                <w:b/>
                <w:color w:val="000000"/>
                <w:sz w:val="20"/>
                <w:szCs w:val="20"/>
              </w:rPr>
              <w:t>Na konzultácie boli prizvaní:</w:t>
            </w:r>
          </w:p>
          <w:p w:rsidR="00EF6320" w:rsidRPr="00EF6320" w:rsidRDefault="00EF6320" w:rsidP="008A58BE">
            <w:pPr>
              <w:pStyle w:val="Odsekzoznamu"/>
              <w:numPr>
                <w:ilvl w:val="0"/>
                <w:numId w:val="18"/>
              </w:numPr>
              <w:suppressAutoHyphens/>
              <w:autoSpaceDN w:val="0"/>
              <w:spacing w:after="0" w:line="240" w:lineRule="auto"/>
              <w:ind w:left="0" w:hanging="357"/>
              <w:contextualSpacing w:val="0"/>
              <w:jc w:val="both"/>
              <w:textAlignment w:val="baseline"/>
              <w:rPr>
                <w:rFonts w:ascii="Times New Roman" w:hAnsi="Times New Roman"/>
                <w:sz w:val="20"/>
                <w:szCs w:val="20"/>
              </w:rPr>
            </w:pPr>
            <w:r w:rsidRPr="00EF6320">
              <w:rPr>
                <w:rFonts w:ascii="Times New Roman" w:hAnsi="Times New Roman"/>
                <w:color w:val="000000"/>
                <w:sz w:val="20"/>
                <w:szCs w:val="20"/>
              </w:rPr>
              <w:t>Slovenská asociácia cestovných kancelárií</w:t>
            </w:r>
            <w:r w:rsidR="00726609">
              <w:rPr>
                <w:rFonts w:ascii="Times New Roman" w:hAnsi="Times New Roman"/>
                <w:color w:val="000000"/>
                <w:sz w:val="20"/>
                <w:szCs w:val="20"/>
              </w:rPr>
              <w:t xml:space="preserve"> a cestovných agentúr</w:t>
            </w:r>
          </w:p>
          <w:p w:rsidR="00EF6320" w:rsidRPr="00EF6320" w:rsidRDefault="00EF6320"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sidRPr="00EF6320">
              <w:rPr>
                <w:rFonts w:ascii="Times New Roman" w:hAnsi="Times New Roman"/>
                <w:color w:val="000000"/>
                <w:sz w:val="20"/>
                <w:szCs w:val="20"/>
              </w:rPr>
              <w:t>Združenie podnikateľov Slovenska</w:t>
            </w:r>
          </w:p>
          <w:p w:rsidR="00EF6320" w:rsidRPr="00540EB0" w:rsidRDefault="00EF6320"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sidRPr="00EF6320">
              <w:rPr>
                <w:rFonts w:ascii="Times New Roman" w:hAnsi="Times New Roman"/>
                <w:color w:val="000000"/>
                <w:sz w:val="20"/>
                <w:szCs w:val="20"/>
              </w:rPr>
              <w:t>Asociácia výrobcov, dovozcov a predajcov elektronických registračných pokladníc</w:t>
            </w:r>
          </w:p>
          <w:p w:rsidR="00540EB0" w:rsidRPr="00540EB0" w:rsidRDefault="00540EB0"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Slovenský živnostenský zväz</w:t>
            </w:r>
          </w:p>
          <w:p w:rsidR="00540EB0" w:rsidRPr="00386813" w:rsidRDefault="00540EB0"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Zväz hotelov a</w:t>
            </w:r>
            <w:r w:rsidR="00E73918">
              <w:rPr>
                <w:rFonts w:ascii="Times New Roman" w:hAnsi="Times New Roman"/>
                <w:color w:val="000000"/>
                <w:sz w:val="20"/>
                <w:szCs w:val="20"/>
              </w:rPr>
              <w:t> </w:t>
            </w:r>
            <w:r>
              <w:rPr>
                <w:rFonts w:ascii="Times New Roman" w:hAnsi="Times New Roman"/>
                <w:color w:val="000000"/>
                <w:sz w:val="20"/>
                <w:szCs w:val="20"/>
              </w:rPr>
              <w:t>reštaurácií</w:t>
            </w:r>
            <w:r w:rsidR="00E73918">
              <w:rPr>
                <w:rFonts w:ascii="Times New Roman" w:hAnsi="Times New Roman"/>
                <w:color w:val="000000"/>
                <w:sz w:val="20"/>
                <w:szCs w:val="20"/>
              </w:rPr>
              <w:t xml:space="preserve"> SR</w:t>
            </w:r>
          </w:p>
          <w:p w:rsidR="00386813" w:rsidRPr="00540EB0" w:rsidRDefault="00386813"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Zväz cestovného ruchu SR</w:t>
            </w:r>
          </w:p>
          <w:p w:rsidR="00540EB0" w:rsidRPr="00386813" w:rsidRDefault="00540EB0"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Slovenská asociácia petrolejárskeho priemyslu</w:t>
            </w:r>
            <w:r w:rsidR="00386813">
              <w:rPr>
                <w:rFonts w:ascii="Times New Roman" w:hAnsi="Times New Roman"/>
                <w:color w:val="000000"/>
                <w:sz w:val="20"/>
                <w:szCs w:val="20"/>
              </w:rPr>
              <w:t xml:space="preserve"> a obchodu</w:t>
            </w:r>
          </w:p>
          <w:p w:rsidR="00386813" w:rsidRPr="00540EB0" w:rsidRDefault="00386813"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KLUB500</w:t>
            </w:r>
          </w:p>
          <w:p w:rsidR="00540EB0" w:rsidRPr="00386813" w:rsidRDefault="00540EB0"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ELCOM</w:t>
            </w:r>
            <w:r w:rsidR="00E73918">
              <w:rPr>
                <w:rFonts w:ascii="Times New Roman" w:hAnsi="Times New Roman"/>
                <w:color w:val="000000"/>
                <w:sz w:val="20"/>
                <w:szCs w:val="20"/>
              </w:rPr>
              <w:t>, spol. s r. o.</w:t>
            </w:r>
          </w:p>
          <w:p w:rsidR="00386813" w:rsidRPr="00386813" w:rsidRDefault="00386813"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VAROS TRADE s.r.o.</w:t>
            </w:r>
          </w:p>
          <w:p w:rsidR="00386813" w:rsidRPr="00386813" w:rsidRDefault="00E73918"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 xml:space="preserve">AXIS </w:t>
            </w:r>
            <w:proofErr w:type="spellStart"/>
            <w:r w:rsidR="00386813">
              <w:rPr>
                <w:rFonts w:ascii="Times New Roman" w:hAnsi="Times New Roman"/>
                <w:color w:val="000000"/>
                <w:sz w:val="20"/>
                <w:szCs w:val="20"/>
              </w:rPr>
              <w:t>distribution</w:t>
            </w:r>
            <w:proofErr w:type="spellEnd"/>
            <w:r>
              <w:rPr>
                <w:rFonts w:ascii="Times New Roman" w:hAnsi="Times New Roman"/>
                <w:color w:val="000000"/>
                <w:sz w:val="20"/>
                <w:szCs w:val="20"/>
              </w:rPr>
              <w:t>, s.r.o.</w:t>
            </w:r>
          </w:p>
          <w:p w:rsidR="00386813" w:rsidRPr="00386813" w:rsidRDefault="00386813"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BEFARE</w:t>
            </w:r>
          </w:p>
          <w:p w:rsidR="00386813" w:rsidRPr="00540EB0" w:rsidRDefault="00E73918"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Pr>
                <w:rFonts w:ascii="Times New Roman" w:hAnsi="Times New Roman"/>
                <w:color w:val="000000"/>
                <w:sz w:val="20"/>
                <w:szCs w:val="20"/>
              </w:rPr>
              <w:t>NR</w:t>
            </w:r>
            <w:r w:rsidR="00386813">
              <w:rPr>
                <w:rFonts w:ascii="Times New Roman" w:hAnsi="Times New Roman"/>
                <w:color w:val="000000"/>
                <w:sz w:val="20"/>
                <w:szCs w:val="20"/>
              </w:rPr>
              <w:t>SYS</w:t>
            </w:r>
            <w:r>
              <w:rPr>
                <w:rFonts w:ascii="Times New Roman" w:hAnsi="Times New Roman"/>
                <w:color w:val="000000"/>
                <w:sz w:val="20"/>
                <w:szCs w:val="20"/>
              </w:rPr>
              <w:t>, s.r.o.</w:t>
            </w:r>
          </w:p>
          <w:p w:rsidR="00386813" w:rsidRPr="00E73918" w:rsidRDefault="00386813" w:rsidP="008A58BE">
            <w:pPr>
              <w:pStyle w:val="Odsekzoznamu"/>
              <w:numPr>
                <w:ilvl w:val="0"/>
                <w:numId w:val="17"/>
              </w:numPr>
              <w:suppressAutoHyphens/>
              <w:autoSpaceDN w:val="0"/>
              <w:spacing w:after="0" w:line="240" w:lineRule="auto"/>
              <w:ind w:left="0" w:hanging="357"/>
              <w:contextualSpacing w:val="0"/>
              <w:jc w:val="both"/>
              <w:textAlignment w:val="baseline"/>
              <w:rPr>
                <w:rFonts w:ascii="Times New Roman" w:hAnsi="Times New Roman"/>
                <w:sz w:val="20"/>
                <w:szCs w:val="20"/>
              </w:rPr>
            </w:pPr>
            <w:r w:rsidRPr="00E73918">
              <w:rPr>
                <w:rFonts w:ascii="Times New Roman" w:hAnsi="Times New Roman"/>
              </w:rPr>
              <w:t xml:space="preserve">Slovak Business </w:t>
            </w:r>
            <w:proofErr w:type="spellStart"/>
            <w:r w:rsidRPr="00E73918">
              <w:rPr>
                <w:rFonts w:ascii="Times New Roman" w:hAnsi="Times New Roman"/>
              </w:rPr>
              <w:t>Agency</w:t>
            </w:r>
            <w:proofErr w:type="spellEnd"/>
          </w:p>
          <w:p w:rsidR="00EF6320" w:rsidRPr="00EF6320" w:rsidRDefault="00EF6320" w:rsidP="008A58BE">
            <w:pPr>
              <w:pStyle w:val="Odsekzoznamu"/>
              <w:spacing w:after="0" w:line="240" w:lineRule="auto"/>
              <w:ind w:left="0"/>
              <w:jc w:val="both"/>
              <w:rPr>
                <w:rFonts w:ascii="Times New Roman" w:hAnsi="Times New Roman"/>
                <w:color w:val="000000"/>
                <w:sz w:val="20"/>
                <w:szCs w:val="20"/>
              </w:rPr>
            </w:pPr>
          </w:p>
          <w:p w:rsidR="009F2DFA" w:rsidRDefault="00EF6320" w:rsidP="008A58BE">
            <w:pPr>
              <w:pStyle w:val="Standard"/>
              <w:jc w:val="both"/>
              <w:rPr>
                <w:rFonts w:ascii="Times New Roman" w:hAnsi="Times New Roman" w:cs="Times New Roman"/>
                <w:sz w:val="20"/>
                <w:szCs w:val="20"/>
              </w:rPr>
            </w:pPr>
            <w:r w:rsidRPr="00EF6320">
              <w:rPr>
                <w:rFonts w:ascii="Times New Roman" w:hAnsi="Times New Roman" w:cs="Times New Roman"/>
                <w:sz w:val="20"/>
                <w:szCs w:val="20"/>
              </w:rPr>
              <w:lastRenderedPageBreak/>
              <w:t xml:space="preserve">Oznam o konzultáciách bol uverejnený aj na webe MF SR, v časti aktualizácie. </w:t>
            </w:r>
          </w:p>
          <w:p w:rsidR="00777E1B" w:rsidRDefault="00777E1B" w:rsidP="008A58BE">
            <w:pPr>
              <w:pStyle w:val="Standard"/>
              <w:jc w:val="both"/>
              <w:rPr>
                <w:rFonts w:ascii="Times New Roman" w:hAnsi="Times New Roman" w:cs="Times New Roman"/>
                <w:sz w:val="20"/>
                <w:szCs w:val="20"/>
              </w:rPr>
            </w:pPr>
          </w:p>
          <w:p w:rsidR="00777E1B" w:rsidRDefault="00777E1B" w:rsidP="008A58BE">
            <w:pPr>
              <w:pStyle w:val="Standard"/>
              <w:jc w:val="both"/>
              <w:rPr>
                <w:rFonts w:ascii="Times New Roman" w:hAnsi="Times New Roman" w:cs="Times New Roman"/>
                <w:sz w:val="20"/>
                <w:szCs w:val="20"/>
              </w:rPr>
            </w:pPr>
            <w:r>
              <w:rPr>
                <w:rFonts w:ascii="Times New Roman" w:hAnsi="Times New Roman" w:cs="Times New Roman"/>
                <w:sz w:val="20"/>
                <w:szCs w:val="20"/>
              </w:rPr>
              <w:t>Priebeh konzultácií:</w:t>
            </w:r>
          </w:p>
          <w:p w:rsidR="00777E1B" w:rsidRDefault="00777E1B" w:rsidP="008A58BE">
            <w:pPr>
              <w:pStyle w:val="Standard"/>
              <w:jc w:val="both"/>
              <w:rPr>
                <w:rFonts w:ascii="Times New Roman" w:hAnsi="Times New Roman" w:cs="Times New Roman"/>
                <w:sz w:val="20"/>
                <w:szCs w:val="20"/>
              </w:rPr>
            </w:pPr>
          </w:p>
          <w:p w:rsidR="00777E1B" w:rsidRPr="00777E1B" w:rsidRDefault="00777E1B" w:rsidP="008A58BE">
            <w:pPr>
              <w:spacing w:line="276" w:lineRule="auto"/>
              <w:jc w:val="both"/>
            </w:pPr>
            <w:r w:rsidRPr="00777E1B">
              <w:t>V úvode konzultácií Ministerstvo financií Slovenskej republiky (MF SR) informovalo o zámere vyplývajúcom z programového vyhlásenia vlády a akčného plánu boja proti daňovým podvodom, ktorým je on-line prepojenie registračných pokladníc so systémami finančnej správy (FS). MF SR uviedlo, že plní úlohu gestora tejto novely a zabezpečuje legislatívny proces, pričom technické náležitosti a vecnú stránku zabezpečuje Finančné riaditeľstvo Slovenskej republiky (FR SR). Návrh zákona je momentálne v štádiu rozpracovanosti a pre verejnosť bude prístupný v rámci medzirezortného pripomienkového konania (MPK) ku koncu mája 2018.</w:t>
            </w:r>
          </w:p>
          <w:p w:rsidR="00777E1B" w:rsidRPr="00777E1B" w:rsidRDefault="00777E1B" w:rsidP="008A58BE">
            <w:pPr>
              <w:spacing w:line="276" w:lineRule="auto"/>
              <w:jc w:val="both"/>
            </w:pPr>
            <w:r w:rsidRPr="00777E1B">
              <w:t xml:space="preserve">GR sekcie boja proti podvodom a analýzy rizík Ing. </w:t>
            </w:r>
            <w:proofErr w:type="spellStart"/>
            <w:r w:rsidRPr="00777E1B">
              <w:t>Hanniker</w:t>
            </w:r>
            <w:proofErr w:type="spellEnd"/>
            <w:r w:rsidRPr="00777E1B">
              <w:t xml:space="preserve"> oboznámil podnikateľov, že úpravou zákona budú pokladnice komunikovať on-line so systémami FS. On-line prepojenie registračných pokladníc bude prebiehať v dvo</w:t>
            </w:r>
            <w:r w:rsidR="00F66ACD">
              <w:t>ch etapách, a to 1. etapa od 1.4</w:t>
            </w:r>
            <w:r w:rsidRPr="00777E1B">
              <w:t>.2019 pre sektor HORECA (hotelové a reštauračné služby) a čerpacie stanice, 2. etapa  o</w:t>
            </w:r>
            <w:r w:rsidR="00F66ACD">
              <w:t>d 1.7</w:t>
            </w:r>
            <w:r w:rsidRPr="00777E1B">
              <w:t>.2019 pre všetky ostatné podnikateľské subjekty. Dôvodom zavedenia on-line prepojenia registračných pokladníc so systémami FS je pomerne veľký výpadok na DPH (200 mil. eur ročne) v segmente hotovostných platieb. FS je inšpirovaná zahraničím, najmä Chorvátskom (HR) a Českou republikou (ČR), pričom technické požiadavky sú prispôsobené potrebám SR, a teda tie sú odlišné od chorvátskeho aj českého riešenia.</w:t>
            </w:r>
          </w:p>
          <w:p w:rsidR="00777E1B" w:rsidRPr="00777E1B" w:rsidRDefault="00777E1B" w:rsidP="008A58BE">
            <w:pPr>
              <w:spacing w:line="276" w:lineRule="auto"/>
              <w:jc w:val="both"/>
            </w:pPr>
            <w:r w:rsidRPr="00777E1B">
              <w:t>K predmetnej téme sa podnikateľské subjekty vyjadrili nasledovne:</w:t>
            </w:r>
          </w:p>
          <w:p w:rsidR="00777E1B" w:rsidRPr="00777E1B" w:rsidRDefault="00777E1B" w:rsidP="008A58BE">
            <w:pPr>
              <w:pStyle w:val="Odsekzoznamu"/>
              <w:numPr>
                <w:ilvl w:val="0"/>
                <w:numId w:val="23"/>
              </w:numPr>
              <w:ind w:left="0"/>
              <w:jc w:val="both"/>
              <w:rPr>
                <w:rFonts w:ascii="Times New Roman" w:hAnsi="Times New Roman"/>
                <w:sz w:val="20"/>
                <w:szCs w:val="20"/>
              </w:rPr>
            </w:pPr>
            <w:r w:rsidRPr="00777E1B">
              <w:rPr>
                <w:rFonts w:ascii="Times New Roman" w:hAnsi="Times New Roman"/>
                <w:b/>
                <w:sz w:val="20"/>
                <w:szCs w:val="20"/>
              </w:rPr>
              <w:t>Slovenská asociácia registračných pokladníc</w:t>
            </w:r>
            <w:r w:rsidRPr="00777E1B">
              <w:rPr>
                <w:rFonts w:ascii="Times New Roman" w:hAnsi="Times New Roman"/>
                <w:sz w:val="20"/>
                <w:szCs w:val="20"/>
              </w:rPr>
              <w:t xml:space="preserve"> namietla výsledky fungovania EET tak v ČR ako aj v HR na základe rôznych novinárskych článkov, ktoré fungovanie takýchto pokladníc spochybňujú. </w:t>
            </w:r>
          </w:p>
          <w:p w:rsidR="00777E1B" w:rsidRPr="00777E1B" w:rsidRDefault="00777E1B" w:rsidP="008A58BE">
            <w:pPr>
              <w:spacing w:line="276" w:lineRule="auto"/>
              <w:jc w:val="both"/>
            </w:pPr>
            <w:r w:rsidRPr="00777E1B">
              <w:t xml:space="preserve">GR sekcie boja proti podvodom a analýzy rizík Ing. </w:t>
            </w:r>
            <w:proofErr w:type="spellStart"/>
            <w:r w:rsidRPr="00777E1B">
              <w:t>Hanniker</w:t>
            </w:r>
            <w:proofErr w:type="spellEnd"/>
            <w:r w:rsidRPr="00777E1B">
              <w:t xml:space="preserve"> uviedol, že na základe údajov OECD má HR ako druhé z členských štátov EÚ najnižšiu medzeru na DPH.</w:t>
            </w:r>
          </w:p>
          <w:p w:rsidR="00777E1B" w:rsidRPr="00777E1B" w:rsidRDefault="00777E1B" w:rsidP="008A58BE">
            <w:pPr>
              <w:pStyle w:val="Odsekzoznamu"/>
              <w:numPr>
                <w:ilvl w:val="0"/>
                <w:numId w:val="23"/>
              </w:numPr>
              <w:ind w:left="0"/>
              <w:jc w:val="both"/>
              <w:rPr>
                <w:rFonts w:ascii="Times New Roman" w:hAnsi="Times New Roman"/>
                <w:sz w:val="20"/>
                <w:szCs w:val="20"/>
              </w:rPr>
            </w:pPr>
            <w:r w:rsidRPr="00777E1B">
              <w:rPr>
                <w:rFonts w:ascii="Times New Roman" w:hAnsi="Times New Roman"/>
                <w:b/>
                <w:sz w:val="20"/>
                <w:szCs w:val="20"/>
              </w:rPr>
              <w:t>Spoločnosť ELCOM s. r. o.</w:t>
            </w:r>
            <w:r w:rsidRPr="00777E1B">
              <w:rPr>
                <w:rFonts w:ascii="Times New Roman" w:hAnsi="Times New Roman"/>
                <w:sz w:val="20"/>
                <w:szCs w:val="20"/>
              </w:rPr>
              <w:t xml:space="preserve"> uviedla, že Česká republika, Slovinsko, Chorvátsko majú zavedený systém, ktorý nie je veľmi funkčný. Momentálne sa zavádzajú nové systémy napr. v Rumunsku a Poľsku. Ak má SR záujem zaviesť dobré registračné pokladnice, spoločnosť ELCOM s. r. o. neodporúča brať si za vzor chorvátsky a český model. Všetky systémy, ktoré sú napojené do siete musia byť odolné voči zneužitiu. Vzhľadom na uvedené odporúčanie, spoločnosť ELCOM s. r. o. poskytla MF SR a FR SR vypracovanú „Koncepciu registrácie maloobchodných transakcií pre Slovenskú republiku.“</w:t>
            </w:r>
          </w:p>
          <w:p w:rsidR="00777E1B" w:rsidRPr="00777E1B" w:rsidRDefault="00777E1B" w:rsidP="008A58BE">
            <w:pPr>
              <w:pStyle w:val="Odsekzoznamu"/>
              <w:ind w:left="0"/>
              <w:jc w:val="both"/>
              <w:rPr>
                <w:rFonts w:ascii="Times New Roman" w:hAnsi="Times New Roman"/>
                <w:sz w:val="20"/>
                <w:szCs w:val="20"/>
              </w:rPr>
            </w:pPr>
          </w:p>
          <w:p w:rsidR="00777E1B" w:rsidRPr="00777E1B" w:rsidRDefault="00777E1B" w:rsidP="008A58BE">
            <w:pPr>
              <w:pStyle w:val="Odsekzoznamu"/>
              <w:numPr>
                <w:ilvl w:val="0"/>
                <w:numId w:val="24"/>
              </w:numPr>
              <w:ind w:left="0"/>
              <w:jc w:val="both"/>
              <w:rPr>
                <w:rFonts w:ascii="Times New Roman" w:hAnsi="Times New Roman"/>
                <w:sz w:val="20"/>
                <w:szCs w:val="20"/>
              </w:rPr>
            </w:pPr>
            <w:r w:rsidRPr="00777E1B">
              <w:rPr>
                <w:rFonts w:ascii="Times New Roman" w:hAnsi="Times New Roman"/>
                <w:b/>
                <w:sz w:val="20"/>
                <w:szCs w:val="20"/>
              </w:rPr>
              <w:t xml:space="preserve">Spoločnosť AXIS </w:t>
            </w:r>
            <w:proofErr w:type="spellStart"/>
            <w:r w:rsidRPr="00777E1B">
              <w:rPr>
                <w:rFonts w:ascii="Times New Roman" w:hAnsi="Times New Roman"/>
                <w:b/>
                <w:sz w:val="20"/>
                <w:szCs w:val="20"/>
              </w:rPr>
              <w:t>distribution</w:t>
            </w:r>
            <w:proofErr w:type="spellEnd"/>
            <w:r w:rsidRPr="00777E1B">
              <w:rPr>
                <w:rFonts w:ascii="Times New Roman" w:hAnsi="Times New Roman"/>
                <w:b/>
                <w:sz w:val="20"/>
                <w:szCs w:val="20"/>
              </w:rPr>
              <w:t xml:space="preserve"> s .r. o.</w:t>
            </w:r>
            <w:r w:rsidRPr="00777E1B">
              <w:rPr>
                <w:rFonts w:ascii="Times New Roman" w:hAnsi="Times New Roman"/>
                <w:sz w:val="20"/>
                <w:szCs w:val="20"/>
              </w:rPr>
              <w:t xml:space="preserve"> uviedla, že vzhľadom na dátumy, ktoré boli oznámené v súvislosti s on-line prepojením pokladníc s FS, teda účinnosť zá</w:t>
            </w:r>
            <w:r w:rsidR="00F66ACD">
              <w:rPr>
                <w:rFonts w:ascii="Times New Roman" w:hAnsi="Times New Roman"/>
                <w:sz w:val="20"/>
                <w:szCs w:val="20"/>
              </w:rPr>
              <w:t>kona k 1.1.2019, 1. etapa od 1.4</w:t>
            </w:r>
            <w:r w:rsidRPr="00777E1B">
              <w:rPr>
                <w:rFonts w:ascii="Times New Roman" w:hAnsi="Times New Roman"/>
                <w:sz w:val="20"/>
                <w:szCs w:val="20"/>
              </w:rPr>
              <w:t>.2019 pre sektor HORECA (hotelové a reštauračné služby) a če</w:t>
            </w:r>
            <w:r w:rsidR="00F66ACD">
              <w:rPr>
                <w:rFonts w:ascii="Times New Roman" w:hAnsi="Times New Roman"/>
                <w:sz w:val="20"/>
                <w:szCs w:val="20"/>
              </w:rPr>
              <w:t>rpacie stanice, 2. etapa  od 1.7</w:t>
            </w:r>
            <w:r w:rsidRPr="00777E1B">
              <w:rPr>
                <w:rFonts w:ascii="Times New Roman" w:hAnsi="Times New Roman"/>
                <w:sz w:val="20"/>
                <w:szCs w:val="20"/>
              </w:rPr>
              <w:t xml:space="preserve">.2019 všetky ostatné podnikateľské subjekty,  je potrebné zobrať do úvahy  zverejnenie technickej špecifikácie  6 - 9 mesiacov pred termínom zavedenia, v prípade potreby certifikácie pri hardvérovom riešení, je potrebné zobrať do úvahy ďalšie mesiace pre proces certifikácie 3-6 mesiacov. </w:t>
            </w:r>
          </w:p>
          <w:p w:rsidR="00777E1B" w:rsidRPr="00777E1B" w:rsidRDefault="00777E1B" w:rsidP="008A58BE">
            <w:pPr>
              <w:spacing w:line="276" w:lineRule="auto"/>
              <w:jc w:val="both"/>
            </w:pPr>
            <w:r w:rsidRPr="00777E1B">
              <w:t xml:space="preserve">Pri softvérovom riešení (HR/CZ), môže dochádzať k neobmedzenej tlači originálu pokladničného dokladu na strane predávajúceho, kde 1x je DPH odvedené, ale zákazníci si odpočítajú mnohokrát viac DPH, podľa počtu vytlačených originálov. Tento proces je nebezpečný aj pre majiteľov prevádzok, vzhľadom k tomu, že môže dochádzať k tlačeniu daňových dokladov zamestnancom pri zadaní tlače počtu kópií v prospech pokladníkov, ktorí tieto pokladničné doklady ďalej predávajú, tak ako to je bežné dnes, napr. na benzínových staniciach, ale aj inde. Tento nový softvérový spôsob bude veľká príležitosť pre pokladníkov si privyrobiť, nehovoriac, že pokladničný doklad si môžu uložiť a neskôr v prípade potreby vytlačiť aj so všetkými bezpečnostnými prvkami zo servera FS. </w:t>
            </w:r>
          </w:p>
          <w:p w:rsidR="00777E1B" w:rsidRDefault="00777E1B" w:rsidP="008A58BE">
            <w:pPr>
              <w:spacing w:line="276" w:lineRule="auto"/>
              <w:jc w:val="both"/>
            </w:pPr>
            <w:r w:rsidRPr="00777E1B">
              <w:t>Pokiaľ by sa zaviedlo nevytvárať zabezpečený elektronický žurnál, bolo by možné ho podľa potreby znova generovať a týmto dosiahnuť optimalizáciu dane z príjmov. Týmto spôsobom by nebola reálne možná  kontrola pravosti pokladničných dokladov medzi predávajúcim a kupujúcim pri daňových kontrolách.</w:t>
            </w:r>
          </w:p>
          <w:p w:rsidR="00777E1B" w:rsidRDefault="00777E1B" w:rsidP="008A58BE">
            <w:pPr>
              <w:spacing w:line="276" w:lineRule="auto"/>
              <w:jc w:val="both"/>
            </w:pPr>
            <w:r w:rsidRPr="00777E1B">
              <w:t xml:space="preserve">Spoločnosť AXIS </w:t>
            </w:r>
            <w:proofErr w:type="spellStart"/>
            <w:r w:rsidRPr="00777E1B">
              <w:t>distribution</w:t>
            </w:r>
            <w:proofErr w:type="spellEnd"/>
            <w:r w:rsidRPr="00777E1B">
              <w:t xml:space="preserve"> s. r. o. navrhlo MF SR a FR SR podporu a pomoc pri zavádzaní </w:t>
            </w:r>
            <w:r w:rsidR="006368E9">
              <w:t>e</w:t>
            </w:r>
            <w:r w:rsidRPr="00777E1B">
              <w:t>-kasy.</w:t>
            </w:r>
          </w:p>
          <w:p w:rsidR="00F62A79" w:rsidRPr="00777E1B" w:rsidRDefault="00F62A79" w:rsidP="008A58BE">
            <w:pPr>
              <w:spacing w:line="276" w:lineRule="auto"/>
              <w:jc w:val="both"/>
            </w:pPr>
          </w:p>
          <w:p w:rsidR="00777E1B" w:rsidRPr="00777E1B" w:rsidRDefault="00777E1B" w:rsidP="008A58BE">
            <w:pPr>
              <w:pStyle w:val="Bezriadkovania"/>
              <w:numPr>
                <w:ilvl w:val="0"/>
                <w:numId w:val="25"/>
              </w:numPr>
              <w:spacing w:line="276" w:lineRule="auto"/>
              <w:ind w:left="0"/>
              <w:rPr>
                <w:sz w:val="20"/>
                <w:szCs w:val="20"/>
              </w:rPr>
            </w:pPr>
            <w:r w:rsidRPr="00777E1B">
              <w:rPr>
                <w:b/>
                <w:sz w:val="20"/>
                <w:szCs w:val="20"/>
              </w:rPr>
              <w:t xml:space="preserve">Slovenská asociácia registračných pokladníc </w:t>
            </w:r>
            <w:r w:rsidRPr="00777E1B">
              <w:rPr>
                <w:sz w:val="20"/>
                <w:szCs w:val="20"/>
              </w:rPr>
              <w:t xml:space="preserve">uviedla, že k úspešnému dosiahnutiu cieľa je podstatný termín schválenia zákona. Taktiež vzniesla námietku voči termínom zavedenia on-line prepojenia, z dôvodu, že nie sú prístupné technické požiadavky. Namietala, aby sa vývoj SW a HW na základe technických požiadaviek zverejnených v júni vykonával bez toho, aby bol zákon schválený. Takýmto spôsobom sú podnikateľské subjekty vystavené riziku, že budú vyvíjať systém na základe technických požiadaviek, ktoré môžu byť po schválení novely zákona úplne iné, alebo novela zákona nemusí byť schválená vôbec. </w:t>
            </w:r>
          </w:p>
          <w:p w:rsidR="00777E1B" w:rsidRPr="00777E1B" w:rsidRDefault="00777E1B" w:rsidP="008A58BE">
            <w:pPr>
              <w:pStyle w:val="Bezriadkovania"/>
              <w:spacing w:line="276" w:lineRule="auto"/>
              <w:rPr>
                <w:sz w:val="20"/>
                <w:szCs w:val="20"/>
              </w:rPr>
            </w:pPr>
            <w:r w:rsidRPr="00777E1B">
              <w:rPr>
                <w:sz w:val="20"/>
                <w:szCs w:val="20"/>
              </w:rPr>
              <w:t xml:space="preserve">Ďalej Slovenská asociácia registračných pokladníc poukázala na to, že pri zmene softvéru a zavedení on-line prepojenia nebude možné zabezpečiť dôkazový materiál proti takým subjektom, ktorí DPH krátili. Odporúča úplne zakázať softvérové pokladnice, nakoľko pri fungovaní pokladníc v HR alebo v ČR nie je možné dôkazový materiál získať. Aj keď sa odhalia podvody na DPH, je potrebné tieto podvody subjektu aj dokázať, čo pri softvérových pokladniciach nebude možné. Je potrebné mať hardvérové pokladne, ktoré dokážu zbierať informácie, ktoré vo </w:t>
            </w:r>
            <w:proofErr w:type="spellStart"/>
            <w:r w:rsidRPr="00777E1B">
              <w:rPr>
                <w:sz w:val="20"/>
                <w:szCs w:val="20"/>
              </w:rPr>
              <w:t>fiskálnej</w:t>
            </w:r>
            <w:proofErr w:type="spellEnd"/>
            <w:r w:rsidRPr="00777E1B">
              <w:rPr>
                <w:sz w:val="20"/>
                <w:szCs w:val="20"/>
              </w:rPr>
              <w:t xml:space="preserve"> pamäti vedia ukladať dáta, ktoré sa neskôr môžu pri kontrole použiť ako dôkazový materiál. Ak nebudú registračné pokladnice vybavené hardvérom a samostatnou pamäťou, bude on-</w:t>
            </w:r>
            <w:proofErr w:type="spellStart"/>
            <w:r w:rsidRPr="00777E1B">
              <w:rPr>
                <w:sz w:val="20"/>
                <w:szCs w:val="20"/>
              </w:rPr>
              <w:t>linezácia</w:t>
            </w:r>
            <w:proofErr w:type="spellEnd"/>
            <w:r w:rsidRPr="00777E1B">
              <w:rPr>
                <w:sz w:val="20"/>
                <w:szCs w:val="20"/>
              </w:rPr>
              <w:t xml:space="preserve"> neúspešná. </w:t>
            </w:r>
          </w:p>
          <w:p w:rsidR="00777E1B" w:rsidRPr="00777E1B" w:rsidRDefault="00777E1B" w:rsidP="008A58BE">
            <w:pPr>
              <w:pStyle w:val="Bezriadkovania"/>
              <w:spacing w:line="276" w:lineRule="auto"/>
              <w:rPr>
                <w:sz w:val="20"/>
                <w:szCs w:val="20"/>
              </w:rPr>
            </w:pPr>
          </w:p>
          <w:p w:rsidR="00777E1B" w:rsidRPr="00777E1B" w:rsidRDefault="00777E1B" w:rsidP="008A58BE">
            <w:pPr>
              <w:spacing w:line="276" w:lineRule="auto"/>
              <w:jc w:val="both"/>
            </w:pPr>
            <w:r w:rsidRPr="00777E1B">
              <w:t xml:space="preserve">GR sekcie boja proti podvodom a analýzy rizík Ing. </w:t>
            </w:r>
            <w:proofErr w:type="spellStart"/>
            <w:r w:rsidRPr="00777E1B">
              <w:t>Hanniker</w:t>
            </w:r>
            <w:proofErr w:type="spellEnd"/>
            <w:r w:rsidRPr="00777E1B">
              <w:t xml:space="preserve"> k námietke termínov uviedol informácie, že ak si od januára niekto založí spoločnosť, FR SR mu chce dať možnosť, aby už mohol mať e-kasu k dispozícii. Takýto podnikateľ si bude môcť ešte do konca marca vybrať či chce používať klasickú ERP </w:t>
            </w:r>
            <w:r w:rsidR="006368E9">
              <w:t>alebo e</w:t>
            </w:r>
            <w:r w:rsidRPr="00777E1B">
              <w:t xml:space="preserve">-kasu. Čo sa týka technického riešenia už dnes sa nejaké testujú na internej báze. Podnikatelia budú mať viac ako pol roka na prípravu, nakoľko technické riešenie bude pre nich dostupné v júni 2018.   </w:t>
            </w:r>
          </w:p>
          <w:p w:rsidR="00777E1B" w:rsidRDefault="00777E1B" w:rsidP="008A58BE">
            <w:pPr>
              <w:spacing w:line="276" w:lineRule="auto"/>
              <w:jc w:val="both"/>
            </w:pPr>
            <w:r w:rsidRPr="00777E1B">
              <w:t>MF SR uviedlo, že pri maximálnom skrátení lehôt a zachovaní postupov v legislatívnom procese je možné predložiť novelu zákona do parlamentu najskôr v septembri. Schválená teda bude približne v novembri - decembri zverejnením v zbierke zákonov. Účinnosť zákona sa plánuje od januára 2019.</w:t>
            </w:r>
          </w:p>
          <w:p w:rsidR="00D349E6" w:rsidRPr="00777E1B" w:rsidRDefault="00D349E6" w:rsidP="008A58BE">
            <w:pPr>
              <w:spacing w:line="276" w:lineRule="auto"/>
              <w:jc w:val="both"/>
            </w:pPr>
          </w:p>
          <w:p w:rsidR="00777E1B" w:rsidRPr="00777E1B" w:rsidRDefault="00777E1B" w:rsidP="008A58BE">
            <w:pPr>
              <w:pStyle w:val="Odsekzoznamu"/>
              <w:numPr>
                <w:ilvl w:val="0"/>
                <w:numId w:val="26"/>
              </w:numPr>
              <w:ind w:left="0"/>
              <w:jc w:val="both"/>
              <w:rPr>
                <w:rFonts w:ascii="Times New Roman" w:hAnsi="Times New Roman"/>
                <w:sz w:val="20"/>
                <w:szCs w:val="20"/>
              </w:rPr>
            </w:pPr>
            <w:r w:rsidRPr="00777E1B">
              <w:rPr>
                <w:rFonts w:ascii="Times New Roman" w:hAnsi="Times New Roman"/>
                <w:b/>
                <w:sz w:val="20"/>
                <w:szCs w:val="20"/>
              </w:rPr>
              <w:t>Spoločnosť BEFARE 1 s. r. o.</w:t>
            </w:r>
            <w:r w:rsidRPr="00777E1B">
              <w:rPr>
                <w:rFonts w:ascii="Times New Roman" w:hAnsi="Times New Roman"/>
                <w:sz w:val="20"/>
                <w:szCs w:val="20"/>
              </w:rPr>
              <w:t xml:space="preserve"> odporúča naďalej používať v zariadeniach fiškálnu pamäť, ktorá zabezpečí evidenciu a zapisovanie finančných transakcií, používať záznam a archiváciu kontrolného žurnálu z dôvodu, že kontrolný systém, ktorý by využíval evidenciu uloženú len na serveri FS, otvorí priestor na </w:t>
            </w:r>
            <w:proofErr w:type="spellStart"/>
            <w:r w:rsidRPr="00777E1B">
              <w:rPr>
                <w:rFonts w:ascii="Times New Roman" w:hAnsi="Times New Roman"/>
                <w:sz w:val="20"/>
                <w:szCs w:val="20"/>
              </w:rPr>
              <w:t>protiargumentáciu</w:t>
            </w:r>
            <w:proofErr w:type="spellEnd"/>
            <w:r w:rsidRPr="00777E1B">
              <w:rPr>
                <w:rFonts w:ascii="Times New Roman" w:hAnsi="Times New Roman"/>
                <w:sz w:val="20"/>
                <w:szCs w:val="20"/>
              </w:rPr>
              <w:t xml:space="preserve"> nepoctivých podnikateľov, ktorí budú argumentovať, že doklad sa nenachádza v ich systéme, nakoľko zlyhalo pripojenie. V prípade záznamu a archivácie kontrolného žurnálu sa jedná o jediný nástroj kontrolných orgánov v prípade kontroly priamo u podnikateľa, že daný doklad bol vystavený aj keď nebol on-line odoslaný.</w:t>
            </w:r>
          </w:p>
          <w:p w:rsidR="00D349E6" w:rsidRDefault="00777E1B" w:rsidP="00D349E6">
            <w:pPr>
              <w:pStyle w:val="Odsekzoznamu"/>
              <w:ind w:left="0"/>
              <w:jc w:val="both"/>
              <w:rPr>
                <w:rFonts w:ascii="Times New Roman" w:hAnsi="Times New Roman"/>
                <w:sz w:val="20"/>
                <w:szCs w:val="20"/>
              </w:rPr>
            </w:pPr>
            <w:r w:rsidRPr="00777E1B">
              <w:rPr>
                <w:rFonts w:ascii="Times New Roman" w:hAnsi="Times New Roman"/>
                <w:sz w:val="20"/>
                <w:szCs w:val="20"/>
              </w:rPr>
              <w:t>Spoločnosť BEFARE 1 s .r. o. taktiež odporúča, aby sa naďalej evidovali zariadenia jedinečným číslom (DKP), ktoré vydávajú pokladničné doklady z dôvodu, že pri kontrolnej činnosti orgánmi, ako je daňový úrad a colný úrad pri rozdieloch v obratoch sa nebude možné spoľahnúť len na pokladničné doklady zaregistrované on-line. Všetky doklady označené ako neplatný doklad, ktoré má predávajúci podnikateľský subjekt následne nahrať do systému sa takto môže stratiť. Pri používaní akéhokoľvek zariadenia nebude možné dokázať, že to bolo práve toto zariadenie, ktoré zlyhalo lebo podnikateľský subjekt môže používať nespočetné množstvo zariadení. Taktiež sa otvára priestor výmeny zariadení, ktoré by dokázali tlačiť pokladničné doklady, al</w:t>
            </w:r>
            <w:r w:rsidR="00D349E6">
              <w:rPr>
                <w:rFonts w:ascii="Times New Roman" w:hAnsi="Times New Roman"/>
                <w:sz w:val="20"/>
                <w:szCs w:val="20"/>
              </w:rPr>
              <w:t>e neposielali by údaje on-line.</w:t>
            </w:r>
          </w:p>
          <w:p w:rsidR="00777E1B" w:rsidRPr="00ED1CEC" w:rsidRDefault="00777E1B" w:rsidP="00D349E6">
            <w:pPr>
              <w:pStyle w:val="Odsekzoznamu"/>
              <w:ind w:left="0"/>
              <w:jc w:val="both"/>
              <w:rPr>
                <w:rFonts w:ascii="Times New Roman" w:hAnsi="Times New Roman"/>
                <w:sz w:val="20"/>
                <w:szCs w:val="20"/>
              </w:rPr>
            </w:pPr>
            <w:r w:rsidRPr="00ED1CEC">
              <w:rPr>
                <w:rFonts w:ascii="Times New Roman" w:hAnsi="Times New Roman"/>
                <w:sz w:val="20"/>
                <w:szCs w:val="20"/>
              </w:rPr>
              <w:t>Spoločnosť BEFARE 1 s. r. o. taktiež trvá na tom, že činnosť servisných organizácií (SO) má svoj význam. Nakoľko činnosť SO bola doteraz regulovaná zákonom, mala zodpovednosť za to, že zariadenie je v poriadku. Každé počítačové zariadenie potrebuje servisnú činnosť, ak sa podnikateľské subjekty sťažovali, že musia platiť servisným organizáciám tak novelou zákona sa nič nemení. Veľa podnikateľských subjektov bude naďalej potrebovať zapojiť zariadenie, odstrániť zlyhanie komunikácie a ďalšie iné chyby, ktoré vznikajú väčšinou chybou obsluhy.</w:t>
            </w:r>
          </w:p>
          <w:p w:rsidR="00777E1B" w:rsidRPr="00777E1B" w:rsidRDefault="00777E1B" w:rsidP="008A58BE">
            <w:pPr>
              <w:pStyle w:val="Bezriadkovania"/>
              <w:spacing w:line="276" w:lineRule="auto"/>
              <w:rPr>
                <w:sz w:val="20"/>
                <w:szCs w:val="20"/>
              </w:rPr>
            </w:pPr>
            <w:r w:rsidRPr="00777E1B">
              <w:rPr>
                <w:sz w:val="20"/>
                <w:szCs w:val="20"/>
              </w:rPr>
              <w:t>Evidencia zariadení aj pomocou plomby je dobrým riešením, jej prilepovanie v rámci uvedenia do prevádzky a jej kontrola počas platnosti zariadenia je dôležitou súčasťou nezameniteľnosti zariadenia a taktiež aj ochranou pred neodborným zásahom do daného zariadenia.</w:t>
            </w:r>
          </w:p>
          <w:p w:rsidR="00777E1B" w:rsidRPr="00777E1B" w:rsidRDefault="00777E1B" w:rsidP="008A58BE">
            <w:pPr>
              <w:pStyle w:val="Bezriadkovania"/>
              <w:spacing w:line="276" w:lineRule="auto"/>
              <w:rPr>
                <w:sz w:val="20"/>
                <w:szCs w:val="20"/>
              </w:rPr>
            </w:pPr>
          </w:p>
          <w:p w:rsidR="00777E1B" w:rsidRPr="00777E1B" w:rsidRDefault="00777E1B" w:rsidP="008A58BE">
            <w:pPr>
              <w:pStyle w:val="Bezriadkovania"/>
              <w:spacing w:line="276" w:lineRule="auto"/>
              <w:rPr>
                <w:sz w:val="20"/>
                <w:szCs w:val="20"/>
              </w:rPr>
            </w:pPr>
            <w:r w:rsidRPr="00777E1B">
              <w:rPr>
                <w:sz w:val="20"/>
                <w:szCs w:val="20"/>
              </w:rPr>
              <w:t>Nadväzne na argumenty spoločnosti BEFARE 1 s. r. o. zástupca FR SR oznámil, že boli vykonané rôzne stretnutia za účelom poučiť sa z chýb, ktoré boli napr. pri VRP. SR sa on-</w:t>
            </w:r>
            <w:proofErr w:type="spellStart"/>
            <w:r w:rsidRPr="00777E1B">
              <w:rPr>
                <w:sz w:val="20"/>
                <w:szCs w:val="20"/>
              </w:rPr>
              <w:t>linezácii</w:t>
            </w:r>
            <w:proofErr w:type="spellEnd"/>
            <w:r w:rsidRPr="00777E1B">
              <w:rPr>
                <w:sz w:val="20"/>
                <w:szCs w:val="20"/>
              </w:rPr>
              <w:t xml:space="preserve">, nevyhne nakoľko ide o prirodzený vývoj a nový trend. Podnikateľ bude odosielať na server FS údaje, za ktoré ručí. Ďalšími krokmi bude budovanie </w:t>
            </w:r>
            <w:proofErr w:type="spellStart"/>
            <w:r w:rsidRPr="00777E1B">
              <w:rPr>
                <w:sz w:val="20"/>
                <w:szCs w:val="20"/>
              </w:rPr>
              <w:t>analytiky</w:t>
            </w:r>
            <w:proofErr w:type="spellEnd"/>
            <w:r w:rsidRPr="00777E1B">
              <w:rPr>
                <w:sz w:val="20"/>
                <w:szCs w:val="20"/>
              </w:rPr>
              <w:t xml:space="preserve">, zmyslu cielenej kontroly, neplytvať </w:t>
            </w:r>
            <w:proofErr w:type="spellStart"/>
            <w:r w:rsidRPr="00777E1B">
              <w:rPr>
                <w:sz w:val="20"/>
                <w:szCs w:val="20"/>
              </w:rPr>
              <w:t>človeko</w:t>
            </w:r>
            <w:proofErr w:type="spellEnd"/>
            <w:r w:rsidRPr="00777E1B">
              <w:rPr>
                <w:sz w:val="20"/>
                <w:szCs w:val="20"/>
              </w:rPr>
              <w:t xml:space="preserve">-hodinami a na diskusiu ostáva, akým smerom sa vo vzťahu k právnym veciam bude uberať dôkazné bremeno.  </w:t>
            </w:r>
          </w:p>
          <w:p w:rsidR="00777E1B" w:rsidRPr="00777E1B" w:rsidRDefault="00777E1B" w:rsidP="008A58BE">
            <w:pPr>
              <w:pStyle w:val="Bezriadkovania"/>
              <w:spacing w:line="276" w:lineRule="auto"/>
              <w:rPr>
                <w:sz w:val="20"/>
                <w:szCs w:val="20"/>
              </w:rPr>
            </w:pPr>
          </w:p>
          <w:p w:rsidR="00777E1B" w:rsidRPr="00777E1B" w:rsidRDefault="00777E1B" w:rsidP="008A58BE">
            <w:pPr>
              <w:pStyle w:val="Odsekzoznamu"/>
              <w:numPr>
                <w:ilvl w:val="0"/>
                <w:numId w:val="26"/>
              </w:numPr>
              <w:ind w:left="0"/>
              <w:jc w:val="both"/>
              <w:rPr>
                <w:rFonts w:ascii="Times New Roman" w:hAnsi="Times New Roman"/>
                <w:sz w:val="20"/>
                <w:szCs w:val="20"/>
              </w:rPr>
            </w:pPr>
            <w:r w:rsidRPr="00777E1B">
              <w:rPr>
                <w:rFonts w:ascii="Times New Roman" w:hAnsi="Times New Roman"/>
                <w:b/>
                <w:sz w:val="20"/>
                <w:szCs w:val="20"/>
              </w:rPr>
              <w:t>Slovenská asociácia petrolejárskeho priemyslu a obchodu SAPPO</w:t>
            </w:r>
            <w:r w:rsidRPr="00777E1B">
              <w:rPr>
                <w:rFonts w:ascii="Times New Roman" w:hAnsi="Times New Roman"/>
                <w:sz w:val="20"/>
                <w:szCs w:val="20"/>
              </w:rPr>
              <w:t xml:space="preserve"> – zástupcovia SAPPO upozornili na krátkosť času, ktorá vyplýva z načrtnutého načasovania legislatívneho procesu zástupcami MF SR, s ohľadom na prípadné potreby úprav softvérov či hardvérov pokladníc na čerpacích staniciach, a to celé v kontexte skutočností, že návrh technického riešenia alebo znenie samotného legislatívneho návrhu im ešte nie je známy. Taktiež sa zástupcovia SAPPO zaujímali o dôvody z akých práve čerpacie stanice boli vybrané do prvej vlny, ktorá má podľa inform</w:t>
            </w:r>
            <w:r w:rsidR="00F66ACD">
              <w:rPr>
                <w:rFonts w:ascii="Times New Roman" w:hAnsi="Times New Roman"/>
                <w:sz w:val="20"/>
                <w:szCs w:val="20"/>
              </w:rPr>
              <w:t>ácie z FR SR byť spustená od 1.4</w:t>
            </w:r>
            <w:r w:rsidRPr="00777E1B">
              <w:rPr>
                <w:rFonts w:ascii="Times New Roman" w:hAnsi="Times New Roman"/>
                <w:sz w:val="20"/>
                <w:szCs w:val="20"/>
              </w:rPr>
              <w:t>.2019.Taktiež upozornili na možné problémy a škody, ktoré môže nedostatok času na prípravu systémov spôsobiť. V tomto smere členovia SAPPO poukázali na potrebu implementácie funkčného systému umožňujúceho nepretržitú prevádzku bez vád a zároveň zástupcovia SAPPO ponúkli možnosť súčinnosti pri testovaní nových on-line systémov v prípravnej fáze s cieľom zabezpečiť bezproblémovú implementáciu.</w:t>
            </w:r>
          </w:p>
          <w:p w:rsidR="00777E1B" w:rsidRPr="00777E1B" w:rsidRDefault="00777E1B" w:rsidP="008A58BE">
            <w:pPr>
              <w:spacing w:line="276" w:lineRule="auto"/>
              <w:jc w:val="both"/>
            </w:pPr>
            <w:r w:rsidRPr="00777E1B">
              <w:t>FR SR uviedlo informácie, že najväčší podiel čerpacích staníc na SR je mimo medzinárodných sietí a navyše veľký počet zákazníkov obchoduje s pokladničnými dokladmi vydanými čerpacími stanicami.</w:t>
            </w:r>
          </w:p>
          <w:p w:rsidR="00777E1B" w:rsidRDefault="00777E1B" w:rsidP="008A58BE">
            <w:pPr>
              <w:spacing w:line="276" w:lineRule="auto"/>
              <w:jc w:val="both"/>
            </w:pPr>
            <w:r w:rsidRPr="00777E1B">
              <w:t xml:space="preserve">GR sekcie boja proti podvodom a analýzy rizík Ing. </w:t>
            </w:r>
            <w:proofErr w:type="spellStart"/>
            <w:r w:rsidRPr="00777E1B">
              <w:t>Hanniker</w:t>
            </w:r>
            <w:proofErr w:type="spellEnd"/>
            <w:r w:rsidRPr="00777E1B">
              <w:t xml:space="preserve"> uvítal iniciatívu súčinnosti pri testovaní nových on-line systémov. </w:t>
            </w:r>
          </w:p>
          <w:p w:rsidR="00495263" w:rsidRPr="00777E1B" w:rsidRDefault="00495263" w:rsidP="008A58BE">
            <w:pPr>
              <w:spacing w:line="276" w:lineRule="auto"/>
              <w:jc w:val="both"/>
            </w:pPr>
          </w:p>
          <w:p w:rsidR="00777E1B" w:rsidRPr="00777E1B" w:rsidRDefault="00777E1B" w:rsidP="008A58BE">
            <w:pPr>
              <w:spacing w:line="276" w:lineRule="auto"/>
              <w:jc w:val="both"/>
            </w:pPr>
            <w:r w:rsidRPr="00777E1B">
              <w:rPr>
                <w:b/>
              </w:rPr>
              <w:t>P. riaditeľka asociácie petrolejárskeho priemyslu</w:t>
            </w:r>
            <w:r w:rsidRPr="00777E1B">
              <w:t xml:space="preserve"> – Slovenská asociácia petrolejárskeho priemyslu zastrešuje 70 % čerpacích staníc v SR. Aký je dôvod aby sa tieto zmeny dotkli hneď takého veľkého množstva zákazníkov. Nie je jasné technické riešenie, vychádzame len z diskusie. Čo sa stane ak on-line prepojenie nebude fungovať? Znefunkčnia sa čerpacie stanice? Už minulý rok boli vysvetľovať MF SR fungovanie registračných pokladníc v Maďarsku. Ako majú čerpacie stanice stihnúť technické zabezpečenie, keďže im stále nie sú známe technické požiadavky? Čerpacie stanice potrebujú na takéto zmeny cca 12 mesiacov, nakoľko majú zahraničné materské spoločnosti a musia dodržiavať vnútorné postupy a schvaľovacie procesy. </w:t>
            </w:r>
          </w:p>
          <w:p w:rsidR="00777E1B" w:rsidRDefault="00777E1B" w:rsidP="008A58BE">
            <w:pPr>
              <w:spacing w:line="276" w:lineRule="auto"/>
              <w:jc w:val="both"/>
            </w:pPr>
            <w:r w:rsidRPr="00777E1B">
              <w:t xml:space="preserve">FR SR uviedlo, že už dnes prebiehajú testovacie procesy s veľkými spoločnosťami ako Lidl a Kaufland, a teda je predpoklad že ak bude všetko fungovať, systém zvládne nápor ďalšieho napojenia. </w:t>
            </w:r>
          </w:p>
          <w:p w:rsidR="00F62A79" w:rsidRPr="00777E1B" w:rsidRDefault="00F62A79" w:rsidP="008A58BE">
            <w:pPr>
              <w:spacing w:line="276" w:lineRule="auto"/>
              <w:jc w:val="both"/>
            </w:pPr>
          </w:p>
          <w:p w:rsidR="00777E1B" w:rsidRPr="00777E1B" w:rsidRDefault="00777E1B" w:rsidP="008A58BE">
            <w:pPr>
              <w:pStyle w:val="Odsekzoznamu"/>
              <w:numPr>
                <w:ilvl w:val="0"/>
                <w:numId w:val="28"/>
              </w:numPr>
              <w:ind w:left="0"/>
              <w:jc w:val="both"/>
              <w:rPr>
                <w:rFonts w:ascii="Times New Roman" w:hAnsi="Times New Roman"/>
                <w:sz w:val="20"/>
                <w:szCs w:val="20"/>
              </w:rPr>
            </w:pPr>
            <w:r w:rsidRPr="00777E1B">
              <w:rPr>
                <w:rFonts w:ascii="Times New Roman" w:hAnsi="Times New Roman"/>
                <w:b/>
                <w:sz w:val="20"/>
                <w:szCs w:val="20"/>
              </w:rPr>
              <w:t xml:space="preserve">Slovak Business </w:t>
            </w:r>
            <w:proofErr w:type="spellStart"/>
            <w:r w:rsidRPr="00777E1B">
              <w:rPr>
                <w:rFonts w:ascii="Times New Roman" w:hAnsi="Times New Roman"/>
                <w:b/>
                <w:sz w:val="20"/>
                <w:szCs w:val="20"/>
              </w:rPr>
              <w:t>Agency</w:t>
            </w:r>
            <w:proofErr w:type="spellEnd"/>
            <w:r w:rsidRPr="00777E1B">
              <w:rPr>
                <w:rFonts w:ascii="Times New Roman" w:hAnsi="Times New Roman"/>
                <w:sz w:val="20"/>
                <w:szCs w:val="20"/>
              </w:rPr>
              <w:t xml:space="preserve"> k predloženej téme položilo nasledovné otázky:</w:t>
            </w:r>
          </w:p>
          <w:p w:rsidR="00777E1B" w:rsidRPr="00777E1B" w:rsidRDefault="00777E1B" w:rsidP="008A58BE">
            <w:pPr>
              <w:pStyle w:val="Odsekzoznamu"/>
              <w:numPr>
                <w:ilvl w:val="0"/>
                <w:numId w:val="27"/>
              </w:numPr>
              <w:ind w:left="1134"/>
              <w:jc w:val="both"/>
              <w:rPr>
                <w:rFonts w:ascii="Times New Roman" w:hAnsi="Times New Roman"/>
                <w:sz w:val="20"/>
                <w:szCs w:val="20"/>
              </w:rPr>
            </w:pPr>
            <w:r w:rsidRPr="00777E1B">
              <w:rPr>
                <w:rFonts w:ascii="Times New Roman" w:hAnsi="Times New Roman"/>
                <w:sz w:val="20"/>
                <w:szCs w:val="20"/>
              </w:rPr>
              <w:t xml:space="preserve">Koľko možností používania registračnej pokladnice bude možné po novele zákona používať? </w:t>
            </w:r>
          </w:p>
          <w:p w:rsidR="00777E1B" w:rsidRPr="00777E1B" w:rsidRDefault="00777E1B" w:rsidP="008A58BE">
            <w:pPr>
              <w:pStyle w:val="Odsekzoznamu"/>
              <w:numPr>
                <w:ilvl w:val="0"/>
                <w:numId w:val="27"/>
              </w:numPr>
              <w:ind w:left="1134"/>
              <w:jc w:val="both"/>
              <w:rPr>
                <w:rFonts w:ascii="Times New Roman" w:hAnsi="Times New Roman"/>
                <w:sz w:val="20"/>
                <w:szCs w:val="20"/>
              </w:rPr>
            </w:pPr>
            <w:r w:rsidRPr="00777E1B">
              <w:rPr>
                <w:rFonts w:ascii="Times New Roman" w:hAnsi="Times New Roman"/>
                <w:sz w:val="20"/>
                <w:szCs w:val="20"/>
              </w:rPr>
              <w:t>Je tu stále možnosť použitia virtuálnej pokladnice alebo elektronickej registračnej pokladnice bez nutnosti prepojenia so systémami finančnej správy?</w:t>
            </w:r>
          </w:p>
          <w:p w:rsidR="00777E1B" w:rsidRPr="00777E1B" w:rsidRDefault="00777E1B" w:rsidP="008A58BE">
            <w:pPr>
              <w:pStyle w:val="Odsekzoznamu"/>
              <w:numPr>
                <w:ilvl w:val="0"/>
                <w:numId w:val="27"/>
              </w:numPr>
              <w:ind w:left="1134"/>
              <w:jc w:val="both"/>
              <w:rPr>
                <w:rFonts w:ascii="Times New Roman" w:hAnsi="Times New Roman"/>
                <w:sz w:val="20"/>
                <w:szCs w:val="20"/>
              </w:rPr>
            </w:pPr>
            <w:r w:rsidRPr="00777E1B">
              <w:rPr>
                <w:rFonts w:ascii="Times New Roman" w:hAnsi="Times New Roman"/>
                <w:sz w:val="20"/>
                <w:szCs w:val="20"/>
              </w:rPr>
              <w:t>Pre ktoré podnikateľské subjekty poskytujúce „vybrané služby“ sa navrhuje zaviesť povinnosť používať registračnú pokladnicu prepojenú so systémami finančnej správy?</w:t>
            </w:r>
          </w:p>
          <w:p w:rsidR="00777E1B" w:rsidRPr="00777E1B" w:rsidRDefault="00777E1B" w:rsidP="008A58BE">
            <w:pPr>
              <w:spacing w:line="276" w:lineRule="auto"/>
              <w:jc w:val="both"/>
            </w:pPr>
            <w:r w:rsidRPr="00777E1B">
              <w:t>FR SR na otázky uviedlo odpoveď, že v budúcom roku bude m</w:t>
            </w:r>
            <w:r w:rsidR="006368E9">
              <w:t>ožné používať VRP a pokladnicu e</w:t>
            </w:r>
            <w:r w:rsidRPr="00777E1B">
              <w:t xml:space="preserve">-kasa on-line pripojenú na server FS. E-kasy už nebudú vybavené </w:t>
            </w:r>
            <w:proofErr w:type="spellStart"/>
            <w:r w:rsidRPr="00777E1B">
              <w:t>fiskálnym</w:t>
            </w:r>
            <w:proofErr w:type="spellEnd"/>
            <w:r w:rsidRPr="00777E1B">
              <w:t xml:space="preserve"> modulom. </w:t>
            </w:r>
            <w:proofErr w:type="spellStart"/>
            <w:r w:rsidRPr="00777E1B">
              <w:t>Fiskálnym</w:t>
            </w:r>
            <w:proofErr w:type="spellEnd"/>
            <w:r w:rsidRPr="00777E1B">
              <w:t xml:space="preserve"> modulom bude server FS. Klasické ERP novelou zákona zaniknú. Podnikateľ sa bude môcť rozhodnúť do čoho investuje, či do staršieho alebo novšieho systému. Bezplatná služba na účely evidencie tržieb vo VRP sa rušiť neplánuje. </w:t>
            </w:r>
          </w:p>
          <w:p w:rsidR="00777E1B" w:rsidRPr="00777E1B" w:rsidRDefault="00777E1B" w:rsidP="008A58BE">
            <w:pPr>
              <w:pStyle w:val="Odsekzoznamu"/>
              <w:numPr>
                <w:ilvl w:val="0"/>
                <w:numId w:val="29"/>
              </w:numPr>
              <w:ind w:left="0"/>
              <w:jc w:val="both"/>
              <w:rPr>
                <w:rFonts w:ascii="Times New Roman" w:hAnsi="Times New Roman"/>
                <w:sz w:val="20"/>
                <w:szCs w:val="20"/>
              </w:rPr>
            </w:pPr>
            <w:r w:rsidRPr="00777E1B">
              <w:rPr>
                <w:rFonts w:ascii="Times New Roman" w:hAnsi="Times New Roman"/>
                <w:b/>
                <w:sz w:val="20"/>
                <w:szCs w:val="20"/>
              </w:rPr>
              <w:t>Slovenská asociácia registračných pokladníc</w:t>
            </w:r>
            <w:r w:rsidRPr="00777E1B">
              <w:rPr>
                <w:rFonts w:ascii="Times New Roman" w:hAnsi="Times New Roman"/>
                <w:sz w:val="20"/>
                <w:szCs w:val="20"/>
              </w:rPr>
              <w:t xml:space="preserve">  podotkla, že pokiaľ sa zrušia </w:t>
            </w:r>
            <w:proofErr w:type="spellStart"/>
            <w:r w:rsidRPr="00777E1B">
              <w:rPr>
                <w:rFonts w:ascii="Times New Roman" w:hAnsi="Times New Roman"/>
                <w:sz w:val="20"/>
                <w:szCs w:val="20"/>
              </w:rPr>
              <w:t>fiskálne</w:t>
            </w:r>
            <w:proofErr w:type="spellEnd"/>
            <w:r w:rsidRPr="00777E1B">
              <w:rPr>
                <w:rFonts w:ascii="Times New Roman" w:hAnsi="Times New Roman"/>
                <w:sz w:val="20"/>
                <w:szCs w:val="20"/>
              </w:rPr>
              <w:t xml:space="preserve"> pamäte z pokladníc bude </w:t>
            </w:r>
            <w:proofErr w:type="spellStart"/>
            <w:r w:rsidRPr="00777E1B">
              <w:rPr>
                <w:rFonts w:ascii="Times New Roman" w:hAnsi="Times New Roman"/>
                <w:sz w:val="20"/>
                <w:szCs w:val="20"/>
              </w:rPr>
              <w:t>obtiažne</w:t>
            </w:r>
            <w:proofErr w:type="spellEnd"/>
            <w:r w:rsidRPr="00777E1B">
              <w:rPr>
                <w:rFonts w:ascii="Times New Roman" w:hAnsi="Times New Roman"/>
                <w:sz w:val="20"/>
                <w:szCs w:val="20"/>
              </w:rPr>
              <w:t xml:space="preserve"> porušovanie zákona podnikateľským subjektom dokázať.</w:t>
            </w:r>
          </w:p>
          <w:p w:rsidR="00777E1B" w:rsidRDefault="00777E1B" w:rsidP="008A58BE">
            <w:pPr>
              <w:spacing w:line="276" w:lineRule="auto"/>
              <w:jc w:val="both"/>
            </w:pPr>
            <w:r w:rsidRPr="00777E1B">
              <w:t xml:space="preserve">FR SR má vedomosť o tom, že sa dejú podvody na VRP, a to aj napriek tomu, že podnikatelia vedia, že sú on-line pripojení na portál FS. Žiadny systém nezaručí to, že podnikateľ nespraví nejaký podvod, ale tento nový navrhovaný systém zaručí, že sa to FS dozvie. Zrušenie </w:t>
            </w:r>
            <w:proofErr w:type="spellStart"/>
            <w:r w:rsidRPr="00777E1B">
              <w:t>fiskálnych</w:t>
            </w:r>
            <w:proofErr w:type="spellEnd"/>
            <w:r w:rsidRPr="00777E1B">
              <w:t xml:space="preserve"> pamätí je súčasťou pripravovanej novely.  Nový systém zabezpečí potrebné údaje o tom, kto sa ako správa a na základe toho budú vedieť zakročiť, nakoľko v súčasnosti FR SR koná len na základe podozrenia. </w:t>
            </w:r>
          </w:p>
          <w:p w:rsidR="00F62A79" w:rsidRPr="00777E1B" w:rsidRDefault="00F62A79" w:rsidP="008A58BE">
            <w:pPr>
              <w:spacing w:line="276" w:lineRule="auto"/>
              <w:jc w:val="both"/>
            </w:pPr>
          </w:p>
          <w:p w:rsidR="00777E1B" w:rsidRPr="00777E1B" w:rsidRDefault="00777E1B" w:rsidP="008A58BE">
            <w:pPr>
              <w:pStyle w:val="Odsekzoznamu"/>
              <w:numPr>
                <w:ilvl w:val="0"/>
                <w:numId w:val="32"/>
              </w:numPr>
              <w:ind w:left="0"/>
              <w:jc w:val="both"/>
              <w:rPr>
                <w:rFonts w:ascii="Times New Roman" w:hAnsi="Times New Roman"/>
                <w:sz w:val="20"/>
                <w:szCs w:val="20"/>
              </w:rPr>
            </w:pPr>
            <w:r w:rsidRPr="00777E1B">
              <w:rPr>
                <w:rFonts w:ascii="Times New Roman" w:hAnsi="Times New Roman"/>
                <w:b/>
                <w:sz w:val="20"/>
                <w:szCs w:val="20"/>
              </w:rPr>
              <w:t>Spoločnosť ELCOM s. r. o.</w:t>
            </w:r>
            <w:r w:rsidRPr="00777E1B">
              <w:rPr>
                <w:rFonts w:ascii="Times New Roman" w:hAnsi="Times New Roman"/>
                <w:sz w:val="20"/>
                <w:szCs w:val="20"/>
              </w:rPr>
              <w:t xml:space="preserve">  uviedla informáciu, že pokladnice s </w:t>
            </w:r>
            <w:proofErr w:type="spellStart"/>
            <w:r w:rsidRPr="00777E1B">
              <w:rPr>
                <w:rFonts w:ascii="Times New Roman" w:hAnsi="Times New Roman"/>
                <w:sz w:val="20"/>
                <w:szCs w:val="20"/>
              </w:rPr>
              <w:t>fiskálnou</w:t>
            </w:r>
            <w:proofErr w:type="spellEnd"/>
            <w:r w:rsidRPr="00777E1B">
              <w:rPr>
                <w:rFonts w:ascii="Times New Roman" w:hAnsi="Times New Roman"/>
                <w:sz w:val="20"/>
                <w:szCs w:val="20"/>
              </w:rPr>
              <w:t xml:space="preserve"> pamäťou už pri ich zavádzaní v SR boli </w:t>
            </w:r>
            <w:proofErr w:type="spellStart"/>
            <w:r w:rsidRPr="00777E1B">
              <w:rPr>
                <w:rFonts w:ascii="Times New Roman" w:hAnsi="Times New Roman"/>
                <w:sz w:val="20"/>
                <w:szCs w:val="20"/>
              </w:rPr>
              <w:t>zastaralé</w:t>
            </w:r>
            <w:proofErr w:type="spellEnd"/>
            <w:r w:rsidRPr="00777E1B">
              <w:rPr>
                <w:rFonts w:ascii="Times New Roman" w:hAnsi="Times New Roman"/>
                <w:sz w:val="20"/>
                <w:szCs w:val="20"/>
              </w:rPr>
              <w:t xml:space="preserve">, pochádzajú z roku 1970 z Talianska. Momentálne je toto riešenie 50 rokov staré, preto sa nemôžeme diviť, že pri dnešnom technologickom vývoji dochádza k podvodom. </w:t>
            </w:r>
          </w:p>
          <w:p w:rsidR="00777E1B" w:rsidRPr="00777E1B" w:rsidRDefault="00777E1B" w:rsidP="008A58BE">
            <w:pPr>
              <w:pStyle w:val="Odsekzoznamu"/>
              <w:ind w:left="0"/>
              <w:jc w:val="both"/>
              <w:rPr>
                <w:rFonts w:ascii="Times New Roman" w:hAnsi="Times New Roman"/>
                <w:sz w:val="20"/>
                <w:szCs w:val="20"/>
              </w:rPr>
            </w:pPr>
            <w:r w:rsidRPr="00777E1B">
              <w:rPr>
                <w:rFonts w:ascii="Times New Roman" w:hAnsi="Times New Roman"/>
                <w:sz w:val="20"/>
                <w:szCs w:val="20"/>
              </w:rPr>
              <w:t xml:space="preserve">Taktiež poznamenala, že dnes existujú také pamäte, do ktorých sa zapisuje celý žurnál údajov, ktoré sa dajú kedykoľvek dohľadať a odkontrolovať s údajmi, ktoré boli na FS odoslané. Dokonca je možné takúto kontrolu vykonať aj na diaľku. Updaty sa robia on-line – funguje to tak aj v Maďarsku. </w:t>
            </w:r>
          </w:p>
          <w:p w:rsidR="00777E1B" w:rsidRPr="00777E1B" w:rsidRDefault="00777E1B" w:rsidP="008A58BE">
            <w:pPr>
              <w:pStyle w:val="Odsekzoznamu"/>
              <w:ind w:left="0"/>
              <w:jc w:val="both"/>
              <w:rPr>
                <w:rFonts w:ascii="Times New Roman" w:hAnsi="Times New Roman"/>
                <w:sz w:val="20"/>
                <w:szCs w:val="20"/>
              </w:rPr>
            </w:pPr>
          </w:p>
          <w:p w:rsidR="00777E1B" w:rsidRPr="00777E1B" w:rsidRDefault="00777E1B" w:rsidP="008A58BE">
            <w:pPr>
              <w:pStyle w:val="Odsekzoznamu"/>
              <w:numPr>
                <w:ilvl w:val="0"/>
                <w:numId w:val="29"/>
              </w:numPr>
              <w:ind w:left="0"/>
              <w:jc w:val="both"/>
              <w:rPr>
                <w:rFonts w:ascii="Times New Roman" w:hAnsi="Times New Roman"/>
                <w:sz w:val="20"/>
                <w:szCs w:val="20"/>
              </w:rPr>
            </w:pPr>
            <w:r w:rsidRPr="00777E1B">
              <w:rPr>
                <w:rFonts w:ascii="Times New Roman" w:hAnsi="Times New Roman"/>
                <w:b/>
                <w:sz w:val="20"/>
                <w:szCs w:val="20"/>
              </w:rPr>
              <w:t xml:space="preserve">Slovak Business </w:t>
            </w:r>
            <w:proofErr w:type="spellStart"/>
            <w:r w:rsidRPr="00777E1B">
              <w:rPr>
                <w:rFonts w:ascii="Times New Roman" w:hAnsi="Times New Roman"/>
                <w:b/>
                <w:sz w:val="20"/>
                <w:szCs w:val="20"/>
              </w:rPr>
              <w:t>Agency</w:t>
            </w:r>
            <w:proofErr w:type="spellEnd"/>
            <w:r w:rsidRPr="00777E1B">
              <w:rPr>
                <w:rFonts w:ascii="Times New Roman" w:hAnsi="Times New Roman"/>
                <w:b/>
                <w:sz w:val="20"/>
                <w:szCs w:val="20"/>
              </w:rPr>
              <w:t xml:space="preserve"> </w:t>
            </w:r>
            <w:r w:rsidRPr="00777E1B">
              <w:rPr>
                <w:rFonts w:ascii="Times New Roman" w:hAnsi="Times New Roman"/>
                <w:sz w:val="20"/>
                <w:szCs w:val="20"/>
              </w:rPr>
              <w:t>ešte položilo otázku, či MF SR disponuje podkladmi pre vyčíslenie zníženia administratívnej záťaže a nákladov pri prevádzke a čo bude konkrétne táto zmena predstavovať pre vybrané podnikateľské subjekty?</w:t>
            </w:r>
          </w:p>
          <w:p w:rsidR="00777E1B" w:rsidRPr="00777E1B" w:rsidRDefault="00777E1B" w:rsidP="008A58BE">
            <w:pPr>
              <w:spacing w:line="276" w:lineRule="auto"/>
              <w:jc w:val="both"/>
            </w:pPr>
            <w:r w:rsidRPr="00777E1B">
              <w:t>FR SR a MF SR – ide napr. o tieto prínosy pre podnikateľov:</w:t>
            </w:r>
          </w:p>
          <w:p w:rsidR="00777E1B" w:rsidRPr="00777E1B" w:rsidRDefault="00777E1B" w:rsidP="008A58BE">
            <w:pPr>
              <w:pStyle w:val="Odsekzoznamu"/>
              <w:numPr>
                <w:ilvl w:val="0"/>
                <w:numId w:val="30"/>
              </w:numPr>
              <w:jc w:val="both"/>
              <w:rPr>
                <w:rFonts w:ascii="Times New Roman" w:hAnsi="Times New Roman"/>
                <w:sz w:val="20"/>
                <w:szCs w:val="20"/>
              </w:rPr>
            </w:pPr>
            <w:r w:rsidRPr="00777E1B">
              <w:rPr>
                <w:rFonts w:ascii="Times New Roman" w:hAnsi="Times New Roman"/>
                <w:sz w:val="20"/>
                <w:szCs w:val="20"/>
              </w:rPr>
              <w:t xml:space="preserve">nebude nutné vykonávať povinné servisné prehliadky – znížia sa náklady na servis, </w:t>
            </w:r>
          </w:p>
          <w:p w:rsidR="00777E1B" w:rsidRPr="00777E1B" w:rsidRDefault="00777E1B" w:rsidP="008A58BE">
            <w:pPr>
              <w:pStyle w:val="Odsekzoznamu"/>
              <w:numPr>
                <w:ilvl w:val="0"/>
                <w:numId w:val="30"/>
              </w:numPr>
              <w:jc w:val="both"/>
              <w:rPr>
                <w:rFonts w:ascii="Times New Roman" w:hAnsi="Times New Roman"/>
                <w:sz w:val="20"/>
                <w:szCs w:val="20"/>
              </w:rPr>
            </w:pPr>
            <w:r w:rsidRPr="00777E1B">
              <w:rPr>
                <w:rFonts w:ascii="Times New Roman" w:hAnsi="Times New Roman"/>
                <w:sz w:val="20"/>
                <w:szCs w:val="20"/>
              </w:rPr>
              <w:t xml:space="preserve">nebude sa používať kniha pokladnice, </w:t>
            </w:r>
          </w:p>
          <w:p w:rsidR="00777E1B" w:rsidRPr="00777E1B" w:rsidRDefault="00777E1B" w:rsidP="008A58BE">
            <w:pPr>
              <w:pStyle w:val="Odsekzoznamu"/>
              <w:numPr>
                <w:ilvl w:val="0"/>
                <w:numId w:val="30"/>
              </w:numPr>
              <w:jc w:val="both"/>
              <w:rPr>
                <w:rFonts w:ascii="Times New Roman" w:hAnsi="Times New Roman"/>
                <w:sz w:val="20"/>
                <w:szCs w:val="20"/>
              </w:rPr>
            </w:pPr>
            <w:r w:rsidRPr="00777E1B">
              <w:rPr>
                <w:rFonts w:ascii="Times New Roman" w:hAnsi="Times New Roman"/>
                <w:sz w:val="20"/>
                <w:szCs w:val="20"/>
              </w:rPr>
              <w:t>môže sa používať všetok dostupný hardvér, nastavenie softvéru nebude predpísané zákonom</w:t>
            </w:r>
          </w:p>
          <w:p w:rsidR="00777E1B" w:rsidRDefault="00777E1B" w:rsidP="008A58BE">
            <w:pPr>
              <w:spacing w:line="276" w:lineRule="auto"/>
              <w:jc w:val="both"/>
            </w:pPr>
            <w:r w:rsidRPr="00777E1B">
              <w:t xml:space="preserve">GR sekcie boja proti podvodom a analýzy rizík Ing. </w:t>
            </w:r>
            <w:proofErr w:type="spellStart"/>
            <w:r w:rsidRPr="00777E1B">
              <w:t>Hanniker</w:t>
            </w:r>
            <w:proofErr w:type="spellEnd"/>
            <w:r w:rsidRPr="00777E1B">
              <w:t xml:space="preserve"> uviedol informáciu, že minister financií rozmýšľa o benefite pre všetkých, ktorí sa budú pripájať. Nakoľko uvedený benefit ešte nie je odsúhlasený, nebol konkrétnejšie špecifikovaný.</w:t>
            </w:r>
          </w:p>
          <w:p w:rsidR="00495263" w:rsidRPr="00777E1B" w:rsidRDefault="00495263" w:rsidP="008A58BE">
            <w:pPr>
              <w:spacing w:line="276" w:lineRule="auto"/>
              <w:jc w:val="both"/>
            </w:pPr>
          </w:p>
          <w:p w:rsidR="00777E1B" w:rsidRPr="00777E1B" w:rsidRDefault="00777E1B" w:rsidP="008A58BE">
            <w:pPr>
              <w:pStyle w:val="Odsekzoznamu"/>
              <w:numPr>
                <w:ilvl w:val="0"/>
                <w:numId w:val="31"/>
              </w:numPr>
              <w:ind w:left="0"/>
              <w:jc w:val="both"/>
              <w:rPr>
                <w:rFonts w:ascii="Times New Roman" w:hAnsi="Times New Roman"/>
                <w:sz w:val="20"/>
                <w:szCs w:val="20"/>
              </w:rPr>
            </w:pPr>
            <w:r w:rsidRPr="00777E1B">
              <w:rPr>
                <w:rFonts w:ascii="Times New Roman" w:hAnsi="Times New Roman"/>
                <w:b/>
                <w:sz w:val="20"/>
                <w:szCs w:val="20"/>
              </w:rPr>
              <w:t>Spoločnosť BEFARE 1 s. r. o.</w:t>
            </w:r>
            <w:r w:rsidRPr="00777E1B">
              <w:rPr>
                <w:rFonts w:ascii="Times New Roman" w:hAnsi="Times New Roman"/>
                <w:sz w:val="20"/>
                <w:szCs w:val="20"/>
              </w:rPr>
              <w:t xml:space="preserve">  poukázala na riziko výpadku internetu. Ako sa dá podnikateľovi dokázať, že v určitom čase neevidoval tržby v dôsledku výpadku internetu? Spoločnosť BEFARE 1 s. r. o. má záujem, aby sa používanie knihy elektronickej registračnej pokladnice zachovalo a tvrdí, že kniha pokladnice má svoje opodstatnenie z nasledovných dôvodov:</w:t>
            </w:r>
          </w:p>
          <w:p w:rsidR="00777E1B" w:rsidRPr="00777E1B" w:rsidRDefault="00777E1B" w:rsidP="008A58BE">
            <w:pPr>
              <w:pStyle w:val="Odsekzoznamu"/>
              <w:numPr>
                <w:ilvl w:val="0"/>
                <w:numId w:val="22"/>
              </w:numPr>
              <w:jc w:val="both"/>
              <w:rPr>
                <w:rFonts w:ascii="Times New Roman" w:hAnsi="Times New Roman"/>
                <w:sz w:val="20"/>
                <w:szCs w:val="20"/>
              </w:rPr>
            </w:pPr>
            <w:r w:rsidRPr="00777E1B">
              <w:rPr>
                <w:rFonts w:ascii="Times New Roman" w:hAnsi="Times New Roman"/>
                <w:sz w:val="20"/>
                <w:szCs w:val="20"/>
              </w:rPr>
              <w:t>Na prvej strane je jasne definované zariadenie s výrobným číslom zviazané s konkrétnym podnikateľským subjektom</w:t>
            </w:r>
          </w:p>
          <w:p w:rsidR="00777E1B" w:rsidRPr="00777E1B" w:rsidRDefault="00777E1B" w:rsidP="008A58BE">
            <w:pPr>
              <w:pStyle w:val="Odsekzoznamu"/>
              <w:numPr>
                <w:ilvl w:val="0"/>
                <w:numId w:val="22"/>
              </w:numPr>
              <w:jc w:val="both"/>
              <w:rPr>
                <w:rFonts w:ascii="Times New Roman" w:hAnsi="Times New Roman"/>
                <w:sz w:val="20"/>
                <w:szCs w:val="20"/>
              </w:rPr>
            </w:pPr>
            <w:r w:rsidRPr="00777E1B">
              <w:rPr>
                <w:rFonts w:ascii="Times New Roman" w:hAnsi="Times New Roman"/>
                <w:sz w:val="20"/>
                <w:szCs w:val="20"/>
              </w:rPr>
              <w:t>V časti „Záznamy daňového úradu“ je pridelené jedinečné číslo zariadenia čo zabezpečuje nezameniteľnosť daného zariadenia s vydávanými bločkami.</w:t>
            </w:r>
          </w:p>
          <w:p w:rsidR="00777E1B" w:rsidRPr="00777E1B" w:rsidRDefault="00777E1B" w:rsidP="008A58BE">
            <w:pPr>
              <w:pStyle w:val="Odsekzoznamu"/>
              <w:numPr>
                <w:ilvl w:val="0"/>
                <w:numId w:val="22"/>
              </w:numPr>
              <w:jc w:val="both"/>
              <w:rPr>
                <w:rFonts w:ascii="Times New Roman" w:hAnsi="Times New Roman"/>
                <w:sz w:val="20"/>
                <w:szCs w:val="20"/>
              </w:rPr>
            </w:pPr>
            <w:r w:rsidRPr="00777E1B">
              <w:rPr>
                <w:rFonts w:ascii="Times New Roman" w:hAnsi="Times New Roman"/>
                <w:sz w:val="20"/>
                <w:szCs w:val="20"/>
              </w:rPr>
              <w:t>V časti „Záznamy podnikateľa“ je zákonom dané zapisovanie každého prerušenia prevádzky zariadenia</w:t>
            </w:r>
          </w:p>
          <w:p w:rsidR="00777E1B" w:rsidRPr="00777E1B" w:rsidRDefault="00777E1B" w:rsidP="008A58BE">
            <w:pPr>
              <w:pStyle w:val="Odsekzoznamu"/>
              <w:numPr>
                <w:ilvl w:val="0"/>
                <w:numId w:val="22"/>
              </w:numPr>
              <w:jc w:val="both"/>
              <w:rPr>
                <w:rFonts w:ascii="Times New Roman" w:hAnsi="Times New Roman"/>
                <w:sz w:val="20"/>
                <w:szCs w:val="20"/>
              </w:rPr>
            </w:pPr>
            <w:r w:rsidRPr="00777E1B">
              <w:rPr>
                <w:rFonts w:ascii="Times New Roman" w:hAnsi="Times New Roman"/>
                <w:sz w:val="20"/>
                <w:szCs w:val="20"/>
              </w:rPr>
              <w:t xml:space="preserve"> „V časti Záznamy servisnej organizácie“ vieme nájsť napr. poškodenie plomby, výmenu fiškálnych pamätí a ďalších servisných úkonov nehovoriac o tom, že servisné organizácie si vo vlastnom záujme sledujú, či tam nedochádza nekalej činnosti.</w:t>
            </w:r>
          </w:p>
          <w:p w:rsidR="00777E1B" w:rsidRPr="00777E1B" w:rsidRDefault="00777E1B" w:rsidP="008A58BE">
            <w:pPr>
              <w:spacing w:line="276" w:lineRule="auto"/>
              <w:jc w:val="both"/>
            </w:pPr>
            <w:r w:rsidRPr="00777E1B">
              <w:t>MF SR uzavrelo konzultácie s tým, že návrh zákona je v prípravnej fáze a navrhuje sa počkať na materiál, ktorý bude pre verejnosť dostupný v MPK koncom mája 2018. MF SR prisľúbilo, že zúčastneným podnikateľským subjektom bude v dostatočnom časovom predstihu zaslaný internetový odkaz na MPK, v rámci ktorého môžu zasielať svoje pripomienky. Zároveň MF SR poďakovalo zástupcom FR SR a  podnikateľským subjektom za účasť, konštruktívnu diskusiu a podnetné informácie.</w:t>
            </w:r>
          </w:p>
          <w:p w:rsidR="00777E1B" w:rsidRPr="00777E1B" w:rsidRDefault="00777E1B" w:rsidP="008A58BE">
            <w:pPr>
              <w:spacing w:line="276" w:lineRule="auto"/>
              <w:jc w:val="both"/>
            </w:pPr>
            <w:r w:rsidRPr="00777E1B">
              <w:t xml:space="preserve">GR sekcie boja proti podvodom a analýzy rizík Ing. </w:t>
            </w:r>
            <w:proofErr w:type="spellStart"/>
            <w:r w:rsidRPr="00777E1B">
              <w:t>Hanniker</w:t>
            </w:r>
            <w:proofErr w:type="spellEnd"/>
            <w:r w:rsidRPr="00777E1B">
              <w:t xml:space="preserve"> v závere uviedol, že  nie je v jeho kompetencii rozhodovať o termínoch, ale vníma krátkosť času pre prípravu podnikateľov nadväzne na navrhované zmeny a bude tento problém reprodukovať kompetentným. Taktiež prisľúbil podnikateľským subjektom poskytnutie technických požiadaviek bezodkladne po ich skompletizovaní. </w:t>
            </w:r>
          </w:p>
          <w:p w:rsidR="00777E1B" w:rsidRPr="00777E1B" w:rsidRDefault="00777E1B" w:rsidP="008A58BE">
            <w:pPr>
              <w:spacing w:line="276" w:lineRule="auto"/>
              <w:jc w:val="both"/>
            </w:pPr>
            <w:r w:rsidRPr="00777E1B">
              <w:t>Podnikateľské subjekty podporili on-</w:t>
            </w:r>
            <w:proofErr w:type="spellStart"/>
            <w:r w:rsidRPr="00777E1B">
              <w:t>linezáciu</w:t>
            </w:r>
            <w:proofErr w:type="spellEnd"/>
            <w:r w:rsidRPr="00777E1B">
              <w:t>, ktorá zabezpečí spoľahlivé, bezpečné a </w:t>
            </w:r>
            <w:proofErr w:type="spellStart"/>
            <w:r w:rsidRPr="00777E1B">
              <w:t>odkontrolovateľné</w:t>
            </w:r>
            <w:proofErr w:type="spellEnd"/>
            <w:r w:rsidRPr="00777E1B">
              <w:t xml:space="preserve"> odosielanie údajov na FS, s dôrazom na uchovávanie údajov aj v pokladnici </w:t>
            </w:r>
            <w:r w:rsidR="006368E9">
              <w:t>e</w:t>
            </w:r>
            <w:r w:rsidRPr="00777E1B">
              <w:t>-kasa za účelom efektívnej kontroly.</w:t>
            </w:r>
          </w:p>
          <w:p w:rsidR="00777E1B" w:rsidRDefault="00777E1B" w:rsidP="008A58BE">
            <w:pPr>
              <w:spacing w:line="276" w:lineRule="auto"/>
              <w:jc w:val="both"/>
            </w:pPr>
            <w:r w:rsidRPr="00777E1B">
              <w:t xml:space="preserve">Zástupca SO navrhol zamyslieť nad tým, že pre mnohých je činnosť servisnej organizácie jediný dlhoročný príjem. Pokiaľ nebudú mať oporu v zákone, bude to mať vplyv na zvýšenie nezamestnanosti. </w:t>
            </w:r>
          </w:p>
          <w:p w:rsidR="00777E1B" w:rsidRDefault="00777E1B" w:rsidP="008A58BE">
            <w:pPr>
              <w:spacing w:line="276" w:lineRule="auto"/>
              <w:jc w:val="both"/>
            </w:pPr>
          </w:p>
          <w:p w:rsidR="00777E1B" w:rsidRDefault="00777E1B" w:rsidP="008A58BE">
            <w:pPr>
              <w:spacing w:line="276" w:lineRule="auto"/>
              <w:jc w:val="both"/>
            </w:pPr>
            <w:r>
              <w:t>Konzultácie boli ukončené dňa 11. 05. 2018</w:t>
            </w:r>
          </w:p>
          <w:p w:rsidR="00710209" w:rsidRDefault="00710209" w:rsidP="008A58BE">
            <w:pPr>
              <w:spacing w:line="276" w:lineRule="auto"/>
              <w:jc w:val="both"/>
            </w:pPr>
          </w:p>
          <w:p w:rsidR="00133777" w:rsidRDefault="00133777" w:rsidP="00133777">
            <w:pPr>
              <w:spacing w:line="276" w:lineRule="auto"/>
              <w:jc w:val="both"/>
            </w:pPr>
          </w:p>
          <w:p w:rsidR="00133777" w:rsidRPr="00777E1B" w:rsidRDefault="00133777" w:rsidP="00133777">
            <w:pPr>
              <w:spacing w:line="276" w:lineRule="auto"/>
              <w:jc w:val="both"/>
            </w:pPr>
            <w:r>
              <w:t xml:space="preserve">K čl. II až IV sa konzultácie neuskutočnili. </w:t>
            </w:r>
          </w:p>
          <w:p w:rsidR="00777E1B" w:rsidRPr="00777E1B" w:rsidRDefault="00777E1B" w:rsidP="008A58BE">
            <w:pPr>
              <w:spacing w:line="276" w:lineRule="auto"/>
              <w:jc w:val="both"/>
            </w:pPr>
          </w:p>
          <w:p w:rsidR="00540EB0" w:rsidRPr="0008491F" w:rsidRDefault="00540EB0" w:rsidP="008A58BE">
            <w:pPr>
              <w:pStyle w:val="Standard"/>
              <w:jc w:val="both"/>
              <w:rPr>
                <w:i/>
              </w:rPr>
            </w:pPr>
          </w:p>
        </w:tc>
      </w:tr>
      <w:tr w:rsidR="009F2DFA" w:rsidRPr="00F04CCD" w:rsidTr="007B71A4">
        <w:tc>
          <w:tcPr>
            <w:tcW w:w="9212" w:type="dxa"/>
            <w:shd w:val="clear" w:color="auto" w:fill="D9D9D9" w:themeFill="background1" w:themeFillShade="D9"/>
          </w:tcPr>
          <w:p w:rsidR="009F2DFA" w:rsidRPr="00042C66" w:rsidRDefault="002B1108" w:rsidP="008A58BE">
            <w:pPr>
              <w:jc w:val="both"/>
              <w:rPr>
                <w:b/>
                <w:sz w:val="24"/>
              </w:rPr>
            </w:pPr>
            <w:r>
              <w:rPr>
                <w:b/>
                <w:sz w:val="24"/>
              </w:rPr>
              <w:lastRenderedPageBreak/>
              <w:t>3</w:t>
            </w:r>
            <w:r w:rsidR="009F2DFA" w:rsidRPr="00042C66">
              <w:rPr>
                <w:b/>
                <w:sz w:val="24"/>
              </w:rPr>
              <w:t>.3 Náklady regulácie</w:t>
            </w:r>
          </w:p>
          <w:p w:rsidR="009F2DFA" w:rsidRPr="00F04CCD" w:rsidRDefault="009F2DFA" w:rsidP="008A58BE">
            <w:pPr>
              <w:jc w:val="both"/>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Pr>
          <w:p w:rsidR="009F2DFA" w:rsidRDefault="009F2DFA" w:rsidP="007B71A4">
            <w:pPr>
              <w:rPr>
                <w:b/>
                <w:i/>
              </w:rPr>
            </w:pPr>
          </w:p>
          <w:p w:rsidR="00AE3DC7" w:rsidRPr="00F04CCD" w:rsidRDefault="00AE3DC7" w:rsidP="007B71A4">
            <w:pPr>
              <w:rPr>
                <w:b/>
                <w:i/>
              </w:rPr>
            </w:pPr>
          </w:p>
          <w:p w:rsidR="009F2DFA" w:rsidRPr="000E2CC9" w:rsidRDefault="000E2CC9" w:rsidP="007B71A4">
            <w:pPr>
              <w:rPr>
                <w:b/>
              </w:rPr>
            </w:pPr>
            <w:r w:rsidRPr="000E2CC9">
              <w:rPr>
                <w:b/>
              </w:rPr>
              <w:t>Uvedeným návrhom nedochádza k zvýšeniu/zníženiu priamych finančných nákladov.</w:t>
            </w:r>
          </w:p>
          <w:p w:rsidR="009F2DFA" w:rsidRDefault="009F2DFA" w:rsidP="007B71A4">
            <w:pPr>
              <w:rPr>
                <w:b/>
                <w:i/>
              </w:rPr>
            </w:pPr>
          </w:p>
          <w:p w:rsidR="00AE3DC7" w:rsidRDefault="00AE3DC7" w:rsidP="007B71A4">
            <w:pPr>
              <w:rPr>
                <w:b/>
                <w:i/>
              </w:rPr>
            </w:pPr>
          </w:p>
          <w:p w:rsidR="00AE3DC7" w:rsidRDefault="00AE3DC7" w:rsidP="007B71A4">
            <w:pPr>
              <w:rPr>
                <w:b/>
                <w:i/>
              </w:rPr>
            </w:pPr>
          </w:p>
          <w:p w:rsidR="00AE3DC7" w:rsidRDefault="00AE3DC7" w:rsidP="007B71A4">
            <w:pPr>
              <w:rPr>
                <w:b/>
                <w:i/>
              </w:rPr>
            </w:pPr>
          </w:p>
          <w:p w:rsidR="00D06344" w:rsidRDefault="00D06344" w:rsidP="007B71A4">
            <w:pPr>
              <w:rPr>
                <w:b/>
                <w:i/>
              </w:rPr>
            </w:pPr>
          </w:p>
          <w:p w:rsidR="00AE3DC7" w:rsidRPr="00F04CCD" w:rsidRDefault="00AE3DC7" w:rsidP="007B71A4">
            <w:pPr>
              <w:rPr>
                <w:b/>
                <w:i/>
              </w:rPr>
            </w:pPr>
          </w:p>
        </w:tc>
      </w:tr>
      <w:tr w:rsidR="009F2DFA" w:rsidRPr="00F04CCD" w:rsidTr="007B71A4">
        <w:tc>
          <w:tcPr>
            <w:tcW w:w="9212" w:type="dxa"/>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Pr>
          <w:p w:rsidR="0082029F" w:rsidRPr="00C51427" w:rsidRDefault="00BF1928" w:rsidP="00C51427">
            <w:pPr>
              <w:spacing w:after="160" w:line="259" w:lineRule="auto"/>
              <w:jc w:val="both"/>
              <w:rPr>
                <w:b/>
                <w:sz w:val="28"/>
                <w:szCs w:val="28"/>
              </w:rPr>
            </w:pPr>
            <w:r>
              <w:rPr>
                <w:b/>
                <w:bCs/>
                <w:color w:val="000000"/>
                <w:sz w:val="28"/>
                <w:szCs w:val="28"/>
              </w:rPr>
              <w:t xml:space="preserve">Čl. I </w:t>
            </w:r>
            <w:r w:rsidR="00D77653">
              <w:rPr>
                <w:b/>
                <w:bCs/>
                <w:color w:val="000000"/>
                <w:sz w:val="28"/>
                <w:szCs w:val="28"/>
              </w:rPr>
              <w:t xml:space="preserve">- </w:t>
            </w:r>
            <w:r w:rsidR="0082029F" w:rsidRPr="00BF1928">
              <w:rPr>
                <w:b/>
                <w:bCs/>
                <w:color w:val="000000"/>
                <w:sz w:val="28"/>
                <w:szCs w:val="28"/>
              </w:rPr>
              <w:t xml:space="preserve">Náklady na zmenu pokladníc </w:t>
            </w:r>
          </w:p>
          <w:p w:rsidR="0082029F" w:rsidRPr="007E6AAA" w:rsidRDefault="0082029F" w:rsidP="0082029F">
            <w:pPr>
              <w:numPr>
                <w:ilvl w:val="0"/>
                <w:numId w:val="33"/>
              </w:numPr>
              <w:spacing w:after="160" w:line="259" w:lineRule="auto"/>
              <w:contextualSpacing/>
              <w:jc w:val="both"/>
              <w:rPr>
                <w:lang w:eastAsia="en-US"/>
              </w:rPr>
            </w:pPr>
            <w:r w:rsidRPr="007E6AAA">
              <w:rPr>
                <w:lang w:eastAsia="en-US"/>
              </w:rPr>
              <w:t xml:space="preserve">Povinný prechod zo súčasných </w:t>
            </w:r>
            <w:r w:rsidRPr="00F57D2D">
              <w:rPr>
                <w:lang w:eastAsia="en-US"/>
              </w:rPr>
              <w:t>elektronických registračných pokladníc (</w:t>
            </w:r>
            <w:r w:rsidRPr="007E6AAA">
              <w:rPr>
                <w:lang w:eastAsia="en-US"/>
              </w:rPr>
              <w:t>ERP</w:t>
            </w:r>
            <w:r w:rsidRPr="00F57D2D">
              <w:rPr>
                <w:lang w:eastAsia="en-US"/>
              </w:rPr>
              <w:t>)</w:t>
            </w:r>
            <w:r w:rsidRPr="007E6AAA">
              <w:rPr>
                <w:lang w:eastAsia="en-US"/>
              </w:rPr>
              <w:t xml:space="preserve"> na</w:t>
            </w:r>
            <w:r w:rsidR="00B676E2">
              <w:rPr>
                <w:lang w:eastAsia="en-US"/>
              </w:rPr>
              <w:t xml:space="preserve"> on-line pokladnicu </w:t>
            </w:r>
            <w:r w:rsidR="00B676E2">
              <w:rPr>
                <w:lang w:eastAsia="en-US"/>
              </w:rPr>
              <w:br/>
              <w:t>(e</w:t>
            </w:r>
            <w:r w:rsidRPr="00F57D2D">
              <w:rPr>
                <w:lang w:eastAsia="en-US"/>
              </w:rPr>
              <w:t>-kasa)</w:t>
            </w:r>
            <w:r w:rsidRPr="007E6AAA">
              <w:rPr>
                <w:lang w:eastAsia="en-US"/>
              </w:rPr>
              <w:t xml:space="preserve"> bude v dvoch krokoch. Od 1.4.2019 (1. </w:t>
            </w:r>
            <w:r w:rsidR="00B676E2">
              <w:rPr>
                <w:lang w:eastAsia="en-US"/>
              </w:rPr>
              <w:t>etapa) bude povinné používanie e</w:t>
            </w:r>
            <w:r w:rsidRPr="007E6AAA">
              <w:rPr>
                <w:lang w:eastAsia="en-US"/>
              </w:rPr>
              <w:t xml:space="preserve">-kasy pre sektor </w:t>
            </w:r>
            <w:r w:rsidRPr="00F57D2D">
              <w:rPr>
                <w:lang w:eastAsia="en-US"/>
              </w:rPr>
              <w:t>u</w:t>
            </w:r>
            <w:r w:rsidRPr="007E6AAA">
              <w:rPr>
                <w:lang w:eastAsia="en-US"/>
              </w:rPr>
              <w:t>bytovanie a služby reštaurácií a pre čerpacie stanice a od 1.7.2019 (2. etapa) pre maloobchod, služby.</w:t>
            </w:r>
          </w:p>
          <w:p w:rsidR="00C51427" w:rsidRPr="00C51427" w:rsidRDefault="00C51427" w:rsidP="00C51427">
            <w:pPr>
              <w:pStyle w:val="Odsekzoznamu"/>
              <w:numPr>
                <w:ilvl w:val="0"/>
                <w:numId w:val="33"/>
              </w:numPr>
              <w:spacing w:after="160" w:line="259" w:lineRule="auto"/>
              <w:jc w:val="both"/>
              <w:rPr>
                <w:rFonts w:ascii="Times New Roman" w:hAnsi="Times New Roman"/>
                <w:b/>
                <w:sz w:val="20"/>
                <w:szCs w:val="20"/>
              </w:rPr>
            </w:pPr>
            <w:r w:rsidRPr="00C51427">
              <w:rPr>
                <w:rFonts w:ascii="Times New Roman" w:hAnsi="Times New Roman"/>
                <w:b/>
                <w:sz w:val="20"/>
                <w:szCs w:val="20"/>
              </w:rPr>
              <w:t>Jednorazové investičné náklad</w:t>
            </w:r>
            <w:r w:rsidRPr="00C51427">
              <w:rPr>
                <w:rFonts w:ascii="Times New Roman" w:hAnsi="Times New Roman"/>
                <w:sz w:val="20"/>
                <w:szCs w:val="20"/>
              </w:rPr>
              <w:t xml:space="preserve">y na zavedenie e-kasy </w:t>
            </w:r>
            <w:r w:rsidRPr="00C51427">
              <w:rPr>
                <w:rFonts w:ascii="Times New Roman" w:hAnsi="Times New Roman"/>
                <w:b/>
                <w:sz w:val="20"/>
                <w:szCs w:val="20"/>
              </w:rPr>
              <w:t xml:space="preserve">pre podnikateľské subjekty odhadujeme na 28,0 mil. eur. </w:t>
            </w:r>
            <w:r w:rsidRPr="00C51427">
              <w:rPr>
                <w:rFonts w:ascii="Times New Roman" w:hAnsi="Times New Roman"/>
                <w:sz w:val="20"/>
                <w:szCs w:val="20"/>
              </w:rPr>
              <w:t>Predpokladáme, že 80% pokladní na trhu bude možné upraviť pomocou doplnkového hardvéru a aktualizácie softvéru</w:t>
            </w:r>
            <w:r w:rsidRPr="00C51427">
              <w:rPr>
                <w:rStyle w:val="Odkaznapoznmkupodiarou"/>
                <w:rFonts w:ascii="Times New Roman" w:hAnsi="Times New Roman"/>
                <w:sz w:val="20"/>
                <w:szCs w:val="20"/>
              </w:rPr>
              <w:footnoteReference w:id="1"/>
            </w:r>
            <w:r w:rsidRPr="00C51427">
              <w:rPr>
                <w:rFonts w:ascii="Times New Roman" w:hAnsi="Times New Roman"/>
                <w:sz w:val="20"/>
                <w:szCs w:val="20"/>
              </w:rPr>
              <w:t xml:space="preserve">. Celkový náklad úpravy pokladne, vrátane zavedenia chráneného dátového úložiska, odhadujeme na 80 eur. Zvyšných 20% bude potrebné vymeniť za novú pokladňu s priemernou cenou 280 eur za pokladňu. </w:t>
            </w:r>
          </w:p>
          <w:p w:rsidR="0082029F" w:rsidRPr="00EC298B" w:rsidRDefault="0082029F" w:rsidP="00C51427">
            <w:pPr>
              <w:spacing w:after="160" w:line="259" w:lineRule="auto"/>
              <w:contextualSpacing/>
              <w:jc w:val="both"/>
              <w:rPr>
                <w:b/>
                <w:lang w:eastAsia="en-US"/>
              </w:rPr>
            </w:pPr>
          </w:p>
          <w:tbl>
            <w:tblPr>
              <w:tblW w:w="8060" w:type="dxa"/>
              <w:jc w:val="center"/>
              <w:tblCellMar>
                <w:left w:w="70" w:type="dxa"/>
                <w:right w:w="70" w:type="dxa"/>
              </w:tblCellMar>
              <w:tblLook w:val="04A0" w:firstRow="1" w:lastRow="0" w:firstColumn="1" w:lastColumn="0" w:noHBand="0" w:noVBand="1"/>
            </w:tblPr>
            <w:tblGrid>
              <w:gridCol w:w="3946"/>
              <w:gridCol w:w="1450"/>
              <w:gridCol w:w="1384"/>
              <w:gridCol w:w="1280"/>
            </w:tblGrid>
            <w:tr w:rsidR="00C51427" w:rsidRPr="00EC298B" w:rsidTr="005E0D5B">
              <w:trPr>
                <w:trHeight w:val="290"/>
                <w:jc w:val="center"/>
              </w:trPr>
              <w:tc>
                <w:tcPr>
                  <w:tcW w:w="8060" w:type="dxa"/>
                  <w:gridSpan w:val="4"/>
                  <w:tcBorders>
                    <w:top w:val="nil"/>
                    <w:left w:val="nil"/>
                    <w:bottom w:val="single" w:sz="4" w:space="0" w:color="auto"/>
                    <w:right w:val="nil"/>
                  </w:tcBorders>
                  <w:shd w:val="clear" w:color="auto" w:fill="auto"/>
                  <w:noWrap/>
                  <w:vAlign w:val="bottom"/>
                  <w:hideMark/>
                </w:tcPr>
                <w:p w:rsidR="00C51427" w:rsidRPr="00EC298B" w:rsidRDefault="00C51427" w:rsidP="00C51427">
                  <w:pPr>
                    <w:rPr>
                      <w:b/>
                      <w:bCs/>
                      <w:color w:val="000000"/>
                    </w:rPr>
                  </w:pPr>
                  <w:r w:rsidRPr="00EC298B">
                    <w:rPr>
                      <w:b/>
                      <w:bCs/>
                      <w:color w:val="000000"/>
                    </w:rPr>
                    <w:t>Náklady na zmenu pokladní vo všetkých sektoroch</w:t>
                  </w:r>
                </w:p>
              </w:tc>
            </w:tr>
            <w:tr w:rsidR="00C51427" w:rsidRPr="00EC298B" w:rsidTr="005E0D5B">
              <w:trPr>
                <w:trHeight w:val="570"/>
                <w:jc w:val="center"/>
              </w:trPr>
              <w:tc>
                <w:tcPr>
                  <w:tcW w:w="3946" w:type="dxa"/>
                  <w:tcBorders>
                    <w:top w:val="nil"/>
                    <w:left w:val="nil"/>
                    <w:bottom w:val="single" w:sz="4" w:space="0" w:color="auto"/>
                    <w:right w:val="nil"/>
                  </w:tcBorders>
                  <w:shd w:val="clear" w:color="auto" w:fill="auto"/>
                  <w:noWrap/>
                  <w:vAlign w:val="bottom"/>
                  <w:hideMark/>
                </w:tcPr>
                <w:p w:rsidR="00C51427" w:rsidRPr="00EC298B" w:rsidRDefault="00C51427" w:rsidP="00C51427">
                  <w:pPr>
                    <w:rPr>
                      <w:b/>
                      <w:bCs/>
                      <w:color w:val="000000"/>
                    </w:rPr>
                  </w:pPr>
                  <w:r w:rsidRPr="00EC298B">
                    <w:rPr>
                      <w:b/>
                      <w:bCs/>
                      <w:color w:val="000000"/>
                    </w:rPr>
                    <w:t> </w:t>
                  </w:r>
                </w:p>
              </w:tc>
              <w:tc>
                <w:tcPr>
                  <w:tcW w:w="1450" w:type="dxa"/>
                  <w:tcBorders>
                    <w:top w:val="nil"/>
                    <w:left w:val="nil"/>
                    <w:bottom w:val="single" w:sz="4" w:space="0" w:color="auto"/>
                    <w:right w:val="nil"/>
                  </w:tcBorders>
                  <w:shd w:val="clear" w:color="auto" w:fill="auto"/>
                  <w:vAlign w:val="center"/>
                  <w:hideMark/>
                </w:tcPr>
                <w:p w:rsidR="00C51427" w:rsidRPr="00EC298B" w:rsidRDefault="00C51427" w:rsidP="00C51427">
                  <w:pPr>
                    <w:jc w:val="center"/>
                    <w:rPr>
                      <w:b/>
                      <w:bCs/>
                      <w:color w:val="000000"/>
                    </w:rPr>
                  </w:pPr>
                  <w:r w:rsidRPr="00EC298B">
                    <w:rPr>
                      <w:b/>
                      <w:bCs/>
                      <w:color w:val="000000"/>
                    </w:rPr>
                    <w:t>jednotková cena (eur)</w:t>
                  </w:r>
                </w:p>
              </w:tc>
              <w:tc>
                <w:tcPr>
                  <w:tcW w:w="1384" w:type="dxa"/>
                  <w:tcBorders>
                    <w:top w:val="nil"/>
                    <w:left w:val="nil"/>
                    <w:bottom w:val="single" w:sz="4" w:space="0" w:color="auto"/>
                    <w:right w:val="nil"/>
                  </w:tcBorders>
                  <w:shd w:val="clear" w:color="auto" w:fill="auto"/>
                  <w:vAlign w:val="center"/>
                  <w:hideMark/>
                </w:tcPr>
                <w:p w:rsidR="00C51427" w:rsidRPr="00EC298B" w:rsidRDefault="00C51427" w:rsidP="00C51427">
                  <w:pPr>
                    <w:jc w:val="center"/>
                    <w:rPr>
                      <w:b/>
                      <w:bCs/>
                      <w:color w:val="000000"/>
                    </w:rPr>
                  </w:pPr>
                  <w:r w:rsidRPr="00EC298B">
                    <w:rPr>
                      <w:b/>
                      <w:bCs/>
                      <w:color w:val="000000"/>
                    </w:rPr>
                    <w:t>počet pokladníc</w:t>
                  </w:r>
                </w:p>
              </w:tc>
              <w:tc>
                <w:tcPr>
                  <w:tcW w:w="1280" w:type="dxa"/>
                  <w:tcBorders>
                    <w:top w:val="nil"/>
                    <w:left w:val="nil"/>
                    <w:bottom w:val="single" w:sz="4" w:space="0" w:color="auto"/>
                    <w:right w:val="nil"/>
                  </w:tcBorders>
                  <w:shd w:val="clear" w:color="auto" w:fill="auto"/>
                  <w:vAlign w:val="bottom"/>
                  <w:hideMark/>
                </w:tcPr>
                <w:p w:rsidR="00C51427" w:rsidRPr="00EC298B" w:rsidRDefault="00C51427" w:rsidP="00C51427">
                  <w:pPr>
                    <w:jc w:val="center"/>
                    <w:rPr>
                      <w:b/>
                      <w:bCs/>
                      <w:color w:val="000000"/>
                    </w:rPr>
                  </w:pPr>
                  <w:r w:rsidRPr="00EC298B">
                    <w:rPr>
                      <w:b/>
                      <w:bCs/>
                      <w:color w:val="000000"/>
                    </w:rPr>
                    <w:t>náklady (mil. eur)</w:t>
                  </w:r>
                </w:p>
              </w:tc>
            </w:tr>
            <w:tr w:rsidR="00C51427" w:rsidRPr="00EC298B" w:rsidTr="005E0D5B">
              <w:trPr>
                <w:trHeight w:val="290"/>
                <w:jc w:val="center"/>
              </w:trPr>
              <w:tc>
                <w:tcPr>
                  <w:tcW w:w="3946" w:type="dxa"/>
                  <w:tcBorders>
                    <w:top w:val="nil"/>
                    <w:left w:val="nil"/>
                    <w:bottom w:val="nil"/>
                    <w:right w:val="nil"/>
                  </w:tcBorders>
                  <w:shd w:val="clear" w:color="auto" w:fill="auto"/>
                  <w:noWrap/>
                  <w:vAlign w:val="bottom"/>
                  <w:hideMark/>
                </w:tcPr>
                <w:p w:rsidR="00C51427" w:rsidRPr="00EC298B" w:rsidRDefault="00C51427" w:rsidP="00C51427">
                  <w:pPr>
                    <w:rPr>
                      <w:color w:val="000000"/>
                    </w:rPr>
                  </w:pPr>
                  <w:r w:rsidRPr="00EC298B">
                    <w:rPr>
                      <w:color w:val="000000"/>
                    </w:rPr>
                    <w:t>Úprava pokladne (80% pokladní na trhu)</w:t>
                  </w:r>
                </w:p>
              </w:tc>
              <w:tc>
                <w:tcPr>
                  <w:tcW w:w="1450" w:type="dxa"/>
                  <w:tcBorders>
                    <w:top w:val="nil"/>
                    <w:left w:val="nil"/>
                    <w:bottom w:val="nil"/>
                    <w:right w:val="nil"/>
                  </w:tcBorders>
                  <w:shd w:val="clear" w:color="auto" w:fill="auto"/>
                  <w:noWrap/>
                  <w:vAlign w:val="center"/>
                  <w:hideMark/>
                </w:tcPr>
                <w:p w:rsidR="00C51427" w:rsidRPr="00EC298B" w:rsidRDefault="00C51427" w:rsidP="00C51427">
                  <w:pPr>
                    <w:jc w:val="center"/>
                    <w:rPr>
                      <w:color w:val="000000"/>
                    </w:rPr>
                  </w:pPr>
                  <w:r w:rsidRPr="00EC298B">
                    <w:rPr>
                      <w:color w:val="000000"/>
                    </w:rPr>
                    <w:t>80</w:t>
                  </w:r>
                </w:p>
              </w:tc>
              <w:tc>
                <w:tcPr>
                  <w:tcW w:w="1384" w:type="dxa"/>
                  <w:tcBorders>
                    <w:top w:val="nil"/>
                    <w:left w:val="nil"/>
                    <w:bottom w:val="nil"/>
                    <w:right w:val="nil"/>
                  </w:tcBorders>
                  <w:shd w:val="clear" w:color="auto" w:fill="auto"/>
                  <w:noWrap/>
                  <w:vAlign w:val="center"/>
                  <w:hideMark/>
                </w:tcPr>
                <w:p w:rsidR="00C51427" w:rsidRPr="00EC298B" w:rsidRDefault="00C51427" w:rsidP="00C51427">
                  <w:pPr>
                    <w:jc w:val="center"/>
                    <w:rPr>
                      <w:color w:val="000000"/>
                    </w:rPr>
                  </w:pPr>
                  <w:r w:rsidRPr="00EC298B">
                    <w:rPr>
                      <w:color w:val="000000"/>
                    </w:rPr>
                    <w:t>186 710</w:t>
                  </w:r>
                </w:p>
              </w:tc>
              <w:tc>
                <w:tcPr>
                  <w:tcW w:w="1280" w:type="dxa"/>
                  <w:tcBorders>
                    <w:top w:val="nil"/>
                    <w:left w:val="nil"/>
                    <w:bottom w:val="nil"/>
                    <w:right w:val="nil"/>
                  </w:tcBorders>
                  <w:shd w:val="clear" w:color="auto" w:fill="auto"/>
                  <w:noWrap/>
                  <w:vAlign w:val="center"/>
                  <w:hideMark/>
                </w:tcPr>
                <w:p w:rsidR="00C51427" w:rsidRPr="00EC298B" w:rsidRDefault="00C51427" w:rsidP="00C51427">
                  <w:pPr>
                    <w:jc w:val="center"/>
                    <w:rPr>
                      <w:color w:val="000000"/>
                    </w:rPr>
                  </w:pPr>
                  <w:r w:rsidRPr="00EC298B">
                    <w:rPr>
                      <w:color w:val="000000"/>
                    </w:rPr>
                    <w:t>14.9</w:t>
                  </w:r>
                </w:p>
              </w:tc>
            </w:tr>
            <w:tr w:rsidR="00C51427" w:rsidRPr="00EC298B" w:rsidTr="005E0D5B">
              <w:trPr>
                <w:trHeight w:val="290"/>
                <w:jc w:val="center"/>
              </w:trPr>
              <w:tc>
                <w:tcPr>
                  <w:tcW w:w="3946" w:type="dxa"/>
                  <w:tcBorders>
                    <w:top w:val="nil"/>
                    <w:left w:val="nil"/>
                    <w:bottom w:val="single" w:sz="4" w:space="0" w:color="auto"/>
                    <w:right w:val="nil"/>
                  </w:tcBorders>
                  <w:shd w:val="clear" w:color="auto" w:fill="auto"/>
                  <w:noWrap/>
                  <w:vAlign w:val="bottom"/>
                  <w:hideMark/>
                </w:tcPr>
                <w:p w:rsidR="00C51427" w:rsidRPr="00EC298B" w:rsidRDefault="00C51427" w:rsidP="00C51427">
                  <w:pPr>
                    <w:rPr>
                      <w:color w:val="000000"/>
                    </w:rPr>
                  </w:pPr>
                  <w:r w:rsidRPr="00EC298B">
                    <w:rPr>
                      <w:color w:val="000000"/>
                    </w:rPr>
                    <w:t>Nákup novej pokladne (20% pokladní)</w:t>
                  </w:r>
                </w:p>
              </w:tc>
              <w:tc>
                <w:tcPr>
                  <w:tcW w:w="1450" w:type="dxa"/>
                  <w:tcBorders>
                    <w:top w:val="nil"/>
                    <w:left w:val="nil"/>
                    <w:bottom w:val="single" w:sz="4" w:space="0" w:color="auto"/>
                    <w:right w:val="nil"/>
                  </w:tcBorders>
                  <w:shd w:val="clear" w:color="auto" w:fill="auto"/>
                  <w:noWrap/>
                  <w:vAlign w:val="center"/>
                  <w:hideMark/>
                </w:tcPr>
                <w:p w:rsidR="00C51427" w:rsidRPr="00EC298B" w:rsidRDefault="00C51427" w:rsidP="00C51427">
                  <w:pPr>
                    <w:jc w:val="center"/>
                    <w:rPr>
                      <w:color w:val="000000"/>
                    </w:rPr>
                  </w:pPr>
                  <w:r w:rsidRPr="00EC298B">
                    <w:rPr>
                      <w:color w:val="000000"/>
                    </w:rPr>
                    <w:t>280</w:t>
                  </w:r>
                </w:p>
              </w:tc>
              <w:tc>
                <w:tcPr>
                  <w:tcW w:w="1384" w:type="dxa"/>
                  <w:tcBorders>
                    <w:top w:val="nil"/>
                    <w:left w:val="nil"/>
                    <w:bottom w:val="single" w:sz="4" w:space="0" w:color="auto"/>
                    <w:right w:val="nil"/>
                  </w:tcBorders>
                  <w:shd w:val="clear" w:color="auto" w:fill="auto"/>
                  <w:noWrap/>
                  <w:vAlign w:val="center"/>
                  <w:hideMark/>
                </w:tcPr>
                <w:p w:rsidR="00C51427" w:rsidRPr="00EC298B" w:rsidRDefault="00C51427" w:rsidP="00C51427">
                  <w:pPr>
                    <w:jc w:val="center"/>
                    <w:rPr>
                      <w:color w:val="000000"/>
                    </w:rPr>
                  </w:pPr>
                  <w:r w:rsidRPr="00EC298B">
                    <w:rPr>
                      <w:color w:val="000000"/>
                    </w:rPr>
                    <w:t>46 678</w:t>
                  </w:r>
                </w:p>
              </w:tc>
              <w:tc>
                <w:tcPr>
                  <w:tcW w:w="1280" w:type="dxa"/>
                  <w:tcBorders>
                    <w:top w:val="nil"/>
                    <w:left w:val="nil"/>
                    <w:bottom w:val="single" w:sz="4" w:space="0" w:color="auto"/>
                    <w:right w:val="nil"/>
                  </w:tcBorders>
                  <w:shd w:val="clear" w:color="auto" w:fill="auto"/>
                  <w:noWrap/>
                  <w:vAlign w:val="center"/>
                  <w:hideMark/>
                </w:tcPr>
                <w:p w:rsidR="00C51427" w:rsidRPr="00EC298B" w:rsidRDefault="00C51427" w:rsidP="00C51427">
                  <w:pPr>
                    <w:jc w:val="center"/>
                    <w:rPr>
                      <w:color w:val="000000"/>
                    </w:rPr>
                  </w:pPr>
                  <w:r w:rsidRPr="00EC298B">
                    <w:rPr>
                      <w:color w:val="000000"/>
                    </w:rPr>
                    <w:t>13.1</w:t>
                  </w:r>
                </w:p>
              </w:tc>
            </w:tr>
            <w:tr w:rsidR="00C51427" w:rsidRPr="00EC298B" w:rsidTr="005E0D5B">
              <w:trPr>
                <w:trHeight w:val="290"/>
                <w:jc w:val="center"/>
              </w:trPr>
              <w:tc>
                <w:tcPr>
                  <w:tcW w:w="3946" w:type="dxa"/>
                  <w:tcBorders>
                    <w:top w:val="nil"/>
                    <w:left w:val="nil"/>
                    <w:bottom w:val="single" w:sz="4" w:space="0" w:color="auto"/>
                    <w:right w:val="nil"/>
                  </w:tcBorders>
                  <w:shd w:val="clear" w:color="auto" w:fill="auto"/>
                  <w:noWrap/>
                  <w:vAlign w:val="bottom"/>
                  <w:hideMark/>
                </w:tcPr>
                <w:p w:rsidR="00C51427" w:rsidRPr="00EC298B" w:rsidRDefault="00C51427" w:rsidP="00C51427">
                  <w:pPr>
                    <w:rPr>
                      <w:b/>
                      <w:bCs/>
                      <w:color w:val="000000"/>
                    </w:rPr>
                  </w:pPr>
                  <w:r w:rsidRPr="00EC298B">
                    <w:rPr>
                      <w:b/>
                      <w:bCs/>
                      <w:color w:val="000000"/>
                    </w:rPr>
                    <w:t>Spolu náklady zavedenia</w:t>
                  </w:r>
                </w:p>
              </w:tc>
              <w:tc>
                <w:tcPr>
                  <w:tcW w:w="1450" w:type="dxa"/>
                  <w:tcBorders>
                    <w:top w:val="nil"/>
                    <w:left w:val="nil"/>
                    <w:bottom w:val="single" w:sz="4" w:space="0" w:color="auto"/>
                    <w:right w:val="nil"/>
                  </w:tcBorders>
                  <w:shd w:val="clear" w:color="auto" w:fill="auto"/>
                  <w:noWrap/>
                  <w:vAlign w:val="bottom"/>
                  <w:hideMark/>
                </w:tcPr>
                <w:p w:rsidR="00C51427" w:rsidRPr="00EC298B" w:rsidRDefault="00C51427" w:rsidP="00C51427">
                  <w:pPr>
                    <w:jc w:val="center"/>
                    <w:rPr>
                      <w:b/>
                      <w:bCs/>
                      <w:color w:val="000000"/>
                    </w:rPr>
                  </w:pPr>
                  <w:r w:rsidRPr="00EC298B">
                    <w:rPr>
                      <w:b/>
                      <w:bCs/>
                      <w:color w:val="000000"/>
                    </w:rPr>
                    <w:t>-</w:t>
                  </w:r>
                </w:p>
              </w:tc>
              <w:tc>
                <w:tcPr>
                  <w:tcW w:w="1384" w:type="dxa"/>
                  <w:tcBorders>
                    <w:top w:val="nil"/>
                    <w:left w:val="nil"/>
                    <w:bottom w:val="single" w:sz="4" w:space="0" w:color="auto"/>
                    <w:right w:val="nil"/>
                  </w:tcBorders>
                  <w:shd w:val="clear" w:color="auto" w:fill="auto"/>
                  <w:noWrap/>
                  <w:vAlign w:val="bottom"/>
                  <w:hideMark/>
                </w:tcPr>
                <w:p w:rsidR="00C51427" w:rsidRPr="00EC298B" w:rsidRDefault="00C51427" w:rsidP="00C51427">
                  <w:pPr>
                    <w:jc w:val="center"/>
                    <w:rPr>
                      <w:b/>
                      <w:bCs/>
                      <w:color w:val="000000"/>
                    </w:rPr>
                  </w:pPr>
                  <w:r w:rsidRPr="00EC298B">
                    <w:rPr>
                      <w:b/>
                      <w:bCs/>
                      <w:color w:val="000000"/>
                    </w:rPr>
                    <w:t>233 388</w:t>
                  </w:r>
                </w:p>
              </w:tc>
              <w:tc>
                <w:tcPr>
                  <w:tcW w:w="1280" w:type="dxa"/>
                  <w:tcBorders>
                    <w:top w:val="nil"/>
                    <w:left w:val="nil"/>
                    <w:bottom w:val="single" w:sz="4" w:space="0" w:color="auto"/>
                    <w:right w:val="nil"/>
                  </w:tcBorders>
                  <w:shd w:val="clear" w:color="auto" w:fill="auto"/>
                  <w:noWrap/>
                  <w:vAlign w:val="center"/>
                  <w:hideMark/>
                </w:tcPr>
                <w:p w:rsidR="00C51427" w:rsidRPr="00EC298B" w:rsidRDefault="00C51427" w:rsidP="00C51427">
                  <w:pPr>
                    <w:jc w:val="center"/>
                    <w:rPr>
                      <w:b/>
                      <w:bCs/>
                      <w:color w:val="000000"/>
                    </w:rPr>
                  </w:pPr>
                  <w:r w:rsidRPr="00EC298B">
                    <w:rPr>
                      <w:b/>
                      <w:bCs/>
                      <w:color w:val="000000"/>
                    </w:rPr>
                    <w:t>28.0</w:t>
                  </w:r>
                </w:p>
              </w:tc>
            </w:tr>
          </w:tbl>
          <w:p w:rsidR="00C51427" w:rsidRPr="00EC298B" w:rsidRDefault="00C51427" w:rsidP="00C51427">
            <w:pPr>
              <w:jc w:val="both"/>
              <w:rPr>
                <w:b/>
              </w:rPr>
            </w:pPr>
          </w:p>
          <w:p w:rsidR="00C51427" w:rsidRPr="00EC298B" w:rsidRDefault="00C51427" w:rsidP="00C51427">
            <w:pPr>
              <w:pStyle w:val="Odsekzoznamu"/>
              <w:numPr>
                <w:ilvl w:val="0"/>
                <w:numId w:val="33"/>
              </w:numPr>
              <w:spacing w:after="160" w:line="259" w:lineRule="auto"/>
              <w:jc w:val="both"/>
              <w:rPr>
                <w:rFonts w:ascii="Times New Roman" w:hAnsi="Times New Roman"/>
                <w:sz w:val="20"/>
                <w:szCs w:val="20"/>
              </w:rPr>
            </w:pPr>
            <w:r w:rsidRPr="00EC298B">
              <w:rPr>
                <w:rFonts w:ascii="Times New Roman" w:hAnsi="Times New Roman"/>
                <w:sz w:val="20"/>
                <w:szCs w:val="20"/>
              </w:rPr>
              <w:t xml:space="preserve">Celkové prevádzkové náklady podnikateľských subjektov by mohli </w:t>
            </w:r>
            <w:r w:rsidRPr="00EC298B">
              <w:rPr>
                <w:rFonts w:ascii="Times New Roman" w:hAnsi="Times New Roman"/>
                <w:b/>
                <w:sz w:val="20"/>
                <w:szCs w:val="20"/>
              </w:rPr>
              <w:t>klesnúť približne o 10,3 mil. eur</w:t>
            </w:r>
            <w:r w:rsidRPr="00EC298B">
              <w:rPr>
                <w:rFonts w:ascii="Times New Roman" w:hAnsi="Times New Roman"/>
                <w:sz w:val="20"/>
                <w:szCs w:val="20"/>
              </w:rPr>
              <w:t xml:space="preserve">.  Operatívne náklady podnikateľských subjektov na údržbu pokladníc by mohli klesnúť v priemere o 56 eur na pokladňu, čo by pri počte 233 tis. pokladní znamenalo </w:t>
            </w:r>
            <w:r w:rsidRPr="00EC298B">
              <w:rPr>
                <w:rFonts w:ascii="Times New Roman" w:hAnsi="Times New Roman"/>
                <w:b/>
                <w:sz w:val="20"/>
                <w:szCs w:val="20"/>
              </w:rPr>
              <w:t>úsporu 13,1 mil. eur ročne</w:t>
            </w:r>
            <w:r w:rsidRPr="00EC298B">
              <w:rPr>
                <w:rFonts w:ascii="Times New Roman" w:hAnsi="Times New Roman"/>
                <w:sz w:val="20"/>
                <w:szCs w:val="20"/>
              </w:rPr>
              <w:t xml:space="preserve">. </w:t>
            </w:r>
          </w:p>
          <w:p w:rsidR="00C51427" w:rsidRPr="00EC298B" w:rsidRDefault="00C51427" w:rsidP="00C51427">
            <w:pPr>
              <w:pStyle w:val="Odsekzoznamu"/>
              <w:numPr>
                <w:ilvl w:val="0"/>
                <w:numId w:val="33"/>
              </w:numPr>
              <w:spacing w:after="160" w:line="259" w:lineRule="auto"/>
              <w:jc w:val="both"/>
              <w:rPr>
                <w:rFonts w:ascii="Times New Roman" w:hAnsi="Times New Roman"/>
                <w:sz w:val="20"/>
                <w:szCs w:val="20"/>
              </w:rPr>
            </w:pPr>
            <w:r w:rsidRPr="00EC298B">
              <w:rPr>
                <w:rFonts w:ascii="Times New Roman" w:hAnsi="Times New Roman"/>
                <w:sz w:val="20"/>
                <w:szCs w:val="20"/>
              </w:rPr>
              <w:t xml:space="preserve">Zavedenie e-kasy si vyžiada dodatočné náklady v prevádzkach, ktoré ešte v súčasnosti nemajú internetové pripojenie. Bude sa týkať najmä menších prevádzok. Podľa údajov </w:t>
            </w:r>
            <w:proofErr w:type="spellStart"/>
            <w:r w:rsidRPr="00EC298B">
              <w:rPr>
                <w:rFonts w:ascii="Times New Roman" w:hAnsi="Times New Roman"/>
                <w:sz w:val="20"/>
                <w:szCs w:val="20"/>
              </w:rPr>
              <w:t>Eurostatu</w:t>
            </w:r>
            <w:proofErr w:type="spellEnd"/>
            <w:r w:rsidRPr="00EC298B">
              <w:rPr>
                <w:rStyle w:val="Odkaznapoznmkupodiarou"/>
                <w:rFonts w:ascii="Times New Roman" w:hAnsi="Times New Roman"/>
                <w:sz w:val="20"/>
                <w:szCs w:val="20"/>
              </w:rPr>
              <w:footnoteReference w:id="2"/>
            </w:r>
            <w:r w:rsidRPr="00EC298B">
              <w:rPr>
                <w:rFonts w:ascii="Times New Roman" w:hAnsi="Times New Roman"/>
                <w:sz w:val="20"/>
                <w:szCs w:val="20"/>
              </w:rPr>
              <w:t xml:space="preserve"> až 92% spoločností s počtom zamestnancov viac ako 10 má zriadený širokopásmový internet, v prípade domácností má pripojenie na internet 81%. Odhad nákladov na internetové pripojenie vychádza z konzervatívnejšieho predpokladu, týkajúceho sa domácností. Z počtu 123 tisíc podnikateľských subjektov s registračnou pokladňou</w:t>
            </w:r>
            <w:r w:rsidRPr="00EC298B">
              <w:rPr>
                <w:rStyle w:val="Odkaznapoznmkupodiarou"/>
                <w:rFonts w:ascii="Times New Roman" w:hAnsi="Times New Roman"/>
                <w:sz w:val="20"/>
                <w:szCs w:val="20"/>
              </w:rPr>
              <w:footnoteReference w:id="3"/>
            </w:r>
            <w:r w:rsidRPr="00EC298B">
              <w:rPr>
                <w:rFonts w:ascii="Times New Roman" w:hAnsi="Times New Roman"/>
                <w:sz w:val="20"/>
                <w:szCs w:val="20"/>
              </w:rPr>
              <w:t xml:space="preserve"> sa predpokladajú dodatočné náklady na internet v prípade 19% podnikateľských subjektov. Pri priemernej cene internetového pripojenia 10 eur mesačne</w:t>
            </w:r>
            <w:r w:rsidRPr="00EC298B">
              <w:rPr>
                <w:rStyle w:val="Odkaznapoznmkupodiarou"/>
                <w:rFonts w:ascii="Times New Roman" w:hAnsi="Times New Roman"/>
                <w:color w:val="000000"/>
                <w:sz w:val="20"/>
                <w:szCs w:val="20"/>
                <w:lang w:eastAsia="sk-SK"/>
              </w:rPr>
              <w:footnoteReference w:id="4"/>
            </w:r>
            <w:r w:rsidRPr="00EC298B">
              <w:rPr>
                <w:rFonts w:ascii="Times New Roman" w:hAnsi="Times New Roman"/>
                <w:sz w:val="20"/>
                <w:szCs w:val="20"/>
              </w:rPr>
              <w:t xml:space="preserve"> sú </w:t>
            </w:r>
            <w:r w:rsidRPr="00EC298B">
              <w:rPr>
                <w:rFonts w:ascii="Times New Roman" w:hAnsi="Times New Roman"/>
                <w:b/>
                <w:sz w:val="20"/>
                <w:szCs w:val="20"/>
              </w:rPr>
              <w:t>náklady 2,8 mil. eur</w:t>
            </w:r>
            <w:r w:rsidRPr="00EC298B">
              <w:rPr>
                <w:rFonts w:ascii="Times New Roman" w:hAnsi="Times New Roman"/>
                <w:sz w:val="20"/>
                <w:szCs w:val="20"/>
              </w:rPr>
              <w:t xml:space="preserve">. </w:t>
            </w:r>
          </w:p>
          <w:p w:rsidR="00C51427" w:rsidRPr="00EC298B" w:rsidRDefault="00C51427" w:rsidP="00C51427">
            <w:pPr>
              <w:spacing w:after="160" w:line="259" w:lineRule="auto"/>
              <w:jc w:val="both"/>
            </w:pPr>
          </w:p>
          <w:p w:rsidR="00C51427" w:rsidRPr="00EC298B" w:rsidRDefault="00C51427" w:rsidP="00C51427">
            <w:pPr>
              <w:spacing w:after="160" w:line="259" w:lineRule="auto"/>
              <w:jc w:val="both"/>
            </w:pPr>
          </w:p>
          <w:p w:rsidR="00C51427" w:rsidRDefault="00C51427" w:rsidP="00C51427">
            <w:pPr>
              <w:spacing w:after="160" w:line="259" w:lineRule="auto"/>
              <w:jc w:val="both"/>
            </w:pPr>
          </w:p>
          <w:p w:rsidR="00EC298B" w:rsidRPr="00EC298B" w:rsidRDefault="00EC298B" w:rsidP="00C51427">
            <w:pPr>
              <w:spacing w:after="160" w:line="259" w:lineRule="auto"/>
              <w:jc w:val="both"/>
            </w:pPr>
          </w:p>
          <w:tbl>
            <w:tblPr>
              <w:tblW w:w="7845" w:type="dxa"/>
              <w:jc w:val="center"/>
              <w:tblCellMar>
                <w:left w:w="70" w:type="dxa"/>
                <w:right w:w="70" w:type="dxa"/>
              </w:tblCellMar>
              <w:tblLook w:val="04A0" w:firstRow="1" w:lastRow="0" w:firstColumn="1" w:lastColumn="0" w:noHBand="0" w:noVBand="1"/>
            </w:tblPr>
            <w:tblGrid>
              <w:gridCol w:w="3417"/>
              <w:gridCol w:w="2628"/>
              <w:gridCol w:w="1800"/>
            </w:tblGrid>
            <w:tr w:rsidR="00C51427" w:rsidRPr="00EC298B" w:rsidTr="005E0D5B">
              <w:trPr>
                <w:trHeight w:val="246"/>
                <w:jc w:val="center"/>
              </w:trPr>
              <w:tc>
                <w:tcPr>
                  <w:tcW w:w="7845" w:type="dxa"/>
                  <w:gridSpan w:val="3"/>
                  <w:tcBorders>
                    <w:top w:val="nil"/>
                    <w:left w:val="nil"/>
                    <w:bottom w:val="single" w:sz="4" w:space="0" w:color="auto"/>
                    <w:right w:val="nil"/>
                  </w:tcBorders>
                  <w:shd w:val="clear" w:color="auto" w:fill="auto"/>
                  <w:noWrap/>
                  <w:vAlign w:val="bottom"/>
                  <w:hideMark/>
                </w:tcPr>
                <w:p w:rsidR="00C51427" w:rsidRPr="00EC298B" w:rsidRDefault="00C51427" w:rsidP="00C51427">
                  <w:pPr>
                    <w:rPr>
                      <w:b/>
                      <w:bCs/>
                      <w:color w:val="000000"/>
                    </w:rPr>
                  </w:pPr>
                  <w:r w:rsidRPr="00EC298B">
                    <w:rPr>
                      <w:b/>
                      <w:bCs/>
                      <w:color w:val="000000"/>
                    </w:rPr>
                    <w:t>Porovnanie ročných prevádzkových nákladov</w:t>
                  </w:r>
                </w:p>
              </w:tc>
            </w:tr>
            <w:tr w:rsidR="00C51427" w:rsidRPr="00EC298B" w:rsidTr="005E0D5B">
              <w:trPr>
                <w:trHeight w:val="246"/>
                <w:jc w:val="center"/>
              </w:trPr>
              <w:tc>
                <w:tcPr>
                  <w:tcW w:w="3417" w:type="dxa"/>
                  <w:tcBorders>
                    <w:top w:val="nil"/>
                    <w:left w:val="nil"/>
                    <w:bottom w:val="single" w:sz="4" w:space="0" w:color="auto"/>
                    <w:right w:val="nil"/>
                  </w:tcBorders>
                  <w:shd w:val="clear" w:color="auto" w:fill="auto"/>
                  <w:noWrap/>
                  <w:vAlign w:val="bottom"/>
                  <w:hideMark/>
                </w:tcPr>
                <w:p w:rsidR="00C51427" w:rsidRPr="00EC298B" w:rsidRDefault="00C51427" w:rsidP="00C51427">
                  <w:pPr>
                    <w:rPr>
                      <w:color w:val="000000"/>
                    </w:rPr>
                  </w:pPr>
                  <w:r w:rsidRPr="00EC298B">
                    <w:rPr>
                      <w:color w:val="000000"/>
                    </w:rPr>
                    <w:t> </w:t>
                  </w:r>
                </w:p>
              </w:tc>
              <w:tc>
                <w:tcPr>
                  <w:tcW w:w="2628" w:type="dxa"/>
                  <w:tcBorders>
                    <w:top w:val="nil"/>
                    <w:left w:val="nil"/>
                    <w:bottom w:val="single" w:sz="4"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súčasnosť</w:t>
                  </w:r>
                </w:p>
              </w:tc>
              <w:tc>
                <w:tcPr>
                  <w:tcW w:w="1799" w:type="dxa"/>
                  <w:tcBorders>
                    <w:top w:val="nil"/>
                    <w:left w:val="nil"/>
                    <w:bottom w:val="single" w:sz="4"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E-kasa</w:t>
                  </w:r>
                </w:p>
              </w:tc>
            </w:tr>
            <w:tr w:rsidR="00C51427" w:rsidRPr="00EC298B" w:rsidTr="005E0D5B">
              <w:trPr>
                <w:trHeight w:val="246"/>
                <w:jc w:val="center"/>
              </w:trPr>
              <w:tc>
                <w:tcPr>
                  <w:tcW w:w="3417" w:type="dxa"/>
                  <w:tcBorders>
                    <w:top w:val="nil"/>
                    <w:left w:val="nil"/>
                    <w:bottom w:val="single" w:sz="4" w:space="0" w:color="auto"/>
                    <w:right w:val="nil"/>
                  </w:tcBorders>
                  <w:shd w:val="clear" w:color="auto" w:fill="auto"/>
                  <w:noWrap/>
                  <w:vAlign w:val="bottom"/>
                  <w:hideMark/>
                </w:tcPr>
                <w:p w:rsidR="00C51427" w:rsidRPr="00EC298B" w:rsidRDefault="00C51427" w:rsidP="00C51427">
                  <w:pPr>
                    <w:rPr>
                      <w:color w:val="000000"/>
                    </w:rPr>
                  </w:pPr>
                  <w:r w:rsidRPr="00EC298B">
                    <w:rPr>
                      <w:color w:val="000000"/>
                    </w:rPr>
                    <w:t>Bežné náklady na činnosť ERP</w:t>
                  </w:r>
                </w:p>
              </w:tc>
              <w:tc>
                <w:tcPr>
                  <w:tcW w:w="2628" w:type="dxa"/>
                  <w:tcBorders>
                    <w:top w:val="nil"/>
                    <w:left w:val="nil"/>
                    <w:bottom w:val="single" w:sz="4"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56.3</w:t>
                  </w:r>
                </w:p>
              </w:tc>
              <w:tc>
                <w:tcPr>
                  <w:tcW w:w="1799" w:type="dxa"/>
                  <w:tcBorders>
                    <w:top w:val="nil"/>
                    <w:left w:val="nil"/>
                    <w:bottom w:val="single" w:sz="4"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120</w:t>
                  </w:r>
                </w:p>
              </w:tc>
            </w:tr>
            <w:tr w:rsidR="00C51427" w:rsidRPr="00EC298B" w:rsidTr="005E0D5B">
              <w:trPr>
                <w:trHeight w:val="246"/>
                <w:jc w:val="center"/>
              </w:trPr>
              <w:tc>
                <w:tcPr>
                  <w:tcW w:w="3417" w:type="dxa"/>
                  <w:tcBorders>
                    <w:top w:val="nil"/>
                    <w:left w:val="nil"/>
                    <w:bottom w:val="nil"/>
                    <w:right w:val="nil"/>
                  </w:tcBorders>
                  <w:shd w:val="clear" w:color="auto" w:fill="auto"/>
                  <w:noWrap/>
                  <w:vAlign w:val="bottom"/>
                  <w:hideMark/>
                </w:tcPr>
                <w:p w:rsidR="00C51427" w:rsidRPr="00EC298B" w:rsidRDefault="00C51427" w:rsidP="00D77653">
                  <w:pPr>
                    <w:rPr>
                      <w:color w:val="000000"/>
                    </w:rPr>
                  </w:pPr>
                  <w:r w:rsidRPr="00EC298B">
                    <w:rPr>
                      <w:color w:val="000000"/>
                    </w:rPr>
                    <w:t>servisná prehliadka (štandard ročne)</w:t>
                  </w:r>
                </w:p>
              </w:tc>
              <w:tc>
                <w:tcPr>
                  <w:tcW w:w="2628" w:type="dxa"/>
                  <w:tcBorders>
                    <w:top w:val="nil"/>
                    <w:left w:val="nil"/>
                    <w:bottom w:val="nil"/>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50</w:t>
                  </w:r>
                </w:p>
              </w:tc>
              <w:tc>
                <w:tcPr>
                  <w:tcW w:w="1799" w:type="dxa"/>
                  <w:tcBorders>
                    <w:top w:val="nil"/>
                    <w:left w:val="nil"/>
                    <w:bottom w:val="nil"/>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0</w:t>
                  </w:r>
                </w:p>
              </w:tc>
            </w:tr>
            <w:tr w:rsidR="00C51427" w:rsidRPr="00EC298B" w:rsidTr="005E0D5B">
              <w:trPr>
                <w:trHeight w:val="246"/>
                <w:jc w:val="center"/>
              </w:trPr>
              <w:tc>
                <w:tcPr>
                  <w:tcW w:w="3417" w:type="dxa"/>
                  <w:tcBorders>
                    <w:top w:val="nil"/>
                    <w:left w:val="nil"/>
                    <w:bottom w:val="nil"/>
                    <w:right w:val="nil"/>
                  </w:tcBorders>
                  <w:shd w:val="clear" w:color="auto" w:fill="auto"/>
                  <w:noWrap/>
                  <w:vAlign w:val="bottom"/>
                  <w:hideMark/>
                </w:tcPr>
                <w:p w:rsidR="00C51427" w:rsidRPr="00EC298B" w:rsidRDefault="00C51427" w:rsidP="00D77653">
                  <w:pPr>
                    <w:rPr>
                      <w:color w:val="000000"/>
                    </w:rPr>
                  </w:pPr>
                  <w:proofErr w:type="spellStart"/>
                  <w:r w:rsidRPr="00EC298B">
                    <w:rPr>
                      <w:color w:val="000000"/>
                    </w:rPr>
                    <w:t>defiskalizácia</w:t>
                  </w:r>
                  <w:proofErr w:type="spellEnd"/>
                  <w:r w:rsidRPr="00EC298B">
                    <w:rPr>
                      <w:color w:val="000000"/>
                    </w:rPr>
                    <w:t xml:space="preserve"> (pri životnosti 8 rokov)</w:t>
                  </w:r>
                </w:p>
              </w:tc>
              <w:tc>
                <w:tcPr>
                  <w:tcW w:w="2628" w:type="dxa"/>
                  <w:tcBorders>
                    <w:top w:val="nil"/>
                    <w:left w:val="nil"/>
                    <w:bottom w:val="nil"/>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6.3</w:t>
                  </w:r>
                </w:p>
              </w:tc>
              <w:tc>
                <w:tcPr>
                  <w:tcW w:w="1799" w:type="dxa"/>
                  <w:tcBorders>
                    <w:top w:val="nil"/>
                    <w:left w:val="nil"/>
                    <w:bottom w:val="nil"/>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0</w:t>
                  </w:r>
                </w:p>
              </w:tc>
            </w:tr>
            <w:tr w:rsidR="00C51427" w:rsidRPr="00EC298B" w:rsidTr="005E0D5B">
              <w:trPr>
                <w:trHeight w:val="254"/>
                <w:jc w:val="center"/>
              </w:trPr>
              <w:tc>
                <w:tcPr>
                  <w:tcW w:w="3417" w:type="dxa"/>
                  <w:tcBorders>
                    <w:top w:val="nil"/>
                    <w:left w:val="nil"/>
                    <w:bottom w:val="single" w:sz="8" w:space="0" w:color="auto"/>
                    <w:right w:val="nil"/>
                  </w:tcBorders>
                  <w:shd w:val="clear" w:color="auto" w:fill="auto"/>
                  <w:noWrap/>
                  <w:vAlign w:val="bottom"/>
                  <w:hideMark/>
                </w:tcPr>
                <w:p w:rsidR="00C51427" w:rsidRPr="00EC298B" w:rsidRDefault="00C51427" w:rsidP="00D77653">
                  <w:pPr>
                    <w:rPr>
                      <w:color w:val="000000"/>
                    </w:rPr>
                  </w:pPr>
                  <w:r w:rsidRPr="00EC298B">
                    <w:rPr>
                      <w:color w:val="000000"/>
                    </w:rPr>
                    <w:t>internetové pripojenie</w:t>
                  </w:r>
                </w:p>
              </w:tc>
              <w:tc>
                <w:tcPr>
                  <w:tcW w:w="2628" w:type="dxa"/>
                  <w:tcBorders>
                    <w:top w:val="nil"/>
                    <w:left w:val="nil"/>
                    <w:bottom w:val="single" w:sz="8"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0</w:t>
                  </w:r>
                </w:p>
              </w:tc>
              <w:tc>
                <w:tcPr>
                  <w:tcW w:w="1799" w:type="dxa"/>
                  <w:tcBorders>
                    <w:top w:val="nil"/>
                    <w:left w:val="nil"/>
                    <w:bottom w:val="single" w:sz="8"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120</w:t>
                  </w:r>
                </w:p>
              </w:tc>
            </w:tr>
            <w:tr w:rsidR="00C51427" w:rsidRPr="00EC298B" w:rsidTr="005E0D5B">
              <w:trPr>
                <w:trHeight w:val="246"/>
                <w:jc w:val="center"/>
              </w:trPr>
              <w:tc>
                <w:tcPr>
                  <w:tcW w:w="3417" w:type="dxa"/>
                  <w:tcBorders>
                    <w:top w:val="nil"/>
                    <w:left w:val="nil"/>
                    <w:bottom w:val="nil"/>
                    <w:right w:val="nil"/>
                  </w:tcBorders>
                  <w:shd w:val="clear" w:color="auto" w:fill="auto"/>
                  <w:noWrap/>
                  <w:vAlign w:val="bottom"/>
                  <w:hideMark/>
                </w:tcPr>
                <w:p w:rsidR="00C51427" w:rsidRPr="00EC298B" w:rsidRDefault="00C51427" w:rsidP="00C51427">
                  <w:pPr>
                    <w:rPr>
                      <w:color w:val="000000"/>
                    </w:rPr>
                  </w:pPr>
                  <w:r w:rsidRPr="00EC298B">
                    <w:rPr>
                      <w:color w:val="000000"/>
                    </w:rPr>
                    <w:t>Počet pokladní</w:t>
                  </w:r>
                </w:p>
              </w:tc>
              <w:tc>
                <w:tcPr>
                  <w:tcW w:w="2628" w:type="dxa"/>
                  <w:tcBorders>
                    <w:top w:val="nil"/>
                    <w:left w:val="nil"/>
                    <w:bottom w:val="nil"/>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233 388</w:t>
                  </w:r>
                </w:p>
              </w:tc>
              <w:tc>
                <w:tcPr>
                  <w:tcW w:w="1799" w:type="dxa"/>
                  <w:tcBorders>
                    <w:top w:val="nil"/>
                    <w:left w:val="nil"/>
                    <w:bottom w:val="nil"/>
                    <w:right w:val="nil"/>
                  </w:tcBorders>
                  <w:shd w:val="clear" w:color="auto" w:fill="auto"/>
                  <w:noWrap/>
                  <w:vAlign w:val="bottom"/>
                  <w:hideMark/>
                </w:tcPr>
                <w:p w:rsidR="00C51427" w:rsidRPr="00EC298B" w:rsidRDefault="00C51427" w:rsidP="00C51427">
                  <w:pPr>
                    <w:rPr>
                      <w:color w:val="000000"/>
                    </w:rPr>
                  </w:pPr>
                  <w:r w:rsidRPr="00EC298B">
                    <w:rPr>
                      <w:color w:val="000000"/>
                    </w:rPr>
                    <w:t>-</w:t>
                  </w:r>
                </w:p>
              </w:tc>
            </w:tr>
            <w:tr w:rsidR="00C51427" w:rsidRPr="00EC298B" w:rsidTr="005E0D5B">
              <w:trPr>
                <w:trHeight w:val="254"/>
                <w:jc w:val="center"/>
              </w:trPr>
              <w:tc>
                <w:tcPr>
                  <w:tcW w:w="3417" w:type="dxa"/>
                  <w:tcBorders>
                    <w:top w:val="nil"/>
                    <w:left w:val="nil"/>
                    <w:bottom w:val="single" w:sz="8" w:space="0" w:color="auto"/>
                    <w:right w:val="nil"/>
                  </w:tcBorders>
                  <w:shd w:val="clear" w:color="auto" w:fill="auto"/>
                  <w:noWrap/>
                  <w:vAlign w:val="bottom"/>
                  <w:hideMark/>
                </w:tcPr>
                <w:p w:rsidR="00C51427" w:rsidRPr="00EC298B" w:rsidRDefault="00C51427" w:rsidP="00C51427">
                  <w:pPr>
                    <w:rPr>
                      <w:color w:val="000000"/>
                    </w:rPr>
                  </w:pPr>
                  <w:r w:rsidRPr="00EC298B">
                    <w:rPr>
                      <w:color w:val="000000"/>
                    </w:rPr>
                    <w:t>Počet podnikateľských subjektov</w:t>
                  </w:r>
                </w:p>
              </w:tc>
              <w:tc>
                <w:tcPr>
                  <w:tcW w:w="2628" w:type="dxa"/>
                  <w:tcBorders>
                    <w:top w:val="nil"/>
                    <w:left w:val="nil"/>
                    <w:bottom w:val="single" w:sz="8"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w:t>
                  </w:r>
                </w:p>
              </w:tc>
              <w:tc>
                <w:tcPr>
                  <w:tcW w:w="1799" w:type="dxa"/>
                  <w:tcBorders>
                    <w:top w:val="nil"/>
                    <w:left w:val="nil"/>
                    <w:bottom w:val="single" w:sz="8" w:space="0" w:color="auto"/>
                    <w:right w:val="nil"/>
                  </w:tcBorders>
                  <w:shd w:val="clear" w:color="auto" w:fill="auto"/>
                  <w:noWrap/>
                  <w:vAlign w:val="bottom"/>
                  <w:hideMark/>
                </w:tcPr>
                <w:p w:rsidR="00C51427" w:rsidRPr="00EC298B" w:rsidRDefault="00C51427" w:rsidP="00C51427">
                  <w:pPr>
                    <w:jc w:val="center"/>
                    <w:rPr>
                      <w:color w:val="000000"/>
                    </w:rPr>
                  </w:pPr>
                  <w:r w:rsidRPr="00EC298B">
                    <w:rPr>
                      <w:color w:val="000000"/>
                    </w:rPr>
                    <w:t>23 377</w:t>
                  </w:r>
                </w:p>
              </w:tc>
            </w:tr>
            <w:tr w:rsidR="00C51427" w:rsidRPr="00EC298B" w:rsidTr="005E0D5B">
              <w:trPr>
                <w:trHeight w:val="254"/>
                <w:jc w:val="center"/>
              </w:trPr>
              <w:tc>
                <w:tcPr>
                  <w:tcW w:w="3417" w:type="dxa"/>
                  <w:tcBorders>
                    <w:top w:val="nil"/>
                    <w:left w:val="nil"/>
                    <w:bottom w:val="nil"/>
                    <w:right w:val="nil"/>
                  </w:tcBorders>
                  <w:shd w:val="clear" w:color="auto" w:fill="auto"/>
                  <w:noWrap/>
                  <w:vAlign w:val="bottom"/>
                  <w:hideMark/>
                </w:tcPr>
                <w:p w:rsidR="00C51427" w:rsidRPr="00EC298B" w:rsidRDefault="00C51427" w:rsidP="00C51427">
                  <w:pPr>
                    <w:rPr>
                      <w:b/>
                      <w:bCs/>
                      <w:color w:val="000000"/>
                    </w:rPr>
                  </w:pPr>
                  <w:r w:rsidRPr="00EC298B">
                    <w:rPr>
                      <w:b/>
                      <w:bCs/>
                      <w:color w:val="000000"/>
                    </w:rPr>
                    <w:t>Spolu (mil. eur)</w:t>
                  </w:r>
                </w:p>
              </w:tc>
              <w:tc>
                <w:tcPr>
                  <w:tcW w:w="2628" w:type="dxa"/>
                  <w:tcBorders>
                    <w:top w:val="nil"/>
                    <w:left w:val="nil"/>
                    <w:bottom w:val="nil"/>
                    <w:right w:val="nil"/>
                  </w:tcBorders>
                  <w:shd w:val="clear" w:color="auto" w:fill="auto"/>
                  <w:noWrap/>
                  <w:vAlign w:val="bottom"/>
                  <w:hideMark/>
                </w:tcPr>
                <w:p w:rsidR="00C51427" w:rsidRPr="00EC298B" w:rsidRDefault="00C51427" w:rsidP="00C51427">
                  <w:pPr>
                    <w:jc w:val="center"/>
                    <w:rPr>
                      <w:b/>
                      <w:bCs/>
                      <w:color w:val="000000"/>
                    </w:rPr>
                  </w:pPr>
                  <w:r w:rsidRPr="00EC298B">
                    <w:rPr>
                      <w:b/>
                      <w:bCs/>
                      <w:color w:val="000000"/>
                    </w:rPr>
                    <w:t>13.1</w:t>
                  </w:r>
                </w:p>
              </w:tc>
              <w:tc>
                <w:tcPr>
                  <w:tcW w:w="1799" w:type="dxa"/>
                  <w:tcBorders>
                    <w:top w:val="nil"/>
                    <w:left w:val="nil"/>
                    <w:bottom w:val="nil"/>
                    <w:right w:val="nil"/>
                  </w:tcBorders>
                  <w:shd w:val="clear" w:color="auto" w:fill="auto"/>
                  <w:noWrap/>
                  <w:vAlign w:val="bottom"/>
                  <w:hideMark/>
                </w:tcPr>
                <w:p w:rsidR="00C51427" w:rsidRPr="00EC298B" w:rsidRDefault="00C51427" w:rsidP="00C51427">
                  <w:pPr>
                    <w:jc w:val="center"/>
                    <w:rPr>
                      <w:b/>
                      <w:bCs/>
                      <w:color w:val="000000"/>
                    </w:rPr>
                  </w:pPr>
                  <w:r w:rsidRPr="00EC298B">
                    <w:rPr>
                      <w:b/>
                      <w:bCs/>
                      <w:color w:val="000000"/>
                    </w:rPr>
                    <w:t>2.8</w:t>
                  </w:r>
                </w:p>
              </w:tc>
            </w:tr>
          </w:tbl>
          <w:p w:rsidR="00C51427" w:rsidRPr="00EC298B" w:rsidRDefault="00C51427" w:rsidP="00C51427">
            <w:pPr>
              <w:pStyle w:val="Odsekzoznamu"/>
              <w:jc w:val="both"/>
              <w:rPr>
                <w:rFonts w:ascii="Times New Roman" w:hAnsi="Times New Roman"/>
                <w:sz w:val="20"/>
                <w:szCs w:val="20"/>
              </w:rPr>
            </w:pPr>
          </w:p>
          <w:p w:rsidR="00C51427" w:rsidRPr="00EC298B" w:rsidRDefault="00C51427" w:rsidP="00C51427">
            <w:pPr>
              <w:pStyle w:val="Odsekzoznamu"/>
              <w:jc w:val="both"/>
              <w:rPr>
                <w:rFonts w:ascii="Times New Roman" w:hAnsi="Times New Roman"/>
                <w:sz w:val="20"/>
                <w:szCs w:val="20"/>
              </w:rPr>
            </w:pPr>
          </w:p>
          <w:p w:rsidR="00C51427" w:rsidRPr="00EC298B" w:rsidRDefault="00C51427" w:rsidP="00EC298B">
            <w:pPr>
              <w:pStyle w:val="Odsekzoznamu"/>
              <w:numPr>
                <w:ilvl w:val="0"/>
                <w:numId w:val="33"/>
              </w:numPr>
              <w:spacing w:after="160" w:line="259" w:lineRule="auto"/>
              <w:jc w:val="both"/>
              <w:rPr>
                <w:rFonts w:ascii="Times New Roman" w:hAnsi="Times New Roman"/>
                <w:sz w:val="20"/>
                <w:szCs w:val="20"/>
              </w:rPr>
            </w:pPr>
            <w:r w:rsidRPr="00EC298B">
              <w:rPr>
                <w:rFonts w:ascii="Times New Roman" w:hAnsi="Times New Roman"/>
                <w:sz w:val="20"/>
                <w:szCs w:val="20"/>
              </w:rPr>
              <w:t xml:space="preserve">Ďalším pozitívnym efektom po celoplošnom zavedení </w:t>
            </w:r>
            <w:r w:rsidRPr="00EC298B">
              <w:rPr>
                <w:rFonts w:ascii="Times New Roman" w:hAnsi="Times New Roman"/>
                <w:sz w:val="20"/>
                <w:szCs w:val="20"/>
              </w:rPr>
              <w:t>e</w:t>
            </w:r>
            <w:r w:rsidRPr="00EC298B">
              <w:rPr>
                <w:rFonts w:ascii="Times New Roman" w:hAnsi="Times New Roman"/>
                <w:sz w:val="20"/>
                <w:szCs w:val="20"/>
              </w:rPr>
              <w:t xml:space="preserve">-kasy z pohľadu verejne správy je dostupnosť údajov pre lepšie odhady vývoja spotrebiteľských cien a tržieb </w:t>
            </w:r>
          </w:p>
          <w:p w:rsidR="00D51953" w:rsidRPr="00F57D2D" w:rsidRDefault="00D51953" w:rsidP="007B71A4">
            <w:pPr>
              <w:rPr>
                <w:b/>
                <w:i/>
              </w:rPr>
            </w:pPr>
          </w:p>
          <w:p w:rsidR="009F2DFA" w:rsidRDefault="000E2CC9" w:rsidP="007B71A4">
            <w:pPr>
              <w:rPr>
                <w:b/>
              </w:rPr>
            </w:pPr>
            <w:r>
              <w:rPr>
                <w:b/>
              </w:rPr>
              <w:t xml:space="preserve">Predkladaný návrh nezvyšuje </w:t>
            </w:r>
            <w:r w:rsidRPr="000E2CC9">
              <w:rPr>
                <w:b/>
              </w:rPr>
              <w:t>náklady súvisiace so zamestnávaním</w:t>
            </w:r>
            <w:r>
              <w:rPr>
                <w:b/>
              </w:rPr>
              <w:t>.</w:t>
            </w:r>
          </w:p>
          <w:p w:rsidR="004A2F4D" w:rsidRDefault="004A2F4D" w:rsidP="004A2F4D">
            <w:pPr>
              <w:rPr>
                <w:b/>
              </w:rPr>
            </w:pPr>
          </w:p>
          <w:p w:rsidR="00133777" w:rsidRPr="00BF1928" w:rsidRDefault="00133777" w:rsidP="00133777">
            <w:pPr>
              <w:jc w:val="both"/>
            </w:pPr>
            <w:r w:rsidRPr="00BF1928">
              <w:t xml:space="preserve">Návrh v čl.  II zavádza oslobodenie nepeňažného príjmu zamestnanca s uzatvorenou pracovnou zmluvou do výšky 60 eur za ubytovanie poskytnuté zamestnávateľom. Uvedené opatrenie podporuje v období nedostatku pracovnej sily jej mobilitu. </w:t>
            </w:r>
          </w:p>
          <w:p w:rsidR="00133777" w:rsidRDefault="00133777" w:rsidP="00133777">
            <w:pPr>
              <w:spacing w:line="276" w:lineRule="auto"/>
              <w:jc w:val="both"/>
            </w:pPr>
          </w:p>
          <w:p w:rsidR="00133777" w:rsidRPr="00777E1B" w:rsidRDefault="00133777" w:rsidP="00133777">
            <w:pPr>
              <w:spacing w:line="276" w:lineRule="auto"/>
              <w:jc w:val="both"/>
            </w:pPr>
            <w:r>
              <w:t xml:space="preserve">Návrh v čl. III a IV nemá vplyv na podnikateľské prostredie. </w:t>
            </w:r>
          </w:p>
          <w:p w:rsidR="00E939CE" w:rsidRDefault="00E939CE" w:rsidP="004A2F4D">
            <w:pPr>
              <w:rPr>
                <w:b/>
              </w:rPr>
            </w:pPr>
          </w:p>
          <w:p w:rsidR="00F57D2D" w:rsidRPr="000E2CC9" w:rsidRDefault="00F57D2D" w:rsidP="004A2F4D">
            <w:pPr>
              <w:rPr>
                <w:b/>
              </w:rPr>
            </w:pPr>
          </w:p>
        </w:tc>
      </w:tr>
      <w:tr w:rsidR="009F2DFA" w:rsidRPr="00F04CCD" w:rsidTr="007B71A4">
        <w:tc>
          <w:tcPr>
            <w:tcW w:w="9212" w:type="dxa"/>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Pr>
          <w:p w:rsidR="009F2DFA" w:rsidRPr="00126470" w:rsidRDefault="00133777" w:rsidP="007B71A4">
            <w:pPr>
              <w:rPr>
                <w:b/>
              </w:rPr>
            </w:pPr>
            <w:r w:rsidRPr="00126470">
              <w:rPr>
                <w:b/>
              </w:rPr>
              <w:t>K čl. I</w:t>
            </w:r>
          </w:p>
          <w:p w:rsidR="009F2DFA" w:rsidRPr="00FE33B9" w:rsidRDefault="00BE4F05" w:rsidP="007B71A4">
            <w:r w:rsidRPr="00FE33B9">
              <w:t xml:space="preserve">Predložené návrhy majú vplyv na zvýšenie administratívnej záťaže. </w:t>
            </w:r>
          </w:p>
          <w:p w:rsidR="00865787" w:rsidRPr="00FE33B9" w:rsidRDefault="00865787" w:rsidP="007B71A4">
            <w:r w:rsidRPr="00FE33B9">
              <w:t>Ide o:</w:t>
            </w:r>
          </w:p>
          <w:p w:rsidR="00540EB0" w:rsidRPr="00FE33B9" w:rsidRDefault="000F10DA" w:rsidP="0082736C">
            <w:pPr>
              <w:pStyle w:val="Odsekzoznamu"/>
              <w:numPr>
                <w:ilvl w:val="0"/>
                <w:numId w:val="14"/>
              </w:numPr>
              <w:spacing w:line="240" w:lineRule="auto"/>
              <w:ind w:left="357" w:firstLine="0"/>
              <w:rPr>
                <w:rFonts w:ascii="Times New Roman" w:hAnsi="Times New Roman"/>
                <w:sz w:val="20"/>
                <w:szCs w:val="20"/>
              </w:rPr>
            </w:pPr>
            <w:r w:rsidRPr="00FE33B9">
              <w:rPr>
                <w:rFonts w:ascii="Times New Roman" w:hAnsi="Times New Roman"/>
                <w:sz w:val="20"/>
                <w:szCs w:val="20"/>
              </w:rPr>
              <w:t>p</w:t>
            </w:r>
            <w:r w:rsidR="00540EB0" w:rsidRPr="00FE33B9">
              <w:rPr>
                <w:rFonts w:ascii="Times New Roman" w:hAnsi="Times New Roman"/>
                <w:sz w:val="20"/>
                <w:szCs w:val="20"/>
              </w:rPr>
              <w:t>ožiadanie pridelenia príslušných kódov na uvedenie pokladnice e-kasa klient do prevádzky</w:t>
            </w:r>
            <w:r w:rsidRPr="00FE33B9">
              <w:rPr>
                <w:rFonts w:ascii="Times New Roman" w:hAnsi="Times New Roman"/>
                <w:sz w:val="20"/>
                <w:szCs w:val="20"/>
              </w:rPr>
              <w:t>,</w:t>
            </w:r>
          </w:p>
          <w:p w:rsidR="000F10DA" w:rsidRPr="00FE33B9" w:rsidRDefault="00540EB0" w:rsidP="0082736C">
            <w:pPr>
              <w:pStyle w:val="Odsekzoznamu"/>
              <w:numPr>
                <w:ilvl w:val="0"/>
                <w:numId w:val="14"/>
              </w:numPr>
              <w:spacing w:line="240" w:lineRule="auto"/>
              <w:ind w:left="357" w:firstLine="0"/>
              <w:rPr>
                <w:rFonts w:ascii="Times New Roman" w:hAnsi="Times New Roman"/>
                <w:sz w:val="20"/>
                <w:szCs w:val="20"/>
              </w:rPr>
            </w:pPr>
            <w:r w:rsidRPr="00FE33B9">
              <w:rPr>
                <w:rFonts w:ascii="Times New Roman" w:hAnsi="Times New Roman"/>
                <w:sz w:val="20"/>
                <w:szCs w:val="20"/>
              </w:rPr>
              <w:t xml:space="preserve">zaslanie dátovej správy </w:t>
            </w:r>
            <w:r w:rsidR="000F10DA" w:rsidRPr="00FE33B9">
              <w:rPr>
                <w:rFonts w:ascii="Times New Roman" w:hAnsi="Times New Roman"/>
                <w:sz w:val="20"/>
                <w:szCs w:val="20"/>
              </w:rPr>
              <w:t>v prípade výnimky pri evidencii tržieb v pokladnici e-kasa klient,</w:t>
            </w:r>
          </w:p>
          <w:p w:rsidR="000F10DA" w:rsidRPr="00FE33B9" w:rsidRDefault="000F10DA" w:rsidP="0082736C">
            <w:pPr>
              <w:pStyle w:val="Odsekzoznamu"/>
              <w:numPr>
                <w:ilvl w:val="0"/>
                <w:numId w:val="14"/>
              </w:numPr>
              <w:spacing w:line="240" w:lineRule="auto"/>
              <w:ind w:left="357" w:firstLine="0"/>
              <w:rPr>
                <w:rFonts w:ascii="Times New Roman" w:hAnsi="Times New Roman"/>
                <w:sz w:val="20"/>
                <w:szCs w:val="20"/>
              </w:rPr>
            </w:pPr>
            <w:r w:rsidRPr="00FE33B9">
              <w:rPr>
                <w:rFonts w:ascii="Times New Roman" w:hAnsi="Times New Roman"/>
                <w:sz w:val="20"/>
                <w:szCs w:val="20"/>
              </w:rPr>
              <w:t>preukázanie technických príčin, na základe ktorých sa podnikateľ nemôže pripojiť na internet a ich každoročné opätovné preukazovanie,</w:t>
            </w:r>
          </w:p>
          <w:p w:rsidR="000F10DA" w:rsidRDefault="000F10DA" w:rsidP="0082736C">
            <w:pPr>
              <w:pStyle w:val="Odsekzoznamu"/>
              <w:numPr>
                <w:ilvl w:val="0"/>
                <w:numId w:val="14"/>
              </w:numPr>
              <w:spacing w:line="240" w:lineRule="auto"/>
              <w:ind w:left="357" w:firstLine="0"/>
              <w:rPr>
                <w:rFonts w:ascii="Times New Roman" w:hAnsi="Times New Roman"/>
                <w:sz w:val="20"/>
                <w:szCs w:val="20"/>
              </w:rPr>
            </w:pPr>
            <w:r w:rsidRPr="00FE33B9">
              <w:rPr>
                <w:rFonts w:ascii="Times New Roman" w:hAnsi="Times New Roman"/>
                <w:sz w:val="20"/>
                <w:szCs w:val="20"/>
              </w:rPr>
              <w:t>predkladanie údajov z neodoslanej dátovej správy v listinnej alebo elektronickej podobe.</w:t>
            </w:r>
          </w:p>
          <w:p w:rsidR="00EA6227" w:rsidRDefault="00EA6227" w:rsidP="00EA6227">
            <w:pPr>
              <w:ind w:left="357"/>
            </w:pPr>
            <w:r>
              <w:t>Uvedené vplyvy však s prihliadnutím na to, že uvedené úkony sa budú vykonávať elektronicky, budú vznikať len výnimočne, t. j. nebudú sa týkať podnikateľov celoplošne.</w:t>
            </w:r>
          </w:p>
          <w:p w:rsidR="00EA6227" w:rsidRPr="00EA6227" w:rsidRDefault="00EA6227" w:rsidP="00EA6227">
            <w:pPr>
              <w:ind w:left="357"/>
            </w:pPr>
          </w:p>
          <w:p w:rsidR="00C10341" w:rsidRPr="00FE33B9" w:rsidRDefault="00C10341" w:rsidP="00C10341">
            <w:r w:rsidRPr="00FE33B9">
              <w:t xml:space="preserve">Náklady nie je možné </w:t>
            </w:r>
            <w:r w:rsidR="000F10DA" w:rsidRPr="00FE33B9">
              <w:t xml:space="preserve">vopred </w:t>
            </w:r>
            <w:r w:rsidRPr="00FE33B9">
              <w:t>vyčísliť</w:t>
            </w:r>
            <w:r w:rsidR="000F10DA" w:rsidRPr="00FE33B9">
              <w:t>.</w:t>
            </w:r>
            <w:r w:rsidRPr="00FE33B9">
              <w:t xml:space="preserve"> </w:t>
            </w:r>
          </w:p>
          <w:p w:rsidR="00495608" w:rsidRPr="00FE33B9" w:rsidRDefault="00495608" w:rsidP="00C10341"/>
          <w:p w:rsidR="008F481B" w:rsidRPr="00FE33B9" w:rsidRDefault="00495608" w:rsidP="008F481B">
            <w:pPr>
              <w:autoSpaceDN w:val="0"/>
              <w:spacing w:after="160" w:line="252" w:lineRule="auto"/>
              <w:jc w:val="both"/>
              <w:textAlignment w:val="baseline"/>
            </w:pPr>
            <w:r w:rsidRPr="00FE33B9">
              <w:t xml:space="preserve">V návrhu možno </w:t>
            </w:r>
            <w:r w:rsidR="008F481B" w:rsidRPr="00FE33B9">
              <w:t xml:space="preserve">vyzdvihnúť </w:t>
            </w:r>
            <w:proofErr w:type="spellStart"/>
            <w:r w:rsidR="008F481B" w:rsidRPr="00FE33B9">
              <w:t>propodnikateľské</w:t>
            </w:r>
            <w:proofErr w:type="spellEnd"/>
            <w:r w:rsidR="008F481B" w:rsidRPr="00FE33B9">
              <w:t xml:space="preserve"> opatrenia, a to </w:t>
            </w:r>
          </w:p>
          <w:p w:rsidR="00CC5139" w:rsidRPr="00CC5139" w:rsidRDefault="00CC5139" w:rsidP="00CC5139">
            <w:pPr>
              <w:pStyle w:val="Odsekzoznamu"/>
              <w:numPr>
                <w:ilvl w:val="0"/>
                <w:numId w:val="21"/>
              </w:numPr>
              <w:spacing w:line="240" w:lineRule="auto"/>
              <w:rPr>
                <w:rFonts w:ascii="Times New Roman" w:hAnsi="Times New Roman"/>
                <w:sz w:val="20"/>
                <w:szCs w:val="20"/>
              </w:rPr>
            </w:pPr>
            <w:r w:rsidRPr="00CC5139">
              <w:rPr>
                <w:rFonts w:ascii="Times New Roman" w:hAnsi="Times New Roman"/>
                <w:sz w:val="20"/>
                <w:szCs w:val="20"/>
              </w:rPr>
              <w:t>nepoužívanie knihy pokladnice,</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 xml:space="preserve">nie je povinnosť zmluvne si zabezpečiť servisnú organizáciu, t. j. odstránenie nákladov na </w:t>
            </w:r>
            <w:r w:rsidR="00EB648A">
              <w:rPr>
                <w:rFonts w:ascii="Times New Roman" w:hAnsi="Times New Roman"/>
                <w:sz w:val="20"/>
                <w:szCs w:val="20"/>
              </w:rPr>
              <w:t xml:space="preserve">povinný </w:t>
            </w:r>
            <w:r w:rsidRPr="00CC5139">
              <w:rPr>
                <w:rFonts w:ascii="Times New Roman" w:hAnsi="Times New Roman"/>
                <w:sz w:val="20"/>
                <w:szCs w:val="20"/>
              </w:rPr>
              <w:t>servis registračných pokladníc,</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možnosť využívať všetok dostupný hardvér,</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možnosť používať aj súčasné registračné pokladnice za predpokladu ich prispôsobenia na nové technické požiadavky,</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nastavenie softvéru na technické požiadavky zákona je zo strany podnikateľov ľubovoľné, t. j. softvérové riešenie nie je zákonom predpísané,</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požiadanie o pridelenie kódu a pridelenie kódu pokladnice e-kasa klient elektronickou formou, čo znamená operatívnejšie a efektívnejšie pridelenie kódu,</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zníženie nákladov pri prevádzke,</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 xml:space="preserve">export dát na zjednodušenie podávania kontrolného výkazu na účely DPH, </w:t>
            </w:r>
          </w:p>
          <w:p w:rsidR="00CC5139" w:rsidRPr="00CC5139" w:rsidRDefault="00CC5139" w:rsidP="00CC5139">
            <w:pPr>
              <w:pStyle w:val="Odsekzoznamu"/>
              <w:numPr>
                <w:ilvl w:val="0"/>
                <w:numId w:val="21"/>
              </w:numPr>
              <w:spacing w:line="240" w:lineRule="auto"/>
              <w:ind w:left="714" w:hanging="357"/>
              <w:rPr>
                <w:rFonts w:ascii="Times New Roman" w:hAnsi="Times New Roman"/>
                <w:sz w:val="20"/>
                <w:szCs w:val="20"/>
              </w:rPr>
            </w:pPr>
            <w:r w:rsidRPr="00CC5139">
              <w:rPr>
                <w:rFonts w:ascii="Times New Roman" w:hAnsi="Times New Roman"/>
                <w:sz w:val="20"/>
                <w:szCs w:val="20"/>
              </w:rPr>
              <w:t>dostupnosť dát počas archivácie.</w:t>
            </w:r>
          </w:p>
          <w:p w:rsidR="00CC5139" w:rsidRDefault="00CC5139" w:rsidP="00CC5139">
            <w:r w:rsidRPr="00CC5139">
              <w:t>Zákazníkom systém umožní overenie pravosti pokladničných dokladov v reálnom čase.</w:t>
            </w:r>
          </w:p>
          <w:p w:rsidR="00E939CE" w:rsidRDefault="00E939CE" w:rsidP="00CC5139"/>
          <w:p w:rsidR="00126470" w:rsidRPr="00BF1928" w:rsidRDefault="00126470" w:rsidP="00126470">
            <w:pPr>
              <w:jc w:val="both"/>
            </w:pPr>
            <w:r w:rsidRPr="00BF1928">
              <w:t xml:space="preserve">Návrh v čl.  II zavádza oslobodenie nepeňažného príjmu zamestnanca s uzatvorenou pracovnou zmluvou do výšky 60 eur za ubytovanie poskytnuté zamestnávateľom. Uvedené opatrenie podporuje v období nedostatku pracovnej sily jej mobilitu. </w:t>
            </w:r>
          </w:p>
          <w:p w:rsidR="00126470" w:rsidRDefault="00126470" w:rsidP="00126470">
            <w:pPr>
              <w:spacing w:line="276" w:lineRule="auto"/>
              <w:jc w:val="both"/>
            </w:pPr>
          </w:p>
          <w:p w:rsidR="00126470" w:rsidRPr="00777E1B" w:rsidRDefault="00126470" w:rsidP="00126470">
            <w:pPr>
              <w:spacing w:line="276" w:lineRule="auto"/>
              <w:jc w:val="both"/>
            </w:pPr>
            <w:r>
              <w:t xml:space="preserve">Návrh v čl. III a IV nemá vplyv na podnikateľské prostredie. </w:t>
            </w:r>
          </w:p>
          <w:p w:rsidR="009F2DFA" w:rsidRPr="00F04CCD" w:rsidRDefault="009F2DFA" w:rsidP="00126470">
            <w:pPr>
              <w:spacing w:line="276" w:lineRule="auto"/>
              <w:jc w:val="both"/>
              <w:rPr>
                <w:b/>
                <w:i/>
              </w:rPr>
            </w:pPr>
          </w:p>
        </w:tc>
      </w:tr>
      <w:tr w:rsidR="009F2DFA" w:rsidRPr="00F04CCD" w:rsidTr="007B71A4">
        <w:trPr>
          <w:trHeight w:val="2318"/>
        </w:trPr>
        <w:tc>
          <w:tcPr>
            <w:tcW w:w="9212" w:type="dxa"/>
          </w:tcPr>
          <w:p w:rsidR="009F2DFA" w:rsidRPr="00683C95" w:rsidRDefault="002B1108" w:rsidP="007B71A4">
            <w:pPr>
              <w:rPr>
                <w:i/>
              </w:rPr>
            </w:pPr>
            <w:r>
              <w:rPr>
                <w:b/>
                <w:i/>
              </w:rPr>
              <w:t>3</w:t>
            </w:r>
            <w:r w:rsidR="009F2DFA" w:rsidRPr="00F04CCD">
              <w:rPr>
                <w:b/>
                <w:i/>
              </w:rPr>
              <w:t>.</w:t>
            </w:r>
            <w:r w:rsidR="009F2DFA" w:rsidRPr="00683C95">
              <w:rPr>
                <w:b/>
                <w:i/>
              </w:rPr>
              <w:t>3.4 Súhrnná tabuľka nákladov regulácie</w:t>
            </w:r>
          </w:p>
          <w:p w:rsidR="009F2DFA" w:rsidRPr="00683C95" w:rsidRDefault="00B022CE" w:rsidP="007B71A4">
            <w:pPr>
              <w:rPr>
                <w:i/>
              </w:rPr>
            </w:pPr>
            <w:r>
              <w:rPr>
                <w:i/>
              </w:rPr>
              <w:t>K čl. I</w:t>
            </w:r>
          </w:p>
          <w:tbl>
            <w:tblPr>
              <w:tblStyle w:val="Mriekatabuky"/>
              <w:tblW w:w="0" w:type="auto"/>
              <w:tblLook w:val="04A0" w:firstRow="1" w:lastRow="0" w:firstColumn="1" w:lastColumn="0" w:noHBand="0" w:noVBand="1"/>
            </w:tblPr>
            <w:tblGrid>
              <w:gridCol w:w="2949"/>
              <w:gridCol w:w="2941"/>
              <w:gridCol w:w="2946"/>
            </w:tblGrid>
            <w:tr w:rsidR="009F2DFA" w:rsidRPr="00683C95" w:rsidTr="007B71A4">
              <w:tc>
                <w:tcPr>
                  <w:tcW w:w="2993"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rPr>
                      <w:i/>
                    </w:rPr>
                  </w:pPr>
                </w:p>
              </w:tc>
              <w:tc>
                <w:tcPr>
                  <w:tcW w:w="2994" w:type="dxa"/>
                  <w:tcBorders>
                    <w:top w:val="single" w:sz="4" w:space="0" w:color="auto"/>
                    <w:left w:val="single" w:sz="4" w:space="0" w:color="auto"/>
                    <w:bottom w:val="single" w:sz="4" w:space="0" w:color="auto"/>
                    <w:right w:val="single" w:sz="4" w:space="0" w:color="auto"/>
                  </w:tcBorders>
                </w:tcPr>
                <w:p w:rsidR="009F2DFA" w:rsidRDefault="009F2DFA" w:rsidP="007B71A4">
                  <w:pPr>
                    <w:jc w:val="center"/>
                    <w:rPr>
                      <w:i/>
                    </w:rPr>
                  </w:pPr>
                  <w:r w:rsidRPr="00683C95">
                    <w:rPr>
                      <w:i/>
                    </w:rPr>
                    <w:t>Náklady na 1 podnikateľa</w:t>
                  </w:r>
                </w:p>
                <w:p w:rsidR="006E71FD" w:rsidRPr="00683C95" w:rsidRDefault="006E71FD" w:rsidP="007B71A4">
                  <w:pPr>
                    <w:jc w:val="center"/>
                    <w:rPr>
                      <w:i/>
                    </w:rPr>
                  </w:pPr>
                  <w:r>
                    <w:rPr>
                      <w:i/>
                    </w:rPr>
                    <w:t>(</w:t>
                  </w:r>
                  <w:r w:rsidR="00B676E2">
                    <w:rPr>
                      <w:i/>
                    </w:rPr>
                    <w:t xml:space="preserve">v </w:t>
                  </w:r>
                  <w:r>
                    <w:rPr>
                      <w:i/>
                    </w:rPr>
                    <w:t>eur</w:t>
                  </w:r>
                  <w:r w:rsidR="00B676E2">
                    <w:rPr>
                      <w:i/>
                    </w:rPr>
                    <w:t>ách</w:t>
                  </w:r>
                  <w:r>
                    <w:rPr>
                      <w:i/>
                    </w:rPr>
                    <w:t>)</w:t>
                  </w:r>
                </w:p>
              </w:tc>
              <w:tc>
                <w:tcPr>
                  <w:tcW w:w="2994" w:type="dxa"/>
                  <w:tcBorders>
                    <w:top w:val="single" w:sz="4" w:space="0" w:color="auto"/>
                    <w:left w:val="single" w:sz="4" w:space="0" w:color="auto"/>
                    <w:bottom w:val="single" w:sz="4" w:space="0" w:color="auto"/>
                    <w:right w:val="single" w:sz="4" w:space="0" w:color="auto"/>
                  </w:tcBorders>
                </w:tcPr>
                <w:p w:rsidR="009F2DFA" w:rsidRPr="00683C95" w:rsidRDefault="009F2DFA" w:rsidP="00B676E2">
                  <w:pPr>
                    <w:jc w:val="center"/>
                    <w:rPr>
                      <w:i/>
                    </w:rPr>
                  </w:pPr>
                  <w:r w:rsidRPr="00683C95">
                    <w:rPr>
                      <w:i/>
                    </w:rPr>
                    <w:t>Náklady na celé podnikateľské prostredie</w:t>
                  </w:r>
                  <w:r w:rsidR="006E71FD">
                    <w:rPr>
                      <w:i/>
                    </w:rPr>
                    <w:t xml:space="preserve"> (</w:t>
                  </w:r>
                  <w:r w:rsidR="00B676E2">
                    <w:rPr>
                      <w:i/>
                    </w:rPr>
                    <w:t xml:space="preserve">v </w:t>
                  </w:r>
                  <w:r w:rsidR="006E71FD">
                    <w:rPr>
                      <w:i/>
                    </w:rPr>
                    <w:t xml:space="preserve">mil. </w:t>
                  </w:r>
                  <w:r w:rsidR="00B676E2">
                    <w:rPr>
                      <w:i/>
                    </w:rPr>
                    <w:t>e</w:t>
                  </w:r>
                  <w:r w:rsidR="006E71FD">
                    <w:rPr>
                      <w:i/>
                    </w:rPr>
                    <w:t>ur)</w:t>
                  </w:r>
                </w:p>
              </w:tc>
            </w:tr>
            <w:tr w:rsidR="009F2DFA" w:rsidRPr="00683C95" w:rsidTr="007B71A4">
              <w:tc>
                <w:tcPr>
                  <w:tcW w:w="2993"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rPr>
                      <w:i/>
                    </w:rPr>
                  </w:pPr>
                  <w:r w:rsidRPr="00683C95">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jc w:val="center"/>
                    <w:rPr>
                      <w:i/>
                    </w:rPr>
                  </w:pPr>
                  <w:r w:rsidRPr="00683C95">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jc w:val="center"/>
                    <w:rPr>
                      <w:i/>
                    </w:rPr>
                  </w:pPr>
                  <w:r w:rsidRPr="00683C95">
                    <w:rPr>
                      <w:i/>
                    </w:rPr>
                    <w:t>0</w:t>
                  </w:r>
                </w:p>
              </w:tc>
            </w:tr>
            <w:tr w:rsidR="009F2DFA" w:rsidRPr="00683C95" w:rsidTr="007B71A4">
              <w:tc>
                <w:tcPr>
                  <w:tcW w:w="2993" w:type="dxa"/>
                  <w:tcBorders>
                    <w:top w:val="single" w:sz="4" w:space="0" w:color="auto"/>
                    <w:left w:val="single" w:sz="4" w:space="0" w:color="auto"/>
                    <w:bottom w:val="single" w:sz="4" w:space="0" w:color="auto"/>
                    <w:right w:val="single" w:sz="4" w:space="0" w:color="auto"/>
                  </w:tcBorders>
                </w:tcPr>
                <w:p w:rsidR="009F2DFA" w:rsidRDefault="009F2DFA" w:rsidP="007B71A4">
                  <w:pPr>
                    <w:rPr>
                      <w:i/>
                    </w:rPr>
                  </w:pPr>
                  <w:r w:rsidRPr="00683C95">
                    <w:rPr>
                      <w:i/>
                    </w:rPr>
                    <w:t>Nepriame finančné náklady</w:t>
                  </w:r>
                </w:p>
                <w:p w:rsidR="006E71FD" w:rsidRDefault="006E71FD" w:rsidP="007B71A4">
                  <w:pPr>
                    <w:rPr>
                      <w:i/>
                    </w:rPr>
                  </w:pPr>
                </w:p>
                <w:p w:rsidR="003C6011" w:rsidRDefault="006E71FD" w:rsidP="007B71A4">
                  <w:pPr>
                    <w:rPr>
                      <w:i/>
                    </w:rPr>
                  </w:pPr>
                  <w:r>
                    <w:rPr>
                      <w:i/>
                    </w:rPr>
                    <w:t xml:space="preserve">Kúpa novej ERP </w:t>
                  </w:r>
                </w:p>
                <w:p w:rsidR="003C6011" w:rsidRDefault="003C6011" w:rsidP="007B71A4">
                  <w:pPr>
                    <w:rPr>
                      <w:i/>
                    </w:rPr>
                  </w:pPr>
                </w:p>
                <w:p w:rsidR="006E71FD" w:rsidRDefault="006E71FD" w:rsidP="007B71A4">
                  <w:pPr>
                    <w:rPr>
                      <w:i/>
                    </w:rPr>
                  </w:pPr>
                  <w:r>
                    <w:rPr>
                      <w:i/>
                    </w:rPr>
                    <w:t>Update SW</w:t>
                  </w:r>
                </w:p>
                <w:p w:rsidR="006E71FD" w:rsidRDefault="006E71FD" w:rsidP="007B71A4">
                  <w:pPr>
                    <w:rPr>
                      <w:i/>
                    </w:rPr>
                  </w:pPr>
                </w:p>
                <w:p w:rsidR="006E71FD" w:rsidRPr="00683C95" w:rsidRDefault="006E71FD" w:rsidP="007B71A4">
                  <w:pPr>
                    <w:rPr>
                      <w:i/>
                    </w:rPr>
                  </w:pPr>
                  <w:r>
                    <w:rPr>
                      <w:i/>
                    </w:rPr>
                    <w:t>Internetové pripojenie</w:t>
                  </w:r>
                </w:p>
              </w:tc>
              <w:tc>
                <w:tcPr>
                  <w:tcW w:w="2994" w:type="dxa"/>
                  <w:tcBorders>
                    <w:top w:val="single" w:sz="4" w:space="0" w:color="auto"/>
                    <w:left w:val="single" w:sz="4" w:space="0" w:color="auto"/>
                    <w:bottom w:val="single" w:sz="4" w:space="0" w:color="auto"/>
                    <w:right w:val="single" w:sz="4" w:space="0" w:color="auto"/>
                  </w:tcBorders>
                </w:tcPr>
                <w:p w:rsidR="006E71FD" w:rsidRDefault="006E71FD" w:rsidP="007B71A4">
                  <w:pPr>
                    <w:jc w:val="center"/>
                    <w:rPr>
                      <w:i/>
                    </w:rPr>
                  </w:pPr>
                </w:p>
                <w:p w:rsidR="006E71FD" w:rsidRDefault="006E71FD" w:rsidP="007B71A4">
                  <w:pPr>
                    <w:jc w:val="center"/>
                    <w:rPr>
                      <w:i/>
                    </w:rPr>
                  </w:pPr>
                </w:p>
                <w:p w:rsidR="009F2DFA" w:rsidRDefault="003C6011" w:rsidP="007B71A4">
                  <w:pPr>
                    <w:jc w:val="center"/>
                    <w:rPr>
                      <w:i/>
                    </w:rPr>
                  </w:pPr>
                  <w:r>
                    <w:rPr>
                      <w:i/>
                    </w:rPr>
                    <w:t>280</w:t>
                  </w:r>
                </w:p>
                <w:p w:rsidR="006E71FD" w:rsidRDefault="006E71FD" w:rsidP="007B71A4">
                  <w:pPr>
                    <w:jc w:val="center"/>
                    <w:rPr>
                      <w:i/>
                    </w:rPr>
                  </w:pPr>
                </w:p>
                <w:p w:rsidR="003C6011" w:rsidRDefault="003C6011" w:rsidP="007B71A4">
                  <w:pPr>
                    <w:jc w:val="center"/>
                    <w:rPr>
                      <w:i/>
                    </w:rPr>
                  </w:pPr>
                  <w:r>
                    <w:rPr>
                      <w:i/>
                    </w:rPr>
                    <w:t>80</w:t>
                  </w:r>
                </w:p>
                <w:p w:rsidR="003C6011" w:rsidRDefault="003C6011" w:rsidP="007B71A4">
                  <w:pPr>
                    <w:jc w:val="center"/>
                    <w:rPr>
                      <w:i/>
                    </w:rPr>
                  </w:pPr>
                </w:p>
                <w:p w:rsidR="006E71FD" w:rsidRDefault="006E71FD" w:rsidP="007B71A4">
                  <w:pPr>
                    <w:jc w:val="center"/>
                    <w:rPr>
                      <w:i/>
                    </w:rPr>
                  </w:pPr>
                  <w:r>
                    <w:rPr>
                      <w:i/>
                    </w:rPr>
                    <w:t>1</w:t>
                  </w:r>
                  <w:r w:rsidR="000F4044">
                    <w:rPr>
                      <w:i/>
                    </w:rPr>
                    <w:t>20</w:t>
                  </w:r>
                  <w:r w:rsidR="003C6011">
                    <w:rPr>
                      <w:i/>
                    </w:rPr>
                    <w:t xml:space="preserve"> (rok)</w:t>
                  </w:r>
                </w:p>
                <w:p w:rsidR="006E71FD" w:rsidRDefault="006E71FD" w:rsidP="007B71A4">
                  <w:pPr>
                    <w:jc w:val="center"/>
                    <w:rPr>
                      <w:i/>
                    </w:rPr>
                  </w:pPr>
                </w:p>
                <w:p w:rsidR="006E71FD" w:rsidRPr="00683C95" w:rsidRDefault="006E71FD" w:rsidP="007B71A4">
                  <w:pPr>
                    <w:jc w:val="center"/>
                    <w:rPr>
                      <w:i/>
                    </w:rPr>
                  </w:pPr>
                </w:p>
              </w:tc>
              <w:tc>
                <w:tcPr>
                  <w:tcW w:w="2994" w:type="dxa"/>
                  <w:tcBorders>
                    <w:top w:val="single" w:sz="4" w:space="0" w:color="auto"/>
                    <w:left w:val="single" w:sz="4" w:space="0" w:color="auto"/>
                    <w:bottom w:val="single" w:sz="4" w:space="0" w:color="auto"/>
                    <w:right w:val="single" w:sz="4" w:space="0" w:color="auto"/>
                  </w:tcBorders>
                </w:tcPr>
                <w:p w:rsidR="006E71FD" w:rsidRDefault="006E71FD" w:rsidP="006E71FD">
                  <w:pPr>
                    <w:jc w:val="center"/>
                    <w:rPr>
                      <w:i/>
                    </w:rPr>
                  </w:pPr>
                </w:p>
                <w:p w:rsidR="006E71FD" w:rsidRDefault="006E71FD" w:rsidP="006E71FD">
                  <w:pPr>
                    <w:jc w:val="center"/>
                    <w:rPr>
                      <w:i/>
                    </w:rPr>
                  </w:pPr>
                </w:p>
                <w:p w:rsidR="006E71FD" w:rsidRDefault="003C6011" w:rsidP="006E71FD">
                  <w:pPr>
                    <w:jc w:val="center"/>
                    <w:rPr>
                      <w:i/>
                    </w:rPr>
                  </w:pPr>
                  <w:r>
                    <w:rPr>
                      <w:i/>
                    </w:rPr>
                    <w:t>13,1</w:t>
                  </w:r>
                </w:p>
                <w:p w:rsidR="006E71FD" w:rsidRDefault="006E71FD" w:rsidP="006E71FD">
                  <w:pPr>
                    <w:jc w:val="center"/>
                    <w:rPr>
                      <w:i/>
                    </w:rPr>
                  </w:pPr>
                </w:p>
                <w:p w:rsidR="006E71FD" w:rsidRDefault="003C6011" w:rsidP="006E71FD">
                  <w:pPr>
                    <w:jc w:val="center"/>
                    <w:rPr>
                      <w:i/>
                    </w:rPr>
                  </w:pPr>
                  <w:r>
                    <w:rPr>
                      <w:i/>
                    </w:rPr>
                    <w:t>14,9</w:t>
                  </w:r>
                  <w:bookmarkStart w:id="0" w:name="_GoBack"/>
                  <w:bookmarkEnd w:id="0"/>
                </w:p>
                <w:p w:rsidR="003C6011" w:rsidRDefault="003C6011" w:rsidP="006E71FD">
                  <w:pPr>
                    <w:jc w:val="center"/>
                    <w:rPr>
                      <w:i/>
                    </w:rPr>
                  </w:pPr>
                </w:p>
                <w:p w:rsidR="003C6011" w:rsidRPr="00683C95" w:rsidRDefault="003C6011" w:rsidP="006E71FD">
                  <w:pPr>
                    <w:jc w:val="center"/>
                    <w:rPr>
                      <w:i/>
                    </w:rPr>
                  </w:pPr>
                  <w:r>
                    <w:rPr>
                      <w:i/>
                    </w:rPr>
                    <w:t>2,8</w:t>
                  </w:r>
                </w:p>
              </w:tc>
            </w:tr>
            <w:tr w:rsidR="009F2DFA" w:rsidRPr="00683C95" w:rsidTr="007B71A4">
              <w:tc>
                <w:tcPr>
                  <w:tcW w:w="2993"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rPr>
                      <w:i/>
                    </w:rPr>
                  </w:pPr>
                  <w:r w:rsidRPr="00683C95">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F2DFA" w:rsidRPr="00683C95" w:rsidRDefault="00443A21" w:rsidP="007B71A4">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jc w:val="center"/>
                    <w:rPr>
                      <w:i/>
                    </w:rPr>
                  </w:pPr>
                  <w:r w:rsidRPr="00683C95">
                    <w:rPr>
                      <w:i/>
                    </w:rPr>
                    <w:t>0</w:t>
                  </w:r>
                </w:p>
              </w:tc>
            </w:tr>
            <w:tr w:rsidR="009F2DFA" w:rsidRPr="00F04CCD" w:rsidTr="007B71A4">
              <w:tc>
                <w:tcPr>
                  <w:tcW w:w="2993" w:type="dxa"/>
                  <w:tcBorders>
                    <w:top w:val="single" w:sz="4" w:space="0" w:color="auto"/>
                    <w:left w:val="single" w:sz="4" w:space="0" w:color="auto"/>
                    <w:bottom w:val="single" w:sz="4" w:space="0" w:color="auto"/>
                    <w:right w:val="single" w:sz="4" w:space="0" w:color="auto"/>
                  </w:tcBorders>
                </w:tcPr>
                <w:p w:rsidR="009F2DFA" w:rsidRPr="00683C95" w:rsidRDefault="009F2DFA" w:rsidP="007B71A4">
                  <w:pPr>
                    <w:rPr>
                      <w:b/>
                      <w:i/>
                    </w:rPr>
                  </w:pPr>
                  <w:r w:rsidRPr="00683C95">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F2DFA" w:rsidRPr="00443A21" w:rsidRDefault="00443A21" w:rsidP="000F4044">
                  <w:pPr>
                    <w:jc w:val="center"/>
                    <w:rPr>
                      <w:b/>
                      <w:i/>
                    </w:rPr>
                  </w:pPr>
                  <w:r w:rsidRPr="00443A21">
                    <w:rPr>
                      <w:b/>
                      <w:i/>
                    </w:rPr>
                    <w:t>4</w:t>
                  </w:r>
                  <w:r w:rsidR="000F4044">
                    <w:rPr>
                      <w:b/>
                      <w:i/>
                    </w:rPr>
                    <w:t>80</w:t>
                  </w:r>
                </w:p>
              </w:tc>
              <w:tc>
                <w:tcPr>
                  <w:tcW w:w="2994" w:type="dxa"/>
                  <w:tcBorders>
                    <w:top w:val="single" w:sz="4" w:space="0" w:color="auto"/>
                    <w:left w:val="single" w:sz="4" w:space="0" w:color="auto"/>
                    <w:bottom w:val="single" w:sz="4" w:space="0" w:color="auto"/>
                    <w:right w:val="single" w:sz="4" w:space="0" w:color="auto"/>
                  </w:tcBorders>
                </w:tcPr>
                <w:p w:rsidR="009F2DFA" w:rsidRPr="00443A21" w:rsidRDefault="000F4044" w:rsidP="007B71A4">
                  <w:pPr>
                    <w:jc w:val="center"/>
                    <w:rPr>
                      <w:b/>
                      <w:i/>
                    </w:rPr>
                  </w:pPr>
                  <w:r>
                    <w:rPr>
                      <w:b/>
                      <w:i/>
                    </w:rPr>
                    <w:t>30,8</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Pr>
          <w:p w:rsidR="009F2DFA" w:rsidRPr="00777E1B" w:rsidRDefault="000F10DA" w:rsidP="00CC5139">
            <w:pPr>
              <w:jc w:val="both"/>
            </w:pPr>
            <w:r w:rsidRPr="00777E1B">
              <w:t>Zmena prechodu z používania</w:t>
            </w:r>
            <w:r w:rsidR="004D5D4F" w:rsidRPr="00777E1B">
              <w:t xml:space="preserve"> elektronickej registračnej pokladnice</w:t>
            </w:r>
            <w:r w:rsidRPr="00777E1B">
              <w:t xml:space="preserve"> na pokladnicu e-kasa klient sa </w:t>
            </w:r>
            <w:r w:rsidR="004D5D4F" w:rsidRPr="00777E1B">
              <w:t xml:space="preserve"> vzťahuje rovnako na </w:t>
            </w:r>
            <w:r w:rsidR="00010640" w:rsidRPr="00777E1B">
              <w:t xml:space="preserve">všetkých </w:t>
            </w:r>
            <w:r w:rsidR="004D5D4F" w:rsidRPr="00777E1B">
              <w:t>podn</w:t>
            </w:r>
            <w:r w:rsidR="00683C95" w:rsidRPr="00777E1B">
              <w:t xml:space="preserve">ikateľov, ktorí </w:t>
            </w:r>
            <w:r w:rsidRPr="00777E1B">
              <w:t xml:space="preserve">v súčasnosti používajú elektronickú </w:t>
            </w:r>
            <w:r w:rsidR="00010640" w:rsidRPr="00777E1B">
              <w:t>registračnú pokladnicu</w:t>
            </w:r>
            <w:r w:rsidR="00683C95" w:rsidRPr="00777E1B">
              <w:t xml:space="preserve">, a preto bude mať rovnaký vplyv na všetky </w:t>
            </w:r>
            <w:r w:rsidRPr="00777E1B">
              <w:t xml:space="preserve">tieto </w:t>
            </w:r>
            <w:r w:rsidR="00683C95" w:rsidRPr="00777E1B">
              <w:t>dotknuté subjekty</w:t>
            </w:r>
            <w:r w:rsidRPr="00777E1B">
              <w:t xml:space="preserve"> </w:t>
            </w:r>
            <w:proofErr w:type="spellStart"/>
            <w:r w:rsidR="00683C95" w:rsidRPr="00777E1B">
              <w:t>bezrozdielne</w:t>
            </w:r>
            <w:proofErr w:type="spellEnd"/>
            <w:r w:rsidR="00683C95" w:rsidRPr="00777E1B">
              <w:t>.</w:t>
            </w:r>
          </w:p>
          <w:p w:rsidR="00683C95" w:rsidRPr="00777E1B" w:rsidRDefault="00683C95" w:rsidP="007B71A4">
            <w:pPr>
              <w:rPr>
                <w:i/>
              </w:rPr>
            </w:pPr>
          </w:p>
          <w:p w:rsidR="006543CE" w:rsidRDefault="006543CE" w:rsidP="00FD26DF">
            <w:pPr>
              <w:jc w:val="both"/>
            </w:pPr>
            <w:r w:rsidRPr="00777E1B">
              <w:t>Rovnako povinnosti ustanovené pre výrobcov, dovozcov alebo distribútorov</w:t>
            </w:r>
            <w:r w:rsidR="00010640" w:rsidRPr="00777E1B">
              <w:t xml:space="preserve"> pokladníc </w:t>
            </w:r>
            <w:r w:rsidRPr="00777E1B">
              <w:t>sa vzťahuj</w:t>
            </w:r>
            <w:r w:rsidR="00746083" w:rsidRPr="00777E1B">
              <w:t>ú</w:t>
            </w:r>
            <w:r w:rsidRPr="00777E1B">
              <w:t xml:space="preserve"> na všetkých </w:t>
            </w:r>
            <w:proofErr w:type="spellStart"/>
            <w:r w:rsidRPr="00777E1B">
              <w:t>bezrozdielne</w:t>
            </w:r>
            <w:proofErr w:type="spellEnd"/>
            <w:r w:rsidRPr="00777E1B">
              <w:t>.</w:t>
            </w:r>
          </w:p>
          <w:p w:rsidR="00F57D2D" w:rsidRDefault="00F57D2D" w:rsidP="00FD26DF">
            <w:pPr>
              <w:jc w:val="both"/>
            </w:pPr>
          </w:p>
          <w:p w:rsidR="00B022CE" w:rsidRPr="00BF1928" w:rsidRDefault="00B022CE" w:rsidP="00B022CE">
            <w:pPr>
              <w:jc w:val="both"/>
            </w:pPr>
            <w:r w:rsidRPr="00BF1928">
              <w:t xml:space="preserve">Návrh v čl.  II zavádza oslobodenie nepeňažného príjmu zamestnanca s uzatvorenou pracovnou zmluvou do výšky 60 eur za ubytovanie poskytnuté zamestnávateľom. Uvedené opatrenie podporuje v období nedostatku pracovnej sily jej mobilitu. </w:t>
            </w:r>
            <w:r>
              <w:t>Opatrenie sa dotýka zamestnávateľov, ktorí poskytujú zamestnancom ubytovanie.</w:t>
            </w:r>
          </w:p>
          <w:p w:rsidR="00B022CE" w:rsidRDefault="00B022CE" w:rsidP="00B022CE">
            <w:pPr>
              <w:spacing w:line="276" w:lineRule="auto"/>
              <w:jc w:val="both"/>
            </w:pPr>
          </w:p>
          <w:p w:rsidR="00B022CE" w:rsidRPr="00777E1B" w:rsidRDefault="00B022CE" w:rsidP="00B022CE">
            <w:pPr>
              <w:spacing w:line="276" w:lineRule="auto"/>
              <w:jc w:val="both"/>
            </w:pPr>
            <w:r>
              <w:t xml:space="preserve">Návrh v čl. III a IV nemá vplyv na podnikateľské prostredie. </w:t>
            </w:r>
          </w:p>
          <w:p w:rsidR="00B022CE" w:rsidRPr="00E939CE" w:rsidRDefault="00B022CE" w:rsidP="00E939CE">
            <w:pPr>
              <w:spacing w:line="276" w:lineRule="auto"/>
              <w:jc w:val="both"/>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511EB6" w:rsidRDefault="00511EB6" w:rsidP="00511EB6">
            <w:pPr>
              <w:rPr>
                <w:sz w:val="24"/>
                <w:szCs w:val="24"/>
              </w:rPr>
            </w:pPr>
          </w:p>
          <w:p w:rsidR="009F2DFA" w:rsidRDefault="00511EB6" w:rsidP="00511EB6">
            <w:r w:rsidRPr="00777E1B">
              <w:t xml:space="preserve">Návrh nemá vplyv na inovácie. </w:t>
            </w:r>
          </w:p>
          <w:p w:rsidR="00F57D2D" w:rsidRDefault="00F57D2D" w:rsidP="00511EB6"/>
          <w:p w:rsidR="00E939CE" w:rsidRPr="00E939CE" w:rsidRDefault="00E939CE" w:rsidP="00B022CE">
            <w:pPr>
              <w:spacing w:line="276" w:lineRule="auto"/>
              <w:jc w:val="both"/>
            </w:pPr>
          </w:p>
        </w:tc>
      </w:tr>
    </w:tbl>
    <w:p w:rsidR="009F2DFA" w:rsidRPr="00F04CCD" w:rsidRDefault="009F2DFA" w:rsidP="009F2DFA"/>
    <w:p w:rsidR="009F2DFA" w:rsidRDefault="009F2DFA" w:rsidP="009F2DFA"/>
    <w:sectPr w:rsidR="009F2D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59" w:rsidRDefault="007D6D59" w:rsidP="009F2DFA">
      <w:r>
        <w:separator/>
      </w:r>
    </w:p>
  </w:endnote>
  <w:endnote w:type="continuationSeparator" w:id="0">
    <w:p w:rsidR="007D6D59" w:rsidRDefault="007D6D59"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Pta"/>
      <w:jc w:val="right"/>
    </w:pPr>
    <w:r>
      <w:fldChar w:fldCharType="begin"/>
    </w:r>
    <w:r>
      <w:instrText>PAGE   \* MERGEFORMAT</w:instrText>
    </w:r>
    <w:r>
      <w:fldChar w:fldCharType="separate"/>
    </w:r>
    <w:r w:rsidR="003C6011">
      <w:rPr>
        <w:noProof/>
      </w:rPr>
      <w:t>9</w:t>
    </w:r>
    <w:r>
      <w:fldChar w:fldCharType="end"/>
    </w:r>
  </w:p>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59" w:rsidRDefault="007D6D59" w:rsidP="009F2DFA">
      <w:r>
        <w:separator/>
      </w:r>
    </w:p>
  </w:footnote>
  <w:footnote w:type="continuationSeparator" w:id="0">
    <w:p w:rsidR="007D6D59" w:rsidRDefault="007D6D59" w:rsidP="009F2DFA">
      <w:r>
        <w:continuationSeparator/>
      </w:r>
    </w:p>
  </w:footnote>
  <w:footnote w:id="1">
    <w:p w:rsidR="00DD623F" w:rsidRDefault="00C51427" w:rsidP="00C51427">
      <w:pPr>
        <w:pStyle w:val="Textpoznmkypodiarou"/>
        <w:rPr>
          <w:rFonts w:ascii="Arial Narrow" w:hAnsi="Arial Narrow"/>
          <w:sz w:val="18"/>
        </w:rPr>
      </w:pPr>
      <w:r w:rsidRPr="00DD5A89">
        <w:rPr>
          <w:rStyle w:val="Odkaznapoznmkupodiarou"/>
          <w:rFonts w:ascii="Arial Narrow" w:hAnsi="Arial Narrow"/>
          <w:sz w:val="18"/>
        </w:rPr>
        <w:footnoteRef/>
      </w:r>
      <w:r w:rsidRPr="00DD5A89">
        <w:rPr>
          <w:rFonts w:ascii="Arial Narrow" w:hAnsi="Arial Narrow"/>
          <w:sz w:val="18"/>
        </w:rPr>
        <w:t xml:space="preserve"> </w:t>
      </w:r>
      <w:r w:rsidR="00DD623F">
        <w:rPr>
          <w:rFonts w:ascii="Arial Narrow" w:hAnsi="Arial Narrow"/>
          <w:sz w:val="18"/>
        </w:rPr>
        <w:t>V sektore ubytovania a služieb reštaurácií a v sektore služieb bola vo výške takmer 70 % z potenciálnej hodnoty DPH</w:t>
      </w:r>
    </w:p>
    <w:p w:rsidR="00C51427" w:rsidRPr="004C4A91" w:rsidRDefault="00DD623F" w:rsidP="00C51427">
      <w:pPr>
        <w:pStyle w:val="Textpoznmkypodiarou"/>
        <w:rPr>
          <w:rFonts w:ascii="Arial Narrow" w:hAnsi="Arial Narrow"/>
        </w:rPr>
      </w:pPr>
      <w:r w:rsidRPr="00DD623F">
        <w:rPr>
          <w:rFonts w:ascii="Arial Narrow" w:hAnsi="Arial Narrow"/>
          <w:sz w:val="18"/>
          <w:vertAlign w:val="superscript"/>
        </w:rPr>
        <w:t>2</w:t>
      </w:r>
      <w:r w:rsidR="00C51427" w:rsidRPr="00DD5A89">
        <w:rPr>
          <w:rFonts w:ascii="Arial Narrow" w:hAnsi="Arial Narrow"/>
          <w:sz w:val="18"/>
        </w:rPr>
        <w:t>Odhad výrobcov a</w:t>
      </w:r>
      <w:r w:rsidR="00C51427">
        <w:rPr>
          <w:rFonts w:ascii="Arial Narrow" w:hAnsi="Arial Narrow"/>
          <w:sz w:val="18"/>
        </w:rPr>
        <w:t> </w:t>
      </w:r>
      <w:r w:rsidR="00C51427" w:rsidRPr="00DD5A89">
        <w:rPr>
          <w:rFonts w:ascii="Arial Narrow" w:hAnsi="Arial Narrow"/>
          <w:sz w:val="18"/>
        </w:rPr>
        <w:t>predajcov</w:t>
      </w:r>
      <w:r w:rsidR="00C51427">
        <w:rPr>
          <w:rFonts w:ascii="Arial Narrow" w:hAnsi="Arial Narrow"/>
          <w:sz w:val="18"/>
        </w:rPr>
        <w:t xml:space="preserve"> elektronických</w:t>
      </w:r>
      <w:r w:rsidR="00C51427" w:rsidRPr="00DD5A89">
        <w:rPr>
          <w:rFonts w:ascii="Arial Narrow" w:hAnsi="Arial Narrow"/>
          <w:sz w:val="18"/>
        </w:rPr>
        <w:t xml:space="preserve"> registračných pokladní v rámci medzirezortného pripomienkového konania p</w:t>
      </w:r>
      <w:r w:rsidR="00C51427">
        <w:rPr>
          <w:rFonts w:ascii="Arial Narrow" w:hAnsi="Arial Narrow"/>
          <w:sz w:val="18"/>
        </w:rPr>
        <w:t>redpokladá, že až 90% pokladní je možné upraviť, aby spĺňali požiadavky pre online komunikáciu.</w:t>
      </w:r>
    </w:p>
  </w:footnote>
  <w:footnote w:id="2">
    <w:p w:rsidR="00C51427" w:rsidRPr="000F472D" w:rsidRDefault="00DD623F" w:rsidP="00C51427">
      <w:pPr>
        <w:pStyle w:val="Textpoznmkypodiarou"/>
        <w:rPr>
          <w:rFonts w:ascii="Arial Narrow" w:hAnsi="Arial Narrow"/>
          <w:sz w:val="18"/>
          <w:szCs w:val="18"/>
        </w:rPr>
      </w:pPr>
      <w:r>
        <w:rPr>
          <w:rStyle w:val="Odkaznapoznmkupodiarou"/>
          <w:rFonts w:ascii="Arial Narrow" w:hAnsi="Arial Narrow"/>
          <w:sz w:val="18"/>
          <w:szCs w:val="18"/>
        </w:rPr>
        <w:t>3</w:t>
      </w:r>
      <w:r w:rsidR="00C51427" w:rsidRPr="000F472D">
        <w:rPr>
          <w:rFonts w:ascii="Arial Narrow" w:hAnsi="Arial Narrow"/>
          <w:sz w:val="18"/>
          <w:szCs w:val="18"/>
        </w:rPr>
        <w:t xml:space="preserve"> </w:t>
      </w:r>
      <w:hyperlink r:id="rId1" w:anchor="Data_sources_and_availability" w:history="1">
        <w:r w:rsidR="00C51427" w:rsidRPr="000F472D">
          <w:rPr>
            <w:rStyle w:val="Hypertextovprepojenie"/>
            <w:rFonts w:ascii="Arial Narrow" w:hAnsi="Arial Narrow"/>
            <w:sz w:val="18"/>
            <w:szCs w:val="18"/>
          </w:rPr>
          <w:t>http://ec.europa.eu/eurostat/statistics-explained/index.php/Digital_economy_and_society_statistics_-_enterprises#Data_sources_and_availability</w:t>
        </w:r>
      </w:hyperlink>
    </w:p>
  </w:footnote>
  <w:footnote w:id="3">
    <w:p w:rsidR="00C51427" w:rsidRDefault="00DD623F" w:rsidP="00C51427">
      <w:pPr>
        <w:pStyle w:val="Textpoznmkypodiarou"/>
      </w:pPr>
      <w:r>
        <w:rPr>
          <w:rStyle w:val="Odkaznapoznmkupodiarou"/>
        </w:rPr>
        <w:t>4</w:t>
      </w:r>
      <w:r w:rsidR="00C51427">
        <w:t xml:space="preserve"> </w:t>
      </w:r>
      <w:r w:rsidR="00C51427" w:rsidRPr="00DE1617">
        <w:rPr>
          <w:rFonts w:ascii="Arial Narrow" w:hAnsi="Arial Narrow"/>
          <w:sz w:val="18"/>
        </w:rPr>
        <w:t>Podľa registra ERP je 233 tisíc</w:t>
      </w:r>
      <w:r w:rsidR="00C51427">
        <w:rPr>
          <w:rFonts w:ascii="Arial Narrow" w:hAnsi="Arial Narrow"/>
          <w:sz w:val="18"/>
        </w:rPr>
        <w:t xml:space="preserve"> aktívnych</w:t>
      </w:r>
      <w:r w:rsidR="00C51427" w:rsidRPr="00DE1617">
        <w:rPr>
          <w:rFonts w:ascii="Arial Narrow" w:hAnsi="Arial Narrow"/>
          <w:sz w:val="18"/>
        </w:rPr>
        <w:t xml:space="preserve"> ERP, ktoré vlastní 123 tisíc podnikateľských subjektov</w:t>
      </w:r>
    </w:p>
  </w:footnote>
  <w:footnote w:id="4">
    <w:p w:rsidR="00C51427" w:rsidRPr="00BB2F69" w:rsidRDefault="00DD623F" w:rsidP="00C51427">
      <w:pPr>
        <w:pStyle w:val="Textpoznmkypodiarou"/>
        <w:rPr>
          <w:rFonts w:ascii="Arial Narrow" w:hAnsi="Arial Narrow"/>
        </w:rPr>
      </w:pPr>
      <w:r>
        <w:rPr>
          <w:rStyle w:val="Odkaznapoznmkupodiarou"/>
          <w:rFonts w:ascii="Arial Narrow" w:hAnsi="Arial Narrow"/>
          <w:sz w:val="18"/>
        </w:rPr>
        <w:t>5</w:t>
      </w:r>
      <w:r w:rsidR="00C51427" w:rsidRPr="00BB2F69">
        <w:rPr>
          <w:rFonts w:ascii="Arial Narrow" w:hAnsi="Arial Narrow"/>
          <w:sz w:val="18"/>
        </w:rPr>
        <w:t xml:space="preserve"> </w:t>
      </w:r>
      <w:r w:rsidR="00C51427" w:rsidRPr="00BB2F69">
        <w:rPr>
          <w:rFonts w:ascii="Arial Narrow" w:hAnsi="Arial Narrow"/>
          <w:sz w:val="18"/>
        </w:rPr>
        <w:t>Predpoklad na základe porovnania ponúk 3 najväčších mobilných operátorov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731949"/>
    <w:multiLevelType w:val="hybridMultilevel"/>
    <w:tmpl w:val="77C438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F400B2"/>
    <w:multiLevelType w:val="hybridMultilevel"/>
    <w:tmpl w:val="C6380048"/>
    <w:lvl w:ilvl="0" w:tplc="0A7C75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61A77"/>
    <w:multiLevelType w:val="hybridMultilevel"/>
    <w:tmpl w:val="D7402C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0665C2"/>
    <w:multiLevelType w:val="multilevel"/>
    <w:tmpl w:val="26ACD63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FCF04E9"/>
    <w:multiLevelType w:val="hybridMultilevel"/>
    <w:tmpl w:val="94E22EFA"/>
    <w:lvl w:ilvl="0" w:tplc="041B000F">
      <w:start w:val="1"/>
      <w:numFmt w:val="decimal"/>
      <w:lvlText w:val="%1."/>
      <w:lvlJc w:val="left"/>
      <w:pPr>
        <w:ind w:left="720" w:hanging="360"/>
      </w:pPr>
      <w:rPr>
        <w:rFonts w:cs="Times New Roman"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245BB0"/>
    <w:multiLevelType w:val="hybridMultilevel"/>
    <w:tmpl w:val="5B762660"/>
    <w:lvl w:ilvl="0" w:tplc="A770F54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7871EC2"/>
    <w:multiLevelType w:val="hybridMultilevel"/>
    <w:tmpl w:val="449EC6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7B29A7"/>
    <w:multiLevelType w:val="hybridMultilevel"/>
    <w:tmpl w:val="EFE4BF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6679C8"/>
    <w:multiLevelType w:val="hybridMultilevel"/>
    <w:tmpl w:val="94E6DC8A"/>
    <w:lvl w:ilvl="0" w:tplc="D74047A2">
      <w:start w:val="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2C5E9E"/>
    <w:multiLevelType w:val="hybridMultilevel"/>
    <w:tmpl w:val="94E22EFA"/>
    <w:lvl w:ilvl="0" w:tplc="041B000F">
      <w:start w:val="1"/>
      <w:numFmt w:val="decimal"/>
      <w:lvlText w:val="%1."/>
      <w:lvlJc w:val="left"/>
      <w:pPr>
        <w:ind w:left="720" w:hanging="360"/>
      </w:pPr>
      <w:rPr>
        <w:rFonts w:cs="Times New Roman"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4571AE"/>
    <w:multiLevelType w:val="hybridMultilevel"/>
    <w:tmpl w:val="C518B2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3268F8"/>
    <w:multiLevelType w:val="hybridMultilevel"/>
    <w:tmpl w:val="DC263C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15A1F"/>
    <w:multiLevelType w:val="hybridMultilevel"/>
    <w:tmpl w:val="1B0C0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5C3475F2"/>
    <w:multiLevelType w:val="hybridMultilevel"/>
    <w:tmpl w:val="5AEC99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525A13"/>
    <w:multiLevelType w:val="hybridMultilevel"/>
    <w:tmpl w:val="EF4A9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23B05"/>
    <w:multiLevelType w:val="hybridMultilevel"/>
    <w:tmpl w:val="DD4EB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EC2022"/>
    <w:multiLevelType w:val="hybridMultilevel"/>
    <w:tmpl w:val="FD4E62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A448AA"/>
    <w:multiLevelType w:val="hybridMultilevel"/>
    <w:tmpl w:val="E64810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2AD21D2"/>
    <w:multiLevelType w:val="hybridMultilevel"/>
    <w:tmpl w:val="94E22EFA"/>
    <w:lvl w:ilvl="0" w:tplc="041B000F">
      <w:start w:val="1"/>
      <w:numFmt w:val="decimal"/>
      <w:lvlText w:val="%1."/>
      <w:lvlJc w:val="left"/>
      <w:pPr>
        <w:ind w:left="720" w:hanging="360"/>
      </w:pPr>
      <w:rPr>
        <w:rFonts w:cs="Times New Roman"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7DC014B4"/>
    <w:multiLevelType w:val="hybridMultilevel"/>
    <w:tmpl w:val="07B8899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4"/>
  </w:num>
  <w:num w:numId="4">
    <w:abstractNumId w:val="23"/>
  </w:num>
  <w:num w:numId="5">
    <w:abstractNumId w:val="4"/>
  </w:num>
  <w:num w:numId="6">
    <w:abstractNumId w:val="17"/>
  </w:num>
  <w:num w:numId="7">
    <w:abstractNumId w:val="26"/>
  </w:num>
  <w:num w:numId="8">
    <w:abstractNumId w:val="12"/>
  </w:num>
  <w:num w:numId="9">
    <w:abstractNumId w:val="0"/>
  </w:num>
  <w:num w:numId="10">
    <w:abstractNumId w:val="30"/>
  </w:num>
  <w:num w:numId="11">
    <w:abstractNumId w:val="19"/>
  </w:num>
  <w:num w:numId="12">
    <w:abstractNumId w:val="13"/>
  </w:num>
  <w:num w:numId="13">
    <w:abstractNumId w:val="31"/>
  </w:num>
  <w:num w:numId="14">
    <w:abstractNumId w:val="11"/>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5"/>
  </w:num>
  <w:num w:numId="18">
    <w:abstractNumId w:val="5"/>
  </w:num>
  <w:num w:numId="19">
    <w:abstractNumId w:val="10"/>
  </w:num>
  <w:num w:numId="20">
    <w:abstractNumId w:val="29"/>
  </w:num>
  <w:num w:numId="21">
    <w:abstractNumId w:val="6"/>
  </w:num>
  <w:num w:numId="22">
    <w:abstractNumId w:val="22"/>
  </w:num>
  <w:num w:numId="23">
    <w:abstractNumId w:val="27"/>
  </w:num>
  <w:num w:numId="24">
    <w:abstractNumId w:val="16"/>
  </w:num>
  <w:num w:numId="25">
    <w:abstractNumId w:val="28"/>
  </w:num>
  <w:num w:numId="26">
    <w:abstractNumId w:val="20"/>
  </w:num>
  <w:num w:numId="27">
    <w:abstractNumId w:val="18"/>
  </w:num>
  <w:num w:numId="28">
    <w:abstractNumId w:val="1"/>
  </w:num>
  <w:num w:numId="29">
    <w:abstractNumId w:val="9"/>
  </w:num>
  <w:num w:numId="30">
    <w:abstractNumId w:val="8"/>
  </w:num>
  <w:num w:numId="31">
    <w:abstractNumId w:val="3"/>
  </w:num>
  <w:num w:numId="32">
    <w:abstractNumId w:val="15"/>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0640"/>
    <w:rsid w:val="00017859"/>
    <w:rsid w:val="00025443"/>
    <w:rsid w:val="00042C66"/>
    <w:rsid w:val="00077650"/>
    <w:rsid w:val="0008491F"/>
    <w:rsid w:val="000A5B8F"/>
    <w:rsid w:val="000B03DC"/>
    <w:rsid w:val="000B533F"/>
    <w:rsid w:val="000B69AE"/>
    <w:rsid w:val="000D2622"/>
    <w:rsid w:val="000D5489"/>
    <w:rsid w:val="000E2CC9"/>
    <w:rsid w:val="000F10DA"/>
    <w:rsid w:val="000F4044"/>
    <w:rsid w:val="000F472D"/>
    <w:rsid w:val="00126470"/>
    <w:rsid w:val="00133777"/>
    <w:rsid w:val="00154881"/>
    <w:rsid w:val="00156F97"/>
    <w:rsid w:val="00186ADD"/>
    <w:rsid w:val="0019642B"/>
    <w:rsid w:val="001C27D1"/>
    <w:rsid w:val="001F344C"/>
    <w:rsid w:val="002029BF"/>
    <w:rsid w:val="00222A3B"/>
    <w:rsid w:val="00290F5D"/>
    <w:rsid w:val="002B1108"/>
    <w:rsid w:val="002E438E"/>
    <w:rsid w:val="00305E34"/>
    <w:rsid w:val="00314502"/>
    <w:rsid w:val="00386813"/>
    <w:rsid w:val="003A299A"/>
    <w:rsid w:val="003B6AF0"/>
    <w:rsid w:val="003C6011"/>
    <w:rsid w:val="003D74B7"/>
    <w:rsid w:val="003E42D2"/>
    <w:rsid w:val="00421515"/>
    <w:rsid w:val="004346B7"/>
    <w:rsid w:val="00443A21"/>
    <w:rsid w:val="00495263"/>
    <w:rsid w:val="00495608"/>
    <w:rsid w:val="004A2F4D"/>
    <w:rsid w:val="004C60F2"/>
    <w:rsid w:val="004D0C22"/>
    <w:rsid w:val="004D5D4F"/>
    <w:rsid w:val="004F511B"/>
    <w:rsid w:val="004F5CC3"/>
    <w:rsid w:val="00511EB6"/>
    <w:rsid w:val="00516142"/>
    <w:rsid w:val="005169F7"/>
    <w:rsid w:val="0052297F"/>
    <w:rsid w:val="00540EB0"/>
    <w:rsid w:val="005B3764"/>
    <w:rsid w:val="005B7859"/>
    <w:rsid w:val="00610319"/>
    <w:rsid w:val="006254CB"/>
    <w:rsid w:val="006368E9"/>
    <w:rsid w:val="006543CE"/>
    <w:rsid w:val="00676E2E"/>
    <w:rsid w:val="00683C95"/>
    <w:rsid w:val="006E71FD"/>
    <w:rsid w:val="00700FE9"/>
    <w:rsid w:val="00703076"/>
    <w:rsid w:val="00710209"/>
    <w:rsid w:val="00713CE8"/>
    <w:rsid w:val="00726609"/>
    <w:rsid w:val="00730328"/>
    <w:rsid w:val="00730F39"/>
    <w:rsid w:val="00736064"/>
    <w:rsid w:val="00746083"/>
    <w:rsid w:val="007529AB"/>
    <w:rsid w:val="00752FBF"/>
    <w:rsid w:val="00761C21"/>
    <w:rsid w:val="007756D9"/>
    <w:rsid w:val="00777E1B"/>
    <w:rsid w:val="00780BA6"/>
    <w:rsid w:val="0079053B"/>
    <w:rsid w:val="007B307E"/>
    <w:rsid w:val="007B71A4"/>
    <w:rsid w:val="007C7727"/>
    <w:rsid w:val="007D6D59"/>
    <w:rsid w:val="007E1F4F"/>
    <w:rsid w:val="007E6AAA"/>
    <w:rsid w:val="007F0986"/>
    <w:rsid w:val="00801330"/>
    <w:rsid w:val="0082029F"/>
    <w:rsid w:val="008244F1"/>
    <w:rsid w:val="008258A3"/>
    <w:rsid w:val="0082736C"/>
    <w:rsid w:val="00832872"/>
    <w:rsid w:val="00837639"/>
    <w:rsid w:val="00844604"/>
    <w:rsid w:val="00865787"/>
    <w:rsid w:val="008A1252"/>
    <w:rsid w:val="008A58BE"/>
    <w:rsid w:val="008F481B"/>
    <w:rsid w:val="00904C9B"/>
    <w:rsid w:val="009130D3"/>
    <w:rsid w:val="009A6122"/>
    <w:rsid w:val="009C4EE3"/>
    <w:rsid w:val="009C5834"/>
    <w:rsid w:val="009E243F"/>
    <w:rsid w:val="009F2DFA"/>
    <w:rsid w:val="00A20F59"/>
    <w:rsid w:val="00A36AC0"/>
    <w:rsid w:val="00A5005D"/>
    <w:rsid w:val="00AD4DBE"/>
    <w:rsid w:val="00AE3DC7"/>
    <w:rsid w:val="00B022CE"/>
    <w:rsid w:val="00B31A8E"/>
    <w:rsid w:val="00B676E2"/>
    <w:rsid w:val="00BA073A"/>
    <w:rsid w:val="00BB2F69"/>
    <w:rsid w:val="00BD5952"/>
    <w:rsid w:val="00BE4F05"/>
    <w:rsid w:val="00BF0AC6"/>
    <w:rsid w:val="00BF1928"/>
    <w:rsid w:val="00C06148"/>
    <w:rsid w:val="00C10341"/>
    <w:rsid w:val="00C125CA"/>
    <w:rsid w:val="00C140AE"/>
    <w:rsid w:val="00C344C7"/>
    <w:rsid w:val="00C51427"/>
    <w:rsid w:val="00CA1280"/>
    <w:rsid w:val="00CA405F"/>
    <w:rsid w:val="00CA74C2"/>
    <w:rsid w:val="00CB3623"/>
    <w:rsid w:val="00CC0059"/>
    <w:rsid w:val="00CC5139"/>
    <w:rsid w:val="00D06344"/>
    <w:rsid w:val="00D349E6"/>
    <w:rsid w:val="00D471AB"/>
    <w:rsid w:val="00D51953"/>
    <w:rsid w:val="00D538B1"/>
    <w:rsid w:val="00D77653"/>
    <w:rsid w:val="00D93BB4"/>
    <w:rsid w:val="00DA0AF3"/>
    <w:rsid w:val="00DD623F"/>
    <w:rsid w:val="00DE1617"/>
    <w:rsid w:val="00E04961"/>
    <w:rsid w:val="00E06014"/>
    <w:rsid w:val="00E25C2D"/>
    <w:rsid w:val="00E73918"/>
    <w:rsid w:val="00E77DDA"/>
    <w:rsid w:val="00E86AD1"/>
    <w:rsid w:val="00E939CE"/>
    <w:rsid w:val="00EA6227"/>
    <w:rsid w:val="00EB51AA"/>
    <w:rsid w:val="00EB648A"/>
    <w:rsid w:val="00EC298B"/>
    <w:rsid w:val="00ED1CEC"/>
    <w:rsid w:val="00EE6F35"/>
    <w:rsid w:val="00EF6320"/>
    <w:rsid w:val="00F04CCD"/>
    <w:rsid w:val="00F41620"/>
    <w:rsid w:val="00F44FC6"/>
    <w:rsid w:val="00F57D2D"/>
    <w:rsid w:val="00F62A79"/>
    <w:rsid w:val="00F66ACD"/>
    <w:rsid w:val="00FB5C13"/>
    <w:rsid w:val="00FD26DF"/>
    <w:rsid w:val="00FD7D87"/>
    <w:rsid w:val="00FE3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560977-776A-42E4-BD39-2C42373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customStyle="1" w:styleId="OdsekzoznamuChar">
    <w:name w:val="Odsek zoznamu Char"/>
    <w:aliases w:val="Odsek zoznamu1 Char,Odsek Char"/>
    <w:basedOn w:val="Predvolenpsmoodseku"/>
    <w:link w:val="Odsekzoznamu"/>
    <w:uiPriority w:val="34"/>
    <w:locked/>
    <w:rsid w:val="0008491F"/>
    <w:rPr>
      <w:rFonts w:cs="Times New Roman"/>
    </w:rPr>
  </w:style>
  <w:style w:type="paragraph" w:customStyle="1" w:styleId="Standard">
    <w:name w:val="Standard"/>
    <w:rsid w:val="00EF6320"/>
    <w:pPr>
      <w:suppressAutoHyphens/>
      <w:autoSpaceDN w:val="0"/>
      <w:textAlignment w:val="baseline"/>
    </w:pPr>
    <w:rPr>
      <w:rFonts w:ascii="Arial Narrow" w:hAnsi="Arial Narrow" w:cs="Arial Narrow"/>
      <w:kern w:val="3"/>
    </w:rPr>
  </w:style>
  <w:style w:type="paragraph" w:styleId="Bezriadkovania">
    <w:name w:val="No Spacing"/>
    <w:uiPriority w:val="1"/>
    <w:qFormat/>
    <w:rsid w:val="00777E1B"/>
    <w:pPr>
      <w:spacing w:after="0" w:line="240" w:lineRule="auto"/>
      <w:jc w:val="both"/>
    </w:pPr>
    <w:rPr>
      <w:rFonts w:ascii="Times New Roman" w:hAnsi="Times New Roman" w:cs="Times New Roman"/>
      <w:sz w:val="24"/>
    </w:rPr>
  </w:style>
  <w:style w:type="paragraph" w:styleId="Textpoznmkypodiarou">
    <w:name w:val="footnote text"/>
    <w:basedOn w:val="Normlny"/>
    <w:link w:val="TextpoznmkypodiarouChar"/>
    <w:uiPriority w:val="99"/>
    <w:semiHidden/>
    <w:unhideWhenUsed/>
    <w:rsid w:val="007E6AAA"/>
    <w:rPr>
      <w:rFonts w:ascii="Calibri" w:hAnsi="Calibri"/>
      <w:lang w:eastAsia="en-US"/>
    </w:rPr>
  </w:style>
  <w:style w:type="character" w:customStyle="1" w:styleId="TextpoznmkypodiarouChar">
    <w:name w:val="Text poznámky pod čiarou Char"/>
    <w:basedOn w:val="Predvolenpsmoodseku"/>
    <w:link w:val="Textpoznmkypodiarou"/>
    <w:uiPriority w:val="99"/>
    <w:semiHidden/>
    <w:locked/>
    <w:rsid w:val="007E6AAA"/>
    <w:rPr>
      <w:rFonts w:ascii="Calibri" w:hAnsi="Calibri" w:cs="Times New Roman"/>
      <w:sz w:val="20"/>
      <w:szCs w:val="20"/>
    </w:rPr>
  </w:style>
  <w:style w:type="character" w:styleId="Odkaznapoznmkupodiarou">
    <w:name w:val="footnote reference"/>
    <w:basedOn w:val="Predvolenpsmoodseku"/>
    <w:uiPriority w:val="99"/>
    <w:semiHidden/>
    <w:unhideWhenUsed/>
    <w:rsid w:val="007E6AAA"/>
    <w:rPr>
      <w:rFonts w:cs="Times New Roman"/>
      <w:vertAlign w:val="superscript"/>
    </w:rPr>
  </w:style>
  <w:style w:type="character" w:customStyle="1" w:styleId="Hypertextovprepojenie1">
    <w:name w:val="Hypertextové prepojenie1"/>
    <w:basedOn w:val="Predvolenpsmoodseku"/>
    <w:uiPriority w:val="99"/>
    <w:unhideWhenUsed/>
    <w:rsid w:val="007E6AAA"/>
    <w:rPr>
      <w:rFonts w:cs="Times New Roman"/>
      <w:color w:val="0563C1"/>
      <w:u w:val="single"/>
    </w:rPr>
  </w:style>
  <w:style w:type="character" w:styleId="Hypertextovprepojenie">
    <w:name w:val="Hyperlink"/>
    <w:basedOn w:val="Predvolenpsmoodseku"/>
    <w:uiPriority w:val="99"/>
    <w:semiHidden/>
    <w:unhideWhenUsed/>
    <w:rsid w:val="007E6AAA"/>
    <w:rPr>
      <w:rFonts w:cs="Times New Roman"/>
      <w:color w:val="0000FF" w:themeColor="hyperlink"/>
      <w:u w:val="single"/>
    </w:rPr>
  </w:style>
  <w:style w:type="numbering" w:customStyle="1" w:styleId="WWNum2">
    <w:name w:val="WWNum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67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Digital_economy_and_society_statistics_-_enterpris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4049</Words>
  <Characters>23081</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Mastihubova Petronela</cp:lastModifiedBy>
  <cp:revision>14</cp:revision>
  <cp:lastPrinted>2018-09-17T06:07:00Z</cp:lastPrinted>
  <dcterms:created xsi:type="dcterms:W3CDTF">2018-09-13T06:31:00Z</dcterms:created>
  <dcterms:modified xsi:type="dcterms:W3CDTF">2018-09-17T06:28:00Z</dcterms:modified>
</cp:coreProperties>
</file>