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21" w:rsidRPr="00E163DF" w:rsidRDefault="003C7421" w:rsidP="003C7421">
      <w:pPr>
        <w:jc w:val="both"/>
        <w:rPr>
          <w:b/>
          <w:color w:val="000000"/>
        </w:rPr>
      </w:pPr>
      <w:r w:rsidRPr="00E163DF">
        <w:rPr>
          <w:b/>
          <w:color w:val="000000"/>
        </w:rPr>
        <w:t>B. Osobitná časť</w:t>
      </w:r>
    </w:p>
    <w:p w:rsidR="000C1566" w:rsidRPr="00E163DF" w:rsidRDefault="000C1566" w:rsidP="00A35E22">
      <w:pPr>
        <w:jc w:val="both"/>
        <w:rPr>
          <w:bCs/>
        </w:rPr>
      </w:pPr>
    </w:p>
    <w:p w:rsidR="00FC18FB" w:rsidRPr="00E163DF" w:rsidRDefault="00FC18FB" w:rsidP="00A35E22">
      <w:pPr>
        <w:jc w:val="both"/>
        <w:rPr>
          <w:bCs/>
        </w:rPr>
      </w:pPr>
    </w:p>
    <w:p w:rsidR="00A35E22" w:rsidRPr="00E163DF" w:rsidRDefault="00A35E22" w:rsidP="00A35E22">
      <w:pPr>
        <w:jc w:val="both"/>
        <w:rPr>
          <w:b/>
          <w:bCs/>
        </w:rPr>
      </w:pPr>
      <w:r w:rsidRPr="00E163DF">
        <w:rPr>
          <w:b/>
          <w:bCs/>
        </w:rPr>
        <w:t>K článku I</w:t>
      </w:r>
    </w:p>
    <w:p w:rsidR="000D59C7" w:rsidRPr="00E163DF" w:rsidRDefault="000D59C7" w:rsidP="000D59C7">
      <w:pPr>
        <w:tabs>
          <w:tab w:val="left" w:pos="360"/>
        </w:tabs>
        <w:jc w:val="both"/>
      </w:pPr>
    </w:p>
    <w:p w:rsidR="005B5A40" w:rsidRPr="00E163DF" w:rsidRDefault="000D59C7" w:rsidP="005B5A40">
      <w:pPr>
        <w:autoSpaceDE w:val="0"/>
        <w:autoSpaceDN w:val="0"/>
        <w:adjustRightInd w:val="0"/>
        <w:jc w:val="both"/>
        <w:rPr>
          <w:b/>
          <w:bCs/>
          <w:color w:val="000000"/>
        </w:rPr>
      </w:pPr>
      <w:r w:rsidRPr="00E163DF">
        <w:rPr>
          <w:b/>
          <w:bCs/>
          <w:color w:val="000000"/>
        </w:rPr>
        <w:t>K</w:t>
      </w:r>
      <w:r w:rsidR="002B561E" w:rsidRPr="00E163DF">
        <w:rPr>
          <w:b/>
          <w:bCs/>
          <w:color w:val="000000"/>
        </w:rPr>
        <w:t> </w:t>
      </w:r>
      <w:r w:rsidRPr="00E163DF">
        <w:rPr>
          <w:b/>
          <w:bCs/>
          <w:color w:val="000000"/>
        </w:rPr>
        <w:t>bod</w:t>
      </w:r>
      <w:r w:rsidR="00E163DF" w:rsidRPr="00E163DF">
        <w:rPr>
          <w:b/>
          <w:bCs/>
          <w:color w:val="000000"/>
        </w:rPr>
        <w:t>om</w:t>
      </w:r>
      <w:r w:rsidR="002B561E" w:rsidRPr="00E163DF">
        <w:rPr>
          <w:b/>
          <w:bCs/>
          <w:color w:val="000000"/>
        </w:rPr>
        <w:t xml:space="preserve"> </w:t>
      </w:r>
      <w:r w:rsidRPr="00E163DF">
        <w:rPr>
          <w:b/>
          <w:bCs/>
          <w:color w:val="000000"/>
        </w:rPr>
        <w:t>1</w:t>
      </w:r>
      <w:r w:rsidR="00E163DF" w:rsidRPr="00E163DF">
        <w:rPr>
          <w:b/>
          <w:bCs/>
          <w:color w:val="000000"/>
        </w:rPr>
        <w:t xml:space="preserve"> a 2</w:t>
      </w:r>
    </w:p>
    <w:p w:rsidR="00E163DF" w:rsidRPr="00E163DF" w:rsidRDefault="00E163DF" w:rsidP="00E163DF">
      <w:pPr>
        <w:pStyle w:val="Zkladntext"/>
        <w:ind w:firstLine="567"/>
        <w:jc w:val="both"/>
        <w:outlineLvl w:val="0"/>
      </w:pPr>
      <w:r w:rsidRPr="00E163DF">
        <w:t xml:space="preserve">Navrhovanou úpravu sa plní záväzok Slovenskej republiky, ktorý vyplynul z rozhodnutia európskej komisie z 21. decembra 2017, ktorým notifikovala </w:t>
      </w:r>
      <w:r w:rsidRPr="00E163DF">
        <w:rPr>
          <w:bCs/>
        </w:rPr>
        <w:t xml:space="preserve">štátnu pomoc SA.49509 (2017/N) – Slovensko – Daňové zvýhodnenie </w:t>
      </w:r>
      <w:proofErr w:type="spellStart"/>
      <w:r w:rsidRPr="00E163DF">
        <w:rPr>
          <w:bCs/>
        </w:rPr>
        <w:t>biopalív</w:t>
      </w:r>
      <w:proofErr w:type="spellEnd"/>
      <w:r w:rsidRPr="00E163DF">
        <w:rPr>
          <w:bCs/>
        </w:rPr>
        <w:t xml:space="preserve">, a to zosúladenie daňového zvýhodnenia </w:t>
      </w:r>
      <w:proofErr w:type="spellStart"/>
      <w:r w:rsidRPr="00E163DF">
        <w:rPr>
          <w:bCs/>
        </w:rPr>
        <w:t>biopalív</w:t>
      </w:r>
      <w:proofErr w:type="spellEnd"/>
      <w:r w:rsidRPr="00E163DF">
        <w:rPr>
          <w:bCs/>
        </w:rPr>
        <w:t xml:space="preserve"> </w:t>
      </w:r>
      <w:r w:rsidRPr="00E163DF">
        <w:t xml:space="preserve">s čl. 16 ods. 1 a 2 smernice </w:t>
      </w:r>
      <w:r w:rsidRPr="00E163DF">
        <w:rPr>
          <w:bCs/>
        </w:rPr>
        <w:t>č. 2003/96/ES (</w:t>
      </w:r>
      <w:proofErr w:type="spellStart"/>
      <w:r w:rsidRPr="00E163DF">
        <w:rPr>
          <w:bCs/>
        </w:rPr>
        <w:t>biopalivá</w:t>
      </w:r>
      <w:proofErr w:type="spellEnd"/>
      <w:r w:rsidRPr="00E163DF">
        <w:rPr>
          <w:bCs/>
        </w:rPr>
        <w:t xml:space="preserve">) </w:t>
      </w:r>
      <w:r w:rsidRPr="00E163DF">
        <w:t>o reštrukturalizácii právneho rámca spoločenstva pre zdaňovanie energetických výrobkov a elektriny.</w:t>
      </w:r>
    </w:p>
    <w:p w:rsidR="00E801B1" w:rsidRPr="00E163DF" w:rsidRDefault="00E801B1" w:rsidP="00E801B1">
      <w:pPr>
        <w:jc w:val="both"/>
      </w:pPr>
    </w:p>
    <w:p w:rsidR="005B5A40" w:rsidRPr="00E163DF" w:rsidRDefault="009B6E65" w:rsidP="005B5A40">
      <w:pPr>
        <w:autoSpaceDE w:val="0"/>
        <w:autoSpaceDN w:val="0"/>
        <w:adjustRightInd w:val="0"/>
        <w:jc w:val="both"/>
        <w:rPr>
          <w:b/>
          <w:bCs/>
          <w:color w:val="000000"/>
        </w:rPr>
      </w:pPr>
      <w:r>
        <w:rPr>
          <w:b/>
          <w:bCs/>
          <w:color w:val="000000"/>
        </w:rPr>
        <w:t>K bodom</w:t>
      </w:r>
      <w:r w:rsidR="00E163DF" w:rsidRPr="00E163DF">
        <w:rPr>
          <w:b/>
          <w:bCs/>
          <w:color w:val="000000"/>
        </w:rPr>
        <w:t xml:space="preserve"> 3</w:t>
      </w:r>
      <w:r w:rsidR="003625FF">
        <w:rPr>
          <w:b/>
          <w:bCs/>
          <w:color w:val="000000"/>
        </w:rPr>
        <w:t xml:space="preserve">, </w:t>
      </w:r>
      <w:r>
        <w:rPr>
          <w:b/>
          <w:bCs/>
          <w:color w:val="000000"/>
        </w:rPr>
        <w:t>7</w:t>
      </w:r>
      <w:r w:rsidR="000E0A01">
        <w:rPr>
          <w:b/>
          <w:bCs/>
          <w:color w:val="000000"/>
        </w:rPr>
        <w:t xml:space="preserve"> a 10</w:t>
      </w:r>
    </w:p>
    <w:p w:rsidR="00E801B1" w:rsidRPr="00E163DF" w:rsidRDefault="005B5A40" w:rsidP="00E163DF">
      <w:pPr>
        <w:pStyle w:val="Odsekzoznamu"/>
        <w:tabs>
          <w:tab w:val="left" w:pos="567"/>
        </w:tabs>
        <w:ind w:left="0"/>
        <w:jc w:val="both"/>
      </w:pPr>
      <w:r w:rsidRPr="00E163DF">
        <w:tab/>
      </w:r>
      <w:r w:rsidR="00E163DF" w:rsidRPr="00E163DF">
        <w:t>Legislatívno-technická úprava, ktorou sa vypúšťa nadbytočný text.</w:t>
      </w:r>
    </w:p>
    <w:p w:rsidR="00E163DF" w:rsidRPr="00E163DF" w:rsidRDefault="00E163DF" w:rsidP="00E163DF">
      <w:pPr>
        <w:pStyle w:val="Odsekzoznamu"/>
        <w:tabs>
          <w:tab w:val="left" w:pos="567"/>
        </w:tabs>
        <w:ind w:left="0"/>
        <w:jc w:val="both"/>
      </w:pPr>
    </w:p>
    <w:p w:rsidR="005B5A40" w:rsidRPr="00E163DF" w:rsidRDefault="00E163DF" w:rsidP="005B5A40">
      <w:pPr>
        <w:autoSpaceDE w:val="0"/>
        <w:autoSpaceDN w:val="0"/>
        <w:adjustRightInd w:val="0"/>
        <w:jc w:val="both"/>
        <w:rPr>
          <w:b/>
          <w:bCs/>
          <w:color w:val="000000"/>
        </w:rPr>
      </w:pPr>
      <w:r>
        <w:rPr>
          <w:b/>
          <w:bCs/>
          <w:color w:val="000000"/>
        </w:rPr>
        <w:t>K bodu 4</w:t>
      </w:r>
    </w:p>
    <w:p w:rsidR="00D35C2B" w:rsidRPr="00D35C2B" w:rsidRDefault="00D35C2B" w:rsidP="00E43210">
      <w:pPr>
        <w:pStyle w:val="Zkladntext"/>
        <w:ind w:firstLine="567"/>
        <w:jc w:val="both"/>
        <w:outlineLvl w:val="0"/>
        <w:rPr>
          <w:b/>
        </w:rPr>
      </w:pPr>
      <w:r w:rsidRPr="00D35C2B">
        <w:rPr>
          <w:b/>
        </w:rPr>
        <w:t>§ 8</w:t>
      </w:r>
    </w:p>
    <w:p w:rsidR="00CC700D" w:rsidRPr="00D35C2B" w:rsidRDefault="00E163DF" w:rsidP="00B62D60">
      <w:pPr>
        <w:pStyle w:val="Zkladntext"/>
        <w:ind w:firstLine="567"/>
        <w:jc w:val="both"/>
        <w:outlineLvl w:val="0"/>
      </w:pPr>
      <w:r w:rsidRPr="00D35C2B">
        <w:t xml:space="preserve">Navrhovanou úpravou sa </w:t>
      </w:r>
      <w:r w:rsidR="00697E52" w:rsidRPr="00D35C2B">
        <w:t>z</w:t>
      </w:r>
      <w:r w:rsidR="000E5BC6" w:rsidRPr="00D35C2B">
        <w:t>a</w:t>
      </w:r>
      <w:r w:rsidR="00697E52" w:rsidRPr="00D35C2B">
        <w:t>vádza</w:t>
      </w:r>
      <w:r w:rsidRPr="00D35C2B">
        <w:t xml:space="preserve"> povinnosť označovať </w:t>
      </w:r>
      <w:r w:rsidR="00CC700D" w:rsidRPr="00D35C2B">
        <w:t xml:space="preserve">minerálny olej uvedený v § 6 ods. 1 písm. a) a d) alebo v § 7 ods. 1 a 2 zákona č. 98/2004 Z. z., t. j. </w:t>
      </w:r>
      <w:r w:rsidRPr="00D35C2B">
        <w:t xml:space="preserve">motorový benzín a motorovú naftu (ďalej len „pohonné látky“) identifikačnou látkou </w:t>
      </w:r>
      <w:r w:rsidR="00697E52" w:rsidRPr="00D35C2B">
        <w:t xml:space="preserve">pred ich uvedením do daňového voľného obehu na daňovom území </w:t>
      </w:r>
      <w:r w:rsidR="004B0EA2">
        <w:t>s cieľom overenia</w:t>
      </w:r>
      <w:r w:rsidRPr="00D35C2B">
        <w:t xml:space="preserve"> správnosti uplatnenia sadzby dane na tieto pohonné látky p</w:t>
      </w:r>
      <w:r w:rsidR="00E13266" w:rsidRPr="00D35C2B">
        <w:t>o</w:t>
      </w:r>
      <w:r w:rsidRPr="00D35C2B">
        <w:t xml:space="preserve"> ich uvedení do daňového voľného obehu.</w:t>
      </w:r>
      <w:r w:rsidR="00697E52" w:rsidRPr="00D35C2B">
        <w:t xml:space="preserve"> </w:t>
      </w:r>
      <w:r w:rsidR="00D35C2B">
        <w:t>Definuje sa osoba</w:t>
      </w:r>
      <w:r w:rsidR="00D35C2B" w:rsidRPr="00D35C2B">
        <w:t>, ktorá je oprávne</w:t>
      </w:r>
      <w:r w:rsidR="00B62D60">
        <w:t>ná odoberať identifikačnú látku</w:t>
      </w:r>
      <w:r w:rsidR="004B0EA2">
        <w:t>, ktorou je</w:t>
      </w:r>
      <w:r w:rsidR="000F138D">
        <w:t xml:space="preserve"> prevádzkovateľ daňového skladu, oprávnený príjemca a dovozca minerálneho oleja</w:t>
      </w:r>
      <w:r w:rsidR="00B62D60">
        <w:t xml:space="preserve">. </w:t>
      </w:r>
      <w:r w:rsidR="00CC700D" w:rsidRPr="00D35C2B">
        <w:t>Ustanovujú sa</w:t>
      </w:r>
      <w:r w:rsidR="00AA65BC" w:rsidRPr="00D35C2B">
        <w:t xml:space="preserve"> </w:t>
      </w:r>
      <w:r w:rsidR="000F138D">
        <w:t xml:space="preserve">tiež </w:t>
      </w:r>
      <w:r w:rsidR="00AA65BC" w:rsidRPr="00D35C2B">
        <w:t>situácie kedy sa</w:t>
      </w:r>
      <w:r w:rsidR="00CC700D" w:rsidRPr="00D35C2B">
        <w:t xml:space="preserve"> pohonné látky nevzťahuje povinnosť aby boli označené</w:t>
      </w:r>
      <w:r w:rsidR="00AA65BC" w:rsidRPr="00D35C2B">
        <w:t xml:space="preserve"> identifikačnou látkou a tiež sa zakazuje</w:t>
      </w:r>
    </w:p>
    <w:p w:rsidR="00CC700D" w:rsidRPr="00D35C2B" w:rsidRDefault="00AA65BC" w:rsidP="00D35C2B">
      <w:pPr>
        <w:pStyle w:val="Zkladntext"/>
        <w:numPr>
          <w:ilvl w:val="0"/>
          <w:numId w:val="13"/>
        </w:numPr>
        <w:ind w:left="567" w:hanging="567"/>
        <w:jc w:val="both"/>
        <w:outlineLvl w:val="0"/>
      </w:pPr>
      <w:r w:rsidRPr="00D35C2B">
        <w:t>o</w:t>
      </w:r>
      <w:r w:rsidR="00CC700D" w:rsidRPr="00D35C2B">
        <w:t>značovať iné minerálne oleje rovnakou identifikačnou látkou ako pohonné látky,</w:t>
      </w:r>
    </w:p>
    <w:p w:rsidR="00CC700D" w:rsidRPr="00D35C2B" w:rsidRDefault="00AA65BC" w:rsidP="00D35C2B">
      <w:pPr>
        <w:pStyle w:val="Zkladntext"/>
        <w:numPr>
          <w:ilvl w:val="0"/>
          <w:numId w:val="13"/>
        </w:numPr>
        <w:ind w:left="567" w:hanging="567"/>
        <w:jc w:val="both"/>
        <w:outlineLvl w:val="0"/>
      </w:pPr>
      <w:r w:rsidRPr="00D35C2B">
        <w:t>o</w:t>
      </w:r>
      <w:r w:rsidR="00CC700D" w:rsidRPr="00D35C2B">
        <w:t>značovať pohonné látky identifikačnou látkou</w:t>
      </w:r>
      <w:r w:rsidRPr="00D35C2B">
        <w:t>,</w:t>
      </w:r>
      <w:r w:rsidR="00CC700D" w:rsidRPr="00D35C2B">
        <w:t xml:space="preserve"> na ktoré sa nevzťahuje povinnosť označovania identifikačnou látkou,</w:t>
      </w:r>
    </w:p>
    <w:p w:rsidR="00CC700D" w:rsidRPr="0046614C" w:rsidRDefault="00AA65BC" w:rsidP="00D35C2B">
      <w:pPr>
        <w:pStyle w:val="Zkladntext"/>
        <w:numPr>
          <w:ilvl w:val="0"/>
          <w:numId w:val="13"/>
        </w:numPr>
        <w:ind w:left="567" w:hanging="567"/>
        <w:jc w:val="both"/>
        <w:outlineLvl w:val="0"/>
      </w:pPr>
      <w:r w:rsidRPr="0046614C">
        <w:t>z</w:t>
      </w:r>
      <w:r w:rsidR="00CC700D" w:rsidRPr="0046614C">
        <w:t>meniť označenie pohonných látok, pričom zmenou</w:t>
      </w:r>
      <w:r w:rsidR="00E634B5" w:rsidRPr="0046614C">
        <w:t xml:space="preserve"> označovania</w:t>
      </w:r>
      <w:r w:rsidR="00CC700D" w:rsidRPr="0046614C">
        <w:t xml:space="preserve"> sa myslí napríklad zmena koncentrácie identifikačnej látky, odstránenie identifikačnej látky a</w:t>
      </w:r>
      <w:r w:rsidRPr="0046614C">
        <w:t>lebo</w:t>
      </w:r>
      <w:r w:rsidR="00CC700D" w:rsidRPr="0046614C">
        <w:t xml:space="preserve"> akákoľvek iná zmena, ktorej následkom </w:t>
      </w:r>
      <w:r w:rsidRPr="0046614C">
        <w:t>by bolo</w:t>
      </w:r>
      <w:r w:rsidR="00CC700D" w:rsidRPr="0046614C">
        <w:t>, že pohonné látky nebudú</w:t>
      </w:r>
      <w:r w:rsidR="00D35C2B" w:rsidRPr="0046614C">
        <w:t xml:space="preserve"> označené v súlade</w:t>
      </w:r>
      <w:r w:rsidRPr="0046614C">
        <w:t xml:space="preserve"> </w:t>
      </w:r>
      <w:r w:rsidR="000F138D">
        <w:t>s § 8 návrhu zákona,</w:t>
      </w:r>
    </w:p>
    <w:p w:rsidR="00CC700D" w:rsidRPr="0046614C" w:rsidRDefault="00AA65BC" w:rsidP="00D35C2B">
      <w:pPr>
        <w:pStyle w:val="Zkladntext"/>
        <w:numPr>
          <w:ilvl w:val="0"/>
          <w:numId w:val="13"/>
        </w:numPr>
        <w:ind w:left="567" w:hanging="567"/>
        <w:jc w:val="both"/>
        <w:outlineLvl w:val="0"/>
      </w:pPr>
      <w:r w:rsidRPr="0046614C">
        <w:t>uvádzať</w:t>
      </w:r>
      <w:r w:rsidR="00CC700D" w:rsidRPr="0046614C">
        <w:t xml:space="preserve"> pohonné látky do daňového voľného obehu</w:t>
      </w:r>
      <w:r w:rsidRPr="0046614C">
        <w:t>,</w:t>
      </w:r>
      <w:r w:rsidR="00CC700D" w:rsidRPr="0046614C">
        <w:t xml:space="preserve"> ak nie sú označené identifikačnou látkou</w:t>
      </w:r>
      <w:r w:rsidRPr="0046614C">
        <w:t>,</w:t>
      </w:r>
      <w:r w:rsidR="00CC700D" w:rsidRPr="0046614C">
        <w:t xml:space="preserve"> okrem zák</w:t>
      </w:r>
      <w:r w:rsidRPr="0046614C">
        <w:t>onom</w:t>
      </w:r>
      <w:r w:rsidR="00CC700D" w:rsidRPr="0046614C">
        <w:t xml:space="preserve"> stanovených výnimiek,</w:t>
      </w:r>
    </w:p>
    <w:p w:rsidR="00CC700D" w:rsidRPr="0046614C" w:rsidRDefault="00CC700D" w:rsidP="00D35C2B">
      <w:pPr>
        <w:pStyle w:val="Zkladntext"/>
        <w:numPr>
          <w:ilvl w:val="0"/>
          <w:numId w:val="13"/>
        </w:numPr>
        <w:ind w:left="567" w:hanging="567"/>
        <w:jc w:val="both"/>
        <w:outlineLvl w:val="0"/>
      </w:pPr>
      <w:r w:rsidRPr="0046614C">
        <w:t xml:space="preserve">predávať, ponúkať na predaj, skladovať alebo prepravovať </w:t>
      </w:r>
      <w:r w:rsidR="00AA65BC" w:rsidRPr="0046614C">
        <w:t>pohonné látky ak nie sú označené stanoveným spôsobom okrem ustanovených výnimiek.</w:t>
      </w:r>
    </w:p>
    <w:p w:rsidR="00B62D60" w:rsidRPr="0046614C" w:rsidRDefault="00965612" w:rsidP="00B62D60">
      <w:pPr>
        <w:pStyle w:val="Zkladntext"/>
        <w:ind w:firstLine="567"/>
        <w:jc w:val="both"/>
        <w:outlineLvl w:val="0"/>
      </w:pPr>
      <w:r w:rsidRPr="0046614C">
        <w:t>Upravuje sa postup v</w:t>
      </w:r>
      <w:r w:rsidR="004B0EA2">
        <w:t> </w:t>
      </w:r>
      <w:r w:rsidRPr="0046614C">
        <w:t>situácii</w:t>
      </w:r>
      <w:r w:rsidR="004B0EA2">
        <w:t>,</w:t>
      </w:r>
      <w:r w:rsidR="00B62D60" w:rsidRPr="0046614C">
        <w:t xml:space="preserve"> keď nebude vybr</w:t>
      </w:r>
      <w:r w:rsidR="006A004C">
        <w:t>aný výrobca identifikačnej látky</w:t>
      </w:r>
      <w:r w:rsidRPr="0046614C">
        <w:t xml:space="preserve"> a doterajší výrobca nebude oprá</w:t>
      </w:r>
      <w:r w:rsidR="00B62D60" w:rsidRPr="0046614C">
        <w:t>v</w:t>
      </w:r>
      <w:r w:rsidRPr="0046614C">
        <w:t>ne</w:t>
      </w:r>
      <w:r w:rsidR="00B62D60" w:rsidRPr="0046614C">
        <w:t>ný alebo nebude môcť vyrábať identifikačnú látku.</w:t>
      </w:r>
      <w:r w:rsidRPr="0046614C">
        <w:t xml:space="preserve"> Tiež sa stanovuje postup odberateľa identifikačnej látky a finančného riaditeľstva</w:t>
      </w:r>
      <w:r w:rsidR="001B122C" w:rsidRPr="0046614C">
        <w:t>,</w:t>
      </w:r>
      <w:r w:rsidRPr="0046614C">
        <w:t xml:space="preserve"> ak nastane </w:t>
      </w:r>
      <w:r w:rsidR="001B122C" w:rsidRPr="0046614C">
        <w:t>porucha</w:t>
      </w:r>
      <w:r w:rsidR="001B122C" w:rsidRPr="0046614C">
        <w:rPr>
          <w:color w:val="auto"/>
          <w:lang w:eastAsia="en-US"/>
        </w:rPr>
        <w:t xml:space="preserve"> zariadenia na primiešavanie identifikačnej látky.</w:t>
      </w:r>
    </w:p>
    <w:p w:rsidR="00B62D60" w:rsidRPr="0046614C" w:rsidRDefault="00B62D60" w:rsidP="00B62D60">
      <w:pPr>
        <w:pStyle w:val="Zkladntext"/>
        <w:jc w:val="both"/>
        <w:outlineLvl w:val="0"/>
      </w:pPr>
    </w:p>
    <w:p w:rsidR="00D35C2B" w:rsidRPr="0046614C" w:rsidRDefault="00D35C2B" w:rsidP="00D35C2B">
      <w:pPr>
        <w:pStyle w:val="Zkladntext"/>
        <w:ind w:left="567"/>
        <w:jc w:val="both"/>
        <w:outlineLvl w:val="0"/>
        <w:rPr>
          <w:b/>
        </w:rPr>
      </w:pPr>
      <w:r w:rsidRPr="0046614C">
        <w:rPr>
          <w:b/>
        </w:rPr>
        <w:t>§ 9</w:t>
      </w:r>
    </w:p>
    <w:p w:rsidR="00D35C2B" w:rsidRPr="0046614C" w:rsidRDefault="00D35C2B" w:rsidP="00D35C2B">
      <w:pPr>
        <w:pStyle w:val="Zkladntext"/>
        <w:ind w:firstLine="567"/>
        <w:jc w:val="both"/>
        <w:outlineLvl w:val="0"/>
      </w:pPr>
      <w:r w:rsidRPr="0046614C">
        <w:t xml:space="preserve">Stanovujú sa podmienky na </w:t>
      </w:r>
      <w:r w:rsidR="006A004C">
        <w:t>zaradenie do evidencie</w:t>
      </w:r>
      <w:r w:rsidRPr="0046614C">
        <w:t xml:space="preserve"> dovoz</w:t>
      </w:r>
      <w:r w:rsidR="000F138D">
        <w:t>cov</w:t>
      </w:r>
      <w:r w:rsidRPr="0046614C">
        <w:t xml:space="preserve"> </w:t>
      </w:r>
      <w:r w:rsidR="000F138D">
        <w:t xml:space="preserve">minerálneho oleja pre osobu, ktorá chce dovážať pohonné látky </w:t>
      </w:r>
      <w:r w:rsidR="00B62D60" w:rsidRPr="0046614C">
        <w:t>z tretích štátov a situácie kedy colný úrad vyradí dovozcu minerálneho oleja z</w:t>
      </w:r>
      <w:r w:rsidR="000F138D">
        <w:t xml:space="preserve"> tejto</w:t>
      </w:r>
      <w:r w:rsidR="00B62D60" w:rsidRPr="0046614C">
        <w:t> evidencie.</w:t>
      </w:r>
    </w:p>
    <w:p w:rsidR="00D35C2B" w:rsidRPr="0046614C" w:rsidRDefault="00D35C2B" w:rsidP="00D35C2B">
      <w:pPr>
        <w:pStyle w:val="Zkladntext"/>
        <w:jc w:val="both"/>
        <w:outlineLvl w:val="0"/>
      </w:pPr>
    </w:p>
    <w:p w:rsidR="00D35C2B" w:rsidRPr="0046614C" w:rsidRDefault="00D35C2B" w:rsidP="00D35C2B">
      <w:pPr>
        <w:pStyle w:val="Zkladntext"/>
        <w:ind w:left="567"/>
        <w:jc w:val="both"/>
        <w:outlineLvl w:val="0"/>
        <w:rPr>
          <w:b/>
        </w:rPr>
      </w:pPr>
      <w:r w:rsidRPr="0046614C">
        <w:rPr>
          <w:b/>
        </w:rPr>
        <w:t>§ 9a</w:t>
      </w:r>
    </w:p>
    <w:p w:rsidR="00D35C2B" w:rsidRPr="0046614C" w:rsidRDefault="00D35C2B" w:rsidP="00B62D60">
      <w:pPr>
        <w:pStyle w:val="Zkladntext"/>
        <w:ind w:firstLine="567"/>
        <w:jc w:val="both"/>
        <w:outlineLvl w:val="0"/>
      </w:pPr>
      <w:r w:rsidRPr="0046614C">
        <w:t xml:space="preserve">Stanovujú sa kritériá na výrobcu identifikačnej látky, spôsob a podmienky jeho výberu. Podľa navrhovaného znenia z dôvodu zamedzenia falšovania identifikačnej látky </w:t>
      </w:r>
      <w:r w:rsidR="00B62D60" w:rsidRPr="0046614C">
        <w:t>získa</w:t>
      </w:r>
      <w:r w:rsidRPr="0046614C">
        <w:t xml:space="preserve"> oprávnenie vyrábať identifikačnú látku na označovanie pohonných látok uvádzaných do </w:t>
      </w:r>
      <w:r w:rsidRPr="0046614C">
        <w:lastRenderedPageBreak/>
        <w:t xml:space="preserve">daňového voľného obehu na daňovom území len jeden výrobca identifikačnej látky, ktorého na základe </w:t>
      </w:r>
      <w:r w:rsidR="005632C2" w:rsidRPr="0046614C">
        <w:t>verejnej súťaže vyberie komisia, ktorú zriadi finančné riaditeľstvo</w:t>
      </w:r>
      <w:r w:rsidRPr="0046614C">
        <w:t>.</w:t>
      </w:r>
      <w:r w:rsidR="006A004C">
        <w:t xml:space="preserve"> Zároveň sa stanovujú dôvody</w:t>
      </w:r>
      <w:r w:rsidR="00B62D60" w:rsidRPr="0046614C">
        <w:t xml:space="preserve"> kedy sa vyhlási nový výber výrobcu identifikačnej látky.</w:t>
      </w:r>
    </w:p>
    <w:p w:rsidR="005632C2" w:rsidRPr="0046614C" w:rsidRDefault="005632C2" w:rsidP="005632C2">
      <w:pPr>
        <w:pStyle w:val="Zkladntext"/>
        <w:jc w:val="both"/>
        <w:outlineLvl w:val="0"/>
      </w:pPr>
    </w:p>
    <w:p w:rsidR="00D35C2B" w:rsidRPr="0046614C" w:rsidRDefault="00D35C2B" w:rsidP="00D35C2B">
      <w:pPr>
        <w:pStyle w:val="Zkladntext"/>
        <w:ind w:left="567"/>
        <w:jc w:val="both"/>
        <w:outlineLvl w:val="0"/>
        <w:rPr>
          <w:b/>
        </w:rPr>
      </w:pPr>
      <w:r w:rsidRPr="0046614C">
        <w:rPr>
          <w:b/>
        </w:rPr>
        <w:t>§ 9b</w:t>
      </w:r>
    </w:p>
    <w:p w:rsidR="00D35C2B" w:rsidRPr="0046614C" w:rsidRDefault="000F138D" w:rsidP="00E634B5">
      <w:pPr>
        <w:pStyle w:val="Zkladntext"/>
        <w:ind w:firstLine="567"/>
        <w:jc w:val="both"/>
        <w:outlineLvl w:val="0"/>
      </w:pPr>
      <w:r>
        <w:t>Navrhované</w:t>
      </w:r>
      <w:r w:rsidR="00955347" w:rsidRPr="0046614C">
        <w:t xml:space="preserve"> znenie </w:t>
      </w:r>
      <w:r>
        <w:t>tohto ustanovenia</w:t>
      </w:r>
      <w:r w:rsidR="004B0EA2">
        <w:t xml:space="preserve"> </w:t>
      </w:r>
      <w:r w:rsidR="00955347" w:rsidRPr="0046614C">
        <w:t>upravuje</w:t>
      </w:r>
      <w:r>
        <w:t xml:space="preserve"> postup finančného riaditeľstva</w:t>
      </w:r>
      <w:r w:rsidR="006A004C">
        <w:t xml:space="preserve"> </w:t>
      </w:r>
      <w:r w:rsidR="00EF0929">
        <w:t xml:space="preserve">                       </w:t>
      </w:r>
      <w:r w:rsidR="00955347" w:rsidRPr="0046614C">
        <w:t>a odberateľa identifikačnej látky pri odbere, vrátení</w:t>
      </w:r>
      <w:r w:rsidR="00D35C2B" w:rsidRPr="0046614C">
        <w:t xml:space="preserve"> identifikačnej látky</w:t>
      </w:r>
      <w:r w:rsidR="00955347" w:rsidRPr="0046614C">
        <w:t xml:space="preserve">, podmienky jej reklamácie, </w:t>
      </w:r>
      <w:r w:rsidR="00D35C2B" w:rsidRPr="0046614C">
        <w:t>vedenie evidencie odberu a použitia identifikačnej látky</w:t>
      </w:r>
      <w:r w:rsidR="00955347" w:rsidRPr="0046614C">
        <w:t xml:space="preserve"> a stanovujú sa príslušné lehoty pre stanovené povinnosti.</w:t>
      </w:r>
      <w:r w:rsidR="00E634B5" w:rsidRPr="0046614C">
        <w:t xml:space="preserve"> Výrobcovi identifikačnej látky sa stanovuje povinnosť uvádzať na spotrebiteľskom balení identifikačnej látky údaj o objeme identifikačnej látky v balení, dátum balenia, lehotu spotreby identifikačnej látky a informáciu o množstve </w:t>
      </w:r>
      <w:r w:rsidR="00FC3156" w:rsidRPr="0046614C">
        <w:t>pohonných látok</w:t>
      </w:r>
      <w:r w:rsidR="00E634B5" w:rsidRPr="0046614C">
        <w:t>, ktoré je možné označiť jedným litrom identifikačnej látky.</w:t>
      </w:r>
      <w:r w:rsidR="00FC3156" w:rsidRPr="0046614C">
        <w:t xml:space="preserve"> Lehot</w:t>
      </w:r>
      <w:r>
        <w:t>o</w:t>
      </w:r>
      <w:r w:rsidR="00FC3156" w:rsidRPr="0046614C">
        <w:t xml:space="preserve">u spotreby identifikačnej látky je lehota </w:t>
      </w:r>
      <w:r w:rsidRPr="0046614C">
        <w:t>odo dňa výroby</w:t>
      </w:r>
      <w:r>
        <w:t xml:space="preserve"> identifikačnej látky</w:t>
      </w:r>
      <w:r w:rsidRPr="0046614C">
        <w:t xml:space="preserve"> </w:t>
      </w:r>
      <w:r w:rsidR="005632C2" w:rsidRPr="0046614C">
        <w:t>do uplynutia, ktorej</w:t>
      </w:r>
      <w:r w:rsidR="00FC3156" w:rsidRPr="0046614C">
        <w:t xml:space="preserve"> je možné bezpečne použiť identifikačnú látku na označenie pohonných látok, aby pohonné látky označené touto identifikačnou látkou boli považované za označené v súlade so zákonom.</w:t>
      </w:r>
    </w:p>
    <w:p w:rsidR="00E634B5" w:rsidRPr="0046614C" w:rsidRDefault="00E634B5" w:rsidP="00D35C2B">
      <w:pPr>
        <w:pStyle w:val="Zkladntext"/>
        <w:jc w:val="both"/>
        <w:outlineLvl w:val="0"/>
      </w:pPr>
    </w:p>
    <w:p w:rsidR="00D35C2B" w:rsidRPr="0046614C" w:rsidRDefault="00D35C2B" w:rsidP="00D35C2B">
      <w:pPr>
        <w:pStyle w:val="Zkladntext"/>
        <w:ind w:left="567"/>
        <w:jc w:val="both"/>
        <w:outlineLvl w:val="0"/>
        <w:rPr>
          <w:b/>
        </w:rPr>
      </w:pPr>
      <w:r w:rsidRPr="0046614C">
        <w:rPr>
          <w:b/>
        </w:rPr>
        <w:t>§ 9c</w:t>
      </w:r>
    </w:p>
    <w:p w:rsidR="00E163DF" w:rsidRPr="0046614C" w:rsidRDefault="00D35C2B" w:rsidP="00D35C2B">
      <w:pPr>
        <w:pStyle w:val="Zkladntext"/>
        <w:ind w:firstLine="567"/>
        <w:jc w:val="both"/>
        <w:outlineLvl w:val="0"/>
      </w:pPr>
      <w:r w:rsidRPr="0046614C">
        <w:t>Navrhované ustanovenie umožní finančnému riaditeľstvu rozhodnúť o zmene identifikačnej látky</w:t>
      </w:r>
      <w:r w:rsidR="00B62D60" w:rsidRPr="0046614C">
        <w:t>,</w:t>
      </w:r>
      <w:r w:rsidRPr="0046614C">
        <w:t xml:space="preserve"> ak bude mať odôvodené podozrenie, že po</w:t>
      </w:r>
      <w:r w:rsidR="000F138D">
        <w:t>užívaná identifikačná látka bola</w:t>
      </w:r>
      <w:r w:rsidRPr="0046614C">
        <w:t xml:space="preserve"> nezákonným spôsobom použitá na označovanie pohonných látok. Zároveň sa stanovuje postup finančného riaditeľstva a odberateľa identifikačnej látky pri zmene identifikačnej látky a spôso</w:t>
      </w:r>
      <w:r w:rsidR="00B62D60" w:rsidRPr="0046614C">
        <w:t>b</w:t>
      </w:r>
      <w:r w:rsidRPr="0046614C">
        <w:t xml:space="preserve"> nakladania s pohonnými látkami, ktoré boli </w:t>
      </w:r>
      <w:r w:rsidR="00B62D60" w:rsidRPr="0046614C">
        <w:t xml:space="preserve">označené doterajšou identifikačnou látkou a </w:t>
      </w:r>
      <w:r w:rsidRPr="0046614C">
        <w:t>uvedené do daňového voľného obehu pred dátumom zmeny identifikačnej látky.</w:t>
      </w:r>
    </w:p>
    <w:p w:rsidR="00F624A4" w:rsidRPr="0046614C" w:rsidRDefault="00F624A4" w:rsidP="00182332">
      <w:pPr>
        <w:jc w:val="both"/>
        <w:rPr>
          <w:bCs/>
        </w:rPr>
      </w:pPr>
    </w:p>
    <w:p w:rsidR="00E163DF" w:rsidRPr="0046614C" w:rsidRDefault="009B6E65" w:rsidP="00E163DF">
      <w:pPr>
        <w:autoSpaceDE w:val="0"/>
        <w:autoSpaceDN w:val="0"/>
        <w:adjustRightInd w:val="0"/>
        <w:jc w:val="both"/>
        <w:rPr>
          <w:b/>
          <w:bCs/>
          <w:color w:val="000000"/>
        </w:rPr>
      </w:pPr>
      <w:r w:rsidRPr="0046614C">
        <w:rPr>
          <w:b/>
          <w:bCs/>
          <w:color w:val="000000"/>
        </w:rPr>
        <w:t>K bodom</w:t>
      </w:r>
      <w:r w:rsidR="00E163DF" w:rsidRPr="0046614C">
        <w:rPr>
          <w:b/>
          <w:bCs/>
          <w:color w:val="000000"/>
        </w:rPr>
        <w:t xml:space="preserve"> 5</w:t>
      </w:r>
      <w:r w:rsidRPr="0046614C">
        <w:rPr>
          <w:b/>
          <w:bCs/>
          <w:color w:val="000000"/>
        </w:rPr>
        <w:t xml:space="preserve"> a 6</w:t>
      </w:r>
    </w:p>
    <w:p w:rsidR="009B6E65" w:rsidRPr="0046614C" w:rsidRDefault="009B6E65" w:rsidP="00E43210">
      <w:pPr>
        <w:ind w:firstLine="567"/>
        <w:jc w:val="both"/>
      </w:pPr>
      <w:r w:rsidRPr="0046614C">
        <w:t xml:space="preserve">Ustanovenie upravujúce vznik daňovej povinnosti sa </w:t>
      </w:r>
      <w:r w:rsidR="00B917E2" w:rsidRPr="0046614C">
        <w:t>do</w:t>
      </w:r>
      <w:r w:rsidRPr="0046614C">
        <w:t>pĺňa o</w:t>
      </w:r>
      <w:r w:rsidR="00B917E2" w:rsidRPr="0046614C">
        <w:t> situá</w:t>
      </w:r>
      <w:r w:rsidRPr="0046614C">
        <w:t>ciu</w:t>
      </w:r>
      <w:r w:rsidR="00B917E2" w:rsidRPr="0046614C">
        <w:t>,</w:t>
      </w:r>
      <w:r w:rsidRPr="0046614C">
        <w:t xml:space="preserve"> </w:t>
      </w:r>
      <w:r w:rsidR="00B917E2" w:rsidRPr="0046614C">
        <w:t>ak minerálny olej (motorový benzín a motorová nafta</w:t>
      </w:r>
      <w:r w:rsidR="00811A18" w:rsidRPr="0046614C">
        <w:t>)</w:t>
      </w:r>
      <w:r w:rsidR="00B917E2" w:rsidRPr="0046614C">
        <w:t>, ktorý má byť označený identifikačnou látkou je</w:t>
      </w:r>
      <w:r w:rsidRPr="0046614C">
        <w:t xml:space="preserve"> </w:t>
      </w:r>
      <w:r w:rsidR="00B917E2" w:rsidRPr="0046614C">
        <w:t>predávaný, ponúkaný na predaj, skladovaný alebo prepravovaný</w:t>
      </w:r>
      <w:r w:rsidRPr="0046614C">
        <w:t xml:space="preserve"> </w:t>
      </w:r>
      <w:r w:rsidR="00B917E2" w:rsidRPr="0046614C">
        <w:t>bez označenia identifikačnou látkou v požadovanom objeme. Zároveň sa stanovuje, kto je platiteľom dane.</w:t>
      </w:r>
    </w:p>
    <w:p w:rsidR="009B6E65" w:rsidRPr="0046614C" w:rsidRDefault="009B6E65" w:rsidP="009B6E65">
      <w:pPr>
        <w:jc w:val="both"/>
        <w:rPr>
          <w:bCs/>
        </w:rPr>
      </w:pPr>
    </w:p>
    <w:p w:rsidR="009B6E65" w:rsidRPr="0046614C" w:rsidRDefault="009B6E65" w:rsidP="009B6E65">
      <w:pPr>
        <w:jc w:val="both"/>
      </w:pPr>
      <w:r w:rsidRPr="0046614C">
        <w:rPr>
          <w:b/>
          <w:bCs/>
          <w:color w:val="000000"/>
        </w:rPr>
        <w:t>K</w:t>
      </w:r>
      <w:r w:rsidR="00B917E2" w:rsidRPr="0046614C">
        <w:rPr>
          <w:b/>
          <w:bCs/>
          <w:color w:val="000000"/>
        </w:rPr>
        <w:t> </w:t>
      </w:r>
      <w:r w:rsidRPr="0046614C">
        <w:rPr>
          <w:b/>
          <w:bCs/>
          <w:color w:val="000000"/>
        </w:rPr>
        <w:t>bodu</w:t>
      </w:r>
      <w:r w:rsidR="00B917E2" w:rsidRPr="0046614C">
        <w:rPr>
          <w:b/>
          <w:bCs/>
          <w:color w:val="000000"/>
        </w:rPr>
        <w:t xml:space="preserve"> 8</w:t>
      </w:r>
    </w:p>
    <w:p w:rsidR="00F624A4" w:rsidRPr="0046614C" w:rsidRDefault="00E163DF" w:rsidP="00E43210">
      <w:pPr>
        <w:ind w:firstLine="567"/>
        <w:jc w:val="both"/>
        <w:rPr>
          <w:bCs/>
        </w:rPr>
      </w:pPr>
      <w:r w:rsidRPr="0046614C">
        <w:t>Legislatívno-technická úprava</w:t>
      </w:r>
      <w:r w:rsidR="00B917E2" w:rsidRPr="0046614C">
        <w:t>,</w:t>
      </w:r>
      <w:r w:rsidRPr="0046614C">
        <w:t xml:space="preserve"> </w:t>
      </w:r>
      <w:r w:rsidR="00B917E2" w:rsidRPr="0046614C">
        <w:t>ktorou sa predmetný text zosúlaďuje vo všetkých ustanoveniach v rovnakom znení.</w:t>
      </w:r>
    </w:p>
    <w:p w:rsidR="00E163DF" w:rsidRPr="0046614C" w:rsidRDefault="00E163DF" w:rsidP="00182332">
      <w:pPr>
        <w:jc w:val="both"/>
        <w:rPr>
          <w:bCs/>
        </w:rPr>
      </w:pPr>
    </w:p>
    <w:p w:rsidR="003543C5" w:rsidRPr="0046614C" w:rsidRDefault="003543C5" w:rsidP="003543C5">
      <w:pPr>
        <w:jc w:val="both"/>
        <w:rPr>
          <w:b/>
          <w:bCs/>
          <w:color w:val="000000"/>
        </w:rPr>
      </w:pPr>
      <w:r w:rsidRPr="0046614C">
        <w:rPr>
          <w:b/>
          <w:bCs/>
          <w:color w:val="000000"/>
        </w:rPr>
        <w:t>K bodu 9</w:t>
      </w:r>
    </w:p>
    <w:p w:rsidR="00AF12F7" w:rsidRPr="0046614C" w:rsidRDefault="00AF12F7" w:rsidP="00AF12F7">
      <w:pPr>
        <w:ind w:firstLine="567"/>
        <w:jc w:val="both"/>
      </w:pPr>
      <w:r w:rsidRPr="0046614C">
        <w:rPr>
          <w:bCs/>
          <w:color w:val="000000"/>
        </w:rPr>
        <w:t>Navrhovanou úpravou sa identifikuje</w:t>
      </w:r>
      <w:r w:rsidRPr="0046614C">
        <w:t xml:space="preserve"> daňový subjekt, ktorý má v oznámenom mieste priameho dodania sídlo, trvalý pobyt a lebo miesto podnikania.</w:t>
      </w:r>
    </w:p>
    <w:p w:rsidR="00AF12F7" w:rsidRPr="0046614C" w:rsidRDefault="00AF12F7" w:rsidP="00182332">
      <w:pPr>
        <w:jc w:val="both"/>
        <w:rPr>
          <w:bCs/>
        </w:rPr>
      </w:pPr>
    </w:p>
    <w:p w:rsidR="00E163DF" w:rsidRPr="0046614C" w:rsidRDefault="00AF12F7" w:rsidP="00E163DF">
      <w:pPr>
        <w:autoSpaceDE w:val="0"/>
        <w:autoSpaceDN w:val="0"/>
        <w:adjustRightInd w:val="0"/>
        <w:jc w:val="both"/>
        <w:rPr>
          <w:b/>
          <w:bCs/>
          <w:color w:val="000000"/>
        </w:rPr>
      </w:pPr>
      <w:r w:rsidRPr="0046614C">
        <w:rPr>
          <w:b/>
          <w:bCs/>
          <w:color w:val="000000"/>
        </w:rPr>
        <w:t>K bodu 11</w:t>
      </w:r>
    </w:p>
    <w:p w:rsidR="00E43210" w:rsidRPr="0046614C" w:rsidRDefault="00E43210" w:rsidP="00E43210">
      <w:pPr>
        <w:pStyle w:val="Zkladntext"/>
        <w:ind w:firstLine="567"/>
        <w:jc w:val="both"/>
        <w:outlineLvl w:val="0"/>
      </w:pPr>
      <w:r w:rsidRPr="0046614C">
        <w:t>Legislatívno-technická úprava spresňujúca odkaz na príslušné ustanovenie.</w:t>
      </w:r>
    </w:p>
    <w:p w:rsidR="00AF12F7" w:rsidRPr="0046614C" w:rsidRDefault="00AF12F7" w:rsidP="00AF12F7">
      <w:pPr>
        <w:jc w:val="both"/>
        <w:rPr>
          <w:bCs/>
        </w:rPr>
      </w:pPr>
    </w:p>
    <w:p w:rsidR="00AF12F7" w:rsidRPr="0046614C" w:rsidRDefault="00AF12F7" w:rsidP="00AF12F7">
      <w:pPr>
        <w:autoSpaceDE w:val="0"/>
        <w:autoSpaceDN w:val="0"/>
        <w:adjustRightInd w:val="0"/>
        <w:jc w:val="both"/>
        <w:rPr>
          <w:b/>
          <w:bCs/>
          <w:color w:val="000000"/>
        </w:rPr>
      </w:pPr>
      <w:r w:rsidRPr="0046614C">
        <w:rPr>
          <w:b/>
          <w:bCs/>
          <w:color w:val="000000"/>
        </w:rPr>
        <w:t>K </w:t>
      </w:r>
      <w:r w:rsidR="004C0A13" w:rsidRPr="0046614C">
        <w:rPr>
          <w:b/>
          <w:bCs/>
          <w:color w:val="000000"/>
        </w:rPr>
        <w:t>bodom 12, 13, 15</w:t>
      </w:r>
      <w:r w:rsidRPr="0046614C">
        <w:rPr>
          <w:b/>
          <w:bCs/>
          <w:color w:val="000000"/>
        </w:rPr>
        <w:t xml:space="preserve">, </w:t>
      </w:r>
      <w:r w:rsidR="004C0A13" w:rsidRPr="0046614C">
        <w:rPr>
          <w:b/>
          <w:bCs/>
          <w:color w:val="000000"/>
        </w:rPr>
        <w:t>16</w:t>
      </w:r>
      <w:r w:rsidR="00C3376C" w:rsidRPr="0046614C">
        <w:rPr>
          <w:b/>
          <w:bCs/>
          <w:color w:val="000000"/>
        </w:rPr>
        <w:t xml:space="preserve">, </w:t>
      </w:r>
      <w:r w:rsidR="004C0A13" w:rsidRPr="0046614C">
        <w:rPr>
          <w:b/>
          <w:bCs/>
          <w:color w:val="000000"/>
        </w:rPr>
        <w:t>17 a 18</w:t>
      </w:r>
    </w:p>
    <w:p w:rsidR="00AF12F7" w:rsidRPr="0046614C" w:rsidRDefault="000A1098" w:rsidP="00AF12F7">
      <w:pPr>
        <w:ind w:firstLine="567"/>
        <w:jc w:val="both"/>
        <w:rPr>
          <w:bCs/>
        </w:rPr>
      </w:pPr>
      <w:r>
        <w:t>Legislatívno-technické</w:t>
      </w:r>
      <w:r w:rsidR="004C0A13" w:rsidRPr="0046614C">
        <w:t xml:space="preserve"> úpravy spresňujúce</w:t>
      </w:r>
      <w:r w:rsidR="00AF12F7" w:rsidRPr="0046614C">
        <w:t xml:space="preserve"> predmetné ustanovenia.</w:t>
      </w:r>
    </w:p>
    <w:p w:rsidR="00B569DF" w:rsidRPr="0046614C" w:rsidRDefault="00B569DF" w:rsidP="00182332">
      <w:pPr>
        <w:jc w:val="both"/>
        <w:rPr>
          <w:bCs/>
        </w:rPr>
      </w:pPr>
    </w:p>
    <w:p w:rsidR="00E43210" w:rsidRPr="0046614C" w:rsidRDefault="004C0A13" w:rsidP="00E43210">
      <w:pPr>
        <w:autoSpaceDE w:val="0"/>
        <w:autoSpaceDN w:val="0"/>
        <w:adjustRightInd w:val="0"/>
        <w:jc w:val="both"/>
        <w:rPr>
          <w:b/>
          <w:bCs/>
          <w:color w:val="000000"/>
        </w:rPr>
      </w:pPr>
      <w:r w:rsidRPr="0046614C">
        <w:rPr>
          <w:b/>
          <w:bCs/>
          <w:color w:val="000000"/>
        </w:rPr>
        <w:t>K bodu 14</w:t>
      </w:r>
    </w:p>
    <w:p w:rsidR="00E43210" w:rsidRPr="0046614C" w:rsidRDefault="00E43210" w:rsidP="00E43210">
      <w:pPr>
        <w:pStyle w:val="Zkladntext"/>
        <w:ind w:firstLine="567"/>
        <w:jc w:val="both"/>
        <w:outlineLvl w:val="0"/>
      </w:pPr>
      <w:r w:rsidRPr="0046614C">
        <w:t>Legislatívno-technická úprava spresňujúca spotrebiteľské balenie.</w:t>
      </w:r>
    </w:p>
    <w:p w:rsidR="00E43210" w:rsidRPr="0046614C" w:rsidRDefault="00E43210" w:rsidP="00E43210">
      <w:pPr>
        <w:jc w:val="both"/>
        <w:rPr>
          <w:bCs/>
        </w:rPr>
      </w:pPr>
    </w:p>
    <w:p w:rsidR="00E43210" w:rsidRPr="0046614C" w:rsidRDefault="004C0A13" w:rsidP="00E43210">
      <w:pPr>
        <w:autoSpaceDE w:val="0"/>
        <w:autoSpaceDN w:val="0"/>
        <w:adjustRightInd w:val="0"/>
        <w:jc w:val="both"/>
        <w:rPr>
          <w:b/>
          <w:bCs/>
          <w:color w:val="000000"/>
        </w:rPr>
      </w:pPr>
      <w:r w:rsidRPr="0046614C">
        <w:rPr>
          <w:b/>
          <w:bCs/>
          <w:color w:val="000000"/>
        </w:rPr>
        <w:t>K bodu 19</w:t>
      </w:r>
    </w:p>
    <w:p w:rsidR="00E43210" w:rsidRPr="004E325C" w:rsidRDefault="00E43210" w:rsidP="00E43210">
      <w:pPr>
        <w:pStyle w:val="Zkladntext"/>
        <w:ind w:firstLine="567"/>
        <w:jc w:val="both"/>
        <w:outlineLvl w:val="0"/>
      </w:pPr>
      <w:r w:rsidRPr="0046614C">
        <w:t>Navrhovaná úprav</w:t>
      </w:r>
      <w:r w:rsidR="000A1098">
        <w:t>a</w:t>
      </w:r>
      <w:r w:rsidRPr="0046614C">
        <w:t xml:space="preserve"> umožní Kriminálnemu úradu finančnej správy dočasne pozastaviť uplatňovanie povolenia vo vybraných prípadoch, kedy bolo začaté trestné stíhanie </w:t>
      </w:r>
      <w:r w:rsidRPr="0046614C">
        <w:lastRenderedPageBreak/>
        <w:t>vyšetrovateľom finančnej správy pre podozrenie zo spáchani</w:t>
      </w:r>
      <w:r w:rsidR="000E5BC6" w:rsidRPr="0046614C">
        <w:t>a</w:t>
      </w:r>
      <w:r w:rsidRPr="0046614C">
        <w:t xml:space="preserve"> daňového trestného č</w:t>
      </w:r>
      <w:r w:rsidRPr="004E325C">
        <w:t>inu, po dôkladnom zvážení všetkých okolností a len v tých prípadoch, kedy vydaním takého rozhodnutia nebude narušený samotný účel a priebeh trestného konania, prípadne nebude sťažené využitie procesných prostriedkov a postupov v zmysle trestného konania.</w:t>
      </w:r>
    </w:p>
    <w:p w:rsidR="00C3376C" w:rsidRDefault="00C3376C" w:rsidP="00182332">
      <w:pPr>
        <w:jc w:val="both"/>
        <w:rPr>
          <w:bCs/>
        </w:rPr>
      </w:pPr>
    </w:p>
    <w:p w:rsidR="00E13266" w:rsidRPr="002D2A7D" w:rsidRDefault="002D2A7D" w:rsidP="00182332">
      <w:pPr>
        <w:jc w:val="both"/>
        <w:rPr>
          <w:b/>
          <w:bCs/>
        </w:rPr>
      </w:pPr>
      <w:r w:rsidRPr="002D2A7D">
        <w:rPr>
          <w:b/>
          <w:bCs/>
        </w:rPr>
        <w:t xml:space="preserve">K bodom </w:t>
      </w:r>
      <w:r w:rsidR="004C0A13">
        <w:rPr>
          <w:b/>
          <w:bCs/>
        </w:rPr>
        <w:t>20, 21, 22, 23, 24, 25, 26</w:t>
      </w:r>
      <w:r w:rsidR="00C3376C">
        <w:rPr>
          <w:b/>
          <w:bCs/>
        </w:rPr>
        <w:t xml:space="preserve"> a 31</w:t>
      </w:r>
    </w:p>
    <w:p w:rsidR="002D2A7D" w:rsidRPr="00E163DF" w:rsidRDefault="002D2A7D" w:rsidP="002D2A7D">
      <w:pPr>
        <w:ind w:firstLine="567"/>
        <w:jc w:val="both"/>
        <w:rPr>
          <w:bCs/>
        </w:rPr>
      </w:pPr>
      <w:r w:rsidRPr="00E163DF">
        <w:t>L</w:t>
      </w:r>
      <w:r w:rsidR="00AD01CE">
        <w:t>egislatívno-technické</w:t>
      </w:r>
      <w:r>
        <w:t xml:space="preserve"> úpravy </w:t>
      </w:r>
      <w:r w:rsidR="00C3376C">
        <w:t xml:space="preserve">dopĺňajúce a </w:t>
      </w:r>
      <w:r w:rsidR="00D8615B">
        <w:t xml:space="preserve">upravujúce vedenie evidencie </w:t>
      </w:r>
      <w:r w:rsidR="00FD640B">
        <w:t xml:space="preserve">daňovým subjektom, </w:t>
      </w:r>
      <w:r w:rsidR="00D8615B">
        <w:t>colným úradom a finančným riaditeľstvom</w:t>
      </w:r>
      <w:r>
        <w:t>.</w:t>
      </w:r>
    </w:p>
    <w:p w:rsidR="00E163DF" w:rsidRDefault="00E163DF" w:rsidP="00182332">
      <w:pPr>
        <w:jc w:val="both"/>
        <w:rPr>
          <w:bCs/>
        </w:rPr>
      </w:pPr>
    </w:p>
    <w:p w:rsidR="00DB5F93" w:rsidRPr="00E163DF" w:rsidRDefault="004C0A13" w:rsidP="00DB5F93">
      <w:pPr>
        <w:autoSpaceDE w:val="0"/>
        <w:autoSpaceDN w:val="0"/>
        <w:adjustRightInd w:val="0"/>
        <w:jc w:val="both"/>
        <w:rPr>
          <w:b/>
          <w:bCs/>
          <w:color w:val="000000"/>
        </w:rPr>
      </w:pPr>
      <w:r>
        <w:rPr>
          <w:b/>
          <w:bCs/>
          <w:color w:val="000000"/>
        </w:rPr>
        <w:t>K bodom 27, 28,</w:t>
      </w:r>
      <w:r w:rsidR="002D2A7D">
        <w:rPr>
          <w:b/>
          <w:bCs/>
          <w:color w:val="000000"/>
        </w:rPr>
        <w:t xml:space="preserve"> </w:t>
      </w:r>
      <w:r w:rsidR="00C3376C">
        <w:rPr>
          <w:b/>
          <w:bCs/>
          <w:color w:val="000000"/>
        </w:rPr>
        <w:t>29 a 30</w:t>
      </w:r>
    </w:p>
    <w:p w:rsidR="00E43210" w:rsidRDefault="00CE6166" w:rsidP="00CE6166">
      <w:pPr>
        <w:ind w:firstLine="567"/>
        <w:jc w:val="both"/>
        <w:rPr>
          <w:bCs/>
        </w:rPr>
      </w:pPr>
      <w:r>
        <w:rPr>
          <w:bCs/>
        </w:rPr>
        <w:t>V súvislosti s navrhovanými zmenami sa primerane upravujú a dopĺňajú skutkové podstaty správnych deliktov</w:t>
      </w:r>
      <w:r w:rsidR="002D2A7D">
        <w:rPr>
          <w:bCs/>
        </w:rPr>
        <w:t xml:space="preserve"> a stanovujú sa sankcie za tieto správne delikty</w:t>
      </w:r>
      <w:r>
        <w:rPr>
          <w:bCs/>
        </w:rPr>
        <w:t>.</w:t>
      </w:r>
      <w:r w:rsidR="000A1098">
        <w:rPr>
          <w:bCs/>
        </w:rPr>
        <w:t xml:space="preserve"> Ustanovuje sa tiež nová sankcia </w:t>
      </w:r>
      <w:r w:rsidR="000A1098" w:rsidRPr="000A1098">
        <w:rPr>
          <w:color w:val="000000"/>
        </w:rPr>
        <w:t xml:space="preserve">vo výške </w:t>
      </w:r>
      <w:r w:rsidR="000A1098">
        <w:rPr>
          <w:color w:val="000000"/>
        </w:rPr>
        <w:t xml:space="preserve">spotrebnej </w:t>
      </w:r>
      <w:r w:rsidR="000A1098" w:rsidRPr="000A1098">
        <w:rPr>
          <w:color w:val="000000"/>
        </w:rPr>
        <w:t xml:space="preserve">dane pripadajúcej na množstvo </w:t>
      </w:r>
      <w:r w:rsidR="000A1098">
        <w:rPr>
          <w:color w:val="000000"/>
        </w:rPr>
        <w:t>pohonných látok</w:t>
      </w:r>
      <w:r w:rsidR="000A1098" w:rsidRPr="00EE384A">
        <w:t>, ktoré malo byť chýbajúcim množstvom identifikačnej látky označené</w:t>
      </w:r>
      <w:r w:rsidR="000A1098">
        <w:rPr>
          <w:color w:val="000000"/>
        </w:rPr>
        <w:t xml:space="preserve"> a</w:t>
      </w:r>
      <w:r w:rsidR="000A1098" w:rsidRPr="000A1098">
        <w:rPr>
          <w:color w:val="000000"/>
        </w:rPr>
        <w:t xml:space="preserve"> na výpočet pokuty sa použije sadzba </w:t>
      </w:r>
      <w:r w:rsidR="000A1098">
        <w:rPr>
          <w:color w:val="000000"/>
        </w:rPr>
        <w:t xml:space="preserve">spotrebnej </w:t>
      </w:r>
      <w:r w:rsidR="000A1098" w:rsidRPr="000A1098">
        <w:rPr>
          <w:color w:val="000000"/>
        </w:rPr>
        <w:t>dane</w:t>
      </w:r>
      <w:r w:rsidR="000A1098">
        <w:rPr>
          <w:color w:val="000000"/>
        </w:rPr>
        <w:t xml:space="preserve"> na motorový benzín</w:t>
      </w:r>
      <w:r w:rsidR="000A1098" w:rsidRPr="000A1098">
        <w:rPr>
          <w:color w:val="000000"/>
        </w:rPr>
        <w:t xml:space="preserve"> </w:t>
      </w:r>
      <w:r w:rsidR="000A1098">
        <w:rPr>
          <w:color w:val="000000"/>
        </w:rPr>
        <w:t xml:space="preserve">bez obsahu </w:t>
      </w:r>
      <w:proofErr w:type="spellStart"/>
      <w:r w:rsidR="000A1098">
        <w:rPr>
          <w:color w:val="000000"/>
        </w:rPr>
        <w:t>biozložky</w:t>
      </w:r>
      <w:proofErr w:type="spellEnd"/>
      <w:r w:rsidR="000A1098">
        <w:rPr>
          <w:color w:val="000000"/>
        </w:rPr>
        <w:t xml:space="preserve"> (</w:t>
      </w:r>
      <w:r w:rsidR="000A1098" w:rsidRPr="000A1098">
        <w:rPr>
          <w:color w:val="000000"/>
        </w:rPr>
        <w:t>§ 6 ods. 1 písm. a)</w:t>
      </w:r>
      <w:r w:rsidR="004B0EA2">
        <w:rPr>
          <w:color w:val="000000"/>
        </w:rPr>
        <w:t xml:space="preserve"> zákona č. 98/2004 Z. z.</w:t>
      </w:r>
    </w:p>
    <w:p w:rsidR="00DB5F93" w:rsidRDefault="00DB5F93" w:rsidP="00DB5F93">
      <w:pPr>
        <w:jc w:val="both"/>
        <w:rPr>
          <w:bCs/>
        </w:rPr>
      </w:pPr>
    </w:p>
    <w:p w:rsidR="00CE6166" w:rsidRPr="00E163DF" w:rsidRDefault="00C3376C" w:rsidP="00CE6166">
      <w:pPr>
        <w:autoSpaceDE w:val="0"/>
        <w:autoSpaceDN w:val="0"/>
        <w:adjustRightInd w:val="0"/>
        <w:jc w:val="both"/>
        <w:rPr>
          <w:b/>
          <w:bCs/>
          <w:color w:val="000000"/>
        </w:rPr>
      </w:pPr>
      <w:r>
        <w:rPr>
          <w:b/>
          <w:bCs/>
          <w:color w:val="000000"/>
        </w:rPr>
        <w:t>K bodu 32</w:t>
      </w:r>
    </w:p>
    <w:p w:rsidR="00E55238" w:rsidRPr="00E55238" w:rsidRDefault="00CE6166" w:rsidP="00D6003D">
      <w:pPr>
        <w:ind w:firstLine="567"/>
        <w:jc w:val="both"/>
        <w:rPr>
          <w:color w:val="000000" w:themeColor="text1"/>
        </w:rPr>
      </w:pPr>
      <w:r>
        <w:t>Stanovuje sa, že tento</w:t>
      </w:r>
      <w:r w:rsidRPr="008902A8">
        <w:t xml:space="preserve"> zákon bol prijatý v súlade s právne záväzným aktom Európskej únie v oblasti technických predpisov</w:t>
      </w:r>
      <w:r w:rsidR="00D6003D">
        <w:t>.</w:t>
      </w:r>
    </w:p>
    <w:p w:rsidR="00E55238" w:rsidRPr="004D5909" w:rsidRDefault="00E55238" w:rsidP="00CE6166">
      <w:pPr>
        <w:jc w:val="both"/>
        <w:rPr>
          <w:bCs/>
        </w:rPr>
      </w:pPr>
    </w:p>
    <w:p w:rsidR="00FD640B" w:rsidRPr="00E163DF" w:rsidRDefault="00C3376C" w:rsidP="00FD640B">
      <w:pPr>
        <w:autoSpaceDE w:val="0"/>
        <w:autoSpaceDN w:val="0"/>
        <w:adjustRightInd w:val="0"/>
        <w:jc w:val="both"/>
        <w:rPr>
          <w:b/>
          <w:bCs/>
          <w:color w:val="000000"/>
        </w:rPr>
      </w:pPr>
      <w:r>
        <w:rPr>
          <w:b/>
          <w:bCs/>
          <w:color w:val="000000"/>
        </w:rPr>
        <w:t>K bodu 33</w:t>
      </w:r>
    </w:p>
    <w:p w:rsidR="008B45E4" w:rsidRDefault="00FD640B" w:rsidP="001855B8">
      <w:pPr>
        <w:ind w:firstLine="567"/>
        <w:jc w:val="both"/>
        <w:rPr>
          <w:bCs/>
        </w:rPr>
      </w:pPr>
      <w:r w:rsidRPr="004D5909">
        <w:rPr>
          <w:rStyle w:val="Zstupntext"/>
          <w:color w:val="000000"/>
        </w:rPr>
        <w:t>V súvislosti s navrhovanými zmenami je potrebné upraviť prechodné ustanovenia</w:t>
      </w:r>
      <w:r>
        <w:rPr>
          <w:rStyle w:val="Zstupntext"/>
          <w:color w:val="000000"/>
        </w:rPr>
        <w:t>.</w:t>
      </w:r>
      <w:r w:rsidR="001855B8">
        <w:rPr>
          <w:rStyle w:val="Zstupntext"/>
          <w:color w:val="000000"/>
        </w:rPr>
        <w:t xml:space="preserve"> Podľa prechodných ustanovení </w:t>
      </w:r>
      <w:r w:rsidR="000A1098">
        <w:rPr>
          <w:rStyle w:val="Zstupntext"/>
          <w:color w:val="000000"/>
        </w:rPr>
        <w:t>(§ 46</w:t>
      </w:r>
      <w:r w:rsidR="00B91671">
        <w:rPr>
          <w:rStyle w:val="Zstupntext"/>
          <w:color w:val="000000"/>
        </w:rPr>
        <w:t>r</w:t>
      </w:r>
      <w:r w:rsidR="000A1098">
        <w:rPr>
          <w:rStyle w:val="Zstupntext"/>
          <w:color w:val="000000"/>
        </w:rPr>
        <w:t xml:space="preserve"> ods. 1 a 2 návrhu zákona) sa</w:t>
      </w:r>
      <w:r w:rsidR="001855B8">
        <w:rPr>
          <w:rStyle w:val="Zstupntext"/>
          <w:color w:val="000000"/>
        </w:rPr>
        <w:t xml:space="preserve"> stanovuje, že </w:t>
      </w:r>
      <w:r w:rsidR="001855B8">
        <w:rPr>
          <w:color w:val="000000"/>
        </w:rPr>
        <w:t>f</w:t>
      </w:r>
      <w:r w:rsidR="001855B8" w:rsidRPr="001855B8">
        <w:rPr>
          <w:color w:val="000000"/>
        </w:rPr>
        <w:t xml:space="preserve">inančné riaditeľstvo </w:t>
      </w:r>
      <w:r w:rsidR="001855B8">
        <w:rPr>
          <w:color w:val="000000"/>
        </w:rPr>
        <w:t>bude môcť</w:t>
      </w:r>
      <w:r w:rsidR="001855B8" w:rsidRPr="001855B8">
        <w:rPr>
          <w:color w:val="000000"/>
        </w:rPr>
        <w:t xml:space="preserve"> po uzatvorení zmluvy o výrobe identifikačnej látky</w:t>
      </w:r>
      <w:r w:rsidR="001855B8">
        <w:rPr>
          <w:color w:val="000000"/>
        </w:rPr>
        <w:t xml:space="preserve"> s výrobcom identifikačnej látky</w:t>
      </w:r>
      <w:r w:rsidR="001855B8" w:rsidRPr="001855B8">
        <w:rPr>
          <w:color w:val="000000"/>
        </w:rPr>
        <w:t xml:space="preserve"> určiť obdobie na testovanie označovania </w:t>
      </w:r>
      <w:r w:rsidR="001855B8">
        <w:t xml:space="preserve">pohonných látok </w:t>
      </w:r>
      <w:r w:rsidR="001855B8" w:rsidRPr="00EE384A">
        <w:rPr>
          <w:lang w:eastAsia="en-US"/>
        </w:rPr>
        <w:t>identifikačnou látkou</w:t>
      </w:r>
      <w:r w:rsidR="001855B8" w:rsidRPr="001855B8">
        <w:rPr>
          <w:color w:val="000000"/>
        </w:rPr>
        <w:t xml:space="preserve">. </w:t>
      </w:r>
      <w:r w:rsidR="001855B8">
        <w:rPr>
          <w:color w:val="000000"/>
        </w:rPr>
        <w:t>Začiato</w:t>
      </w:r>
      <w:r w:rsidR="004B0EA2">
        <w:rPr>
          <w:color w:val="000000"/>
        </w:rPr>
        <w:t>k a ukončenie obdobia testovania</w:t>
      </w:r>
      <w:r w:rsidR="001855B8">
        <w:rPr>
          <w:color w:val="000000"/>
        </w:rPr>
        <w:t xml:space="preserve"> identifikačnej látky určenej na označovanie pohonných látok </w:t>
      </w:r>
      <w:r w:rsidR="001855B8" w:rsidRPr="001855B8">
        <w:rPr>
          <w:color w:val="000000"/>
          <w:shd w:val="clear" w:color="auto" w:fill="FFFFFF"/>
        </w:rPr>
        <w:t xml:space="preserve">uverejní </w:t>
      </w:r>
      <w:r w:rsidR="001855B8">
        <w:rPr>
          <w:color w:val="000000"/>
          <w:shd w:val="clear" w:color="auto" w:fill="FFFFFF"/>
        </w:rPr>
        <w:t xml:space="preserve">finančné riaditeľstvo </w:t>
      </w:r>
      <w:r w:rsidR="001855B8" w:rsidRPr="001855B8">
        <w:rPr>
          <w:color w:val="000000"/>
          <w:shd w:val="clear" w:color="auto" w:fill="FFFFFF"/>
        </w:rPr>
        <w:t>na svojom webovom sídle</w:t>
      </w:r>
      <w:r w:rsidR="001855B8">
        <w:rPr>
          <w:color w:val="000000"/>
          <w:shd w:val="clear" w:color="auto" w:fill="FFFFFF"/>
        </w:rPr>
        <w:t>. Zároveň sa stanovuje, že</w:t>
      </w:r>
      <w:r w:rsidR="001855B8" w:rsidRPr="001855B8">
        <w:rPr>
          <w:color w:val="000000"/>
          <w:shd w:val="clear" w:color="auto" w:fill="FFFFFF"/>
        </w:rPr>
        <w:t xml:space="preserve"> </w:t>
      </w:r>
      <w:r w:rsidR="00FE6323">
        <w:rPr>
          <w:color w:val="000000"/>
          <w:shd w:val="clear" w:color="auto" w:fill="FFFFFF"/>
        </w:rPr>
        <w:t>obdobie určené na vyhodnocovanie testovania</w:t>
      </w:r>
      <w:r w:rsidR="00B91671">
        <w:rPr>
          <w:color w:val="000000"/>
          <w:shd w:val="clear" w:color="auto" w:fill="FFFFFF"/>
        </w:rPr>
        <w:t xml:space="preserve"> finančným riaditeľstvom</w:t>
      </w:r>
      <w:r w:rsidR="00FE6323">
        <w:rPr>
          <w:color w:val="000000"/>
          <w:shd w:val="clear" w:color="auto" w:fill="FFFFFF"/>
        </w:rPr>
        <w:t>, t. j. počet dní</w:t>
      </w:r>
      <w:r w:rsidR="001855B8">
        <w:rPr>
          <w:color w:val="000000"/>
          <w:shd w:val="clear" w:color="auto" w:fill="FFFFFF"/>
        </w:rPr>
        <w:t xml:space="preserve"> </w:t>
      </w:r>
      <w:r w:rsidR="00FE6323">
        <w:rPr>
          <w:color w:val="000000"/>
          <w:shd w:val="clear" w:color="auto" w:fill="FFFFFF"/>
        </w:rPr>
        <w:t>po dni</w:t>
      </w:r>
      <w:r w:rsidR="001855B8">
        <w:rPr>
          <w:color w:val="000000"/>
          <w:shd w:val="clear" w:color="auto" w:fill="FFFFFF"/>
        </w:rPr>
        <w:t xml:space="preserve"> ukončenia testovania </w:t>
      </w:r>
      <w:r w:rsidR="00B91671">
        <w:rPr>
          <w:color w:val="000000"/>
          <w:shd w:val="clear" w:color="auto" w:fill="FFFFFF"/>
        </w:rPr>
        <w:t>a prvým dňom začatia označovania</w:t>
      </w:r>
      <w:r w:rsidR="001855B8">
        <w:rPr>
          <w:color w:val="000000"/>
          <w:shd w:val="clear" w:color="auto" w:fill="FFFFFF"/>
        </w:rPr>
        <w:t xml:space="preserve"> pohonných látok identifikačnou látkou podľa </w:t>
      </w:r>
      <w:r w:rsidR="00EF0929">
        <w:rPr>
          <w:color w:val="000000"/>
          <w:shd w:val="clear" w:color="auto" w:fill="FFFFFF"/>
        </w:rPr>
        <w:t xml:space="preserve">              </w:t>
      </w:r>
      <w:r w:rsidR="001855B8">
        <w:rPr>
          <w:color w:val="000000"/>
          <w:shd w:val="clear" w:color="auto" w:fill="FFFFFF"/>
        </w:rPr>
        <w:t xml:space="preserve">§ 8 </w:t>
      </w:r>
      <w:r w:rsidR="00B91671">
        <w:rPr>
          <w:color w:val="000000"/>
          <w:shd w:val="clear" w:color="auto" w:fill="FFFFFF"/>
        </w:rPr>
        <w:t>nemôže</w:t>
      </w:r>
      <w:r w:rsidR="001855B8">
        <w:rPr>
          <w:color w:val="000000"/>
          <w:shd w:val="clear" w:color="auto" w:fill="FFFFFF"/>
        </w:rPr>
        <w:t xml:space="preserve"> byť </w:t>
      </w:r>
      <w:r w:rsidR="004D4529">
        <w:rPr>
          <w:color w:val="000000"/>
          <w:shd w:val="clear" w:color="auto" w:fill="FFFFFF"/>
        </w:rPr>
        <w:t>menej</w:t>
      </w:r>
      <w:r w:rsidR="00FE6323">
        <w:rPr>
          <w:color w:val="000000"/>
          <w:shd w:val="clear" w:color="auto" w:fill="FFFFFF"/>
        </w:rPr>
        <w:t xml:space="preserve"> ako</w:t>
      </w:r>
      <w:r w:rsidR="001855B8">
        <w:rPr>
          <w:color w:val="000000"/>
          <w:shd w:val="clear" w:color="auto" w:fill="FFFFFF"/>
        </w:rPr>
        <w:t xml:space="preserve"> 90 dní</w:t>
      </w:r>
      <w:r w:rsidR="00FE6323">
        <w:rPr>
          <w:color w:val="000000"/>
          <w:shd w:val="clear" w:color="auto" w:fill="FFFFFF"/>
        </w:rPr>
        <w:t>.</w:t>
      </w:r>
    </w:p>
    <w:p w:rsidR="001855B8" w:rsidRDefault="001855B8" w:rsidP="00182332">
      <w:pPr>
        <w:jc w:val="both"/>
        <w:rPr>
          <w:bCs/>
        </w:rPr>
      </w:pPr>
    </w:p>
    <w:p w:rsidR="00EE709A" w:rsidRPr="00E163DF" w:rsidRDefault="00EE709A" w:rsidP="00EE709A">
      <w:pPr>
        <w:jc w:val="both"/>
        <w:rPr>
          <w:b/>
          <w:bCs/>
        </w:rPr>
      </w:pPr>
      <w:r>
        <w:rPr>
          <w:b/>
          <w:bCs/>
        </w:rPr>
        <w:t>K článku II</w:t>
      </w:r>
    </w:p>
    <w:p w:rsidR="00EE709A" w:rsidRDefault="00EE709A" w:rsidP="00EE709A">
      <w:pPr>
        <w:jc w:val="both"/>
        <w:rPr>
          <w:bCs/>
        </w:rPr>
      </w:pPr>
    </w:p>
    <w:p w:rsidR="00EE709A" w:rsidRPr="00556960" w:rsidRDefault="00EE709A" w:rsidP="00EE709A">
      <w:pPr>
        <w:tabs>
          <w:tab w:val="left" w:pos="284"/>
          <w:tab w:val="left" w:pos="426"/>
          <w:tab w:val="left" w:pos="567"/>
        </w:tabs>
        <w:autoSpaceDE w:val="0"/>
        <w:autoSpaceDN w:val="0"/>
        <w:adjustRightInd w:val="0"/>
        <w:jc w:val="both"/>
      </w:pPr>
      <w:r w:rsidRPr="00556960">
        <w:rPr>
          <w:b/>
        </w:rPr>
        <w:t>K bodu 1</w:t>
      </w:r>
    </w:p>
    <w:p w:rsidR="00EE709A" w:rsidRPr="00556960" w:rsidRDefault="00EE709A" w:rsidP="00EE709A">
      <w:pPr>
        <w:pStyle w:val="Odsekzoznamu"/>
        <w:autoSpaceDE w:val="0"/>
        <w:autoSpaceDN w:val="0"/>
        <w:ind w:left="0" w:firstLine="567"/>
        <w:jc w:val="both"/>
      </w:pPr>
      <w:r w:rsidRPr="00556960">
        <w:t xml:space="preserve">Legislatívno-technická úprava v nadväznosti na úpravu zákona č. 563/2009 Z. z. o správe daní (daňový poriadok) a o zmene a doplnení niektorých zákonov v znení neskorších predpisov. </w:t>
      </w:r>
    </w:p>
    <w:p w:rsidR="00EE709A" w:rsidRPr="00556960" w:rsidRDefault="00EE709A" w:rsidP="00EE709A">
      <w:pPr>
        <w:pStyle w:val="Odsekzoznamu"/>
        <w:autoSpaceDE w:val="0"/>
        <w:autoSpaceDN w:val="0"/>
        <w:ind w:left="0"/>
        <w:jc w:val="both"/>
      </w:pPr>
    </w:p>
    <w:p w:rsidR="00EE709A" w:rsidRDefault="00EE709A" w:rsidP="00EE709A">
      <w:pPr>
        <w:jc w:val="both"/>
        <w:rPr>
          <w:b/>
        </w:rPr>
      </w:pPr>
      <w:r w:rsidRPr="00556960">
        <w:rPr>
          <w:b/>
        </w:rPr>
        <w:t>K bodu 2</w:t>
      </w:r>
    </w:p>
    <w:p w:rsidR="00EE709A" w:rsidRPr="00440CAF" w:rsidRDefault="00EE709A" w:rsidP="00EE709A">
      <w:pPr>
        <w:ind w:firstLine="567"/>
        <w:jc w:val="both"/>
      </w:pPr>
      <w:r w:rsidRPr="00440CAF">
        <w:t>Legislatívno-technická úprava v nadväznosti na zmeny uvedené v bode 3.</w:t>
      </w:r>
    </w:p>
    <w:p w:rsidR="00EE709A" w:rsidRDefault="00EE709A" w:rsidP="00EE709A">
      <w:pPr>
        <w:jc w:val="both"/>
        <w:rPr>
          <w:b/>
        </w:rPr>
      </w:pPr>
    </w:p>
    <w:p w:rsidR="00EE709A" w:rsidRPr="00556960" w:rsidRDefault="00EE709A" w:rsidP="00EE709A">
      <w:pPr>
        <w:jc w:val="both"/>
        <w:rPr>
          <w:b/>
        </w:rPr>
      </w:pPr>
      <w:r>
        <w:rPr>
          <w:b/>
        </w:rPr>
        <w:t>K bodu 3</w:t>
      </w:r>
    </w:p>
    <w:p w:rsidR="00EE709A" w:rsidRPr="00556960" w:rsidRDefault="00EE709A" w:rsidP="00EE709A">
      <w:pPr>
        <w:ind w:firstLine="567"/>
        <w:jc w:val="both"/>
      </w:pPr>
      <w:r w:rsidRPr="00556960">
        <w:t>V súlade so smernicou sú výživové doplnky s obsahom alkoholického nápoja predmetom dane</w:t>
      </w:r>
      <w:r>
        <w:t xml:space="preserve">. </w:t>
      </w:r>
      <w:r w:rsidRPr="00556960">
        <w:t xml:space="preserve">Výživové doplnky sú potraviny doplňujúce prirodzenú stravu, ktoré sú koncentrovanými zdrojmi živín s výživovým alebo fyziologickým účinkom a na trh sa umiestňujú v dávkovanej forme tak, aby ich bolo možné brať v odmeraných malých jednotkových množstvách. V súlade so zákonom č. 355/2007 Z. z. o ochrane, podpore a rozvoji verejného zdravia a o zmene a doplnení niektorých zákonov v znení neskorších predpisov osoby, ktoré chcú umiestňovať </w:t>
      </w:r>
      <w:r w:rsidRPr="00556960">
        <w:lastRenderedPageBreak/>
        <w:t xml:space="preserve">výživový doplnok na trh sú povinné plniť oznamovaciu povinnosť voči Úradu verejného zdravotníctva SR o zložení a označovaní výživových doplnkov. </w:t>
      </w:r>
    </w:p>
    <w:p w:rsidR="00EE709A" w:rsidRDefault="00EE709A" w:rsidP="00EE709A">
      <w:pPr>
        <w:jc w:val="both"/>
      </w:pPr>
      <w:r>
        <w:t>Z </w:t>
      </w:r>
      <w:r w:rsidRPr="00556960">
        <w:t>dôvodu</w:t>
      </w:r>
      <w:r>
        <w:t xml:space="preserve"> špecifických podmienok súvisiacich s výrobou výživových doplnkov a v snahe racionalizovať výkon správy dane sa </w:t>
      </w:r>
      <w:r w:rsidRPr="00556960">
        <w:t xml:space="preserve">ustanovuje </w:t>
      </w:r>
      <w:r>
        <w:t xml:space="preserve">ich </w:t>
      </w:r>
      <w:r w:rsidRPr="00556960">
        <w:t xml:space="preserve">výroba v novom type daňového skladu. </w:t>
      </w:r>
      <w:r>
        <w:t xml:space="preserve">  </w:t>
      </w:r>
      <w:r w:rsidR="00EF0929">
        <w:t xml:space="preserve"> </w:t>
      </w:r>
      <w:r w:rsidRPr="00556960">
        <w:t>V</w:t>
      </w:r>
      <w:r>
        <w:t xml:space="preserve"> </w:t>
      </w:r>
      <w:r w:rsidRPr="00556960">
        <w:t xml:space="preserve">daňovom sklade </w:t>
      </w:r>
      <w:r>
        <w:t xml:space="preserve">na výrobu výživových doplnkov </w:t>
      </w:r>
      <w:r w:rsidRPr="00556960">
        <w:t>bude možné vyrábať extrakty a </w:t>
      </w:r>
      <w:proofErr w:type="spellStart"/>
      <w:r w:rsidRPr="00556960">
        <w:t>maceráty</w:t>
      </w:r>
      <w:proofErr w:type="spellEnd"/>
      <w:r w:rsidRPr="00556960">
        <w:t xml:space="preserve"> </w:t>
      </w:r>
      <w:r>
        <w:t xml:space="preserve">a dodávať ich </w:t>
      </w:r>
      <w:r w:rsidRPr="00556960">
        <w:t>iba na účely oslobodené od dane alebo na výrobu výživových doplnkov</w:t>
      </w:r>
      <w:r>
        <w:t xml:space="preserve">. </w:t>
      </w:r>
      <w:r w:rsidRPr="00556960">
        <w:t xml:space="preserve">Prevádzkovateľ daňového skladu na výrobu výživových doplnkov má povinnosť zložiť zábezpeku na daň vo výške dane pripadajúcej na množstvo alkoholického nápoja, ktorý používa, alebo predpokladá použiť </w:t>
      </w:r>
      <w:r>
        <w:t>počas</w:t>
      </w:r>
      <w:r w:rsidRPr="00556960">
        <w:t xml:space="preserve"> jedného kalendárneho mesiaca. Prítomnosť správcu dane v</w:t>
      </w:r>
      <w:r>
        <w:t xml:space="preserve"> tomto</w:t>
      </w:r>
      <w:r w:rsidRPr="00556960">
        <w:t> daňovom sklade sa nevyžaduje a upúšťa sa</w:t>
      </w:r>
      <w:r>
        <w:t xml:space="preserve"> aj</w:t>
      </w:r>
      <w:r w:rsidRPr="00556960">
        <w:t xml:space="preserve"> od povinnosti označiť výživov</w:t>
      </w:r>
      <w:r>
        <w:t>ý</w:t>
      </w:r>
      <w:r w:rsidRPr="00556960">
        <w:t xml:space="preserve"> dopln</w:t>
      </w:r>
      <w:r>
        <w:t>o</w:t>
      </w:r>
      <w:r w:rsidRPr="00556960">
        <w:t xml:space="preserve">k </w:t>
      </w:r>
      <w:r>
        <w:t xml:space="preserve">s obsahom liehu v </w:t>
      </w:r>
      <w:r w:rsidRPr="00556960">
        <w:t>spotrebiteľsk</w:t>
      </w:r>
      <w:r>
        <w:t>om</w:t>
      </w:r>
      <w:r w:rsidRPr="00556960">
        <w:t xml:space="preserve"> balen</w:t>
      </w:r>
      <w:r>
        <w:t>í</w:t>
      </w:r>
      <w:r w:rsidRPr="00556960">
        <w:t xml:space="preserve"> liehu kontrolnou známkou</w:t>
      </w:r>
      <w:r>
        <w:t xml:space="preserve">. Na </w:t>
      </w:r>
      <w:r w:rsidRPr="00556960">
        <w:t>zabezpečeni</w:t>
      </w:r>
      <w:r>
        <w:t>e</w:t>
      </w:r>
      <w:r w:rsidRPr="00556960">
        <w:t xml:space="preserve"> správneho fungovania kontrolných mechanizmov </w:t>
      </w:r>
      <w:r>
        <w:t xml:space="preserve">sa </w:t>
      </w:r>
      <w:r w:rsidRPr="00556960">
        <w:t xml:space="preserve">ustanovuje dôsledné vedenie evidencie o prijatom alkoholickom nápoji, jeho použití na výrobu výživových doplnkov, </w:t>
      </w:r>
      <w:r>
        <w:t xml:space="preserve">dodaní, </w:t>
      </w:r>
      <w:r w:rsidRPr="00556960">
        <w:t>predaji a stave zásob.</w:t>
      </w:r>
    </w:p>
    <w:p w:rsidR="00EE709A" w:rsidRPr="00556960" w:rsidRDefault="00EE709A" w:rsidP="00EE709A">
      <w:pPr>
        <w:jc w:val="both"/>
      </w:pPr>
      <w:r>
        <w:t xml:space="preserve">Zároveň sa ustanovuje, že prevádzkovateľ daňového skladu, ktorý má vydané povolenie podľa § 15 zákona č. 530/2011 Z. z. a chce vyrábať výživové doplnky nie je povinný požiadať </w:t>
      </w:r>
      <w:r w:rsidR="00EF0929">
        <w:t xml:space="preserve">                       </w:t>
      </w:r>
      <w:bookmarkStart w:id="0" w:name="_GoBack"/>
      <w:bookmarkEnd w:id="0"/>
      <w:r>
        <w:t xml:space="preserve">o vydanie povolenia na prevádzkovanie daňového skladu na výrobu výživových doplnkov. </w:t>
      </w:r>
    </w:p>
    <w:p w:rsidR="00EE709A" w:rsidRPr="00BC11BA" w:rsidRDefault="00EE709A" w:rsidP="00EE709A">
      <w:pPr>
        <w:jc w:val="both"/>
      </w:pPr>
    </w:p>
    <w:p w:rsidR="00EE709A" w:rsidRPr="00556960" w:rsidRDefault="00EE709A" w:rsidP="00EE709A">
      <w:pPr>
        <w:jc w:val="both"/>
        <w:rPr>
          <w:b/>
        </w:rPr>
      </w:pPr>
      <w:r w:rsidRPr="00556960">
        <w:rPr>
          <w:b/>
        </w:rPr>
        <w:t>K bod</w:t>
      </w:r>
      <w:r>
        <w:rPr>
          <w:b/>
        </w:rPr>
        <w:t>om</w:t>
      </w:r>
      <w:r w:rsidRPr="00556960">
        <w:rPr>
          <w:b/>
        </w:rPr>
        <w:t xml:space="preserve"> </w:t>
      </w:r>
      <w:r>
        <w:rPr>
          <w:b/>
        </w:rPr>
        <w:t>4 a 7</w:t>
      </w:r>
    </w:p>
    <w:p w:rsidR="00EE709A" w:rsidRPr="00556960" w:rsidRDefault="00EE709A" w:rsidP="00EE709A">
      <w:pPr>
        <w:ind w:firstLine="567"/>
        <w:jc w:val="both"/>
      </w:pPr>
      <w:r w:rsidRPr="00556960">
        <w:t>Legislatívno-technická úprava v nadväznosti na zmenu v bode 1.</w:t>
      </w:r>
    </w:p>
    <w:p w:rsidR="00EE709A" w:rsidRPr="00556960" w:rsidRDefault="00EE709A" w:rsidP="00EE709A">
      <w:pPr>
        <w:jc w:val="both"/>
        <w:rPr>
          <w:b/>
        </w:rPr>
      </w:pPr>
    </w:p>
    <w:p w:rsidR="00EE709A" w:rsidRPr="00556960" w:rsidRDefault="00EE709A" w:rsidP="00EE709A">
      <w:pPr>
        <w:jc w:val="both"/>
        <w:rPr>
          <w:b/>
        </w:rPr>
      </w:pPr>
      <w:r w:rsidRPr="00556960">
        <w:rPr>
          <w:b/>
        </w:rPr>
        <w:t>K</w:t>
      </w:r>
      <w:r>
        <w:rPr>
          <w:b/>
        </w:rPr>
        <w:t> </w:t>
      </w:r>
      <w:r w:rsidRPr="00556960">
        <w:rPr>
          <w:b/>
        </w:rPr>
        <w:t>bod</w:t>
      </w:r>
      <w:r>
        <w:rPr>
          <w:b/>
        </w:rPr>
        <w:t>om 5, 6 a 12</w:t>
      </w:r>
    </w:p>
    <w:p w:rsidR="00EE709A" w:rsidRPr="00556960" w:rsidRDefault="00EE709A" w:rsidP="00EE709A">
      <w:pPr>
        <w:ind w:firstLine="567"/>
        <w:jc w:val="both"/>
      </w:pPr>
      <w:r>
        <w:t xml:space="preserve">Dopĺňa sa finančnému riaditeľstvu, colnému úradu a prevádzkovateľovi daňového skladu na výrobu výživových doplnkov </w:t>
      </w:r>
      <w:r w:rsidR="004B0EA2">
        <w:t xml:space="preserve">povinnosť </w:t>
      </w:r>
      <w:r>
        <w:t>viesť evidenciu.</w:t>
      </w:r>
    </w:p>
    <w:p w:rsidR="00EE709A" w:rsidRPr="00556960" w:rsidRDefault="00EE709A" w:rsidP="00EE709A">
      <w:pPr>
        <w:jc w:val="both"/>
      </w:pPr>
    </w:p>
    <w:p w:rsidR="00EE709A" w:rsidRPr="00556960" w:rsidRDefault="00EE709A" w:rsidP="00EE709A">
      <w:pPr>
        <w:jc w:val="both"/>
        <w:rPr>
          <w:b/>
        </w:rPr>
      </w:pPr>
      <w:r>
        <w:rPr>
          <w:b/>
        </w:rPr>
        <w:t>K bodu 8, 13 a 14</w:t>
      </w:r>
    </w:p>
    <w:p w:rsidR="00EE709A" w:rsidRPr="00556960" w:rsidRDefault="00EE709A" w:rsidP="00EE709A">
      <w:pPr>
        <w:ind w:firstLine="567"/>
        <w:jc w:val="both"/>
      </w:pPr>
      <w:r w:rsidRPr="00556960">
        <w:t>Legislatívno-technická úprava súvisiaca so zavedením zdanenia výživových doplnkov.</w:t>
      </w:r>
    </w:p>
    <w:p w:rsidR="00EE709A" w:rsidRDefault="00EE709A" w:rsidP="00EE709A">
      <w:pPr>
        <w:jc w:val="both"/>
        <w:rPr>
          <w:b/>
        </w:rPr>
      </w:pPr>
    </w:p>
    <w:p w:rsidR="00EE709A" w:rsidRPr="00556960" w:rsidRDefault="00EE709A" w:rsidP="00EE709A">
      <w:pPr>
        <w:jc w:val="both"/>
        <w:rPr>
          <w:b/>
        </w:rPr>
      </w:pPr>
      <w:r w:rsidRPr="00556960">
        <w:rPr>
          <w:b/>
        </w:rPr>
        <w:t xml:space="preserve">K bodu </w:t>
      </w:r>
      <w:r>
        <w:rPr>
          <w:b/>
        </w:rPr>
        <w:t>9</w:t>
      </w:r>
    </w:p>
    <w:p w:rsidR="00EE709A" w:rsidRDefault="00EE709A" w:rsidP="00EE709A">
      <w:pPr>
        <w:ind w:firstLine="567"/>
        <w:jc w:val="both"/>
      </w:pPr>
      <w:r>
        <w:t>Legislatívno-technická úprava z dôvodu možnosti vyrábať výživové doplnky v iných typoch daňových skladov.</w:t>
      </w:r>
    </w:p>
    <w:p w:rsidR="00EE709A" w:rsidRDefault="00EE709A" w:rsidP="00EE709A">
      <w:pPr>
        <w:jc w:val="both"/>
      </w:pPr>
    </w:p>
    <w:p w:rsidR="00EE709A" w:rsidRPr="006719A5" w:rsidRDefault="00EE709A" w:rsidP="00EE709A">
      <w:pPr>
        <w:jc w:val="both"/>
        <w:rPr>
          <w:b/>
        </w:rPr>
      </w:pPr>
      <w:r w:rsidRPr="006719A5">
        <w:rPr>
          <w:b/>
        </w:rPr>
        <w:t xml:space="preserve">K bodu </w:t>
      </w:r>
      <w:r>
        <w:rPr>
          <w:b/>
        </w:rPr>
        <w:t>10</w:t>
      </w:r>
    </w:p>
    <w:p w:rsidR="00EE709A" w:rsidRPr="00556960" w:rsidRDefault="00EE709A" w:rsidP="00EE709A">
      <w:pPr>
        <w:ind w:firstLine="567"/>
        <w:jc w:val="both"/>
      </w:pPr>
      <w:r w:rsidRPr="00556960">
        <w:t>Upravuje sa povinnosť označovať spotrebiteľské balenie liehu kontrolnou známkou tak, aby sa nevzťahovala na výživové doplnky.</w:t>
      </w:r>
    </w:p>
    <w:p w:rsidR="00EE709A" w:rsidRPr="00556960" w:rsidRDefault="00EE709A" w:rsidP="00EE709A">
      <w:pPr>
        <w:jc w:val="both"/>
      </w:pPr>
    </w:p>
    <w:p w:rsidR="00EE709A" w:rsidRPr="00556960" w:rsidRDefault="00EE709A" w:rsidP="00EE709A">
      <w:pPr>
        <w:jc w:val="both"/>
        <w:rPr>
          <w:b/>
        </w:rPr>
      </w:pPr>
      <w:r w:rsidRPr="00556960">
        <w:rPr>
          <w:b/>
        </w:rPr>
        <w:t>K</w:t>
      </w:r>
      <w:r>
        <w:rPr>
          <w:b/>
        </w:rPr>
        <w:t> </w:t>
      </w:r>
      <w:r w:rsidRPr="00556960">
        <w:rPr>
          <w:b/>
        </w:rPr>
        <w:t>bodu</w:t>
      </w:r>
      <w:r>
        <w:rPr>
          <w:b/>
        </w:rPr>
        <w:t xml:space="preserve"> 11</w:t>
      </w:r>
    </w:p>
    <w:p w:rsidR="00EE709A" w:rsidRPr="00556960" w:rsidRDefault="00EE709A" w:rsidP="00EE709A">
      <w:pPr>
        <w:ind w:firstLine="567"/>
        <w:jc w:val="both"/>
      </w:pPr>
      <w:r w:rsidRPr="00556960">
        <w:t>Z dôvodu špecifického charakteru výživových doplnkov, ktoré sa predávajú najmä v lekárňach, v snahe predchádzať administratívnej záťaži podnikateľských subjektov, ktoré vyrábajú a predávajú iba výživové doplnky</w:t>
      </w:r>
      <w:r w:rsidR="004B0EA2">
        <w:t>,</w:t>
      </w:r>
      <w:r w:rsidRPr="00556960">
        <w:t xml:space="preserve"> sa upúšťa od povinnosti mať pri predaji tých</w:t>
      </w:r>
      <w:r>
        <w:t>to</w:t>
      </w:r>
      <w:r w:rsidRPr="00556960">
        <w:t xml:space="preserve"> výrobkov vydané povolenie na predaj spotrebiteľského balenia v daňovom voľnom obehu alebo byť držiteľom oprávnenia na distribúciu spotrebiteľského balenia v daňovom voľnom obehu iným prevádzkovateľom obchodných živností.</w:t>
      </w:r>
    </w:p>
    <w:p w:rsidR="00EE709A" w:rsidRPr="00DB580D" w:rsidRDefault="00EE709A" w:rsidP="00EE709A">
      <w:pPr>
        <w:jc w:val="both"/>
      </w:pPr>
    </w:p>
    <w:p w:rsidR="00EE709A" w:rsidRDefault="00EE709A" w:rsidP="00EE709A">
      <w:pPr>
        <w:jc w:val="both"/>
        <w:rPr>
          <w:b/>
        </w:rPr>
      </w:pPr>
      <w:r>
        <w:rPr>
          <w:b/>
        </w:rPr>
        <w:t>K bodu 15</w:t>
      </w:r>
    </w:p>
    <w:p w:rsidR="00EE709A" w:rsidRPr="00440CAF" w:rsidRDefault="00EE709A" w:rsidP="00EE709A">
      <w:pPr>
        <w:ind w:firstLine="567"/>
        <w:jc w:val="both"/>
      </w:pPr>
      <w:r w:rsidRPr="00440CAF">
        <w:t>Legislatívno-technická úprava v nadväznosti na zmeny uvedené v bode 3.</w:t>
      </w:r>
    </w:p>
    <w:p w:rsidR="00EE709A" w:rsidRDefault="00EE709A" w:rsidP="00EE709A">
      <w:pPr>
        <w:jc w:val="both"/>
        <w:rPr>
          <w:b/>
        </w:rPr>
      </w:pPr>
    </w:p>
    <w:p w:rsidR="00EE709A" w:rsidRPr="00556960" w:rsidRDefault="00EE709A" w:rsidP="00EE709A">
      <w:pPr>
        <w:jc w:val="both"/>
        <w:rPr>
          <w:b/>
        </w:rPr>
      </w:pPr>
      <w:r w:rsidRPr="00556960">
        <w:rPr>
          <w:b/>
        </w:rPr>
        <w:t>K bodom 1</w:t>
      </w:r>
      <w:r>
        <w:rPr>
          <w:b/>
        </w:rPr>
        <w:t>6 a</w:t>
      </w:r>
      <w:r w:rsidRPr="00556960">
        <w:rPr>
          <w:b/>
        </w:rPr>
        <w:t> 1</w:t>
      </w:r>
      <w:r>
        <w:rPr>
          <w:b/>
        </w:rPr>
        <w:t>7</w:t>
      </w:r>
    </w:p>
    <w:p w:rsidR="00EE709A" w:rsidRPr="00556960" w:rsidRDefault="00EE709A" w:rsidP="00EE709A">
      <w:pPr>
        <w:ind w:firstLine="567"/>
        <w:jc w:val="both"/>
      </w:pPr>
      <w:r w:rsidRPr="00556960">
        <w:lastRenderedPageBreak/>
        <w:t>V súvislosti s</w:t>
      </w:r>
      <w:r>
        <w:t>o zavedením nového typu</w:t>
      </w:r>
      <w:r w:rsidRPr="00556960">
        <w:t xml:space="preserve"> daňov</w:t>
      </w:r>
      <w:r>
        <w:t>ého</w:t>
      </w:r>
      <w:r w:rsidRPr="00556960">
        <w:t xml:space="preserve"> sklad</w:t>
      </w:r>
      <w:r>
        <w:t>u</w:t>
      </w:r>
      <w:r w:rsidRPr="00556960">
        <w:t xml:space="preserve"> sa ustanovujú sankcie a pokuty za porušenie povinností súvisiacich s prevádzkovaním daňového skladu na výrobu výživových doplnkov. </w:t>
      </w:r>
    </w:p>
    <w:p w:rsidR="00EE709A" w:rsidRDefault="00EE709A" w:rsidP="00EE709A">
      <w:pPr>
        <w:jc w:val="both"/>
      </w:pPr>
    </w:p>
    <w:p w:rsidR="00DA6BF0" w:rsidRPr="00556960" w:rsidRDefault="00DA6BF0" w:rsidP="00EE709A">
      <w:pPr>
        <w:jc w:val="both"/>
      </w:pPr>
    </w:p>
    <w:p w:rsidR="00EE709A" w:rsidRPr="00556960" w:rsidRDefault="00EE709A" w:rsidP="00EE709A">
      <w:pPr>
        <w:jc w:val="both"/>
        <w:rPr>
          <w:b/>
        </w:rPr>
      </w:pPr>
      <w:r w:rsidRPr="00556960">
        <w:rPr>
          <w:b/>
        </w:rPr>
        <w:t>K bodu 1</w:t>
      </w:r>
      <w:r>
        <w:rPr>
          <w:b/>
        </w:rPr>
        <w:t>8</w:t>
      </w:r>
    </w:p>
    <w:p w:rsidR="00EE709A" w:rsidRPr="00556960" w:rsidRDefault="00EE709A" w:rsidP="00EE709A">
      <w:pPr>
        <w:ind w:firstLine="567"/>
        <w:jc w:val="both"/>
      </w:pPr>
      <w:r w:rsidRPr="00556960">
        <w:t xml:space="preserve">V nadväznosti na vykonané zmeny sa ustanovujú prechodné ustanovenia upravujúce povinnosti osôb, ktoré chcú prevádzkovať daňový sklad na výrobu výživových doplnkov. Zároveň sa ustanovujú povinnosti pre užívateľské podniky, ktoré vyrábali výživové doplnky z liehu oslobodeného od dane a chcú byť prevádzkovateľmi daňového skladu na výrobu výživových doplnkov, prípadne ak sa rozhodnú ukončiť svoju činnosť. Výživové doplnky vyrobené s použitím alkoholického nápoja oslobodeného od dane je možné predávať do vypredania zásob. </w:t>
      </w:r>
    </w:p>
    <w:p w:rsidR="0013268A" w:rsidRDefault="0013268A" w:rsidP="0013268A">
      <w:pPr>
        <w:jc w:val="both"/>
        <w:rPr>
          <w:bCs/>
        </w:rPr>
      </w:pPr>
    </w:p>
    <w:p w:rsidR="00DA6BF0" w:rsidRDefault="00DA6BF0" w:rsidP="0013268A">
      <w:pPr>
        <w:jc w:val="both"/>
        <w:rPr>
          <w:bCs/>
        </w:rPr>
      </w:pPr>
    </w:p>
    <w:p w:rsidR="0013268A" w:rsidRPr="00E163DF" w:rsidRDefault="0013268A" w:rsidP="0013268A">
      <w:pPr>
        <w:jc w:val="both"/>
        <w:rPr>
          <w:b/>
          <w:bCs/>
        </w:rPr>
      </w:pPr>
      <w:r>
        <w:rPr>
          <w:b/>
          <w:bCs/>
        </w:rPr>
        <w:t>K článku III</w:t>
      </w:r>
    </w:p>
    <w:p w:rsidR="004C0A13" w:rsidRDefault="004C0A13" w:rsidP="004C0A13">
      <w:pPr>
        <w:pStyle w:val="Zkladntext"/>
        <w:shd w:val="clear" w:color="auto" w:fill="FFFFFF"/>
        <w:jc w:val="both"/>
      </w:pPr>
    </w:p>
    <w:p w:rsidR="00DA6BF0" w:rsidRPr="00DA6BF0" w:rsidRDefault="004C0A13" w:rsidP="00DA6BF0">
      <w:pPr>
        <w:pStyle w:val="Odsekzoznamu"/>
        <w:shd w:val="clear" w:color="auto" w:fill="FFFFFF"/>
        <w:ind w:left="0" w:firstLine="567"/>
        <w:jc w:val="both"/>
        <w:rPr>
          <w:bCs/>
          <w:color w:val="000000"/>
        </w:rPr>
      </w:pPr>
      <w:r w:rsidRPr="004C0A13">
        <w:rPr>
          <w:color w:val="000000"/>
        </w:rPr>
        <w:t xml:space="preserve">Tento zákon nadobúda účinnosť </w:t>
      </w:r>
      <w:r w:rsidR="00DA6BF0" w:rsidRPr="00DA6BF0">
        <w:rPr>
          <w:color w:val="000000"/>
        </w:rPr>
        <w:t xml:space="preserve">1. januára 2019 okrem čl. </w:t>
      </w:r>
      <w:r w:rsidR="00DA6BF0" w:rsidRPr="00EE384A">
        <w:t xml:space="preserve">I bodu 4 § 9 ods. 1 až 5 a ods. 6 písm. b) až d), ktorý nadobúda účinnosť 1. marca 2019, </w:t>
      </w:r>
      <w:r w:rsidR="00DA6BF0" w:rsidRPr="00DA6BF0">
        <w:rPr>
          <w:color w:val="000000"/>
        </w:rPr>
        <w:t xml:space="preserve">čl. II bodov 1 až 15, ktoré nadobúdajú účinnosť 1. mája 2019 a čl. I bodu 4 § 8, </w:t>
      </w:r>
      <w:r w:rsidR="00DA6BF0" w:rsidRPr="00EE384A">
        <w:t xml:space="preserve">§ 9 ods. 6 písm. a), </w:t>
      </w:r>
      <w:r w:rsidR="00DA6BF0" w:rsidRPr="00DA6BF0">
        <w:rPr>
          <w:color w:val="000000"/>
        </w:rPr>
        <w:t xml:space="preserve">§ 9b a 9c a bodov 5, 6, 14, 15, 20, 21, 22, 25 až 30 a 32, ktoré nadobúdajú účinnosť prvým dňom kalendárneho mesiaca nasledujúceho po kalendárnom mesiaci, v ktorom </w:t>
      </w:r>
      <w:r w:rsidR="00DA6BF0" w:rsidRPr="00DA6BF0">
        <w:rPr>
          <w:color w:val="000000"/>
          <w:shd w:val="clear" w:color="auto" w:fill="FFFFFF"/>
        </w:rPr>
        <w:t>finančné riaditeľstvo uverejnilo na svojom webovom sídle oznámenie o začatí označovania minerálneho oleja</w:t>
      </w:r>
      <w:r w:rsidR="00DA6BF0" w:rsidRPr="00DA6BF0">
        <w:rPr>
          <w:color w:val="000000"/>
        </w:rPr>
        <w:t xml:space="preserve"> uvedeného v § 6 ods. 1 písm. a) a d) alebo  v § 7 ods. 1 a </w:t>
      </w:r>
      <w:r w:rsidR="00DA6BF0" w:rsidRPr="00DA6BF0">
        <w:rPr>
          <w:color w:val="000000"/>
          <w:shd w:val="clear" w:color="auto" w:fill="FFFFFF"/>
        </w:rPr>
        <w:t>2 identifikačnou látkou.</w:t>
      </w:r>
    </w:p>
    <w:p w:rsidR="007E1502" w:rsidRPr="00AE5D80" w:rsidRDefault="007E1502" w:rsidP="00CD71C3">
      <w:pPr>
        <w:pStyle w:val="Zkladntext"/>
        <w:jc w:val="both"/>
      </w:pPr>
    </w:p>
    <w:sectPr w:rsidR="007E1502" w:rsidRPr="00AE5D80" w:rsidSect="00B830B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0D" w:rsidRDefault="0013590D" w:rsidP="0094136A">
      <w:r>
        <w:separator/>
      </w:r>
    </w:p>
  </w:endnote>
  <w:endnote w:type="continuationSeparator" w:id="0">
    <w:p w:rsidR="0013590D" w:rsidRDefault="0013590D" w:rsidP="009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rinda">
    <w:altName w:val="Gadugi"/>
    <w:panose1 w:val="020B0502040204020203"/>
    <w:charset w:val="00"/>
    <w:family w:val="swiss"/>
    <w:pitch w:val="variable"/>
    <w:sig w:usb0="0001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4A" w:rsidRPr="00CE4AEB" w:rsidRDefault="000E0FCB" w:rsidP="00CE4AEB">
    <w:pPr>
      <w:pStyle w:val="Pta"/>
      <w:jc w:val="center"/>
      <w:rPr>
        <w:sz w:val="20"/>
        <w:szCs w:val="20"/>
      </w:rPr>
    </w:pPr>
    <w:r w:rsidRPr="00CE4AEB">
      <w:rPr>
        <w:sz w:val="20"/>
        <w:szCs w:val="20"/>
      </w:rPr>
      <w:fldChar w:fldCharType="begin"/>
    </w:r>
    <w:r w:rsidRPr="00CE4AEB">
      <w:rPr>
        <w:sz w:val="20"/>
        <w:szCs w:val="20"/>
      </w:rPr>
      <w:instrText>PAGE   \* MERGEFORMAT</w:instrText>
    </w:r>
    <w:r w:rsidRPr="00CE4AEB">
      <w:rPr>
        <w:sz w:val="20"/>
        <w:szCs w:val="20"/>
      </w:rPr>
      <w:fldChar w:fldCharType="separate"/>
    </w:r>
    <w:r w:rsidR="00EF0929">
      <w:rPr>
        <w:noProof/>
        <w:sz w:val="20"/>
        <w:szCs w:val="20"/>
      </w:rPr>
      <w:t>5</w:t>
    </w:r>
    <w:r w:rsidRPr="00CE4A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0D" w:rsidRDefault="0013590D" w:rsidP="0094136A">
      <w:r>
        <w:separator/>
      </w:r>
    </w:p>
  </w:footnote>
  <w:footnote w:type="continuationSeparator" w:id="0">
    <w:p w:rsidR="0013590D" w:rsidRDefault="0013590D" w:rsidP="0094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AB9"/>
    <w:multiLevelType w:val="hybridMultilevel"/>
    <w:tmpl w:val="1BDAE9C8"/>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15:restartNumberingAfterBreak="0">
    <w:nsid w:val="05C32B79"/>
    <w:multiLevelType w:val="hybridMultilevel"/>
    <w:tmpl w:val="EA1CC516"/>
    <w:lvl w:ilvl="0" w:tplc="4EA685C2">
      <w:start w:val="1"/>
      <w:numFmt w:val="decimal"/>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2" w15:restartNumberingAfterBreak="0">
    <w:nsid w:val="08F30BF5"/>
    <w:multiLevelType w:val="hybridMultilevel"/>
    <w:tmpl w:val="30E6695E"/>
    <w:lvl w:ilvl="0" w:tplc="6DD2AAF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E2135B"/>
    <w:multiLevelType w:val="hybridMultilevel"/>
    <w:tmpl w:val="89E242D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 w15:restartNumberingAfterBreak="0">
    <w:nsid w:val="1D49398F"/>
    <w:multiLevelType w:val="hybridMultilevel"/>
    <w:tmpl w:val="B7DABB3E"/>
    <w:lvl w:ilvl="0" w:tplc="65A00F2E">
      <w:numFmt w:val="bullet"/>
      <w:lvlText w:val="-"/>
      <w:lvlJc w:val="left"/>
      <w:pPr>
        <w:ind w:left="927" w:hanging="360"/>
      </w:pPr>
      <w:rPr>
        <w:rFonts w:ascii="Vrinda" w:eastAsia="Times New Roman" w:hAnsi="Vrinda"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30F73F5C"/>
    <w:multiLevelType w:val="hybridMultilevel"/>
    <w:tmpl w:val="CF904E76"/>
    <w:lvl w:ilvl="0" w:tplc="3CA62474">
      <w:start w:val="1"/>
      <w:numFmt w:val="decimal"/>
      <w:lvlText w:val="(%1)"/>
      <w:lvlJc w:val="left"/>
      <w:pPr>
        <w:ind w:left="6173" w:hanging="360"/>
      </w:pPr>
      <w:rPr>
        <w:rFonts w:cs="Times New Roman" w:hint="default"/>
      </w:rPr>
    </w:lvl>
    <w:lvl w:ilvl="1" w:tplc="041B0019" w:tentative="1">
      <w:start w:val="1"/>
      <w:numFmt w:val="lowerLetter"/>
      <w:lvlText w:val="%2."/>
      <w:lvlJc w:val="left"/>
      <w:pPr>
        <w:ind w:left="6893" w:hanging="360"/>
      </w:pPr>
      <w:rPr>
        <w:rFonts w:cs="Times New Roman"/>
      </w:rPr>
    </w:lvl>
    <w:lvl w:ilvl="2" w:tplc="041B001B" w:tentative="1">
      <w:start w:val="1"/>
      <w:numFmt w:val="lowerRoman"/>
      <w:lvlText w:val="%3."/>
      <w:lvlJc w:val="right"/>
      <w:pPr>
        <w:ind w:left="7613" w:hanging="180"/>
      </w:pPr>
      <w:rPr>
        <w:rFonts w:cs="Times New Roman"/>
      </w:rPr>
    </w:lvl>
    <w:lvl w:ilvl="3" w:tplc="041B000F" w:tentative="1">
      <w:start w:val="1"/>
      <w:numFmt w:val="decimal"/>
      <w:lvlText w:val="%4."/>
      <w:lvlJc w:val="left"/>
      <w:pPr>
        <w:ind w:left="8333" w:hanging="360"/>
      </w:pPr>
      <w:rPr>
        <w:rFonts w:cs="Times New Roman"/>
      </w:rPr>
    </w:lvl>
    <w:lvl w:ilvl="4" w:tplc="041B0019" w:tentative="1">
      <w:start w:val="1"/>
      <w:numFmt w:val="lowerLetter"/>
      <w:lvlText w:val="%5."/>
      <w:lvlJc w:val="left"/>
      <w:pPr>
        <w:ind w:left="9053" w:hanging="360"/>
      </w:pPr>
      <w:rPr>
        <w:rFonts w:cs="Times New Roman"/>
      </w:rPr>
    </w:lvl>
    <w:lvl w:ilvl="5" w:tplc="041B001B" w:tentative="1">
      <w:start w:val="1"/>
      <w:numFmt w:val="lowerRoman"/>
      <w:lvlText w:val="%6."/>
      <w:lvlJc w:val="right"/>
      <w:pPr>
        <w:ind w:left="9773" w:hanging="180"/>
      </w:pPr>
      <w:rPr>
        <w:rFonts w:cs="Times New Roman"/>
      </w:rPr>
    </w:lvl>
    <w:lvl w:ilvl="6" w:tplc="041B000F" w:tentative="1">
      <w:start w:val="1"/>
      <w:numFmt w:val="decimal"/>
      <w:lvlText w:val="%7."/>
      <w:lvlJc w:val="left"/>
      <w:pPr>
        <w:ind w:left="10493" w:hanging="360"/>
      </w:pPr>
      <w:rPr>
        <w:rFonts w:cs="Times New Roman"/>
      </w:rPr>
    </w:lvl>
    <w:lvl w:ilvl="7" w:tplc="041B0019" w:tentative="1">
      <w:start w:val="1"/>
      <w:numFmt w:val="lowerLetter"/>
      <w:lvlText w:val="%8."/>
      <w:lvlJc w:val="left"/>
      <w:pPr>
        <w:ind w:left="11213" w:hanging="360"/>
      </w:pPr>
      <w:rPr>
        <w:rFonts w:cs="Times New Roman"/>
      </w:rPr>
    </w:lvl>
    <w:lvl w:ilvl="8" w:tplc="041B001B" w:tentative="1">
      <w:start w:val="1"/>
      <w:numFmt w:val="lowerRoman"/>
      <w:lvlText w:val="%9."/>
      <w:lvlJc w:val="right"/>
      <w:pPr>
        <w:ind w:left="11933" w:hanging="180"/>
      </w:pPr>
      <w:rPr>
        <w:rFonts w:cs="Times New Roman"/>
      </w:rPr>
    </w:lvl>
  </w:abstractNum>
  <w:abstractNum w:abstractNumId="6" w15:restartNumberingAfterBreak="0">
    <w:nsid w:val="364128E5"/>
    <w:multiLevelType w:val="hybridMultilevel"/>
    <w:tmpl w:val="FB4C1828"/>
    <w:lvl w:ilvl="0" w:tplc="36F244A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15:restartNumberingAfterBreak="0">
    <w:nsid w:val="388F1604"/>
    <w:multiLevelType w:val="hybridMultilevel"/>
    <w:tmpl w:val="8160D0CC"/>
    <w:lvl w:ilvl="0" w:tplc="EC285C2C">
      <w:numFmt w:val="bullet"/>
      <w:lvlText w:val="–"/>
      <w:lvlJc w:val="left"/>
      <w:pPr>
        <w:ind w:left="3763" w:hanging="360"/>
      </w:pPr>
      <w:rPr>
        <w:rFonts w:ascii="Times New Roman" w:eastAsia="Times New Roman" w:hAnsi="Times New Roman" w:hint="default"/>
        <w:color w:val="auto"/>
      </w:rPr>
    </w:lvl>
    <w:lvl w:ilvl="1" w:tplc="041B0003" w:tentative="1">
      <w:start w:val="1"/>
      <w:numFmt w:val="bullet"/>
      <w:lvlText w:val="o"/>
      <w:lvlJc w:val="left"/>
      <w:pPr>
        <w:ind w:left="4483" w:hanging="360"/>
      </w:pPr>
      <w:rPr>
        <w:rFonts w:ascii="Courier New" w:hAnsi="Courier New" w:hint="default"/>
      </w:rPr>
    </w:lvl>
    <w:lvl w:ilvl="2" w:tplc="041B0005" w:tentative="1">
      <w:start w:val="1"/>
      <w:numFmt w:val="bullet"/>
      <w:lvlText w:val=""/>
      <w:lvlJc w:val="left"/>
      <w:pPr>
        <w:ind w:left="5203" w:hanging="360"/>
      </w:pPr>
      <w:rPr>
        <w:rFonts w:ascii="Wingdings" w:hAnsi="Wingdings" w:hint="default"/>
      </w:rPr>
    </w:lvl>
    <w:lvl w:ilvl="3" w:tplc="041B0001" w:tentative="1">
      <w:start w:val="1"/>
      <w:numFmt w:val="bullet"/>
      <w:lvlText w:val=""/>
      <w:lvlJc w:val="left"/>
      <w:pPr>
        <w:ind w:left="5923" w:hanging="360"/>
      </w:pPr>
      <w:rPr>
        <w:rFonts w:ascii="Symbol" w:hAnsi="Symbol" w:hint="default"/>
      </w:rPr>
    </w:lvl>
    <w:lvl w:ilvl="4" w:tplc="041B0003" w:tentative="1">
      <w:start w:val="1"/>
      <w:numFmt w:val="bullet"/>
      <w:lvlText w:val="o"/>
      <w:lvlJc w:val="left"/>
      <w:pPr>
        <w:ind w:left="6643" w:hanging="360"/>
      </w:pPr>
      <w:rPr>
        <w:rFonts w:ascii="Courier New" w:hAnsi="Courier New" w:hint="default"/>
      </w:rPr>
    </w:lvl>
    <w:lvl w:ilvl="5" w:tplc="041B0005" w:tentative="1">
      <w:start w:val="1"/>
      <w:numFmt w:val="bullet"/>
      <w:lvlText w:val=""/>
      <w:lvlJc w:val="left"/>
      <w:pPr>
        <w:ind w:left="7363" w:hanging="360"/>
      </w:pPr>
      <w:rPr>
        <w:rFonts w:ascii="Wingdings" w:hAnsi="Wingdings" w:hint="default"/>
      </w:rPr>
    </w:lvl>
    <w:lvl w:ilvl="6" w:tplc="041B0001" w:tentative="1">
      <w:start w:val="1"/>
      <w:numFmt w:val="bullet"/>
      <w:lvlText w:val=""/>
      <w:lvlJc w:val="left"/>
      <w:pPr>
        <w:ind w:left="8083" w:hanging="360"/>
      </w:pPr>
      <w:rPr>
        <w:rFonts w:ascii="Symbol" w:hAnsi="Symbol" w:hint="default"/>
      </w:rPr>
    </w:lvl>
    <w:lvl w:ilvl="7" w:tplc="041B0003" w:tentative="1">
      <w:start w:val="1"/>
      <w:numFmt w:val="bullet"/>
      <w:lvlText w:val="o"/>
      <w:lvlJc w:val="left"/>
      <w:pPr>
        <w:ind w:left="8803" w:hanging="360"/>
      </w:pPr>
      <w:rPr>
        <w:rFonts w:ascii="Courier New" w:hAnsi="Courier New" w:hint="default"/>
      </w:rPr>
    </w:lvl>
    <w:lvl w:ilvl="8" w:tplc="041B0005" w:tentative="1">
      <w:start w:val="1"/>
      <w:numFmt w:val="bullet"/>
      <w:lvlText w:val=""/>
      <w:lvlJc w:val="left"/>
      <w:pPr>
        <w:ind w:left="9523" w:hanging="360"/>
      </w:pPr>
      <w:rPr>
        <w:rFonts w:ascii="Wingdings" w:hAnsi="Wingdings" w:hint="default"/>
      </w:rPr>
    </w:lvl>
  </w:abstractNum>
  <w:abstractNum w:abstractNumId="8" w15:restartNumberingAfterBreak="0">
    <w:nsid w:val="3E417E08"/>
    <w:multiLevelType w:val="hybridMultilevel"/>
    <w:tmpl w:val="0AC6B568"/>
    <w:lvl w:ilvl="0" w:tplc="6DD2AAFC">
      <w:numFmt w:val="bullet"/>
      <w:lvlText w:val="−"/>
      <w:lvlJc w:val="left"/>
      <w:pPr>
        <w:ind w:left="1287" w:hanging="360"/>
      </w:pPr>
      <w:rPr>
        <w:rFonts w:ascii="Arial Narrow" w:eastAsia="Times New Roman" w:hAnsi="Arial Narro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CA47193"/>
    <w:multiLevelType w:val="hybridMultilevel"/>
    <w:tmpl w:val="C902F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0895623"/>
    <w:multiLevelType w:val="hybridMultilevel"/>
    <w:tmpl w:val="6DACDD50"/>
    <w:lvl w:ilvl="0" w:tplc="D45EB1E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491819"/>
    <w:multiLevelType w:val="hybridMultilevel"/>
    <w:tmpl w:val="A70ADBEE"/>
    <w:lvl w:ilvl="0" w:tplc="D714A8D6">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15:restartNumberingAfterBreak="0">
    <w:nsid w:val="76D93AF5"/>
    <w:multiLevelType w:val="hybridMultilevel"/>
    <w:tmpl w:val="103E7B1A"/>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 w15:restartNumberingAfterBreak="0">
    <w:nsid w:val="791734C7"/>
    <w:multiLevelType w:val="hybridMultilevel"/>
    <w:tmpl w:val="DC705080"/>
    <w:lvl w:ilvl="0" w:tplc="C3CACD20">
      <w:start w:val="1"/>
      <w:numFmt w:val="decimal"/>
      <w:lvlText w:val="%1."/>
      <w:lvlJc w:val="left"/>
      <w:pPr>
        <w:tabs>
          <w:tab w:val="num" w:pos="1495"/>
        </w:tabs>
        <w:ind w:left="1495" w:hanging="360"/>
      </w:pPr>
      <w:rPr>
        <w:rFonts w:cs="Times New Roman" w:hint="default"/>
        <w:b/>
        <w:sz w:val="24"/>
        <w:szCs w:val="24"/>
      </w:rPr>
    </w:lvl>
    <w:lvl w:ilvl="1" w:tplc="041B0019">
      <w:start w:val="1"/>
      <w:numFmt w:val="lowerLetter"/>
      <w:lvlText w:val="%2."/>
      <w:lvlJc w:val="left"/>
      <w:pPr>
        <w:tabs>
          <w:tab w:val="num" w:pos="2291"/>
        </w:tabs>
        <w:ind w:left="2291" w:hanging="360"/>
      </w:pPr>
      <w:rPr>
        <w:rFonts w:cs="Times New Roman"/>
      </w:rPr>
    </w:lvl>
    <w:lvl w:ilvl="2" w:tplc="041B001B" w:tentative="1">
      <w:start w:val="1"/>
      <w:numFmt w:val="lowerRoman"/>
      <w:lvlText w:val="%3."/>
      <w:lvlJc w:val="right"/>
      <w:pPr>
        <w:tabs>
          <w:tab w:val="num" w:pos="3011"/>
        </w:tabs>
        <w:ind w:left="3011" w:hanging="180"/>
      </w:pPr>
      <w:rPr>
        <w:rFonts w:cs="Times New Roman"/>
      </w:rPr>
    </w:lvl>
    <w:lvl w:ilvl="3" w:tplc="041B000F" w:tentative="1">
      <w:start w:val="1"/>
      <w:numFmt w:val="decimal"/>
      <w:lvlText w:val="%4."/>
      <w:lvlJc w:val="left"/>
      <w:pPr>
        <w:tabs>
          <w:tab w:val="num" w:pos="3731"/>
        </w:tabs>
        <w:ind w:left="3731" w:hanging="360"/>
      </w:pPr>
      <w:rPr>
        <w:rFonts w:cs="Times New Roman"/>
      </w:rPr>
    </w:lvl>
    <w:lvl w:ilvl="4" w:tplc="041B0019" w:tentative="1">
      <w:start w:val="1"/>
      <w:numFmt w:val="lowerLetter"/>
      <w:lvlText w:val="%5."/>
      <w:lvlJc w:val="left"/>
      <w:pPr>
        <w:tabs>
          <w:tab w:val="num" w:pos="4451"/>
        </w:tabs>
        <w:ind w:left="4451" w:hanging="360"/>
      </w:pPr>
      <w:rPr>
        <w:rFonts w:cs="Times New Roman"/>
      </w:rPr>
    </w:lvl>
    <w:lvl w:ilvl="5" w:tplc="041B001B" w:tentative="1">
      <w:start w:val="1"/>
      <w:numFmt w:val="lowerRoman"/>
      <w:lvlText w:val="%6."/>
      <w:lvlJc w:val="right"/>
      <w:pPr>
        <w:tabs>
          <w:tab w:val="num" w:pos="5171"/>
        </w:tabs>
        <w:ind w:left="5171" w:hanging="180"/>
      </w:pPr>
      <w:rPr>
        <w:rFonts w:cs="Times New Roman"/>
      </w:rPr>
    </w:lvl>
    <w:lvl w:ilvl="6" w:tplc="041B000F" w:tentative="1">
      <w:start w:val="1"/>
      <w:numFmt w:val="decimal"/>
      <w:lvlText w:val="%7."/>
      <w:lvlJc w:val="left"/>
      <w:pPr>
        <w:tabs>
          <w:tab w:val="num" w:pos="5891"/>
        </w:tabs>
        <w:ind w:left="5891" w:hanging="360"/>
      </w:pPr>
      <w:rPr>
        <w:rFonts w:cs="Times New Roman"/>
      </w:rPr>
    </w:lvl>
    <w:lvl w:ilvl="7" w:tplc="041B0019" w:tentative="1">
      <w:start w:val="1"/>
      <w:numFmt w:val="lowerLetter"/>
      <w:lvlText w:val="%8."/>
      <w:lvlJc w:val="left"/>
      <w:pPr>
        <w:tabs>
          <w:tab w:val="num" w:pos="6611"/>
        </w:tabs>
        <w:ind w:left="6611" w:hanging="360"/>
      </w:pPr>
      <w:rPr>
        <w:rFonts w:cs="Times New Roman"/>
      </w:rPr>
    </w:lvl>
    <w:lvl w:ilvl="8" w:tplc="041B001B" w:tentative="1">
      <w:start w:val="1"/>
      <w:numFmt w:val="lowerRoman"/>
      <w:lvlText w:val="%9."/>
      <w:lvlJc w:val="right"/>
      <w:pPr>
        <w:tabs>
          <w:tab w:val="num" w:pos="7331"/>
        </w:tabs>
        <w:ind w:left="7331" w:hanging="180"/>
      </w:pPr>
      <w:rPr>
        <w:rFonts w:cs="Times New Roman"/>
      </w:rPr>
    </w:lvl>
  </w:abstractNum>
  <w:num w:numId="1">
    <w:abstractNumId w:val="13"/>
  </w:num>
  <w:num w:numId="2">
    <w:abstractNumId w:val="10"/>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0"/>
  </w:num>
  <w:num w:numId="9">
    <w:abstractNumId w:val="9"/>
  </w:num>
  <w:num w:numId="10">
    <w:abstractNumId w:val="3"/>
  </w:num>
  <w:num w:numId="11">
    <w:abstractNumId w:val="1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A"/>
    <w:rsid w:val="000050B5"/>
    <w:rsid w:val="00005280"/>
    <w:rsid w:val="00005457"/>
    <w:rsid w:val="00006BE5"/>
    <w:rsid w:val="000079BC"/>
    <w:rsid w:val="000110C4"/>
    <w:rsid w:val="000113C4"/>
    <w:rsid w:val="00015243"/>
    <w:rsid w:val="00017364"/>
    <w:rsid w:val="00023D5D"/>
    <w:rsid w:val="000264A7"/>
    <w:rsid w:val="00033ABA"/>
    <w:rsid w:val="000367E1"/>
    <w:rsid w:val="00042AD7"/>
    <w:rsid w:val="000474F7"/>
    <w:rsid w:val="0005451A"/>
    <w:rsid w:val="00057E01"/>
    <w:rsid w:val="00063081"/>
    <w:rsid w:val="00067121"/>
    <w:rsid w:val="000759EF"/>
    <w:rsid w:val="00076F29"/>
    <w:rsid w:val="000834F1"/>
    <w:rsid w:val="000859FD"/>
    <w:rsid w:val="00091A17"/>
    <w:rsid w:val="000A1098"/>
    <w:rsid w:val="000A28F0"/>
    <w:rsid w:val="000A3434"/>
    <w:rsid w:val="000A5BBB"/>
    <w:rsid w:val="000B0BB1"/>
    <w:rsid w:val="000B5EB1"/>
    <w:rsid w:val="000B7FD2"/>
    <w:rsid w:val="000C1566"/>
    <w:rsid w:val="000C5CF0"/>
    <w:rsid w:val="000D087D"/>
    <w:rsid w:val="000D1679"/>
    <w:rsid w:val="000D1AEC"/>
    <w:rsid w:val="000D2EA1"/>
    <w:rsid w:val="000D3C05"/>
    <w:rsid w:val="000D53FA"/>
    <w:rsid w:val="000D562D"/>
    <w:rsid w:val="000D59C7"/>
    <w:rsid w:val="000D5E1D"/>
    <w:rsid w:val="000D67C9"/>
    <w:rsid w:val="000E0A01"/>
    <w:rsid w:val="000E0FCB"/>
    <w:rsid w:val="000E2948"/>
    <w:rsid w:val="000E46D7"/>
    <w:rsid w:val="000E5BC6"/>
    <w:rsid w:val="000E6F95"/>
    <w:rsid w:val="000E7A37"/>
    <w:rsid w:val="000F138D"/>
    <w:rsid w:val="0010122E"/>
    <w:rsid w:val="00103D38"/>
    <w:rsid w:val="00121119"/>
    <w:rsid w:val="0012770E"/>
    <w:rsid w:val="0013268A"/>
    <w:rsid w:val="00135312"/>
    <w:rsid w:val="0013590D"/>
    <w:rsid w:val="00137F68"/>
    <w:rsid w:val="00140504"/>
    <w:rsid w:val="001444A6"/>
    <w:rsid w:val="00144F56"/>
    <w:rsid w:val="00150137"/>
    <w:rsid w:val="00152C5B"/>
    <w:rsid w:val="001677DC"/>
    <w:rsid w:val="00171AE6"/>
    <w:rsid w:val="001756E5"/>
    <w:rsid w:val="00182332"/>
    <w:rsid w:val="00183BBD"/>
    <w:rsid w:val="001855B8"/>
    <w:rsid w:val="001A14E6"/>
    <w:rsid w:val="001A31CB"/>
    <w:rsid w:val="001B0893"/>
    <w:rsid w:val="001B122C"/>
    <w:rsid w:val="001B3B86"/>
    <w:rsid w:val="001C1AD3"/>
    <w:rsid w:val="001C216D"/>
    <w:rsid w:val="001C4AD5"/>
    <w:rsid w:val="001C598F"/>
    <w:rsid w:val="001D2D92"/>
    <w:rsid w:val="001D3D70"/>
    <w:rsid w:val="001D4D8B"/>
    <w:rsid w:val="001D737B"/>
    <w:rsid w:val="001D7EA0"/>
    <w:rsid w:val="001E143B"/>
    <w:rsid w:val="001E1F69"/>
    <w:rsid w:val="001E2083"/>
    <w:rsid w:val="001E3B22"/>
    <w:rsid w:val="001F4E5E"/>
    <w:rsid w:val="00202C07"/>
    <w:rsid w:val="002068FA"/>
    <w:rsid w:val="002115DA"/>
    <w:rsid w:val="00211876"/>
    <w:rsid w:val="00212357"/>
    <w:rsid w:val="0021653A"/>
    <w:rsid w:val="002312E0"/>
    <w:rsid w:val="00236402"/>
    <w:rsid w:val="002407EC"/>
    <w:rsid w:val="00240B42"/>
    <w:rsid w:val="002412E0"/>
    <w:rsid w:val="00242EF1"/>
    <w:rsid w:val="00245D16"/>
    <w:rsid w:val="00252F49"/>
    <w:rsid w:val="00256300"/>
    <w:rsid w:val="00256A5D"/>
    <w:rsid w:val="00271336"/>
    <w:rsid w:val="002757AB"/>
    <w:rsid w:val="00277B88"/>
    <w:rsid w:val="00280C84"/>
    <w:rsid w:val="00282935"/>
    <w:rsid w:val="002903FF"/>
    <w:rsid w:val="0029308A"/>
    <w:rsid w:val="002956F6"/>
    <w:rsid w:val="00297953"/>
    <w:rsid w:val="002A5018"/>
    <w:rsid w:val="002A6FAF"/>
    <w:rsid w:val="002B3516"/>
    <w:rsid w:val="002B561E"/>
    <w:rsid w:val="002D2370"/>
    <w:rsid w:val="002D2A7D"/>
    <w:rsid w:val="002E48A8"/>
    <w:rsid w:val="002F2C84"/>
    <w:rsid w:val="0030080D"/>
    <w:rsid w:val="0031107C"/>
    <w:rsid w:val="00312F6A"/>
    <w:rsid w:val="00314823"/>
    <w:rsid w:val="00314B6E"/>
    <w:rsid w:val="0031629C"/>
    <w:rsid w:val="00322ED4"/>
    <w:rsid w:val="00325183"/>
    <w:rsid w:val="00325A09"/>
    <w:rsid w:val="003279AB"/>
    <w:rsid w:val="003331B9"/>
    <w:rsid w:val="00333B93"/>
    <w:rsid w:val="003359B9"/>
    <w:rsid w:val="00336124"/>
    <w:rsid w:val="00340AA6"/>
    <w:rsid w:val="0034557F"/>
    <w:rsid w:val="00350EEA"/>
    <w:rsid w:val="003543C5"/>
    <w:rsid w:val="003625FF"/>
    <w:rsid w:val="003716BF"/>
    <w:rsid w:val="003776D2"/>
    <w:rsid w:val="0038251F"/>
    <w:rsid w:val="00383483"/>
    <w:rsid w:val="00383E8D"/>
    <w:rsid w:val="003860D7"/>
    <w:rsid w:val="00393042"/>
    <w:rsid w:val="003938A3"/>
    <w:rsid w:val="003A04F8"/>
    <w:rsid w:val="003A2C43"/>
    <w:rsid w:val="003A4836"/>
    <w:rsid w:val="003A498D"/>
    <w:rsid w:val="003B0357"/>
    <w:rsid w:val="003C1D7D"/>
    <w:rsid w:val="003C7421"/>
    <w:rsid w:val="003E2F4A"/>
    <w:rsid w:val="003E6073"/>
    <w:rsid w:val="003F6374"/>
    <w:rsid w:val="004058A1"/>
    <w:rsid w:val="00407C48"/>
    <w:rsid w:val="004103EC"/>
    <w:rsid w:val="0042302C"/>
    <w:rsid w:val="00424739"/>
    <w:rsid w:val="004256D5"/>
    <w:rsid w:val="00426C48"/>
    <w:rsid w:val="00440CAF"/>
    <w:rsid w:val="00441F37"/>
    <w:rsid w:val="00444392"/>
    <w:rsid w:val="004450CC"/>
    <w:rsid w:val="00447A80"/>
    <w:rsid w:val="004536AF"/>
    <w:rsid w:val="00460C9E"/>
    <w:rsid w:val="00462D48"/>
    <w:rsid w:val="00463C13"/>
    <w:rsid w:val="0046614C"/>
    <w:rsid w:val="00471D22"/>
    <w:rsid w:val="00476B26"/>
    <w:rsid w:val="00482F7B"/>
    <w:rsid w:val="00485A3F"/>
    <w:rsid w:val="00495E9E"/>
    <w:rsid w:val="004B0EA2"/>
    <w:rsid w:val="004B201B"/>
    <w:rsid w:val="004B4372"/>
    <w:rsid w:val="004C0A13"/>
    <w:rsid w:val="004C16EB"/>
    <w:rsid w:val="004C2359"/>
    <w:rsid w:val="004C6879"/>
    <w:rsid w:val="004D4529"/>
    <w:rsid w:val="004D45FD"/>
    <w:rsid w:val="004D5909"/>
    <w:rsid w:val="004D6A6A"/>
    <w:rsid w:val="004E325C"/>
    <w:rsid w:val="004E4903"/>
    <w:rsid w:val="004F211C"/>
    <w:rsid w:val="004F2C45"/>
    <w:rsid w:val="004F47B1"/>
    <w:rsid w:val="005009B6"/>
    <w:rsid w:val="0050196A"/>
    <w:rsid w:val="0050699B"/>
    <w:rsid w:val="005117A4"/>
    <w:rsid w:val="00513A59"/>
    <w:rsid w:val="00513AF4"/>
    <w:rsid w:val="00513DA0"/>
    <w:rsid w:val="00520C02"/>
    <w:rsid w:val="005306AE"/>
    <w:rsid w:val="005434E3"/>
    <w:rsid w:val="005476E2"/>
    <w:rsid w:val="00551613"/>
    <w:rsid w:val="005523CD"/>
    <w:rsid w:val="005544AE"/>
    <w:rsid w:val="00556960"/>
    <w:rsid w:val="005632C2"/>
    <w:rsid w:val="0057199E"/>
    <w:rsid w:val="00572C06"/>
    <w:rsid w:val="00574D47"/>
    <w:rsid w:val="00575DA6"/>
    <w:rsid w:val="00575E4F"/>
    <w:rsid w:val="00576589"/>
    <w:rsid w:val="005808DE"/>
    <w:rsid w:val="00585307"/>
    <w:rsid w:val="00586B29"/>
    <w:rsid w:val="005879DC"/>
    <w:rsid w:val="005A052B"/>
    <w:rsid w:val="005B5A40"/>
    <w:rsid w:val="005D3FFC"/>
    <w:rsid w:val="005D4B74"/>
    <w:rsid w:val="005D53A9"/>
    <w:rsid w:val="005D77CE"/>
    <w:rsid w:val="005D7B5B"/>
    <w:rsid w:val="005E44EC"/>
    <w:rsid w:val="005F462F"/>
    <w:rsid w:val="005F520B"/>
    <w:rsid w:val="005F6671"/>
    <w:rsid w:val="00604078"/>
    <w:rsid w:val="00610108"/>
    <w:rsid w:val="00610FCE"/>
    <w:rsid w:val="00615138"/>
    <w:rsid w:val="00620146"/>
    <w:rsid w:val="00622082"/>
    <w:rsid w:val="00623EA6"/>
    <w:rsid w:val="006254BD"/>
    <w:rsid w:val="00626597"/>
    <w:rsid w:val="006502C6"/>
    <w:rsid w:val="0065060A"/>
    <w:rsid w:val="006559A3"/>
    <w:rsid w:val="00657B64"/>
    <w:rsid w:val="00660EE8"/>
    <w:rsid w:val="006719A5"/>
    <w:rsid w:val="00672F10"/>
    <w:rsid w:val="00692266"/>
    <w:rsid w:val="00692313"/>
    <w:rsid w:val="00692B7B"/>
    <w:rsid w:val="00697932"/>
    <w:rsid w:val="00697E52"/>
    <w:rsid w:val="006A004C"/>
    <w:rsid w:val="006A72DF"/>
    <w:rsid w:val="006B6696"/>
    <w:rsid w:val="006C2CA5"/>
    <w:rsid w:val="006C5530"/>
    <w:rsid w:val="006C6783"/>
    <w:rsid w:val="006C6BFC"/>
    <w:rsid w:val="006D2AE0"/>
    <w:rsid w:val="006D748E"/>
    <w:rsid w:val="006E0411"/>
    <w:rsid w:val="006E54A1"/>
    <w:rsid w:val="006E7A86"/>
    <w:rsid w:val="006E7EBB"/>
    <w:rsid w:val="006F0760"/>
    <w:rsid w:val="006F3F9F"/>
    <w:rsid w:val="00706B3A"/>
    <w:rsid w:val="00722CF6"/>
    <w:rsid w:val="007313CB"/>
    <w:rsid w:val="007375A6"/>
    <w:rsid w:val="00744310"/>
    <w:rsid w:val="0074482E"/>
    <w:rsid w:val="00754967"/>
    <w:rsid w:val="00757533"/>
    <w:rsid w:val="00757BA3"/>
    <w:rsid w:val="00762015"/>
    <w:rsid w:val="00765B5D"/>
    <w:rsid w:val="00766FFC"/>
    <w:rsid w:val="00770E24"/>
    <w:rsid w:val="007716AE"/>
    <w:rsid w:val="00780262"/>
    <w:rsid w:val="007903E7"/>
    <w:rsid w:val="007B1755"/>
    <w:rsid w:val="007B3032"/>
    <w:rsid w:val="007D4F58"/>
    <w:rsid w:val="007D517E"/>
    <w:rsid w:val="007D607D"/>
    <w:rsid w:val="007E0FF4"/>
    <w:rsid w:val="007E1502"/>
    <w:rsid w:val="007F118E"/>
    <w:rsid w:val="00811A18"/>
    <w:rsid w:val="00811E1B"/>
    <w:rsid w:val="008142D8"/>
    <w:rsid w:val="00814440"/>
    <w:rsid w:val="008258EB"/>
    <w:rsid w:val="00827635"/>
    <w:rsid w:val="00832C06"/>
    <w:rsid w:val="00833ABD"/>
    <w:rsid w:val="00837E53"/>
    <w:rsid w:val="00853C02"/>
    <w:rsid w:val="00857F1B"/>
    <w:rsid w:val="00861094"/>
    <w:rsid w:val="0087069B"/>
    <w:rsid w:val="008707B0"/>
    <w:rsid w:val="00872C54"/>
    <w:rsid w:val="00876522"/>
    <w:rsid w:val="00880D88"/>
    <w:rsid w:val="0088294A"/>
    <w:rsid w:val="00884864"/>
    <w:rsid w:val="008902A8"/>
    <w:rsid w:val="0089218E"/>
    <w:rsid w:val="008925B9"/>
    <w:rsid w:val="00894DCE"/>
    <w:rsid w:val="00897DAC"/>
    <w:rsid w:val="008B45E4"/>
    <w:rsid w:val="008B5722"/>
    <w:rsid w:val="008B6DF1"/>
    <w:rsid w:val="008C5E2A"/>
    <w:rsid w:val="008C75EC"/>
    <w:rsid w:val="008C7828"/>
    <w:rsid w:val="008D3CB2"/>
    <w:rsid w:val="008D41FD"/>
    <w:rsid w:val="008D7171"/>
    <w:rsid w:val="008E4B4C"/>
    <w:rsid w:val="008F35A9"/>
    <w:rsid w:val="008F3892"/>
    <w:rsid w:val="008F7C6F"/>
    <w:rsid w:val="00900EEC"/>
    <w:rsid w:val="0090265A"/>
    <w:rsid w:val="00907539"/>
    <w:rsid w:val="00930B6B"/>
    <w:rsid w:val="00940B34"/>
    <w:rsid w:val="0094136A"/>
    <w:rsid w:val="00945D1D"/>
    <w:rsid w:val="00955347"/>
    <w:rsid w:val="00957FEB"/>
    <w:rsid w:val="00960E7D"/>
    <w:rsid w:val="009618A5"/>
    <w:rsid w:val="00965612"/>
    <w:rsid w:val="00966BE7"/>
    <w:rsid w:val="009670DC"/>
    <w:rsid w:val="0097668A"/>
    <w:rsid w:val="00977F8A"/>
    <w:rsid w:val="00980BFE"/>
    <w:rsid w:val="0098468F"/>
    <w:rsid w:val="00986A0F"/>
    <w:rsid w:val="00987E81"/>
    <w:rsid w:val="009952CA"/>
    <w:rsid w:val="009A126E"/>
    <w:rsid w:val="009A4030"/>
    <w:rsid w:val="009A7E0E"/>
    <w:rsid w:val="009B6E65"/>
    <w:rsid w:val="009C276A"/>
    <w:rsid w:val="009C4AEE"/>
    <w:rsid w:val="009C5C5F"/>
    <w:rsid w:val="009C7AA8"/>
    <w:rsid w:val="009E17CE"/>
    <w:rsid w:val="009F06E3"/>
    <w:rsid w:val="009F3423"/>
    <w:rsid w:val="009F6BE4"/>
    <w:rsid w:val="00A04A74"/>
    <w:rsid w:val="00A118C2"/>
    <w:rsid w:val="00A11CEC"/>
    <w:rsid w:val="00A174AD"/>
    <w:rsid w:val="00A17D67"/>
    <w:rsid w:val="00A2327E"/>
    <w:rsid w:val="00A31513"/>
    <w:rsid w:val="00A32E38"/>
    <w:rsid w:val="00A34049"/>
    <w:rsid w:val="00A35E22"/>
    <w:rsid w:val="00A412D8"/>
    <w:rsid w:val="00A4592E"/>
    <w:rsid w:val="00A77CDC"/>
    <w:rsid w:val="00A8320D"/>
    <w:rsid w:val="00A84026"/>
    <w:rsid w:val="00A84A07"/>
    <w:rsid w:val="00A8630F"/>
    <w:rsid w:val="00A91A3E"/>
    <w:rsid w:val="00A9405E"/>
    <w:rsid w:val="00AA3480"/>
    <w:rsid w:val="00AA65BC"/>
    <w:rsid w:val="00AB2560"/>
    <w:rsid w:val="00AB6087"/>
    <w:rsid w:val="00AB663C"/>
    <w:rsid w:val="00AC3CEF"/>
    <w:rsid w:val="00AC6756"/>
    <w:rsid w:val="00AD01CE"/>
    <w:rsid w:val="00AD0510"/>
    <w:rsid w:val="00AD51E2"/>
    <w:rsid w:val="00AD5CE2"/>
    <w:rsid w:val="00AE16B5"/>
    <w:rsid w:val="00AE2FA8"/>
    <w:rsid w:val="00AE5D80"/>
    <w:rsid w:val="00AF12F7"/>
    <w:rsid w:val="00B0199B"/>
    <w:rsid w:val="00B028FB"/>
    <w:rsid w:val="00B26DBE"/>
    <w:rsid w:val="00B312B6"/>
    <w:rsid w:val="00B33E3D"/>
    <w:rsid w:val="00B35557"/>
    <w:rsid w:val="00B44A97"/>
    <w:rsid w:val="00B556B0"/>
    <w:rsid w:val="00B569DF"/>
    <w:rsid w:val="00B62D60"/>
    <w:rsid w:val="00B64524"/>
    <w:rsid w:val="00B65076"/>
    <w:rsid w:val="00B6765A"/>
    <w:rsid w:val="00B72B1D"/>
    <w:rsid w:val="00B8297E"/>
    <w:rsid w:val="00B830BF"/>
    <w:rsid w:val="00B83402"/>
    <w:rsid w:val="00B84184"/>
    <w:rsid w:val="00B8735C"/>
    <w:rsid w:val="00B91671"/>
    <w:rsid w:val="00B917E2"/>
    <w:rsid w:val="00B94512"/>
    <w:rsid w:val="00B9637B"/>
    <w:rsid w:val="00BA1918"/>
    <w:rsid w:val="00BA1CA0"/>
    <w:rsid w:val="00BB3C49"/>
    <w:rsid w:val="00BB673B"/>
    <w:rsid w:val="00BC11BA"/>
    <w:rsid w:val="00BC2D3F"/>
    <w:rsid w:val="00BC6774"/>
    <w:rsid w:val="00BD76D8"/>
    <w:rsid w:val="00BE2D78"/>
    <w:rsid w:val="00BE750C"/>
    <w:rsid w:val="00BF314F"/>
    <w:rsid w:val="00C04257"/>
    <w:rsid w:val="00C227B9"/>
    <w:rsid w:val="00C3376C"/>
    <w:rsid w:val="00C42212"/>
    <w:rsid w:val="00C61AC0"/>
    <w:rsid w:val="00C64442"/>
    <w:rsid w:val="00C7342C"/>
    <w:rsid w:val="00C75FF3"/>
    <w:rsid w:val="00C81F93"/>
    <w:rsid w:val="00C847A8"/>
    <w:rsid w:val="00C877B9"/>
    <w:rsid w:val="00C87DF1"/>
    <w:rsid w:val="00C9106C"/>
    <w:rsid w:val="00C93914"/>
    <w:rsid w:val="00C9568E"/>
    <w:rsid w:val="00CA5D92"/>
    <w:rsid w:val="00CB4C37"/>
    <w:rsid w:val="00CC4896"/>
    <w:rsid w:val="00CC700D"/>
    <w:rsid w:val="00CD33CF"/>
    <w:rsid w:val="00CD4B5C"/>
    <w:rsid w:val="00CD71C3"/>
    <w:rsid w:val="00CD7BF5"/>
    <w:rsid w:val="00CE037B"/>
    <w:rsid w:val="00CE4AEB"/>
    <w:rsid w:val="00CE6166"/>
    <w:rsid w:val="00CF07BC"/>
    <w:rsid w:val="00CF1356"/>
    <w:rsid w:val="00CF29A5"/>
    <w:rsid w:val="00CF7774"/>
    <w:rsid w:val="00CF7FA1"/>
    <w:rsid w:val="00D0071B"/>
    <w:rsid w:val="00D0092D"/>
    <w:rsid w:val="00D04E34"/>
    <w:rsid w:val="00D114B0"/>
    <w:rsid w:val="00D13B89"/>
    <w:rsid w:val="00D152B6"/>
    <w:rsid w:val="00D15E2E"/>
    <w:rsid w:val="00D34E51"/>
    <w:rsid w:val="00D35C2B"/>
    <w:rsid w:val="00D403ED"/>
    <w:rsid w:val="00D43910"/>
    <w:rsid w:val="00D46EF4"/>
    <w:rsid w:val="00D52327"/>
    <w:rsid w:val="00D6003D"/>
    <w:rsid w:val="00D60267"/>
    <w:rsid w:val="00D6427E"/>
    <w:rsid w:val="00D6459E"/>
    <w:rsid w:val="00D7116E"/>
    <w:rsid w:val="00D72A78"/>
    <w:rsid w:val="00D76944"/>
    <w:rsid w:val="00D76F52"/>
    <w:rsid w:val="00D77C28"/>
    <w:rsid w:val="00D8368C"/>
    <w:rsid w:val="00D8487B"/>
    <w:rsid w:val="00D8615B"/>
    <w:rsid w:val="00D86B1D"/>
    <w:rsid w:val="00D924F1"/>
    <w:rsid w:val="00D96EFA"/>
    <w:rsid w:val="00DA0C1D"/>
    <w:rsid w:val="00DA1196"/>
    <w:rsid w:val="00DA60FB"/>
    <w:rsid w:val="00DA6BF0"/>
    <w:rsid w:val="00DB580D"/>
    <w:rsid w:val="00DB5F93"/>
    <w:rsid w:val="00DB61D5"/>
    <w:rsid w:val="00DC0563"/>
    <w:rsid w:val="00DC3DA3"/>
    <w:rsid w:val="00DD379F"/>
    <w:rsid w:val="00DD5362"/>
    <w:rsid w:val="00DE5147"/>
    <w:rsid w:val="00DE5346"/>
    <w:rsid w:val="00DE5BE9"/>
    <w:rsid w:val="00DF1DAE"/>
    <w:rsid w:val="00DF3D3C"/>
    <w:rsid w:val="00E0383F"/>
    <w:rsid w:val="00E0392D"/>
    <w:rsid w:val="00E13266"/>
    <w:rsid w:val="00E14A40"/>
    <w:rsid w:val="00E163DF"/>
    <w:rsid w:val="00E25A3C"/>
    <w:rsid w:val="00E25EA0"/>
    <w:rsid w:val="00E30A08"/>
    <w:rsid w:val="00E3175E"/>
    <w:rsid w:val="00E3297C"/>
    <w:rsid w:val="00E32B08"/>
    <w:rsid w:val="00E347C9"/>
    <w:rsid w:val="00E34A16"/>
    <w:rsid w:val="00E43210"/>
    <w:rsid w:val="00E50D08"/>
    <w:rsid w:val="00E52B2A"/>
    <w:rsid w:val="00E533E3"/>
    <w:rsid w:val="00E55238"/>
    <w:rsid w:val="00E56B8E"/>
    <w:rsid w:val="00E60312"/>
    <w:rsid w:val="00E634B5"/>
    <w:rsid w:val="00E719BF"/>
    <w:rsid w:val="00E801B1"/>
    <w:rsid w:val="00E80C05"/>
    <w:rsid w:val="00E8276B"/>
    <w:rsid w:val="00E846C6"/>
    <w:rsid w:val="00E849A0"/>
    <w:rsid w:val="00E84DFD"/>
    <w:rsid w:val="00E94390"/>
    <w:rsid w:val="00EA0772"/>
    <w:rsid w:val="00EA4A2B"/>
    <w:rsid w:val="00EA724A"/>
    <w:rsid w:val="00EA7538"/>
    <w:rsid w:val="00EB06F4"/>
    <w:rsid w:val="00EB2C29"/>
    <w:rsid w:val="00EB7356"/>
    <w:rsid w:val="00EC7355"/>
    <w:rsid w:val="00ED31FE"/>
    <w:rsid w:val="00EE384A"/>
    <w:rsid w:val="00EE4E72"/>
    <w:rsid w:val="00EE709A"/>
    <w:rsid w:val="00EF0929"/>
    <w:rsid w:val="00EF62B8"/>
    <w:rsid w:val="00F129D8"/>
    <w:rsid w:val="00F174B6"/>
    <w:rsid w:val="00F21B29"/>
    <w:rsid w:val="00F26E95"/>
    <w:rsid w:val="00F309B4"/>
    <w:rsid w:val="00F3262B"/>
    <w:rsid w:val="00F33662"/>
    <w:rsid w:val="00F35506"/>
    <w:rsid w:val="00F526C6"/>
    <w:rsid w:val="00F624A4"/>
    <w:rsid w:val="00F65B4D"/>
    <w:rsid w:val="00F674BD"/>
    <w:rsid w:val="00F716B8"/>
    <w:rsid w:val="00F740F2"/>
    <w:rsid w:val="00F76A18"/>
    <w:rsid w:val="00F85D9F"/>
    <w:rsid w:val="00F96B97"/>
    <w:rsid w:val="00FA23D7"/>
    <w:rsid w:val="00FA2EE2"/>
    <w:rsid w:val="00FA632E"/>
    <w:rsid w:val="00FB1615"/>
    <w:rsid w:val="00FB2DA1"/>
    <w:rsid w:val="00FB3F50"/>
    <w:rsid w:val="00FB54BF"/>
    <w:rsid w:val="00FC18FB"/>
    <w:rsid w:val="00FC3156"/>
    <w:rsid w:val="00FC3415"/>
    <w:rsid w:val="00FD1DAC"/>
    <w:rsid w:val="00FD2070"/>
    <w:rsid w:val="00FD640B"/>
    <w:rsid w:val="00FE5BF7"/>
    <w:rsid w:val="00FE6323"/>
    <w:rsid w:val="00FE7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8F1578-9538-44EE-88E3-FFFB7A25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668A"/>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uiPriority w:val="99"/>
    <w:rsid w:val="0097668A"/>
    <w:pPr>
      <w:spacing w:after="160" w:line="240" w:lineRule="exact"/>
    </w:pPr>
    <w:rPr>
      <w:rFonts w:ascii="Tahoma" w:hAnsi="Tahoma" w:cs="Tahoma"/>
      <w:sz w:val="20"/>
      <w:szCs w:val="20"/>
      <w:lang w:val="en-US" w:eastAsia="en-US"/>
    </w:rPr>
  </w:style>
  <w:style w:type="paragraph" w:styleId="Odsekzoznamu">
    <w:name w:val="List Paragraph"/>
    <w:aliases w:val="Odsek zoznamu1,Odsek"/>
    <w:basedOn w:val="Normlny"/>
    <w:link w:val="OdsekzoznamuChar"/>
    <w:uiPriority w:val="34"/>
    <w:qFormat/>
    <w:rsid w:val="0097668A"/>
    <w:pPr>
      <w:ind w:left="708"/>
    </w:pPr>
  </w:style>
  <w:style w:type="paragraph" w:styleId="Hlavika">
    <w:name w:val="header"/>
    <w:basedOn w:val="Normlny"/>
    <w:link w:val="HlavikaChar"/>
    <w:uiPriority w:val="99"/>
    <w:unhideWhenUsed/>
    <w:rsid w:val="0094136A"/>
    <w:pPr>
      <w:tabs>
        <w:tab w:val="center" w:pos="4536"/>
        <w:tab w:val="right" w:pos="9072"/>
      </w:tabs>
    </w:pPr>
  </w:style>
  <w:style w:type="character" w:customStyle="1" w:styleId="HlavikaChar">
    <w:name w:val="Hlavička Char"/>
    <w:basedOn w:val="Predvolenpsmoodseku"/>
    <w:link w:val="Hlavika"/>
    <w:uiPriority w:val="99"/>
    <w:locked/>
    <w:rsid w:val="0094136A"/>
    <w:rPr>
      <w:rFonts w:ascii="Times New Roman" w:hAnsi="Times New Roman" w:cs="Times New Roman"/>
      <w:sz w:val="24"/>
      <w:szCs w:val="24"/>
    </w:rPr>
  </w:style>
  <w:style w:type="paragraph" w:styleId="Pta">
    <w:name w:val="footer"/>
    <w:basedOn w:val="Normlny"/>
    <w:link w:val="PtaChar"/>
    <w:uiPriority w:val="99"/>
    <w:unhideWhenUsed/>
    <w:rsid w:val="0094136A"/>
    <w:pPr>
      <w:tabs>
        <w:tab w:val="center" w:pos="4536"/>
        <w:tab w:val="right" w:pos="9072"/>
      </w:tabs>
    </w:pPr>
  </w:style>
  <w:style w:type="character" w:customStyle="1" w:styleId="PtaChar">
    <w:name w:val="Päta Char"/>
    <w:basedOn w:val="Predvolenpsmoodseku"/>
    <w:link w:val="Pta"/>
    <w:uiPriority w:val="99"/>
    <w:locked/>
    <w:rsid w:val="0094136A"/>
    <w:rPr>
      <w:rFonts w:ascii="Times New Roman" w:hAnsi="Times New Roman" w:cs="Times New Roman"/>
      <w:sz w:val="24"/>
      <w:szCs w:val="24"/>
    </w:rPr>
  </w:style>
  <w:style w:type="character" w:styleId="Zstupntext">
    <w:name w:val="Placeholder Text"/>
    <w:basedOn w:val="Predvolenpsmoodseku"/>
    <w:uiPriority w:val="99"/>
    <w:rsid w:val="001E3B22"/>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5D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75DA6"/>
    <w:rPr>
      <w:rFonts w:ascii="Tahoma" w:hAnsi="Tahoma" w:cs="Tahoma"/>
      <w:sz w:val="16"/>
      <w:szCs w:val="16"/>
    </w:rPr>
  </w:style>
  <w:style w:type="paragraph" w:customStyle="1" w:styleId="Zkladntext">
    <w:name w:val="Základní text"/>
    <w:aliases w:val="Základný text Char Char"/>
    <w:rsid w:val="00B83402"/>
    <w:pPr>
      <w:widowControl w:val="0"/>
      <w:autoSpaceDE w:val="0"/>
      <w:autoSpaceDN w:val="0"/>
    </w:pPr>
    <w:rPr>
      <w:rFonts w:ascii="Times New Roman" w:hAnsi="Times New Roman" w:cs="Times New Roman"/>
      <w:color w:val="000000"/>
      <w:sz w:val="24"/>
      <w:szCs w:val="24"/>
    </w:rPr>
  </w:style>
  <w:style w:type="paragraph" w:customStyle="1" w:styleId="Default">
    <w:name w:val="Default"/>
    <w:rsid w:val="00672F1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72F10"/>
    <w:rPr>
      <w:rFonts w:cs="Times New Roman"/>
      <w:color w:val="auto"/>
    </w:rPr>
  </w:style>
  <w:style w:type="paragraph" w:customStyle="1" w:styleId="CM3">
    <w:name w:val="CM3"/>
    <w:basedOn w:val="Default"/>
    <w:next w:val="Default"/>
    <w:uiPriority w:val="99"/>
    <w:rsid w:val="00672F10"/>
    <w:rPr>
      <w:rFonts w:cs="Times New Roman"/>
      <w:color w:val="auto"/>
    </w:rPr>
  </w:style>
  <w:style w:type="paragraph" w:customStyle="1" w:styleId="CM19">
    <w:name w:val="CM1+9"/>
    <w:basedOn w:val="Default"/>
    <w:next w:val="Default"/>
    <w:uiPriority w:val="99"/>
    <w:rsid w:val="003E6073"/>
    <w:rPr>
      <w:rFonts w:cs="Times New Roman"/>
      <w:color w:val="auto"/>
    </w:rPr>
  </w:style>
  <w:style w:type="paragraph" w:customStyle="1" w:styleId="CM39">
    <w:name w:val="CM3+9"/>
    <w:basedOn w:val="Default"/>
    <w:next w:val="Default"/>
    <w:uiPriority w:val="99"/>
    <w:rsid w:val="003E6073"/>
    <w:rPr>
      <w:rFonts w:cs="Times New Roman"/>
      <w:color w:val="auto"/>
    </w:rPr>
  </w:style>
  <w:style w:type="paragraph" w:customStyle="1" w:styleId="CM49">
    <w:name w:val="CM4+9"/>
    <w:basedOn w:val="Default"/>
    <w:next w:val="Default"/>
    <w:uiPriority w:val="99"/>
    <w:rsid w:val="003E6073"/>
    <w:rPr>
      <w:rFonts w:cs="Times New Roman"/>
      <w:color w:val="auto"/>
    </w:rPr>
  </w:style>
  <w:style w:type="character" w:customStyle="1" w:styleId="OdsekzoznamuChar">
    <w:name w:val="Odsek zoznamu Char"/>
    <w:aliases w:val="Odsek zoznamu1 Char,Odsek Char"/>
    <w:link w:val="Odsekzoznamu"/>
    <w:uiPriority w:val="34"/>
    <w:locked/>
    <w:rsid w:val="001326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083602">
      <w:marLeft w:val="0"/>
      <w:marRight w:val="0"/>
      <w:marTop w:val="0"/>
      <w:marBottom w:val="0"/>
      <w:divBdr>
        <w:top w:val="none" w:sz="0" w:space="0" w:color="auto"/>
        <w:left w:val="none" w:sz="0" w:space="0" w:color="auto"/>
        <w:bottom w:val="none" w:sz="0" w:space="0" w:color="auto"/>
        <w:right w:val="none" w:sz="0" w:space="0" w:color="auto"/>
      </w:divBdr>
    </w:div>
    <w:div w:id="2094083603">
      <w:marLeft w:val="0"/>
      <w:marRight w:val="0"/>
      <w:marTop w:val="0"/>
      <w:marBottom w:val="0"/>
      <w:divBdr>
        <w:top w:val="none" w:sz="0" w:space="0" w:color="auto"/>
        <w:left w:val="none" w:sz="0" w:space="0" w:color="auto"/>
        <w:bottom w:val="none" w:sz="0" w:space="0" w:color="auto"/>
        <w:right w:val="none" w:sz="0" w:space="0" w:color="auto"/>
      </w:divBdr>
      <w:divsChild>
        <w:div w:id="2094083606">
          <w:marLeft w:val="0"/>
          <w:marRight w:val="0"/>
          <w:marTop w:val="0"/>
          <w:marBottom w:val="0"/>
          <w:divBdr>
            <w:top w:val="none" w:sz="0" w:space="0" w:color="auto"/>
            <w:left w:val="none" w:sz="0" w:space="0" w:color="auto"/>
            <w:bottom w:val="none" w:sz="0" w:space="0" w:color="auto"/>
            <w:right w:val="none" w:sz="0" w:space="0" w:color="auto"/>
          </w:divBdr>
          <w:divsChild>
            <w:div w:id="2094083598">
              <w:marLeft w:val="0"/>
              <w:marRight w:val="0"/>
              <w:marTop w:val="0"/>
              <w:marBottom w:val="0"/>
              <w:divBdr>
                <w:top w:val="single" w:sz="2" w:space="0" w:color="000000"/>
                <w:left w:val="single" w:sz="2" w:space="0" w:color="000000"/>
                <w:bottom w:val="single" w:sz="2" w:space="0" w:color="000000"/>
                <w:right w:val="single" w:sz="2" w:space="0" w:color="000000"/>
              </w:divBdr>
              <w:divsChild>
                <w:div w:id="2094083604">
                  <w:marLeft w:val="1500"/>
                  <w:marRight w:val="0"/>
                  <w:marTop w:val="0"/>
                  <w:marBottom w:val="0"/>
                  <w:divBdr>
                    <w:top w:val="none" w:sz="0" w:space="0" w:color="auto"/>
                    <w:left w:val="none" w:sz="0" w:space="0" w:color="auto"/>
                    <w:bottom w:val="none" w:sz="0" w:space="0" w:color="auto"/>
                    <w:right w:val="none" w:sz="0" w:space="0" w:color="auto"/>
                  </w:divBdr>
                  <w:divsChild>
                    <w:div w:id="2094083601">
                      <w:marLeft w:val="0"/>
                      <w:marRight w:val="0"/>
                      <w:marTop w:val="0"/>
                      <w:marBottom w:val="0"/>
                      <w:divBdr>
                        <w:top w:val="none" w:sz="0" w:space="0" w:color="auto"/>
                        <w:left w:val="none" w:sz="0" w:space="0" w:color="auto"/>
                        <w:bottom w:val="none" w:sz="0" w:space="0" w:color="auto"/>
                        <w:right w:val="none" w:sz="0" w:space="0" w:color="auto"/>
                      </w:divBdr>
                      <w:divsChild>
                        <w:div w:id="2094083605">
                          <w:marLeft w:val="0"/>
                          <w:marRight w:val="0"/>
                          <w:marTop w:val="0"/>
                          <w:marBottom w:val="0"/>
                          <w:divBdr>
                            <w:top w:val="none" w:sz="0" w:space="0" w:color="auto"/>
                            <w:left w:val="none" w:sz="0" w:space="0" w:color="auto"/>
                            <w:bottom w:val="none" w:sz="0" w:space="0" w:color="auto"/>
                            <w:right w:val="none" w:sz="0" w:space="0" w:color="auto"/>
                          </w:divBdr>
                          <w:divsChild>
                            <w:div w:id="2094083600">
                              <w:marLeft w:val="0"/>
                              <w:marRight w:val="0"/>
                              <w:marTop w:val="0"/>
                              <w:marBottom w:val="0"/>
                              <w:divBdr>
                                <w:top w:val="none" w:sz="0" w:space="0" w:color="auto"/>
                                <w:left w:val="none" w:sz="0" w:space="0" w:color="auto"/>
                                <w:bottom w:val="none" w:sz="0" w:space="0" w:color="auto"/>
                                <w:right w:val="none" w:sz="0" w:space="0" w:color="auto"/>
                              </w:divBdr>
                              <w:divsChild>
                                <w:div w:id="2094083599">
                                  <w:marLeft w:val="0"/>
                                  <w:marRight w:val="1850"/>
                                  <w:marTop w:val="0"/>
                                  <w:marBottom w:val="0"/>
                                  <w:divBdr>
                                    <w:top w:val="none" w:sz="0" w:space="0" w:color="auto"/>
                                    <w:left w:val="none" w:sz="0" w:space="0" w:color="auto"/>
                                    <w:bottom w:val="none" w:sz="0" w:space="0" w:color="auto"/>
                                    <w:right w:val="none" w:sz="0" w:space="0" w:color="auto"/>
                                  </w:divBdr>
                                  <w:divsChild>
                                    <w:div w:id="20940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083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6C83-15B0-4A1F-8C12-42DCE798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lmiklusova</dc:creator>
  <cp:keywords/>
  <dc:description/>
  <cp:lastModifiedBy>Danisovic Milan</cp:lastModifiedBy>
  <cp:revision>3</cp:revision>
  <cp:lastPrinted>2018-09-13T14:29:00Z</cp:lastPrinted>
  <dcterms:created xsi:type="dcterms:W3CDTF">2018-09-17T07:32:00Z</dcterms:created>
  <dcterms:modified xsi:type="dcterms:W3CDTF">2018-09-17T07:33:00Z</dcterms:modified>
</cp:coreProperties>
</file>