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5072" w14:textId="77777777" w:rsidR="00B461E8" w:rsidRPr="001311C8" w:rsidRDefault="00B461E8" w:rsidP="00B461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 Ô V O D O V Á   S P R Á V A</w:t>
      </w:r>
    </w:p>
    <w:p w14:paraId="3E88FF41" w14:textId="77777777" w:rsidR="00B461E8" w:rsidRPr="001311C8" w:rsidRDefault="00B461E8" w:rsidP="00B461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53249" w14:textId="77777777" w:rsidR="00B461E8" w:rsidRPr="001311C8" w:rsidRDefault="00B461E8" w:rsidP="008F17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Všeobecná časť</w:t>
      </w:r>
    </w:p>
    <w:p w14:paraId="4A56F3E9" w14:textId="71F8BCA6" w:rsidR="00317D40" w:rsidRPr="00870446" w:rsidRDefault="00D758DC" w:rsidP="001C4EA7">
      <w:pPr>
        <w:pStyle w:val="Zkladntext"/>
        <w:tabs>
          <w:tab w:val="left" w:pos="426"/>
        </w:tabs>
        <w:spacing w:before="120" w:after="120"/>
        <w:rPr>
          <w:rFonts w:eastAsiaTheme="minorHAnsi"/>
          <w:bCs w:val="0"/>
          <w:color w:val="000000" w:themeColor="text1"/>
          <w:lang w:eastAsia="en-US"/>
        </w:rPr>
      </w:pPr>
      <w:r>
        <w:rPr>
          <w:rFonts w:eastAsiaTheme="minorHAnsi"/>
          <w:bCs w:val="0"/>
          <w:color w:val="000000" w:themeColor="text1"/>
          <w:lang w:eastAsia="en-US"/>
        </w:rPr>
        <w:tab/>
      </w:r>
      <w:r>
        <w:rPr>
          <w:rFonts w:eastAsiaTheme="minorHAnsi"/>
          <w:bCs w:val="0"/>
          <w:color w:val="000000" w:themeColor="text1"/>
          <w:lang w:eastAsia="en-US"/>
        </w:rPr>
        <w:tab/>
      </w:r>
      <w:r w:rsidR="00DE3EA4" w:rsidRPr="00091A50">
        <w:rPr>
          <w:b w:val="0"/>
        </w:rPr>
        <w:t>Ministerstvo financií Slovenskej republiky v spolupráci s Národnou bankou Slovenska pripravilo návrh zákona, ktorým sa mení a dopĺňa zákon č. 371/2014 Z. z. o riešení krízových situácií na finančnom trhu a o zmene a doplnení niektorých zákonov v znení neskorších predpisov</w:t>
      </w:r>
      <w:r w:rsidR="00E26FF8" w:rsidRPr="00091A50">
        <w:rPr>
          <w:b w:val="0"/>
        </w:rPr>
        <w:t>,</w:t>
      </w:r>
      <w:r w:rsidR="00DE3EA4" w:rsidRPr="00091A50">
        <w:rPr>
          <w:b w:val="0"/>
        </w:rPr>
        <w:t xml:space="preserve"> a ktorým sa menia a dopĺňajú niektoré zákony  (ďalej len „návrh zákona“),</w:t>
      </w:r>
      <w:r w:rsidR="00DE3EA4" w:rsidRPr="00091A50">
        <w:rPr>
          <w:b w:val="0"/>
          <w:color w:val="000000" w:themeColor="text1"/>
        </w:rPr>
        <w:t xml:space="preserve"> ako potrebný nástroj pre ďalšie zvýšenie odolnosti bánk SR </w:t>
      </w:r>
      <w:r w:rsidR="001123EA" w:rsidRPr="00091A50">
        <w:rPr>
          <w:b w:val="0"/>
          <w:color w:val="000000" w:themeColor="text1"/>
        </w:rPr>
        <w:t xml:space="preserve">s ohľadom </w:t>
      </w:r>
      <w:r w:rsidR="00DE3EA4" w:rsidRPr="00091A50">
        <w:rPr>
          <w:b w:val="0"/>
          <w:color w:val="000000" w:themeColor="text1"/>
        </w:rPr>
        <w:t xml:space="preserve"> na pretrvávajúce výzvy pre finančnú stabilitu</w:t>
      </w:r>
      <w:r w:rsidR="001123EA" w:rsidRPr="00091A50">
        <w:rPr>
          <w:b w:val="0"/>
          <w:color w:val="000000" w:themeColor="text1"/>
        </w:rPr>
        <w:t>,</w:t>
      </w:r>
      <w:r w:rsidR="00DE3EA4" w:rsidRPr="00091A50">
        <w:rPr>
          <w:b w:val="0"/>
          <w:color w:val="000000" w:themeColor="text1"/>
        </w:rPr>
        <w:t xml:space="preserve"> </w:t>
      </w:r>
      <w:r w:rsidR="001123EA" w:rsidRPr="00091A50">
        <w:rPr>
          <w:b w:val="0"/>
          <w:color w:val="000000" w:themeColor="text1"/>
        </w:rPr>
        <w:t> pri</w:t>
      </w:r>
      <w:r w:rsidR="00DE3EA4" w:rsidRPr="00091A50">
        <w:rPr>
          <w:b w:val="0"/>
          <w:color w:val="000000" w:themeColor="text1"/>
        </w:rPr>
        <w:t> zabezpeč</w:t>
      </w:r>
      <w:r w:rsidR="001123EA" w:rsidRPr="00091A50">
        <w:rPr>
          <w:b w:val="0"/>
          <w:color w:val="000000" w:themeColor="text1"/>
        </w:rPr>
        <w:t>ení  toho</w:t>
      </w:r>
      <w:r w:rsidR="00DE3EA4" w:rsidRPr="00091A50">
        <w:rPr>
          <w:b w:val="0"/>
          <w:color w:val="000000" w:themeColor="text1"/>
        </w:rPr>
        <w:t xml:space="preserve">, aby banky mohli pokračovať v podporovaní reálneho hospodárstva. </w:t>
      </w:r>
    </w:p>
    <w:p w14:paraId="04D7FFE0" w14:textId="77777777" w:rsidR="00E26FF8" w:rsidRPr="001311C8" w:rsidRDefault="00317D40" w:rsidP="00FA099B">
      <w:pPr>
        <w:pStyle w:val="Zkladntext"/>
        <w:ind w:firstLine="708"/>
        <w:rPr>
          <w:rStyle w:val="Zstupntext"/>
          <w:b w:val="0"/>
          <w:color w:val="auto"/>
        </w:rPr>
      </w:pPr>
      <w:r w:rsidRPr="00091A50">
        <w:rPr>
          <w:rStyle w:val="Zstupntext"/>
          <w:b w:val="0"/>
          <w:color w:val="000000"/>
        </w:rPr>
        <w:t>Návrhom zákona sa do právneho</w:t>
      </w:r>
      <w:r w:rsidRPr="001311C8">
        <w:rPr>
          <w:rStyle w:val="Zstupntext"/>
          <w:b w:val="0"/>
          <w:color w:val="000000"/>
        </w:rPr>
        <w:t xml:space="preserve"> poriadku Slovenskej republiky preberá smernica Európskeho parlamentu a Rady </w:t>
      </w:r>
      <w:r w:rsidRPr="001311C8">
        <w:rPr>
          <w:b w:val="0"/>
        </w:rPr>
        <w:t xml:space="preserve">(EÚ) č. 2017/2399, ktorou sa mení smernica 2014/59/EÚ, pokiaľ ide o postavenie nezabezpečených dlhových nástrojov v hierarchii konkurzného konania (“smernica”). </w:t>
      </w:r>
      <w:r w:rsidRPr="001311C8">
        <w:rPr>
          <w:rStyle w:val="Zstupntext"/>
          <w:b w:val="0"/>
          <w:color w:val="000000"/>
        </w:rPr>
        <w:t>Smernica je uvedená v transpozičnej prílohe návrhu zákona.</w:t>
      </w:r>
    </w:p>
    <w:p w14:paraId="6D7FD9C3" w14:textId="77777777" w:rsidR="00317D40" w:rsidRPr="001311C8" w:rsidRDefault="00317D40" w:rsidP="00317D40">
      <w:pPr>
        <w:pStyle w:val="Zkladntext"/>
        <w:ind w:firstLine="708"/>
        <w:rPr>
          <w:b w:val="0"/>
        </w:rPr>
      </w:pPr>
    </w:p>
    <w:p w14:paraId="5CD2002E" w14:textId="77777777" w:rsidR="00530130" w:rsidRPr="001311C8" w:rsidRDefault="0091572E" w:rsidP="00FA09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1C8">
        <w:rPr>
          <w:rStyle w:val="Zstupntext"/>
          <w:rFonts w:cs="Times New Roman"/>
          <w:color w:val="000000" w:themeColor="text1"/>
          <w:sz w:val="24"/>
          <w:szCs w:val="24"/>
        </w:rPr>
        <w:t xml:space="preserve">Smernica </w:t>
      </w:r>
      <w:r w:rsidR="00530130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súčasťou úsilia </w:t>
      </w:r>
      <w:r w:rsidR="00CE763C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Európskej </w:t>
      </w:r>
      <w:r w:rsidR="00530130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Komisie zaviesť normu TLAC</w:t>
      </w:r>
      <w:r w:rsidR="00F66E25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66E25" w:rsidRPr="001311C8">
        <w:rPr>
          <w:rFonts w:ascii="Times New Roman" w:hAnsi="Times New Roman" w:cs="Times New Roman"/>
          <w:sz w:val="24"/>
          <w:szCs w:val="24"/>
        </w:rPr>
        <w:t>globálne stanovené normy pre celkovú kapacitu na absorpciu strát)</w:t>
      </w:r>
      <w:r w:rsidR="00F66E25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130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v Únii spolu s niekoľkými ďalšími návrhmi, ktorými sa mení súčasný rámec Únie pre ozdravenie a riešenie krízových situácií.</w:t>
      </w:r>
    </w:p>
    <w:p w14:paraId="7F5DC5BD" w14:textId="77777777" w:rsidR="00233B13" w:rsidRPr="001311C8" w:rsidRDefault="00F365AE" w:rsidP="003F1D3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EÚ implementovala v posledných rokoch zásadnú reformu regulačného rámca pre finančné služby s cieľom zvýšiť odolnosť finančných inštitúcií v EÚ z veľkej časti na základe globálnych štandardov, ktoré boli zahrnuté do tzv. reformného </w:t>
      </w:r>
      <w:r w:rsidR="009F0312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legislatívneho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balíka.</w:t>
      </w:r>
      <w:r w:rsidR="00BE4720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V rámci tohto reformného legislatívneho balíka sú n</w:t>
      </w:r>
      <w:r w:rsidR="00991C8A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avrhované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</w:t>
      </w:r>
      <w:r w:rsidR="00991C8A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zmeny smernice 2014/59/EÚ (smernica o ozdravení a riešen</w:t>
      </w:r>
      <w:r w:rsidR="009C31B5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 krízových situácií bánk – „smernica </w:t>
      </w:r>
      <w:r w:rsidR="00991C8A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BRRD</w:t>
      </w:r>
      <w:r w:rsidR="009C31B5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91C8A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75172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C8A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zmeny nariadenia (EÚ) č. 575/2013 (nariadenie o kapitálových požiadavkách alebo CRR), smernice 2013/36/EÚ (smernica o kapitálových požiadavkách alebo CRD) a nariadenia (ES) 806/2014 (nariadenie o jednotnom mechanizme riešenia krízových situácií alebo SRM).</w:t>
      </w:r>
    </w:p>
    <w:p w14:paraId="4B77EC7B" w14:textId="686BC7EA" w:rsidR="008137BB" w:rsidRPr="001311C8" w:rsidRDefault="000A5074" w:rsidP="00FA09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Predmetné </w:t>
      </w:r>
      <w:r w:rsidR="00D9373D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opatrenia boli prijaté v reakcii na finančnú krízu, ktorá sa rozvinula v rokoch 2007 – 2008. </w:t>
      </w:r>
      <w:r w:rsidR="009F0312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mernicou </w:t>
      </w:r>
      <w:r w:rsidR="00577856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BRRD </w:t>
      </w:r>
      <w:r w:rsidR="009F0312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zaviedol robustný rámec pre riešenie krízových situácií bánk s cie</w:t>
      </w:r>
      <w:r w:rsidR="00D716B0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ľom účinne riadiť bankové krízy. </w:t>
      </w:r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Základným stavebným kameňom je </w:t>
      </w:r>
      <w:r w:rsidR="0011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opatrenie kapitalizácie </w:t>
      </w:r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bail</w:t>
      </w:r>
      <w:proofErr w:type="spellEnd"/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-in), ktor</w:t>
      </w:r>
      <w:r w:rsidR="002A3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pozostáva z odpísania dlhu a konverzie záväzkov na vlastný kapitál podľa vopred definovanej hierarchie. Tento nástroj sa môže použiť na absorpciu strát a vnútornú </w:t>
      </w:r>
      <w:proofErr w:type="spellStart"/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rekapitalizáciu</w:t>
      </w:r>
      <w:proofErr w:type="spellEnd"/>
      <w:r w:rsidR="003C70C1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inštitúcie, ktorá zlyháva alebo pravdepodobne zlyhá tak, aby bolo možné obnoviť jej životaschopnosť. Z tohto dôvodu budú bremeno zlyhania inštitúcie znášať namiesto daňovníkov akcionári a veritelia.</w:t>
      </w:r>
      <w:r w:rsidR="00D716B0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916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Jedným z hlavných cieľov </w:t>
      </w:r>
      <w:r w:rsidR="0094318F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smernice </w:t>
      </w:r>
      <w:r w:rsidR="00976916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BRRD je uľahčiť absorpciu strát v súkromnom sektore v prípade bankovej krízy. Na dosiahnutie tohto cieľa musia všetky banky spĺňať minimálnu požiadavku na vlastné zdroje a oprávnené záväzky (MREL) s cieľom zabezpečiť dostatočné finančné zdroje na odpísanie alebo konverziu na vlastný kapitál. Minimálna požiadavka na vlastné zdroje a oprávnené záväzky v rámci </w:t>
      </w:r>
      <w:r w:rsidR="0094318F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smernice </w:t>
      </w:r>
      <w:r w:rsidR="00976916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BRRD spravidla nevyžaduje povinnú podriadenosť oprávnených nástrojov pre minimálnu požiadavku na vlastné zdroje a oprávnené záväzky. </w:t>
      </w:r>
    </w:p>
    <w:p w14:paraId="52B7F83C" w14:textId="24D4FE37" w:rsidR="00D1114D" w:rsidRPr="001311C8" w:rsidRDefault="00931ACB" w:rsidP="00FA099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Rada pre finančnú stabilitu (FSB) vydala dňa 9. novembra 2015 na globálnej úrovni hlavné prvky týkajúce sa celkovej schopnosti absorbovať straty (</w:t>
      </w:r>
      <w:r w:rsidR="008137BB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„norma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TLAC</w:t>
      </w:r>
      <w:r w:rsidR="008137BB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1114D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ktoré boli prijaté o týždeň neskôr na summite G20 v</w:t>
      </w:r>
      <w:r w:rsidR="00D1114D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Turecku</w:t>
      </w:r>
      <w:r w:rsidR="00D1114D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normy TLAC sa požaduje, aby globálne systémovo dôležité banky (G-SIB), ktoré sa v právnych predpisoch Únie uvádzajú ako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globálne systémovo dôležité inštitúcie (G-SII), mali dostatočné minimálne množstvo záväzk</w:t>
      </w:r>
      <w:r w:rsidR="00D1114D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 vysoko absorbujúcich straty, </w:t>
      </w:r>
      <w:r w:rsidR="0011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ktoré je možné </w:t>
      </w:r>
      <w:r w:rsidR="0011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použiť opatrenie kapitalizácie</w:t>
      </w:r>
      <w:r w:rsidR="00D1114D"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cieľom zabezpečiť plynulú a rýchlu absorpciu strát a </w:t>
      </w:r>
      <w:proofErr w:type="spellStart"/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>rekapitalizáciu</w:t>
      </w:r>
      <w:proofErr w:type="spellEnd"/>
      <w:r w:rsidRPr="0013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riešení krízových situácií. </w:t>
      </w:r>
    </w:p>
    <w:p w14:paraId="76BAEF8F" w14:textId="286BB4CC" w:rsidR="00717B65" w:rsidRDefault="00870446" w:rsidP="00175172">
      <w:pPr>
        <w:pStyle w:val="Zkladntext"/>
        <w:tabs>
          <w:tab w:val="left" w:pos="426"/>
        </w:tabs>
        <w:spacing w:before="120" w:after="120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717B65" w:rsidRPr="001311C8">
        <w:rPr>
          <w:b w:val="0"/>
          <w:color w:val="000000" w:themeColor="text1"/>
        </w:rPr>
        <w:t xml:space="preserve">Návrh </w:t>
      </w:r>
      <w:r w:rsidR="00C70732" w:rsidRPr="001311C8">
        <w:rPr>
          <w:b w:val="0"/>
          <w:color w:val="000000" w:themeColor="text1"/>
        </w:rPr>
        <w:t xml:space="preserve">zákona </w:t>
      </w:r>
      <w:r w:rsidR="00E6102A" w:rsidRPr="001311C8">
        <w:rPr>
          <w:b w:val="0"/>
          <w:color w:val="000000" w:themeColor="text1"/>
        </w:rPr>
        <w:t>implementuje konkrétne opatrenia</w:t>
      </w:r>
      <w:r w:rsidR="00E6102A" w:rsidRPr="001311C8">
        <w:rPr>
          <w:color w:val="000000" w:themeColor="text1"/>
        </w:rPr>
        <w:t xml:space="preserve"> </w:t>
      </w:r>
      <w:r w:rsidR="00175172" w:rsidRPr="001311C8">
        <w:rPr>
          <w:b w:val="0"/>
        </w:rPr>
        <w:t xml:space="preserve">smernice EP a Rady (EÚ) 2017/2399, ktorou sa mení smernica 2014/59/EÚ, </w:t>
      </w:r>
      <w:r w:rsidR="00094E12">
        <w:rPr>
          <w:b w:val="0"/>
          <w:color w:val="000000" w:themeColor="text1"/>
        </w:rPr>
        <w:t xml:space="preserve"> v súvislosti so zaradením dlhových nástrojov v konkurze. Tieto dlhové nástroje môžu banky vydávať</w:t>
      </w:r>
      <w:r w:rsidR="00717B65" w:rsidRPr="001311C8">
        <w:rPr>
          <w:b w:val="0"/>
          <w:color w:val="000000" w:themeColor="text1"/>
        </w:rPr>
        <w:t xml:space="preserve"> s cieľom vyhovieť požiadavkám </w:t>
      </w:r>
      <w:r w:rsidR="00094E12">
        <w:rPr>
          <w:b w:val="0"/>
          <w:color w:val="000000" w:themeColor="text1"/>
        </w:rPr>
        <w:t xml:space="preserve"> MREL</w:t>
      </w:r>
      <w:r w:rsidR="00717B65" w:rsidRPr="001311C8">
        <w:rPr>
          <w:b w:val="0"/>
          <w:color w:val="000000" w:themeColor="text1"/>
        </w:rPr>
        <w:t xml:space="preserve"> a TLAC, ktoré sa týkajú schopnosti absorbovať straty a schopnosti </w:t>
      </w:r>
      <w:proofErr w:type="spellStart"/>
      <w:r w:rsidR="00717B65" w:rsidRPr="001311C8">
        <w:rPr>
          <w:b w:val="0"/>
          <w:color w:val="000000" w:themeColor="text1"/>
        </w:rPr>
        <w:t>rekapitalizovať</w:t>
      </w:r>
      <w:proofErr w:type="spellEnd"/>
      <w:r w:rsidR="00717B65" w:rsidRPr="001311C8">
        <w:rPr>
          <w:b w:val="0"/>
          <w:color w:val="000000" w:themeColor="text1"/>
        </w:rPr>
        <w:t xml:space="preserve"> bank</w:t>
      </w:r>
      <w:r w:rsidR="00094E12">
        <w:rPr>
          <w:b w:val="0"/>
          <w:color w:val="000000" w:themeColor="text1"/>
        </w:rPr>
        <w:t xml:space="preserve">u </w:t>
      </w:r>
      <w:r w:rsidR="00717B65" w:rsidRPr="001311C8">
        <w:rPr>
          <w:b w:val="0"/>
          <w:color w:val="000000" w:themeColor="text1"/>
        </w:rPr>
        <w:t xml:space="preserve">. S cieľom zvýšiť  robustnosť </w:t>
      </w:r>
      <w:r w:rsidR="001123EA">
        <w:rPr>
          <w:b w:val="0"/>
          <w:color w:val="000000" w:themeColor="text1"/>
        </w:rPr>
        <w:t xml:space="preserve">opatrenia kapitalizácie </w:t>
      </w:r>
      <w:r w:rsidR="00717B65" w:rsidRPr="001311C8">
        <w:rPr>
          <w:b w:val="0"/>
          <w:color w:val="000000" w:themeColor="text1"/>
        </w:rPr>
        <w:t xml:space="preserve"> a s cieľom predísť právnej neistote sa v norme TLAC požaduje, aby záväzky mohli byť oprávnené na TLAC len v prípade, ak sú podriadené iným záväzkom, teda v prípade, že absorbujú straty v </w:t>
      </w:r>
      <w:r w:rsidR="00094E12">
        <w:rPr>
          <w:b w:val="0"/>
          <w:color w:val="000000" w:themeColor="text1"/>
        </w:rPr>
        <w:t xml:space="preserve"> konkurze</w:t>
      </w:r>
      <w:r w:rsidR="00717B65" w:rsidRPr="001311C8">
        <w:rPr>
          <w:b w:val="0"/>
          <w:color w:val="000000" w:themeColor="text1"/>
        </w:rPr>
        <w:t xml:space="preserve"> alebo </w:t>
      </w:r>
      <w:r w:rsidR="00094E12">
        <w:rPr>
          <w:b w:val="0"/>
          <w:color w:val="000000" w:themeColor="text1"/>
        </w:rPr>
        <w:t xml:space="preserve"> v rezolučnom konaní</w:t>
      </w:r>
      <w:r w:rsidR="00717B65" w:rsidRPr="001311C8">
        <w:rPr>
          <w:b w:val="0"/>
          <w:color w:val="000000" w:themeColor="text1"/>
        </w:rPr>
        <w:t xml:space="preserve"> pred </w:t>
      </w:r>
      <w:r w:rsidR="00094E12">
        <w:rPr>
          <w:b w:val="0"/>
          <w:color w:val="000000" w:themeColor="text1"/>
        </w:rPr>
        <w:t xml:space="preserve">tými </w:t>
      </w:r>
      <w:r w:rsidR="00717B65" w:rsidRPr="001311C8">
        <w:rPr>
          <w:b w:val="0"/>
          <w:color w:val="000000" w:themeColor="text1"/>
        </w:rPr>
        <w:t xml:space="preserve">záväzkami, ktoré sú výslovne vylúčené z oprávnenosti na TLAC, ako sú napr. deriváty, kryté vklady alebo daňové záväzky. </w:t>
      </w:r>
    </w:p>
    <w:p w14:paraId="35C455DD" w14:textId="7ADF0B16" w:rsidR="00EB0F28" w:rsidRDefault="00D758DC" w:rsidP="0055148D">
      <w:pPr>
        <w:pStyle w:val="Zkladntext"/>
        <w:tabs>
          <w:tab w:val="left" w:pos="426"/>
        </w:tabs>
        <w:spacing w:before="120" w:after="120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094E12" w:rsidRPr="00094E12">
        <w:rPr>
          <w:b w:val="0"/>
          <w:color w:val="000000" w:themeColor="text1"/>
        </w:rPr>
        <w:t>Vďaka navrhovanej legislatívnej úprave, ktorou sa vytvára nová trieda veriteľov v konkurze bánk, budú môcť banky vydávať dlhové nástroje, ktoré spĺňajú požiadavku na podriadenosť, hoci nepôjde o podriadený dlh. V</w:t>
      </w:r>
      <w:r w:rsidR="00EB0F28">
        <w:rPr>
          <w:b w:val="0"/>
          <w:color w:val="000000" w:themeColor="text1"/>
        </w:rPr>
        <w:t> </w:t>
      </w:r>
      <w:r w:rsidR="00094E12" w:rsidRPr="00094E12">
        <w:rPr>
          <w:b w:val="0"/>
          <w:color w:val="000000" w:themeColor="text1"/>
        </w:rPr>
        <w:t>konkurz</w:t>
      </w:r>
    </w:p>
    <w:p w14:paraId="263CDCB5" w14:textId="481ED394" w:rsidR="0055148D" w:rsidRPr="0055148D" w:rsidRDefault="00094E12" w:rsidP="0055148D">
      <w:pPr>
        <w:pStyle w:val="Zkladntext"/>
        <w:tabs>
          <w:tab w:val="left" w:pos="426"/>
        </w:tabs>
        <w:spacing w:before="120" w:after="120"/>
        <w:rPr>
          <w:b w:val="0"/>
          <w:color w:val="000000" w:themeColor="text1"/>
        </w:rPr>
      </w:pPr>
      <w:r w:rsidRPr="00094E12">
        <w:rPr>
          <w:b w:val="0"/>
          <w:color w:val="000000" w:themeColor="text1"/>
        </w:rPr>
        <w:t>e bude táto nová trieda uspokojená pred podriadeným dlhom, vďaka čomu by mohlo byť vydávanie dlhových nástrojov v tejto triede pre banky lacnejšie ako emisia kapitálových nástrojov a podriadeného dlhu.</w:t>
      </w:r>
    </w:p>
    <w:p w14:paraId="4172BA30" w14:textId="44BA6C54" w:rsidR="002114DF" w:rsidRPr="002114DF" w:rsidRDefault="002114DF" w:rsidP="002114DF">
      <w:pPr>
        <w:pStyle w:val="Odsekzoznamu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2114DF">
        <w:rPr>
          <w:rFonts w:ascii="Times New Roman" w:hAnsi="Times New Roman"/>
          <w:bCs/>
          <w:sz w:val="24"/>
          <w:szCs w:val="24"/>
        </w:rPr>
        <w:t>V súvislosti s úpravou poskytovania údajov chránených bankovým tajomstvom v návrhu novely zákona o bankách, ktorý je súčasťou tohto návrhu zákona, je potrebné novelizovať aj zákon o Exportno-importnej banke Slovenskej republiky z dôvodu zjednotenia právnej úpravy ochrany informácií a údajov týkajúcich sa klientov Eximbanky.</w:t>
      </w:r>
    </w:p>
    <w:p w14:paraId="7D8C4424" w14:textId="089F3B06" w:rsidR="0055148D" w:rsidRPr="0055148D" w:rsidRDefault="00D175C4" w:rsidP="0055148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  <w:lang w:eastAsia="sk-SK"/>
        </w:rPr>
        <w:t xml:space="preserve">Legislatívna úprava zákona o povinnom zmluvnom poistení vyplýva z oznámenia Európskej komisie (2018/C233/01) o úprave minimálnych súm, ktoré sú stanovené v smernici Európskeho parlamentu a Rady 2009/103/ES o poistení zodpovednosti za škodu spôsobenú prevádzkou motorových vozidiel a o kontrole plnenia povinnosti poistenia tejto zodpovednosti. V súlade s článkom 9 ods. 2 smernice 2009/103/ES sa prehodnotili sumy stanovené v eurách v článku 9 ods. 1, aby sa zohľadnili zmeny európskeho indexu spotrebiteľských cien zahŕňajúceho všetky členské štáty, ktorý zverejnil </w:t>
      </w:r>
      <w:proofErr w:type="spellStart"/>
      <w:r w:rsidRPr="0055148D">
        <w:rPr>
          <w:rFonts w:ascii="Times New Roman" w:hAnsi="Times New Roman" w:cs="Times New Roman"/>
          <w:sz w:val="24"/>
          <w:szCs w:val="24"/>
          <w:lang w:eastAsia="sk-SK"/>
        </w:rPr>
        <w:t>Eurostat</w:t>
      </w:r>
      <w:proofErr w:type="spellEnd"/>
      <w:r w:rsidRPr="0055148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62B74F1B" w14:textId="77777777" w:rsidR="0055148D" w:rsidRDefault="006026DD" w:rsidP="005514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48D">
        <w:rPr>
          <w:rFonts w:ascii="Times New Roman" w:hAnsi="Times New Roman"/>
          <w:sz w:val="24"/>
          <w:szCs w:val="24"/>
        </w:rPr>
        <w:t>Súčasťou novely je aj legislatívna úprava týkajúca sa zrušenia povinnosti zriadiť Stály rozhodcovský súd Slovenskej bankovej asociácie (SRS SBA). Podnet na túto zmenu vzišiel od Slovenskej bankovej asociácie a to z viacerých dôvodov – nová legislatíva (novela zákona o rozhodcovskom konaní zredukovala počet rozhodcovských súdov z takmer 200 na 8), ako aj negatívny prístup slovenských súdov k rozhodnutiam rozhodcovských súdov (tieto boli v minulosti zneužívané nebankovými spoločnosťami a absentovala nad nimi štátna kontrola, preto bežné súdy v zásade prestali ich rozhodnutia uznávať, čo spôsobilo prudké zníženie podaných žalôb – v roku 2014 vyše 7 000, v roku 2015 až 2017 iba okolo 70 ročne). Všetky tieto uvedené skutočnosti mali negatívny dopad na hospodársky výsledok SRS SBA za posledné roky. Legislatívne zmeny v tejto oblasti boli pripravené v spolupráci s Národnou bankou Slovenska a ďalšími dotknutými ministerstvami a v tejto súvislosti bolo potrebné novelizovať viacero zákonov – zákon o platobných službách</w:t>
      </w:r>
      <w:r w:rsidR="0055148D">
        <w:rPr>
          <w:rFonts w:ascii="Times New Roman" w:hAnsi="Times New Roman"/>
          <w:sz w:val="24"/>
          <w:szCs w:val="24"/>
        </w:rPr>
        <w:t>, zákon o bankách</w:t>
      </w:r>
      <w:r w:rsidRPr="0055148D">
        <w:rPr>
          <w:rFonts w:ascii="Times New Roman" w:hAnsi="Times New Roman"/>
          <w:sz w:val="24"/>
          <w:szCs w:val="24"/>
        </w:rPr>
        <w:t>, zákon</w:t>
      </w:r>
      <w:r w:rsidR="0055148D">
        <w:rPr>
          <w:rFonts w:ascii="Times New Roman" w:hAnsi="Times New Roman"/>
          <w:sz w:val="24"/>
          <w:szCs w:val="24"/>
        </w:rPr>
        <w:t xml:space="preserve"> o rozhodcovskom konaní</w:t>
      </w:r>
      <w:r w:rsidRPr="0055148D">
        <w:rPr>
          <w:rFonts w:ascii="Times New Roman" w:hAnsi="Times New Roman"/>
          <w:sz w:val="24"/>
          <w:szCs w:val="24"/>
        </w:rPr>
        <w:t>, zákon o spotrebiteľskom</w:t>
      </w:r>
      <w:r w:rsidR="0055148D">
        <w:rPr>
          <w:rFonts w:ascii="Times New Roman" w:hAnsi="Times New Roman"/>
          <w:sz w:val="24"/>
          <w:szCs w:val="24"/>
        </w:rPr>
        <w:t xml:space="preserve"> rozhodcovskom konaní </w:t>
      </w:r>
      <w:r w:rsidRPr="0055148D">
        <w:rPr>
          <w:rFonts w:ascii="Times New Roman" w:hAnsi="Times New Roman"/>
          <w:sz w:val="24"/>
          <w:szCs w:val="24"/>
        </w:rPr>
        <w:t>a zákon o alterna</w:t>
      </w:r>
      <w:r w:rsidR="0055148D">
        <w:rPr>
          <w:rFonts w:ascii="Times New Roman" w:hAnsi="Times New Roman"/>
          <w:sz w:val="24"/>
          <w:szCs w:val="24"/>
        </w:rPr>
        <w:t>tívnom riešení sporov</w:t>
      </w:r>
      <w:r w:rsidRPr="0055148D">
        <w:rPr>
          <w:rFonts w:ascii="Times New Roman" w:hAnsi="Times New Roman"/>
          <w:sz w:val="24"/>
          <w:szCs w:val="24"/>
        </w:rPr>
        <w:t>.</w:t>
      </w:r>
    </w:p>
    <w:p w14:paraId="3C442D7A" w14:textId="2D62A6AA" w:rsidR="006B2A59" w:rsidRPr="0055148D" w:rsidRDefault="006B2A59" w:rsidP="005514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lastRenderedPageBreak/>
        <w:t>Ďalšou súčasťou materiálu sú novely zákona o cenných papieroch, zákona o kolektívnom investovaní  a zákona o burze cenných papierov. Tieto boli upravované na základe aplikačnej praxe a podnetov od účastníkov trhu tak, aby sa zefektívnili procesy najmä v súvislosti s fondmi kolektívneho investovania.</w:t>
      </w:r>
      <w:r w:rsidR="00870446" w:rsidRPr="00551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F195" w14:textId="3CA088CC" w:rsidR="000036E5" w:rsidRPr="0055148D" w:rsidRDefault="000036E5" w:rsidP="000036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Navrhovaná zmena zákona o obchodnom registri súvisí so zmenou zákona č. 297/2008 Z. z. o ochrane pred legalizáciou príjmov z trestnej činnosti a o ochrane pred financovaním terorizmu a o zmene a doplnení niektorých zákonov, ku ktorej došlo zákonom č. 52/2018 Z. z. a ktorou vznikla povinnosť evidencie údajov o konečnom užívateľovi výhod v zákonom určenom rozsahu vo vzťahu k zákonom určenému okruhu právnických osôb (povinnosť nemajú subjekty verejnej správy, ani emitenti cenných papierov prijatých na obchodovanie na regulovanom trhu). Táto nová povinnosť sa premietla v rámci ustanovenia § 2 ods. 3 zákona o obchodnom registri a vzniká ňou popri registri partnerov verejného sektora zavedenom zákonom č. 315/2016 Z. z. o registri partnerov verejného sektora ďalší mechanizmus evidencie údajov o konečných užívateľoch výhod. </w:t>
      </w:r>
    </w:p>
    <w:p w14:paraId="4B856437" w14:textId="005D7933" w:rsidR="006B2A59" w:rsidRPr="0055148D" w:rsidRDefault="006B2A59" w:rsidP="0087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Novelizácia zákona o dohľade nad finančným trhom sleduje najmä zámer zdokonalenia legislatívneho rámca pre spravodlivejšie nastavenie ročných príspevkov prispievateľov a v tomto smere spravodlivejšieho prerozdelenia súvisiaceho finančného zaťaženia medzi príslušné dohliadané subjekty finančného trhu. Zároveň sa navrhuje </w:t>
      </w:r>
      <w:proofErr w:type="spellStart"/>
      <w:r w:rsidRPr="0055148D">
        <w:rPr>
          <w:rFonts w:ascii="Times New Roman" w:hAnsi="Times New Roman" w:cs="Times New Roman"/>
          <w:sz w:val="24"/>
          <w:szCs w:val="24"/>
        </w:rPr>
        <w:t>vyprecizovanie</w:t>
      </w:r>
      <w:proofErr w:type="spellEnd"/>
      <w:r w:rsidRPr="0055148D">
        <w:rPr>
          <w:rFonts w:ascii="Times New Roman" w:hAnsi="Times New Roman" w:cs="Times New Roman"/>
          <w:sz w:val="24"/>
          <w:szCs w:val="24"/>
        </w:rPr>
        <w:t xml:space="preserve"> viacerých ustanovení predmetného zákona, a to s cieľom reagovania na skutočnosti vyplývajúce z príslušnej legislatívy, ako aj v záujme zapracovania skutočností identifikovaných v praxi a v tomto smere eliminovania interpretačno-aplikačných komplikácií.</w:t>
      </w:r>
    </w:p>
    <w:p w14:paraId="67482A27" w14:textId="77777777" w:rsidR="0055148D" w:rsidRDefault="001D44CD" w:rsidP="00551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Novela zákona o konkurze a reštrukturalizácii sa týka najmä konkurzu banky alebo pobočky zahraničnej banky. Cieľom navrhovanej úpravy textu zákona o konkurze je jednoznačne vymedziť poradie uspokojenia nezabezpečených veriteľov z výťažku speňaženia majetku tvoriaceho všeobecnú podstatu. Po uspokojení pohľadávok proti všeobecnej podstate sa zo zostávajúceho výťažku speňaženia majetku tvoriaceho všeobecnú podstatu uspokoja pohľadávky z krytých vkladov, tak ako ich vymedzuje zákon č. 118/1996 Z. z. o ochrane vkladov. V praxi teda pôjde o pohľadávky, ktoré vzniknú Fondu ochrany vkladov (ďalej len „FOV“) z výplat náhrad za nedostupné vklady alebo z financovania riešenia krízových situácií. Ďalej nasleduje uspokojenie pohľadávok z chránených vkladov fyzických osôb, </w:t>
      </w:r>
      <w:proofErr w:type="spellStart"/>
      <w:r w:rsidRPr="0055148D">
        <w:rPr>
          <w:rFonts w:ascii="Times New Roman" w:hAnsi="Times New Roman" w:cs="Times New Roman"/>
          <w:sz w:val="24"/>
          <w:szCs w:val="24"/>
        </w:rPr>
        <w:t>mikropodnikov</w:t>
      </w:r>
      <w:proofErr w:type="spellEnd"/>
      <w:r w:rsidRPr="0055148D">
        <w:rPr>
          <w:rFonts w:ascii="Times New Roman" w:hAnsi="Times New Roman" w:cs="Times New Roman"/>
          <w:sz w:val="24"/>
          <w:szCs w:val="24"/>
        </w:rPr>
        <w:t xml:space="preserve">, malých a stredných podnikov, ktoré prevyšujú úroveň krytia upravenú v § 9 ods. 2 a 6 zákona o ochrane vkladov ako aj pohľadávky z vkladov fyzických osôb, </w:t>
      </w:r>
      <w:proofErr w:type="spellStart"/>
      <w:r w:rsidRPr="0055148D">
        <w:rPr>
          <w:rFonts w:ascii="Times New Roman" w:hAnsi="Times New Roman" w:cs="Times New Roman"/>
          <w:sz w:val="24"/>
          <w:szCs w:val="24"/>
        </w:rPr>
        <w:t>mikropodnikov</w:t>
      </w:r>
      <w:proofErr w:type="spellEnd"/>
      <w:r w:rsidRPr="0055148D">
        <w:rPr>
          <w:rFonts w:ascii="Times New Roman" w:hAnsi="Times New Roman" w:cs="Times New Roman"/>
          <w:sz w:val="24"/>
          <w:szCs w:val="24"/>
        </w:rPr>
        <w:t xml:space="preserve">, malých a stredných podnikov, ktoré by boli považované za chránené vklady, ak by neboli vložené do pobočky banky umiestnenej v inom ako členskom štáte </w:t>
      </w:r>
      <w:proofErr w:type="spellStart"/>
      <w:r w:rsidRPr="0055148D">
        <w:rPr>
          <w:rFonts w:ascii="Times New Roman" w:hAnsi="Times New Roman" w:cs="Times New Roman"/>
          <w:sz w:val="24"/>
          <w:szCs w:val="24"/>
        </w:rPr>
        <w:t>Mikropodnikmi</w:t>
      </w:r>
      <w:proofErr w:type="spellEnd"/>
      <w:r w:rsidRPr="0055148D">
        <w:rPr>
          <w:rFonts w:ascii="Times New Roman" w:hAnsi="Times New Roman" w:cs="Times New Roman"/>
          <w:sz w:val="24"/>
          <w:szCs w:val="24"/>
        </w:rPr>
        <w:t>, malými a strednými podnikmi sa rozumejú podniky, ktorých ročný obrat nepresiahne 50 miliónov eur.</w:t>
      </w:r>
    </w:p>
    <w:p w14:paraId="6A597039" w14:textId="63AF6F2D" w:rsidR="00976D25" w:rsidRPr="00951DF0" w:rsidRDefault="00103E43" w:rsidP="00951DF0">
      <w:pPr>
        <w:ind w:firstLine="708"/>
        <w:jc w:val="both"/>
      </w:pP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Návrhom novely zákona o spotrebiteľských úveroch sa zavádza legislatívna úprava, ktorá sa týka najmä financovania pri motorových vozidlách spôsobom, aby sa spotrebiteľovi na konci splácania úveru umožnilo rozhodnúť ako s nadobudnutým automobilom naloží, napr. zaplatením poslednej splátky alebo vrátením leasingovej spoločnosti. Súčasne sa precizuje výnimka z povinnosti overovania informácií súvisiacich s príjmom spotrebiteľa v Sociálnej poisťovni pri tzv. </w:t>
      </w:r>
      <w:proofErr w:type="spellStart"/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predschválenych</w:t>
      </w:r>
      <w:proofErr w:type="spellEnd"/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úveroch. V prípade zákonom splnených náležitostí veriteľ môže ponúkať </w:t>
      </w:r>
      <w:proofErr w:type="spellStart"/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predschválené</w:t>
      </w:r>
      <w:proofErr w:type="spellEnd"/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úvery iba svojim dlhodobým klientom, u ktorých si vie pre</w:t>
      </w:r>
      <w:r w:rsidR="0097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ukázateľne preveriť ich príjem.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Návrhy noviel zákona o úveroch na bývanie a zákona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 spotrebiteľských úveroch reagujú na aplikačnú prax doplnením splnomocňujúceho ustanovenia, na základe ktorého Národná banka Slovenska </w:t>
      </w:r>
      <w:r w:rsidR="008E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môže vydať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opatrenie, v ktorom spresní určité podrobnosti pri výpočte ročnej percentuálnej miery nákladov</w:t>
      </w:r>
      <w:r w:rsidR="001D44CD"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72D5CC" w14:textId="73CBBE89" w:rsidR="00C508C6" w:rsidRDefault="001D44CD" w:rsidP="00976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8D">
        <w:rPr>
          <w:rFonts w:ascii="Times New Roman" w:hAnsi="Times New Roman" w:cs="Times New Roman"/>
          <w:sz w:val="24"/>
          <w:szCs w:val="24"/>
        </w:rPr>
        <w:t>Do zákona o kritickej infraštruktúre</w:t>
      </w:r>
      <w:r w:rsidRPr="0055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8D">
        <w:rPr>
          <w:rFonts w:ascii="Times New Roman" w:hAnsi="Times New Roman" w:cs="Times New Roman"/>
          <w:sz w:val="24"/>
          <w:szCs w:val="24"/>
        </w:rPr>
        <w:t>sa</w:t>
      </w:r>
      <w:r w:rsidRPr="0055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dopĺňa ministerstvo financií ako orgán zodpovedný za štátnu správu na úseku kritickej infraštruktúry pre nový sektor financie a príslušné podsektory a detailne sa vymedzujú výnimky z pôsobnosti dané legislatívou EU. </w:t>
      </w:r>
    </w:p>
    <w:p w14:paraId="15712D68" w14:textId="77777777" w:rsidR="00976D25" w:rsidRPr="0055148D" w:rsidRDefault="00976D25" w:rsidP="00976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2313E" w14:textId="77777777" w:rsidR="00976D25" w:rsidRDefault="004346EA" w:rsidP="0097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5148D">
        <w:rPr>
          <w:rFonts w:ascii="Times New Roman" w:hAnsi="Times New Roman" w:cs="Times New Roman"/>
          <w:sz w:val="24"/>
          <w:szCs w:val="24"/>
        </w:rPr>
        <w:t xml:space="preserve">Úprava zákona o orgánoch štátnej správy v oblasti daní, poplatkov a colníctva </w:t>
      </w:r>
      <w:r w:rsidRPr="0055148D">
        <w:rPr>
          <w:rFonts w:ascii="Times New Roman" w:hAnsi="Times New Roman" w:cs="Times New Roman"/>
          <w:sz w:val="24"/>
          <w:szCs w:val="24"/>
          <w:lang w:eastAsia="sk-SK"/>
        </w:rPr>
        <w:t xml:space="preserve">sa navrhuje s cieľom zabezpečiť vykonávanie analytických činností z úrovne ministerstva financií ako aj finančného riaditeľstva, ktorých primárnym cieľom je okrem iného identifikovať možnosť napĺňania rozpočtu verejnej správy ako aj identifikácia modelov nežiaduceho správania sa subjektov v oblasti daní, poplatkov a colníctva a nástrojov jeho eliminácie. </w:t>
      </w:r>
    </w:p>
    <w:p w14:paraId="12CDCAC8" w14:textId="77777777" w:rsidR="00976D25" w:rsidRDefault="00976D25" w:rsidP="0097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67AC30C" w14:textId="7BE921D6" w:rsidR="00663447" w:rsidRDefault="00C741BB" w:rsidP="00976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nadväznosti na úpravu </w:t>
      </w:r>
      <w:r w:rsidR="0097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o kybernetickej bezpečnosti </w:t>
      </w:r>
      <w:r w:rsidRPr="0055148D">
        <w:rPr>
          <w:rFonts w:ascii="Times New Roman" w:hAnsi="Times New Roman" w:cs="Times New Roman"/>
          <w:color w:val="000000" w:themeColor="text1"/>
          <w:sz w:val="24"/>
          <w:szCs w:val="24"/>
        </w:rPr>
        <w:t>sa bližšie špecifikujú podmienky spolupráce s orgánmi verejnej moci a právnickými osobami v oblasti kybernetickej bezpečnosti, implementuje sa stanovisko Európskej centrálnej banky a tiež sa upravujú niektoré podsektory základnej služby a prevádzkovatelia týchto služieb</w:t>
      </w:r>
      <w:r w:rsidR="00976D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84197" w14:textId="77777777" w:rsidR="00FD4069" w:rsidRDefault="00FD4069" w:rsidP="00976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929AD" w14:textId="58FA7450" w:rsidR="00FD4069" w:rsidRPr="00FD4069" w:rsidRDefault="00FD4069" w:rsidP="00FD40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čl. 16 ods. 1 Legislatívnych pravidiel vlády Slovenskej republiky a podľa rozhodnutia Rady o poradení sa s Európskou centrálnou bankou vnútroštátnymi orgánmi o návrhu právnych predpisov (98/415/ES) (Mimoriadne vydanie Ú. V. EÚ, kap. 01/zv. 01) bol návrh zákona predložený na </w:t>
      </w:r>
      <w:proofErr w:type="spellStart"/>
      <w:r>
        <w:rPr>
          <w:rFonts w:ascii="Times New Roman" w:hAnsi="Times New Roman"/>
          <w:sz w:val="24"/>
          <w:szCs w:val="24"/>
        </w:rPr>
        <w:t>vnútrokomunitárne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 konanie Európskej centrálnej banke. Pripomienky Európskej centrálnej banky boli zapracované do predkladaného návrhu zákona.</w:t>
      </w:r>
    </w:p>
    <w:p w14:paraId="01D2DFDE" w14:textId="77777777" w:rsidR="005B4AF3" w:rsidRPr="000A5F66" w:rsidRDefault="005B4AF3" w:rsidP="004346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28E6C" w14:textId="77777777" w:rsidR="004C218F" w:rsidRPr="001311C8" w:rsidRDefault="004C218F" w:rsidP="00FC0AC2">
      <w:pPr>
        <w:pStyle w:val="Bezriadkovani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11C8">
        <w:rPr>
          <w:rFonts w:ascii="Times New Roman" w:hAnsi="Times New Roman"/>
          <w:color w:val="000000" w:themeColor="text1"/>
          <w:sz w:val="24"/>
          <w:szCs w:val="24"/>
        </w:rPr>
        <w:t xml:space="preserve">Materiál nemá žiadny vplyv na rozpočet verejnej správy (štátny rozpočet, rozpočty obcí, rozpočty vyšších územných celkov) a ani žiadne sociálne vplyvy. Materiál nemá vplyv na životné prostredie, na informatizáciu spoločnosti a na služby verejnej správy pre občana. </w:t>
      </w:r>
    </w:p>
    <w:p w14:paraId="543E727D" w14:textId="77777777" w:rsidR="004C218F" w:rsidRPr="001311C8" w:rsidRDefault="004C218F" w:rsidP="004C218F">
      <w:pPr>
        <w:pStyle w:val="Bezriadkovani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BB1A85" w14:textId="77777777" w:rsidR="004C218F" w:rsidRPr="001311C8" w:rsidRDefault="004C218F" w:rsidP="00FC0AC2">
      <w:pPr>
        <w:pStyle w:val="Bezriadkovani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A50">
        <w:rPr>
          <w:rFonts w:ascii="Times New Roman" w:hAnsi="Times New Roman"/>
          <w:color w:val="000000" w:themeColor="text1"/>
          <w:sz w:val="24"/>
          <w:szCs w:val="24"/>
        </w:rPr>
        <w:t>Materiál má pozitívny a negatívny vplyv na podnikateľské prostredie.</w:t>
      </w:r>
    </w:p>
    <w:p w14:paraId="04DD0FD5" w14:textId="77777777" w:rsidR="00FC0AC2" w:rsidRDefault="00FC0AC2" w:rsidP="00FC0AC2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AF929D" w14:textId="57D5B401" w:rsidR="004C218F" w:rsidRDefault="004C218F" w:rsidP="00FC0AC2">
      <w:pPr>
        <w:pStyle w:val="Bezriadkovani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11C8">
        <w:rPr>
          <w:rFonts w:ascii="Times New Roman" w:hAnsi="Times New Roman"/>
          <w:color w:val="000000" w:themeColor="text1"/>
          <w:sz w:val="24"/>
          <w:szCs w:val="24"/>
        </w:rPr>
        <w:t>Návrh zákona je v súlade s Ústavou Slovenske</w:t>
      </w:r>
      <w:r w:rsidR="00FC0AC2">
        <w:rPr>
          <w:rFonts w:ascii="Times New Roman" w:hAnsi="Times New Roman"/>
          <w:color w:val="000000" w:themeColor="text1"/>
          <w:sz w:val="24"/>
          <w:szCs w:val="24"/>
        </w:rPr>
        <w:t>j republiky, ústavnými zákonmi,</w:t>
      </w:r>
      <w:r w:rsidR="00BA4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11C8">
        <w:rPr>
          <w:rFonts w:ascii="Times New Roman" w:hAnsi="Times New Roman"/>
          <w:color w:val="000000" w:themeColor="text1"/>
          <w:sz w:val="24"/>
          <w:szCs w:val="24"/>
        </w:rPr>
        <w:t>všeobecne záväznými predpismi, právne záväznými aktmi Európskej únie a medzinárodnými zmluvami, ktorými je Slovenská republika viazaná.</w:t>
      </w:r>
    </w:p>
    <w:p w14:paraId="6403FF56" w14:textId="77777777" w:rsidR="00C32080" w:rsidRDefault="00C32080" w:rsidP="00FC0AC2">
      <w:pPr>
        <w:pStyle w:val="Bezriadkovani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5C519D" w14:textId="77777777" w:rsidR="00C32080" w:rsidRDefault="00C32080" w:rsidP="00C320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sa, aby zákon nadobudol účinnosť 1. januára 2019 a okrem čl. V bodov 2, 16, 36 až 38, 40, 41, 43 a 48 a čl. VII bodov 2 až 7,13 a 14, ktoré nadobúdajú účinnosť 21. júla 2019.</w:t>
      </w:r>
    </w:p>
    <w:p w14:paraId="4DB3B18D" w14:textId="77777777" w:rsidR="00C32080" w:rsidRDefault="00C32080" w:rsidP="00C32080">
      <w:pPr>
        <w:jc w:val="both"/>
        <w:rPr>
          <w:rFonts w:ascii="Arial Narrow" w:hAnsi="Arial Narrow"/>
          <w:color w:val="23467F"/>
        </w:rPr>
      </w:pPr>
    </w:p>
    <w:p w14:paraId="01AF4CF0" w14:textId="77777777" w:rsidR="00C32080" w:rsidRPr="009B5BF9" w:rsidRDefault="00C32080" w:rsidP="00C32080">
      <w:pPr>
        <w:pStyle w:val="Normlnywebov"/>
        <w:spacing w:before="0" w:beforeAutospacing="0" w:after="0" w:afterAutospacing="0"/>
        <w:ind w:firstLine="720"/>
        <w:jc w:val="both"/>
      </w:pPr>
    </w:p>
    <w:p w14:paraId="3D27428B" w14:textId="77777777" w:rsidR="00C32080" w:rsidRPr="009B5BF9" w:rsidRDefault="00C32080" w:rsidP="00C32080">
      <w:pPr>
        <w:pStyle w:val="Normlnywebov"/>
        <w:spacing w:before="0" w:beforeAutospacing="0" w:after="0" w:afterAutospacing="0"/>
        <w:jc w:val="both"/>
      </w:pPr>
      <w:r w:rsidRPr="009B5BF9">
        <w:t>              </w:t>
      </w:r>
      <w:bookmarkStart w:id="0" w:name="_GoBack"/>
      <w:bookmarkEnd w:id="0"/>
    </w:p>
    <w:p w14:paraId="08676362" w14:textId="77777777" w:rsidR="00C32080" w:rsidRPr="001311C8" w:rsidRDefault="00C32080" w:rsidP="00FC0AC2">
      <w:pPr>
        <w:pStyle w:val="Bezriadkovani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0120D2" w14:textId="77777777" w:rsidR="00552A46" w:rsidRPr="001311C8" w:rsidRDefault="00552A46" w:rsidP="00AC7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2A46" w:rsidRPr="001311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056C" w14:textId="77777777" w:rsidR="00B43DD1" w:rsidRDefault="00B43DD1" w:rsidP="00C95888">
      <w:pPr>
        <w:spacing w:after="0" w:line="240" w:lineRule="auto"/>
      </w:pPr>
      <w:r>
        <w:separator/>
      </w:r>
    </w:p>
  </w:endnote>
  <w:endnote w:type="continuationSeparator" w:id="0">
    <w:p w14:paraId="50BCE4C1" w14:textId="77777777" w:rsidR="00B43DD1" w:rsidRDefault="00B43DD1" w:rsidP="00C9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461791"/>
      <w:docPartObj>
        <w:docPartGallery w:val="Page Numbers (Bottom of Page)"/>
        <w:docPartUnique/>
      </w:docPartObj>
    </w:sdtPr>
    <w:sdtEndPr/>
    <w:sdtContent>
      <w:p w14:paraId="5F9CFF61" w14:textId="44832DAA" w:rsidR="00C95888" w:rsidRDefault="00C958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080">
          <w:rPr>
            <w:noProof/>
          </w:rPr>
          <w:t>3</w:t>
        </w:r>
        <w:r>
          <w:fldChar w:fldCharType="end"/>
        </w:r>
      </w:p>
    </w:sdtContent>
  </w:sdt>
  <w:p w14:paraId="441BD420" w14:textId="77777777" w:rsidR="00C95888" w:rsidRDefault="00C958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B84DC" w14:textId="77777777" w:rsidR="00B43DD1" w:rsidRDefault="00B43DD1" w:rsidP="00C95888">
      <w:pPr>
        <w:spacing w:after="0" w:line="240" w:lineRule="auto"/>
      </w:pPr>
      <w:r>
        <w:separator/>
      </w:r>
    </w:p>
  </w:footnote>
  <w:footnote w:type="continuationSeparator" w:id="0">
    <w:p w14:paraId="0EA236EF" w14:textId="77777777" w:rsidR="00B43DD1" w:rsidRDefault="00B43DD1" w:rsidP="00C9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EC1"/>
    <w:multiLevelType w:val="hybridMultilevel"/>
    <w:tmpl w:val="F1D2A0E4"/>
    <w:lvl w:ilvl="0" w:tplc="832EFB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16B0"/>
    <w:multiLevelType w:val="hybridMultilevel"/>
    <w:tmpl w:val="68AC03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7041"/>
    <w:multiLevelType w:val="hybridMultilevel"/>
    <w:tmpl w:val="3836C26C"/>
    <w:lvl w:ilvl="0" w:tplc="22BE1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28D4"/>
    <w:multiLevelType w:val="hybridMultilevel"/>
    <w:tmpl w:val="10084AD0"/>
    <w:lvl w:ilvl="0" w:tplc="FC0AB4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25EB"/>
    <w:multiLevelType w:val="hybridMultilevel"/>
    <w:tmpl w:val="28C0B3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D"/>
    <w:rsid w:val="000007E6"/>
    <w:rsid w:val="000036E5"/>
    <w:rsid w:val="00004FB6"/>
    <w:rsid w:val="00017D5F"/>
    <w:rsid w:val="00027E20"/>
    <w:rsid w:val="00062E28"/>
    <w:rsid w:val="00071827"/>
    <w:rsid w:val="000718B5"/>
    <w:rsid w:val="00091A50"/>
    <w:rsid w:val="00091C46"/>
    <w:rsid w:val="00094E12"/>
    <w:rsid w:val="000A5074"/>
    <w:rsid w:val="000A5F66"/>
    <w:rsid w:val="000B6C86"/>
    <w:rsid w:val="000E7BDE"/>
    <w:rsid w:val="00103E43"/>
    <w:rsid w:val="001123EA"/>
    <w:rsid w:val="00112828"/>
    <w:rsid w:val="00120FA9"/>
    <w:rsid w:val="001311C8"/>
    <w:rsid w:val="00174A15"/>
    <w:rsid w:val="00175172"/>
    <w:rsid w:val="00186F62"/>
    <w:rsid w:val="001A5789"/>
    <w:rsid w:val="001B49A0"/>
    <w:rsid w:val="001B7398"/>
    <w:rsid w:val="001C3A9B"/>
    <w:rsid w:val="001C4EA7"/>
    <w:rsid w:val="001D44CD"/>
    <w:rsid w:val="001D5606"/>
    <w:rsid w:val="001E3BA7"/>
    <w:rsid w:val="001E4135"/>
    <w:rsid w:val="00207706"/>
    <w:rsid w:val="002114DF"/>
    <w:rsid w:val="00215E89"/>
    <w:rsid w:val="0026468E"/>
    <w:rsid w:val="00291124"/>
    <w:rsid w:val="002A3505"/>
    <w:rsid w:val="002D3DA7"/>
    <w:rsid w:val="002D4D8E"/>
    <w:rsid w:val="00303049"/>
    <w:rsid w:val="00317D40"/>
    <w:rsid w:val="00327873"/>
    <w:rsid w:val="003472D7"/>
    <w:rsid w:val="003667AB"/>
    <w:rsid w:val="003872B8"/>
    <w:rsid w:val="003C70C1"/>
    <w:rsid w:val="003F1D38"/>
    <w:rsid w:val="003F1F11"/>
    <w:rsid w:val="003F32E0"/>
    <w:rsid w:val="004346EA"/>
    <w:rsid w:val="00475EBD"/>
    <w:rsid w:val="004C218F"/>
    <w:rsid w:val="004C3E53"/>
    <w:rsid w:val="004C7AC2"/>
    <w:rsid w:val="004D0880"/>
    <w:rsid w:val="004E68CA"/>
    <w:rsid w:val="0050679A"/>
    <w:rsid w:val="00516564"/>
    <w:rsid w:val="00530130"/>
    <w:rsid w:val="0055148D"/>
    <w:rsid w:val="00552A46"/>
    <w:rsid w:val="00577856"/>
    <w:rsid w:val="005A2598"/>
    <w:rsid w:val="005B4AF3"/>
    <w:rsid w:val="005E073C"/>
    <w:rsid w:val="005E6D5F"/>
    <w:rsid w:val="006026DD"/>
    <w:rsid w:val="00645512"/>
    <w:rsid w:val="00663447"/>
    <w:rsid w:val="00685E79"/>
    <w:rsid w:val="006B2A59"/>
    <w:rsid w:val="00700242"/>
    <w:rsid w:val="007062AD"/>
    <w:rsid w:val="00717B65"/>
    <w:rsid w:val="00737F01"/>
    <w:rsid w:val="00745609"/>
    <w:rsid w:val="007A37D2"/>
    <w:rsid w:val="007B705C"/>
    <w:rsid w:val="007C7BE6"/>
    <w:rsid w:val="007E4BB5"/>
    <w:rsid w:val="00805CFF"/>
    <w:rsid w:val="008137BB"/>
    <w:rsid w:val="00824CE4"/>
    <w:rsid w:val="00870446"/>
    <w:rsid w:val="00882F2B"/>
    <w:rsid w:val="0088311D"/>
    <w:rsid w:val="008B50D6"/>
    <w:rsid w:val="008E2749"/>
    <w:rsid w:val="008F1748"/>
    <w:rsid w:val="0091572E"/>
    <w:rsid w:val="00931ACB"/>
    <w:rsid w:val="009409CB"/>
    <w:rsid w:val="0094318F"/>
    <w:rsid w:val="00950828"/>
    <w:rsid w:val="00951DF0"/>
    <w:rsid w:val="00976916"/>
    <w:rsid w:val="00976D25"/>
    <w:rsid w:val="00977C08"/>
    <w:rsid w:val="00991C8A"/>
    <w:rsid w:val="009B4793"/>
    <w:rsid w:val="009C266B"/>
    <w:rsid w:val="009C31B5"/>
    <w:rsid w:val="009D5F41"/>
    <w:rsid w:val="009F0312"/>
    <w:rsid w:val="00A3152D"/>
    <w:rsid w:val="00A665B4"/>
    <w:rsid w:val="00A83573"/>
    <w:rsid w:val="00A925A2"/>
    <w:rsid w:val="00A9481D"/>
    <w:rsid w:val="00AC76D2"/>
    <w:rsid w:val="00B04631"/>
    <w:rsid w:val="00B07497"/>
    <w:rsid w:val="00B43DD1"/>
    <w:rsid w:val="00B461E8"/>
    <w:rsid w:val="00B463FF"/>
    <w:rsid w:val="00B52C7B"/>
    <w:rsid w:val="00BA4CD8"/>
    <w:rsid w:val="00BC0AC2"/>
    <w:rsid w:val="00BC0D52"/>
    <w:rsid w:val="00BE4720"/>
    <w:rsid w:val="00C03819"/>
    <w:rsid w:val="00C03DC5"/>
    <w:rsid w:val="00C32080"/>
    <w:rsid w:val="00C40CD1"/>
    <w:rsid w:val="00C508C6"/>
    <w:rsid w:val="00C55542"/>
    <w:rsid w:val="00C70732"/>
    <w:rsid w:val="00C72932"/>
    <w:rsid w:val="00C741BB"/>
    <w:rsid w:val="00C95888"/>
    <w:rsid w:val="00C967E4"/>
    <w:rsid w:val="00CE763C"/>
    <w:rsid w:val="00CF1ABF"/>
    <w:rsid w:val="00D03176"/>
    <w:rsid w:val="00D1114D"/>
    <w:rsid w:val="00D14FFB"/>
    <w:rsid w:val="00D175C4"/>
    <w:rsid w:val="00D25B7E"/>
    <w:rsid w:val="00D36095"/>
    <w:rsid w:val="00D716B0"/>
    <w:rsid w:val="00D758DC"/>
    <w:rsid w:val="00D9373D"/>
    <w:rsid w:val="00DB01EB"/>
    <w:rsid w:val="00DE3EA4"/>
    <w:rsid w:val="00E26FF8"/>
    <w:rsid w:val="00E452DC"/>
    <w:rsid w:val="00E47823"/>
    <w:rsid w:val="00E6102A"/>
    <w:rsid w:val="00EB0F28"/>
    <w:rsid w:val="00EB5659"/>
    <w:rsid w:val="00F27BBC"/>
    <w:rsid w:val="00F365AE"/>
    <w:rsid w:val="00F51462"/>
    <w:rsid w:val="00F60CDA"/>
    <w:rsid w:val="00F66E25"/>
    <w:rsid w:val="00FA099B"/>
    <w:rsid w:val="00FB395D"/>
    <w:rsid w:val="00FC0AC2"/>
    <w:rsid w:val="00FC46D7"/>
    <w:rsid w:val="00FC6C04"/>
    <w:rsid w:val="00FD4069"/>
    <w:rsid w:val="00FD5581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B015"/>
  <w15:chartTrackingRefBased/>
  <w15:docId w15:val="{90F7F152-78B9-4AA5-BA0C-C6546DF9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C70C1"/>
    <w:rPr>
      <w:color w:val="0000FF"/>
      <w:u w:val="single"/>
    </w:rPr>
  </w:style>
  <w:style w:type="character" w:customStyle="1" w:styleId="footnotereference">
    <w:name w:val="footnotereference"/>
    <w:basedOn w:val="Predvolenpsmoodseku"/>
    <w:rsid w:val="003C70C1"/>
  </w:style>
  <w:style w:type="paragraph" w:customStyle="1" w:styleId="typedudocumentcp2">
    <w:name w:val="typedudocument_cp2"/>
    <w:basedOn w:val="Normlny"/>
    <w:rsid w:val="00BC0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itreobjetcp2">
    <w:name w:val="titreobjet_cp2"/>
    <w:basedOn w:val="Normlny"/>
    <w:rsid w:val="00BC0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552A46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5F41"/>
    <w:pPr>
      <w:ind w:left="720"/>
      <w:contextualSpacing/>
    </w:pPr>
  </w:style>
  <w:style w:type="character" w:styleId="Zstupntext">
    <w:name w:val="Placeholder Text"/>
    <w:uiPriority w:val="99"/>
    <w:semiHidden/>
    <w:rsid w:val="00D03176"/>
    <w:rPr>
      <w:rFonts w:ascii="Times New Roman" w:hAnsi="Times New Roman"/>
      <w:color w:val="808080"/>
    </w:rPr>
  </w:style>
  <w:style w:type="paragraph" w:styleId="Zkladntext">
    <w:name w:val="Body Text"/>
    <w:basedOn w:val="Normlny"/>
    <w:link w:val="ZkladntextChar"/>
    <w:uiPriority w:val="99"/>
    <w:unhideWhenUsed/>
    <w:rsid w:val="00A3152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3152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B39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B39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-ti">
    <w:name w:val="doc-ti"/>
    <w:basedOn w:val="Normlny"/>
    <w:rsid w:val="00091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DC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23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23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23E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23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23EA"/>
    <w:rPr>
      <w:b/>
      <w:bCs/>
      <w:sz w:val="20"/>
      <w:szCs w:val="20"/>
    </w:rPr>
  </w:style>
  <w:style w:type="paragraph" w:customStyle="1" w:styleId="Default">
    <w:name w:val="Default"/>
    <w:basedOn w:val="Normlny"/>
    <w:rsid w:val="006B2A59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9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88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114DF"/>
  </w:style>
  <w:style w:type="paragraph" w:styleId="Normlnywebov">
    <w:name w:val="Normal (Web)"/>
    <w:basedOn w:val="Normlny"/>
    <w:uiPriority w:val="99"/>
    <w:unhideWhenUsed/>
    <w:rsid w:val="00C3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1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85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6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08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0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30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2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7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ŠEOBECNA-DOVODOVA-SPRAVA"/>
    <f:field ref="objsubject" par="" edit="true" text=""/>
    <f:field ref="objcreatedby" par="" text="Administrator, System"/>
    <f:field ref="objcreatedat" par="" text="11.7.2018 17:07:12"/>
    <f:field ref="objchangedby" par="" text="Administrator, System"/>
    <f:field ref="objmodifiedat" par="" text="11.7.2018 17:07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8B8E91-6A99-4C24-819C-225D635F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1945</Words>
  <Characters>11092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Cirakova Lucia</dc:creator>
  <cp:keywords/>
  <dc:description/>
  <cp:lastModifiedBy>Cirakova Lucia</cp:lastModifiedBy>
  <cp:revision>75</cp:revision>
  <cp:lastPrinted>2018-07-26T08:14:00Z</cp:lastPrinted>
  <dcterms:created xsi:type="dcterms:W3CDTF">2018-07-27T08:38:00Z</dcterms:created>
  <dcterms:modified xsi:type="dcterms:W3CDTF">2018-09-20T07:44:00Z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o&amp;nbsp;príprave návrhu zákona, ktorým sa mení a&amp;nbsp;dopĺňa zákon č. 371/2014 Z. z. o riešení krízových situácií na finančnom trhu a o zmene a doplnení niektorých zákonov v&amp;nbsp;znení zákona č. 39/2015 Z. z.,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Lucia Ciráková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Zákon, ktorým sa mení a dopĺňa zákon č. 371/2014 o riešení krízových situácií na finančnom trhu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na rok 2018</vt:lpwstr>
  </property>
  <property fmtid="{D5CDD505-2E9C-101B-9397-08002B2CF9AE}" pid="23" name="FSC#SKEDITIONSLOVLEX@103.510:plnynazovpredpis">
    <vt:lpwstr> Zákon, ktorým sa mení a dopĺňa zákon č. 371/2014 o riešení krízových situácií na finančnom trhu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MF/014427/2018-635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LP/2018/517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-	čl. 3 ods. 1 písm. b), čl. 4, čl. 26 ods. 2, čl. 49 až 66, čl. 107 až 109, čl. 114 a čl. 169 Zmluvy o fungovaní Európskej únie, </vt:lpwstr>
  </property>
  <property fmtid="{D5CDD505-2E9C-101B-9397-08002B2CF9AE}" pid="47" name="FSC#SKEDITIONSLOVLEX@103.510:AttrStrListDocPropSekundarneLegPravoPO">
    <vt:lpwstr>-	smernica Európskeho parlamentu a Rady (EÚ) 2017/2399 z 12. decembra 2017, ktorou sa mení smernica 2014/59/EÚ, pokiaľ ide o postavenie nezabezpečených dlhových nástrojov v hierarchii konkurzného konania (Ú. v. EÚ L 345, 27.12.2017), gestor: MF SR, spolug</vt:lpwstr>
  </property>
  <property fmtid="{D5CDD505-2E9C-101B-9397-08002B2CF9AE}" pid="48" name="FSC#SKEDITIONSLOVLEX@103.510:AttrStrListDocPropSekundarneNelegPravoPO">
    <vt:lpwstr>-	delegovaná smernica Komisie (EÚ) 2017/593 zo 7. apríla 2016, ktorou sa dopĺňa smernica Európskeho parlamentu a Rady 2014/65/EÚ, pokiaľ ide o ochranu finančných nástrojov a finančných prostriedkov patriacich klientom, povinnosti v oblasti riadenia produk</vt:lpwstr>
  </property>
  <property fmtid="{D5CDD505-2E9C-101B-9397-08002B2CF9AE}" pid="49" name="FSC#SKEDITIONSLOVLEX@103.510:AttrStrListDocPropSekundarneLegPravoDO">
    <vt:lpwstr>-	smernica Európskeho parlamentu a Rady 2009/65/ES z 13. júla 2009 o koordinácii zákonov, iných právnych predpisov a správnych opatrení týkajúcich sa podnikov kolektívneho investovania do prevoditeľných cenných papierov (PKIPCP) (prepracované znenie) (Ú.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rozhodnutie Súdneho dvora vo veci C - 88/13, Philippe Gruslin proti Beobank SA, [2014].</vt:lpwstr>
  </property>
  <property fmtid="{D5CDD505-2E9C-101B-9397-08002B2CF9AE}" pid="52" name="FSC#SKEDITIONSLOVLEX@103.510:AttrStrListDocPropLehotaPrebratieSmernice">
    <vt:lpwstr>a)	Lehota na prebranie smernice (EÚ) 2017/2399 bola určená do 29.12. 2018._x000d_
Lehota na prebranie delegovanej smernice (EÚ) 2017/593 bola určená do 3.7. 2017. _x000d_
Lehota na prebranie smernice (EÚ) 2015/2366 bola určená do 13.1. 2018. _x000d_
Lehota na prebratie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b)	Proti Slovenskej republike nebolo začaté konanie v rámci „EÚ Pilot“._x000d_
Proti Slovenskej republike bolo začatý postup EK:_x000d_
_x000d_
-	 konanie č. 2017/0508 v súvislosti zo smernicou 2014/65/ES,_x000d_
-	 konanie č. 2017/0509 v súvislosti zo smernicou (EÚ) 2016/1034,_x000d_</vt:lpwstr>
  </property>
  <property fmtid="{D5CDD505-2E9C-101B-9397-08002B2CF9AE}" pid="55" name="FSC#SKEDITIONSLOVLEX@103.510:AttrStrListDocPropInfoUzPreberanePP">
    <vt:lpwstr>c)	Smernica (EÚ) 2017/2399 bola prebratá do zákona č. 371/2014 Z. z. o riešení krízových situácií na finančnom trhu a o zmene a doplnení niektorých zákonov v znení neskorších predpisov._x000d_
_x000d_
Delegovaná smernica (EÚ) 2017/593 bola prebratá do zákona č. 566/2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financií Slovenskej republiky_x000d_
Národná banka Slovenska</vt:lpwstr>
  </property>
  <property fmtid="{D5CDD505-2E9C-101B-9397-08002B2CF9AE}" pid="58" name="FSC#SKEDITIONSLOVLEX@103.510:AttrDateDocPropZaciatokPKK">
    <vt:lpwstr>26. 6. 2018</vt:lpwstr>
  </property>
  <property fmtid="{D5CDD505-2E9C-101B-9397-08002B2CF9AE}" pid="59" name="FSC#SKEDITIONSLOVLEX@103.510:AttrDateDocPropUkonceniePKK">
    <vt:lpwstr>2. 7. 2018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Stanovisko z PPK negatívne - doriešenie v rámci procesu MPK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Kažimír_x000d_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financií Slovenskej republiky predkladá na vnútrorezortné pripomienkové konanie návrh zákona, ktorým sa mení a dopĺňa č. 371/2014 Z. z. o riešení krízových situácií na finančnom trhu a o zmene a doplnení niektorých zákonov v&amp;nbsp;znení zák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COO.2145.1000.3.2832000</vt:lpwstr>
  </property>
  <property fmtid="{D5CDD505-2E9C-101B-9397-08002B2CF9AE}" pid="152" name="FSC#FSCFOLIO@1.1001:docpropproject">
    <vt:lpwstr/>
  </property>
</Properties>
</file>