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E952E6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E952E6" w:rsidRDefault="00E952E6" w:rsidP="00133847">
            <w:r w:rsidRPr="00E952E6">
              <w:t xml:space="preserve">Úpravy navrhované v  zákone o hazardných hrách sa týkajú podnikateľských subjektov pôsobiacich </w:t>
            </w:r>
            <w:r w:rsidR="00244684">
              <w:t xml:space="preserve">v </w:t>
            </w:r>
            <w:r w:rsidRPr="00E952E6">
              <w:t>oblasti hazardných hier</w:t>
            </w:r>
            <w:r>
              <w:t xml:space="preserve"> na Slovensku</w:t>
            </w:r>
            <w:r w:rsidR="00133847">
              <w:t xml:space="preserve">, a to </w:t>
            </w:r>
            <w:r w:rsidRPr="00E952E6">
              <w:t>cca 1</w:t>
            </w:r>
            <w:r w:rsidR="00133847">
              <w:t>5</w:t>
            </w:r>
            <w:r w:rsidRPr="00E952E6">
              <w:t xml:space="preserve">0 </w:t>
            </w:r>
            <w:r w:rsidR="00133847">
              <w:t xml:space="preserve">týchto </w:t>
            </w:r>
            <w:r>
              <w:t>s</w:t>
            </w:r>
            <w:r w:rsidR="00133847">
              <w:t>ubjektov.</w:t>
            </w:r>
            <w:r>
              <w:t xml:space="preserve"> 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E952E6" w:rsidRPr="00E952E6" w:rsidRDefault="00E952E6" w:rsidP="00E952E6">
            <w:r w:rsidRPr="00E952E6">
              <w:t xml:space="preserve">Problematika týkajúca sa predkladaného návrhu bola konzultovaná </w:t>
            </w:r>
            <w:r w:rsidR="00133847">
              <w:t xml:space="preserve">so </w:t>
            </w:r>
            <w:r w:rsidRPr="00E952E6">
              <w:t xml:space="preserve">všetkými </w:t>
            </w:r>
            <w:r w:rsidR="00133847">
              <w:t>subjektami,</w:t>
            </w:r>
            <w:r w:rsidRPr="00E952E6">
              <w:t xml:space="preserve"> ktorí prejavili o </w:t>
            </w:r>
            <w:r w:rsidR="001D6891">
              <w:t>konzultáciu</w:t>
            </w:r>
            <w:r w:rsidRPr="00E952E6">
              <w:t xml:space="preserve"> záujem na základe zverejnenia predbežnej informácie na portáli Slov-lex, konkrétne so zástupcami Aliancie za čisté hra</w:t>
            </w:r>
            <w:r>
              <w:t>nie, Iniciatívy Zastavme hazard</w:t>
            </w:r>
            <w:r w:rsidR="001D6891">
              <w:t>,</w:t>
            </w:r>
            <w:r w:rsidRPr="00E952E6">
              <w:t xml:space="preserve"> Zväzu cestovného ruchu SR</w:t>
            </w:r>
            <w:r w:rsidR="001D6891">
              <w:t>, Konferencie biskupov Slovenska,</w:t>
            </w:r>
            <w:r w:rsidR="001D6891" w:rsidRPr="008032C8">
              <w:t xml:space="preserve"> </w:t>
            </w:r>
            <w:r w:rsidR="001D6891">
              <w:t xml:space="preserve">a </w:t>
            </w:r>
            <w:r w:rsidR="001D6891" w:rsidRPr="008032C8">
              <w:t>prevádzkovateľ</w:t>
            </w:r>
            <w:r w:rsidR="001D6891">
              <w:t>m</w:t>
            </w:r>
            <w:r w:rsidR="00133847">
              <w:t>i</w:t>
            </w:r>
            <w:r w:rsidR="001D6891" w:rsidRPr="008032C8">
              <w:t xml:space="preserve"> hazardných hier</w:t>
            </w:r>
            <w:r w:rsidR="001D6891">
              <w:t>.</w:t>
            </w:r>
            <w:r w:rsidR="001D6891" w:rsidRPr="008032C8">
              <w:t xml:space="preserve">  </w:t>
            </w:r>
            <w:r w:rsidRPr="00E952E6">
              <w:tab/>
            </w:r>
          </w:p>
          <w:p w:rsidR="00E952E6" w:rsidRDefault="00E952E6" w:rsidP="003C28D4">
            <w:r w:rsidRPr="00E952E6">
              <w:t xml:space="preserve">Konzultácie sa uskutočnili </w:t>
            </w:r>
            <w:r>
              <w:t xml:space="preserve">koncom </w:t>
            </w:r>
            <w:r w:rsidRPr="00E952E6">
              <w:t xml:space="preserve">mesiaca </w:t>
            </w:r>
            <w:r>
              <w:t>október 2017</w:t>
            </w:r>
            <w:r w:rsidRPr="00E952E6">
              <w:t xml:space="preserve">, uskutočnili sa s každým subjektom samostatne, doba trvania konzultácie bola minimálne 1 hodinu. </w:t>
            </w:r>
            <w:r>
              <w:t xml:space="preserve"> </w:t>
            </w:r>
            <w:r w:rsidRPr="00E952E6">
              <w:t>Každý subjekt bol informovaný o základných cieľoch</w:t>
            </w:r>
            <w:r>
              <w:t xml:space="preserve"> právnej úpravy. </w:t>
            </w:r>
            <w:r w:rsidRPr="00E952E6">
              <w:t xml:space="preserve">Každý subjekt bol informovaný, že paragrafové znenie zákona o hazardných </w:t>
            </w:r>
            <w:r w:rsidR="003C28D4">
              <w:t>hrách</w:t>
            </w:r>
            <w:r w:rsidR="00B82D90">
              <w:t xml:space="preserve"> </w:t>
            </w:r>
            <w:r w:rsidRPr="00E952E6">
              <w:t>bude k dispozícii v medzirezortnom pripomienkovom konaní a v prípade otázok je možné si dohodnúť stretnutie a ďalšiu diskusiu.</w:t>
            </w:r>
            <w:r w:rsidRPr="00E952E6">
              <w:tab/>
            </w:r>
            <w:r w:rsidRPr="00E952E6">
              <w:tab/>
            </w:r>
          </w:p>
          <w:p w:rsidR="00E952E6" w:rsidRDefault="00E952E6" w:rsidP="00E952E6"/>
          <w:p w:rsidR="00133847" w:rsidRPr="00133847" w:rsidRDefault="00133847" w:rsidP="00133847">
            <w:r>
              <w:t>Konzultácie boli k obsahu návrhu zákona, ktorý</w:t>
            </w:r>
            <w:r w:rsidRPr="00133847">
              <w:t xml:space="preserve"> </w:t>
            </w:r>
          </w:p>
          <w:p w:rsidR="00133847" w:rsidRPr="00133847" w:rsidRDefault="00133847" w:rsidP="0013384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3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vymedzuje hazardné hry, charakteristiku jednotlivých druhov hazardných hier, podmienky získania licencie a prevádzkovania hazardných hier, </w:t>
            </w:r>
          </w:p>
          <w:p w:rsidR="00133847" w:rsidRPr="00133847" w:rsidRDefault="00133847" w:rsidP="0013384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3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upravuje podmienky vzniku Úradu pre reguláciu, pôsobnosť orgánov štátnej správy a obcí, </w:t>
            </w:r>
          </w:p>
          <w:p w:rsidR="00133847" w:rsidRPr="00133847" w:rsidRDefault="00133847" w:rsidP="0013384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3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zavádza opatrenia napomáhajúce k ochrane hráča s dôrazom  na nastavenie podmienok pre zodpovedné hranie, </w:t>
            </w:r>
          </w:p>
          <w:p w:rsidR="00133847" w:rsidRPr="00133847" w:rsidRDefault="00133847" w:rsidP="0013384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3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upravuje problematiku odborného posudzovania zariadení používaných pri prevádzkovaní hazardných hier, </w:t>
            </w:r>
          </w:p>
          <w:p w:rsidR="00133847" w:rsidRPr="00133847" w:rsidRDefault="00133847" w:rsidP="0013384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3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vymedzuje dozor nad hazardnými hrami, postup pri výkone dozoru a sankcie pri porušení povinností subjektami pôsobiacimi v oblasti hazardných hier,</w:t>
            </w:r>
          </w:p>
          <w:p w:rsidR="00133847" w:rsidRPr="00133847" w:rsidRDefault="00133847" w:rsidP="0013384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3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ustanovuje niektoré podmienky vzniku a postavenia národnej lotériovej spoločnosti,</w:t>
            </w:r>
          </w:p>
          <w:p w:rsidR="00133847" w:rsidRPr="00133847" w:rsidRDefault="00133847" w:rsidP="003C2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3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prehodnocuje prístup k internetovým hrám a  zavádza nové vymedzenie  jednotlivých druhov hazardných hier vrátane vytvorenia novej štruktúry a hierarchie licencií.</w:t>
            </w:r>
          </w:p>
          <w:p w:rsidR="00E952E6" w:rsidRPr="00E952E6" w:rsidRDefault="00E952E6" w:rsidP="00E952E6"/>
          <w:p w:rsidR="009F2DFA" w:rsidRPr="00F04CCD" w:rsidRDefault="00133847" w:rsidP="00133847">
            <w:pPr>
              <w:rPr>
                <w:i/>
              </w:rPr>
            </w:pPr>
            <w:r>
              <w:t>N</w:t>
            </w:r>
            <w:r w:rsidR="00E952E6" w:rsidRPr="00E952E6">
              <w:t>ávrhy vznesené v rámci konzultácií b</w:t>
            </w:r>
            <w:r>
              <w:t>udú predmetom ďalších diskusií v rámci legislatívneho procesu.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E12986" w:rsidRDefault="00DF4261" w:rsidP="005464C7">
            <w:pPr>
              <w:jc w:val="both"/>
            </w:pPr>
            <w:r w:rsidRPr="00DF4261">
              <w:t>Zvýšením odvodu z</w:t>
            </w:r>
            <w:r>
              <w:t> </w:t>
            </w:r>
            <w:r w:rsidRPr="00DF4261">
              <w:t>prevádzkovani</w:t>
            </w:r>
            <w:r>
              <w:t xml:space="preserve">a hazardných hier na </w:t>
            </w:r>
            <w:r w:rsidRPr="00DF4261">
              <w:t xml:space="preserve"> výherných prístrojoch </w:t>
            </w:r>
            <w:r>
              <w:t>a zmenou systému úhrady správnych poplatkov dôjde k</w:t>
            </w:r>
            <w:r w:rsidR="00E12986">
              <w:t xml:space="preserve"> zníženiu počtu výherných prístrojov, </w:t>
            </w:r>
            <w:r w:rsidR="00902863">
              <w:t xml:space="preserve">s </w:t>
            </w:r>
            <w:r w:rsidR="00E12986">
              <w:t>neutrálny</w:t>
            </w:r>
            <w:r w:rsidR="00902863">
              <w:t>m</w:t>
            </w:r>
            <w:r w:rsidR="00E12986">
              <w:t xml:space="preserve"> vplyv</w:t>
            </w:r>
            <w:r w:rsidR="00902863">
              <w:t>om</w:t>
            </w:r>
            <w:r w:rsidR="00E12986">
              <w:t xml:space="preserve"> na </w:t>
            </w:r>
            <w:r w:rsidR="00902863">
              <w:t>p</w:t>
            </w:r>
            <w:r w:rsidR="00E12986">
              <w:t xml:space="preserve">revádzkovateľov týchto hazardných hier. </w:t>
            </w:r>
          </w:p>
          <w:p w:rsidR="00AB3E52" w:rsidRDefault="005464C7" w:rsidP="005464C7">
            <w:pPr>
              <w:jc w:val="both"/>
            </w:pPr>
            <w:r>
              <w:t>P</w:t>
            </w:r>
            <w:r w:rsidR="00AB3E52">
              <w:t>revádzkovatelia budú uhrádzať odvody z výťažku z prevádzkovania hazardných hier.</w:t>
            </w:r>
            <w:r>
              <w:t xml:space="preserve"> </w:t>
            </w:r>
            <w:r w:rsidR="00AB3E52">
              <w:t xml:space="preserve">Keďže ide o viac druhov nových licencií </w:t>
            </w:r>
            <w:r>
              <w:t>s</w:t>
            </w:r>
            <w:r w:rsidR="00AB3E52">
              <w:t> rôznym spôsobom a výškou úhrady odvodu</w:t>
            </w:r>
            <w:r w:rsidR="00492B26">
              <w:t>,</w:t>
            </w:r>
            <w:r w:rsidR="00AB3E52">
              <w:t xml:space="preserve"> predkladateľ uvádza len odkaz na </w:t>
            </w:r>
            <w:r w:rsidR="00492B26">
              <w:t>§</w:t>
            </w:r>
            <w:r w:rsidR="00AB3E52">
              <w:t xml:space="preserve"> 6</w:t>
            </w:r>
            <w:r w:rsidR="00C618BE">
              <w:t>4</w:t>
            </w:r>
            <w:r>
              <w:t xml:space="preserve"> zákon</w:t>
            </w:r>
            <w:r w:rsidR="00492B26">
              <w:t>a</w:t>
            </w:r>
            <w:r w:rsidR="00AB3E52">
              <w:t xml:space="preserve">, ktorý výšku odvodu konkrétne stanovuje. </w:t>
            </w:r>
          </w:p>
          <w:p w:rsidR="00584B72" w:rsidRPr="00DF4261" w:rsidRDefault="00077F2B" w:rsidP="005464C7">
            <w:pPr>
              <w:jc w:val="both"/>
            </w:pPr>
            <w:r>
              <w:t>Navrhovaným zákonom sa od 1.</w:t>
            </w:r>
            <w:r w:rsidR="0022547A">
              <w:t>6</w:t>
            </w:r>
            <w:r>
              <w:t>.20</w:t>
            </w:r>
            <w:r w:rsidR="00244684">
              <w:t>19</w:t>
            </w:r>
            <w:r>
              <w:t xml:space="preserve"> zriadi Úrad pre reguláciu hazardný</w:t>
            </w:r>
            <w:r w:rsidR="008A24D5">
              <w:t>ch</w:t>
            </w:r>
            <w:r>
              <w:t xml:space="preserve"> h</w:t>
            </w:r>
            <w:r w:rsidR="008A24D5">
              <w:t>ie</w:t>
            </w:r>
            <w:r>
              <w:t xml:space="preserve">r, pričom na náklady na jeho činnosť budú prispievať všetci prevádzkovatelia </w:t>
            </w:r>
            <w:r w:rsidRPr="00C618BE">
              <w:t xml:space="preserve">hazardných hier. Navrhuje sa, aby bol úrad financovaný </w:t>
            </w:r>
            <w:r w:rsidR="00054C99" w:rsidRPr="00C618BE">
              <w:t>vo výške 0,</w:t>
            </w:r>
            <w:r w:rsidR="0022547A">
              <w:t>7</w:t>
            </w:r>
            <w:r w:rsidR="00054C99" w:rsidRPr="00C618BE">
              <w:t xml:space="preserve"> %</w:t>
            </w:r>
            <w:r w:rsidRPr="00C618BE">
              <w:t xml:space="preserve"> z výťažku z prevádzkovania hazardných hier, ktorý je rozdiel medzi vkladmi a výhrami. Pri niektorých typoch lotériových hier sa ako základ stanovila herná istina, čo vyplýva z charakteru týchto hier. </w:t>
            </w:r>
            <w:r w:rsidR="0066240C" w:rsidRPr="00C618BE">
              <w:t xml:space="preserve"> 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BD6282" w:rsidRDefault="00B662E6" w:rsidP="007B71A4">
            <w:pPr>
              <w:rPr>
                <w:i/>
              </w:rPr>
            </w:pPr>
            <w:r w:rsidRPr="00B662E6">
              <w:t>Základným cieľom predkladaného návrhu je najmä úprava regulácie online hazardných hier. V porovnaní s doterajšou úpravou, ktorá už umožňovala prevádzkovať hazardné hry v online prostredí, sa prakticky len rozširuje okruh subjektov, ktoré sa o takýto typ licencie môžu uchádzať, pričom pre uchádzačov o on-line licencie sa nezavádzajú nové informačné povinnosti. Z uvedených dôvodov predkladateľ neidentifikuje nové administratívne náklady.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22547A" w:rsidP="0022547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4</w:t>
                  </w:r>
                  <w:r w:rsidR="00C618BE">
                    <w:rPr>
                      <w:i/>
                    </w:rPr>
                    <w:t>0 </w:t>
                  </w:r>
                  <w:r>
                    <w:rPr>
                      <w:i/>
                    </w:rPr>
                    <w:t>000</w:t>
                  </w:r>
                </w:p>
              </w:tc>
              <w:tc>
                <w:tcPr>
                  <w:tcW w:w="2994" w:type="dxa"/>
                </w:tcPr>
                <w:p w:rsidR="009F2DFA" w:rsidRPr="00C618BE" w:rsidRDefault="0022547A" w:rsidP="0022547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6 000 000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C618BE" w:rsidRDefault="009F2DFA" w:rsidP="007B71A4">
                  <w:pPr>
                    <w:jc w:val="center"/>
                    <w:rPr>
                      <w:i/>
                    </w:rPr>
                  </w:pPr>
                  <w:r w:rsidRPr="00C618BE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C618BE" w:rsidRDefault="009F2DFA" w:rsidP="007B71A4">
                  <w:pPr>
                    <w:jc w:val="center"/>
                    <w:rPr>
                      <w:i/>
                    </w:rPr>
                  </w:pPr>
                  <w:bookmarkStart w:id="0" w:name="_GoBack"/>
                  <w:bookmarkEnd w:id="0"/>
                  <w:r w:rsidRPr="00C618BE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3A3596" w:rsidRDefault="0022547A" w:rsidP="00C618B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40 000</w:t>
                  </w:r>
                </w:p>
              </w:tc>
              <w:tc>
                <w:tcPr>
                  <w:tcW w:w="2994" w:type="dxa"/>
                </w:tcPr>
                <w:p w:rsidR="009F2DFA" w:rsidRPr="00C618BE" w:rsidRDefault="0022547A" w:rsidP="0022547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6</w:t>
                  </w:r>
                  <w:r>
                    <w:rPr>
                      <w:i/>
                    </w:rPr>
                    <w:t> 000 000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  <w:r w:rsidR="00054C99">
              <w:rPr>
                <w:i/>
              </w:rPr>
              <w:t xml:space="preserve"> Bez vplyvu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  <w:r w:rsidR="00054C99">
              <w:rPr>
                <w:i/>
              </w:rPr>
              <w:t xml:space="preserve"> Bez vplyvu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</w:tbl>
    <w:p w:rsidR="009F2DFA" w:rsidRPr="00F04CCD" w:rsidRDefault="009F2DFA" w:rsidP="008A24D5"/>
    <w:sectPr w:rsidR="009F2DFA" w:rsidRPr="00F04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89" w:rsidRDefault="00066389" w:rsidP="009F2DFA">
      <w:r>
        <w:separator/>
      </w:r>
    </w:p>
  </w:endnote>
  <w:endnote w:type="continuationSeparator" w:id="0">
    <w:p w:rsidR="00066389" w:rsidRDefault="00066389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99" w:rsidRDefault="00E8499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47A">
          <w:rPr>
            <w:noProof/>
          </w:rPr>
          <w:t>3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99" w:rsidRDefault="00E849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89" w:rsidRDefault="00066389" w:rsidP="009F2DFA">
      <w:r>
        <w:separator/>
      </w:r>
    </w:p>
  </w:footnote>
  <w:footnote w:type="continuationSeparator" w:id="0">
    <w:p w:rsidR="00066389" w:rsidRDefault="00066389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99" w:rsidRDefault="00E8499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99" w:rsidRDefault="00E849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73678"/>
    <w:multiLevelType w:val="hybridMultilevel"/>
    <w:tmpl w:val="E97600CE"/>
    <w:lvl w:ilvl="0" w:tplc="8F5E8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02F26"/>
    <w:rsid w:val="00054C99"/>
    <w:rsid w:val="00066389"/>
    <w:rsid w:val="00077F2B"/>
    <w:rsid w:val="000F09C3"/>
    <w:rsid w:val="0010258B"/>
    <w:rsid w:val="00133847"/>
    <w:rsid w:val="00154881"/>
    <w:rsid w:val="00171B18"/>
    <w:rsid w:val="00182E1F"/>
    <w:rsid w:val="001D6891"/>
    <w:rsid w:val="0022547A"/>
    <w:rsid w:val="00244684"/>
    <w:rsid w:val="002A2705"/>
    <w:rsid w:val="002B1108"/>
    <w:rsid w:val="0038750D"/>
    <w:rsid w:val="00390A11"/>
    <w:rsid w:val="0039301D"/>
    <w:rsid w:val="003A3596"/>
    <w:rsid w:val="003C28D4"/>
    <w:rsid w:val="00415730"/>
    <w:rsid w:val="00431AE5"/>
    <w:rsid w:val="00492B26"/>
    <w:rsid w:val="0052297F"/>
    <w:rsid w:val="00541ADC"/>
    <w:rsid w:val="005464C7"/>
    <w:rsid w:val="00584B72"/>
    <w:rsid w:val="005D76FB"/>
    <w:rsid w:val="00620EFA"/>
    <w:rsid w:val="0066240C"/>
    <w:rsid w:val="006D46E6"/>
    <w:rsid w:val="00716D1D"/>
    <w:rsid w:val="00780BA6"/>
    <w:rsid w:val="00837639"/>
    <w:rsid w:val="008557FB"/>
    <w:rsid w:val="008A1252"/>
    <w:rsid w:val="008A24D5"/>
    <w:rsid w:val="00902863"/>
    <w:rsid w:val="00904C9B"/>
    <w:rsid w:val="00907764"/>
    <w:rsid w:val="0097002D"/>
    <w:rsid w:val="009F2DFA"/>
    <w:rsid w:val="00A244F6"/>
    <w:rsid w:val="00A856B7"/>
    <w:rsid w:val="00AA42A6"/>
    <w:rsid w:val="00AB3E52"/>
    <w:rsid w:val="00B31A8E"/>
    <w:rsid w:val="00B662E6"/>
    <w:rsid w:val="00B82D90"/>
    <w:rsid w:val="00BA073A"/>
    <w:rsid w:val="00BD4581"/>
    <w:rsid w:val="00BD6282"/>
    <w:rsid w:val="00C05E26"/>
    <w:rsid w:val="00C2568F"/>
    <w:rsid w:val="00C4225E"/>
    <w:rsid w:val="00C618BE"/>
    <w:rsid w:val="00CB3623"/>
    <w:rsid w:val="00CF413F"/>
    <w:rsid w:val="00D608CF"/>
    <w:rsid w:val="00DB1553"/>
    <w:rsid w:val="00DE3174"/>
    <w:rsid w:val="00DF4261"/>
    <w:rsid w:val="00E12986"/>
    <w:rsid w:val="00E2502B"/>
    <w:rsid w:val="00E33BC4"/>
    <w:rsid w:val="00E8306A"/>
    <w:rsid w:val="00E84999"/>
    <w:rsid w:val="00E86AD1"/>
    <w:rsid w:val="00E952E6"/>
    <w:rsid w:val="00ED70DA"/>
    <w:rsid w:val="00F41620"/>
    <w:rsid w:val="00F945FA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387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2018-09-20T12:50:00Z</dcterms:created>
  <dcterms:modified xsi:type="dcterms:W3CDTF">2018-09-20T14:20:00Z</dcterms:modified>
</cp:coreProperties>
</file>