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8032C8" w:rsidRDefault="008032C8" w:rsidP="007B71A4">
            <w:pPr>
              <w:rPr>
                <w:sz w:val="24"/>
                <w:szCs w:val="24"/>
              </w:rPr>
            </w:pPr>
            <w:r w:rsidRPr="008032C8">
              <w:rPr>
                <w:sz w:val="24"/>
                <w:szCs w:val="24"/>
              </w:rPr>
              <w:t>Návrh zákona o hazardných hrách</w:t>
            </w:r>
            <w:r w:rsidR="00377CE0">
              <w:rPr>
                <w:sz w:val="24"/>
                <w:szCs w:val="24"/>
              </w:rPr>
              <w:t xml:space="preserve"> a o zmene a doplnení niektorých zákonov</w:t>
            </w:r>
          </w:p>
          <w:p w:rsidR="003501A1" w:rsidRPr="008032C8" w:rsidRDefault="003501A1" w:rsidP="007B71A4">
            <w:pPr>
              <w:rPr>
                <w:sz w:val="24"/>
                <w:szCs w:val="24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8032C8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86532B" w:rsidP="00DA2688">
            <w:pPr>
              <w:rPr>
                <w:i/>
              </w:rPr>
            </w:pPr>
            <w:r>
              <w:rPr>
                <w:i/>
              </w:rPr>
              <w:t>Marec</w:t>
            </w:r>
            <w:r w:rsidR="00B715D0">
              <w:rPr>
                <w:i/>
              </w:rPr>
              <w:t xml:space="preserve"> 2018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0719DC" w:rsidP="00DA2688">
            <w:pPr>
              <w:rPr>
                <w:i/>
              </w:rPr>
            </w:pPr>
            <w:r>
              <w:rPr>
                <w:i/>
              </w:rPr>
              <w:t xml:space="preserve">Máj </w:t>
            </w:r>
            <w:r w:rsidR="00B715D0">
              <w:rPr>
                <w:i/>
              </w:rPr>
              <w:t>2</w:t>
            </w:r>
            <w:r w:rsidR="0086532B">
              <w:rPr>
                <w:i/>
              </w:rPr>
              <w:t>0</w:t>
            </w:r>
            <w:r w:rsidR="00B715D0">
              <w:rPr>
                <w:i/>
              </w:rPr>
              <w:t>18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632F6C" w:rsidP="000719DC">
            <w:pPr>
              <w:rPr>
                <w:i/>
              </w:rPr>
            </w:pPr>
            <w:r>
              <w:rPr>
                <w:i/>
              </w:rPr>
              <w:t>September</w:t>
            </w:r>
            <w:r w:rsidR="008032C8">
              <w:rPr>
                <w:i/>
              </w:rPr>
              <w:t xml:space="preserve"> 2018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032C8" w:rsidRDefault="008032C8" w:rsidP="007B71A4">
            <w:pPr>
              <w:rPr>
                <w:b/>
              </w:rPr>
            </w:pPr>
            <w:r w:rsidRPr="008032C8">
              <w:t>Návrh zákona o hazardných hrách</w:t>
            </w:r>
            <w:r w:rsidR="00377CE0">
              <w:t xml:space="preserve"> a o zmene a doplnení niektorých zákonov (ďalej „návrh zákona o hazardných hrách“)</w:t>
            </w:r>
            <w:r w:rsidRPr="008032C8">
              <w:t xml:space="preserve"> je vypracovaný na základe Plánu legislatívnych úloh vlády Slovenskej republiky na rok 2018, v súlade s Programovým vyhlásením vlády Slovenskej republiky na roky 2016-2020, v ktorom sa vláda zaviazla svojou  legislatívnou iniciatívou naďalej zabezpečovať primeranú, systematickú a súdržnú realizáciu politiky v oblasti hazardných hier s nastavením nediskriminujúcich regulačných opatrení v zmysle základných princípov práva EÚ.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6159" w:rsidRDefault="00E76159" w:rsidP="008032C8"/>
          <w:p w:rsidR="00497883" w:rsidRDefault="00497883" w:rsidP="00497883">
            <w:pPr>
              <w:jc w:val="both"/>
            </w:pPr>
            <w:r>
              <w:t>Hlavným zámerom predkladanej novej úpravy je pripraviť modernú právnu normu, ktorá by výraznejšou mierou v porovnaní s doterajšou úpravou zohľadnila najmä technologický vývoj a poznatky regulačných orgánov iných európskych krajín pri súčasnom posilnení ochrany hráčov pred možnými škodlivými účinkami, ktoré s poskytovaním služieb v tomto odvetví priamo súvisia.</w:t>
            </w:r>
          </w:p>
          <w:p w:rsidR="00E76159" w:rsidRDefault="00E76159" w:rsidP="0046613B"/>
          <w:p w:rsidR="00F701C2" w:rsidRPr="00A179AE" w:rsidRDefault="00F701C2" w:rsidP="0046613B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2C8" w:rsidRDefault="008032C8" w:rsidP="008032C8">
            <w:r w:rsidRPr="008032C8">
              <w:t xml:space="preserve">- prevádzkovatelia hazardných hier, </w:t>
            </w:r>
          </w:p>
          <w:p w:rsidR="006F1B45" w:rsidRPr="008032C8" w:rsidRDefault="006F1B45" w:rsidP="008032C8">
            <w:r w:rsidRPr="008032C8">
              <w:t>-</w:t>
            </w:r>
            <w:r w:rsidR="00E76159">
              <w:t xml:space="preserve"> Ministerstvo financií Slovenskej republiky,</w:t>
            </w:r>
            <w:r w:rsidRPr="008032C8">
              <w:t xml:space="preserve"> Finančné riaditeľstvo Slovenskej republ</w:t>
            </w:r>
            <w:r>
              <w:t>iky, daňové úrady a colné úrady,</w:t>
            </w:r>
          </w:p>
          <w:p w:rsidR="003501A1" w:rsidRDefault="006F1B45" w:rsidP="007B71A4">
            <w:r w:rsidRPr="008032C8">
              <w:t xml:space="preserve">- fyzické osoby </w:t>
            </w:r>
            <w:r>
              <w:t>-</w:t>
            </w:r>
            <w:r w:rsidRPr="008032C8">
              <w:t xml:space="preserve"> hráči hazardných hier</w:t>
            </w:r>
            <w:r>
              <w:t>.</w:t>
            </w:r>
          </w:p>
          <w:p w:rsidR="00915B11" w:rsidRDefault="00915B11" w:rsidP="007B71A4"/>
          <w:p w:rsidR="00915B11" w:rsidRPr="00454082" w:rsidRDefault="00915B11" w:rsidP="00D91876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B6F" w:rsidRDefault="007A4B6F" w:rsidP="007B71A4">
            <w:r w:rsidRPr="007A4B6F">
              <w:t>Pôvodný a doteraz platný zákon o hazardných hrách a o zmene a doplnení niektorých zákonov bol schválený v roku 2005. Hlavným zámerom predkladanej novej úpravy je komplexná regulácia v oblasti hazardných hier, ktorá by výraznejšou mierou v porovnaní s doterajšou úpravou zohľadnila najmä technologický vývoj a poznatky regulačných orgánov iných európskych krajín pri súčasnom posilnení ochrany hráčov pred možnými škodlivými účinkami, ktoré s poskytovaním služieb v tomto odvetví priamo súvisia.</w:t>
            </w:r>
            <w:r>
              <w:t xml:space="preserve"> </w:t>
            </w:r>
          </w:p>
          <w:p w:rsidR="007A4B6F" w:rsidRPr="007A4B6F" w:rsidRDefault="007A4B6F" w:rsidP="00F97B70">
            <w:r w:rsidRPr="007A4B6F">
              <w:t>K zásadným zmenám v porovnaní s doterajšou úpravou patrí predovšetkým návrh na uvoľnenie prístupu na trh internetových hier a zriadenie nového regulačného úradu s pôsobnosťou v oblasti hazardných hier. V rámci zmien v oblasti  internetových hier sa navrhuje, aby príslušná licencia na tieto hry mohla byť po splnení zákonom ustanovených podmienok udelená aj spoločnostiam so sídlom v krajinách Európskej únie a Európskeho hospodárskeho priestoru, pričom licenciu na prevádzkovanie internetových hier bude možné získať na ich prevádzkovanie vo virtuálnom priestore internetovej herne</w:t>
            </w:r>
            <w:r w:rsidR="00F97B70">
              <w:t xml:space="preserve"> a internetového</w:t>
            </w:r>
            <w:bookmarkStart w:id="0" w:name="_GoBack"/>
            <w:bookmarkEnd w:id="0"/>
            <w:r w:rsidRPr="007A4B6F">
              <w:t xml:space="preserve"> kasína.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F97B70" w:rsidP="007B71A4">
            <w:pPr>
              <w:jc w:val="center"/>
            </w:pPr>
            <w:sdt>
              <w:sdt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F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F97B70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2064FA" w:rsidRPr="00B02B32" w:rsidRDefault="002064FA" w:rsidP="002064FA">
            <w:pPr>
              <w:shd w:val="clear" w:color="auto" w:fill="FFFFFF"/>
              <w:jc w:val="both"/>
            </w:pPr>
            <w:r w:rsidRPr="00B02B32">
              <w:t xml:space="preserve">Predkladaným návrhom zákona sa zrušuje vyhláška </w:t>
            </w:r>
            <w:r w:rsidRPr="00B02B32">
              <w:rPr>
                <w:rStyle w:val="h1a4"/>
                <w:rFonts w:ascii="Times New Roman" w:hAnsi="Times New Roman"/>
                <w:color w:val="auto"/>
                <w:kern w:val="36"/>
                <w:sz w:val="20"/>
                <w:szCs w:val="20"/>
                <w:specVanish w:val="0"/>
              </w:rPr>
              <w:t xml:space="preserve">Ministerstva financií Slovenskej republiky č. 641/2008 Z. z., ktorou sa ustanovujú požiadavky na zariadenia a systémy využívané pri prevádzkovaní hazardných hier, ktorými sú videohry z dôvodu </w:t>
            </w:r>
            <w:r w:rsidR="00676ABC">
              <w:rPr>
                <w:rStyle w:val="h1a4"/>
                <w:rFonts w:ascii="Times New Roman" w:hAnsi="Times New Roman"/>
                <w:color w:val="auto"/>
                <w:kern w:val="36"/>
                <w:sz w:val="20"/>
                <w:szCs w:val="20"/>
                <w:specVanish w:val="0"/>
              </w:rPr>
              <w:t>potreby stanovenia požiadaviek na všetky zariadenia a systémy využívané pri prevádzkovaní hazardných hier. Preto sa splnomocňuje m</w:t>
            </w:r>
            <w:r w:rsidR="00B715D0">
              <w:rPr>
                <w:rStyle w:val="h1a4"/>
                <w:rFonts w:ascii="Times New Roman" w:hAnsi="Times New Roman"/>
                <w:color w:val="auto"/>
                <w:kern w:val="36"/>
                <w:sz w:val="20"/>
                <w:szCs w:val="20"/>
                <w:specVanish w:val="0"/>
              </w:rPr>
              <w:t>i</w:t>
            </w:r>
            <w:r w:rsidR="00676ABC">
              <w:rPr>
                <w:rStyle w:val="h1a4"/>
                <w:rFonts w:ascii="Times New Roman" w:hAnsi="Times New Roman"/>
                <w:color w:val="auto"/>
                <w:kern w:val="36"/>
                <w:sz w:val="20"/>
                <w:szCs w:val="20"/>
                <w:specVanish w:val="0"/>
              </w:rPr>
              <w:t>ni</w:t>
            </w:r>
            <w:r w:rsidR="00B715D0">
              <w:rPr>
                <w:rStyle w:val="h1a4"/>
                <w:rFonts w:ascii="Times New Roman" w:hAnsi="Times New Roman"/>
                <w:color w:val="auto"/>
                <w:kern w:val="36"/>
                <w:sz w:val="20"/>
                <w:szCs w:val="20"/>
                <w:specVanish w:val="0"/>
              </w:rPr>
              <w:t>sterstvo na vydanie novej vyhlášky.</w:t>
            </w:r>
          </w:p>
          <w:p w:rsidR="008B5FD4" w:rsidRPr="00A179AE" w:rsidRDefault="008B5FD4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0F0F2A" w:rsidP="00915B11">
            <w:r>
              <w:t xml:space="preserve">Úprava oblasti hazardných hier nie je harmonizovaná na národnej úrovni, preto je potrebné návrh zákona o hazardných hrách predložiť na vnútrokomunitárne pripomienkové konanie v súlade so </w:t>
            </w:r>
            <w:r w:rsidR="00915B11">
              <w:t>Smernicou Európskeho parlamentu a Rady (EÚ) 2015/1535 z 9. septembra 2015, ktorou sa stanovuje postup pri poskytovaní informácií v oblasti technických predpisov a pravidiel vzťahujúcich sa na služby informačnej spoločnosti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0F0F2A" w:rsidRPr="000F0F2A" w:rsidRDefault="000F0F2A" w:rsidP="007B71A4"/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13B6F" w:rsidRDefault="00D13B6F" w:rsidP="00454082"/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bookmarkStart w:id="1" w:name="_Hlk500787423"/>
            <w:r w:rsidRPr="00A179AE">
              <w:rPr>
                <w:b/>
              </w:rPr>
              <w:t>Vplyvy na rozpočet verejnej správy</w:t>
            </w:r>
            <w:bookmarkEnd w:id="1"/>
          </w:p>
        </w:tc>
        <w:sdt>
          <w:sdtPr>
            <w:rPr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58221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82210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E50AF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2E50AF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82210" w:rsidP="007B71A4">
                <w:pPr>
                  <w:ind w:left="-107" w:right="-108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bookmarkStart w:id="2" w:name="_Hlk500787442"/>
            <w:r w:rsidRPr="00A179AE">
              <w:rPr>
                <w:b/>
              </w:rPr>
              <w:t>Vplyvy na podnikateľské prostredie</w:t>
            </w:r>
            <w:bookmarkEnd w:id="2"/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A248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8221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8221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bookmarkStart w:id="3" w:name="_Hlk500787459"/>
            <w:r w:rsidRPr="00A179AE">
              <w:rPr>
                <w:b/>
              </w:rPr>
              <w:t>Sociálne vplyvy</w:t>
            </w:r>
            <w:bookmarkEnd w:id="3"/>
          </w:p>
        </w:tc>
        <w:sdt>
          <w:sdtPr>
            <w:rPr>
              <w:b/>
            </w:rPr>
            <w:id w:val="4493578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2A248C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8F56CB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bookmarkStart w:id="4" w:name="_Hlk500787492"/>
            <w:r w:rsidRPr="00A179AE">
              <w:rPr>
                <w:b/>
              </w:rPr>
              <w:t>Vplyvy na životné prostredie</w:t>
            </w:r>
            <w:bookmarkEnd w:id="4"/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58221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bookmarkStart w:id="5" w:name="_Hlk500787506"/>
            <w:r w:rsidRPr="00A179AE">
              <w:rPr>
                <w:b/>
              </w:rPr>
              <w:t>Vplyvy na informatizáciu</w:t>
            </w:r>
            <w:bookmarkEnd w:id="5"/>
          </w:p>
        </w:tc>
        <w:sdt>
          <w:sdtPr>
            <w:rPr>
              <w:b/>
            </w:rPr>
            <w:id w:val="-9407510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B715D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B715D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bookmarkStart w:id="6" w:name="_Hlk500787521"/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 xml:space="preserve">, </w:t>
            </w:r>
            <w:bookmarkEnd w:id="6"/>
            <w:r>
              <w:rPr>
                <w:rFonts w:eastAsia="Calibri"/>
                <w:b/>
                <w:lang w:eastAsia="en-US"/>
              </w:rPr>
              <w:t>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15834099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45465B" w:rsidRPr="009634B3" w:rsidRDefault="00582210" w:rsidP="00B83402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911618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9634B3" w:rsidRDefault="00582210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8032C8" w:rsidRPr="008032C8" w:rsidRDefault="008032C8" w:rsidP="008032C8">
            <w:r w:rsidRPr="008032C8">
              <w:t xml:space="preserve">Konzultácie k návrhu zákona </w:t>
            </w:r>
            <w:r w:rsidR="00122157">
              <w:t xml:space="preserve">v rámci predbežnej informácie </w:t>
            </w:r>
            <w:r w:rsidRPr="008032C8">
              <w:t xml:space="preserve">sa uskutočnili so </w:t>
            </w:r>
            <w:r w:rsidR="00FC3BC1">
              <w:t xml:space="preserve">všetkými zástupcami </w:t>
            </w:r>
            <w:r w:rsidRPr="008032C8">
              <w:t>verejnosti</w:t>
            </w:r>
            <w:r w:rsidR="00FC3BC1">
              <w:t xml:space="preserve">, ktorí prejavili záujem o takúto konzultáciu, a to </w:t>
            </w:r>
            <w:r w:rsidR="002F33BB" w:rsidRPr="008032C8">
              <w:t>Iniciatíva Zastavme h</w:t>
            </w:r>
            <w:r w:rsidR="002F33BB">
              <w:t>azard, Konferencia biskupov Slovenska,</w:t>
            </w:r>
            <w:r w:rsidR="002F33BB" w:rsidRPr="008032C8">
              <w:t xml:space="preserve"> </w:t>
            </w:r>
            <w:r w:rsidRPr="008032C8">
              <w:t xml:space="preserve">Aliancia za čisté hranie, </w:t>
            </w:r>
            <w:r w:rsidR="00122157">
              <w:t>Zväz cestovného ruchu SR</w:t>
            </w:r>
            <w:r w:rsidR="002F33BB">
              <w:t xml:space="preserve">, </w:t>
            </w:r>
            <w:r w:rsidRPr="008032C8">
              <w:t>prevádzkovate</w:t>
            </w:r>
            <w:r w:rsidR="00BB7DAC">
              <w:t>lia</w:t>
            </w:r>
            <w:r w:rsidRPr="008032C8">
              <w:t xml:space="preserve"> hazardných hier</w:t>
            </w:r>
            <w:r w:rsidR="00076C0B">
              <w:t>.</w:t>
            </w:r>
            <w:r w:rsidRPr="008032C8">
              <w:t xml:space="preserve">  Relevantné návrhy predložené v rámci konzultácií boli využité pri príprave samotného návrhu právneho predpisu.</w:t>
            </w:r>
          </w:p>
          <w:p w:rsidR="004F6F1F" w:rsidRPr="008032C8" w:rsidRDefault="004F6F1F" w:rsidP="00122157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122157">
            <w:pPr>
              <w:rPr>
                <w:i/>
              </w:rPr>
            </w:pPr>
            <w:r w:rsidRPr="00122157">
              <w:rPr>
                <w:i/>
              </w:rPr>
              <w:t>Odbor správy finančného trhu, Ministerstvo financií SR, 02/5958 2545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422E73" w:rsidRDefault="007A4B6F" w:rsidP="003E6870">
            <w:pPr>
              <w:rPr>
                <w:b/>
              </w:rPr>
            </w:pPr>
            <w:r w:rsidRPr="00422E73">
              <w:t xml:space="preserve">Za účelom získania relevantných údajov predkladateľ konzultoval prípravu právnej normy s odborníkmi </w:t>
            </w:r>
            <w:r w:rsidR="007B22DF" w:rsidRPr="00422E73">
              <w:t>v oblasti IT techniky,</w:t>
            </w:r>
            <w:r w:rsidRPr="00422E73">
              <w:t xml:space="preserve"> orgánmi dozoru finančnej správy</w:t>
            </w:r>
            <w:r w:rsidR="007B22DF" w:rsidRPr="00422E73">
              <w:t xml:space="preserve"> </w:t>
            </w:r>
            <w:r w:rsidRPr="00422E73">
              <w:t>a tiež s verejnosťou ktorá sa zapojila do prípravy zákona v rámci predbežnej informácie. Podkladom pre prípravu návrhu zákona boli</w:t>
            </w:r>
            <w:r w:rsidR="00422E73">
              <w:t xml:space="preserve"> aj odborné stanoviská Inštitútu finančnej politiky. </w:t>
            </w:r>
            <w:r w:rsidRPr="00422E73">
              <w:t>Pre</w:t>
            </w:r>
            <w:r w:rsidR="00422E73">
              <w:t xml:space="preserve">dkladateľ </w:t>
            </w:r>
            <w:r w:rsidRPr="00422E73">
              <w:t>taktiež návrh zákona konzultoval so zástupcami dotknutých subjektov.</w:t>
            </w:r>
            <w:r w:rsidR="00DE751C" w:rsidRPr="00422E73">
              <w:t xml:space="preserve"> </w:t>
            </w:r>
            <w:r w:rsidRPr="00422E73">
              <w:t>Pri príprave zákona sa využili skúsenosti s reguláciou hazardných hier vo vybraných k</w:t>
            </w:r>
            <w:r w:rsidR="00422E73">
              <w:t>rajinách EÚ a </w:t>
            </w:r>
            <w:r w:rsidRPr="00422E73">
              <w:t>čerpali</w:t>
            </w:r>
            <w:r w:rsidR="00422E73">
              <w:t xml:space="preserve"> sa</w:t>
            </w:r>
            <w:r w:rsidRPr="00422E73">
              <w:t xml:space="preserve"> poznatky </w:t>
            </w:r>
            <w:r w:rsidR="00B70DC2">
              <w:t>z</w:t>
            </w:r>
            <w:r w:rsidRPr="00422E73">
              <w:t xml:space="preserve">o </w:t>
            </w:r>
            <w:r w:rsidR="003E6870">
              <w:t>š</w:t>
            </w:r>
            <w:r w:rsidRPr="00422E73">
              <w:t xml:space="preserve">túdie k návrhu </w:t>
            </w:r>
            <w:r w:rsidR="00DE751C" w:rsidRPr="00422E73">
              <w:t>zmien v oblasti internetového hrania.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lastRenderedPageBreak/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77CE0" w:rsidRPr="00377CE0" w:rsidRDefault="00377CE0" w:rsidP="00377CE0">
            <w:r w:rsidRPr="00377CE0">
              <w:t>Stála pracovná komisia Legislatívnej rady vlády SR pre posudzovanie vybraných vplyvov vyjadrila súhlasné stanovisko s materiálom predloženým na</w:t>
            </w:r>
            <w:r>
              <w:t xml:space="preserve"> predbežné pripomienkové konanie</w:t>
            </w:r>
            <w:r w:rsidRPr="00377CE0">
              <w:t>.</w:t>
            </w:r>
          </w:p>
          <w:p w:rsidR="00377CE0" w:rsidRPr="00454082" w:rsidRDefault="00377CE0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2D" w:rsidRDefault="00224A2D" w:rsidP="003501A1">
      <w:r>
        <w:separator/>
      </w:r>
    </w:p>
  </w:endnote>
  <w:endnote w:type="continuationSeparator" w:id="0">
    <w:p w:rsidR="00224A2D" w:rsidRDefault="00224A2D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E2" w:rsidRDefault="003267E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E2" w:rsidRDefault="003267E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E2" w:rsidRDefault="003267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2D" w:rsidRDefault="00224A2D" w:rsidP="003501A1">
      <w:r>
        <w:separator/>
      </w:r>
    </w:p>
  </w:footnote>
  <w:footnote w:type="continuationSeparator" w:id="0">
    <w:p w:rsidR="00224A2D" w:rsidRDefault="00224A2D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E2" w:rsidRDefault="003267E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7E2" w:rsidRDefault="003267E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6A60"/>
    <w:rsid w:val="000719DC"/>
    <w:rsid w:val="00076C0B"/>
    <w:rsid w:val="000F0F2A"/>
    <w:rsid w:val="00122157"/>
    <w:rsid w:val="00175FD8"/>
    <w:rsid w:val="002064FA"/>
    <w:rsid w:val="00224A2D"/>
    <w:rsid w:val="002A248C"/>
    <w:rsid w:val="002D1E96"/>
    <w:rsid w:val="002E50AF"/>
    <w:rsid w:val="002F33BB"/>
    <w:rsid w:val="003267E2"/>
    <w:rsid w:val="003501A1"/>
    <w:rsid w:val="00377CE0"/>
    <w:rsid w:val="00395098"/>
    <w:rsid w:val="003A7E9E"/>
    <w:rsid w:val="003D392A"/>
    <w:rsid w:val="003E6870"/>
    <w:rsid w:val="00422E73"/>
    <w:rsid w:val="00454082"/>
    <w:rsid w:val="0045465B"/>
    <w:rsid w:val="0046613B"/>
    <w:rsid w:val="0048281E"/>
    <w:rsid w:val="004845CE"/>
    <w:rsid w:val="00497883"/>
    <w:rsid w:val="004B4E24"/>
    <w:rsid w:val="004C60B8"/>
    <w:rsid w:val="004C794A"/>
    <w:rsid w:val="004F6F1F"/>
    <w:rsid w:val="004F7D6F"/>
    <w:rsid w:val="00570B48"/>
    <w:rsid w:val="005719BF"/>
    <w:rsid w:val="00582210"/>
    <w:rsid w:val="00583186"/>
    <w:rsid w:val="005B7A8D"/>
    <w:rsid w:val="00632F6C"/>
    <w:rsid w:val="006426D9"/>
    <w:rsid w:val="00676ABC"/>
    <w:rsid w:val="006C3B7D"/>
    <w:rsid w:val="006F1B45"/>
    <w:rsid w:val="007A4B6F"/>
    <w:rsid w:val="007A7201"/>
    <w:rsid w:val="007B22DF"/>
    <w:rsid w:val="007C7695"/>
    <w:rsid w:val="008032C8"/>
    <w:rsid w:val="008529F5"/>
    <w:rsid w:val="0086532B"/>
    <w:rsid w:val="008743BD"/>
    <w:rsid w:val="008813E4"/>
    <w:rsid w:val="00883488"/>
    <w:rsid w:val="008A10E4"/>
    <w:rsid w:val="008A702C"/>
    <w:rsid w:val="008B5FD4"/>
    <w:rsid w:val="008F56CB"/>
    <w:rsid w:val="009138FD"/>
    <w:rsid w:val="00915B11"/>
    <w:rsid w:val="009333EB"/>
    <w:rsid w:val="0095018D"/>
    <w:rsid w:val="00975FBF"/>
    <w:rsid w:val="009B7DB4"/>
    <w:rsid w:val="00A85DA8"/>
    <w:rsid w:val="00AA09CC"/>
    <w:rsid w:val="00AC2477"/>
    <w:rsid w:val="00AE76E2"/>
    <w:rsid w:val="00AF1C39"/>
    <w:rsid w:val="00B02B32"/>
    <w:rsid w:val="00B65A86"/>
    <w:rsid w:val="00B70DC2"/>
    <w:rsid w:val="00B715D0"/>
    <w:rsid w:val="00BA5260"/>
    <w:rsid w:val="00BB7DAC"/>
    <w:rsid w:val="00BE3379"/>
    <w:rsid w:val="00C12EC4"/>
    <w:rsid w:val="00C96BC8"/>
    <w:rsid w:val="00CB3623"/>
    <w:rsid w:val="00D13B6F"/>
    <w:rsid w:val="00D75D35"/>
    <w:rsid w:val="00D91876"/>
    <w:rsid w:val="00DA2688"/>
    <w:rsid w:val="00DE2A12"/>
    <w:rsid w:val="00DE751C"/>
    <w:rsid w:val="00E274DD"/>
    <w:rsid w:val="00E76159"/>
    <w:rsid w:val="00EA57AC"/>
    <w:rsid w:val="00EB59E3"/>
    <w:rsid w:val="00F00580"/>
    <w:rsid w:val="00F22831"/>
    <w:rsid w:val="00F62771"/>
    <w:rsid w:val="00F701C2"/>
    <w:rsid w:val="00F97B70"/>
    <w:rsid w:val="00FC3BC1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h1a4">
    <w:name w:val="h1a4"/>
    <w:basedOn w:val="Predvolenpsmoodseku"/>
    <w:rsid w:val="002064FA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2018-09-20T07:36:00Z</dcterms:created>
  <dcterms:modified xsi:type="dcterms:W3CDTF">2018-09-20T10:06:00Z</dcterms:modified>
</cp:coreProperties>
</file>