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951D34" w:rsidRDefault="00951D34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951D34">
        <w:trPr>
          <w:divId w:val="595211018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1D34" w:rsidRDefault="00951D3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951D34">
        <w:trPr>
          <w:divId w:val="59521101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1D34" w:rsidRDefault="00951D3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951D34">
        <w:trPr>
          <w:divId w:val="59521101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D34" w:rsidRDefault="00805477" w:rsidP="0078545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Nariadenie </w:t>
            </w:r>
            <w:r w:rsidRPr="00805477">
              <w:rPr>
                <w:rFonts w:ascii="Times" w:hAnsi="Times" w:cs="Times"/>
                <w:sz w:val="20"/>
                <w:szCs w:val="20"/>
              </w:rPr>
              <w:t>vlády Slovenskej republiky,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805477">
              <w:rPr>
                <w:rFonts w:ascii="Times" w:hAnsi="Times" w:cs="Times"/>
                <w:sz w:val="20"/>
                <w:szCs w:val="20"/>
              </w:rPr>
              <w:t xml:space="preserve">ktorým sa ustanovuje suma minimálnej mzdy na rok </w:t>
            </w:r>
            <w:r w:rsidR="00823737">
              <w:rPr>
                <w:rFonts w:ascii="Times" w:hAnsi="Times" w:cs="Times"/>
                <w:sz w:val="20"/>
                <w:szCs w:val="20"/>
              </w:rPr>
              <w:t>201</w:t>
            </w:r>
            <w:r w:rsidR="00785450">
              <w:rPr>
                <w:rFonts w:ascii="Times" w:hAnsi="Times" w:cs="Times"/>
                <w:sz w:val="20"/>
                <w:szCs w:val="20"/>
              </w:rPr>
              <w:t>9</w:t>
            </w:r>
          </w:p>
        </w:tc>
      </w:tr>
      <w:tr w:rsidR="00951D34">
        <w:trPr>
          <w:divId w:val="59521101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1D34" w:rsidRDefault="00951D3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951D34">
        <w:trPr>
          <w:divId w:val="59521101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D34" w:rsidRDefault="0080547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Ministerstvo práce, sociálnych vecí a rodiny Slovenskej republiky </w:t>
            </w:r>
          </w:p>
        </w:tc>
      </w:tr>
      <w:tr w:rsidR="00951D34">
        <w:trPr>
          <w:divId w:val="595211018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51D34" w:rsidRDefault="00951D34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951D34">
        <w:trPr>
          <w:divId w:val="59521101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951D34">
        <w:trPr>
          <w:divId w:val="59521101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951D34">
        <w:trPr>
          <w:divId w:val="595211018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51D34">
        <w:trPr>
          <w:divId w:val="59521101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1D34" w:rsidRDefault="00951D3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D34" w:rsidRDefault="001638D2" w:rsidP="00A1280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21. 8. 2018 – 2</w:t>
            </w:r>
            <w:r w:rsidR="00A12807">
              <w:rPr>
                <w:rFonts w:ascii="Times" w:hAnsi="Times" w:cs="Times"/>
                <w:sz w:val="20"/>
                <w:szCs w:val="20"/>
              </w:rPr>
              <w:t>4</w:t>
            </w:r>
            <w:r>
              <w:rPr>
                <w:rFonts w:ascii="Times" w:hAnsi="Times" w:cs="Times"/>
                <w:sz w:val="20"/>
                <w:szCs w:val="20"/>
              </w:rPr>
              <w:t>. 8. 2018</w:t>
            </w:r>
          </w:p>
        </w:tc>
      </w:tr>
      <w:tr w:rsidR="00951D34">
        <w:trPr>
          <w:divId w:val="59521101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1D34" w:rsidRDefault="00951D3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D34" w:rsidRDefault="003E1A70" w:rsidP="006C682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1E5E64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C682B">
              <w:rPr>
                <w:rFonts w:ascii="Times" w:hAnsi="Times" w:cs="Times"/>
                <w:sz w:val="20"/>
                <w:szCs w:val="20"/>
              </w:rPr>
              <w:t xml:space="preserve">august </w:t>
            </w:r>
            <w:r w:rsidR="001638D2">
              <w:rPr>
                <w:rFonts w:ascii="Times" w:hAnsi="Times" w:cs="Times"/>
                <w:sz w:val="20"/>
                <w:szCs w:val="20"/>
              </w:rPr>
              <w:t>2018</w:t>
            </w:r>
          </w:p>
        </w:tc>
      </w:tr>
      <w:tr w:rsidR="00951D34" w:rsidTr="001E5E64">
        <w:trPr>
          <w:divId w:val="595211018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1D34" w:rsidRDefault="00951D3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Pr="001E5E64" w:rsidRDefault="00464699" w:rsidP="00464699">
            <w:pPr>
              <w:rPr>
                <w:rFonts w:ascii="Times" w:hAnsi="Times" w:cs="Times"/>
                <w:bCs/>
                <w:sz w:val="22"/>
                <w:szCs w:val="22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október </w:t>
            </w:r>
            <w:r w:rsidR="00823737">
              <w:rPr>
                <w:rFonts w:ascii="Times" w:hAnsi="Times" w:cs="Times"/>
                <w:sz w:val="20"/>
                <w:szCs w:val="20"/>
              </w:rPr>
              <w:t>201</w:t>
            </w:r>
            <w:r w:rsidR="001638D2">
              <w:rPr>
                <w:rFonts w:ascii="Times" w:hAnsi="Times" w:cs="Times"/>
                <w:sz w:val="20"/>
                <w:szCs w:val="20"/>
              </w:rPr>
              <w:t>8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951D34" w:rsidRDefault="00951D34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951D34">
        <w:trPr>
          <w:divId w:val="14961465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1D34" w:rsidRDefault="00951D3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951D34">
        <w:trPr>
          <w:divId w:val="14961465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D34" w:rsidRDefault="00FA10BC" w:rsidP="00D900EC">
            <w:pPr>
              <w:rPr>
                <w:rFonts w:ascii="Times" w:hAnsi="Times" w:cs="Times"/>
                <w:sz w:val="20"/>
                <w:szCs w:val="20"/>
              </w:rPr>
            </w:pPr>
            <w:r w:rsidRPr="00FA10BC">
              <w:rPr>
                <w:rFonts w:ascii="Times" w:hAnsi="Times" w:cs="Times"/>
                <w:sz w:val="20"/>
                <w:szCs w:val="20"/>
              </w:rPr>
              <w:t xml:space="preserve">Návrh nariadenia vlády Slovenskej republiky, ktorým sa ustanovuje </w:t>
            </w:r>
            <w:r>
              <w:rPr>
                <w:rFonts w:ascii="Times" w:hAnsi="Times" w:cs="Times"/>
                <w:sz w:val="20"/>
                <w:szCs w:val="20"/>
              </w:rPr>
              <w:t xml:space="preserve">suma minimálnej mzdy na rok </w:t>
            </w:r>
            <w:r w:rsidR="00823737">
              <w:rPr>
                <w:rFonts w:ascii="Times" w:hAnsi="Times" w:cs="Times"/>
                <w:sz w:val="20"/>
                <w:szCs w:val="20"/>
              </w:rPr>
              <w:t>201</w:t>
            </w:r>
            <w:r w:rsidR="00D900EC">
              <w:rPr>
                <w:rFonts w:ascii="Times" w:hAnsi="Times" w:cs="Times"/>
                <w:sz w:val="20"/>
                <w:szCs w:val="20"/>
              </w:rPr>
              <w:t>9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FA10BC">
              <w:rPr>
                <w:rFonts w:ascii="Times" w:hAnsi="Times" w:cs="Times"/>
                <w:sz w:val="20"/>
                <w:szCs w:val="20"/>
              </w:rPr>
              <w:t>sa predkladá na základe § 2 ods. 1 zákona č. 663/2007 Z. z. o minimálnej mzde v znení neskorších predpisov</w:t>
            </w:r>
            <w:r w:rsidR="003E1A70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951D34">
        <w:trPr>
          <w:divId w:val="14961465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1D34" w:rsidRDefault="00951D3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951D34">
        <w:trPr>
          <w:divId w:val="14961465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D34" w:rsidRDefault="00FA10BC" w:rsidP="00D900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Úprava sumy minimálnej mzdy ako najnižšieho plnenia za prácu vykonávanú v rámci pracovnoprávneho vzťahu na rok </w:t>
            </w:r>
            <w:r w:rsidR="00823737">
              <w:rPr>
                <w:rFonts w:ascii="Times" w:hAnsi="Times" w:cs="Times"/>
                <w:sz w:val="20"/>
                <w:szCs w:val="20"/>
              </w:rPr>
              <w:t>201</w:t>
            </w:r>
            <w:r w:rsidR="00D900EC">
              <w:rPr>
                <w:rFonts w:ascii="Times" w:hAnsi="Times" w:cs="Times"/>
                <w:sz w:val="20"/>
                <w:szCs w:val="20"/>
              </w:rPr>
              <w:t>9</w:t>
            </w:r>
            <w:r w:rsidR="003E1A70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951D34">
        <w:trPr>
          <w:divId w:val="14961465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1D34" w:rsidRDefault="00951D3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951D34">
        <w:trPr>
          <w:divId w:val="14961465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D34" w:rsidRDefault="00951D34" w:rsidP="00D900E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Sociálna poisťovňa, </w:t>
            </w:r>
            <w:r w:rsidR="00805477">
              <w:rPr>
                <w:rFonts w:ascii="Times" w:hAnsi="Times" w:cs="Times"/>
                <w:sz w:val="20"/>
                <w:szCs w:val="20"/>
              </w:rPr>
              <w:t>zdravotné poisťovne, Finančné riaditeľstvo SR,</w:t>
            </w:r>
            <w:r>
              <w:rPr>
                <w:rFonts w:ascii="Times" w:hAnsi="Times" w:cs="Times"/>
                <w:sz w:val="20"/>
                <w:szCs w:val="20"/>
              </w:rPr>
              <w:t xml:space="preserve"> fyzické osoby, právnické osoby.</w:t>
            </w:r>
          </w:p>
        </w:tc>
      </w:tr>
      <w:tr w:rsidR="00951D34">
        <w:trPr>
          <w:divId w:val="14961465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1D34" w:rsidRDefault="00951D3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951D34">
        <w:trPr>
          <w:divId w:val="14961465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A09" w:rsidRPr="00255CDF" w:rsidRDefault="00D900EC" w:rsidP="00255CD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Úprava sumy minimálnej mzdy nariadením vlády vyplýva zo zákona č. 663/2007 Z. z. o minimálnej mzde v znení neskorších predpisov. Ako alternatívne riešenie bolo zvažované zvýšenie sumy mi</w:t>
            </w:r>
            <w:r w:rsidR="00741272">
              <w:rPr>
                <w:rFonts w:ascii="Times" w:hAnsi="Times" w:cs="Times"/>
                <w:sz w:val="20"/>
                <w:szCs w:val="20"/>
              </w:rPr>
              <w:t xml:space="preserve">nimálnej mzdy na sumu vyplývajúcu z valorizačného mechanizmu upraveného v § 8 ods. 2 zákona o minimálnej mzde, podľa ktorého suma mesačnej minimálnej mzdy na nasledujúci kalendárny rok sa určí </w:t>
            </w:r>
            <w:r w:rsidR="00741272" w:rsidRPr="00255CDF">
              <w:rPr>
                <w:rFonts w:ascii="Times" w:hAnsi="Times" w:cs="Times"/>
                <w:b/>
                <w:sz w:val="20"/>
                <w:szCs w:val="20"/>
                <w:u w:val="single"/>
              </w:rPr>
              <w:t>najmenej</w:t>
            </w:r>
            <w:r w:rsidR="00741272">
              <w:rPr>
                <w:rFonts w:ascii="Times" w:hAnsi="Times" w:cs="Times"/>
                <w:sz w:val="20"/>
                <w:szCs w:val="20"/>
              </w:rPr>
              <w:t xml:space="preserve"> vo výške súčinu platnej mesačnej mzdy a indexu medziročného rastu priemernej mesačnej mzdy zamestnanca v hospodárstve Slovenskej republiky za kalendárny rok, ktorý predchádza kalendárnemu roku, v ktorom sa predkladá návrh na úpravu sumy minimálnej mzdy. </w:t>
            </w:r>
            <w:r w:rsidR="00DE47A8">
              <w:rPr>
                <w:rFonts w:ascii="Times" w:hAnsi="Times" w:cs="Times"/>
                <w:sz w:val="20"/>
                <w:szCs w:val="20"/>
              </w:rPr>
              <w:t xml:space="preserve">Podľa údajov </w:t>
            </w:r>
            <w:r w:rsidR="00DE47A8" w:rsidRPr="00255CDF">
              <w:rPr>
                <w:rFonts w:ascii="Times" w:hAnsi="Times" w:cs="Times"/>
                <w:sz w:val="20"/>
                <w:szCs w:val="20"/>
              </w:rPr>
              <w:t>Štatistického úradu predmetný index predstavuje 4,6 %</w:t>
            </w:r>
            <w:r w:rsidR="009D4A09">
              <w:rPr>
                <w:rFonts w:ascii="Times" w:hAnsi="Times" w:cs="Times"/>
                <w:sz w:val="20"/>
                <w:szCs w:val="20"/>
              </w:rPr>
              <w:t xml:space="preserve"> a suma minimálnej mzdy vyplývajúca z valorizačnému mechanizmu by predstavovala </w:t>
            </w:r>
            <w:r w:rsidR="009D4A09" w:rsidRPr="00255CDF">
              <w:rPr>
                <w:rFonts w:ascii="Times" w:hAnsi="Times" w:cs="Times"/>
                <w:sz w:val="20"/>
                <w:szCs w:val="20"/>
              </w:rPr>
              <w:t>502,10 eura  mesačne a 2,886 eura za odpracovanú hodinu.</w:t>
            </w:r>
          </w:p>
          <w:p w:rsidR="009D4A09" w:rsidRDefault="00DE47A8" w:rsidP="00DE47A8">
            <w:pPr>
              <w:rPr>
                <w:bCs/>
                <w:iCs/>
                <w:color w:val="000000"/>
                <w:szCs w:val="20"/>
              </w:rPr>
            </w:pPr>
            <w:r>
              <w:rPr>
                <w:bCs/>
                <w:iCs/>
                <w:color w:val="000000"/>
                <w:szCs w:val="20"/>
              </w:rPr>
              <w:t xml:space="preserve"> </w:t>
            </w:r>
          </w:p>
          <w:p w:rsidR="00951D34" w:rsidRDefault="00951D34" w:rsidP="00DE47A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51D34">
        <w:trPr>
          <w:divId w:val="14961465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1D34" w:rsidRDefault="00951D3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951D34">
        <w:trPr>
          <w:divId w:val="14961465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D34" w:rsidRDefault="00951D34" w:rsidP="003D47B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3D47B2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 w:rsidR="003D47B2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</w:p>
        </w:tc>
      </w:tr>
      <w:tr w:rsidR="00951D34">
        <w:trPr>
          <w:divId w:val="14961465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1D34" w:rsidRDefault="00951D3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951D34">
        <w:trPr>
          <w:divId w:val="14961465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D34" w:rsidRDefault="003E1A70" w:rsidP="003E1A7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Nejedná sa </w:t>
            </w:r>
            <w:r w:rsidR="00951D34">
              <w:rPr>
                <w:rFonts w:ascii="Times" w:hAnsi="Times" w:cs="Times"/>
                <w:sz w:val="20"/>
                <w:szCs w:val="20"/>
              </w:rPr>
              <w:t>o</w:t>
            </w: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51D34">
              <w:rPr>
                <w:rFonts w:ascii="Times" w:hAnsi="Times" w:cs="Times"/>
                <w:sz w:val="20"/>
                <w:szCs w:val="20"/>
              </w:rPr>
              <w:t>transpozíciu</w:t>
            </w:r>
            <w:r>
              <w:rPr>
                <w:rFonts w:ascii="Times" w:hAnsi="Times" w:cs="Times"/>
                <w:sz w:val="20"/>
                <w:szCs w:val="20"/>
              </w:rPr>
              <w:t xml:space="preserve"> práva EÚ.</w:t>
            </w:r>
          </w:p>
        </w:tc>
      </w:tr>
      <w:tr w:rsidR="00951D34">
        <w:trPr>
          <w:divId w:val="149614650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1D34" w:rsidRDefault="00951D3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951D34">
        <w:trPr>
          <w:divId w:val="149614650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D34" w:rsidRDefault="0069603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Bez skúmania.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51D34" w:rsidRDefault="00951D34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951D34">
        <w:trPr>
          <w:divId w:val="685908124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1D34" w:rsidRDefault="00951D3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951D34">
        <w:trPr>
          <w:divId w:val="68590812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 w:rsidP="00D6474C">
            <w:pPr>
              <w:ind w:left="84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D6474C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Pr="00D6474C" w:rsidRDefault="00951D34" w:rsidP="00D6474C">
            <w:pPr>
              <w:pStyle w:val="Odsekzoznamu"/>
              <w:numPr>
                <w:ilvl w:val="0"/>
                <w:numId w:val="2"/>
              </w:numPr>
              <w:rPr>
                <w:rFonts w:ascii="Times" w:hAnsi="Times" w:cs="Times"/>
                <w:sz w:val="20"/>
                <w:szCs w:val="20"/>
              </w:rPr>
            </w:pPr>
            <w:r w:rsidRPr="00D6474C">
              <w:rPr>
                <w:rFonts w:ascii="Times" w:hAnsi="Times" w:cs="Times"/>
                <w:sz w:val="20"/>
                <w:szCs w:val="20"/>
              </w:rPr>
              <w:t>Negatívne</w:t>
            </w:r>
          </w:p>
        </w:tc>
      </w:tr>
      <w:tr w:rsidR="00951D34">
        <w:trPr>
          <w:divId w:val="68590812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 w:rsidP="00F34CA0">
            <w:pPr>
              <w:ind w:left="6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F34CA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951D34">
        <w:trPr>
          <w:divId w:val="68590812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 w:rsidP="008357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4495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4495B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84495B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 w:rsidP="008357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3575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35755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835755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51D34">
        <w:trPr>
          <w:divId w:val="68590812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 w:rsidP="008357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4495B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4495B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84495B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 w:rsidP="008357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835755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Negatívne</w:t>
            </w:r>
          </w:p>
        </w:tc>
      </w:tr>
      <w:tr w:rsidR="00951D34">
        <w:trPr>
          <w:divId w:val="68590812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51D34">
        <w:trPr>
          <w:divId w:val="68590812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51D34">
        <w:trPr>
          <w:divId w:val="68590812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 w:rsidP="008357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  <w:r w:rsidR="00835755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 w:rsidP="008357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3575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35755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51D34">
        <w:trPr>
          <w:divId w:val="685908124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951D34">
        <w:trPr>
          <w:divId w:val="68590812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1D34" w:rsidRDefault="00951D3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951D34" w:rsidRDefault="00951D34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951D34">
        <w:trPr>
          <w:divId w:val="15159252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1D34" w:rsidRDefault="00951D3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951D34">
        <w:trPr>
          <w:divId w:val="15159252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68FD" w:rsidRPr="00F57861" w:rsidRDefault="00835755" w:rsidP="00A1280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F57861">
              <w:rPr>
                <w:rFonts w:ascii="Times" w:hAnsi="Times" w:cs="Times"/>
                <w:sz w:val="20"/>
                <w:szCs w:val="20"/>
              </w:rPr>
              <w:t xml:space="preserve">Pozitívne vplyvy na rozpočet verejnej správy sa očakávajú </w:t>
            </w:r>
            <w:r w:rsidR="00090637" w:rsidRPr="00F57861">
              <w:rPr>
                <w:rFonts w:ascii="Times" w:hAnsi="Times" w:cs="Times"/>
                <w:sz w:val="20"/>
                <w:szCs w:val="20"/>
              </w:rPr>
              <w:t xml:space="preserve">v oblasti </w:t>
            </w:r>
            <w:r w:rsidRPr="00F57861">
              <w:rPr>
                <w:rFonts w:ascii="Times" w:hAnsi="Times" w:cs="Times"/>
                <w:sz w:val="20"/>
                <w:szCs w:val="20"/>
              </w:rPr>
              <w:t>odvodov do poistných fondov</w:t>
            </w:r>
            <w:r w:rsidR="0045096A" w:rsidRPr="00F57861">
              <w:rPr>
                <w:rFonts w:ascii="Times" w:hAnsi="Times" w:cs="Times"/>
                <w:sz w:val="20"/>
                <w:szCs w:val="20"/>
              </w:rPr>
              <w:t xml:space="preserve">, z </w:t>
            </w:r>
            <w:r w:rsidR="00090637" w:rsidRPr="00F57861">
              <w:rPr>
                <w:rFonts w:ascii="Times" w:hAnsi="Times" w:cs="Times"/>
                <w:sz w:val="20"/>
                <w:szCs w:val="20"/>
              </w:rPr>
              <w:t xml:space="preserve">dane z príjmov </w:t>
            </w:r>
            <w:r w:rsidRPr="00F57861">
              <w:rPr>
                <w:rFonts w:ascii="Times" w:hAnsi="Times" w:cs="Times"/>
                <w:sz w:val="20"/>
                <w:szCs w:val="20"/>
              </w:rPr>
              <w:t>z vyššej mzdy alebo platu zamestnanca</w:t>
            </w:r>
            <w:r w:rsidR="0045096A" w:rsidRPr="00F57861">
              <w:rPr>
                <w:rFonts w:ascii="Times" w:hAnsi="Times" w:cs="Times"/>
                <w:sz w:val="20"/>
                <w:szCs w:val="20"/>
              </w:rPr>
              <w:t xml:space="preserve"> a takt</w:t>
            </w:r>
            <w:r w:rsidR="00CE20D1" w:rsidRPr="00F57861">
              <w:rPr>
                <w:rFonts w:ascii="Times" w:hAnsi="Times" w:cs="Times"/>
                <w:sz w:val="20"/>
                <w:szCs w:val="20"/>
              </w:rPr>
              <w:t>i</w:t>
            </w:r>
            <w:r w:rsidR="0045096A" w:rsidRPr="00F57861">
              <w:rPr>
                <w:rFonts w:ascii="Times" w:hAnsi="Times" w:cs="Times"/>
                <w:sz w:val="20"/>
                <w:szCs w:val="20"/>
              </w:rPr>
              <w:t xml:space="preserve">ež </w:t>
            </w:r>
            <w:r w:rsidR="0084495B" w:rsidRPr="00F57861">
              <w:rPr>
                <w:rFonts w:ascii="Times" w:hAnsi="Times" w:cs="Times"/>
                <w:sz w:val="20"/>
                <w:szCs w:val="20"/>
              </w:rPr>
              <w:t xml:space="preserve"> z dane z pridanej hodnoty za nákupy, na ktoré svoje zvýšené príjmy zamestnanci so mzdou na úrovni sumy minimálnej mzdy použijú. Z dôvodu zvýšeného maloobchodného obratu a príjmov z predaja </w:t>
            </w:r>
            <w:r w:rsidR="00235543" w:rsidRPr="00F57861">
              <w:rPr>
                <w:rFonts w:ascii="Times" w:hAnsi="Times" w:cs="Times"/>
                <w:sz w:val="20"/>
                <w:szCs w:val="20"/>
              </w:rPr>
              <w:t xml:space="preserve">tovaru </w:t>
            </w:r>
            <w:r w:rsidR="0084495B" w:rsidRPr="00F57861">
              <w:rPr>
                <w:rFonts w:ascii="Times" w:hAnsi="Times" w:cs="Times"/>
                <w:sz w:val="20"/>
                <w:szCs w:val="20"/>
              </w:rPr>
              <w:t>možno očakávať aj pozitívne vplyvy na podnikateľské prostredie</w:t>
            </w:r>
            <w:r w:rsidR="00090637" w:rsidRPr="00F57861">
              <w:rPr>
                <w:rFonts w:ascii="Times" w:hAnsi="Times" w:cs="Times"/>
                <w:sz w:val="20"/>
                <w:szCs w:val="20"/>
              </w:rPr>
              <w:t xml:space="preserve">. </w:t>
            </w:r>
            <w:r w:rsidRPr="00F57861">
              <w:rPr>
                <w:rFonts w:ascii="Times" w:hAnsi="Times" w:cs="Times"/>
                <w:sz w:val="20"/>
                <w:szCs w:val="20"/>
              </w:rPr>
              <w:t xml:space="preserve">Negatívny vplyv na rozpočet verejnej správy </w:t>
            </w:r>
            <w:r w:rsidR="00090637" w:rsidRPr="00F57861">
              <w:rPr>
                <w:rFonts w:ascii="Times" w:hAnsi="Times" w:cs="Times"/>
                <w:sz w:val="20"/>
                <w:szCs w:val="20"/>
              </w:rPr>
              <w:t xml:space="preserve">spôsobí </w:t>
            </w:r>
            <w:r w:rsidRPr="00F57861">
              <w:rPr>
                <w:rFonts w:ascii="Times" w:hAnsi="Times" w:cs="Times"/>
                <w:sz w:val="20"/>
                <w:szCs w:val="20"/>
              </w:rPr>
              <w:t>zvýšenie doplatkov do novej sumy minimálnej mzdy u</w:t>
            </w:r>
            <w:r w:rsidR="00090637" w:rsidRPr="00F57861">
              <w:rPr>
                <w:rFonts w:ascii="Times" w:hAnsi="Times" w:cs="Times"/>
                <w:sz w:val="20"/>
                <w:szCs w:val="20"/>
              </w:rPr>
              <w:t> </w:t>
            </w:r>
            <w:r w:rsidRPr="00F57861">
              <w:rPr>
                <w:rFonts w:ascii="Times" w:hAnsi="Times" w:cs="Times"/>
                <w:sz w:val="20"/>
                <w:szCs w:val="20"/>
              </w:rPr>
              <w:t>zamestnancov</w:t>
            </w:r>
            <w:r w:rsidR="00090637" w:rsidRPr="00F57861">
              <w:rPr>
                <w:rFonts w:ascii="Times" w:hAnsi="Times" w:cs="Times"/>
                <w:sz w:val="20"/>
                <w:szCs w:val="20"/>
              </w:rPr>
              <w:t xml:space="preserve"> a nárast odvodov do poistných fondov za zamestnávateľov</w:t>
            </w:r>
            <w:r w:rsidRPr="00F57861"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="00AD68FD" w:rsidRPr="00F57861">
              <w:rPr>
                <w:rFonts w:ascii="Times" w:hAnsi="Times" w:cs="Times"/>
                <w:sz w:val="20"/>
                <w:szCs w:val="20"/>
              </w:rPr>
              <w:t xml:space="preserve">napojených na verejné rozpočty, ktorých zamestnanci </w:t>
            </w:r>
            <w:r w:rsidRPr="00F57861">
              <w:rPr>
                <w:rFonts w:ascii="Times" w:hAnsi="Times" w:cs="Times"/>
                <w:sz w:val="20"/>
                <w:szCs w:val="20"/>
              </w:rPr>
              <w:t>sú odmeňovaní podľa zákona č. 553/2003 Z. z. o odmeňovaní niektorých zamestnancov pri výkone práce vo verejnom záujme v znení neskorších predpisov</w:t>
            </w:r>
            <w:r w:rsidR="00AD68FD" w:rsidRPr="00F57861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835755" w:rsidRPr="00F57861" w:rsidRDefault="00835755" w:rsidP="00A1280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F57861">
              <w:rPr>
                <w:rFonts w:ascii="Times" w:hAnsi="Times" w:cs="Times"/>
                <w:sz w:val="20"/>
                <w:szCs w:val="20"/>
              </w:rPr>
              <w:t xml:space="preserve">Negatívny vplyv na podnikateľské prostredie </w:t>
            </w:r>
            <w:r w:rsidR="00AD68FD" w:rsidRPr="00F57861">
              <w:rPr>
                <w:rFonts w:ascii="Times" w:hAnsi="Times" w:cs="Times"/>
                <w:sz w:val="20"/>
                <w:szCs w:val="20"/>
              </w:rPr>
              <w:t>spôsobí zvýšenie</w:t>
            </w:r>
            <w:r w:rsidRPr="00F57861">
              <w:rPr>
                <w:rFonts w:ascii="Times" w:hAnsi="Times" w:cs="Times"/>
                <w:sz w:val="20"/>
                <w:szCs w:val="20"/>
              </w:rPr>
              <w:t xml:space="preserve"> objemu </w:t>
            </w:r>
            <w:r w:rsidR="00AD68FD" w:rsidRPr="00F57861">
              <w:rPr>
                <w:rFonts w:ascii="Times" w:hAnsi="Times" w:cs="Times"/>
                <w:sz w:val="20"/>
                <w:szCs w:val="20"/>
              </w:rPr>
              <w:t>doplatkov do sumy minimálnej mzdy a </w:t>
            </w:r>
            <w:r w:rsidRPr="00F57861">
              <w:rPr>
                <w:rFonts w:ascii="Times" w:hAnsi="Times" w:cs="Times"/>
                <w:sz w:val="20"/>
                <w:szCs w:val="20"/>
              </w:rPr>
              <w:t>odvod</w:t>
            </w:r>
            <w:r w:rsidR="00AD68FD" w:rsidRPr="00F57861">
              <w:rPr>
                <w:rFonts w:ascii="Times" w:hAnsi="Times" w:cs="Times"/>
                <w:sz w:val="20"/>
                <w:szCs w:val="20"/>
              </w:rPr>
              <w:t xml:space="preserve"> do poistných fondov u </w:t>
            </w:r>
            <w:r w:rsidRPr="00F57861">
              <w:rPr>
                <w:rFonts w:ascii="Times" w:hAnsi="Times" w:cs="Times"/>
                <w:sz w:val="20"/>
                <w:szCs w:val="20"/>
              </w:rPr>
              <w:t xml:space="preserve">zamestnávateľov, ktorí zamestnancom poskytujú mzdu na úrovni sumy minimálnej mzdy alebo na úrovni doterajších sadzieb minimálnych mzdových nárokov, alebo im poskytujú odmenu za prácu na základe niektorej z dohôd o prácach vykonávaných mimo pracovného pomeru na hodinu na úrovni sumy minimálnej mzdy. </w:t>
            </w:r>
          </w:p>
          <w:p w:rsidR="00951D34" w:rsidRDefault="00835755" w:rsidP="00A1280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F57861">
              <w:rPr>
                <w:rFonts w:ascii="Times" w:hAnsi="Times" w:cs="Times"/>
                <w:sz w:val="20"/>
                <w:szCs w:val="20"/>
              </w:rPr>
              <w:t xml:space="preserve">Pozitívne sociálne </w:t>
            </w:r>
            <w:r w:rsidR="003E5773" w:rsidRPr="00F57861">
              <w:rPr>
                <w:rFonts w:ascii="Times" w:hAnsi="Times" w:cs="Times"/>
                <w:sz w:val="20"/>
                <w:szCs w:val="20"/>
              </w:rPr>
              <w:t xml:space="preserve">vplyvy </w:t>
            </w:r>
            <w:r w:rsidR="00AD68FD" w:rsidRPr="00F57861">
              <w:rPr>
                <w:rFonts w:ascii="Times" w:hAnsi="Times" w:cs="Times"/>
                <w:sz w:val="20"/>
                <w:szCs w:val="20"/>
              </w:rPr>
              <w:t>sa očakávajú</w:t>
            </w:r>
            <w:r w:rsidRPr="00F57861">
              <w:rPr>
                <w:rFonts w:ascii="Times" w:hAnsi="Times" w:cs="Times"/>
                <w:sz w:val="20"/>
                <w:szCs w:val="20"/>
              </w:rPr>
              <w:t xml:space="preserve"> v oblasti hospodárenia obyvateľstva z dôvodu zvýšenia príjmov tých zamestnancov, ktorým sa zvýši spodná hranica ich nároku na mzdu. Nie je možné úplne vylúčiť ani mierne negatívny vplyv zvýšenia sumy minimálnej mzdy na zamestnanosť, a to najmä u nízko kvalifikovaných zamestnancov v regiónoch s nízkou priemernou mzdou a vysokou nezamestnanosťou.</w:t>
            </w:r>
          </w:p>
          <w:p w:rsidR="00F25C80" w:rsidRDefault="00DB252B" w:rsidP="00A12807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Predložený materiál, vrátane vyčíslenia dopadov, vychádza z právneho stavu v čase jeho spracovania. Do pozornosti dávame skutočnosť, že v čase spracovávania materiálu sa v legislatívnom procese nachádza návrh zákona, ktorým sa mení a dopĺňa zákon č. 553/2003 Z. z. o odmeňovaní niektorých zamestnancov pri výkone práce vo verejnom záujme a o zmene a doplnení ni</w:t>
            </w:r>
            <w:r w:rsidR="00F25C80">
              <w:rPr>
                <w:rFonts w:ascii="Times" w:hAnsi="Times" w:cs="Times"/>
                <w:sz w:val="20"/>
                <w:szCs w:val="20"/>
              </w:rPr>
              <w:t>e</w:t>
            </w:r>
            <w:r>
              <w:rPr>
                <w:rFonts w:ascii="Times" w:hAnsi="Times" w:cs="Times"/>
                <w:sz w:val="20"/>
                <w:szCs w:val="20"/>
              </w:rPr>
              <w:t>ktorých zákonov v znení neskorších predpisov s predpokladanou účinnosťou od 1. januára 2019. Predmetný materiál predpokladá zvýšenie tarifných platov zamestnancov pri výkone práce vo verejnom záujme nad úroveň 520 eura za mesiac</w:t>
            </w:r>
            <w:r w:rsidR="00720769">
              <w:rPr>
                <w:rFonts w:ascii="Times" w:hAnsi="Times" w:cs="Times"/>
                <w:sz w:val="20"/>
                <w:szCs w:val="20"/>
              </w:rPr>
              <w:t xml:space="preserve">. Zároveň bolo podpísané vyhlásenie sociálnych partnerov, ktoré sa týka zvýšenia tarifných platov štátnych zamestnancov na rok 2019. </w:t>
            </w:r>
            <w:r w:rsidR="006C4C70">
              <w:rPr>
                <w:rFonts w:ascii="Times" w:hAnsi="Times" w:cs="Times"/>
                <w:sz w:val="20"/>
                <w:szCs w:val="20"/>
              </w:rPr>
              <w:t xml:space="preserve">Možno preto očakávať, že vplyvy </w:t>
            </w:r>
            <w:r w:rsidR="00F25C80">
              <w:rPr>
                <w:rFonts w:ascii="Times" w:hAnsi="Times" w:cs="Times"/>
                <w:sz w:val="20"/>
                <w:szCs w:val="20"/>
              </w:rPr>
              <w:t>na rozpočet verejnej správy z titulu schválenia predkladaného nariadenia vlády, ktorým sa ustanovuje suma minimálnej mzdy na rok 2019</w:t>
            </w:r>
            <w:r w:rsidR="006C4C70">
              <w:rPr>
                <w:rFonts w:ascii="Times" w:hAnsi="Times" w:cs="Times"/>
                <w:sz w:val="20"/>
                <w:szCs w:val="20"/>
              </w:rPr>
              <w:t>,</w:t>
            </w:r>
            <w:r w:rsidR="00F25C8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6C4C70">
              <w:rPr>
                <w:rFonts w:ascii="Times" w:hAnsi="Times" w:cs="Times"/>
                <w:sz w:val="20"/>
                <w:szCs w:val="20"/>
              </w:rPr>
              <w:t xml:space="preserve">budú </w:t>
            </w:r>
            <w:r w:rsidR="00720769">
              <w:rPr>
                <w:rFonts w:ascii="Times" w:hAnsi="Times" w:cs="Times"/>
                <w:sz w:val="20"/>
                <w:szCs w:val="20"/>
              </w:rPr>
              <w:t xml:space="preserve">nižšie ako sú vyčíslené v analýze vplyvov na rozpočet verejnej správy. </w:t>
            </w:r>
          </w:p>
          <w:p w:rsidR="001A2650" w:rsidRDefault="001A2650" w:rsidP="0072076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951D34">
        <w:trPr>
          <w:divId w:val="15159252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1D34" w:rsidRDefault="00951D3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951D34">
        <w:trPr>
          <w:divId w:val="15159252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D34" w:rsidRDefault="00E964C0" w:rsidP="00E964C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Ing</w:t>
            </w:r>
            <w:r w:rsidR="00951D34">
              <w:rPr>
                <w:rFonts w:ascii="Times" w:hAnsi="Times" w:cs="Times"/>
                <w:sz w:val="20"/>
                <w:szCs w:val="20"/>
              </w:rPr>
              <w:t xml:space="preserve">. </w:t>
            </w:r>
            <w:r>
              <w:rPr>
                <w:rFonts w:ascii="Times" w:hAnsi="Times" w:cs="Times"/>
                <w:sz w:val="20"/>
                <w:szCs w:val="20"/>
              </w:rPr>
              <w:t xml:space="preserve">Mikuláš Hamuľák, Ing. Miroslav Mačuha, odbor pracovných vzťahov, Ministerstvo práce, sociálnych vecí a rodiny Slovenskej republiky, </w:t>
            </w:r>
            <w:r w:rsidRPr="00E964C0">
              <w:rPr>
                <w:rFonts w:ascii="Times" w:hAnsi="Times" w:cs="Times"/>
                <w:sz w:val="20"/>
                <w:szCs w:val="20"/>
              </w:rPr>
              <w:t>mikulas.hamulak@employment.gov.sk</w:t>
            </w:r>
            <w:r>
              <w:rPr>
                <w:rFonts w:ascii="Times" w:hAnsi="Times" w:cs="Times"/>
                <w:sz w:val="20"/>
                <w:szCs w:val="20"/>
              </w:rPr>
              <w:t xml:space="preserve">, </w:t>
            </w:r>
            <w:r w:rsidRPr="00E964C0">
              <w:rPr>
                <w:rFonts w:ascii="Times" w:hAnsi="Times" w:cs="Times"/>
                <w:sz w:val="20"/>
                <w:szCs w:val="20"/>
              </w:rPr>
              <w:t>miroslav.macuha@employment.gov.sk</w:t>
            </w:r>
            <w:r>
              <w:rPr>
                <w:rFonts w:ascii="Times" w:hAnsi="Times" w:cs="Times"/>
                <w:sz w:val="20"/>
                <w:szCs w:val="20"/>
              </w:rPr>
              <w:t xml:space="preserve">. </w:t>
            </w:r>
          </w:p>
        </w:tc>
      </w:tr>
      <w:tr w:rsidR="00951D34">
        <w:trPr>
          <w:divId w:val="15159252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1D34" w:rsidRDefault="00951D3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12.  Zdroje</w:t>
            </w:r>
          </w:p>
        </w:tc>
      </w:tr>
      <w:tr w:rsidR="00951D34">
        <w:trPr>
          <w:divId w:val="15159252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1D34" w:rsidRDefault="00320FA4" w:rsidP="003E1A70">
            <w:pPr>
              <w:rPr>
                <w:rFonts w:ascii="Times" w:hAnsi="Times" w:cs="Times"/>
                <w:sz w:val="20"/>
                <w:szCs w:val="20"/>
              </w:rPr>
            </w:pPr>
            <w:r w:rsidRPr="00320FA4">
              <w:rPr>
                <w:rFonts w:ascii="Times" w:hAnsi="Times" w:cs="Times"/>
                <w:sz w:val="20"/>
                <w:szCs w:val="20"/>
              </w:rPr>
              <w:t>Štatistické údaje v gescii ŠÚ SR a</w:t>
            </w:r>
            <w:r>
              <w:rPr>
                <w:rFonts w:ascii="Times" w:hAnsi="Times" w:cs="Times"/>
                <w:sz w:val="20"/>
                <w:szCs w:val="20"/>
              </w:rPr>
              <w:t xml:space="preserve"> Ministerstva financií Slovenskej republiky </w:t>
            </w:r>
            <w:r w:rsidRPr="00320FA4">
              <w:rPr>
                <w:rFonts w:ascii="Times" w:hAnsi="Times" w:cs="Times"/>
                <w:sz w:val="20"/>
                <w:szCs w:val="20"/>
              </w:rPr>
              <w:t>SR</w:t>
            </w:r>
            <w:r>
              <w:rPr>
                <w:rFonts w:ascii="Times" w:hAnsi="Times" w:cs="Times"/>
                <w:sz w:val="20"/>
                <w:szCs w:val="20"/>
              </w:rPr>
              <w:t xml:space="preserve">, makroekonomická prognóza Inštitútu finančnej politiky, podklady z výberového zisťovania o priemerných zárobkoch </w:t>
            </w:r>
            <w:r w:rsidR="003E1A70">
              <w:rPr>
                <w:rFonts w:ascii="Times" w:hAnsi="Times" w:cs="Times"/>
                <w:sz w:val="20"/>
                <w:szCs w:val="20"/>
              </w:rPr>
              <w:t>podľa príjmových pásiem, vykonávaného Treximou</w:t>
            </w:r>
            <w:r w:rsidRPr="00320FA4">
              <w:rPr>
                <w:rFonts w:ascii="Times" w:hAnsi="Times" w:cs="Times"/>
                <w:sz w:val="20"/>
                <w:szCs w:val="20"/>
              </w:rPr>
              <w:t xml:space="preserve">, spol. s r.o. Bratislava </w:t>
            </w:r>
            <w:r w:rsidR="003E1A70">
              <w:rPr>
                <w:rFonts w:ascii="Times" w:hAnsi="Times" w:cs="Times"/>
                <w:sz w:val="20"/>
                <w:szCs w:val="20"/>
              </w:rPr>
              <w:t xml:space="preserve">a </w:t>
            </w:r>
            <w:r w:rsidR="00951D34">
              <w:rPr>
                <w:rFonts w:ascii="Times" w:hAnsi="Times" w:cs="Times"/>
                <w:sz w:val="20"/>
                <w:szCs w:val="20"/>
              </w:rPr>
              <w:t>z informačného systému Sociálnej poisťovne.</w:t>
            </w:r>
          </w:p>
        </w:tc>
      </w:tr>
      <w:tr w:rsidR="00951D34">
        <w:trPr>
          <w:divId w:val="15159252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51D34" w:rsidRDefault="00951D3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</w:t>
            </w:r>
            <w:r w:rsidR="00F57861">
              <w:rPr>
                <w:rFonts w:ascii="Times" w:hAnsi="Times" w:cs="Times"/>
                <w:b/>
                <w:bCs/>
                <w:sz w:val="22"/>
                <w:szCs w:val="22"/>
              </w:rPr>
              <w:t> 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t>PPK</w:t>
            </w:r>
          </w:p>
        </w:tc>
      </w:tr>
      <w:tr w:rsidR="00951D34">
        <w:trPr>
          <w:divId w:val="1515925283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82B" w:rsidRPr="006C682B" w:rsidRDefault="006C682B" w:rsidP="006C682B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line="100" w:lineRule="atLeast"/>
              <w:ind w:right="-2"/>
              <w:jc w:val="center"/>
              <w:outlineLvl w:val="3"/>
              <w:rPr>
                <w:rFonts w:ascii="Arial" w:hAnsi="Arial"/>
                <w:b/>
                <w:smallCaps/>
                <w:sz w:val="22"/>
                <w:szCs w:val="20"/>
                <w:lang w:eastAsia="ar-SA"/>
              </w:rPr>
            </w:pPr>
            <w:r w:rsidRPr="006C682B">
              <w:rPr>
                <w:rFonts w:ascii="Arial" w:hAnsi="Arial"/>
                <w:b/>
                <w:smallCaps/>
                <w:spacing w:val="20"/>
                <w:sz w:val="32"/>
                <w:szCs w:val="20"/>
                <w:lang w:eastAsia="ar-SA"/>
              </w:rPr>
              <w:lastRenderedPageBreak/>
              <w:t>stanovisko komisie</w:t>
            </w:r>
            <w:r w:rsidRPr="006C682B">
              <w:rPr>
                <w:rFonts w:ascii="Arial" w:hAnsi="Arial"/>
                <w:b/>
                <w:smallCaps/>
                <w:sz w:val="22"/>
                <w:szCs w:val="20"/>
                <w:lang w:eastAsia="ar-SA"/>
              </w:rPr>
              <w:t xml:space="preserve"> </w:t>
            </w:r>
          </w:p>
          <w:p w:rsidR="006C682B" w:rsidRPr="006C682B" w:rsidRDefault="006C682B" w:rsidP="006C682B">
            <w:pPr>
              <w:suppressAutoHyphens/>
              <w:spacing w:line="100" w:lineRule="atLeast"/>
              <w:ind w:right="-2"/>
              <w:jc w:val="center"/>
              <w:rPr>
                <w:rFonts w:ascii="Arial" w:hAnsi="Arial"/>
                <w:b/>
                <w:smallCaps/>
                <w:sz w:val="22"/>
                <w:szCs w:val="20"/>
                <w:lang w:eastAsia="ar-SA"/>
              </w:rPr>
            </w:pPr>
          </w:p>
          <w:p w:rsidR="006C682B" w:rsidRPr="006C682B" w:rsidRDefault="006C682B" w:rsidP="006C682B">
            <w:pPr>
              <w:suppressAutoHyphens/>
              <w:spacing w:line="100" w:lineRule="atLeast"/>
              <w:ind w:right="-2"/>
              <w:jc w:val="center"/>
              <w:rPr>
                <w:rFonts w:ascii="Arial" w:hAnsi="Arial"/>
                <w:b/>
                <w:smallCaps/>
                <w:sz w:val="22"/>
                <w:szCs w:val="20"/>
                <w:lang w:eastAsia="ar-SA"/>
              </w:rPr>
            </w:pPr>
            <w:r w:rsidRPr="006C682B">
              <w:rPr>
                <w:rFonts w:ascii="Arial" w:hAnsi="Arial"/>
                <w:b/>
                <w:smallCaps/>
                <w:sz w:val="22"/>
                <w:szCs w:val="20"/>
                <w:lang w:eastAsia="ar-SA"/>
              </w:rPr>
              <w:t>(predbežné pripomienkové konanie)</w:t>
            </w:r>
          </w:p>
          <w:p w:rsidR="006C682B" w:rsidRPr="006C682B" w:rsidRDefault="006C682B" w:rsidP="006C682B">
            <w:pPr>
              <w:suppressAutoHyphens/>
              <w:spacing w:line="100" w:lineRule="atLeast"/>
              <w:ind w:right="-2"/>
              <w:jc w:val="center"/>
              <w:rPr>
                <w:rFonts w:ascii="Arial" w:hAnsi="Arial"/>
                <w:b/>
                <w:smallCaps/>
                <w:sz w:val="22"/>
                <w:szCs w:val="20"/>
                <w:lang w:eastAsia="ar-SA"/>
              </w:rPr>
            </w:pPr>
          </w:p>
          <w:p w:rsidR="006C682B" w:rsidRPr="006C682B" w:rsidRDefault="006C682B" w:rsidP="006C682B">
            <w:pPr>
              <w:suppressAutoHyphens/>
              <w:spacing w:line="100" w:lineRule="atLeast"/>
              <w:ind w:right="-2"/>
              <w:jc w:val="center"/>
              <w:rPr>
                <w:rFonts w:ascii="Arial" w:hAnsi="Arial"/>
                <w:b/>
                <w:smallCaps/>
                <w:sz w:val="22"/>
                <w:szCs w:val="20"/>
                <w:lang w:eastAsia="ar-SA"/>
              </w:rPr>
            </w:pPr>
            <w:r w:rsidRPr="006C682B">
              <w:rPr>
                <w:rFonts w:ascii="Arial" w:hAnsi="Arial"/>
                <w:b/>
                <w:smallCaps/>
                <w:sz w:val="22"/>
                <w:szCs w:val="20"/>
                <w:lang w:eastAsia="ar-SA"/>
              </w:rPr>
              <w:t>k návrhu</w:t>
            </w:r>
          </w:p>
          <w:p w:rsidR="006C682B" w:rsidRPr="006C682B" w:rsidRDefault="006C682B" w:rsidP="006C682B">
            <w:pPr>
              <w:suppressAutoHyphens/>
              <w:spacing w:line="100" w:lineRule="atLeast"/>
              <w:ind w:right="-2"/>
              <w:jc w:val="center"/>
              <w:rPr>
                <w:rFonts w:ascii="Arial" w:hAnsi="Arial"/>
                <w:b/>
                <w:smallCaps/>
                <w:sz w:val="22"/>
                <w:szCs w:val="20"/>
                <w:lang w:eastAsia="ar-SA"/>
              </w:rPr>
            </w:pPr>
          </w:p>
          <w:p w:rsidR="006C682B" w:rsidRPr="006C682B" w:rsidRDefault="006C682B" w:rsidP="006C682B">
            <w:pPr>
              <w:pBdr>
                <w:bottom w:val="single" w:sz="4" w:space="1" w:color="000000"/>
              </w:pBdr>
              <w:suppressAutoHyphens/>
              <w:spacing w:line="100" w:lineRule="atLeast"/>
              <w:ind w:right="-2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eastAsia="ar-SA"/>
              </w:rPr>
            </w:pPr>
            <w:r w:rsidRPr="006C682B">
              <w:rPr>
                <w:rFonts w:ascii="Arial" w:hAnsi="Arial" w:cs="Arial"/>
                <w:b/>
                <w:smallCaps/>
                <w:sz w:val="22"/>
                <w:szCs w:val="22"/>
                <w:lang w:eastAsia="ar-SA"/>
              </w:rPr>
              <w:t xml:space="preserve">nariadenia vlády Slovenskej republiky, ktorým sa ustanovuje suma </w:t>
            </w:r>
            <w:r w:rsidRPr="006C682B">
              <w:rPr>
                <w:rFonts w:ascii="Arial" w:hAnsi="Arial" w:cs="Arial"/>
                <w:b/>
                <w:smallCaps/>
                <w:sz w:val="22"/>
                <w:szCs w:val="22"/>
                <w:lang w:eastAsia="ar-SA"/>
              </w:rPr>
              <w:br/>
              <w:t xml:space="preserve">minimálnej mzdy na rok 2019 </w:t>
            </w:r>
          </w:p>
          <w:p w:rsidR="006C682B" w:rsidRPr="006C682B" w:rsidRDefault="006C682B" w:rsidP="006C682B">
            <w:pPr>
              <w:pBdr>
                <w:bottom w:val="single" w:sz="4" w:space="1" w:color="000000"/>
              </w:pBdr>
              <w:suppressAutoHyphens/>
              <w:spacing w:line="100" w:lineRule="atLeast"/>
              <w:ind w:right="-2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eastAsia="ar-SA"/>
              </w:rPr>
            </w:pPr>
          </w:p>
          <w:p w:rsidR="006C682B" w:rsidRPr="006C682B" w:rsidRDefault="006C682B" w:rsidP="006C682B">
            <w:pPr>
              <w:tabs>
                <w:tab w:val="center" w:pos="6379"/>
              </w:tabs>
              <w:suppressAutoHyphens/>
              <w:spacing w:line="100" w:lineRule="atLeast"/>
              <w:ind w:right="-2"/>
              <w:rPr>
                <w:lang w:eastAsia="ar-SA"/>
              </w:rPr>
            </w:pPr>
          </w:p>
          <w:p w:rsidR="006C682B" w:rsidRPr="006C682B" w:rsidRDefault="006C682B" w:rsidP="006C682B">
            <w:pPr>
              <w:suppressAutoHyphens/>
              <w:spacing w:line="100" w:lineRule="atLeast"/>
              <w:jc w:val="both"/>
              <w:rPr>
                <w:sz w:val="20"/>
                <w:szCs w:val="20"/>
                <w:lang w:eastAsia="ar-SA"/>
              </w:rPr>
            </w:pPr>
            <w:r w:rsidRPr="006C682B">
              <w:rPr>
                <w:rFonts w:ascii="Arial" w:hAnsi="Arial" w:cs="Arial"/>
                <w:b/>
                <w:bCs/>
                <w:szCs w:val="22"/>
                <w:lang w:eastAsia="ar-SA"/>
              </w:rPr>
              <w:t xml:space="preserve">I. Úvod: </w:t>
            </w:r>
            <w:r w:rsidRPr="006C682B">
              <w:rPr>
                <w:rFonts w:ascii="Arial" w:hAnsi="Arial" w:cs="Arial"/>
                <w:bCs/>
                <w:szCs w:val="22"/>
                <w:lang w:eastAsia="ar-SA"/>
              </w:rPr>
              <w:t>Ministerstvo práce, sociálnych vecí a rodiny Slovenskej republiky dňa 20.augusta 2018 predložilo Stálej pracovnej komisii na posudzovanie vybr</w:t>
            </w:r>
            <w:r w:rsidRPr="006C682B">
              <w:rPr>
                <w:rFonts w:ascii="Arial" w:hAnsi="Arial" w:cs="Arial"/>
                <w:iCs/>
                <w:szCs w:val="22"/>
                <w:lang w:eastAsia="ar-SA"/>
              </w:rPr>
              <w:t>aných vplyvov (ďalej len „Komisia“) na predbežné pripomienkové konanie materiál:</w:t>
            </w:r>
            <w:r w:rsidRPr="006C682B">
              <w:rPr>
                <w:rFonts w:ascii="Arial" w:hAnsi="Arial" w:cs="Arial"/>
                <w:i/>
                <w:iCs/>
                <w:szCs w:val="22"/>
                <w:lang w:eastAsia="ar-SA"/>
              </w:rPr>
              <w:t xml:space="preserve"> „Návrh nariadenia vlády Slovenskej republiky, ktorým sa ustanovuje suma minimálnej mzdy na rok 2019“ </w:t>
            </w:r>
            <w:r w:rsidRPr="006C682B">
              <w:rPr>
                <w:rFonts w:ascii="Arial" w:hAnsi="Arial" w:cs="Arial"/>
                <w:iCs/>
                <w:szCs w:val="22"/>
                <w:lang w:eastAsia="ar-SA"/>
              </w:rPr>
              <w:t>spolu so žiadosťou o skrátenie lehoty PPK</w:t>
            </w:r>
            <w:r w:rsidRPr="006C682B">
              <w:rPr>
                <w:rFonts w:ascii="Arial" w:hAnsi="Arial" w:cs="Arial"/>
                <w:i/>
                <w:iCs/>
                <w:szCs w:val="22"/>
                <w:lang w:eastAsia="ar-SA"/>
              </w:rPr>
              <w:t xml:space="preserve">. </w:t>
            </w:r>
            <w:r w:rsidRPr="006C682B">
              <w:rPr>
                <w:rFonts w:ascii="Arial" w:hAnsi="Arial" w:cs="Arial"/>
                <w:iCs/>
                <w:szCs w:val="22"/>
                <w:lang w:eastAsia="ar-SA"/>
              </w:rPr>
              <w:t>Komisia tejto žiadosti vyhovela.</w:t>
            </w:r>
            <w:r w:rsidRPr="006C682B">
              <w:rPr>
                <w:rFonts w:ascii="Arial" w:hAnsi="Arial" w:cs="Arial"/>
                <w:i/>
                <w:iCs/>
                <w:szCs w:val="22"/>
                <w:lang w:eastAsia="ar-SA"/>
              </w:rPr>
              <w:t xml:space="preserve"> </w:t>
            </w:r>
            <w:r w:rsidRPr="006C682B">
              <w:rPr>
                <w:rFonts w:ascii="Arial" w:hAnsi="Arial" w:cs="Arial"/>
                <w:iCs/>
                <w:szCs w:val="22"/>
                <w:lang w:eastAsia="ar-SA"/>
              </w:rPr>
              <w:t>M</w:t>
            </w:r>
            <w:r w:rsidRPr="006C682B">
              <w:rPr>
                <w:rFonts w:ascii="Arial" w:hAnsi="Arial" w:cs="Arial"/>
                <w:bCs/>
                <w:lang w:eastAsia="ar-SA"/>
              </w:rPr>
              <w:t>ateriál predpokladá pozitívno-negatívne vplyvy na rozpočet verejnej správy, ktoré sú rozpočtovo zabezpečené; pozitívno-negatívne vplyvy na podnikateľské prostredie, vrátane pozitívno-negatívnych vplyvov na malé a stredné podniky a pozitívne sociálne vplyvy.</w:t>
            </w:r>
          </w:p>
          <w:p w:rsidR="006C682B" w:rsidRPr="006C682B" w:rsidRDefault="006C682B" w:rsidP="006C682B">
            <w:pPr>
              <w:suppressAutoHyphens/>
              <w:spacing w:line="100" w:lineRule="atLeast"/>
              <w:jc w:val="both"/>
              <w:rPr>
                <w:rFonts w:ascii="Arial" w:hAnsi="Arial" w:cs="Arial"/>
                <w:bCs/>
                <w:szCs w:val="22"/>
                <w:lang w:eastAsia="ar-SA"/>
              </w:rPr>
            </w:pPr>
          </w:p>
          <w:p w:rsidR="006C682B" w:rsidRPr="006C682B" w:rsidRDefault="006C682B" w:rsidP="006C682B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rFonts w:ascii="Arial" w:hAnsi="Arial" w:cs="Arial"/>
                <w:bCs/>
                <w:szCs w:val="22"/>
                <w:lang w:eastAsia="ar-SA"/>
              </w:rPr>
            </w:pPr>
            <w:r w:rsidRPr="006C682B">
              <w:rPr>
                <w:rFonts w:ascii="Arial" w:hAnsi="Arial" w:cs="Arial"/>
                <w:b/>
                <w:bCs/>
                <w:lang w:eastAsia="ar-SA"/>
              </w:rPr>
              <w:t>II. P</w:t>
            </w:r>
            <w:r w:rsidRPr="006C682B">
              <w:rPr>
                <w:rFonts w:ascii="Arial" w:hAnsi="Arial" w:cs="Arial"/>
                <w:b/>
                <w:lang w:eastAsia="ar-SA"/>
              </w:rPr>
              <w:t>r</w:t>
            </w:r>
            <w:r w:rsidRPr="006C682B">
              <w:rPr>
                <w:rFonts w:ascii="Arial" w:hAnsi="Arial" w:cs="Arial"/>
                <w:b/>
                <w:bCs/>
                <w:lang w:eastAsia="ar-SA"/>
              </w:rPr>
              <w:t>ipomienky a návrhy zm</w:t>
            </w:r>
            <w:r w:rsidRPr="006C682B">
              <w:rPr>
                <w:rFonts w:ascii="Arial" w:hAnsi="Arial" w:cs="Arial"/>
                <w:b/>
                <w:lang w:eastAsia="ar-SA"/>
              </w:rPr>
              <w:t>ie</w:t>
            </w:r>
            <w:r w:rsidRPr="006C682B">
              <w:rPr>
                <w:rFonts w:ascii="Arial" w:hAnsi="Arial" w:cs="Arial"/>
                <w:b/>
                <w:bCs/>
                <w:lang w:eastAsia="ar-SA"/>
              </w:rPr>
              <w:t xml:space="preserve">n: </w:t>
            </w:r>
            <w:r w:rsidRPr="006C682B">
              <w:rPr>
                <w:rFonts w:ascii="Arial" w:hAnsi="Arial" w:cs="Arial"/>
                <w:bCs/>
                <w:szCs w:val="22"/>
                <w:lang w:eastAsia="ar-SA"/>
              </w:rPr>
              <w:t>Komisia uplatňuje k materiálu nasledovné pripomienky a odporúčania:</w:t>
            </w:r>
          </w:p>
          <w:p w:rsidR="006C682B" w:rsidRPr="006C682B" w:rsidRDefault="006C682B" w:rsidP="006C682B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rFonts w:ascii="Arial" w:hAnsi="Arial" w:cs="Arial"/>
                <w:bCs/>
                <w:szCs w:val="22"/>
                <w:lang w:eastAsia="ar-SA"/>
              </w:rPr>
            </w:pPr>
          </w:p>
          <w:p w:rsidR="006C682B" w:rsidRPr="006C682B" w:rsidRDefault="006C682B" w:rsidP="006C682B">
            <w:pPr>
              <w:suppressAutoHyphens/>
              <w:spacing w:line="100" w:lineRule="atLeast"/>
              <w:ind w:right="-2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  <w:r w:rsidRPr="006C682B">
              <w:rPr>
                <w:rFonts w:ascii="Arial" w:hAnsi="Arial" w:cs="Arial"/>
                <w:b/>
                <w:bCs/>
                <w:lang w:eastAsia="ar-SA"/>
              </w:rPr>
              <w:t>K doložke vybraných vplyvov a analýze vplyvov na rozpočet verejnej správy</w:t>
            </w:r>
          </w:p>
          <w:p w:rsidR="006C682B" w:rsidRPr="006C682B" w:rsidRDefault="006C682B" w:rsidP="006C682B">
            <w:pPr>
              <w:suppressAutoHyphens/>
              <w:spacing w:line="10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6C682B">
              <w:rPr>
                <w:rFonts w:ascii="Arial" w:hAnsi="Arial" w:cs="Arial"/>
                <w:bCs/>
                <w:lang w:eastAsia="ar-SA"/>
              </w:rPr>
              <w:t xml:space="preserve">Komisia žiada prehodnotiť kvantifikáciu vplyvov na rozpočet verejnej správy na základe údajov Sociálnej poisťovne, ktoré hodnovernejšie reflektujú mzdy zamestnancov ako výberový štatistický prieskum Štvrťročný výkaz o cene práce ISCP. Na základe panelových údajov Sociálnej poisťovne je možné spoľahlivejšie identifikovať zamestnancov, ktorých mzdy sú ovplyvnené zvyšovaním minimálnych mzdových nárokov. </w:t>
            </w:r>
          </w:p>
          <w:p w:rsidR="006C682B" w:rsidRPr="006C682B" w:rsidRDefault="006C682B" w:rsidP="006C682B">
            <w:pPr>
              <w:suppressAutoHyphens/>
              <w:spacing w:line="10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</w:p>
          <w:p w:rsidR="006C682B" w:rsidRPr="006C682B" w:rsidRDefault="006C682B" w:rsidP="006C682B">
            <w:pPr>
              <w:suppressAutoHyphens/>
              <w:spacing w:line="10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6C682B">
              <w:rPr>
                <w:rFonts w:ascii="Arial" w:hAnsi="Arial" w:cs="Arial"/>
                <w:bCs/>
                <w:lang w:eastAsia="ar-SA"/>
              </w:rPr>
              <w:t xml:space="preserve">Komisia žiada doplniť kvantifikáciu rozpočtových vplyvov o zamestnancov, ktorí sú zaradení do vyšších stupňov náročnosti práce (§ 120 Zákonníka práce). Týmto zamestnancom prislúcha vyššia „minimálna mzda“ (až dvojnásobok sumy minimálnej mzdy pri šiestom stupni náročnosti – 1 040 eur) a je potrebné zohľadniť rozpočtové vplyvy nárastu ich minimálnych mzdových nárokov. S pracovnými pozíciami s vyššou náročnosťou práce je potrebné uvažovať hlavne pri zamestnancoch v sektore zdravotníctva. </w:t>
            </w:r>
          </w:p>
          <w:p w:rsidR="006C682B" w:rsidRPr="006C682B" w:rsidRDefault="006C682B" w:rsidP="006C682B">
            <w:pPr>
              <w:suppressAutoHyphens/>
              <w:spacing w:line="10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</w:p>
          <w:p w:rsidR="006C682B" w:rsidRPr="006C682B" w:rsidRDefault="006C682B" w:rsidP="006C682B">
            <w:pPr>
              <w:suppressAutoHyphens/>
              <w:spacing w:line="10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6C682B">
              <w:rPr>
                <w:rFonts w:ascii="Arial" w:hAnsi="Arial" w:cs="Arial"/>
                <w:bCs/>
                <w:lang w:eastAsia="ar-SA"/>
              </w:rPr>
              <w:t xml:space="preserve">Predkladateľ v bode 10. doložky vybraných vplyvov, v časti 2.1.1. analýzy vplyvov na rozpočet verejnej správy ako aj v dôvodovej správe uvádza: </w:t>
            </w:r>
            <w:r w:rsidRPr="006C682B">
              <w:rPr>
                <w:rFonts w:ascii="Arial" w:hAnsi="Arial" w:cs="Arial"/>
                <w:bCs/>
                <w:i/>
                <w:lang w:eastAsia="ar-SA"/>
              </w:rPr>
              <w:t>„V čase prípravy návrhu nariadenia vlády sa v legislatívnom procese nachádzal návrh zákona, ktorým sa mení a dopĺňa zákon č. 553/2003 Z. z. o odmeňovaní niektorých zamestnancov pri výkone práce vo verejnom záujme... Predmetný materiál predpokladá zvýšenie tarifných platov takmer všetkých zamestnancov pri výkone práce vo verejnom záujme (okrem pedagogických zamestnancov a odborných zamestnancov v platovej triede 3 a pracovnej triede 1) nad úroveň 520 eur...“</w:t>
            </w:r>
            <w:r w:rsidRPr="006C682B">
              <w:rPr>
                <w:rFonts w:ascii="Arial" w:hAnsi="Arial" w:cs="Arial"/>
                <w:bCs/>
                <w:lang w:eastAsia="ar-SA"/>
              </w:rPr>
              <w:t xml:space="preserve">. Predmetný text je potrebné v celom rozsahu vypustiť, resp. preformulovať z dôvodu jeho nepresnej a nesprávnej formulácie, ktorá nie je v súlade so znením návrhu novely zákona č. 553/2003 Z. z., ktorý 22. 8. 2018 schválila vláda SR, ani v súlade s podpísaným vyhlásením </w:t>
            </w:r>
            <w:r w:rsidRPr="006C682B">
              <w:rPr>
                <w:rFonts w:ascii="Arial" w:hAnsi="Arial" w:cs="Arial"/>
                <w:bCs/>
                <w:lang w:eastAsia="ar-SA"/>
              </w:rPr>
              <w:lastRenderedPageBreak/>
              <w:t>sociálnych partnerov, ktoré sa týka zvýšenia tarifných platov na rok 2019. Znenie je potrebné upraviť aj v nadväznosti na skutočnosť, že kvantifikovaný vplyv novely zákona č. 553/2003 Z. z. na rozpočet verejnej správy nezohľadňuje kvantifikáciu dopadu súvisiacu so zvýšením minimálnej mzdy (40 eur).</w:t>
            </w:r>
          </w:p>
          <w:p w:rsidR="006C682B" w:rsidRPr="006C682B" w:rsidRDefault="006C682B" w:rsidP="006C682B">
            <w:pPr>
              <w:suppressAutoHyphens/>
              <w:spacing w:line="10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</w:p>
          <w:p w:rsidR="006C682B" w:rsidRPr="006C682B" w:rsidRDefault="006C682B" w:rsidP="006C682B">
            <w:pPr>
              <w:suppressAutoHyphens/>
              <w:spacing w:line="100" w:lineRule="atLeast"/>
              <w:jc w:val="both"/>
              <w:rPr>
                <w:rFonts w:ascii="Arial" w:hAnsi="Arial" w:cs="Arial"/>
                <w:bCs/>
                <w:lang w:eastAsia="ar-SA"/>
              </w:rPr>
            </w:pPr>
            <w:r w:rsidRPr="006C682B">
              <w:rPr>
                <w:rFonts w:ascii="Arial" w:hAnsi="Arial" w:cs="Arial"/>
                <w:bCs/>
                <w:lang w:eastAsia="ar-SA"/>
              </w:rPr>
              <w:t>Komisia berie na vedomie konštatovanie predkladateľa, že vykrytie prípadných zvýšených výdavkov z dôvodu navrhovaného zvýšenia minimálnej mzdy bude musieť byť v jednotlivých rokoch zabezpečené v rámci záväzných ukazovateľov schváleného rozpočtu verejnej správy na príslušný rozpočtový rok a vykrytie prípadného vplyvu zvýšenia minimálnej mzdy, vyplývajúceho z uplatňovania ustanovení právnych predpisov, v ktorých je výška plnenia viazaná na sumu minimálnej mzdy budú hradiť dotknuté rezorty v rámci stanovených limitov na roky 2019 až 2021.</w:t>
            </w:r>
            <w:r w:rsidRPr="006C682B">
              <w:rPr>
                <w:rFonts w:ascii="Arial" w:hAnsi="Arial" w:cs="Arial"/>
                <w:bCs/>
                <w:lang w:eastAsia="ar-SA"/>
              </w:rPr>
              <w:tab/>
            </w:r>
          </w:p>
          <w:p w:rsidR="006C682B" w:rsidRPr="006C682B" w:rsidRDefault="006C682B" w:rsidP="006C682B">
            <w:pPr>
              <w:suppressAutoHyphens/>
              <w:spacing w:line="100" w:lineRule="atLeast"/>
              <w:ind w:right="-2"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  <w:p w:rsidR="006C682B" w:rsidRPr="006C682B" w:rsidRDefault="006C682B" w:rsidP="006C682B">
            <w:pPr>
              <w:suppressAutoHyphens/>
              <w:spacing w:line="100" w:lineRule="atLeast"/>
              <w:ind w:right="-2"/>
              <w:jc w:val="both"/>
              <w:rPr>
                <w:rFonts w:ascii="Arial" w:hAnsi="Arial" w:cs="Arial"/>
                <w:bCs/>
                <w:lang w:eastAsia="ar-SA"/>
              </w:rPr>
            </w:pPr>
            <w:r w:rsidRPr="006C682B">
              <w:rPr>
                <w:rFonts w:ascii="Arial" w:hAnsi="Arial" w:cs="Arial"/>
                <w:b/>
                <w:bCs/>
                <w:lang w:eastAsia="ar-SA"/>
              </w:rPr>
              <w:t xml:space="preserve">III. Záver: </w:t>
            </w:r>
            <w:r w:rsidRPr="006C682B">
              <w:rPr>
                <w:rFonts w:ascii="Arial" w:hAnsi="Arial" w:cs="Arial"/>
                <w:bCs/>
                <w:lang w:eastAsia="ar-SA"/>
              </w:rPr>
              <w:t xml:space="preserve">Stála pracovná komisia na posudzovanie vybraných vplyvov vyjadruje </w:t>
            </w:r>
          </w:p>
          <w:p w:rsidR="006C682B" w:rsidRPr="006C682B" w:rsidRDefault="006C682B" w:rsidP="006C682B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rFonts w:ascii="Arial" w:hAnsi="Arial" w:cs="Arial"/>
                <w:bCs/>
                <w:lang w:eastAsia="ar-SA"/>
              </w:rPr>
            </w:pPr>
          </w:p>
          <w:p w:rsidR="006C682B" w:rsidRPr="006C682B" w:rsidRDefault="006C682B" w:rsidP="006C682B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:rsidR="006C682B" w:rsidRPr="006C682B" w:rsidRDefault="006C682B" w:rsidP="006C682B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C682B">
              <w:rPr>
                <w:rFonts w:ascii="Arial" w:eastAsia="Calibri" w:hAnsi="Arial" w:cs="Arial"/>
                <w:b/>
                <w:bCs/>
                <w:lang w:eastAsia="en-US"/>
              </w:rPr>
              <w:t>nesúhlasné stanovisko</w:t>
            </w:r>
          </w:p>
          <w:p w:rsidR="006C682B" w:rsidRPr="006C682B" w:rsidRDefault="006C682B" w:rsidP="006C682B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:rsidR="006C682B" w:rsidRPr="006C682B" w:rsidRDefault="006C682B" w:rsidP="006C682B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rFonts w:ascii="Arial" w:hAnsi="Arial" w:cs="Arial"/>
                <w:bCs/>
                <w:szCs w:val="22"/>
                <w:lang w:eastAsia="ar-SA"/>
              </w:rPr>
            </w:pPr>
          </w:p>
          <w:p w:rsidR="006C682B" w:rsidRPr="006C682B" w:rsidRDefault="006C682B" w:rsidP="006C682B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6C682B">
              <w:rPr>
                <w:rFonts w:ascii="Arial" w:hAnsi="Arial" w:cs="Arial"/>
                <w:bCs/>
                <w:szCs w:val="22"/>
                <w:lang w:eastAsia="ar-SA"/>
              </w:rPr>
              <w:t xml:space="preserve">s materiálom </w:t>
            </w:r>
            <w:r w:rsidRPr="006C682B">
              <w:rPr>
                <w:rFonts w:ascii="Arial" w:hAnsi="Arial" w:cs="Arial"/>
                <w:bCs/>
                <w:lang w:eastAsia="ar-SA"/>
              </w:rPr>
              <w:t>predloženým na predbežné pripomienkové konanie s odporúčaním na jeho dopracovanie podľa pripomienok v bode II.</w:t>
            </w:r>
            <w:r w:rsidRPr="006C682B">
              <w:rPr>
                <w:rFonts w:ascii="Arial" w:hAnsi="Arial" w:cs="Arial"/>
                <w:bCs/>
                <w:szCs w:val="22"/>
                <w:lang w:eastAsia="ar-SA"/>
              </w:rPr>
              <w:t xml:space="preserve"> </w:t>
            </w:r>
            <w:r w:rsidRPr="006C682B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</w:p>
          <w:p w:rsidR="006C682B" w:rsidRPr="006C682B" w:rsidRDefault="006C682B" w:rsidP="006C682B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:rsidR="006C682B" w:rsidRPr="006C682B" w:rsidRDefault="006C682B" w:rsidP="006C682B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6C682B">
              <w:rPr>
                <w:rFonts w:ascii="Arial" w:eastAsia="Calibri" w:hAnsi="Arial" w:cs="Arial"/>
                <w:b/>
                <w:bCs/>
                <w:lang w:eastAsia="en-US"/>
              </w:rPr>
              <w:t xml:space="preserve">IV. Poznámka: </w:t>
            </w:r>
            <w:r w:rsidRPr="006C682B">
              <w:rPr>
                <w:rFonts w:ascii="Arial" w:eastAsia="Calibri" w:hAnsi="Arial" w:cs="Arial"/>
                <w:bCs/>
                <w:lang w:eastAsia="en-US"/>
              </w:rPr>
              <w:t>Predkladateľ zapracuje pripomienky a odporúčania na úpravu uvedené v bode II a uvedie stanovisko Komisie do Doložky vybraných vplyvov spolu s vyhodnotením pripomienok.</w:t>
            </w:r>
          </w:p>
          <w:p w:rsidR="006C682B" w:rsidRPr="006C682B" w:rsidRDefault="006C682B" w:rsidP="006C682B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  <w:p w:rsidR="006C682B" w:rsidRPr="006C682B" w:rsidRDefault="006C682B" w:rsidP="006C682B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rFonts w:ascii="Arial" w:hAnsi="Arial" w:cs="Arial"/>
                <w:bCs/>
                <w:lang w:eastAsia="ar-SA"/>
              </w:rPr>
            </w:pPr>
            <w:r w:rsidRPr="006C682B">
              <w:rPr>
                <w:rFonts w:ascii="Arial" w:eastAsia="Calibri" w:hAnsi="Arial" w:cs="Arial"/>
                <w:bCs/>
                <w:lang w:eastAsia="en-US"/>
              </w:rPr>
              <w:t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</w:t>
            </w:r>
          </w:p>
          <w:p w:rsidR="00951D34" w:rsidRDefault="00951D34" w:rsidP="003D47B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7B363A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0B" w:rsidRDefault="00B51F0B">
      <w:r>
        <w:separator/>
      </w:r>
    </w:p>
  </w:endnote>
  <w:endnote w:type="continuationSeparator" w:id="0">
    <w:p w:rsidR="00B51F0B" w:rsidRDefault="00B5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0B" w:rsidRDefault="00B51F0B">
      <w:r>
        <w:separator/>
      </w:r>
    </w:p>
  </w:footnote>
  <w:footnote w:type="continuationSeparator" w:id="0">
    <w:p w:rsidR="00B51F0B" w:rsidRDefault="00B51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3A" w:rsidRDefault="007B363A">
    <w:pPr>
      <w:pStyle w:val="Hlavika"/>
      <w:jc w:val="center"/>
    </w:pPr>
    <w:r>
      <w:fldChar w:fldCharType="begin"/>
    </w:r>
    <w:r>
      <w:instrText>PAGE   \* MERGEFORMAT</w:instrText>
    </w:r>
    <w:r>
      <w:fldChar w:fldCharType="separate"/>
    </w:r>
    <w:r w:rsidR="00D44CE0">
      <w:rPr>
        <w:noProof/>
      </w:rPr>
      <w:t>5</w:t>
    </w:r>
    <w:r>
      <w:fldChar w:fldCharType="end"/>
    </w:r>
  </w:p>
  <w:p w:rsidR="007B363A" w:rsidRDefault="007B363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314E"/>
    <w:multiLevelType w:val="hybridMultilevel"/>
    <w:tmpl w:val="0944E0C4"/>
    <w:lvl w:ilvl="0" w:tplc="4470DA16">
      <w:start w:val="9"/>
      <w:numFmt w:val="bullet"/>
      <w:lvlText w:val=""/>
      <w:lvlJc w:val="left"/>
      <w:pPr>
        <w:ind w:left="469" w:hanging="360"/>
      </w:pPr>
      <w:rPr>
        <w:rFonts w:ascii="Wingdings 2" w:eastAsia="Times New Roman" w:hAnsi="Wingdings 2" w:cs="Times" w:hint="default"/>
      </w:rPr>
    </w:lvl>
    <w:lvl w:ilvl="1" w:tplc="041B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">
    <w:nsid w:val="43887030"/>
    <w:multiLevelType w:val="hybridMultilevel"/>
    <w:tmpl w:val="33E41AA0"/>
    <w:lvl w:ilvl="0" w:tplc="DBB8E502">
      <w:start w:val="9"/>
      <w:numFmt w:val="bullet"/>
      <w:lvlText w:val=""/>
      <w:lvlJc w:val="left"/>
      <w:pPr>
        <w:ind w:left="465" w:hanging="360"/>
      </w:pPr>
      <w:rPr>
        <w:rFonts w:ascii="Wingdings 2" w:eastAsia="Times New Roman" w:hAnsi="Wingdings 2" w:cs="Times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0637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1EDE"/>
    <w:rsid w:val="00162927"/>
    <w:rsid w:val="00163200"/>
    <w:rsid w:val="001638D2"/>
    <w:rsid w:val="001649CD"/>
    <w:rsid w:val="00167EB4"/>
    <w:rsid w:val="0017502B"/>
    <w:rsid w:val="00175442"/>
    <w:rsid w:val="001773C6"/>
    <w:rsid w:val="0018252F"/>
    <w:rsid w:val="00186DEA"/>
    <w:rsid w:val="001A0E8F"/>
    <w:rsid w:val="001A1180"/>
    <w:rsid w:val="001A1BBF"/>
    <w:rsid w:val="001A2650"/>
    <w:rsid w:val="001A284A"/>
    <w:rsid w:val="001A2E20"/>
    <w:rsid w:val="001A3751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E5E64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5994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43"/>
    <w:rsid w:val="002355DF"/>
    <w:rsid w:val="00235DD3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5CDF"/>
    <w:rsid w:val="002574A3"/>
    <w:rsid w:val="002607E8"/>
    <w:rsid w:val="0027146B"/>
    <w:rsid w:val="002754A6"/>
    <w:rsid w:val="00280B2A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0807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3CD"/>
    <w:rsid w:val="002F78DF"/>
    <w:rsid w:val="003031BC"/>
    <w:rsid w:val="0030643D"/>
    <w:rsid w:val="003105A1"/>
    <w:rsid w:val="00311519"/>
    <w:rsid w:val="003126AA"/>
    <w:rsid w:val="00312C27"/>
    <w:rsid w:val="00313596"/>
    <w:rsid w:val="00313EE9"/>
    <w:rsid w:val="00314FA4"/>
    <w:rsid w:val="003150F6"/>
    <w:rsid w:val="00315F1C"/>
    <w:rsid w:val="00317384"/>
    <w:rsid w:val="003203E5"/>
    <w:rsid w:val="00320FA4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56CE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A6AFA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7B2"/>
    <w:rsid w:val="003D4CB7"/>
    <w:rsid w:val="003D4FA2"/>
    <w:rsid w:val="003D605F"/>
    <w:rsid w:val="003D70CA"/>
    <w:rsid w:val="003E1A70"/>
    <w:rsid w:val="003E2667"/>
    <w:rsid w:val="003E2B82"/>
    <w:rsid w:val="003E3BC1"/>
    <w:rsid w:val="003E45C4"/>
    <w:rsid w:val="003E497C"/>
    <w:rsid w:val="003E5773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096A"/>
    <w:rsid w:val="004541DB"/>
    <w:rsid w:val="004554B0"/>
    <w:rsid w:val="004570D2"/>
    <w:rsid w:val="00457459"/>
    <w:rsid w:val="00457498"/>
    <w:rsid w:val="00457CFF"/>
    <w:rsid w:val="00463322"/>
    <w:rsid w:val="00464699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2F4F"/>
    <w:rsid w:val="004B47CC"/>
    <w:rsid w:val="004B59D8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24ED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031"/>
    <w:rsid w:val="006964CA"/>
    <w:rsid w:val="006A1ECF"/>
    <w:rsid w:val="006A2626"/>
    <w:rsid w:val="006A5861"/>
    <w:rsid w:val="006B073B"/>
    <w:rsid w:val="006B1EFE"/>
    <w:rsid w:val="006B63E0"/>
    <w:rsid w:val="006C20D2"/>
    <w:rsid w:val="006C3494"/>
    <w:rsid w:val="006C37BB"/>
    <w:rsid w:val="006C401A"/>
    <w:rsid w:val="006C4C70"/>
    <w:rsid w:val="006C65B9"/>
    <w:rsid w:val="006C682B"/>
    <w:rsid w:val="006C76F3"/>
    <w:rsid w:val="006C7AE6"/>
    <w:rsid w:val="006D035A"/>
    <w:rsid w:val="006D04A0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0769"/>
    <w:rsid w:val="007215D2"/>
    <w:rsid w:val="00721DBB"/>
    <w:rsid w:val="00721F65"/>
    <w:rsid w:val="007220EB"/>
    <w:rsid w:val="00722BE6"/>
    <w:rsid w:val="00723B5B"/>
    <w:rsid w:val="00723CCB"/>
    <w:rsid w:val="00724335"/>
    <w:rsid w:val="007276A8"/>
    <w:rsid w:val="00730143"/>
    <w:rsid w:val="00732026"/>
    <w:rsid w:val="00741272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450"/>
    <w:rsid w:val="00785A52"/>
    <w:rsid w:val="0078679A"/>
    <w:rsid w:val="00791736"/>
    <w:rsid w:val="007929F6"/>
    <w:rsid w:val="007931FC"/>
    <w:rsid w:val="00793D54"/>
    <w:rsid w:val="007943B2"/>
    <w:rsid w:val="00795D18"/>
    <w:rsid w:val="007976AB"/>
    <w:rsid w:val="007A49F3"/>
    <w:rsid w:val="007A58AF"/>
    <w:rsid w:val="007A72E4"/>
    <w:rsid w:val="007B3184"/>
    <w:rsid w:val="007B363A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5477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3737"/>
    <w:rsid w:val="00825171"/>
    <w:rsid w:val="00825E73"/>
    <w:rsid w:val="00826341"/>
    <w:rsid w:val="0082746D"/>
    <w:rsid w:val="00834969"/>
    <w:rsid w:val="00835755"/>
    <w:rsid w:val="00835852"/>
    <w:rsid w:val="0084124F"/>
    <w:rsid w:val="008412B9"/>
    <w:rsid w:val="008412DC"/>
    <w:rsid w:val="008421C9"/>
    <w:rsid w:val="00843333"/>
    <w:rsid w:val="0084495B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B5387"/>
    <w:rsid w:val="008C0D63"/>
    <w:rsid w:val="008C211C"/>
    <w:rsid w:val="008C3671"/>
    <w:rsid w:val="008C56B5"/>
    <w:rsid w:val="008C671F"/>
    <w:rsid w:val="008C73C0"/>
    <w:rsid w:val="008D3640"/>
    <w:rsid w:val="008D4A92"/>
    <w:rsid w:val="008D4DEE"/>
    <w:rsid w:val="008D5A75"/>
    <w:rsid w:val="008D5F33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1D34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2189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4A09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2807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8FD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46E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1F0B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A3F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0A58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0D1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17425"/>
    <w:rsid w:val="00D207E9"/>
    <w:rsid w:val="00D245D8"/>
    <w:rsid w:val="00D27C91"/>
    <w:rsid w:val="00D27F78"/>
    <w:rsid w:val="00D30292"/>
    <w:rsid w:val="00D37209"/>
    <w:rsid w:val="00D40AE4"/>
    <w:rsid w:val="00D42915"/>
    <w:rsid w:val="00D44CE0"/>
    <w:rsid w:val="00D47339"/>
    <w:rsid w:val="00D526CC"/>
    <w:rsid w:val="00D540F7"/>
    <w:rsid w:val="00D573C9"/>
    <w:rsid w:val="00D57CB2"/>
    <w:rsid w:val="00D6474C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00EC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252B"/>
    <w:rsid w:val="00DB43AC"/>
    <w:rsid w:val="00DB55B9"/>
    <w:rsid w:val="00DB73E3"/>
    <w:rsid w:val="00DC217D"/>
    <w:rsid w:val="00DC45DB"/>
    <w:rsid w:val="00DC472D"/>
    <w:rsid w:val="00DC5649"/>
    <w:rsid w:val="00DC6840"/>
    <w:rsid w:val="00DC694C"/>
    <w:rsid w:val="00DD0998"/>
    <w:rsid w:val="00DD0D34"/>
    <w:rsid w:val="00DD245D"/>
    <w:rsid w:val="00DD2661"/>
    <w:rsid w:val="00DD268C"/>
    <w:rsid w:val="00DD7C88"/>
    <w:rsid w:val="00DE4572"/>
    <w:rsid w:val="00DE47A8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4C0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B33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25C80"/>
    <w:rsid w:val="00F306FF"/>
    <w:rsid w:val="00F3170B"/>
    <w:rsid w:val="00F3396E"/>
    <w:rsid w:val="00F34CA0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57861"/>
    <w:rsid w:val="00F61282"/>
    <w:rsid w:val="00F66819"/>
    <w:rsid w:val="00F704C6"/>
    <w:rsid w:val="00F75FF1"/>
    <w:rsid w:val="00F76A45"/>
    <w:rsid w:val="00F80786"/>
    <w:rsid w:val="00F81974"/>
    <w:rsid w:val="00F82AB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0BC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C7753"/>
    <w:rsid w:val="00FD04BD"/>
    <w:rsid w:val="00FD2978"/>
    <w:rsid w:val="00FD36F3"/>
    <w:rsid w:val="00FD5AAF"/>
    <w:rsid w:val="00FE0A9B"/>
    <w:rsid w:val="00FE0D3F"/>
    <w:rsid w:val="00FE1C7D"/>
    <w:rsid w:val="00FE2869"/>
    <w:rsid w:val="00FE2D30"/>
    <w:rsid w:val="00FE4F26"/>
    <w:rsid w:val="00FE5728"/>
    <w:rsid w:val="00FE591D"/>
    <w:rsid w:val="00FF11EB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543B8E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D6474C"/>
    <w:pPr>
      <w:ind w:left="720"/>
      <w:contextualSpacing/>
    </w:pPr>
  </w:style>
  <w:style w:type="character" w:styleId="Hypertextovprepojenie">
    <w:name w:val="Hyperlink"/>
    <w:uiPriority w:val="99"/>
    <w:unhideWhenUsed/>
    <w:rsid w:val="00E964C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5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543B8E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D6474C"/>
    <w:pPr>
      <w:ind w:left="720"/>
      <w:contextualSpacing/>
    </w:pPr>
  </w:style>
  <w:style w:type="character" w:styleId="Hypertextovprepojenie">
    <w:name w:val="Hyperlink"/>
    <w:uiPriority w:val="99"/>
    <w:unhideWhenUsed/>
    <w:rsid w:val="00E964C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55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.7.2016 17:01:27"/>
    <f:field ref="objchangedby" par="" text="Administrator, System"/>
    <f:field ref="objmodifiedat" par="" text="1.7.2016 17:01:27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9275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Duricova Elena</cp:lastModifiedBy>
  <cp:revision>2</cp:revision>
  <cp:lastPrinted>2018-08-08T07:37:00Z</cp:lastPrinted>
  <dcterms:created xsi:type="dcterms:W3CDTF">2018-09-27T13:02:00Z</dcterms:created>
  <dcterms:modified xsi:type="dcterms:W3CDTF">2018-09-27T13:02:00Z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Exekúcie a výkon rozhodnutí_x000d_
Exekučné konanie_x000d_
Občianske právo_x000d_
Občianske súdne konanie_x000d_
Súdne poplatky_x000d_
Sociálne poistenie_x000d_
Právo sociálneho zabezpečenia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Juraj Palúš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, ktorým sa mení a dopĺňa zákon Národnej rady Slovenskej republiky č. 233/1995 Z. z. o súdnych exekútoroch a exekučnej činnosti (Exekučný poriadok) a o zmene a doplnení ďalších zákonov v znení neskorších predpisov a ktorým sa menia a dopĺňajú niektoré zá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Zákon, ktorým sa mení a dopĺňa zákon Národnej rady Slovenskej republiky č. 233/1995 Z. z. o súdnych exekútoroch a exekučnej činnosti (Exekučný poriadok) a o zmene a doplnení ďalších zákonov v znení neskorších predpisov a ktorým sa menia a dopĺňajú niekto</vt:lpwstr>
  </property>
  <property fmtid="{D5CDD505-2E9C-101B-9397-08002B2CF9AE}" pid="17" name="FSC#SKEDITIONSLOVLEX@103.510:rezortcislopredpis">
    <vt:lpwstr>42467/2016/110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LP/2016/695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>4. 7. 2016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Vplyvy na podnikateľské prostredie – očakáva sa, že právnické osoby a fyzické osoby (SZČO), ktoré sú v pozícii dlžníka voči Sociálnej poisťovni, budú využívať možnosť nákladovo a časovo efektívnejšie uhrádzať svoje záväzky.Sociálne vplyvy – očakáva sa, že</vt:lpwstr>
  </property>
  <property fmtid="{D5CDD505-2E9C-101B-9397-08002B2CF9AE}" pid="56" name="FSC#SKEDITIONSLOVLEX@103.510:AttrStrListDocPropAltRiesenia">
    <vt:lpwstr>Alternatívne riešenia neboli posudzované, nakoľko Programové vyhlásenie vlády SR exaktne vymedzuje zadanie, ktoré je premietnuté do návrhu zákona.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Národnej rady Slovenskej republiky č. 233/1995 Z. z. o súdnych exekútoroch a exekučnej činnosti (Exekučný poriado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(ďalej len „ministerstvo“) predkladá na medzirezortné pripomienkové konanie návrh zákona, ktorým sa mení a dopĺňa zákon Národnej rady Slovenskej republiky č. 233/1995 Z. z. o</vt:lpwstr>
  </property>
  <property fmtid="{D5CDD505-2E9C-101B-9397-08002B2CF9AE}" pid="130" name="FSC#COOSYSTEM@1.1:Container">
    <vt:lpwstr>COO.2145.1000.3.1488966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style="width:100.0%;" width="100%"&gt;	&lt;tbody&gt;		&lt;tr&gt;			&lt;td colspan="5" style="width:100.0%;height:37px;"&gt;			&lt;h2 align="center"&gt;Správa o účasti verejnosti na tvorbe právneho predpisu&lt;/h2&gt;			&lt;h2&gt;Sc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kony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ré zákony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 a ministerka spravodlivosti Slovenskej republiky</vt:lpwstr>
  </property>
  <property fmtid="{D5CDD505-2E9C-101B-9397-08002B2CF9AE}" pid="145" name="FSC#SKEDITIONSLOVLEX@103.510:funkciaZodpPredAkuzativ">
    <vt:lpwstr>podpredsedníčku vlády a ministerku spravodlivosti Slovenskej republiky</vt:lpwstr>
  </property>
  <property fmtid="{D5CDD505-2E9C-101B-9397-08002B2CF9AE}" pid="146" name="FSC#SKEDITIONSLOVLEX@103.510:funkciaZodpPredDativ">
    <vt:lpwstr>podpredsedníčke vlády a 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Lucia Žitňanská_x000d_
podpredsedníčka vlády a ministerka spravodlivosti Slovenskej republiky</vt:lpwstr>
  </property>
  <property fmtid="{D5CDD505-2E9C-101B-9397-08002B2CF9AE}" pid="151" name="FSC#SKEDITIONSLOVLEX@103.510:aktualnyrok">
    <vt:lpwstr>2016</vt:lpwstr>
  </property>
</Properties>
</file>