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75" w:rsidRPr="00797A67" w:rsidRDefault="00F42775" w:rsidP="00F42775">
      <w:pPr>
        <w:jc w:val="center"/>
        <w:rPr>
          <w:rFonts w:ascii="Times New Roman" w:hAnsi="Times New Roman"/>
          <w:b/>
          <w:bCs/>
          <w:caps/>
          <w:color w:val="000000"/>
          <w:spacing w:val="30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color w:val="000000"/>
          <w:spacing w:val="30"/>
          <w:sz w:val="28"/>
          <w:szCs w:val="24"/>
        </w:rPr>
        <w:t xml:space="preserve">Doložka </w:t>
      </w:r>
      <w:r w:rsidRPr="00797A67">
        <w:rPr>
          <w:rFonts w:ascii="Times New Roman" w:hAnsi="Times New Roman"/>
          <w:b/>
          <w:bCs/>
          <w:caps/>
          <w:color w:val="000000"/>
          <w:spacing w:val="30"/>
          <w:sz w:val="28"/>
          <w:szCs w:val="24"/>
        </w:rPr>
        <w:t>prednosti</w:t>
      </w:r>
    </w:p>
    <w:p w:rsidR="00F42775" w:rsidRPr="00797A67" w:rsidRDefault="00F42775" w:rsidP="00F42775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97A67">
        <w:rPr>
          <w:rFonts w:ascii="Times New Roman" w:hAnsi="Times New Roman"/>
          <w:b/>
          <w:bCs/>
          <w:color w:val="000000"/>
          <w:sz w:val="28"/>
          <w:szCs w:val="24"/>
        </w:rPr>
        <w:t>medzinárodnej zmluvy pred zákonmi</w:t>
      </w:r>
    </w:p>
    <w:p w:rsidR="00F42775" w:rsidRPr="00797A67" w:rsidRDefault="00F42775" w:rsidP="00F42775">
      <w:pPr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797A67">
        <w:rPr>
          <w:rFonts w:ascii="Times New Roman" w:hAnsi="Times New Roman"/>
          <w:bCs/>
          <w:color w:val="000000"/>
          <w:sz w:val="28"/>
          <w:szCs w:val="24"/>
        </w:rPr>
        <w:t>(čl. 7 ods. 5 Ústavy Slovenskej republiky)</w:t>
      </w:r>
    </w:p>
    <w:p w:rsidR="00F42775" w:rsidRPr="00C32288" w:rsidRDefault="00F42775" w:rsidP="00F4277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2775" w:rsidRPr="00C32288" w:rsidRDefault="00F42775" w:rsidP="00F42775">
      <w:pPr>
        <w:numPr>
          <w:ilvl w:val="0"/>
          <w:numId w:val="1"/>
        </w:numPr>
        <w:tabs>
          <w:tab w:val="left" w:pos="360"/>
        </w:tabs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2288">
        <w:rPr>
          <w:rFonts w:ascii="Times New Roman" w:hAnsi="Times New Roman"/>
          <w:b/>
          <w:bCs/>
          <w:color w:val="000000"/>
          <w:sz w:val="24"/>
          <w:szCs w:val="24"/>
        </w:rPr>
        <w:t>Gestor zmluvy:</w:t>
      </w:r>
    </w:p>
    <w:p w:rsidR="00F42775" w:rsidRPr="00C32288" w:rsidRDefault="00F42775" w:rsidP="00F42775">
      <w:pPr>
        <w:tabs>
          <w:tab w:val="left" w:pos="360"/>
        </w:tabs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C32288">
        <w:rPr>
          <w:rFonts w:ascii="Times New Roman" w:hAnsi="Times New Roman"/>
          <w:color w:val="000000"/>
          <w:sz w:val="24"/>
          <w:szCs w:val="24"/>
        </w:rPr>
        <w:t>Ministerstvo zahraničných vecí a európskych záležitostí Slovenskej republiky </w:t>
      </w:r>
    </w:p>
    <w:p w:rsidR="00F42775" w:rsidRPr="00C32288" w:rsidRDefault="00F42775" w:rsidP="00F42775">
      <w:pPr>
        <w:tabs>
          <w:tab w:val="left" w:pos="360"/>
        </w:tabs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42775" w:rsidRPr="00C32288" w:rsidRDefault="00F42775" w:rsidP="00F42775">
      <w:pPr>
        <w:numPr>
          <w:ilvl w:val="0"/>
          <w:numId w:val="1"/>
        </w:numPr>
        <w:tabs>
          <w:tab w:val="left" w:pos="360"/>
        </w:tabs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2288">
        <w:rPr>
          <w:rFonts w:ascii="Times New Roman" w:hAnsi="Times New Roman"/>
          <w:b/>
          <w:bCs/>
          <w:color w:val="000000"/>
          <w:sz w:val="24"/>
          <w:szCs w:val="24"/>
        </w:rPr>
        <w:t>Názov zmluvy:</w:t>
      </w:r>
    </w:p>
    <w:p w:rsidR="00F42775" w:rsidRPr="00C32288" w:rsidRDefault="00F42775" w:rsidP="00F42775">
      <w:pPr>
        <w:tabs>
          <w:tab w:val="left" w:pos="360"/>
        </w:tabs>
        <w:adjustRightInd w:val="0"/>
        <w:ind w:left="708"/>
        <w:rPr>
          <w:rFonts w:ascii="Times New Roman" w:hAnsi="Times New Roman"/>
          <w:color w:val="000000"/>
          <w:sz w:val="24"/>
          <w:szCs w:val="24"/>
        </w:rPr>
      </w:pPr>
      <w:r w:rsidRPr="00C32288">
        <w:rPr>
          <w:rFonts w:ascii="Times New Roman" w:hAnsi="Times New Roman"/>
          <w:bCs/>
          <w:sz w:val="24"/>
          <w:szCs w:val="24"/>
        </w:rPr>
        <w:t xml:space="preserve">Dodatky k článku 8 Rímskeho štatútu Medzinárodného trestného súdu </w:t>
      </w:r>
      <w:r w:rsidRPr="00C32288">
        <w:rPr>
          <w:rFonts w:ascii="Times New Roman" w:hAnsi="Times New Roman"/>
          <w:color w:val="000000"/>
          <w:sz w:val="24"/>
          <w:szCs w:val="24"/>
        </w:rPr>
        <w:t>(ďalej len „dodatk</w:t>
      </w:r>
      <w:r>
        <w:rPr>
          <w:rFonts w:ascii="Times New Roman" w:hAnsi="Times New Roman"/>
          <w:color w:val="000000"/>
          <w:sz w:val="24"/>
          <w:szCs w:val="24"/>
        </w:rPr>
        <w:t>y“), New York, 14. december 2017</w:t>
      </w:r>
    </w:p>
    <w:p w:rsidR="00F42775" w:rsidRPr="00C32288" w:rsidRDefault="00F42775" w:rsidP="00F42775">
      <w:pPr>
        <w:tabs>
          <w:tab w:val="left" w:pos="360"/>
        </w:tabs>
        <w:adjustRightInd w:val="0"/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F42775" w:rsidRPr="00C32288" w:rsidRDefault="00F42775" w:rsidP="00F42775">
      <w:pPr>
        <w:numPr>
          <w:ilvl w:val="0"/>
          <w:numId w:val="1"/>
        </w:numPr>
        <w:tabs>
          <w:tab w:val="left" w:pos="360"/>
        </w:tabs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2288">
        <w:rPr>
          <w:rFonts w:ascii="Times New Roman" w:hAnsi="Times New Roman"/>
          <w:b/>
          <w:bCs/>
          <w:color w:val="000000"/>
          <w:sz w:val="24"/>
          <w:szCs w:val="24"/>
        </w:rPr>
        <w:t>Účel a predmet zmluvy a jeho úprava v právnom poriadku Slovenskej republiky:</w:t>
      </w:r>
    </w:p>
    <w:p w:rsidR="00F42775" w:rsidRPr="00DC2A15" w:rsidRDefault="00F42775" w:rsidP="00F42775">
      <w:pPr>
        <w:tabs>
          <w:tab w:val="left" w:pos="360"/>
          <w:tab w:val="left" w:pos="720"/>
        </w:tabs>
        <w:adjustRightInd w:val="0"/>
        <w:ind w:left="720"/>
        <w:rPr>
          <w:rStyle w:val="Zstupntext"/>
          <w:bCs/>
          <w:iCs/>
          <w:sz w:val="24"/>
        </w:rPr>
      </w:pPr>
      <w:r w:rsidRPr="00C32288">
        <w:rPr>
          <w:rStyle w:val="Zstupntext"/>
          <w:color w:val="000000"/>
          <w:sz w:val="24"/>
          <w:szCs w:val="24"/>
        </w:rPr>
        <w:t xml:space="preserve">Účelom </w:t>
      </w:r>
      <w:r>
        <w:rPr>
          <w:rStyle w:val="Zstupntext"/>
          <w:color w:val="000000"/>
          <w:sz w:val="24"/>
          <w:szCs w:val="24"/>
        </w:rPr>
        <w:t xml:space="preserve">troch </w:t>
      </w:r>
      <w:r w:rsidRPr="00C32288">
        <w:rPr>
          <w:rStyle w:val="Zstupntext"/>
          <w:color w:val="000000"/>
          <w:sz w:val="24"/>
          <w:szCs w:val="24"/>
        </w:rPr>
        <w:t>dodatkov je doplnenie Rímskeho štatútu Medzinárodného trestného súdu (MTS) v</w:t>
      </w:r>
      <w:r w:rsidRPr="00C32288">
        <w:rPr>
          <w:rFonts w:ascii="Times New Roman" w:hAnsi="Times New Roman"/>
          <w:sz w:val="24"/>
          <w:szCs w:val="24"/>
        </w:rPr>
        <w:t xml:space="preserve">o vzťahu k vojnovým zločinom. Dodatky </w:t>
      </w:r>
      <w:r w:rsidRPr="00C32288">
        <w:rPr>
          <w:rFonts w:ascii="Times New Roman" w:hAnsi="Times New Roman"/>
          <w:sz w:val="24"/>
        </w:rPr>
        <w:t>rozširujú a dopĺňajú tri skutkové podstaty jednotlivých trestných čino</w:t>
      </w:r>
      <w:r>
        <w:rPr>
          <w:rFonts w:ascii="Times New Roman" w:hAnsi="Times New Roman"/>
          <w:sz w:val="24"/>
        </w:rPr>
        <w:t>v o použitie konkrétnych zbraní:</w:t>
      </w:r>
      <w:r w:rsidRPr="00C322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C32288">
        <w:rPr>
          <w:rFonts w:ascii="Times New Roman" w:hAnsi="Times New Roman"/>
          <w:sz w:val="24"/>
          <w:szCs w:val="24"/>
        </w:rPr>
        <w:t>oužívanie zbraní</w:t>
      </w:r>
      <w:r w:rsidRPr="00C32288">
        <w:rPr>
          <w:rFonts w:ascii="Times New Roman" w:hAnsi="Times New Roman"/>
          <w:bCs/>
          <w:iCs/>
          <w:sz w:val="24"/>
        </w:rPr>
        <w:t xml:space="preserve">, </w:t>
      </w:r>
      <w:r w:rsidRPr="00C32288">
        <w:rPr>
          <w:rFonts w:ascii="Times New Roman" w:hAnsi="Times New Roman"/>
          <w:sz w:val="24"/>
          <w:szCs w:val="24"/>
        </w:rPr>
        <w:t>ktoré využívajú mikrobiologické alebo iné biologické látky, alebo toxíny bez ohľadu na ich pôvod alebo spôsob výroby</w:t>
      </w:r>
      <w:r>
        <w:rPr>
          <w:rFonts w:ascii="Times New Roman" w:hAnsi="Times New Roman"/>
          <w:bCs/>
          <w:iCs/>
          <w:sz w:val="24"/>
        </w:rPr>
        <w:t>; p</w:t>
      </w:r>
      <w:r w:rsidRPr="00C32288">
        <w:rPr>
          <w:rFonts w:ascii="Times New Roman" w:hAnsi="Times New Roman"/>
          <w:sz w:val="24"/>
          <w:szCs w:val="24"/>
        </w:rPr>
        <w:t>oužívanie zbraní, ktorých primárnym účinkom je spôsobiť poranenie úlomkami, ktoré nie sú v ľudskom tele zistiteľné röntgenovými lúčmi</w:t>
      </w:r>
      <w:r>
        <w:rPr>
          <w:rFonts w:ascii="Times New Roman" w:hAnsi="Times New Roman"/>
          <w:bCs/>
          <w:iCs/>
          <w:sz w:val="24"/>
        </w:rPr>
        <w:t>; a p</w:t>
      </w:r>
      <w:r w:rsidRPr="00C32288">
        <w:rPr>
          <w:rFonts w:ascii="Times New Roman" w:hAnsi="Times New Roman"/>
          <w:sz w:val="24"/>
          <w:szCs w:val="24"/>
        </w:rPr>
        <w:t xml:space="preserve">oužívanie laserových zbraní špecificky zostrojených tak, že ich jediným bojovým účinkom alebo jedným z ich bojových účinkov je spôsobiť trvalé oslepnutie odkrytého zraku, t. j. voľného oka alebo oka s </w:t>
      </w:r>
      <w:proofErr w:type="spellStart"/>
      <w:r w:rsidRPr="00C32288">
        <w:rPr>
          <w:rFonts w:ascii="Times New Roman" w:hAnsi="Times New Roman"/>
          <w:sz w:val="24"/>
          <w:szCs w:val="24"/>
        </w:rPr>
        <w:t>korektívnymi</w:t>
      </w:r>
      <w:proofErr w:type="spellEnd"/>
      <w:r w:rsidRPr="00C32288">
        <w:rPr>
          <w:rFonts w:ascii="Times New Roman" w:hAnsi="Times New Roman"/>
          <w:sz w:val="24"/>
          <w:szCs w:val="24"/>
        </w:rPr>
        <w:t xml:space="preserve"> pomôckami</w:t>
      </w:r>
      <w:r w:rsidRPr="00C32288">
        <w:rPr>
          <w:rFonts w:ascii="Times New Roman" w:hAnsi="Times New Roman"/>
          <w:bCs/>
          <w:iCs/>
          <w:sz w:val="24"/>
        </w:rPr>
        <w:t xml:space="preserve">. Dodatky reflektujú súčasný stav všeobecného medzinárodného práva a pokrývajú moderný spôsob vedenia boja, </w:t>
      </w:r>
      <w:r>
        <w:rPr>
          <w:rFonts w:ascii="Times New Roman" w:hAnsi="Times New Roman"/>
          <w:bCs/>
          <w:iCs/>
          <w:sz w:val="24"/>
        </w:rPr>
        <w:t xml:space="preserve">pričom sa vzťahujú na medzinárodné ozbrojené konflikty ako aj na ozbrojené konflikty nemajúce medzinárodný charakter. </w:t>
      </w:r>
      <w:r w:rsidRPr="00C32288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Prijatie dodatkov</w:t>
      </w:r>
      <w:r w:rsidRPr="00C32288">
        <w:rPr>
          <w:rFonts w:ascii="Times New Roman" w:hAnsi="Times New Roman"/>
          <w:bCs/>
          <w:iCs/>
          <w:sz w:val="24"/>
        </w:rPr>
        <w:t> zjednocuje úpravu použitia daných druhov zbraní kvalifikovaných ako vojnový zločin počas oboch druhov medzinárodných konfliktov v súlade s medzinárodným humanitárnym právom.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C32288">
        <w:rPr>
          <w:rStyle w:val="Zstupntext"/>
          <w:color w:val="000000"/>
          <w:sz w:val="24"/>
          <w:szCs w:val="24"/>
        </w:rPr>
        <w:t xml:space="preserve">Dodatky dopĺňajú Rímsky štatút MTS, ktorý je súčasťou slovenského právneho poriadku (publikovaný pod č. 333/2002 Z. z.), a ktorý je prednostnou prezidentskou medzinárodnou zmluvou. </w:t>
      </w:r>
    </w:p>
    <w:p w:rsidR="00F42775" w:rsidRPr="00C32288" w:rsidRDefault="00F42775" w:rsidP="00F42775">
      <w:pPr>
        <w:tabs>
          <w:tab w:val="left" w:pos="360"/>
        </w:tabs>
        <w:ind w:left="720"/>
        <w:rPr>
          <w:rStyle w:val="Zstupntext"/>
          <w:color w:val="000000"/>
          <w:sz w:val="24"/>
          <w:szCs w:val="24"/>
        </w:rPr>
      </w:pPr>
    </w:p>
    <w:p w:rsidR="00F42775" w:rsidRPr="00C32288" w:rsidRDefault="00F42775" w:rsidP="00F42775">
      <w:pPr>
        <w:numPr>
          <w:ilvl w:val="0"/>
          <w:numId w:val="1"/>
        </w:numPr>
        <w:tabs>
          <w:tab w:val="left" w:pos="360"/>
        </w:tabs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2288">
        <w:rPr>
          <w:rFonts w:ascii="Times New Roman" w:hAnsi="Times New Roman"/>
          <w:b/>
          <w:bCs/>
          <w:color w:val="000000"/>
          <w:sz w:val="24"/>
          <w:szCs w:val="24"/>
        </w:rPr>
        <w:t>Priama úprava práv alebo povinností fyzických osôb alebo právnických osôb:</w:t>
      </w:r>
    </w:p>
    <w:p w:rsidR="00F42775" w:rsidRPr="00C32288" w:rsidRDefault="00F42775" w:rsidP="00F42775">
      <w:pPr>
        <w:tabs>
          <w:tab w:val="left" w:pos="360"/>
        </w:tabs>
        <w:ind w:left="720"/>
        <w:rPr>
          <w:rStyle w:val="Zstupntext"/>
          <w:color w:val="000000"/>
          <w:sz w:val="24"/>
          <w:szCs w:val="24"/>
        </w:rPr>
      </w:pPr>
      <w:r w:rsidRPr="00C32288">
        <w:rPr>
          <w:rStyle w:val="Zstupntext"/>
          <w:color w:val="000000"/>
          <w:sz w:val="24"/>
          <w:szCs w:val="24"/>
        </w:rPr>
        <w:t>Dodatky ako celok priamo zakladajú práva alebo povinnosti fyzických alebo právnických osôb.</w:t>
      </w:r>
    </w:p>
    <w:p w:rsidR="00F42775" w:rsidRPr="00C32288" w:rsidRDefault="00F42775" w:rsidP="00F42775">
      <w:pPr>
        <w:tabs>
          <w:tab w:val="left" w:pos="360"/>
        </w:tabs>
        <w:ind w:left="720"/>
        <w:rPr>
          <w:rStyle w:val="Zstupntext"/>
          <w:color w:val="000000"/>
          <w:sz w:val="24"/>
          <w:szCs w:val="24"/>
        </w:rPr>
      </w:pPr>
    </w:p>
    <w:p w:rsidR="00F42775" w:rsidRPr="00C32288" w:rsidRDefault="00F42775" w:rsidP="00F42775">
      <w:pPr>
        <w:numPr>
          <w:ilvl w:val="0"/>
          <w:numId w:val="1"/>
        </w:numPr>
        <w:tabs>
          <w:tab w:val="left" w:pos="360"/>
        </w:tabs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2288">
        <w:rPr>
          <w:rFonts w:ascii="Times New Roman" w:hAnsi="Times New Roman"/>
          <w:b/>
          <w:bCs/>
          <w:color w:val="000000"/>
          <w:sz w:val="24"/>
          <w:szCs w:val="24"/>
        </w:rPr>
        <w:t>Úprava predmetu medzinárodnej zmluvy v práve Európskej únie:</w:t>
      </w:r>
    </w:p>
    <w:p w:rsidR="00F42775" w:rsidRPr="00C32288" w:rsidRDefault="00F42775" w:rsidP="00F42775">
      <w:pPr>
        <w:tabs>
          <w:tab w:val="left" w:pos="360"/>
        </w:tabs>
        <w:ind w:left="720"/>
        <w:rPr>
          <w:rStyle w:val="Zstupntext"/>
          <w:color w:val="000000"/>
          <w:sz w:val="24"/>
          <w:szCs w:val="24"/>
        </w:rPr>
      </w:pPr>
      <w:r w:rsidRPr="00C32288">
        <w:rPr>
          <w:rStyle w:val="Zstupntext"/>
          <w:color w:val="000000"/>
          <w:sz w:val="24"/>
          <w:szCs w:val="24"/>
        </w:rPr>
        <w:t>Právo Európskej únie neupravuje predmet dodatkov. </w:t>
      </w:r>
    </w:p>
    <w:p w:rsidR="00F42775" w:rsidRPr="00C32288" w:rsidRDefault="00F42775" w:rsidP="00F42775">
      <w:pPr>
        <w:tabs>
          <w:tab w:val="left" w:pos="360"/>
        </w:tabs>
        <w:ind w:left="720"/>
        <w:rPr>
          <w:rStyle w:val="Zstupntext"/>
          <w:color w:val="000000"/>
          <w:sz w:val="24"/>
          <w:szCs w:val="24"/>
        </w:rPr>
      </w:pPr>
    </w:p>
    <w:p w:rsidR="00F42775" w:rsidRPr="00C32288" w:rsidRDefault="00F42775" w:rsidP="00F42775">
      <w:pPr>
        <w:numPr>
          <w:ilvl w:val="0"/>
          <w:numId w:val="1"/>
        </w:numPr>
        <w:tabs>
          <w:tab w:val="left" w:pos="360"/>
        </w:tabs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2288">
        <w:rPr>
          <w:rFonts w:ascii="Times New Roman" w:hAnsi="Times New Roman"/>
          <w:b/>
          <w:bCs/>
          <w:color w:val="000000"/>
          <w:sz w:val="24"/>
          <w:szCs w:val="24"/>
        </w:rPr>
        <w:t>Kategória zmluvy podľa čl. 7 ods. 4 Ústavy Slovenskej republiky (vyžaduje pred ratifikáciou súhlas Národnej rady Slovenskej republiky):</w:t>
      </w:r>
    </w:p>
    <w:p w:rsidR="00F42775" w:rsidRPr="00C32288" w:rsidRDefault="00F42775" w:rsidP="00F42775">
      <w:pPr>
        <w:tabs>
          <w:tab w:val="left" w:pos="360"/>
        </w:tabs>
        <w:ind w:left="720"/>
        <w:rPr>
          <w:rStyle w:val="Zstupntext"/>
          <w:color w:val="000000"/>
          <w:sz w:val="24"/>
          <w:szCs w:val="24"/>
        </w:rPr>
      </w:pPr>
      <w:r w:rsidRPr="00DC2A15">
        <w:rPr>
          <w:rStyle w:val="Zstupntext"/>
          <w:color w:val="000000"/>
          <w:sz w:val="24"/>
          <w:szCs w:val="24"/>
        </w:rPr>
        <w:t>V súlade s čl. 7 ods. 4 Ústavy Slovenskej republiky sú dodatky medzinárodnou zmluvou, ktorá priamo zakladá práva alebo povinnosti fyzických osôb alebo právnických osôb.</w:t>
      </w:r>
      <w:r w:rsidRPr="00C32288">
        <w:rPr>
          <w:rStyle w:val="Zstupntext"/>
          <w:color w:val="000000"/>
          <w:sz w:val="24"/>
          <w:szCs w:val="24"/>
        </w:rPr>
        <w:t xml:space="preserve"> </w:t>
      </w:r>
    </w:p>
    <w:p w:rsidR="00F42775" w:rsidRPr="00C32288" w:rsidRDefault="00F42775" w:rsidP="00F42775">
      <w:pPr>
        <w:tabs>
          <w:tab w:val="left" w:pos="360"/>
        </w:tabs>
        <w:ind w:left="720"/>
        <w:rPr>
          <w:rStyle w:val="Zstupntext"/>
          <w:color w:val="000000"/>
          <w:sz w:val="24"/>
          <w:szCs w:val="24"/>
        </w:rPr>
      </w:pPr>
    </w:p>
    <w:p w:rsidR="00F42775" w:rsidRPr="00C32288" w:rsidRDefault="00F42775" w:rsidP="00F42775">
      <w:pPr>
        <w:numPr>
          <w:ilvl w:val="0"/>
          <w:numId w:val="1"/>
        </w:numPr>
        <w:tabs>
          <w:tab w:val="left" w:pos="360"/>
        </w:tabs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2288">
        <w:rPr>
          <w:rFonts w:ascii="Times New Roman" w:hAnsi="Times New Roman"/>
          <w:b/>
          <w:bCs/>
          <w:color w:val="000000"/>
          <w:sz w:val="24"/>
          <w:szCs w:val="24"/>
        </w:rPr>
        <w:t>Kategória zmluvy podľa čl. 7 ods. 5 Ústavy Slovenskej republiky (má prednosť pred zákonmi):</w:t>
      </w:r>
    </w:p>
    <w:p w:rsidR="00F42775" w:rsidRPr="00C32288" w:rsidRDefault="00F42775" w:rsidP="00F42775">
      <w:pPr>
        <w:tabs>
          <w:tab w:val="left" w:pos="360"/>
        </w:tabs>
        <w:ind w:left="720"/>
        <w:rPr>
          <w:rStyle w:val="Zstupntext"/>
          <w:color w:val="000000"/>
          <w:sz w:val="24"/>
          <w:szCs w:val="24"/>
        </w:rPr>
      </w:pPr>
      <w:r w:rsidRPr="00C32288">
        <w:rPr>
          <w:rStyle w:val="Zstupntext"/>
          <w:color w:val="000000"/>
          <w:sz w:val="24"/>
          <w:szCs w:val="24"/>
        </w:rPr>
        <w:t>V súlade s čl. 7 ods. 5 Ústavy Slovenskej republiky je dodatok medzinárodnou zmluvou, ktorá priamo zakladá práva alebo povinnosti fyzických osôb alebo právnických osôb.</w:t>
      </w:r>
    </w:p>
    <w:p w:rsidR="00F42775" w:rsidRPr="00C32288" w:rsidRDefault="00F42775" w:rsidP="00F42775">
      <w:pPr>
        <w:tabs>
          <w:tab w:val="left" w:pos="360"/>
        </w:tabs>
        <w:ind w:left="720"/>
        <w:rPr>
          <w:rStyle w:val="Zstupntext"/>
          <w:color w:val="000000"/>
          <w:sz w:val="24"/>
          <w:szCs w:val="24"/>
        </w:rPr>
      </w:pPr>
    </w:p>
    <w:p w:rsidR="00F42775" w:rsidRPr="00C32288" w:rsidRDefault="00F42775" w:rsidP="00F42775">
      <w:pPr>
        <w:numPr>
          <w:ilvl w:val="0"/>
          <w:numId w:val="1"/>
        </w:numPr>
        <w:tabs>
          <w:tab w:val="left" w:pos="360"/>
        </w:tabs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2288">
        <w:rPr>
          <w:rFonts w:ascii="Times New Roman" w:hAnsi="Times New Roman"/>
          <w:b/>
          <w:bCs/>
          <w:color w:val="000000"/>
          <w:sz w:val="24"/>
          <w:szCs w:val="24"/>
        </w:rPr>
        <w:t xml:space="preserve">Vplyvy prijatia medzinárodnej zmluvy, ktorá má prednosť pred zákonmi, na slovenský právny poriadok (uvedú sa právne predpisy alebo ich jednotlivé </w:t>
      </w:r>
      <w:r w:rsidRPr="00C3228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ustanovenia, ktorých sa medzinárodná zmluva týka; potreba ich zrušenia alebo zmeny z dôvodu duplicity): </w:t>
      </w:r>
    </w:p>
    <w:p w:rsidR="00F42775" w:rsidRPr="00C32288" w:rsidRDefault="00F42775" w:rsidP="00F42775">
      <w:pPr>
        <w:tabs>
          <w:tab w:val="left" w:pos="360"/>
        </w:tabs>
        <w:ind w:left="720"/>
        <w:rPr>
          <w:rStyle w:val="Zstupntext"/>
          <w:color w:val="000000"/>
          <w:sz w:val="24"/>
          <w:szCs w:val="24"/>
        </w:rPr>
      </w:pPr>
      <w:r w:rsidRPr="00C32288">
        <w:rPr>
          <w:rStyle w:val="Zstupntext"/>
          <w:color w:val="000000"/>
          <w:sz w:val="24"/>
          <w:szCs w:val="24"/>
        </w:rPr>
        <w:t>Ratifikácia a vykonávanie dodatku si nevyžadujú zmeny vnútroštátnej legislatívnej úpravy. Súčasná vnútroštátna právna úprava je v súlade s takto navrhovanými zmenami. Právny poriadok v súvislosti s </w:t>
      </w:r>
      <w:proofErr w:type="spellStart"/>
      <w:r w:rsidRPr="00C32288">
        <w:rPr>
          <w:rStyle w:val="Zstupntext"/>
          <w:color w:val="000000"/>
          <w:sz w:val="24"/>
          <w:szCs w:val="24"/>
        </w:rPr>
        <w:t>kriminalizáciou</w:t>
      </w:r>
      <w:proofErr w:type="spellEnd"/>
      <w:r w:rsidRPr="00C32288">
        <w:rPr>
          <w:rStyle w:val="Zstupntext"/>
          <w:color w:val="000000"/>
          <w:sz w:val="24"/>
          <w:szCs w:val="24"/>
        </w:rPr>
        <w:t xml:space="preserve"> a sankcionovaním konaní uvedených v článku 8 Rímskeho štatútu MTS toto upravuje prostredníctvom trestného činu, resp. zločinu vojnového bezprávia podľa § 433 zákona č. 300/2005 Z. z. trestný zákon v znení neskorších predpisov. Formulácia predmetného ustanovenia vo vzťahu k vymedzeniu objektívnej stránky trestného činu vojnového bezprávia bola uzavretá relatívne širokým spôsobom, tzv. blanketovou normou (odkazom na čl. 8 Rímskeho štatútu MTS), a </w:t>
      </w:r>
      <w:r>
        <w:rPr>
          <w:rStyle w:val="Zstupntext"/>
          <w:color w:val="000000"/>
          <w:sz w:val="24"/>
          <w:szCs w:val="24"/>
        </w:rPr>
        <w:t>to tak, že sa potrestá páchateľ</w:t>
      </w:r>
      <w:r w:rsidRPr="00C32288">
        <w:rPr>
          <w:rStyle w:val="Zstupntext"/>
          <w:color w:val="000000"/>
          <w:sz w:val="24"/>
          <w:szCs w:val="24"/>
        </w:rPr>
        <w:t>, ktorý spácha čin považovaný článkom 8 Rímskeho štatútu za vojnový zločin.</w:t>
      </w:r>
    </w:p>
    <w:p w:rsidR="00CE43C5" w:rsidRPr="00F42775" w:rsidRDefault="00CE43C5" w:rsidP="00F42775">
      <w:pPr>
        <w:spacing w:after="160" w:line="259" w:lineRule="auto"/>
        <w:jc w:val="left"/>
        <w:rPr>
          <w:rFonts w:ascii="Times New Roman" w:hAnsi="Times New Roman"/>
        </w:rPr>
      </w:pPr>
    </w:p>
    <w:sectPr w:rsidR="00CE43C5" w:rsidRPr="00F4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A2B72"/>
    <w:multiLevelType w:val="hybridMultilevel"/>
    <w:tmpl w:val="052475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75"/>
    <w:rsid w:val="0021350A"/>
    <w:rsid w:val="002A2830"/>
    <w:rsid w:val="002C4C8C"/>
    <w:rsid w:val="003348B1"/>
    <w:rsid w:val="00383F8C"/>
    <w:rsid w:val="003C0497"/>
    <w:rsid w:val="003E3748"/>
    <w:rsid w:val="003E530A"/>
    <w:rsid w:val="0040698D"/>
    <w:rsid w:val="0042134A"/>
    <w:rsid w:val="00463280"/>
    <w:rsid w:val="004F4E5C"/>
    <w:rsid w:val="005274DC"/>
    <w:rsid w:val="005C6751"/>
    <w:rsid w:val="0062296E"/>
    <w:rsid w:val="006A08C5"/>
    <w:rsid w:val="006E675B"/>
    <w:rsid w:val="00751B25"/>
    <w:rsid w:val="0083079C"/>
    <w:rsid w:val="008A1538"/>
    <w:rsid w:val="00906D9D"/>
    <w:rsid w:val="009E6975"/>
    <w:rsid w:val="00B53E24"/>
    <w:rsid w:val="00B90F76"/>
    <w:rsid w:val="00B933C7"/>
    <w:rsid w:val="00BA5B79"/>
    <w:rsid w:val="00BD53F5"/>
    <w:rsid w:val="00C00137"/>
    <w:rsid w:val="00CA6387"/>
    <w:rsid w:val="00CE43C5"/>
    <w:rsid w:val="00CF01C8"/>
    <w:rsid w:val="00D66BCF"/>
    <w:rsid w:val="00D819E6"/>
    <w:rsid w:val="00E02B93"/>
    <w:rsid w:val="00E12D47"/>
    <w:rsid w:val="00F372B3"/>
    <w:rsid w:val="00F42775"/>
    <w:rsid w:val="00FA43D6"/>
    <w:rsid w:val="00FC77E9"/>
    <w:rsid w:val="00FC7BA2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DC9B-8406-48FF-896E-26DE125F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77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F4277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prednosti"/>
    <f:field ref="objsubject" par="" edit="true" text=""/>
    <f:field ref="objcreatedby" par="" text="Sýkorová, Michaela, JUDr."/>
    <f:field ref="objcreatedat" par="" text="21.8.2018 15:25:07"/>
    <f:field ref="objchangedby" par="" text="Administrator, System"/>
    <f:field ref="objmodifiedat" par="" text="21.8.2018 15:25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 Michaela /MEPO/MZV</dc:creator>
  <cp:keywords/>
  <dc:description/>
  <cp:lastModifiedBy>Sykorova Michaela /MEPO/MZV</cp:lastModifiedBy>
  <cp:revision>2</cp:revision>
  <dcterms:created xsi:type="dcterms:W3CDTF">2018-10-05T08:17:00Z</dcterms:created>
  <dcterms:modified xsi:type="dcterms:W3CDTF">2018-10-05T08:17:00Z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Sýkorová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ratifikáciu dodatkov k článku 8 Rímskeho štatútu Medzinárodného trestného súdu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</vt:lpwstr>
  </property>
  <property fmtid="{D5CDD505-2E9C-101B-9397-08002B2CF9AE}" pid="23" name="FSC#SKEDITIONSLOVLEX@103.510:plnynazovpredpis">
    <vt:lpwstr> Návrh na ratifikáciu dodatkov k článku 8 Rímskeho štatútu Medzinárodného trestného súdu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043038/2018-MEPO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LP/2018/608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4. 9. 2018</vt:lpwstr>
  </property>
  <property fmtid="{D5CDD505-2E9C-101B-9397-08002B2CF9AE}" pid="59" name="FSC#SKEDITIONSLOVLEX@103.510:AttrDateDocPropUkonceniePKK">
    <vt:lpwstr>24. 9. 2018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Bez doplňujúcich informácií. </vt:lpwstr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 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 _x000d_
predseda Národnej rady Slovenskej republiky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justify;"&gt;Medzinárodný trestný súd (ďalej len „MTS“ alebo „súd“) je prvou stálou medzinárodnou inštitúciou so súdnou právomocou nad osobami stíhanými za spáchanie najzávažnejších zločinov podľa medzinárodného práva ako sú genocída, v</vt:lpwstr>
  </property>
  <property fmtid="{D5CDD505-2E9C-101B-9397-08002B2CF9AE}" pid="150" name="FSC#SKEDITIONSLOVLEX@103.510:vytvorenedna">
    <vt:lpwstr>21. 8. 2018</vt:lpwstr>
  </property>
  <property fmtid="{D5CDD505-2E9C-101B-9397-08002B2CF9AE}" pid="151" name="FSC#COOSYSTEM@1.1:Container">
    <vt:lpwstr>COO.2145.1000.3.2931899</vt:lpwstr>
  </property>
  <property fmtid="{D5CDD505-2E9C-101B-9397-08002B2CF9AE}" pid="152" name="FSC#FSCFOLIO@1.1001:docpropproject">
    <vt:lpwstr/>
  </property>
</Properties>
</file>