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7B9D" w:rsidRPr="000E766F" w:rsidTr="00FC31E2">
        <w:trPr>
          <w:trHeight w:val="567"/>
        </w:trPr>
        <w:tc>
          <w:tcPr>
            <w:tcW w:w="9212" w:type="dxa"/>
            <w:shd w:val="clear" w:color="auto" w:fill="D9D9D9"/>
          </w:tcPr>
          <w:p w:rsidR="00057B9D" w:rsidRPr="000E766F" w:rsidRDefault="00057B9D" w:rsidP="00FC31E2">
            <w:pPr>
              <w:jc w:val="center"/>
              <w:rPr>
                <w:b/>
              </w:rPr>
            </w:pPr>
            <w:bookmarkStart w:id="0" w:name="_GoBack"/>
            <w:bookmarkEnd w:id="0"/>
            <w:r w:rsidRPr="000E766F">
              <w:rPr>
                <w:b/>
              </w:rPr>
              <w:t xml:space="preserve">Analýza vplyvov na podnikateľské prostredie </w:t>
            </w:r>
          </w:p>
          <w:p w:rsidR="00057B9D" w:rsidRPr="000E766F" w:rsidRDefault="00057B9D" w:rsidP="00FC31E2">
            <w:pPr>
              <w:jc w:val="center"/>
              <w:rPr>
                <w:b/>
              </w:rPr>
            </w:pPr>
            <w:r w:rsidRPr="000E766F">
              <w:rPr>
                <w:b/>
              </w:rPr>
              <w:t>(vrátane testu MSP)</w:t>
            </w:r>
          </w:p>
        </w:tc>
      </w:tr>
      <w:tr w:rsidR="00057B9D" w:rsidRPr="000E766F" w:rsidTr="00FC31E2">
        <w:trPr>
          <w:trHeight w:val="567"/>
        </w:trPr>
        <w:tc>
          <w:tcPr>
            <w:tcW w:w="9212" w:type="dxa"/>
            <w:shd w:val="clear" w:color="auto" w:fill="D9D9D9"/>
          </w:tcPr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b/>
                <w:sz w:val="20"/>
                <w:szCs w:val="20"/>
              </w:rPr>
              <w:t>Materiál bude mať vplyv s ohľadom na veľkostnú kategóriu podnikov:</w:t>
            </w:r>
          </w:p>
        </w:tc>
      </w:tr>
      <w:tr w:rsidR="00057B9D" w:rsidRPr="000E766F" w:rsidTr="00FC31E2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57B9D" w:rsidRPr="000E766F" w:rsidTr="00FC31E2">
              <w:tc>
                <w:tcPr>
                  <w:tcW w:w="436" w:type="dxa"/>
                </w:tcPr>
                <w:p w:rsidR="00057B9D" w:rsidRPr="000E766F" w:rsidRDefault="00057B9D" w:rsidP="00FC31E2">
                  <w:pPr>
                    <w:jc w:val="center"/>
                    <w:rPr>
                      <w:sz w:val="20"/>
                      <w:szCs w:val="20"/>
                    </w:rPr>
                  </w:pPr>
                  <w:r w:rsidRPr="000E766F"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:rsidR="00057B9D" w:rsidRPr="000E766F" w:rsidRDefault="00057B9D" w:rsidP="00FC31E2">
                  <w:pPr>
                    <w:rPr>
                      <w:b/>
                      <w:sz w:val="20"/>
                      <w:szCs w:val="20"/>
                    </w:rPr>
                  </w:pPr>
                  <w:r w:rsidRPr="000E766F">
                    <w:rPr>
                      <w:b/>
                      <w:sz w:val="20"/>
                      <w:szCs w:val="20"/>
                    </w:rPr>
                    <w:t xml:space="preserve">iba na MSP (0 - 249 zamestnancov) </w:t>
                  </w:r>
                </w:p>
              </w:tc>
            </w:tr>
            <w:tr w:rsidR="00057B9D" w:rsidRPr="000E766F" w:rsidTr="00FC31E2">
              <w:tc>
                <w:tcPr>
                  <w:tcW w:w="436" w:type="dxa"/>
                </w:tcPr>
                <w:p w:rsidR="00057B9D" w:rsidRPr="000E766F" w:rsidRDefault="00057B9D" w:rsidP="00FC31E2">
                  <w:pPr>
                    <w:jc w:val="center"/>
                    <w:rPr>
                      <w:sz w:val="20"/>
                      <w:szCs w:val="20"/>
                    </w:rPr>
                  </w:pPr>
                  <w:r w:rsidRPr="000E766F"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057B9D" w:rsidRPr="000E766F" w:rsidRDefault="00057B9D" w:rsidP="00FC31E2">
                  <w:pPr>
                    <w:rPr>
                      <w:b/>
                      <w:sz w:val="20"/>
                      <w:szCs w:val="20"/>
                    </w:rPr>
                  </w:pPr>
                  <w:r w:rsidRPr="000E766F">
                    <w:rPr>
                      <w:b/>
                      <w:sz w:val="20"/>
                      <w:szCs w:val="20"/>
                    </w:rPr>
                    <w:t>iba na veľké podniky (250 a viac zamestnancov)</w:t>
                  </w:r>
                </w:p>
              </w:tc>
            </w:tr>
            <w:tr w:rsidR="00057B9D" w:rsidRPr="000E766F" w:rsidTr="00FC31E2">
              <w:tc>
                <w:tcPr>
                  <w:tcW w:w="436" w:type="dxa"/>
                </w:tcPr>
                <w:p w:rsidR="00057B9D" w:rsidRPr="000E766F" w:rsidRDefault="00057B9D" w:rsidP="00FC31E2">
                  <w:pPr>
                    <w:jc w:val="center"/>
                    <w:rPr>
                      <w:sz w:val="20"/>
                      <w:szCs w:val="20"/>
                    </w:rPr>
                  </w:pPr>
                  <w:r w:rsidRPr="000E766F"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057B9D" w:rsidRPr="000E766F" w:rsidRDefault="00057B9D" w:rsidP="00FC31E2">
                  <w:pPr>
                    <w:rPr>
                      <w:sz w:val="20"/>
                      <w:szCs w:val="20"/>
                    </w:rPr>
                  </w:pPr>
                  <w:r w:rsidRPr="000E766F">
                    <w:rPr>
                      <w:b/>
                      <w:sz w:val="20"/>
                      <w:szCs w:val="20"/>
                    </w:rPr>
                    <w:t>na všetky kategórie podnikov</w:t>
                  </w:r>
                </w:p>
              </w:tc>
            </w:tr>
          </w:tbl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</w:p>
        </w:tc>
      </w:tr>
      <w:tr w:rsidR="00057B9D" w:rsidRPr="000E766F" w:rsidTr="00FC31E2">
        <w:tc>
          <w:tcPr>
            <w:tcW w:w="9212" w:type="dxa"/>
            <w:shd w:val="clear" w:color="auto" w:fill="D9D9D9"/>
          </w:tcPr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b/>
                <w:sz w:val="20"/>
                <w:szCs w:val="20"/>
              </w:rPr>
              <w:t>3.1 Dotknuté podnikateľské subjekty</w:t>
            </w:r>
          </w:p>
          <w:p w:rsidR="00057B9D" w:rsidRPr="000E766F" w:rsidRDefault="00057B9D" w:rsidP="00FC31E2">
            <w:pPr>
              <w:ind w:left="284"/>
              <w:rPr>
                <w:b/>
                <w:sz w:val="20"/>
                <w:szCs w:val="20"/>
              </w:rPr>
            </w:pPr>
            <w:r w:rsidRPr="000E766F">
              <w:rPr>
                <w:sz w:val="20"/>
                <w:szCs w:val="20"/>
              </w:rPr>
              <w:t xml:space="preserve"> - </w:t>
            </w:r>
            <w:r w:rsidRPr="000E766F">
              <w:rPr>
                <w:b/>
                <w:sz w:val="20"/>
                <w:szCs w:val="20"/>
              </w:rPr>
              <w:t>z toho MSP</w:t>
            </w: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Uveďte, aké podnikateľské subjekty budú predkladaným návrhom ovplyvnené.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</w:p>
          <w:p w:rsidR="00BA6E3A" w:rsidRPr="0036168E" w:rsidRDefault="00BA6E3A" w:rsidP="00DC323F">
            <w:pPr>
              <w:pStyle w:val="Odsekzoznamu"/>
              <w:numPr>
                <w:ilvl w:val="0"/>
                <w:numId w:val="1"/>
              </w:numPr>
              <w:ind w:left="284" w:hanging="142"/>
              <w:jc w:val="both"/>
              <w:rPr>
                <w:sz w:val="20"/>
                <w:szCs w:val="20"/>
              </w:rPr>
            </w:pPr>
            <w:r w:rsidRPr="0036168E">
              <w:rPr>
                <w:sz w:val="20"/>
                <w:szCs w:val="20"/>
              </w:rPr>
              <w:t xml:space="preserve">chovatelia </w:t>
            </w:r>
            <w:r w:rsidR="00240433" w:rsidRPr="0036168E">
              <w:rPr>
                <w:sz w:val="20"/>
                <w:szCs w:val="20"/>
              </w:rPr>
              <w:t xml:space="preserve">– </w:t>
            </w:r>
            <w:r w:rsidR="00C67552">
              <w:rPr>
                <w:sz w:val="20"/>
                <w:szCs w:val="20"/>
              </w:rPr>
              <w:t>vlastníci</w:t>
            </w:r>
            <w:r w:rsidR="00C67552" w:rsidRPr="0036168E">
              <w:rPr>
                <w:sz w:val="20"/>
                <w:szCs w:val="20"/>
              </w:rPr>
              <w:t xml:space="preserve"> </w:t>
            </w:r>
            <w:r w:rsidR="00240433" w:rsidRPr="0036168E">
              <w:rPr>
                <w:sz w:val="20"/>
                <w:szCs w:val="20"/>
              </w:rPr>
              <w:t>a držitelia zvierat,</w:t>
            </w:r>
            <w:r w:rsidRPr="0036168E">
              <w:rPr>
                <w:sz w:val="20"/>
                <w:szCs w:val="20"/>
              </w:rPr>
              <w:t xml:space="preserve"> fyzické</w:t>
            </w:r>
            <w:r w:rsidR="002A0B4D">
              <w:rPr>
                <w:sz w:val="20"/>
                <w:szCs w:val="20"/>
              </w:rPr>
              <w:t xml:space="preserve"> osoby, fyzic</w:t>
            </w:r>
            <w:r w:rsidR="00CA1F50">
              <w:rPr>
                <w:sz w:val="20"/>
                <w:szCs w:val="20"/>
              </w:rPr>
              <w:t>ké osoby - podnikatelia</w:t>
            </w:r>
            <w:r w:rsidRPr="0036168E">
              <w:rPr>
                <w:sz w:val="20"/>
                <w:szCs w:val="20"/>
              </w:rPr>
              <w:t xml:space="preserve"> alebo právnické osoby, ktoré sú alebo nie sú členmi chovateľských organizácií, chovateľských podnikov a</w:t>
            </w:r>
            <w:r w:rsidR="00A41188">
              <w:rPr>
                <w:sz w:val="20"/>
                <w:szCs w:val="20"/>
              </w:rPr>
              <w:t>lebo chovateľských združení.</w:t>
            </w:r>
            <w:r w:rsidRPr="0036168E">
              <w:rPr>
                <w:sz w:val="20"/>
                <w:szCs w:val="20"/>
              </w:rPr>
              <w:t xml:space="preserve"> </w:t>
            </w:r>
            <w:r w:rsidR="00A41188" w:rsidRPr="0036168E">
              <w:rPr>
                <w:sz w:val="20"/>
                <w:szCs w:val="20"/>
              </w:rPr>
              <w:t xml:space="preserve">Ak aj chovateľ nie je členom, ale jeho zviera </w:t>
            </w:r>
            <w:r w:rsidR="00A41188">
              <w:rPr>
                <w:sz w:val="20"/>
                <w:szCs w:val="20"/>
              </w:rPr>
              <w:t>spĺňa</w:t>
            </w:r>
            <w:r w:rsidR="00A41188" w:rsidRPr="0036168E">
              <w:rPr>
                <w:sz w:val="20"/>
                <w:szCs w:val="20"/>
              </w:rPr>
              <w:t xml:space="preserve"> podmienky pre zápis do plemennej knihy, plemenného registra alebo plemenárskej evidencie, má právo zúčastňovať na šľachtiteľskom programe</w:t>
            </w:r>
            <w:r w:rsidR="00A41188">
              <w:rPr>
                <w:sz w:val="20"/>
                <w:szCs w:val="20"/>
              </w:rPr>
              <w:t xml:space="preserve"> vykonávanom danou skupinou chovateľov. Chovateľovi</w:t>
            </w:r>
            <w:r w:rsidR="00A41188" w:rsidRPr="0036168E">
              <w:rPr>
                <w:sz w:val="20"/>
                <w:szCs w:val="20"/>
              </w:rPr>
              <w:t xml:space="preserve"> </w:t>
            </w:r>
            <w:r w:rsidRPr="0036168E">
              <w:rPr>
                <w:sz w:val="20"/>
                <w:szCs w:val="20"/>
              </w:rPr>
              <w:t>z</w:t>
            </w:r>
            <w:r w:rsidR="00A41188">
              <w:rPr>
                <w:sz w:val="20"/>
                <w:szCs w:val="20"/>
              </w:rPr>
              <w:t> účasti na šľachtiteľských programoch</w:t>
            </w:r>
            <w:r w:rsidRPr="0036168E">
              <w:rPr>
                <w:sz w:val="20"/>
                <w:szCs w:val="20"/>
              </w:rPr>
              <w:t xml:space="preserve"> </w:t>
            </w:r>
            <w:r w:rsidR="00C60CAD">
              <w:rPr>
                <w:sz w:val="20"/>
                <w:szCs w:val="20"/>
              </w:rPr>
              <w:t xml:space="preserve">ako aj z členstva </w:t>
            </w:r>
            <w:r w:rsidRPr="0036168E">
              <w:rPr>
                <w:sz w:val="20"/>
                <w:szCs w:val="20"/>
              </w:rPr>
              <w:t xml:space="preserve">vyplývajú </w:t>
            </w:r>
            <w:r w:rsidR="00A41188">
              <w:rPr>
                <w:sz w:val="20"/>
                <w:szCs w:val="20"/>
              </w:rPr>
              <w:t>práva a povinnosti a podlieha úradným kontrolám v zmysle návrhu zákona</w:t>
            </w:r>
            <w:r w:rsidR="0036168E" w:rsidRPr="0036168E">
              <w:rPr>
                <w:sz w:val="20"/>
                <w:szCs w:val="20"/>
              </w:rPr>
              <w:t>;</w:t>
            </w:r>
          </w:p>
          <w:p w:rsidR="00057B9D" w:rsidRPr="0036168E" w:rsidRDefault="00BA6E3A" w:rsidP="00DC323F">
            <w:pPr>
              <w:pStyle w:val="Odsekzoznamu"/>
              <w:numPr>
                <w:ilvl w:val="0"/>
                <w:numId w:val="1"/>
              </w:numPr>
              <w:ind w:left="284" w:hanging="142"/>
              <w:jc w:val="both"/>
              <w:rPr>
                <w:sz w:val="20"/>
                <w:szCs w:val="20"/>
              </w:rPr>
            </w:pPr>
            <w:r w:rsidRPr="0036168E">
              <w:rPr>
                <w:sz w:val="20"/>
                <w:szCs w:val="20"/>
              </w:rPr>
              <w:t>chovateľské organizácie, chovateľské podniky, chovateľské združenia</w:t>
            </w:r>
            <w:r w:rsidR="00C67552">
              <w:rPr>
                <w:sz w:val="20"/>
                <w:szCs w:val="20"/>
              </w:rPr>
              <w:t xml:space="preserve"> </w:t>
            </w:r>
            <w:r w:rsidRPr="0036168E">
              <w:rPr>
                <w:sz w:val="20"/>
                <w:szCs w:val="20"/>
              </w:rPr>
              <w:t xml:space="preserve">- </w:t>
            </w:r>
            <w:r w:rsidR="0036168E" w:rsidRPr="0036168E">
              <w:rPr>
                <w:sz w:val="20"/>
                <w:szCs w:val="20"/>
              </w:rPr>
              <w:t>právnické osoby</w:t>
            </w:r>
            <w:r w:rsidRPr="0036168E">
              <w:rPr>
                <w:sz w:val="20"/>
                <w:szCs w:val="20"/>
              </w:rPr>
              <w:t xml:space="preserve"> zastupujúce chovateľov uznané </w:t>
            </w:r>
            <w:r w:rsidR="00C67552">
              <w:rPr>
                <w:sz w:val="20"/>
                <w:szCs w:val="20"/>
              </w:rPr>
              <w:t>M</w:t>
            </w:r>
            <w:r w:rsidRPr="0036168E">
              <w:rPr>
                <w:sz w:val="20"/>
                <w:szCs w:val="20"/>
              </w:rPr>
              <w:t>inisterstvom</w:t>
            </w:r>
            <w:r w:rsidR="00C67552">
              <w:rPr>
                <w:sz w:val="20"/>
                <w:szCs w:val="20"/>
              </w:rPr>
              <w:t xml:space="preserve"> pôdohospodárstva a rozvoja vidieka</w:t>
            </w:r>
            <w:r w:rsidR="00A15522">
              <w:rPr>
                <w:sz w:val="20"/>
                <w:szCs w:val="20"/>
              </w:rPr>
              <w:t xml:space="preserve"> SR</w:t>
            </w:r>
            <w:r w:rsidR="00C67552">
              <w:rPr>
                <w:sz w:val="20"/>
                <w:szCs w:val="20"/>
              </w:rPr>
              <w:t xml:space="preserve"> (ďalej len „ministerstvo</w:t>
            </w:r>
            <w:r w:rsidR="00D30521">
              <w:rPr>
                <w:sz w:val="20"/>
                <w:szCs w:val="20"/>
              </w:rPr>
              <w:t xml:space="preserve"> pôdohospodárstva</w:t>
            </w:r>
            <w:r w:rsidR="00C67552">
              <w:rPr>
                <w:sz w:val="20"/>
                <w:szCs w:val="20"/>
              </w:rPr>
              <w:t>“)</w:t>
            </w:r>
            <w:r w:rsidRPr="0036168E">
              <w:rPr>
                <w:sz w:val="20"/>
                <w:szCs w:val="20"/>
              </w:rPr>
              <w:t>, vykonávajúce šľachtiteľské programy schválené ministerstvom</w:t>
            </w:r>
            <w:r w:rsidR="00EB61B5">
              <w:rPr>
                <w:sz w:val="20"/>
                <w:szCs w:val="20"/>
              </w:rPr>
              <w:t xml:space="preserve"> pôdohospodárstva</w:t>
            </w:r>
            <w:r w:rsidRPr="0036168E">
              <w:rPr>
                <w:sz w:val="20"/>
                <w:szCs w:val="20"/>
              </w:rPr>
              <w:t xml:space="preserve"> pre čistokrvné plemenné </w:t>
            </w:r>
            <w:r w:rsidR="00F50D62" w:rsidRPr="0036168E">
              <w:rPr>
                <w:sz w:val="20"/>
                <w:szCs w:val="20"/>
              </w:rPr>
              <w:t xml:space="preserve">hospodárske </w:t>
            </w:r>
            <w:r w:rsidRPr="0036168E">
              <w:rPr>
                <w:sz w:val="20"/>
                <w:szCs w:val="20"/>
              </w:rPr>
              <w:t>zvieratá druhov hovädzí dobytok, ošípané, ovce, kozy a </w:t>
            </w:r>
            <w:proofErr w:type="spellStart"/>
            <w:r w:rsidRPr="0036168E">
              <w:rPr>
                <w:sz w:val="20"/>
                <w:szCs w:val="20"/>
              </w:rPr>
              <w:t>koňovité</w:t>
            </w:r>
            <w:proofErr w:type="spellEnd"/>
            <w:r w:rsidRPr="0036168E">
              <w:rPr>
                <w:sz w:val="20"/>
                <w:szCs w:val="20"/>
              </w:rPr>
              <w:t xml:space="preserve">, </w:t>
            </w:r>
            <w:r w:rsidR="00F50D62" w:rsidRPr="0036168E">
              <w:rPr>
                <w:sz w:val="20"/>
                <w:szCs w:val="20"/>
              </w:rPr>
              <w:t xml:space="preserve">pre </w:t>
            </w:r>
            <w:r w:rsidR="006204ED">
              <w:rPr>
                <w:sz w:val="20"/>
                <w:szCs w:val="20"/>
              </w:rPr>
              <w:t xml:space="preserve">plemenné </w:t>
            </w:r>
            <w:r w:rsidRPr="0036168E">
              <w:rPr>
                <w:sz w:val="20"/>
                <w:szCs w:val="20"/>
              </w:rPr>
              <w:t>hybridné ošípané</w:t>
            </w:r>
            <w:r w:rsidR="0036168E">
              <w:rPr>
                <w:sz w:val="20"/>
                <w:szCs w:val="20"/>
              </w:rPr>
              <w:t xml:space="preserve">, </w:t>
            </w:r>
            <w:r w:rsidR="00F50D62" w:rsidRPr="0036168E">
              <w:rPr>
                <w:sz w:val="20"/>
                <w:szCs w:val="20"/>
              </w:rPr>
              <w:t xml:space="preserve">pre </w:t>
            </w:r>
            <w:r w:rsidR="00A15522">
              <w:rPr>
                <w:sz w:val="20"/>
                <w:szCs w:val="20"/>
              </w:rPr>
              <w:t xml:space="preserve">plemenné </w:t>
            </w:r>
            <w:r w:rsidR="006204ED" w:rsidRPr="0036168E">
              <w:rPr>
                <w:sz w:val="20"/>
                <w:szCs w:val="20"/>
              </w:rPr>
              <w:t xml:space="preserve">ostatné </w:t>
            </w:r>
            <w:r w:rsidR="00F50D62" w:rsidRPr="0036168E">
              <w:rPr>
                <w:sz w:val="20"/>
                <w:szCs w:val="20"/>
              </w:rPr>
              <w:t>hospodárske zvieratá</w:t>
            </w:r>
            <w:r w:rsidR="0036168E">
              <w:rPr>
                <w:sz w:val="20"/>
                <w:szCs w:val="20"/>
              </w:rPr>
              <w:t xml:space="preserve"> a zver z farmového chovu</w:t>
            </w:r>
            <w:r w:rsidRPr="0036168E">
              <w:rPr>
                <w:sz w:val="20"/>
                <w:szCs w:val="20"/>
              </w:rPr>
              <w:t xml:space="preserve">. </w:t>
            </w:r>
            <w:r w:rsidR="0044191C">
              <w:rPr>
                <w:sz w:val="20"/>
                <w:szCs w:val="20"/>
              </w:rPr>
              <w:t>Skupiny chovateľov</w:t>
            </w:r>
            <w:r w:rsidRPr="0036168E">
              <w:rPr>
                <w:sz w:val="20"/>
                <w:szCs w:val="20"/>
              </w:rPr>
              <w:t xml:space="preserve"> </w:t>
            </w:r>
            <w:r w:rsidR="00A15522">
              <w:rPr>
                <w:sz w:val="20"/>
                <w:szCs w:val="20"/>
              </w:rPr>
              <w:t>majú</w:t>
            </w:r>
            <w:r w:rsidRPr="0036168E">
              <w:rPr>
                <w:sz w:val="20"/>
                <w:szCs w:val="20"/>
              </w:rPr>
              <w:t xml:space="preserve"> v zmysle návrhu vedúcu úlohu, pokiaľ ide o vykonávanie šľachtiteľských programov. Tie </w:t>
            </w:r>
            <w:r w:rsidR="00161D21">
              <w:rPr>
                <w:sz w:val="20"/>
                <w:szCs w:val="20"/>
              </w:rPr>
              <w:t>vymedzujú a vykonávajú</w:t>
            </w:r>
            <w:r w:rsidRPr="0036168E">
              <w:rPr>
                <w:sz w:val="20"/>
                <w:szCs w:val="20"/>
              </w:rPr>
              <w:t xml:space="preserve"> autonómne, pričom </w:t>
            </w:r>
            <w:r w:rsidR="00161D21">
              <w:rPr>
                <w:sz w:val="20"/>
                <w:szCs w:val="20"/>
              </w:rPr>
              <w:t>s</w:t>
            </w:r>
            <w:r w:rsidRPr="0036168E">
              <w:rPr>
                <w:sz w:val="20"/>
                <w:szCs w:val="20"/>
              </w:rPr>
              <w:t>ú zodpovedné za každú jednotlivú oblasť pri jeho vykonávaní</w:t>
            </w:r>
            <w:r w:rsidR="00BE35B9">
              <w:rPr>
                <w:sz w:val="20"/>
                <w:szCs w:val="20"/>
              </w:rPr>
              <w:t>,</w:t>
            </w:r>
          </w:p>
          <w:p w:rsidR="00A33439" w:rsidRPr="0036168E" w:rsidRDefault="00A15522" w:rsidP="00DC323F">
            <w:pPr>
              <w:pStyle w:val="Odsekzoznamu"/>
              <w:numPr>
                <w:ilvl w:val="0"/>
                <w:numId w:val="1"/>
              </w:numPr>
              <w:ind w:left="28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oprávnené plemenárske organizácie</w:t>
            </w:r>
            <w:r w:rsidR="00A33439" w:rsidRPr="0036168E">
              <w:rPr>
                <w:sz w:val="20"/>
                <w:szCs w:val="20"/>
              </w:rPr>
              <w:t xml:space="preserve"> - fyzické osoby,  fyzické osoby - podnikatelia alebo právnické osoby poverené chovateľskými organizáciami, chovateľskými podnikmi alebo chovateľskými združeniami vykonávaním špecifických technických činností</w:t>
            </w:r>
            <w:r w:rsidR="00397E48" w:rsidRPr="003616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rámci šľachtiteľského programu, a to najmä kontrolou</w:t>
            </w:r>
            <w:r w:rsidR="00397E48" w:rsidRPr="0036168E">
              <w:rPr>
                <w:sz w:val="20"/>
                <w:szCs w:val="20"/>
              </w:rPr>
              <w:t xml:space="preserve"> úži</w:t>
            </w:r>
            <w:r>
              <w:rPr>
                <w:sz w:val="20"/>
                <w:szCs w:val="20"/>
              </w:rPr>
              <w:t>tkovosti plemenných zvierat alebo genetickým hodnotením plemenných zvierat</w:t>
            </w:r>
            <w:r w:rsidR="00397E48" w:rsidRPr="0036168E">
              <w:rPr>
                <w:sz w:val="20"/>
                <w:szCs w:val="20"/>
              </w:rPr>
              <w:t xml:space="preserve">, pričom </w:t>
            </w:r>
            <w:r w:rsidR="00113A31">
              <w:rPr>
                <w:sz w:val="20"/>
                <w:szCs w:val="20"/>
              </w:rPr>
              <w:t xml:space="preserve">v prípade ak nie sú organizáciou zriadenou ministerstvom, musia mať </w:t>
            </w:r>
            <w:r w:rsidR="00397E48" w:rsidRPr="0036168E">
              <w:rPr>
                <w:sz w:val="20"/>
                <w:szCs w:val="20"/>
              </w:rPr>
              <w:t xml:space="preserve"> zároveň </w:t>
            </w:r>
            <w:r>
              <w:rPr>
                <w:sz w:val="20"/>
                <w:szCs w:val="20"/>
              </w:rPr>
              <w:t>oprávne</w:t>
            </w:r>
            <w:r w:rsidR="00397E48" w:rsidRPr="0036168E">
              <w:rPr>
                <w:sz w:val="20"/>
                <w:szCs w:val="20"/>
              </w:rPr>
              <w:t>nie</w:t>
            </w:r>
            <w:r w:rsidR="00C67552">
              <w:rPr>
                <w:sz w:val="20"/>
                <w:szCs w:val="20"/>
              </w:rPr>
              <w:t xml:space="preserve"> od</w:t>
            </w:r>
            <w:r w:rsidR="00397E48" w:rsidRPr="0036168E">
              <w:rPr>
                <w:sz w:val="20"/>
                <w:szCs w:val="20"/>
              </w:rPr>
              <w:t xml:space="preserve"> </w:t>
            </w:r>
            <w:r w:rsidR="00C67552">
              <w:rPr>
                <w:sz w:val="20"/>
                <w:szCs w:val="20"/>
              </w:rPr>
              <w:t>ministerstva</w:t>
            </w:r>
            <w:r w:rsidR="00397E48" w:rsidRPr="0036168E">
              <w:rPr>
                <w:sz w:val="20"/>
                <w:szCs w:val="20"/>
              </w:rPr>
              <w:t xml:space="preserve"> </w:t>
            </w:r>
            <w:r w:rsidR="00CA7EBC">
              <w:rPr>
                <w:sz w:val="20"/>
                <w:szCs w:val="20"/>
              </w:rPr>
              <w:t xml:space="preserve">pôdohospodárstva </w:t>
            </w:r>
            <w:r w:rsidR="00397E48" w:rsidRPr="0036168E">
              <w:rPr>
                <w:sz w:val="20"/>
                <w:szCs w:val="20"/>
              </w:rPr>
              <w:t>pre vykonávanie uvedených činností</w:t>
            </w:r>
            <w:r w:rsidR="00BE35B9">
              <w:rPr>
                <w:sz w:val="20"/>
                <w:szCs w:val="20"/>
              </w:rPr>
              <w:t>,</w:t>
            </w:r>
          </w:p>
          <w:p w:rsidR="00057B9D" w:rsidRDefault="00A33439" w:rsidP="00DC323F">
            <w:pPr>
              <w:pStyle w:val="Odsekzoznamu"/>
              <w:numPr>
                <w:ilvl w:val="0"/>
                <w:numId w:val="1"/>
              </w:numPr>
              <w:ind w:left="284" w:hanging="142"/>
              <w:jc w:val="both"/>
              <w:rPr>
                <w:sz w:val="20"/>
                <w:szCs w:val="20"/>
              </w:rPr>
            </w:pPr>
            <w:r w:rsidRPr="0036168E">
              <w:rPr>
                <w:sz w:val="20"/>
                <w:szCs w:val="20"/>
              </w:rPr>
              <w:t xml:space="preserve">poverené plemenárske organizácie </w:t>
            </w:r>
            <w:r w:rsidR="00397E48" w:rsidRPr="0036168E">
              <w:rPr>
                <w:sz w:val="20"/>
                <w:szCs w:val="20"/>
              </w:rPr>
              <w:t xml:space="preserve">– </w:t>
            </w:r>
            <w:r w:rsidR="004162EE">
              <w:rPr>
                <w:sz w:val="20"/>
                <w:szCs w:val="20"/>
              </w:rPr>
              <w:t xml:space="preserve">organizácie založené alebo zriadené ministerstvom pôdohospodárstva a </w:t>
            </w:r>
            <w:r w:rsidR="00397E48" w:rsidRPr="0036168E">
              <w:rPr>
                <w:sz w:val="20"/>
                <w:szCs w:val="20"/>
              </w:rPr>
              <w:t xml:space="preserve">osoby, ktoré získali poverenie </w:t>
            </w:r>
            <w:r w:rsidR="00C67552">
              <w:rPr>
                <w:sz w:val="20"/>
                <w:szCs w:val="20"/>
              </w:rPr>
              <w:t>od ministerstva</w:t>
            </w:r>
            <w:r w:rsidR="0036168E">
              <w:rPr>
                <w:sz w:val="20"/>
                <w:szCs w:val="20"/>
              </w:rPr>
              <w:t xml:space="preserve"> </w:t>
            </w:r>
            <w:r w:rsidR="00D30521">
              <w:rPr>
                <w:sz w:val="20"/>
                <w:szCs w:val="20"/>
              </w:rPr>
              <w:t xml:space="preserve">pôdohospodárstva </w:t>
            </w:r>
            <w:r w:rsidR="0036168E">
              <w:rPr>
                <w:sz w:val="20"/>
                <w:szCs w:val="20"/>
              </w:rPr>
              <w:t xml:space="preserve">na vykonávanie </w:t>
            </w:r>
            <w:r w:rsidR="009F3CE6">
              <w:rPr>
                <w:sz w:val="20"/>
                <w:szCs w:val="20"/>
              </w:rPr>
              <w:t xml:space="preserve">úloh </w:t>
            </w:r>
            <w:r w:rsidR="0036168E">
              <w:rPr>
                <w:sz w:val="20"/>
                <w:szCs w:val="20"/>
              </w:rPr>
              <w:t xml:space="preserve">šľachtenia a plemenitby </w:t>
            </w:r>
            <w:r w:rsidR="00B253D8">
              <w:rPr>
                <w:sz w:val="20"/>
                <w:szCs w:val="20"/>
              </w:rPr>
              <w:t>zv</w:t>
            </w:r>
            <w:r w:rsidR="0036168E">
              <w:rPr>
                <w:sz w:val="20"/>
                <w:szCs w:val="20"/>
              </w:rPr>
              <w:t>i</w:t>
            </w:r>
            <w:r w:rsidR="00B253D8">
              <w:rPr>
                <w:sz w:val="20"/>
                <w:szCs w:val="20"/>
              </w:rPr>
              <w:t>e</w:t>
            </w:r>
            <w:r w:rsidR="0036168E">
              <w:rPr>
                <w:sz w:val="20"/>
                <w:szCs w:val="20"/>
              </w:rPr>
              <w:t>rat</w:t>
            </w:r>
            <w:r w:rsidR="00CF106F">
              <w:rPr>
                <w:sz w:val="20"/>
                <w:szCs w:val="20"/>
              </w:rPr>
              <w:t>.</w:t>
            </w:r>
            <w:r w:rsidR="00B253D8">
              <w:rPr>
                <w:sz w:val="20"/>
                <w:szCs w:val="20"/>
              </w:rPr>
              <w:t xml:space="preserve"> </w:t>
            </w:r>
            <w:r w:rsidR="00CA7EBC">
              <w:rPr>
                <w:sz w:val="20"/>
                <w:szCs w:val="20"/>
              </w:rPr>
              <w:t>Ide najmä</w:t>
            </w:r>
            <w:r w:rsidR="00B253D8">
              <w:rPr>
                <w:sz w:val="20"/>
                <w:szCs w:val="20"/>
              </w:rPr>
              <w:t xml:space="preserve"> o rozpočtové organizácie, príspevkové organizácie a štátne podniky v zriaďovateľskej pôsobnosti </w:t>
            </w:r>
            <w:r w:rsidR="00D30521">
              <w:rPr>
                <w:sz w:val="20"/>
                <w:szCs w:val="20"/>
              </w:rPr>
              <w:t>ministerstva</w:t>
            </w:r>
            <w:r w:rsidR="00A82FC5">
              <w:rPr>
                <w:sz w:val="20"/>
                <w:szCs w:val="20"/>
              </w:rPr>
              <w:t xml:space="preserve"> </w:t>
            </w:r>
            <w:r w:rsidR="00CA7EBC">
              <w:rPr>
                <w:sz w:val="20"/>
                <w:szCs w:val="20"/>
              </w:rPr>
              <w:t xml:space="preserve">pôdohospodárstva </w:t>
            </w:r>
            <w:r w:rsidR="00A82FC5">
              <w:rPr>
                <w:sz w:val="20"/>
                <w:szCs w:val="20"/>
              </w:rPr>
              <w:t>(</w:t>
            </w:r>
            <w:r w:rsidR="00CA7EBC">
              <w:rPr>
                <w:sz w:val="20"/>
                <w:szCs w:val="20"/>
              </w:rPr>
              <w:t>v súčasnosti majú postavenie poverenej plemenárskej organizácie</w:t>
            </w:r>
            <w:r w:rsidR="00F952F0">
              <w:rPr>
                <w:sz w:val="20"/>
                <w:szCs w:val="20"/>
              </w:rPr>
              <w:t>,</w:t>
            </w:r>
            <w:r w:rsidR="00A82FC5">
              <w:rPr>
                <w:sz w:val="20"/>
                <w:szCs w:val="20"/>
              </w:rPr>
              <w:t xml:space="preserve"> napr.</w:t>
            </w:r>
            <w:r w:rsidR="00611184">
              <w:rPr>
                <w:sz w:val="20"/>
                <w:szCs w:val="20"/>
              </w:rPr>
              <w:t xml:space="preserve"> Plemenárske služby SR, š.p., Národný žrebčín Topoľčianky, š.p., </w:t>
            </w:r>
            <w:proofErr w:type="spellStart"/>
            <w:r w:rsidR="00611184">
              <w:rPr>
                <w:sz w:val="20"/>
                <w:szCs w:val="20"/>
              </w:rPr>
              <w:t>Závodisko</w:t>
            </w:r>
            <w:proofErr w:type="spellEnd"/>
            <w:r w:rsidR="00611184">
              <w:rPr>
                <w:sz w:val="20"/>
                <w:szCs w:val="20"/>
              </w:rPr>
              <w:t>, š.p.</w:t>
            </w:r>
            <w:r w:rsidR="007C0970">
              <w:rPr>
                <w:sz w:val="20"/>
                <w:szCs w:val="20"/>
              </w:rPr>
              <w:t>,</w:t>
            </w:r>
            <w:r w:rsidR="00611184">
              <w:rPr>
                <w:sz w:val="20"/>
                <w:szCs w:val="20"/>
              </w:rPr>
              <w:t xml:space="preserve"> Ústav včelárstva Liptovský Hrádok</w:t>
            </w:r>
            <w:r w:rsidR="00AD3A73">
              <w:rPr>
                <w:sz w:val="20"/>
                <w:szCs w:val="20"/>
              </w:rPr>
              <w:t xml:space="preserve"> patriaci pod Národné poľnohospodárske a potravinárske centrum)</w:t>
            </w:r>
            <w:r w:rsidR="00BE35B9">
              <w:rPr>
                <w:sz w:val="20"/>
                <w:szCs w:val="20"/>
              </w:rPr>
              <w:t>,</w:t>
            </w:r>
          </w:p>
          <w:p w:rsidR="00B253D8" w:rsidRDefault="00D30521" w:rsidP="00DC323F">
            <w:pPr>
              <w:pStyle w:val="Odsekzoznamu"/>
              <w:numPr>
                <w:ilvl w:val="0"/>
                <w:numId w:val="1"/>
              </w:numPr>
              <w:ind w:left="28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inseminačné stanice, </w:t>
            </w:r>
            <w:r w:rsidR="009F3CE6">
              <w:rPr>
                <w:sz w:val="20"/>
                <w:szCs w:val="20"/>
              </w:rPr>
              <w:t xml:space="preserve">distribútori spermy, </w:t>
            </w:r>
            <w:r>
              <w:rPr>
                <w:sz w:val="20"/>
                <w:szCs w:val="20"/>
              </w:rPr>
              <w:t>tímy na odber a prenos embryí</w:t>
            </w:r>
            <w:r w:rsidR="009F3CE6">
              <w:rPr>
                <w:sz w:val="20"/>
                <w:szCs w:val="20"/>
              </w:rPr>
              <w:t xml:space="preserve"> – právnické osoby, resp. fyzické osoby podnikatelia, oprávnené na obchodovanie so zárodočnými produktmi, u ktorých sa </w:t>
            </w:r>
            <w:r w:rsidR="00440FB8">
              <w:rPr>
                <w:sz w:val="20"/>
                <w:szCs w:val="20"/>
              </w:rPr>
              <w:t xml:space="preserve">na uvedený účel </w:t>
            </w:r>
            <w:r w:rsidR="009F3CE6">
              <w:rPr>
                <w:sz w:val="20"/>
                <w:szCs w:val="20"/>
              </w:rPr>
              <w:t xml:space="preserve">okrem schválenia Štátnou veterinárnou a potravinovou správou Slovenskej republiky vyžaduje </w:t>
            </w:r>
            <w:r w:rsidR="00440FB8">
              <w:rPr>
                <w:sz w:val="20"/>
                <w:szCs w:val="20"/>
              </w:rPr>
              <w:t>udelenie povolenia</w:t>
            </w:r>
            <w:r w:rsidR="009F3CE6">
              <w:rPr>
                <w:sz w:val="20"/>
                <w:szCs w:val="20"/>
              </w:rPr>
              <w:t xml:space="preserve"> ministerstva pôdohospodárstva na odber, spracovanie, produkciu a/alebo skladovanie zárodočných produktov</w:t>
            </w:r>
            <w:r w:rsidR="00B253D8">
              <w:rPr>
                <w:sz w:val="20"/>
                <w:szCs w:val="20"/>
              </w:rPr>
              <w:t xml:space="preserve"> </w:t>
            </w:r>
          </w:p>
          <w:p w:rsidR="009F3CE6" w:rsidRPr="0036168E" w:rsidRDefault="009F3CE6" w:rsidP="00DC323F">
            <w:pPr>
              <w:pStyle w:val="Odsekzoznamu"/>
              <w:numPr>
                <w:ilvl w:val="0"/>
                <w:numId w:val="1"/>
              </w:numPr>
              <w:ind w:left="28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odborne spôsobilé osoby </w:t>
            </w:r>
            <w:r w:rsidR="00440FB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fyzické osoby vykonávajúce úlohy starostlivosti o rozvoj šľachtenia a plemenitby zvierat</w:t>
            </w:r>
            <w:r w:rsidR="00440FB8">
              <w:rPr>
                <w:sz w:val="20"/>
                <w:szCs w:val="20"/>
              </w:rPr>
              <w:t xml:space="preserve"> samostatne alebo v pozícii zamestnancov</w:t>
            </w:r>
            <w:r>
              <w:rPr>
                <w:sz w:val="20"/>
                <w:szCs w:val="20"/>
              </w:rPr>
              <w:t xml:space="preserve">, ide napríklad o zamestnancov chovateľských organizácií, </w:t>
            </w:r>
            <w:r w:rsidR="00440FB8">
              <w:rPr>
                <w:sz w:val="20"/>
                <w:szCs w:val="20"/>
              </w:rPr>
              <w:t xml:space="preserve">poverených </w:t>
            </w:r>
            <w:r>
              <w:rPr>
                <w:sz w:val="20"/>
                <w:szCs w:val="20"/>
              </w:rPr>
              <w:t xml:space="preserve">plemenárskych organizácií, </w:t>
            </w:r>
            <w:r w:rsidR="00440FB8">
              <w:rPr>
                <w:sz w:val="20"/>
                <w:szCs w:val="20"/>
              </w:rPr>
              <w:t xml:space="preserve">inseminačných staníc, hodnotiteľov zvierat, </w:t>
            </w:r>
            <w:r w:rsidR="00F952F0">
              <w:rPr>
                <w:sz w:val="20"/>
                <w:szCs w:val="20"/>
              </w:rPr>
              <w:t xml:space="preserve">pracovníkov vykonávajúcich kontrolu úžitkovosti zvierat, </w:t>
            </w:r>
            <w:r>
              <w:rPr>
                <w:sz w:val="20"/>
                <w:szCs w:val="20"/>
              </w:rPr>
              <w:t>inseminačných technikov a pod.</w:t>
            </w:r>
          </w:p>
          <w:p w:rsidR="00057B9D" w:rsidRPr="000E766F" w:rsidRDefault="00057B9D" w:rsidP="00DC323F">
            <w:pPr>
              <w:jc w:val="both"/>
              <w:rPr>
                <w:sz w:val="20"/>
                <w:szCs w:val="20"/>
              </w:rPr>
            </w:pPr>
          </w:p>
          <w:p w:rsidR="00057B9D" w:rsidRDefault="0044191C" w:rsidP="00DC32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Chovatelia: </w:t>
            </w:r>
            <w:r w:rsidR="00C7560F">
              <w:rPr>
                <w:sz w:val="20"/>
                <w:szCs w:val="20"/>
              </w:rPr>
              <w:t>odhadom</w:t>
            </w:r>
            <w:r w:rsidRPr="00C7560F">
              <w:rPr>
                <w:sz w:val="20"/>
                <w:szCs w:val="20"/>
              </w:rPr>
              <w:t xml:space="preserve"> 30 tis. fyzických osôb, </w:t>
            </w:r>
            <w:r w:rsidR="00C7560F">
              <w:rPr>
                <w:sz w:val="20"/>
                <w:szCs w:val="20"/>
              </w:rPr>
              <w:t xml:space="preserve">cca </w:t>
            </w:r>
            <w:r w:rsidRPr="00C7560F">
              <w:rPr>
                <w:sz w:val="20"/>
                <w:szCs w:val="20"/>
              </w:rPr>
              <w:t>9 tis. spoločností</w:t>
            </w:r>
            <w:r w:rsidR="00C7560F">
              <w:rPr>
                <w:sz w:val="20"/>
                <w:szCs w:val="20"/>
              </w:rPr>
              <w:t>, pokiaľ vychádzame z registrovaných chovov v pôsobnosti Štátnej veterinárnej a potravinovej správy SR.</w:t>
            </w:r>
          </w:p>
          <w:p w:rsidR="00F952F0" w:rsidRDefault="00CF7B71" w:rsidP="00DC323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Chovateľské organizácie, podniky, združenia</w:t>
            </w:r>
            <w:r w:rsidR="00CF106F" w:rsidRPr="00CF106F">
              <w:rPr>
                <w:i/>
                <w:sz w:val="20"/>
                <w:szCs w:val="20"/>
              </w:rPr>
              <w:t>:</w:t>
            </w:r>
            <w:r w:rsidR="00CF106F" w:rsidRPr="00CF106F">
              <w:rPr>
                <w:sz w:val="20"/>
                <w:szCs w:val="20"/>
              </w:rPr>
              <w:t xml:space="preserve"> V SR je k dnešnému dňu uznaných 9 chovateľských organizácií</w:t>
            </w:r>
            <w:r>
              <w:rPr>
                <w:sz w:val="20"/>
                <w:szCs w:val="20"/>
              </w:rPr>
              <w:t xml:space="preserve"> a podnikov a 3 organizácie poverené ved</w:t>
            </w:r>
            <w:r w:rsidR="0077323D">
              <w:rPr>
                <w:sz w:val="20"/>
                <w:szCs w:val="20"/>
              </w:rPr>
              <w:t xml:space="preserve">ením plemenných kníh </w:t>
            </w:r>
            <w:proofErr w:type="spellStart"/>
            <w:r w:rsidR="0077323D">
              <w:rPr>
                <w:sz w:val="20"/>
                <w:szCs w:val="20"/>
              </w:rPr>
              <w:t>koňovitých</w:t>
            </w:r>
            <w:proofErr w:type="spellEnd"/>
            <w:r w:rsidR="00CF106F" w:rsidRPr="00CF106F">
              <w:rPr>
                <w:sz w:val="20"/>
                <w:szCs w:val="20"/>
              </w:rPr>
              <w:t xml:space="preserve">, ktoré patria pod pôsobnosť </w:t>
            </w:r>
            <w:r>
              <w:rPr>
                <w:sz w:val="20"/>
                <w:szCs w:val="20"/>
              </w:rPr>
              <w:t>harmonizovaného práva EÚ</w:t>
            </w:r>
            <w:r w:rsidR="00CF106F" w:rsidRPr="00CF106F">
              <w:rPr>
                <w:sz w:val="20"/>
                <w:szCs w:val="20"/>
              </w:rPr>
              <w:t>. Ich zoznam možno nájsť tu:</w:t>
            </w:r>
          </w:p>
          <w:p w:rsidR="00CA7EBC" w:rsidRDefault="00CF106F" w:rsidP="00DC323F">
            <w:pPr>
              <w:jc w:val="both"/>
              <w:rPr>
                <w:rStyle w:val="Hypertextovprepojenie"/>
                <w:sz w:val="20"/>
                <w:szCs w:val="20"/>
              </w:rPr>
            </w:pPr>
            <w:r w:rsidRPr="00CF106F">
              <w:rPr>
                <w:sz w:val="20"/>
                <w:szCs w:val="20"/>
              </w:rPr>
              <w:t xml:space="preserve"> </w:t>
            </w:r>
            <w:hyperlink r:id="rId9" w:history="1">
              <w:r w:rsidRPr="00FE370E">
                <w:rPr>
                  <w:rStyle w:val="Hypertextovprepojenie"/>
                  <w:sz w:val="20"/>
                  <w:szCs w:val="20"/>
                </w:rPr>
                <w:t>http://www.mpsr.sk/sk/index.php?navID=2&amp;navID2=2&amp;sID=26&amp;sID2=28&amp;id=2068</w:t>
              </w:r>
            </w:hyperlink>
            <w:r w:rsidR="00FE370E" w:rsidRPr="00FE370E">
              <w:rPr>
                <w:rStyle w:val="Hypertextovprepojenie"/>
                <w:sz w:val="20"/>
                <w:szCs w:val="20"/>
              </w:rPr>
              <w:t xml:space="preserve"> </w:t>
            </w:r>
          </w:p>
          <w:p w:rsidR="0044191C" w:rsidRDefault="00FE370E" w:rsidP="00DC323F">
            <w:pPr>
              <w:jc w:val="both"/>
              <w:rPr>
                <w:sz w:val="20"/>
                <w:szCs w:val="20"/>
              </w:rPr>
            </w:pPr>
            <w:r w:rsidRPr="00FE370E">
              <w:rPr>
                <w:sz w:val="20"/>
                <w:szCs w:val="20"/>
              </w:rPr>
              <w:t>Pôsobnosť zákona sa však týka aj ďalších organizácií uznaných pre hydinu, včely</w:t>
            </w:r>
            <w:r w:rsidR="00CF7B71">
              <w:rPr>
                <w:sz w:val="20"/>
                <w:szCs w:val="20"/>
              </w:rPr>
              <w:t xml:space="preserve">, </w:t>
            </w:r>
            <w:r w:rsidR="00F952F0">
              <w:rPr>
                <w:sz w:val="20"/>
                <w:szCs w:val="20"/>
              </w:rPr>
              <w:t xml:space="preserve">bežce, </w:t>
            </w:r>
            <w:r w:rsidR="00CA7EBC">
              <w:rPr>
                <w:sz w:val="20"/>
                <w:szCs w:val="20"/>
              </w:rPr>
              <w:t xml:space="preserve">kožušinové zvieratá, </w:t>
            </w:r>
            <w:r w:rsidR="00CF7B71">
              <w:rPr>
                <w:sz w:val="20"/>
                <w:szCs w:val="20"/>
              </w:rPr>
              <w:t>zver</w:t>
            </w:r>
            <w:r w:rsidR="00C7560F">
              <w:rPr>
                <w:sz w:val="20"/>
                <w:szCs w:val="20"/>
              </w:rPr>
              <w:t xml:space="preserve"> z farmového chovu</w:t>
            </w:r>
            <w:r w:rsidRPr="00FE37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 súčasnosti nemožno stanoviť </w:t>
            </w:r>
            <w:r w:rsidR="00CA7EBC">
              <w:rPr>
                <w:sz w:val="20"/>
                <w:szCs w:val="20"/>
              </w:rPr>
              <w:t xml:space="preserve">ich </w:t>
            </w:r>
            <w:r>
              <w:rPr>
                <w:sz w:val="20"/>
                <w:szCs w:val="20"/>
              </w:rPr>
              <w:t>presný počet, pretože je predpoklad, že po nadobudnutí účinnosti zákona vzniknú nové organizácie, resp. existujúce uznané organ</w:t>
            </w:r>
            <w:r w:rsidR="004B6F34">
              <w:rPr>
                <w:sz w:val="20"/>
                <w:szCs w:val="20"/>
              </w:rPr>
              <w:t>izácie môžu zanikn</w:t>
            </w:r>
            <w:r>
              <w:rPr>
                <w:sz w:val="20"/>
                <w:szCs w:val="20"/>
              </w:rPr>
              <w:t>úť.</w:t>
            </w:r>
          </w:p>
          <w:p w:rsidR="00E22D38" w:rsidRDefault="001F0653" w:rsidP="00DC323F">
            <w:pPr>
              <w:jc w:val="both"/>
              <w:rPr>
                <w:sz w:val="20"/>
                <w:szCs w:val="20"/>
              </w:rPr>
            </w:pPr>
            <w:r w:rsidRPr="001F0653">
              <w:rPr>
                <w:sz w:val="20"/>
                <w:szCs w:val="20"/>
              </w:rPr>
              <w:t xml:space="preserve">V SR sú schválené </w:t>
            </w:r>
            <w:r w:rsidR="002E71EF">
              <w:rPr>
                <w:sz w:val="20"/>
                <w:szCs w:val="20"/>
              </w:rPr>
              <w:t xml:space="preserve">2 inseminačné stanice býkov, </w:t>
            </w:r>
            <w:r w:rsidR="007F6CE2">
              <w:rPr>
                <w:sz w:val="20"/>
                <w:szCs w:val="20"/>
              </w:rPr>
              <w:t>18</w:t>
            </w:r>
            <w:r w:rsidRPr="001F0653">
              <w:rPr>
                <w:sz w:val="20"/>
                <w:szCs w:val="20"/>
              </w:rPr>
              <w:t xml:space="preserve"> inseminačných staníc kancov</w:t>
            </w:r>
            <w:r w:rsidR="00F952F0">
              <w:rPr>
                <w:sz w:val="20"/>
                <w:szCs w:val="20"/>
              </w:rPr>
              <w:t xml:space="preserve"> a 1 inseminačná stanica</w:t>
            </w:r>
            <w:r w:rsidR="007F6CE2">
              <w:rPr>
                <w:sz w:val="20"/>
                <w:szCs w:val="20"/>
              </w:rPr>
              <w:t xml:space="preserve"> pre </w:t>
            </w:r>
            <w:r w:rsidR="007F6CE2">
              <w:rPr>
                <w:sz w:val="20"/>
                <w:szCs w:val="20"/>
              </w:rPr>
              <w:lastRenderedPageBreak/>
              <w:t>odber spermy oviec a kôz</w:t>
            </w:r>
            <w:r w:rsidRPr="001F0653">
              <w:rPr>
                <w:sz w:val="20"/>
                <w:szCs w:val="20"/>
              </w:rPr>
              <w:t xml:space="preserve">. </w:t>
            </w:r>
            <w:r w:rsidR="00113A31">
              <w:rPr>
                <w:sz w:val="20"/>
                <w:szCs w:val="20"/>
              </w:rPr>
              <w:t xml:space="preserve">Na účel odberu a prenosu embryí sú </w:t>
            </w:r>
            <w:r w:rsidR="00316E63">
              <w:rPr>
                <w:sz w:val="20"/>
                <w:szCs w:val="20"/>
              </w:rPr>
              <w:t xml:space="preserve">v SR </w:t>
            </w:r>
            <w:r w:rsidR="00113A31">
              <w:rPr>
                <w:sz w:val="20"/>
                <w:szCs w:val="20"/>
              </w:rPr>
              <w:t>schválené dva tímy. Zoznam týchto a ďalších zariadení schválených vo veterinárnej oblasti možno nájsť tu:</w:t>
            </w:r>
          </w:p>
          <w:p w:rsidR="001F0653" w:rsidRPr="001F0653" w:rsidRDefault="00113A31" w:rsidP="00DC323F">
            <w:pPr>
              <w:jc w:val="both"/>
              <w:rPr>
                <w:rStyle w:val="Hypertextovprepojeni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13A31">
              <w:rPr>
                <w:sz w:val="20"/>
                <w:szCs w:val="20"/>
              </w:rPr>
              <w:t>https://www.svps.sk/zvierata/zoznamy.asp?LANG=SK</w:t>
            </w:r>
            <w:r>
              <w:rPr>
                <w:sz w:val="20"/>
                <w:szCs w:val="20"/>
              </w:rPr>
              <w:t xml:space="preserve"> </w:t>
            </w:r>
            <w:r w:rsidR="0077323D">
              <w:rPr>
                <w:sz w:val="20"/>
                <w:szCs w:val="20"/>
              </w:rPr>
              <w:t xml:space="preserve">  </w:t>
            </w:r>
          </w:p>
          <w:p w:rsidR="00CF106F" w:rsidRPr="000E766F" w:rsidRDefault="00CF106F" w:rsidP="00FC31E2">
            <w:pPr>
              <w:rPr>
                <w:i/>
                <w:sz w:val="20"/>
                <w:szCs w:val="20"/>
              </w:rPr>
            </w:pPr>
          </w:p>
        </w:tc>
      </w:tr>
      <w:tr w:rsidR="00057B9D" w:rsidRPr="000E766F" w:rsidTr="00FC31E2">
        <w:trPr>
          <w:trHeight w:val="382"/>
        </w:trPr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</w:p>
        </w:tc>
      </w:tr>
      <w:tr w:rsidR="00057B9D" w:rsidRPr="000E766F" w:rsidTr="00FC31E2">
        <w:trPr>
          <w:trHeight w:val="339"/>
        </w:trPr>
        <w:tc>
          <w:tcPr>
            <w:tcW w:w="9212" w:type="dxa"/>
            <w:shd w:val="clear" w:color="auto" w:fill="D9D9D9"/>
          </w:tcPr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b/>
                <w:sz w:val="20"/>
                <w:szCs w:val="20"/>
              </w:rPr>
              <w:t>3.2 Vyhodnotenie konzultácií</w:t>
            </w:r>
          </w:p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sz w:val="20"/>
                <w:szCs w:val="20"/>
              </w:rPr>
              <w:t xml:space="preserve">       - </w:t>
            </w:r>
            <w:r w:rsidRPr="000E766F">
              <w:rPr>
                <w:b/>
                <w:sz w:val="20"/>
                <w:szCs w:val="20"/>
              </w:rPr>
              <w:t>z toho MSP</w:t>
            </w:r>
          </w:p>
        </w:tc>
      </w:tr>
      <w:tr w:rsidR="00057B9D" w:rsidRPr="000E766F" w:rsidTr="00FC31E2">
        <w:trPr>
          <w:trHeight w:val="557"/>
        </w:trPr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Uveďte, akou formou (verejné alebo cielené konzultácie a prečo) a s kým bol návrh konzultovaný.</w:t>
            </w:r>
          </w:p>
          <w:p w:rsidR="00057B9D" w:rsidRPr="000E766F" w:rsidRDefault="00611184" w:rsidP="00FC31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Konzultácie sa vykonávali so zástupcami chovateľov, plemenárskych organizácií, plemenárskej inšpekcie a vedecko-výskumnej sféry už počas rokovaní na úrovni pracovnej skupiny Rady </w:t>
            </w:r>
            <w:r w:rsidR="006F549C">
              <w:rPr>
                <w:sz w:val="20"/>
                <w:szCs w:val="20"/>
              </w:rPr>
              <w:t xml:space="preserve">(v rokoch 2014 a 2015) </w:t>
            </w:r>
            <w:r>
              <w:rPr>
                <w:sz w:val="20"/>
                <w:szCs w:val="20"/>
              </w:rPr>
              <w:t xml:space="preserve">počas prípravy </w:t>
            </w:r>
            <w:r w:rsidR="001F0653">
              <w:rPr>
                <w:sz w:val="20"/>
                <w:szCs w:val="20"/>
              </w:rPr>
              <w:t xml:space="preserve">znenia </w:t>
            </w:r>
            <w:r>
              <w:rPr>
                <w:sz w:val="20"/>
                <w:szCs w:val="20"/>
              </w:rPr>
              <w:t>nariadenia (EÚ) 2016/1012, ktoré sa má novým zákonom implementovať</w:t>
            </w:r>
            <w:r w:rsidR="006F549C">
              <w:rPr>
                <w:sz w:val="20"/>
                <w:szCs w:val="20"/>
              </w:rPr>
              <w:t>.</w:t>
            </w:r>
            <w:r w:rsidR="00930F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Pozície SR v rámci uvedených rokovaní zohľadňovali stanoviská uvedených dotknutých subjektov získané na </w:t>
            </w:r>
            <w:r w:rsidR="00930F73">
              <w:rPr>
                <w:sz w:val="20"/>
                <w:szCs w:val="20"/>
              </w:rPr>
              <w:t xml:space="preserve">niekoľkých </w:t>
            </w:r>
            <w:r>
              <w:rPr>
                <w:sz w:val="20"/>
                <w:szCs w:val="20"/>
              </w:rPr>
              <w:t xml:space="preserve">stretnutiach </w:t>
            </w:r>
            <w:r w:rsidR="00347CF2">
              <w:rPr>
                <w:sz w:val="20"/>
                <w:szCs w:val="20"/>
              </w:rPr>
              <w:t xml:space="preserve">organizovaných </w:t>
            </w:r>
            <w:r w:rsidR="006568DF">
              <w:rPr>
                <w:sz w:val="20"/>
                <w:szCs w:val="20"/>
              </w:rPr>
              <w:t>ministerstvom pôdohospodárstva</w:t>
            </w:r>
            <w:r w:rsidR="00347CF2">
              <w:rPr>
                <w:sz w:val="20"/>
                <w:szCs w:val="20"/>
              </w:rPr>
              <w:t>, ako aj písomnou formou.</w:t>
            </w:r>
          </w:p>
          <w:p w:rsidR="00057B9D" w:rsidRPr="005248C9" w:rsidRDefault="006F549C" w:rsidP="00524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Rovnako formou </w:t>
            </w:r>
            <w:r w:rsidR="004371AA">
              <w:rPr>
                <w:sz w:val="20"/>
                <w:szCs w:val="20"/>
              </w:rPr>
              <w:t xml:space="preserve">viacerých </w:t>
            </w:r>
            <w:r>
              <w:rPr>
                <w:sz w:val="20"/>
                <w:szCs w:val="20"/>
              </w:rPr>
              <w:t>stretnutí a písomnej komunikácie sa uskutočnili aj konzultácie k pripravovanému návrhu zákona</w:t>
            </w:r>
            <w:r w:rsidR="004371AA">
              <w:rPr>
                <w:sz w:val="20"/>
                <w:szCs w:val="20"/>
              </w:rPr>
              <w:t xml:space="preserve"> s uvedenými subjektmi patria</w:t>
            </w:r>
            <w:r w:rsidR="00BB1E11">
              <w:rPr>
                <w:sz w:val="20"/>
                <w:szCs w:val="20"/>
              </w:rPr>
              <w:t>cimi</w:t>
            </w:r>
            <w:r w:rsidR="004371AA">
              <w:rPr>
                <w:sz w:val="20"/>
                <w:szCs w:val="20"/>
              </w:rPr>
              <w:t xml:space="preserve"> pod pôsobnosť </w:t>
            </w:r>
            <w:r w:rsidR="00BB1E11">
              <w:rPr>
                <w:sz w:val="20"/>
                <w:szCs w:val="20"/>
              </w:rPr>
              <w:t>súčasných platných pravidiel v oblasti šľachtenia a plemenitby zvierat.</w:t>
            </w:r>
          </w:p>
          <w:p w:rsidR="00057B9D" w:rsidRPr="005248C9" w:rsidRDefault="00057B9D" w:rsidP="00FC31E2">
            <w:pPr>
              <w:rPr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 xml:space="preserve">Ako dlho trvali konzultácie?  </w:t>
            </w:r>
            <w:r w:rsidR="00930F73">
              <w:rPr>
                <w:sz w:val="20"/>
                <w:szCs w:val="20"/>
              </w:rPr>
              <w:t xml:space="preserve">Predbežná informácia a podklad pre konzultácie boli uverejnené na účel zasielania pripomienok od </w:t>
            </w:r>
            <w:r w:rsidR="00930F73" w:rsidRPr="00930F73">
              <w:rPr>
                <w:sz w:val="20"/>
                <w:szCs w:val="20"/>
                <w:lang w:eastAsia="en-US"/>
              </w:rPr>
              <w:t>16. 1. do 16. 2. 2018</w:t>
            </w:r>
            <w:r w:rsidR="00930F73" w:rsidRPr="00930F73">
              <w:rPr>
                <w:sz w:val="20"/>
                <w:szCs w:val="20"/>
              </w:rPr>
              <w:t xml:space="preserve"> na webovej stránke MPRV SR</w:t>
            </w:r>
            <w:r w:rsidR="00343506">
              <w:rPr>
                <w:sz w:val="20"/>
                <w:szCs w:val="20"/>
              </w:rPr>
              <w:t xml:space="preserve"> a od 16. do </w:t>
            </w:r>
            <w:r w:rsidR="00BB1E11">
              <w:rPr>
                <w:sz w:val="20"/>
                <w:szCs w:val="20"/>
              </w:rPr>
              <w:t>29. 1. 2018 na právnom a informačnom portáli Slov-Lex ako PI/2018/15.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 xml:space="preserve">Uveďte hlavné body konzultácií a výsledky konzultácií. </w:t>
            </w:r>
          </w:p>
          <w:p w:rsidR="00057B9D" w:rsidRPr="000E766F" w:rsidRDefault="00AE65FC" w:rsidP="00FC31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</w:t>
            </w:r>
            <w:r w:rsidR="00AD3A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ými bodmi konzultácií</w:t>
            </w:r>
            <w:r w:rsidR="00057B9D" w:rsidRPr="000E766F">
              <w:rPr>
                <w:sz w:val="20"/>
                <w:szCs w:val="20"/>
              </w:rPr>
              <w:t xml:space="preserve"> bolo bližšie zadefinovanie pojmov (napr. </w:t>
            </w:r>
            <w:r w:rsidR="001A26E5">
              <w:rPr>
                <w:sz w:val="20"/>
                <w:szCs w:val="20"/>
              </w:rPr>
              <w:t>plemenitba, chovateľ</w:t>
            </w:r>
            <w:r w:rsidR="00057B9D" w:rsidRPr="000E766F">
              <w:rPr>
                <w:sz w:val="20"/>
                <w:szCs w:val="20"/>
              </w:rPr>
              <w:t xml:space="preserve">, </w:t>
            </w:r>
            <w:r w:rsidR="001A26E5">
              <w:rPr>
                <w:sz w:val="20"/>
                <w:szCs w:val="20"/>
              </w:rPr>
              <w:t>chránený chov</w:t>
            </w:r>
            <w:r w:rsidR="00057B9D" w:rsidRPr="000E766F">
              <w:rPr>
                <w:sz w:val="20"/>
                <w:szCs w:val="20"/>
              </w:rPr>
              <w:t xml:space="preserve"> a pod.), </w:t>
            </w:r>
            <w:r>
              <w:rPr>
                <w:sz w:val="20"/>
                <w:szCs w:val="20"/>
              </w:rPr>
              <w:t>ustanovenie výnimiek pre vydávanie zootechnických osvedčení</w:t>
            </w:r>
            <w:r w:rsidR="00512BBA">
              <w:rPr>
                <w:sz w:val="20"/>
                <w:szCs w:val="20"/>
              </w:rPr>
              <w:t xml:space="preserve"> na spermu</w:t>
            </w:r>
            <w:r>
              <w:rPr>
                <w:sz w:val="20"/>
                <w:szCs w:val="20"/>
              </w:rPr>
              <w:t>, potreba zachovan</w:t>
            </w:r>
            <w:r w:rsidR="006568DF">
              <w:rPr>
                <w:sz w:val="20"/>
                <w:szCs w:val="20"/>
              </w:rPr>
              <w:t>ia c</w:t>
            </w:r>
            <w:r>
              <w:rPr>
                <w:sz w:val="20"/>
                <w:szCs w:val="20"/>
              </w:rPr>
              <w:t xml:space="preserve">entrálneho registra plemenárskych údajov, </w:t>
            </w:r>
            <w:r w:rsidR="006F549C">
              <w:rPr>
                <w:sz w:val="20"/>
                <w:szCs w:val="20"/>
              </w:rPr>
              <w:t>možnosť sprísnenia pokút za použitie</w:t>
            </w:r>
            <w:r w:rsidR="00BB1E11">
              <w:rPr>
                <w:sz w:val="20"/>
                <w:szCs w:val="20"/>
              </w:rPr>
              <w:t xml:space="preserve"> plemenníkov bez osvedčenia na plemenitbu, právo uznaných chovateľských organizácií vyjadrovať sa k prípadnému uznaniu ďalších chovateľských organizácií a k schvaľovaniu šľachtiteľských programov pre to isté plemeno a k vykonávaniu cezhraničných aktivít na území SR chovateľskými organizáciami </w:t>
            </w:r>
            <w:r w:rsidR="00AD3A73">
              <w:rPr>
                <w:sz w:val="20"/>
                <w:szCs w:val="20"/>
              </w:rPr>
              <w:t xml:space="preserve">uznanými </w:t>
            </w:r>
            <w:r w:rsidR="00BB1E11">
              <w:rPr>
                <w:sz w:val="20"/>
                <w:szCs w:val="20"/>
              </w:rPr>
              <w:t>v iných členských štátoch,</w:t>
            </w:r>
            <w:r w:rsidR="00A0758F">
              <w:rPr>
                <w:sz w:val="20"/>
                <w:szCs w:val="20"/>
              </w:rPr>
              <w:t xml:space="preserve"> podmienky odbornej spôsobilosti osôb,</w:t>
            </w:r>
            <w:r w:rsidR="00BB1E11">
              <w:rPr>
                <w:sz w:val="20"/>
                <w:szCs w:val="20"/>
              </w:rPr>
              <w:t xml:space="preserve"> </w:t>
            </w:r>
            <w:r w:rsidR="00287ACD">
              <w:rPr>
                <w:sz w:val="20"/>
                <w:szCs w:val="20"/>
              </w:rPr>
              <w:t xml:space="preserve">otázka obchodovania so zárodočnými produktmi, </w:t>
            </w:r>
            <w:r>
              <w:rPr>
                <w:sz w:val="20"/>
                <w:szCs w:val="20"/>
              </w:rPr>
              <w:t>potreba vydania vykonávacích predpisov a ich obsah</w:t>
            </w:r>
            <w:r w:rsidR="00A0758F">
              <w:rPr>
                <w:sz w:val="20"/>
                <w:szCs w:val="20"/>
              </w:rPr>
              <w:t xml:space="preserve"> a i</w:t>
            </w:r>
            <w:r w:rsidR="00343506">
              <w:rPr>
                <w:sz w:val="20"/>
                <w:szCs w:val="20"/>
              </w:rPr>
              <w:t xml:space="preserve">. Osobitne sa </w:t>
            </w:r>
            <w:r w:rsidR="00A0758F">
              <w:rPr>
                <w:sz w:val="20"/>
                <w:szCs w:val="20"/>
              </w:rPr>
              <w:t>vykonali konzultácie</w:t>
            </w:r>
            <w:r w:rsidR="006F549C">
              <w:rPr>
                <w:sz w:val="20"/>
                <w:szCs w:val="20"/>
              </w:rPr>
              <w:t xml:space="preserve"> so zástupcami chovateľov hydiny, včiel, zveri z farmového chovu a</w:t>
            </w:r>
            <w:r w:rsidR="00A0758F">
              <w:rPr>
                <w:sz w:val="20"/>
                <w:szCs w:val="20"/>
              </w:rPr>
              <w:t xml:space="preserve"> zástupcami </w:t>
            </w:r>
            <w:r w:rsidR="006F549C">
              <w:rPr>
                <w:sz w:val="20"/>
                <w:szCs w:val="20"/>
              </w:rPr>
              <w:t xml:space="preserve">chovateľov rýb vzhľadom na špecifiká </w:t>
            </w:r>
            <w:r w:rsidR="00A0758F">
              <w:rPr>
                <w:sz w:val="20"/>
                <w:szCs w:val="20"/>
              </w:rPr>
              <w:t>šľachtenia</w:t>
            </w:r>
            <w:r w:rsidR="006F549C">
              <w:rPr>
                <w:sz w:val="20"/>
                <w:szCs w:val="20"/>
              </w:rPr>
              <w:t xml:space="preserve"> a </w:t>
            </w:r>
            <w:r w:rsidR="00A0758F">
              <w:rPr>
                <w:sz w:val="20"/>
                <w:szCs w:val="20"/>
              </w:rPr>
              <w:t>plemenitby</w:t>
            </w:r>
            <w:r w:rsidR="006F549C">
              <w:rPr>
                <w:sz w:val="20"/>
                <w:szCs w:val="20"/>
              </w:rPr>
              <w:t xml:space="preserve"> týchto zvierat a zveri.</w:t>
            </w:r>
          </w:p>
          <w:p w:rsidR="00057B9D" w:rsidRPr="000E766F" w:rsidRDefault="00057B9D" w:rsidP="00FC31E2">
            <w:pPr>
              <w:jc w:val="both"/>
              <w:rPr>
                <w:sz w:val="20"/>
                <w:szCs w:val="20"/>
              </w:rPr>
            </w:pPr>
            <w:r w:rsidRPr="000E766F">
              <w:rPr>
                <w:sz w:val="20"/>
                <w:szCs w:val="20"/>
              </w:rPr>
              <w:t>Výsledkom konzultáci</w:t>
            </w:r>
            <w:r w:rsidR="00AD3A73">
              <w:rPr>
                <w:sz w:val="20"/>
                <w:szCs w:val="20"/>
              </w:rPr>
              <w:t>í</w:t>
            </w:r>
            <w:r w:rsidRPr="000E766F">
              <w:rPr>
                <w:sz w:val="20"/>
                <w:szCs w:val="20"/>
              </w:rPr>
              <w:t xml:space="preserve"> a rokovaní bol ucelený odborný dokument (návrh </w:t>
            </w:r>
            <w:r w:rsidR="00A0758F">
              <w:rPr>
                <w:sz w:val="20"/>
                <w:szCs w:val="20"/>
              </w:rPr>
              <w:t>zákona), ktorý bol následne</w:t>
            </w:r>
            <w:r w:rsidRPr="000E766F">
              <w:rPr>
                <w:sz w:val="20"/>
                <w:szCs w:val="20"/>
              </w:rPr>
              <w:t xml:space="preserve"> </w:t>
            </w:r>
            <w:r w:rsidR="00A0758F">
              <w:rPr>
                <w:sz w:val="20"/>
                <w:szCs w:val="20"/>
              </w:rPr>
              <w:t xml:space="preserve">opätovne </w:t>
            </w:r>
            <w:r w:rsidRPr="000E766F">
              <w:rPr>
                <w:sz w:val="20"/>
                <w:szCs w:val="20"/>
              </w:rPr>
              <w:t xml:space="preserve">predložený </w:t>
            </w:r>
            <w:r w:rsidR="00A0758F">
              <w:rPr>
                <w:sz w:val="20"/>
                <w:szCs w:val="20"/>
              </w:rPr>
              <w:t>všetký</w:t>
            </w:r>
            <w:r w:rsidRPr="000E766F">
              <w:rPr>
                <w:sz w:val="20"/>
                <w:szCs w:val="20"/>
              </w:rPr>
              <w:t>m organizáciám</w:t>
            </w:r>
            <w:r w:rsidR="00A0758F">
              <w:rPr>
                <w:sz w:val="20"/>
                <w:szCs w:val="20"/>
              </w:rPr>
              <w:t>.</w:t>
            </w:r>
          </w:p>
          <w:p w:rsidR="00287ACD" w:rsidRDefault="00287ACD" w:rsidP="00FC31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Ďalšie výsledky:</w:t>
            </w:r>
          </w:p>
          <w:p w:rsidR="00512BBA" w:rsidRDefault="00512BBA" w:rsidP="00512BBA">
            <w:pPr>
              <w:pStyle w:val="Odsekzoznamu"/>
              <w:numPr>
                <w:ilvl w:val="0"/>
                <w:numId w:val="3"/>
              </w:numPr>
              <w:ind w:left="28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problematika šľachtenia</w:t>
            </w:r>
            <w:r w:rsidR="00287ACD">
              <w:rPr>
                <w:sz w:val="20"/>
                <w:szCs w:val="20"/>
              </w:rPr>
              <w:t xml:space="preserve"> a </w:t>
            </w:r>
            <w:r>
              <w:rPr>
                <w:sz w:val="20"/>
                <w:szCs w:val="20"/>
              </w:rPr>
              <w:t>plemenitby</w:t>
            </w:r>
            <w:r w:rsidR="00287ACD">
              <w:rPr>
                <w:sz w:val="20"/>
                <w:szCs w:val="20"/>
              </w:rPr>
              <w:t xml:space="preserve"> rýb bola vyňatá z pôsobnosti návrhu zákona vzhľadom na súbežne pripravovaný zákon o </w:t>
            </w:r>
            <w:proofErr w:type="spellStart"/>
            <w:r w:rsidR="00287ACD">
              <w:rPr>
                <w:sz w:val="20"/>
                <w:szCs w:val="20"/>
              </w:rPr>
              <w:t>akvakultúre</w:t>
            </w:r>
            <w:proofErr w:type="spellEnd"/>
            <w:r w:rsidR="00287ACD">
              <w:rPr>
                <w:sz w:val="20"/>
                <w:szCs w:val="20"/>
              </w:rPr>
              <w:t xml:space="preserve">, ktorý bude komplexne zahŕňať celú problematiku chovu živočíchov </w:t>
            </w:r>
            <w:proofErr w:type="spellStart"/>
            <w:r w:rsidR="00287ACD">
              <w:rPr>
                <w:sz w:val="20"/>
                <w:szCs w:val="20"/>
              </w:rPr>
              <w:t>akvakultúry</w:t>
            </w:r>
            <w:proofErr w:type="spellEnd"/>
            <w:r w:rsidR="00287ACD">
              <w:rPr>
                <w:sz w:val="20"/>
                <w:szCs w:val="20"/>
              </w:rPr>
              <w:t xml:space="preserve"> vrátane podmienok ich šľachtenia a</w:t>
            </w:r>
            <w:r w:rsidR="000519DF">
              <w:rPr>
                <w:sz w:val="20"/>
                <w:szCs w:val="20"/>
              </w:rPr>
              <w:t> </w:t>
            </w:r>
            <w:r w:rsidR="00287ACD">
              <w:rPr>
                <w:sz w:val="20"/>
                <w:szCs w:val="20"/>
              </w:rPr>
              <w:t>plemenitby</w:t>
            </w:r>
            <w:r w:rsidR="000519DF">
              <w:rPr>
                <w:sz w:val="20"/>
                <w:szCs w:val="20"/>
              </w:rPr>
              <w:t xml:space="preserve">; </w:t>
            </w:r>
          </w:p>
          <w:p w:rsidR="00057B9D" w:rsidRDefault="00057B9D" w:rsidP="00512BBA">
            <w:pPr>
              <w:pStyle w:val="Odsekzoznamu"/>
              <w:numPr>
                <w:ilvl w:val="0"/>
                <w:numId w:val="3"/>
              </w:numPr>
              <w:ind w:left="284" w:hanging="142"/>
              <w:jc w:val="both"/>
              <w:rPr>
                <w:sz w:val="20"/>
                <w:szCs w:val="20"/>
              </w:rPr>
            </w:pPr>
            <w:r w:rsidRPr="00287ACD">
              <w:rPr>
                <w:sz w:val="20"/>
                <w:szCs w:val="20"/>
              </w:rPr>
              <w:t xml:space="preserve"> </w:t>
            </w:r>
            <w:r w:rsidR="00512BBA">
              <w:rPr>
                <w:sz w:val="20"/>
                <w:szCs w:val="20"/>
              </w:rPr>
              <w:t>získať odbornú spôsobilosť na vykonávanie inseminácie bude môcť aj osoba bez stredoškolského vzdelania, ak absolvovala školenie</w:t>
            </w:r>
            <w:r w:rsidR="006568DF">
              <w:rPr>
                <w:sz w:val="20"/>
                <w:szCs w:val="20"/>
              </w:rPr>
              <w:t xml:space="preserve"> v akreditovanom vzdelávacom zariadení</w:t>
            </w:r>
            <w:r w:rsidR="00963ED2">
              <w:rPr>
                <w:sz w:val="20"/>
                <w:szCs w:val="20"/>
              </w:rPr>
              <w:t xml:space="preserve"> a získala príslušné osvedčenie</w:t>
            </w:r>
            <w:r w:rsidR="00512BBA">
              <w:rPr>
                <w:sz w:val="20"/>
                <w:szCs w:val="20"/>
              </w:rPr>
              <w:t>.</w:t>
            </w:r>
          </w:p>
          <w:p w:rsidR="00512BBA" w:rsidRPr="00287ACD" w:rsidRDefault="00B82431" w:rsidP="006568DF">
            <w:pPr>
              <w:pStyle w:val="Odsekzoznamu"/>
              <w:numPr>
                <w:ilvl w:val="0"/>
                <w:numId w:val="3"/>
              </w:numPr>
              <w:ind w:left="28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512BBA">
              <w:rPr>
                <w:sz w:val="20"/>
                <w:szCs w:val="20"/>
              </w:rPr>
              <w:t>bchodovať so spermou budú môcť len inseminačné stanice schválené na odber</w:t>
            </w:r>
            <w:r>
              <w:rPr>
                <w:sz w:val="20"/>
                <w:szCs w:val="20"/>
              </w:rPr>
              <w:t xml:space="preserve">, spracovanie alebo skladovanie spermy, čím sa obchod liberalizuje vzhľadom na to, že so spermou býkov </w:t>
            </w:r>
            <w:r w:rsidR="006568DF">
              <w:rPr>
                <w:sz w:val="20"/>
                <w:szCs w:val="20"/>
              </w:rPr>
              <w:t>podľa platnej právnej úpravy môžu</w:t>
            </w:r>
            <w:r>
              <w:rPr>
                <w:sz w:val="20"/>
                <w:szCs w:val="20"/>
              </w:rPr>
              <w:t xml:space="preserve"> obchodovať len inseminačné stanice schválen</w:t>
            </w:r>
            <w:r w:rsidR="005248C9">
              <w:rPr>
                <w:sz w:val="20"/>
                <w:szCs w:val="20"/>
              </w:rPr>
              <w:t>é na odber a spracovanie spermy</w:t>
            </w:r>
            <w:r w:rsidR="006568DF">
              <w:rPr>
                <w:sz w:val="20"/>
                <w:szCs w:val="20"/>
              </w:rPr>
              <w:t xml:space="preserve"> býkov</w:t>
            </w:r>
            <w:r w:rsidR="005248C9">
              <w:rPr>
                <w:sz w:val="20"/>
                <w:szCs w:val="20"/>
              </w:rPr>
              <w:t>; a i.</w:t>
            </w:r>
          </w:p>
        </w:tc>
      </w:tr>
      <w:tr w:rsidR="00057B9D" w:rsidRPr="000E766F" w:rsidTr="00FC31E2">
        <w:trPr>
          <w:trHeight w:val="292"/>
        </w:trPr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</w:p>
        </w:tc>
      </w:tr>
      <w:tr w:rsidR="00057B9D" w:rsidRPr="000E766F" w:rsidTr="00FC31E2">
        <w:tc>
          <w:tcPr>
            <w:tcW w:w="9212" w:type="dxa"/>
            <w:shd w:val="clear" w:color="auto" w:fill="D9D9D9"/>
          </w:tcPr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b/>
                <w:sz w:val="20"/>
                <w:szCs w:val="20"/>
              </w:rPr>
              <w:t>3.3 Náklady regulácie</w:t>
            </w:r>
          </w:p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sz w:val="20"/>
                <w:szCs w:val="20"/>
              </w:rPr>
              <w:t xml:space="preserve">      - </w:t>
            </w:r>
            <w:r w:rsidRPr="000E766F">
              <w:rPr>
                <w:b/>
                <w:sz w:val="20"/>
                <w:szCs w:val="20"/>
              </w:rPr>
              <w:t>z toho MSP</w:t>
            </w: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FC31E2">
            <w:pPr>
              <w:rPr>
                <w:b/>
                <w:i/>
                <w:sz w:val="20"/>
                <w:szCs w:val="20"/>
              </w:rPr>
            </w:pPr>
            <w:r w:rsidRPr="000E766F">
              <w:rPr>
                <w:b/>
                <w:i/>
                <w:sz w:val="20"/>
                <w:szCs w:val="20"/>
              </w:rPr>
              <w:t>3.3.1 Priame finančné náklady</w:t>
            </w:r>
          </w:p>
          <w:p w:rsidR="00057B9D" w:rsidRPr="004A0161" w:rsidRDefault="00057B9D" w:rsidP="004A0161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  <w:p w:rsidR="00057B9D" w:rsidRPr="00CE438F" w:rsidRDefault="003262F0" w:rsidP="00963ED2">
            <w:pPr>
              <w:spacing w:after="120"/>
              <w:jc w:val="both"/>
              <w:rPr>
                <w:sz w:val="20"/>
                <w:szCs w:val="20"/>
              </w:rPr>
            </w:pPr>
            <w:r w:rsidRPr="00CE438F">
              <w:rPr>
                <w:sz w:val="20"/>
                <w:szCs w:val="20"/>
              </w:rPr>
              <w:t xml:space="preserve">Z návrhu zákona nevyplývajú </w:t>
            </w:r>
            <w:r w:rsidR="00C55AF7">
              <w:rPr>
                <w:sz w:val="20"/>
                <w:szCs w:val="20"/>
              </w:rPr>
              <w:t xml:space="preserve">vyčísliteľné </w:t>
            </w:r>
            <w:r w:rsidRPr="00CE438F">
              <w:rPr>
                <w:sz w:val="20"/>
                <w:szCs w:val="20"/>
              </w:rPr>
              <w:t>priame finančné náklady pre podnikateľov, t.j. žiadne správne poplatky, odvody, dane a pod.</w:t>
            </w: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FC31E2">
            <w:pPr>
              <w:rPr>
                <w:b/>
                <w:i/>
                <w:sz w:val="20"/>
                <w:szCs w:val="20"/>
              </w:rPr>
            </w:pP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FC31E2">
            <w:pPr>
              <w:rPr>
                <w:b/>
                <w:i/>
                <w:sz w:val="20"/>
                <w:szCs w:val="20"/>
              </w:rPr>
            </w:pPr>
            <w:r w:rsidRPr="000E766F">
              <w:rPr>
                <w:b/>
                <w:i/>
                <w:sz w:val="20"/>
                <w:szCs w:val="20"/>
              </w:rPr>
              <w:t>3.3.2 Nepriame finančné náklady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  <w:p w:rsidR="00057B9D" w:rsidRDefault="003262F0" w:rsidP="00FC31E2">
            <w:pPr>
              <w:jc w:val="both"/>
              <w:rPr>
                <w:sz w:val="20"/>
                <w:szCs w:val="20"/>
              </w:rPr>
            </w:pPr>
            <w:r w:rsidRPr="003262F0">
              <w:rPr>
                <w:sz w:val="20"/>
                <w:szCs w:val="20"/>
              </w:rPr>
              <w:t xml:space="preserve">Finančné dosahy budú </w:t>
            </w:r>
            <w:r w:rsidR="008E5AD8">
              <w:rPr>
                <w:sz w:val="20"/>
                <w:szCs w:val="20"/>
              </w:rPr>
              <w:t xml:space="preserve">osobám uvedeným v bode 3.1 </w:t>
            </w:r>
            <w:r w:rsidRPr="003262F0">
              <w:rPr>
                <w:sz w:val="20"/>
                <w:szCs w:val="20"/>
              </w:rPr>
              <w:t>vyplývať v rámc</w:t>
            </w:r>
            <w:r w:rsidR="00233129">
              <w:rPr>
                <w:sz w:val="20"/>
                <w:szCs w:val="20"/>
              </w:rPr>
              <w:t>i sankcií a opatrení uložených P</w:t>
            </w:r>
            <w:r w:rsidRPr="003262F0">
              <w:rPr>
                <w:sz w:val="20"/>
                <w:szCs w:val="20"/>
              </w:rPr>
              <w:t>lemenárskou inšpekciou</w:t>
            </w:r>
            <w:r w:rsidR="00233129">
              <w:rPr>
                <w:sz w:val="20"/>
                <w:szCs w:val="20"/>
              </w:rPr>
              <w:t xml:space="preserve"> SR</w:t>
            </w:r>
            <w:r w:rsidRPr="003262F0">
              <w:rPr>
                <w:sz w:val="20"/>
                <w:szCs w:val="20"/>
              </w:rPr>
              <w:t xml:space="preserve"> pre dotknuté fyzické a právnické osoby, u ktorých sa zistia porušenia požiadaviek ustanovených zákonom. Zároveň sa ustanovuje, že za vzorky odobrané v rámci úradných kontrol sa neposkytuje kontrolovanému subjektu náhrada. Uvedené ustanovenia sa </w:t>
            </w:r>
            <w:r w:rsidR="00CE438F">
              <w:rPr>
                <w:sz w:val="20"/>
                <w:szCs w:val="20"/>
              </w:rPr>
              <w:t>však uplatňujú aj v súčasnosti.</w:t>
            </w:r>
            <w:r w:rsidR="008E5AD8">
              <w:rPr>
                <w:bCs/>
                <w:sz w:val="20"/>
                <w:szCs w:val="20"/>
              </w:rPr>
              <w:t xml:space="preserve"> V roku 2017 bol príjem z pokút uložených PI SR cca 14 400 EUR. V dôsledku presnejšej špecifikácie porušení v návrhu zákona, ktoré budú sankcionované a ak dôjde k požadovanému personálnemu a materiálnemu </w:t>
            </w:r>
            <w:r w:rsidR="008E5AD8">
              <w:rPr>
                <w:bCs/>
                <w:sz w:val="20"/>
                <w:szCs w:val="20"/>
              </w:rPr>
              <w:lastRenderedPageBreak/>
              <w:t>posilneniu PI SR uvedenému v doložke vplyvov a analýze vplyvov na rozpočet verejnej správy, predpokladáme možné zvýšenie príjmov z pokút do štátneho rozpočtu o cca 7 000 EUR ročne</w:t>
            </w:r>
            <w:r w:rsidR="0077323D">
              <w:rPr>
                <w:bCs/>
                <w:sz w:val="20"/>
                <w:szCs w:val="20"/>
              </w:rPr>
              <w:t>, v prvom roku uplatňovania zákona o cca 4 000 Eur ročne</w:t>
            </w:r>
            <w:r w:rsidR="008E5AD8">
              <w:rPr>
                <w:bCs/>
                <w:sz w:val="20"/>
                <w:szCs w:val="20"/>
              </w:rPr>
              <w:t>.</w:t>
            </w:r>
          </w:p>
          <w:p w:rsidR="00802FF0" w:rsidRDefault="000661CE" w:rsidP="00802F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Nepriame finančné náklady vzniknú právnickým osobám a fyzickým osobám </w:t>
            </w:r>
            <w:r w:rsidR="00542EF4">
              <w:rPr>
                <w:sz w:val="20"/>
                <w:szCs w:val="20"/>
              </w:rPr>
              <w:t>–</w:t>
            </w:r>
            <w:r w:rsidR="0080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podnikateľom</w:t>
            </w:r>
            <w:r w:rsidR="00542EF4">
              <w:rPr>
                <w:sz w:val="20"/>
                <w:szCs w:val="20"/>
              </w:rPr>
              <w:t xml:space="preserve"> (distribútorom spermy)</w:t>
            </w:r>
            <w:r>
              <w:rPr>
                <w:sz w:val="20"/>
                <w:szCs w:val="20"/>
              </w:rPr>
              <w:t>, ktorí</w:t>
            </w:r>
            <w:r w:rsidR="00802FF0">
              <w:rPr>
                <w:sz w:val="20"/>
                <w:szCs w:val="20"/>
              </w:rPr>
              <w:t xml:space="preserve"> na rozdiel od platnej právnej úpravy budú musieť na účel obchodovania so spermou plemenníkov mať povolenie ministerstva pôdohospodárstva na uvedené činnosti. S tým </w:t>
            </w:r>
            <w:r w:rsidR="00542EF4">
              <w:rPr>
                <w:sz w:val="20"/>
                <w:szCs w:val="20"/>
              </w:rPr>
              <w:t>je spojená požiadavka</w:t>
            </w:r>
            <w:r w:rsidR="00802FF0">
              <w:rPr>
                <w:sz w:val="20"/>
                <w:szCs w:val="20"/>
              </w:rPr>
              <w:t xml:space="preserve"> zabezpeč</w:t>
            </w:r>
            <w:r w:rsidR="00542EF4">
              <w:rPr>
                <w:sz w:val="20"/>
                <w:szCs w:val="20"/>
              </w:rPr>
              <w:t>iť</w:t>
            </w:r>
            <w:r w:rsidR="00802FF0">
              <w:rPr>
                <w:sz w:val="20"/>
                <w:szCs w:val="20"/>
              </w:rPr>
              <w:t xml:space="preserve"> dostatočn</w:t>
            </w:r>
            <w:r w:rsidR="00542EF4">
              <w:rPr>
                <w:sz w:val="20"/>
                <w:szCs w:val="20"/>
              </w:rPr>
              <w:t>ý</w:t>
            </w:r>
            <w:r w:rsidR="00802FF0">
              <w:rPr>
                <w:sz w:val="20"/>
                <w:szCs w:val="20"/>
              </w:rPr>
              <w:t xml:space="preserve"> poč</w:t>
            </w:r>
            <w:r w:rsidR="00542EF4">
              <w:rPr>
                <w:sz w:val="20"/>
                <w:szCs w:val="20"/>
              </w:rPr>
              <w:t>e</w:t>
            </w:r>
            <w:r w:rsidR="00802FF0">
              <w:rPr>
                <w:sz w:val="20"/>
                <w:szCs w:val="20"/>
              </w:rPr>
              <w:t>t</w:t>
            </w:r>
            <w:r w:rsidR="00542EF4">
              <w:rPr>
                <w:sz w:val="20"/>
                <w:szCs w:val="20"/>
              </w:rPr>
              <w:t xml:space="preserve"> odborne spôsobilých zamestnancov</w:t>
            </w:r>
            <w:r w:rsidR="00802FF0">
              <w:rPr>
                <w:sz w:val="20"/>
                <w:szCs w:val="20"/>
              </w:rPr>
              <w:t xml:space="preserve">. </w:t>
            </w:r>
            <w:r w:rsidR="00BF4C3C">
              <w:rPr>
                <w:sz w:val="20"/>
                <w:szCs w:val="20"/>
              </w:rPr>
              <w:t>N</w:t>
            </w:r>
            <w:r w:rsidR="008E5AD8">
              <w:rPr>
                <w:sz w:val="20"/>
                <w:szCs w:val="20"/>
              </w:rPr>
              <w:t>a získanie odbornej spôsobilosti je potrebné</w:t>
            </w:r>
            <w:r w:rsidR="00802FF0">
              <w:rPr>
                <w:sz w:val="20"/>
                <w:szCs w:val="20"/>
              </w:rPr>
              <w:t xml:space="preserve"> absolvovať teoretické a praktické školenie, </w:t>
            </w:r>
            <w:r w:rsidR="008E5AD8">
              <w:rPr>
                <w:sz w:val="20"/>
                <w:szCs w:val="20"/>
              </w:rPr>
              <w:t>a získať príslušné osvedčenie preukazujúce absolvovanie školenia</w:t>
            </w:r>
            <w:r w:rsidR="00802FF0">
              <w:rPr>
                <w:sz w:val="20"/>
                <w:szCs w:val="20"/>
              </w:rPr>
              <w:t>.</w:t>
            </w:r>
            <w:r w:rsidR="00542EF4">
              <w:rPr>
                <w:sz w:val="20"/>
                <w:szCs w:val="20"/>
              </w:rPr>
              <w:t xml:space="preserve"> </w:t>
            </w:r>
            <w:r w:rsidR="00BF4C3C">
              <w:rPr>
                <w:sz w:val="20"/>
                <w:szCs w:val="20"/>
              </w:rPr>
              <w:t xml:space="preserve">Vynaložené náklady sa odhadujú vo výške cca 100 EUR na osobu </w:t>
            </w:r>
            <w:r w:rsidR="00542EF4">
              <w:rPr>
                <w:sz w:val="20"/>
                <w:szCs w:val="20"/>
              </w:rPr>
              <w:t>Uvedený vplyv sa obdobne vzťahuje na tímy na odber a prenos embryí.</w:t>
            </w:r>
          </w:p>
          <w:p w:rsidR="00CE438F" w:rsidRPr="003262F0" w:rsidRDefault="00CE438F" w:rsidP="00802F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CE438F">
            <w:pPr>
              <w:rPr>
                <w:i/>
                <w:sz w:val="20"/>
                <w:szCs w:val="20"/>
              </w:rPr>
            </w:pPr>
            <w:r w:rsidRPr="000E766F">
              <w:rPr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FC31E2">
            <w:pPr>
              <w:rPr>
                <w:b/>
                <w:i/>
                <w:sz w:val="20"/>
                <w:szCs w:val="20"/>
              </w:rPr>
            </w:pPr>
            <w:r w:rsidRPr="000E766F">
              <w:rPr>
                <w:b/>
                <w:i/>
                <w:sz w:val="20"/>
                <w:szCs w:val="20"/>
              </w:rPr>
              <w:t>3.3.3 Administratívne náklady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  <w:p w:rsidR="00057B9D" w:rsidRDefault="00EC3FDC" w:rsidP="00B53CB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neprináša zásadné zmeny</w:t>
            </w:r>
            <w:r w:rsidR="00B53CBF">
              <w:rPr>
                <w:sz w:val="20"/>
                <w:szCs w:val="20"/>
              </w:rPr>
              <w:t xml:space="preserve"> s vyčísliteľnými dosahmi</w:t>
            </w:r>
            <w:r>
              <w:rPr>
                <w:sz w:val="20"/>
                <w:szCs w:val="20"/>
              </w:rPr>
              <w:t>, pokiaľ ide o administratívnu oblasť.</w:t>
            </w:r>
            <w:r w:rsidR="001223CC">
              <w:rPr>
                <w:sz w:val="20"/>
                <w:szCs w:val="20"/>
              </w:rPr>
              <w:t xml:space="preserve"> </w:t>
            </w:r>
            <w:r w:rsidR="00CE438F" w:rsidRPr="00CE438F">
              <w:rPr>
                <w:sz w:val="20"/>
                <w:szCs w:val="20"/>
              </w:rPr>
              <w:t>Z návrhu zákon</w:t>
            </w:r>
            <w:r w:rsidR="006177DA">
              <w:rPr>
                <w:sz w:val="20"/>
                <w:szCs w:val="20"/>
              </w:rPr>
              <w:t>a vyplývajú niektoré pozitívne a</w:t>
            </w:r>
            <w:r w:rsidR="00CE438F" w:rsidRPr="00CE438F">
              <w:rPr>
                <w:sz w:val="20"/>
                <w:szCs w:val="20"/>
              </w:rPr>
              <w:t xml:space="preserve">dministratívne dosahy na chovateľov a chovateľské </w:t>
            </w:r>
            <w:r w:rsidR="001223CC">
              <w:rPr>
                <w:sz w:val="20"/>
                <w:szCs w:val="20"/>
              </w:rPr>
              <w:t xml:space="preserve">organizácie, </w:t>
            </w:r>
            <w:r w:rsidR="00CE438F" w:rsidRPr="00CE438F">
              <w:rPr>
                <w:sz w:val="20"/>
                <w:szCs w:val="20"/>
              </w:rPr>
              <w:t>podniky</w:t>
            </w:r>
            <w:r w:rsidR="001223CC">
              <w:rPr>
                <w:sz w:val="20"/>
                <w:szCs w:val="20"/>
              </w:rPr>
              <w:t xml:space="preserve"> a združenia, napr</w:t>
            </w:r>
            <w:r w:rsidR="00CE438F" w:rsidRPr="00CE438F">
              <w:rPr>
                <w:sz w:val="20"/>
                <w:szCs w:val="20"/>
              </w:rPr>
              <w:t xml:space="preserve">. </w:t>
            </w:r>
            <w:r w:rsidR="001223CC">
              <w:rPr>
                <w:sz w:val="20"/>
                <w:szCs w:val="20"/>
              </w:rPr>
              <w:t>v</w:t>
            </w:r>
            <w:r w:rsidR="00CE438F" w:rsidRPr="00CE438F">
              <w:rPr>
                <w:sz w:val="20"/>
                <w:szCs w:val="20"/>
              </w:rPr>
              <w:t xml:space="preserve">zhľadom na zabezpečenie autonómneho riadenia šľachtiteľského programu samotnou chovateľskou organizáciou budú z návrhu zákona oproti súčasnému stavu vypustené niektoré doterajšie </w:t>
            </w:r>
            <w:r>
              <w:rPr>
                <w:sz w:val="20"/>
                <w:szCs w:val="20"/>
              </w:rPr>
              <w:t>regulá</w:t>
            </w:r>
            <w:r w:rsidR="00CE438F" w:rsidRPr="00CE438F">
              <w:rPr>
                <w:sz w:val="20"/>
                <w:szCs w:val="20"/>
              </w:rPr>
              <w:t>cie, ktoré boli zabez</w:t>
            </w:r>
            <w:r w:rsidR="0077323D">
              <w:rPr>
                <w:sz w:val="20"/>
                <w:szCs w:val="20"/>
              </w:rPr>
              <w:t>pečované na úrovni ministerstva;</w:t>
            </w:r>
            <w:r w:rsidR="00CE438F" w:rsidRPr="00CE438F">
              <w:rPr>
                <w:sz w:val="20"/>
                <w:szCs w:val="20"/>
              </w:rPr>
              <w:t xml:space="preserve"> </w:t>
            </w:r>
            <w:r w:rsidR="0077323D">
              <w:rPr>
                <w:sz w:val="20"/>
                <w:szCs w:val="20"/>
              </w:rPr>
              <w:t>ide najmä o</w:t>
            </w:r>
            <w:r w:rsidR="00CE438F" w:rsidRPr="00CE438F">
              <w:rPr>
                <w:sz w:val="20"/>
                <w:szCs w:val="20"/>
              </w:rPr>
              <w:t xml:space="preserve"> schvaľovanie šľachtiteľských chovov a zriaďovanie výberových a uznávacích komisií ministerstvom</w:t>
            </w:r>
            <w:r w:rsidR="0077323D">
              <w:rPr>
                <w:sz w:val="20"/>
                <w:szCs w:val="20"/>
              </w:rPr>
              <w:t xml:space="preserve"> pôdohospodárstva</w:t>
            </w:r>
            <w:r w:rsidR="00CE438F" w:rsidRPr="00CE438F">
              <w:rPr>
                <w:sz w:val="20"/>
                <w:szCs w:val="20"/>
              </w:rPr>
              <w:t xml:space="preserve">. Prenesením tejto rozhodovacej činnosti na úroveň samotnej chovateľskej organizácie v rámci šľachtiteľského programu sa tým </w:t>
            </w:r>
            <w:r w:rsidR="0077323D">
              <w:rPr>
                <w:sz w:val="20"/>
                <w:szCs w:val="20"/>
              </w:rPr>
              <w:br/>
            </w:r>
            <w:r w:rsidR="00CE438F" w:rsidRPr="00CE438F">
              <w:rPr>
                <w:sz w:val="20"/>
                <w:szCs w:val="20"/>
              </w:rPr>
              <w:t>o. i. dosiahne zníženie administratívnej záťaže organizácií a chovateľov.</w:t>
            </w:r>
          </w:p>
          <w:p w:rsidR="005D5F9E" w:rsidRPr="005D5F9E" w:rsidRDefault="00562E51" w:rsidP="005D5F9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Podnikateľské subjekty v pôsobnosti návrhu zákona sú aj v súčasnosti povinné odovzdávať informácie </w:t>
            </w:r>
            <w:r>
              <w:rPr>
                <w:sz w:val="20"/>
                <w:szCs w:val="20"/>
              </w:rPr>
              <w:br/>
              <w:t xml:space="preserve">o chovateľoch, plemenných zvieratách, insemináciách a pod. zodpovedným osobám. </w:t>
            </w:r>
            <w:r w:rsidR="005D5F9E">
              <w:rPr>
                <w:sz w:val="20"/>
                <w:szCs w:val="20"/>
              </w:rPr>
              <w:t>Spôsob sprístupňovania informácií</w:t>
            </w:r>
            <w:r>
              <w:rPr>
                <w:sz w:val="20"/>
                <w:szCs w:val="20"/>
              </w:rPr>
              <w:t>, ktoré chovateľským organizáciám</w:t>
            </w:r>
            <w:r w:rsidR="005D5F9E">
              <w:rPr>
                <w:sz w:val="20"/>
                <w:szCs w:val="20"/>
              </w:rPr>
              <w:t xml:space="preserve"> a chovateľským podnikom alebo oprávneným plemenárskym organizáciám ukladá implementované nariadenie EÚ, nie je stanovený. Takéto informovanie je možné plniť aj </w:t>
            </w:r>
            <w:r w:rsidR="005D5F9E" w:rsidRPr="005D5F9E">
              <w:rPr>
                <w:sz w:val="20"/>
                <w:szCs w:val="20"/>
              </w:rPr>
              <w:t>prostredníctvom webových sídiel, ktoré už v súčasnosti má prevažná väčšina podnikateľov zriadené.</w:t>
            </w:r>
          </w:p>
          <w:p w:rsidR="00562E51" w:rsidRPr="00CE438F" w:rsidRDefault="005D5F9E" w:rsidP="0077323D">
            <w:pPr>
              <w:spacing w:after="120"/>
              <w:jc w:val="both"/>
              <w:rPr>
                <w:sz w:val="20"/>
                <w:szCs w:val="20"/>
              </w:rPr>
            </w:pPr>
            <w:r w:rsidRPr="005D5F9E">
              <w:rPr>
                <w:sz w:val="20"/>
                <w:szCs w:val="20"/>
              </w:rPr>
              <w:t>Prevádzkovateľom</w:t>
            </w:r>
            <w:r w:rsidR="0077323D">
              <w:rPr>
                <w:sz w:val="20"/>
                <w:szCs w:val="20"/>
              </w:rPr>
              <w:t xml:space="preserve"> </w:t>
            </w:r>
            <w:r w:rsidRPr="005D5F9E">
              <w:rPr>
                <w:sz w:val="20"/>
                <w:szCs w:val="20"/>
              </w:rPr>
              <w:t xml:space="preserve"> inseminačných staníc sa zníži administratívna záťaž vzhľadom na to, že v návrhu zákona sa už nebude uplatňovať ustanovenie platné v súčasnosti, podľa ktorého ministerstvo pôdohospodárstva vydáva povolenie na prevádzkovanie inseminačnej stanice maximálne na dobu 10 rokov.</w:t>
            </w:r>
            <w:r w:rsidR="00562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Povolenie </w:t>
            </w:r>
            <w:r w:rsidR="00D20BD1">
              <w:rPr>
                <w:sz w:val="20"/>
                <w:szCs w:val="20"/>
              </w:rPr>
              <w:t>na odber</w:t>
            </w:r>
            <w:r w:rsidR="0057454E">
              <w:rPr>
                <w:sz w:val="20"/>
                <w:szCs w:val="20"/>
              </w:rPr>
              <w:t>,</w:t>
            </w:r>
            <w:r w:rsidR="00D20BD1">
              <w:rPr>
                <w:sz w:val="20"/>
                <w:szCs w:val="20"/>
              </w:rPr>
              <w:t xml:space="preserve"> produkciu, spracovanie a skladovanie spermy </w:t>
            </w:r>
            <w:r>
              <w:rPr>
                <w:sz w:val="20"/>
                <w:szCs w:val="20"/>
              </w:rPr>
              <w:t>bude</w:t>
            </w:r>
            <w:r w:rsidR="0077323D">
              <w:rPr>
                <w:sz w:val="20"/>
                <w:szCs w:val="20"/>
              </w:rPr>
              <w:t xml:space="preserve"> podľa nového zákona</w:t>
            </w:r>
            <w:r>
              <w:rPr>
                <w:sz w:val="20"/>
                <w:szCs w:val="20"/>
              </w:rPr>
              <w:t xml:space="preserve"> vydávať </w:t>
            </w:r>
            <w:r w:rsidR="0077323D">
              <w:rPr>
                <w:sz w:val="20"/>
                <w:szCs w:val="20"/>
              </w:rPr>
              <w:t xml:space="preserve">ministerstvo pôdohospodárstva </w:t>
            </w:r>
            <w:r>
              <w:rPr>
                <w:sz w:val="20"/>
                <w:szCs w:val="20"/>
              </w:rPr>
              <w:t>na dobu neurčitú.</w:t>
            </w: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FC31E2">
            <w:pPr>
              <w:rPr>
                <w:b/>
                <w:i/>
                <w:sz w:val="20"/>
                <w:szCs w:val="20"/>
              </w:rPr>
            </w:pPr>
          </w:p>
        </w:tc>
      </w:tr>
      <w:tr w:rsidR="00057B9D" w:rsidRPr="000E766F" w:rsidTr="00FC31E2">
        <w:trPr>
          <w:trHeight w:val="2318"/>
        </w:trPr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b/>
                <w:i/>
                <w:sz w:val="20"/>
                <w:szCs w:val="20"/>
              </w:rPr>
              <w:t>3.3.4 Súhrnná tabuľka nákladov regulácie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057B9D" w:rsidRPr="000E766F" w:rsidTr="00FC31E2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057B9D" w:rsidP="00FC31E2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057B9D" w:rsidP="00FC31E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E766F">
                    <w:rPr>
                      <w:i/>
                      <w:sz w:val="20"/>
                      <w:szCs w:val="20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057B9D" w:rsidP="00FC31E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E766F">
                    <w:rPr>
                      <w:i/>
                      <w:sz w:val="20"/>
                      <w:szCs w:val="20"/>
                    </w:rPr>
                    <w:t>Náklady na celé podnikateľské prostredie</w:t>
                  </w:r>
                </w:p>
              </w:tc>
            </w:tr>
            <w:tr w:rsidR="001223CC" w:rsidRPr="000E766F" w:rsidTr="00FC31E2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CC" w:rsidRPr="000E766F" w:rsidRDefault="001223CC" w:rsidP="00FC31E2">
                  <w:pPr>
                    <w:rPr>
                      <w:i/>
                      <w:sz w:val="20"/>
                      <w:szCs w:val="20"/>
                    </w:rPr>
                  </w:pPr>
                  <w:r w:rsidRPr="000E766F">
                    <w:rPr>
                      <w:i/>
                      <w:sz w:val="20"/>
                      <w:szCs w:val="20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CC" w:rsidRPr="000E766F" w:rsidRDefault="001223CC" w:rsidP="00FC31E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žiadne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CC" w:rsidRPr="000E766F" w:rsidRDefault="001223CC" w:rsidP="00C9010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žiadne</w:t>
                  </w:r>
                </w:p>
              </w:tc>
            </w:tr>
            <w:tr w:rsidR="001223CC" w:rsidRPr="000E766F" w:rsidTr="00FC31E2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CC" w:rsidRPr="000E766F" w:rsidRDefault="001223CC" w:rsidP="00FC31E2">
                  <w:pPr>
                    <w:rPr>
                      <w:i/>
                      <w:sz w:val="20"/>
                      <w:szCs w:val="20"/>
                    </w:rPr>
                  </w:pPr>
                  <w:r w:rsidRPr="000E766F">
                    <w:rPr>
                      <w:i/>
                      <w:sz w:val="20"/>
                      <w:szCs w:val="20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CC" w:rsidRPr="000E766F" w:rsidRDefault="00BF4C3C" w:rsidP="00BF4C3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100 eur na vyškolenie 1 osoby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CC" w:rsidRPr="000E766F" w:rsidRDefault="00AA10F2" w:rsidP="00AA10F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podľa počtu vyškolených osôb</w:t>
                  </w:r>
                </w:p>
              </w:tc>
            </w:tr>
            <w:tr w:rsidR="00057B9D" w:rsidRPr="000E766F" w:rsidTr="00FC31E2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057B9D" w:rsidP="00FC31E2">
                  <w:pPr>
                    <w:rPr>
                      <w:i/>
                      <w:sz w:val="20"/>
                      <w:szCs w:val="20"/>
                    </w:rPr>
                  </w:pPr>
                  <w:r w:rsidRPr="000E766F">
                    <w:rPr>
                      <w:i/>
                      <w:sz w:val="20"/>
                      <w:szCs w:val="20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4A0161" w:rsidP="00FC31E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žiadne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4A0161" w:rsidP="00FC31E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žiadne</w:t>
                  </w:r>
                </w:p>
              </w:tc>
            </w:tr>
            <w:tr w:rsidR="00057B9D" w:rsidRPr="000E766F" w:rsidTr="00FC31E2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057B9D" w:rsidP="00FC31E2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0E766F">
                    <w:rPr>
                      <w:b/>
                      <w:i/>
                      <w:sz w:val="20"/>
                      <w:szCs w:val="20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057B9D" w:rsidP="00FC31E2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E766F">
                    <w:rPr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9D" w:rsidRPr="000E766F" w:rsidRDefault="00057B9D" w:rsidP="00FC31E2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E766F">
                    <w:rPr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</w:p>
        </w:tc>
      </w:tr>
      <w:tr w:rsidR="00057B9D" w:rsidRPr="000E766F" w:rsidTr="00FC31E2">
        <w:tc>
          <w:tcPr>
            <w:tcW w:w="9212" w:type="dxa"/>
            <w:shd w:val="clear" w:color="auto" w:fill="D9D9D9"/>
          </w:tcPr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b/>
                <w:sz w:val="20"/>
                <w:szCs w:val="20"/>
              </w:rPr>
              <w:t>3.4 Konkurencieschopnosť a správanie sa podnikov na trhu</w:t>
            </w:r>
          </w:p>
          <w:p w:rsidR="00057B9D" w:rsidRPr="000E766F" w:rsidRDefault="00057B9D" w:rsidP="00FC31E2">
            <w:pPr>
              <w:rPr>
                <w:sz w:val="20"/>
                <w:szCs w:val="20"/>
              </w:rPr>
            </w:pPr>
            <w:r w:rsidRPr="000E766F">
              <w:rPr>
                <w:b/>
                <w:sz w:val="20"/>
                <w:szCs w:val="20"/>
              </w:rPr>
              <w:t xml:space="preserve">       </w:t>
            </w:r>
            <w:r w:rsidRPr="000E766F">
              <w:rPr>
                <w:sz w:val="20"/>
                <w:szCs w:val="20"/>
              </w:rPr>
              <w:t xml:space="preserve">- </w:t>
            </w:r>
            <w:r w:rsidRPr="000E766F">
              <w:rPr>
                <w:b/>
                <w:sz w:val="20"/>
                <w:szCs w:val="20"/>
              </w:rPr>
              <w:t>z toho MSP</w:t>
            </w: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0E766F">
              <w:rPr>
                <w:i/>
                <w:sz w:val="20"/>
                <w:szCs w:val="20"/>
              </w:rPr>
              <w:t>mikro</w:t>
            </w:r>
            <w:proofErr w:type="spellEnd"/>
            <w:r w:rsidRPr="000E766F">
              <w:rPr>
                <w:i/>
                <w:sz w:val="20"/>
                <w:szCs w:val="20"/>
              </w:rPr>
              <w:t>, malé a stredné podniky tzv. MSP)? Ak áno, popíšte.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Ako ovplyvní cenu alebo dostupnosť základných zdrojov (suroviny, mechanizmy, pracovná sila, energie atď.)?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Ovplyvňuje prístup k financiám? Ak áno, ako?</w:t>
            </w:r>
          </w:p>
          <w:p w:rsidR="00CB7227" w:rsidRDefault="00D16DCA" w:rsidP="00D55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zákona plne rešpektuje princípy voľného pohybu tovarov a služieb v rámci EÚ a podmienky obchodovania s plemennými zvieratami a ich zárodočným materiálom </w:t>
            </w:r>
            <w:r w:rsidR="00D55B12">
              <w:rPr>
                <w:sz w:val="20"/>
                <w:szCs w:val="20"/>
              </w:rPr>
              <w:t>stanovené</w:t>
            </w:r>
            <w:r>
              <w:rPr>
                <w:sz w:val="20"/>
                <w:szCs w:val="20"/>
              </w:rPr>
              <w:t xml:space="preserve"> </w:t>
            </w:r>
            <w:r w:rsidR="00D55B12">
              <w:rPr>
                <w:sz w:val="20"/>
                <w:szCs w:val="20"/>
              </w:rPr>
              <w:t>implementovaným nariadením</w:t>
            </w:r>
            <w:r w:rsidR="00CC6110">
              <w:rPr>
                <w:sz w:val="20"/>
                <w:szCs w:val="20"/>
              </w:rPr>
              <w:t xml:space="preserve"> </w:t>
            </w:r>
            <w:r w:rsidR="00CC6110">
              <w:rPr>
                <w:sz w:val="20"/>
                <w:szCs w:val="20"/>
              </w:rPr>
              <w:lastRenderedPageBreak/>
              <w:t>EÚ</w:t>
            </w:r>
            <w:r w:rsidR="00D55B12">
              <w:rPr>
                <w:sz w:val="20"/>
                <w:szCs w:val="20"/>
              </w:rPr>
              <w:t>. Návrhom zákona sa liberalizuje obchod s inseminačnými dávkami</w:t>
            </w:r>
            <w:r w:rsidR="009636C9">
              <w:rPr>
                <w:sz w:val="20"/>
                <w:szCs w:val="20"/>
              </w:rPr>
              <w:t xml:space="preserve"> hovädzieho dobytka</w:t>
            </w:r>
            <w:r w:rsidR="00D55B12">
              <w:rPr>
                <w:sz w:val="20"/>
                <w:szCs w:val="20"/>
              </w:rPr>
              <w:t xml:space="preserve">, ich distribúciu budú môcť zabezpečovať aj inseminačné stanice schválené na skladovanie spermy. </w:t>
            </w:r>
            <w:r w:rsidR="00CB7227" w:rsidRPr="00CD5285">
              <w:rPr>
                <w:sz w:val="20"/>
                <w:szCs w:val="20"/>
              </w:rPr>
              <w:t xml:space="preserve">V tomto bode predpokladáme </w:t>
            </w:r>
            <w:r w:rsidR="00CB7227" w:rsidRPr="005B3F0D">
              <w:rPr>
                <w:sz w:val="20"/>
                <w:szCs w:val="20"/>
              </w:rPr>
              <w:t>pozitívny do</w:t>
            </w:r>
            <w:r w:rsidR="00CB7227">
              <w:rPr>
                <w:sz w:val="20"/>
                <w:szCs w:val="20"/>
              </w:rPr>
              <w:t>sah</w:t>
            </w:r>
            <w:r w:rsidR="00CB7227" w:rsidRPr="005B3F0D">
              <w:rPr>
                <w:sz w:val="20"/>
                <w:szCs w:val="20"/>
              </w:rPr>
              <w:t xml:space="preserve"> na podnikateľské prostredie </w:t>
            </w:r>
            <w:r w:rsidR="00CB7227" w:rsidRPr="00CD5285">
              <w:rPr>
                <w:sz w:val="20"/>
                <w:szCs w:val="20"/>
              </w:rPr>
              <w:t>z hľadiska možností viacerých osôb zapojiť sa do obchodova</w:t>
            </w:r>
            <w:r w:rsidR="00CB7227">
              <w:rPr>
                <w:sz w:val="20"/>
                <w:szCs w:val="20"/>
              </w:rPr>
              <w:t>nia s inseminačnými dávkami, čo</w:t>
            </w:r>
            <w:r w:rsidR="00CB7227" w:rsidRPr="00CD5285">
              <w:rPr>
                <w:sz w:val="20"/>
                <w:szCs w:val="20"/>
              </w:rPr>
              <w:t xml:space="preserve"> prispeje k prirodzenému vývoju cien inseminačných dávok a zlepší</w:t>
            </w:r>
            <w:r w:rsidR="00CB7227">
              <w:rPr>
                <w:sz w:val="20"/>
                <w:szCs w:val="20"/>
              </w:rPr>
              <w:t xml:space="preserve"> sa</w:t>
            </w:r>
            <w:r w:rsidR="00CB7227" w:rsidRPr="00CD5285">
              <w:rPr>
                <w:sz w:val="20"/>
                <w:szCs w:val="20"/>
              </w:rPr>
              <w:t xml:space="preserve"> aj </w:t>
            </w:r>
            <w:r w:rsidR="00CB7227">
              <w:rPr>
                <w:sz w:val="20"/>
                <w:szCs w:val="20"/>
              </w:rPr>
              <w:t xml:space="preserve">ich </w:t>
            </w:r>
            <w:r w:rsidR="00CB7227" w:rsidRPr="00CD5285">
              <w:rPr>
                <w:sz w:val="20"/>
                <w:szCs w:val="20"/>
              </w:rPr>
              <w:t>dostupnosť pre chovateľov.</w:t>
            </w:r>
            <w:r w:rsidR="00CB7227">
              <w:rPr>
                <w:sz w:val="20"/>
                <w:szCs w:val="20"/>
              </w:rPr>
              <w:t xml:space="preserve"> </w:t>
            </w:r>
          </w:p>
          <w:p w:rsidR="001223CC" w:rsidRDefault="00CB7227" w:rsidP="00D55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Pozitívny dosah na podnikateľské prostredie predpokladáme aj v dôsledku transparentných pravidiel cezhraničného pôsobenia chovateľských organizácií a chovateľských podnikov v iných členských štátoch a rovnocennosti ich postavenia v rámci EÚ, pokiaľ ide o ich práva a povinnosti na trhu Únie s plemennými zvieratami a ich zárodočným materiálom. </w:t>
            </w:r>
            <w:r w:rsidR="003C311A">
              <w:rPr>
                <w:sz w:val="20"/>
                <w:szCs w:val="20"/>
              </w:rPr>
              <w:t xml:space="preserve">Tieto pravidlá sú stanovené implementovaným nariadením EÚ, návrh zákona však ustanovuje postup pri napĺňaní týchto pravidiel v SR. </w:t>
            </w:r>
            <w:r w:rsidR="00D16DCA">
              <w:rPr>
                <w:sz w:val="20"/>
                <w:szCs w:val="20"/>
              </w:rPr>
              <w:t>Uznané chovateľské organizácie a chovateľské podniky budú môcť požiadať o schválenie vykonávania šľachtiteľského programu aj mimo územia SR. Návrh zákona zároveň ustanovuje právo uvedených organizácií uznaných v SR vyjadrovať sa k</w:t>
            </w:r>
            <w:r w:rsidR="00D55B12">
              <w:rPr>
                <w:sz w:val="20"/>
                <w:szCs w:val="20"/>
              </w:rPr>
              <w:t xml:space="preserve"> ďalšiemu </w:t>
            </w:r>
            <w:r w:rsidR="00D16DCA">
              <w:rPr>
                <w:sz w:val="20"/>
                <w:szCs w:val="20"/>
              </w:rPr>
              <w:t>uznávaniu organizácií a podnikov a k schvaľovaniu šľachtiteľských programov pre to isté plemeno</w:t>
            </w:r>
            <w:r w:rsidR="0030577B">
              <w:rPr>
                <w:sz w:val="20"/>
                <w:szCs w:val="20"/>
              </w:rPr>
              <w:t xml:space="preserve"> na území SR</w:t>
            </w:r>
            <w:r w:rsidR="003C311A">
              <w:rPr>
                <w:sz w:val="20"/>
                <w:szCs w:val="20"/>
              </w:rPr>
              <w:t xml:space="preserve"> vzhľadom na to, že by mohlo dôjsť k negatívnemu ovplyvneniu činností uznaných chovateľských organizácií a podnikov</w:t>
            </w:r>
            <w:r w:rsidR="001223CC">
              <w:rPr>
                <w:sz w:val="20"/>
                <w:szCs w:val="20"/>
              </w:rPr>
              <w:t>.</w:t>
            </w:r>
          </w:p>
          <w:p w:rsidR="00057B9D" w:rsidRPr="000E766F" w:rsidRDefault="00D16DCA" w:rsidP="00D55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57B9D" w:rsidRPr="000E766F" w:rsidTr="00FC31E2">
        <w:trPr>
          <w:trHeight w:val="425"/>
        </w:trPr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</w:p>
        </w:tc>
      </w:tr>
      <w:tr w:rsidR="00057B9D" w:rsidRPr="000E766F" w:rsidTr="00FC31E2">
        <w:tc>
          <w:tcPr>
            <w:tcW w:w="9212" w:type="dxa"/>
            <w:shd w:val="clear" w:color="auto" w:fill="D9D9D9"/>
          </w:tcPr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b/>
                <w:sz w:val="20"/>
                <w:szCs w:val="20"/>
              </w:rPr>
              <w:t xml:space="preserve">3.5 Inovácie </w:t>
            </w:r>
          </w:p>
          <w:p w:rsidR="00057B9D" w:rsidRPr="000E766F" w:rsidRDefault="00057B9D" w:rsidP="00FC31E2">
            <w:pPr>
              <w:rPr>
                <w:b/>
                <w:sz w:val="20"/>
                <w:szCs w:val="20"/>
              </w:rPr>
            </w:pPr>
            <w:r w:rsidRPr="000E766F">
              <w:rPr>
                <w:sz w:val="20"/>
                <w:szCs w:val="20"/>
              </w:rPr>
              <w:t xml:space="preserve">       - </w:t>
            </w:r>
            <w:r w:rsidRPr="000E766F">
              <w:rPr>
                <w:b/>
                <w:sz w:val="20"/>
                <w:szCs w:val="20"/>
              </w:rPr>
              <w:t>z toho MSP</w:t>
            </w:r>
          </w:p>
        </w:tc>
      </w:tr>
      <w:tr w:rsidR="00057B9D" w:rsidRPr="000E766F" w:rsidTr="00FC31E2"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Uveďte, ako podporuje navrhovaná zmena inovácie.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Zjednodušuje uvedenie alebo rozšírenie nových výrobných metód, technológií a výrobkov na trh?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Uveďte, ako vplýva navrhovaná zmena na jednotlivé práva duševného vlastníctva (napr. patenty, ochranné známky, autorské práva, vlastníctvo know-how).</w:t>
            </w:r>
          </w:p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Podporuje vyššiu efektivitu výroby/využívania zdrojov? Ak áno, ako?</w:t>
            </w:r>
          </w:p>
          <w:p w:rsidR="00057B9D" w:rsidRDefault="00057B9D" w:rsidP="00FC31E2">
            <w:pPr>
              <w:rPr>
                <w:i/>
                <w:sz w:val="20"/>
                <w:szCs w:val="20"/>
              </w:rPr>
            </w:pPr>
            <w:r w:rsidRPr="000E766F">
              <w:rPr>
                <w:i/>
                <w:sz w:val="20"/>
                <w:szCs w:val="20"/>
              </w:rPr>
              <w:t>Vytvorí zmena nové pracovné miesta pre zamestnancov výskumu a vývoja v SR?</w:t>
            </w:r>
          </w:p>
          <w:p w:rsidR="003C311A" w:rsidRPr="003C311A" w:rsidRDefault="003C311A" w:rsidP="00FC31E2">
            <w:pPr>
              <w:rPr>
                <w:sz w:val="20"/>
                <w:szCs w:val="20"/>
              </w:rPr>
            </w:pPr>
            <w:r w:rsidRPr="003C311A">
              <w:rPr>
                <w:sz w:val="20"/>
                <w:szCs w:val="20"/>
              </w:rPr>
              <w:t>Nepredpokladá sa dosah návrhu zákona v tejto oblasti.</w:t>
            </w:r>
            <w:r>
              <w:rPr>
                <w:sz w:val="20"/>
                <w:szCs w:val="20"/>
              </w:rPr>
              <w:t xml:space="preserve"> V zmysle implementovaného nariadenia EÚ sa v oblasti </w:t>
            </w:r>
            <w:r w:rsidR="00835A88">
              <w:rPr>
                <w:sz w:val="20"/>
                <w:szCs w:val="20"/>
              </w:rPr>
              <w:t xml:space="preserve">metodík </w:t>
            </w:r>
            <w:r>
              <w:rPr>
                <w:sz w:val="20"/>
                <w:szCs w:val="20"/>
              </w:rPr>
              <w:t>kontroly úžitkovosti plemenných zvierat zohľadňujú najnovšie vedecké poznatky.</w:t>
            </w:r>
          </w:p>
        </w:tc>
      </w:tr>
      <w:tr w:rsidR="00057B9D" w:rsidRPr="000E766F" w:rsidTr="00FC31E2">
        <w:trPr>
          <w:trHeight w:val="295"/>
        </w:trPr>
        <w:tc>
          <w:tcPr>
            <w:tcW w:w="9212" w:type="dxa"/>
          </w:tcPr>
          <w:p w:rsidR="00057B9D" w:rsidRPr="000E766F" w:rsidRDefault="00057B9D" w:rsidP="00FC31E2">
            <w:pPr>
              <w:rPr>
                <w:i/>
                <w:sz w:val="20"/>
                <w:szCs w:val="20"/>
              </w:rPr>
            </w:pPr>
          </w:p>
        </w:tc>
      </w:tr>
    </w:tbl>
    <w:p w:rsidR="00D11B3F" w:rsidRDefault="00F73A3D" w:rsidP="00DD1DF3"/>
    <w:sectPr w:rsidR="00D11B3F" w:rsidSect="00F73A3D">
      <w:footerReference w:type="default" r:id="rId10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AF" w:rsidRDefault="00707AAF" w:rsidP="00DD1DF3">
      <w:r>
        <w:separator/>
      </w:r>
    </w:p>
  </w:endnote>
  <w:endnote w:type="continuationSeparator" w:id="0">
    <w:p w:rsidR="00707AAF" w:rsidRDefault="00707AAF" w:rsidP="00DD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754091"/>
      <w:docPartObj>
        <w:docPartGallery w:val="Page Numbers (Bottom of Page)"/>
        <w:docPartUnique/>
      </w:docPartObj>
    </w:sdtPr>
    <w:sdtContent>
      <w:p w:rsidR="00F73A3D" w:rsidRDefault="00F73A3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F73A3D" w:rsidRDefault="00F73A3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AF" w:rsidRDefault="00707AAF" w:rsidP="00DD1DF3">
      <w:r>
        <w:separator/>
      </w:r>
    </w:p>
  </w:footnote>
  <w:footnote w:type="continuationSeparator" w:id="0">
    <w:p w:rsidR="00707AAF" w:rsidRDefault="00707AAF" w:rsidP="00DD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CE5"/>
    <w:multiLevelType w:val="hybridMultilevel"/>
    <w:tmpl w:val="F7FC3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19D5"/>
    <w:multiLevelType w:val="hybridMultilevel"/>
    <w:tmpl w:val="00529006"/>
    <w:lvl w:ilvl="0" w:tplc="76DE8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C3CA5"/>
    <w:multiLevelType w:val="hybridMultilevel"/>
    <w:tmpl w:val="609254E2"/>
    <w:lvl w:ilvl="0" w:tplc="1396D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9D"/>
    <w:rsid w:val="0000131F"/>
    <w:rsid w:val="000519DF"/>
    <w:rsid w:val="00057B9D"/>
    <w:rsid w:val="000661CE"/>
    <w:rsid w:val="0010689F"/>
    <w:rsid w:val="001075A4"/>
    <w:rsid w:val="00113A31"/>
    <w:rsid w:val="00115E6A"/>
    <w:rsid w:val="001223CC"/>
    <w:rsid w:val="00160165"/>
    <w:rsid w:val="00161D21"/>
    <w:rsid w:val="00176A25"/>
    <w:rsid w:val="001A26E5"/>
    <w:rsid w:val="001B0BEC"/>
    <w:rsid w:val="001F0653"/>
    <w:rsid w:val="00233129"/>
    <w:rsid w:val="00240433"/>
    <w:rsid w:val="002556F3"/>
    <w:rsid w:val="002730DC"/>
    <w:rsid w:val="0027577A"/>
    <w:rsid w:val="00287ACD"/>
    <w:rsid w:val="00297AA8"/>
    <w:rsid w:val="002A0B4D"/>
    <w:rsid w:val="002E71EF"/>
    <w:rsid w:val="0030577B"/>
    <w:rsid w:val="00316E63"/>
    <w:rsid w:val="003262F0"/>
    <w:rsid w:val="00343506"/>
    <w:rsid w:val="00347CF2"/>
    <w:rsid w:val="0036168E"/>
    <w:rsid w:val="00363845"/>
    <w:rsid w:val="00397E48"/>
    <w:rsid w:val="003C311A"/>
    <w:rsid w:val="004162EE"/>
    <w:rsid w:val="004371AA"/>
    <w:rsid w:val="00440FB8"/>
    <w:rsid w:val="0044191C"/>
    <w:rsid w:val="004A0161"/>
    <w:rsid w:val="004B6F34"/>
    <w:rsid w:val="00512BBA"/>
    <w:rsid w:val="005248C9"/>
    <w:rsid w:val="005257DE"/>
    <w:rsid w:val="00542EF4"/>
    <w:rsid w:val="00562E51"/>
    <w:rsid w:val="00567840"/>
    <w:rsid w:val="0057454E"/>
    <w:rsid w:val="00584B0B"/>
    <w:rsid w:val="005D5F9E"/>
    <w:rsid w:val="005D6FCC"/>
    <w:rsid w:val="00611184"/>
    <w:rsid w:val="006177DA"/>
    <w:rsid w:val="006204ED"/>
    <w:rsid w:val="00651F19"/>
    <w:rsid w:val="006553BB"/>
    <w:rsid w:val="006568DF"/>
    <w:rsid w:val="006F549C"/>
    <w:rsid w:val="00707AAF"/>
    <w:rsid w:val="007621EA"/>
    <w:rsid w:val="0077323D"/>
    <w:rsid w:val="007C0970"/>
    <w:rsid w:val="007F2910"/>
    <w:rsid w:val="007F6CE2"/>
    <w:rsid w:val="00802FF0"/>
    <w:rsid w:val="00835A88"/>
    <w:rsid w:val="008500D5"/>
    <w:rsid w:val="008664F3"/>
    <w:rsid w:val="008D4C42"/>
    <w:rsid w:val="008E00E0"/>
    <w:rsid w:val="008E5AD8"/>
    <w:rsid w:val="00930F73"/>
    <w:rsid w:val="009636C9"/>
    <w:rsid w:val="00963ED2"/>
    <w:rsid w:val="009F3CE6"/>
    <w:rsid w:val="00A0758F"/>
    <w:rsid w:val="00A15522"/>
    <w:rsid w:val="00A33439"/>
    <w:rsid w:val="00A41188"/>
    <w:rsid w:val="00A82FC5"/>
    <w:rsid w:val="00A90391"/>
    <w:rsid w:val="00AA10F2"/>
    <w:rsid w:val="00AA5A36"/>
    <w:rsid w:val="00AC305B"/>
    <w:rsid w:val="00AC5D07"/>
    <w:rsid w:val="00AD3A73"/>
    <w:rsid w:val="00AE65FC"/>
    <w:rsid w:val="00B253D8"/>
    <w:rsid w:val="00B53CBF"/>
    <w:rsid w:val="00B54AD0"/>
    <w:rsid w:val="00B72F94"/>
    <w:rsid w:val="00B82431"/>
    <w:rsid w:val="00BA6E3A"/>
    <w:rsid w:val="00BB1E11"/>
    <w:rsid w:val="00BE35B9"/>
    <w:rsid w:val="00BF4C3C"/>
    <w:rsid w:val="00C55AF7"/>
    <w:rsid w:val="00C57208"/>
    <w:rsid w:val="00C60CAD"/>
    <w:rsid w:val="00C67552"/>
    <w:rsid w:val="00C7560F"/>
    <w:rsid w:val="00CA1F50"/>
    <w:rsid w:val="00CA7EBC"/>
    <w:rsid w:val="00CB7227"/>
    <w:rsid w:val="00CC6110"/>
    <w:rsid w:val="00CE438F"/>
    <w:rsid w:val="00CF106F"/>
    <w:rsid w:val="00CF7B71"/>
    <w:rsid w:val="00D16DCA"/>
    <w:rsid w:val="00D20BD1"/>
    <w:rsid w:val="00D30521"/>
    <w:rsid w:val="00D55B12"/>
    <w:rsid w:val="00DC323F"/>
    <w:rsid w:val="00DD1DF3"/>
    <w:rsid w:val="00DE458E"/>
    <w:rsid w:val="00E22D38"/>
    <w:rsid w:val="00E3171A"/>
    <w:rsid w:val="00EB61B5"/>
    <w:rsid w:val="00EC3D84"/>
    <w:rsid w:val="00EC3FDC"/>
    <w:rsid w:val="00EF1032"/>
    <w:rsid w:val="00F02DB3"/>
    <w:rsid w:val="00F50D62"/>
    <w:rsid w:val="00F732B6"/>
    <w:rsid w:val="00F73A3D"/>
    <w:rsid w:val="00F952F0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7B9D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57B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6168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106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7B71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1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DF3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D1D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1D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1D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1DF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7B9D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57B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6168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106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7B71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1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DF3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D1D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1D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1D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1DF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psr.sk/sk/index.php?navID=2&amp;navID2=2&amp;sID=26&amp;sID2=28&amp;id=206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5784-2CBD-4728-B34D-6903458B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Salagová Zuzana</dc:creator>
  <cp:lastModifiedBy>Gilanová Zuzana</cp:lastModifiedBy>
  <cp:revision>4</cp:revision>
  <dcterms:created xsi:type="dcterms:W3CDTF">2018-10-25T05:32:00Z</dcterms:created>
  <dcterms:modified xsi:type="dcterms:W3CDTF">2018-10-25T09:02:00Z</dcterms:modified>
</cp:coreProperties>
</file>