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DF" w:rsidRDefault="007148DF" w:rsidP="00C579E9">
      <w:pPr>
        <w:pStyle w:val="NormalWeb"/>
        <w:spacing w:before="0" w:beforeAutospacing="0" w:after="0" w:afterAutospacing="0"/>
        <w:jc w:val="center"/>
        <w:rPr>
          <w:b/>
          <w:bCs/>
          <w:sz w:val="28"/>
          <w:szCs w:val="28"/>
        </w:rPr>
      </w:pPr>
      <w:bookmarkStart w:id="0" w:name="_GoBack"/>
      <w:bookmarkEnd w:id="0"/>
      <w:r w:rsidRPr="00C579E9">
        <w:rPr>
          <w:b/>
          <w:bCs/>
          <w:sz w:val="28"/>
          <w:szCs w:val="28"/>
        </w:rPr>
        <w:t>Doložka vybraných vplyvov</w:t>
      </w:r>
    </w:p>
    <w:p w:rsidR="007148DF" w:rsidRDefault="007148DF" w:rsidP="00C579E9">
      <w:pPr>
        <w:pStyle w:val="NormalWeb"/>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5453"/>
        <w:gridCol w:w="3635"/>
      </w:tblGrid>
      <w:tr w:rsidR="007148DF">
        <w:trPr>
          <w:divId w:val="580262461"/>
          <w:jc w:val="center"/>
        </w:trPr>
        <w:tc>
          <w:tcPr>
            <w:tcW w:w="250" w:type="pct"/>
            <w:gridSpan w:val="2"/>
            <w:tcBorders>
              <w:top w:val="outset" w:sz="6" w:space="0" w:color="000000"/>
              <w:bottom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1.  Základné údaje</w:t>
            </w:r>
          </w:p>
        </w:tc>
      </w:tr>
      <w:tr w:rsidR="007148DF">
        <w:trPr>
          <w:divId w:val="580262461"/>
          <w:trHeight w:val="450"/>
          <w:jc w:val="center"/>
        </w:trPr>
        <w:tc>
          <w:tcPr>
            <w:tcW w:w="250" w:type="pct"/>
            <w:gridSpan w:val="2"/>
            <w:tcBorders>
              <w:top w:val="outset" w:sz="6" w:space="0" w:color="000000"/>
              <w:bottom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Názov materiálu</w:t>
            </w:r>
          </w:p>
        </w:tc>
      </w:tr>
      <w:tr w:rsidR="007148DF">
        <w:trPr>
          <w:divId w:val="580262461"/>
          <w:trHeight w:val="450"/>
          <w:jc w:val="center"/>
        </w:trPr>
        <w:tc>
          <w:tcPr>
            <w:tcW w:w="250" w:type="pct"/>
            <w:gridSpan w:val="2"/>
            <w:tcBorders>
              <w:top w:val="outset" w:sz="6" w:space="0" w:color="000000"/>
              <w:bottom w:val="outset" w:sz="6" w:space="0" w:color="000000"/>
            </w:tcBorders>
          </w:tcPr>
          <w:p w:rsidR="007148DF" w:rsidRDefault="007148DF">
            <w:pPr>
              <w:rPr>
                <w:rFonts w:ascii="Times" w:hAnsi="Times" w:cs="Times"/>
                <w:sz w:val="20"/>
                <w:szCs w:val="20"/>
              </w:rPr>
            </w:pPr>
            <w:r>
              <w:rPr>
                <w:rFonts w:ascii="Times" w:hAnsi="Times" w:cs="Times"/>
                <w:sz w:val="20"/>
                <w:szCs w:val="20"/>
              </w:rPr>
              <w:t xml:space="preserve">Akčný plán pre životné prostredie a zdravie obyvateľov Slovenskej republiky V. (NEHAP V.) </w:t>
            </w:r>
          </w:p>
        </w:tc>
      </w:tr>
      <w:tr w:rsidR="007148DF">
        <w:trPr>
          <w:divId w:val="580262461"/>
          <w:trHeight w:val="450"/>
          <w:jc w:val="center"/>
        </w:trPr>
        <w:tc>
          <w:tcPr>
            <w:tcW w:w="250" w:type="pct"/>
            <w:gridSpan w:val="2"/>
            <w:tcBorders>
              <w:top w:val="outset" w:sz="6" w:space="0" w:color="000000"/>
              <w:bottom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Predkladateľ (a spolupredkladateľ)</w:t>
            </w:r>
          </w:p>
        </w:tc>
      </w:tr>
      <w:tr w:rsidR="007148DF">
        <w:trPr>
          <w:divId w:val="580262461"/>
          <w:trHeight w:val="450"/>
          <w:jc w:val="center"/>
        </w:trPr>
        <w:tc>
          <w:tcPr>
            <w:tcW w:w="250" w:type="pct"/>
            <w:gridSpan w:val="2"/>
            <w:tcBorders>
              <w:top w:val="outset" w:sz="6" w:space="0" w:color="000000"/>
              <w:bottom w:val="outset" w:sz="6" w:space="0" w:color="000000"/>
            </w:tcBorders>
          </w:tcPr>
          <w:p w:rsidR="007148DF" w:rsidRDefault="007148DF">
            <w:pPr>
              <w:rPr>
                <w:rFonts w:ascii="Times" w:hAnsi="Times" w:cs="Times"/>
                <w:sz w:val="20"/>
                <w:szCs w:val="20"/>
              </w:rPr>
            </w:pPr>
            <w:r>
              <w:rPr>
                <w:rFonts w:ascii="Times" w:hAnsi="Times" w:cs="Times"/>
                <w:sz w:val="20"/>
                <w:szCs w:val="20"/>
              </w:rPr>
              <w:t>Ministerstvo zdravotníctva Slovenskej republiky</w:t>
            </w:r>
          </w:p>
        </w:tc>
      </w:tr>
      <w:tr w:rsidR="007148DF">
        <w:trPr>
          <w:divId w:val="580262461"/>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tcPr>
          <w:p w:rsidR="007148DF" w:rsidRDefault="007148DF">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Materiál nelegislatívnej povahy</w:t>
            </w:r>
          </w:p>
        </w:tc>
      </w:tr>
      <w:tr w:rsidR="007148DF">
        <w:trPr>
          <w:divId w:val="580262461"/>
          <w:trHeight w:val="255"/>
          <w:jc w:val="center"/>
        </w:trPr>
        <w:tc>
          <w:tcPr>
            <w:tcW w:w="0" w:type="auto"/>
            <w:vMerge/>
            <w:tcBorders>
              <w:top w:val="outset" w:sz="6" w:space="0" w:color="000000"/>
              <w:bottom w:val="outset" w:sz="6" w:space="0" w:color="000000"/>
              <w:right w:val="outset" w:sz="6" w:space="0" w:color="000000"/>
            </w:tcBorders>
            <w:vAlign w:val="center"/>
          </w:tcPr>
          <w:p w:rsidR="007148DF" w:rsidRDefault="007148DF">
            <w:pPr>
              <w:rPr>
                <w:rFonts w:ascii="Times" w:hAnsi="Times" w:cs="Times"/>
                <w:b/>
                <w:bCs/>
              </w:rPr>
            </w:pPr>
          </w:p>
        </w:tc>
        <w:tc>
          <w:tcPr>
            <w:tcW w:w="2500" w:type="pct"/>
            <w:tcBorders>
              <w:top w:val="outset" w:sz="6" w:space="0" w:color="000000"/>
              <w:left w:val="outset" w:sz="6" w:space="0" w:color="000000"/>
              <w:bottom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Materiál legislatívnej povahy </w:t>
            </w:r>
          </w:p>
        </w:tc>
      </w:tr>
      <w:tr w:rsidR="007148DF">
        <w:trPr>
          <w:divId w:val="580262461"/>
          <w:trHeight w:val="255"/>
          <w:jc w:val="center"/>
        </w:trPr>
        <w:tc>
          <w:tcPr>
            <w:tcW w:w="0" w:type="auto"/>
            <w:vMerge/>
            <w:tcBorders>
              <w:top w:val="outset" w:sz="6" w:space="0" w:color="000000"/>
              <w:bottom w:val="outset" w:sz="6" w:space="0" w:color="000000"/>
              <w:right w:val="outset" w:sz="6" w:space="0" w:color="000000"/>
            </w:tcBorders>
            <w:vAlign w:val="center"/>
          </w:tcPr>
          <w:p w:rsidR="007148DF" w:rsidRDefault="007148DF">
            <w:pPr>
              <w:rPr>
                <w:rFonts w:ascii="Times" w:hAnsi="Times" w:cs="Times"/>
                <w:b/>
                <w:bCs/>
              </w:rPr>
            </w:pPr>
          </w:p>
        </w:tc>
        <w:tc>
          <w:tcPr>
            <w:tcW w:w="2500" w:type="pct"/>
            <w:tcBorders>
              <w:top w:val="outset" w:sz="6" w:space="0" w:color="000000"/>
              <w:left w:val="outset" w:sz="6" w:space="0" w:color="000000"/>
              <w:bottom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7148DF">
        <w:trPr>
          <w:divId w:val="580262461"/>
          <w:trHeight w:val="675"/>
          <w:jc w:val="center"/>
        </w:trPr>
        <w:tc>
          <w:tcPr>
            <w:tcW w:w="0" w:type="auto"/>
            <w:gridSpan w:val="2"/>
            <w:tcBorders>
              <w:top w:val="outset" w:sz="6" w:space="0" w:color="000000"/>
              <w:bottom w:val="outset" w:sz="6" w:space="0" w:color="000000"/>
            </w:tcBorders>
          </w:tcPr>
          <w:p w:rsidR="007148DF" w:rsidRDefault="007148DF">
            <w:pPr>
              <w:rPr>
                <w:rFonts w:ascii="Times" w:hAnsi="Times" w:cs="Times"/>
                <w:sz w:val="20"/>
                <w:szCs w:val="20"/>
              </w:rPr>
            </w:pPr>
          </w:p>
        </w:tc>
      </w:tr>
      <w:tr w:rsidR="007148DF">
        <w:trPr>
          <w:divId w:val="580262461"/>
          <w:trHeight w:val="450"/>
          <w:jc w:val="center"/>
        </w:trPr>
        <w:tc>
          <w:tcPr>
            <w:tcW w:w="3000" w:type="pct"/>
            <w:tcBorders>
              <w:top w:val="outset" w:sz="6" w:space="0" w:color="000000"/>
              <w:bottom w:val="outset" w:sz="6" w:space="0" w:color="000000"/>
              <w:right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tcPr>
          <w:p w:rsidR="007148DF" w:rsidRDefault="007148DF">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7148DF">
        <w:trPr>
          <w:divId w:val="580262461"/>
          <w:trHeight w:val="450"/>
          <w:jc w:val="center"/>
        </w:trPr>
        <w:tc>
          <w:tcPr>
            <w:tcW w:w="3000" w:type="pct"/>
            <w:tcBorders>
              <w:top w:val="outset" w:sz="6" w:space="0" w:color="000000"/>
              <w:bottom w:val="outset" w:sz="6" w:space="0" w:color="000000"/>
              <w:right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tcPr>
          <w:p w:rsidR="007148DF" w:rsidRDefault="007148DF">
            <w:pPr>
              <w:rPr>
                <w:rFonts w:ascii="Times" w:hAnsi="Times" w:cs="Times"/>
                <w:sz w:val="20"/>
                <w:szCs w:val="20"/>
              </w:rPr>
            </w:pPr>
            <w:r>
              <w:rPr>
                <w:rFonts w:ascii="Times" w:hAnsi="Times" w:cs="Times"/>
                <w:sz w:val="20"/>
                <w:szCs w:val="20"/>
              </w:rPr>
              <w:t>16.11. 2018</w:t>
            </w:r>
          </w:p>
        </w:tc>
      </w:tr>
      <w:tr w:rsidR="007148DF">
        <w:trPr>
          <w:divId w:val="580262461"/>
          <w:trHeight w:val="600"/>
          <w:jc w:val="center"/>
        </w:trPr>
        <w:tc>
          <w:tcPr>
            <w:tcW w:w="3000" w:type="pct"/>
            <w:tcBorders>
              <w:top w:val="outset" w:sz="6" w:space="0" w:color="000000"/>
              <w:bottom w:val="outset" w:sz="6" w:space="0" w:color="000000"/>
              <w:right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tcPr>
          <w:p w:rsidR="007148DF" w:rsidRDefault="007148DF">
            <w:pPr>
              <w:rPr>
                <w:rFonts w:ascii="Times" w:hAnsi="Times" w:cs="Times"/>
                <w:sz w:val="20"/>
                <w:szCs w:val="20"/>
              </w:rPr>
            </w:pPr>
            <w:r>
              <w:rPr>
                <w:rFonts w:ascii="Times" w:hAnsi="Times" w:cs="Times"/>
                <w:sz w:val="20"/>
                <w:szCs w:val="20"/>
              </w:rPr>
              <w:t>december 2018</w:t>
            </w:r>
          </w:p>
        </w:tc>
      </w:tr>
    </w:tbl>
    <w:p w:rsidR="007148DF" w:rsidRDefault="007148DF" w:rsidP="00C579E9">
      <w:pPr>
        <w:pStyle w:val="NormalWeb"/>
        <w:spacing w:before="0" w:beforeAutospacing="0" w:after="0" w:afterAutospacing="0"/>
        <w:rPr>
          <w:bCs/>
          <w:sz w:val="22"/>
          <w:szCs w:val="22"/>
        </w:rPr>
      </w:pPr>
    </w:p>
    <w:p w:rsidR="007148DF" w:rsidRDefault="007148DF" w:rsidP="00C579E9">
      <w:pPr>
        <w:pStyle w:val="NormalWeb"/>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9088"/>
      </w:tblGrid>
      <w:tr w:rsidR="007148DF">
        <w:trPr>
          <w:divId w:val="580262459"/>
          <w:jc w:val="center"/>
        </w:trPr>
        <w:tc>
          <w:tcPr>
            <w:tcW w:w="250" w:type="pct"/>
            <w:tcBorders>
              <w:top w:val="outset" w:sz="6" w:space="0" w:color="000000"/>
              <w:bottom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2.  Definícia problému</w:t>
            </w:r>
          </w:p>
        </w:tc>
      </w:tr>
      <w:tr w:rsidR="007148DF">
        <w:trPr>
          <w:divId w:val="580262459"/>
          <w:trHeight w:val="600"/>
          <w:jc w:val="center"/>
        </w:trPr>
        <w:tc>
          <w:tcPr>
            <w:tcW w:w="250" w:type="pct"/>
            <w:tcBorders>
              <w:top w:val="outset" w:sz="6" w:space="0" w:color="000000"/>
              <w:bottom w:val="outset" w:sz="6" w:space="0" w:color="000000"/>
            </w:tcBorders>
          </w:tcPr>
          <w:p w:rsidR="007148DF" w:rsidRDefault="007148DF">
            <w:pPr>
              <w:rPr>
                <w:rFonts w:ascii="Times" w:hAnsi="Times" w:cs="Times"/>
                <w:sz w:val="20"/>
                <w:szCs w:val="20"/>
              </w:rPr>
            </w:pPr>
            <w:r>
              <w:rPr>
                <w:rFonts w:ascii="Times" w:hAnsi="Times" w:cs="Times"/>
                <w:sz w:val="20"/>
                <w:szCs w:val="20"/>
              </w:rPr>
              <w:t>Nový akčný plán tzv. NEHAP V. bol vypracovaný za účelom implementácie záverov 6. ministerskej konferencie o životnom prostredí a zdraví konanej v Ostrave (13 - 15.6. 2017) v podmienkach Slovenskej republiky.</w:t>
            </w:r>
          </w:p>
        </w:tc>
      </w:tr>
      <w:tr w:rsidR="007148DF">
        <w:trPr>
          <w:divId w:val="580262459"/>
          <w:jc w:val="center"/>
        </w:trPr>
        <w:tc>
          <w:tcPr>
            <w:tcW w:w="250" w:type="pct"/>
            <w:tcBorders>
              <w:top w:val="outset" w:sz="6" w:space="0" w:color="000000"/>
              <w:bottom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3.  Ciele a výsledný stav</w:t>
            </w:r>
          </w:p>
        </w:tc>
      </w:tr>
      <w:tr w:rsidR="007148DF">
        <w:trPr>
          <w:divId w:val="580262459"/>
          <w:trHeight w:val="600"/>
          <w:jc w:val="center"/>
        </w:trPr>
        <w:tc>
          <w:tcPr>
            <w:tcW w:w="250" w:type="pct"/>
            <w:tcBorders>
              <w:top w:val="outset" w:sz="6" w:space="0" w:color="000000"/>
              <w:bottom w:val="outset" w:sz="6" w:space="0" w:color="000000"/>
            </w:tcBorders>
          </w:tcPr>
          <w:p w:rsidR="007148DF" w:rsidRDefault="007148DF">
            <w:pPr>
              <w:rPr>
                <w:rFonts w:ascii="Times" w:hAnsi="Times" w:cs="Times"/>
                <w:sz w:val="20"/>
                <w:szCs w:val="20"/>
              </w:rPr>
            </w:pPr>
            <w:r>
              <w:rPr>
                <w:rFonts w:ascii="Times" w:hAnsi="Times" w:cs="Times"/>
                <w:sz w:val="20"/>
                <w:szCs w:val="20"/>
              </w:rPr>
              <w:t xml:space="preserve">Základným cieľom NEHAP V. je minimalizovať riziká pochádzajúce z prostredia, ktoré môžu poškodzovať a ohrozovať zdravie ľudí, a to prostredníctvom stanovených dlhodobých cieľov v kontexte politiky Zdravie </w:t>
            </w:r>
            <w:smartTag w:uri="urn:schemas-microsoft-com:office:smarttags" w:element="metricconverter">
              <w:smartTagPr>
                <w:attr w:name="ProductID" w:val="2020 a"/>
              </w:smartTagPr>
              <w:r>
                <w:rPr>
                  <w:rFonts w:ascii="Times" w:hAnsi="Times" w:cs="Times"/>
                  <w:sz w:val="20"/>
                  <w:szCs w:val="20"/>
                </w:rPr>
                <w:t>2020 a</w:t>
              </w:r>
            </w:smartTag>
            <w:r>
              <w:rPr>
                <w:rFonts w:ascii="Times" w:hAnsi="Times" w:cs="Times"/>
                <w:sz w:val="20"/>
                <w:szCs w:val="20"/>
              </w:rPr>
              <w:t xml:space="preserve"> Agendy </w:t>
            </w:r>
            <w:smartTag w:uri="urn:schemas-microsoft-com:office:smarttags" w:element="metricconverter">
              <w:smartTagPr>
                <w:attr w:name="ProductID" w:val="2030 a"/>
              </w:smartTagPr>
              <w:r>
                <w:rPr>
                  <w:rFonts w:ascii="Times" w:hAnsi="Times" w:cs="Times"/>
                  <w:sz w:val="20"/>
                  <w:szCs w:val="20"/>
                </w:rPr>
                <w:t>2030 a</w:t>
              </w:r>
            </w:smartTag>
            <w:r>
              <w:rPr>
                <w:rFonts w:ascii="Times" w:hAnsi="Times" w:cs="Times"/>
                <w:sz w:val="20"/>
                <w:szCs w:val="20"/>
              </w:rPr>
              <w:t xml:space="preserve"> ich vykonávacích aktivít.</w:t>
            </w:r>
          </w:p>
        </w:tc>
      </w:tr>
      <w:tr w:rsidR="007148DF">
        <w:trPr>
          <w:divId w:val="580262459"/>
          <w:jc w:val="center"/>
        </w:trPr>
        <w:tc>
          <w:tcPr>
            <w:tcW w:w="250" w:type="pct"/>
            <w:tcBorders>
              <w:top w:val="outset" w:sz="6" w:space="0" w:color="000000"/>
              <w:bottom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4.  Dotknuté subjekty</w:t>
            </w:r>
          </w:p>
        </w:tc>
      </w:tr>
      <w:tr w:rsidR="007148DF">
        <w:trPr>
          <w:divId w:val="580262459"/>
          <w:trHeight w:val="600"/>
          <w:jc w:val="center"/>
        </w:trPr>
        <w:tc>
          <w:tcPr>
            <w:tcW w:w="250" w:type="pct"/>
            <w:tcBorders>
              <w:top w:val="outset" w:sz="6" w:space="0" w:color="000000"/>
              <w:bottom w:val="outset" w:sz="6" w:space="0" w:color="000000"/>
            </w:tcBorders>
          </w:tcPr>
          <w:p w:rsidR="007148DF" w:rsidRDefault="007148DF">
            <w:pPr>
              <w:rPr>
                <w:rFonts w:ascii="Times" w:hAnsi="Times" w:cs="Times"/>
                <w:sz w:val="20"/>
                <w:szCs w:val="20"/>
              </w:rPr>
            </w:pPr>
            <w:r>
              <w:rPr>
                <w:rFonts w:ascii="Times" w:hAnsi="Times" w:cs="Times"/>
                <w:sz w:val="20"/>
                <w:szCs w:val="20"/>
              </w:rPr>
              <w:t>Ministerka zdravotníctva Slovenskej republiky</w:t>
            </w:r>
            <w:r>
              <w:rPr>
                <w:rFonts w:ascii="Times" w:hAnsi="Times" w:cs="Times"/>
                <w:sz w:val="20"/>
                <w:szCs w:val="20"/>
              </w:rPr>
              <w:br/>
              <w:t xml:space="preserve">Podpredseda vlády a minister životného prostredia Slovenskej republiky </w:t>
            </w:r>
            <w:r>
              <w:rPr>
                <w:rFonts w:ascii="Times" w:hAnsi="Times" w:cs="Times"/>
                <w:sz w:val="20"/>
                <w:szCs w:val="20"/>
              </w:rPr>
              <w:br/>
              <w:t>Podpredsedníčka vlády a ministerka pôdohospodárstva a rozvoja vidieka Slovenskej republiky</w:t>
            </w:r>
            <w:r>
              <w:rPr>
                <w:rFonts w:ascii="Times" w:hAnsi="Times" w:cs="Times"/>
                <w:sz w:val="20"/>
                <w:szCs w:val="20"/>
              </w:rPr>
              <w:br/>
              <w:t>Minister dopravy a výstavby Slovenskej republiky</w:t>
            </w:r>
            <w:r>
              <w:rPr>
                <w:rFonts w:ascii="Times" w:hAnsi="Times" w:cs="Times"/>
                <w:sz w:val="20"/>
                <w:szCs w:val="20"/>
              </w:rPr>
              <w:br/>
              <w:t>Minister hospodárstva Slovenskej republiky</w:t>
            </w:r>
            <w:r>
              <w:rPr>
                <w:rFonts w:ascii="Times" w:hAnsi="Times" w:cs="Times"/>
                <w:sz w:val="20"/>
                <w:szCs w:val="20"/>
              </w:rPr>
              <w:br/>
              <w:t>Ministerka školstva, vedy, výskumu a športu Slovenskej republiky</w:t>
            </w:r>
          </w:p>
        </w:tc>
      </w:tr>
      <w:tr w:rsidR="007148DF">
        <w:trPr>
          <w:divId w:val="580262459"/>
          <w:jc w:val="center"/>
        </w:trPr>
        <w:tc>
          <w:tcPr>
            <w:tcW w:w="250" w:type="pct"/>
            <w:tcBorders>
              <w:top w:val="outset" w:sz="6" w:space="0" w:color="000000"/>
              <w:bottom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5.  Alternatívne riešenia</w:t>
            </w:r>
          </w:p>
        </w:tc>
      </w:tr>
      <w:tr w:rsidR="007148DF">
        <w:trPr>
          <w:divId w:val="580262459"/>
          <w:trHeight w:val="600"/>
          <w:jc w:val="center"/>
        </w:trPr>
        <w:tc>
          <w:tcPr>
            <w:tcW w:w="250" w:type="pct"/>
            <w:tcBorders>
              <w:top w:val="outset" w:sz="6" w:space="0" w:color="000000"/>
              <w:bottom w:val="outset" w:sz="6" w:space="0" w:color="000000"/>
            </w:tcBorders>
          </w:tcPr>
          <w:p w:rsidR="007148DF" w:rsidRDefault="007148DF">
            <w:pPr>
              <w:rPr>
                <w:rFonts w:ascii="Times" w:hAnsi="Times" w:cs="Times"/>
                <w:sz w:val="20"/>
                <w:szCs w:val="20"/>
              </w:rPr>
            </w:pPr>
            <w:r>
              <w:rPr>
                <w:rFonts w:ascii="Times" w:hAnsi="Times" w:cs="Times"/>
                <w:sz w:val="20"/>
                <w:szCs w:val="20"/>
              </w:rPr>
              <w:t>Bez alternatívnych riešení</w:t>
            </w:r>
          </w:p>
        </w:tc>
      </w:tr>
      <w:tr w:rsidR="007148DF">
        <w:trPr>
          <w:divId w:val="580262459"/>
          <w:jc w:val="center"/>
        </w:trPr>
        <w:tc>
          <w:tcPr>
            <w:tcW w:w="250" w:type="pct"/>
            <w:tcBorders>
              <w:top w:val="outset" w:sz="6" w:space="0" w:color="000000"/>
              <w:bottom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6.  Vykonávacie predpisy</w:t>
            </w:r>
          </w:p>
        </w:tc>
      </w:tr>
      <w:tr w:rsidR="007148DF">
        <w:trPr>
          <w:divId w:val="580262459"/>
          <w:trHeight w:val="600"/>
          <w:jc w:val="center"/>
        </w:trPr>
        <w:tc>
          <w:tcPr>
            <w:tcW w:w="250" w:type="pct"/>
            <w:tcBorders>
              <w:top w:val="outset" w:sz="6" w:space="0" w:color="000000"/>
              <w:bottom w:val="outset" w:sz="6" w:space="0" w:color="000000"/>
            </w:tcBorders>
          </w:tcPr>
          <w:p w:rsidR="007148DF" w:rsidRDefault="007148DF">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r>
              <w:rPr>
                <w:rFonts w:ascii="Times" w:hAnsi="Times" w:cs="Times"/>
                <w:sz w:val="20"/>
                <w:szCs w:val="20"/>
              </w:rPr>
              <w:br/>
              <w:t>Konkrétne zmeny legislatívy v súlade s navrhovanými aktivitami NEHAP V. budú prebiehať pri ich aktuálnej novelizácii a príprave. Potreba ich novelizácie bude analyzovaná na základe čiastkových stratégií a analýz rezortov.</w:t>
            </w:r>
          </w:p>
        </w:tc>
      </w:tr>
      <w:tr w:rsidR="007148DF">
        <w:trPr>
          <w:divId w:val="580262459"/>
          <w:jc w:val="center"/>
        </w:trPr>
        <w:tc>
          <w:tcPr>
            <w:tcW w:w="250" w:type="pct"/>
            <w:tcBorders>
              <w:top w:val="outset" w:sz="6" w:space="0" w:color="000000"/>
              <w:bottom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xml:space="preserve">  7.  Transpozícia práva EÚ </w:t>
            </w:r>
          </w:p>
        </w:tc>
      </w:tr>
      <w:tr w:rsidR="007148DF">
        <w:trPr>
          <w:divId w:val="580262459"/>
          <w:trHeight w:val="600"/>
          <w:jc w:val="center"/>
        </w:trPr>
        <w:tc>
          <w:tcPr>
            <w:tcW w:w="250" w:type="pct"/>
            <w:tcBorders>
              <w:top w:val="outset" w:sz="6" w:space="0" w:color="000000"/>
              <w:bottom w:val="outset" w:sz="6" w:space="0" w:color="000000"/>
            </w:tcBorders>
          </w:tcPr>
          <w:p w:rsidR="007148DF" w:rsidRDefault="007148DF">
            <w:pPr>
              <w:rPr>
                <w:rFonts w:ascii="Times" w:hAnsi="Times" w:cs="Times"/>
                <w:b/>
                <w:bCs/>
              </w:rPr>
            </w:pPr>
          </w:p>
        </w:tc>
      </w:tr>
      <w:tr w:rsidR="007148DF">
        <w:trPr>
          <w:divId w:val="580262459"/>
          <w:jc w:val="center"/>
        </w:trPr>
        <w:tc>
          <w:tcPr>
            <w:tcW w:w="250" w:type="pct"/>
            <w:tcBorders>
              <w:top w:val="outset" w:sz="6" w:space="0" w:color="000000"/>
              <w:bottom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8.  Preskúmanie účelnosti**</w:t>
            </w:r>
          </w:p>
        </w:tc>
      </w:tr>
      <w:tr w:rsidR="007148DF">
        <w:trPr>
          <w:divId w:val="580262459"/>
          <w:trHeight w:val="600"/>
          <w:jc w:val="center"/>
        </w:trPr>
        <w:tc>
          <w:tcPr>
            <w:tcW w:w="250" w:type="pct"/>
            <w:tcBorders>
              <w:top w:val="outset" w:sz="6" w:space="0" w:color="000000"/>
              <w:bottom w:val="outset" w:sz="6" w:space="0" w:color="000000"/>
            </w:tcBorders>
          </w:tcPr>
          <w:p w:rsidR="007148DF" w:rsidRDefault="007148DF">
            <w:pPr>
              <w:rPr>
                <w:rFonts w:ascii="Times" w:hAnsi="Times" w:cs="Times"/>
                <w:b/>
                <w:bCs/>
              </w:rPr>
            </w:pPr>
          </w:p>
        </w:tc>
      </w:tr>
    </w:tbl>
    <w:p w:rsidR="007148DF" w:rsidRDefault="007148DF" w:rsidP="00C579E9">
      <w:pPr>
        <w:pStyle w:val="NormalWeb"/>
        <w:spacing w:before="0" w:beforeAutospacing="0" w:after="0" w:afterAutospacing="0"/>
        <w:rPr>
          <w:bCs/>
          <w:sz w:val="22"/>
          <w:szCs w:val="22"/>
        </w:rPr>
      </w:pPr>
    </w:p>
    <w:p w:rsidR="007148DF" w:rsidRPr="00543B8E" w:rsidRDefault="007148DF"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7148DF" w:rsidRDefault="007148DF" w:rsidP="00543B8E">
      <w:pPr>
        <w:pStyle w:val="NormalWeb"/>
        <w:spacing w:before="0" w:beforeAutospacing="0" w:after="0" w:afterAutospacing="0"/>
        <w:rPr>
          <w:sz w:val="20"/>
          <w:szCs w:val="20"/>
        </w:rPr>
      </w:pPr>
      <w:r w:rsidRPr="00543B8E">
        <w:rPr>
          <w:sz w:val="20"/>
          <w:szCs w:val="20"/>
        </w:rPr>
        <w:t>** nepovinné</w:t>
      </w:r>
    </w:p>
    <w:p w:rsidR="007148DF" w:rsidRDefault="007148DF" w:rsidP="00543B8E">
      <w:pPr>
        <w:pStyle w:val="NormalWeb"/>
        <w:spacing w:before="0" w:beforeAutospacing="0" w:after="0" w:afterAutospacing="0"/>
        <w:rPr>
          <w:sz w:val="20"/>
          <w:szCs w:val="20"/>
        </w:rPr>
      </w:pPr>
    </w:p>
    <w:p w:rsidR="007148DF" w:rsidRDefault="007148DF" w:rsidP="00543B8E">
      <w:pPr>
        <w:pStyle w:val="NormalWeb"/>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3634"/>
        <w:gridCol w:w="1818"/>
        <w:gridCol w:w="1818"/>
        <w:gridCol w:w="1818"/>
      </w:tblGrid>
      <w:tr w:rsidR="007148DF">
        <w:trPr>
          <w:divId w:val="580262464"/>
          <w:trHeight w:val="450"/>
          <w:jc w:val="center"/>
        </w:trPr>
        <w:tc>
          <w:tcPr>
            <w:tcW w:w="250" w:type="pct"/>
            <w:gridSpan w:val="4"/>
            <w:tcBorders>
              <w:top w:val="outset" w:sz="6" w:space="0" w:color="000000"/>
              <w:bottom w:val="outset" w:sz="6" w:space="0" w:color="000000"/>
            </w:tcBorders>
            <w:shd w:val="clear" w:color="auto" w:fill="E6E6E6"/>
          </w:tcPr>
          <w:p w:rsidR="007148DF" w:rsidRDefault="007148DF">
            <w:pPr>
              <w:rPr>
                <w:rFonts w:ascii="Times" w:hAnsi="Times" w:cs="Times"/>
                <w:b/>
                <w:bCs/>
                <w:sz w:val="20"/>
                <w:szCs w:val="20"/>
              </w:rPr>
            </w:pPr>
            <w:r>
              <w:rPr>
                <w:rFonts w:ascii="Times" w:hAnsi="Times" w:cs="Times"/>
                <w:b/>
                <w:bCs/>
                <w:sz w:val="20"/>
                <w:szCs w:val="20"/>
              </w:rPr>
              <w:t>  9.   Vplyvy navrhovaného materiálu</w:t>
            </w:r>
          </w:p>
        </w:tc>
      </w:tr>
      <w:tr w:rsidR="007148DF">
        <w:trPr>
          <w:divId w:val="580262464"/>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tcPr>
          <w:p w:rsidR="007148DF" w:rsidRDefault="007148DF">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7148DF">
        <w:trPr>
          <w:divId w:val="580262464"/>
          <w:trHeight w:val="270"/>
          <w:jc w:val="center"/>
        </w:trPr>
        <w:tc>
          <w:tcPr>
            <w:tcW w:w="0" w:type="auto"/>
            <w:vMerge/>
            <w:tcBorders>
              <w:top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7148DF">
        <w:trPr>
          <w:divId w:val="580262464"/>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tcPr>
          <w:p w:rsidR="007148DF" w:rsidRDefault="007148DF">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7148DF">
        <w:trPr>
          <w:divId w:val="580262464"/>
          <w:trHeight w:val="270"/>
          <w:jc w:val="center"/>
        </w:trPr>
        <w:tc>
          <w:tcPr>
            <w:tcW w:w="0" w:type="auto"/>
            <w:vMerge/>
            <w:tcBorders>
              <w:top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Negatívne</w:t>
            </w:r>
          </w:p>
        </w:tc>
      </w:tr>
      <w:tr w:rsidR="007148DF">
        <w:trPr>
          <w:divId w:val="580262464"/>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tcPr>
          <w:p w:rsidR="007148DF" w:rsidRDefault="007148DF">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148DF">
        <w:trPr>
          <w:divId w:val="580262464"/>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tcPr>
          <w:p w:rsidR="007148DF" w:rsidRDefault="007148DF">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148DF">
        <w:trPr>
          <w:divId w:val="580262464"/>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tcPr>
          <w:p w:rsidR="007148DF" w:rsidRDefault="007148DF">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148DF">
        <w:trPr>
          <w:divId w:val="580262464"/>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tcPr>
          <w:p w:rsidR="007148DF" w:rsidRDefault="007148DF">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7148DF" w:rsidRDefault="007148D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7148DF">
        <w:trPr>
          <w:divId w:val="580262464"/>
          <w:trHeight w:val="150"/>
          <w:jc w:val="center"/>
        </w:trPr>
        <w:tc>
          <w:tcPr>
            <w:tcW w:w="0" w:type="auto"/>
            <w:vMerge/>
            <w:tcBorders>
              <w:top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7148DF" w:rsidRDefault="007148D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7148DF" w:rsidRDefault="007148DF" w:rsidP="00543B8E">
      <w:pPr>
        <w:pStyle w:val="NormalWeb"/>
        <w:spacing w:before="0" w:beforeAutospacing="0" w:after="0" w:afterAutospacing="0"/>
        <w:rPr>
          <w:sz w:val="20"/>
          <w:szCs w:val="20"/>
        </w:rPr>
      </w:pPr>
    </w:p>
    <w:p w:rsidR="007148DF" w:rsidRDefault="007148DF" w:rsidP="00543B8E">
      <w:pPr>
        <w:pStyle w:val="NormalWeb"/>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9088"/>
      </w:tblGrid>
      <w:tr w:rsidR="007148DF">
        <w:trPr>
          <w:divId w:val="580262460"/>
          <w:jc w:val="center"/>
        </w:trPr>
        <w:tc>
          <w:tcPr>
            <w:tcW w:w="250" w:type="pct"/>
            <w:tcBorders>
              <w:top w:val="outset" w:sz="6" w:space="0" w:color="000000"/>
              <w:bottom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10.  Poznámky</w:t>
            </w:r>
          </w:p>
        </w:tc>
      </w:tr>
      <w:tr w:rsidR="007148DF">
        <w:trPr>
          <w:divId w:val="580262460"/>
          <w:trHeight w:val="600"/>
          <w:jc w:val="center"/>
        </w:trPr>
        <w:tc>
          <w:tcPr>
            <w:tcW w:w="250" w:type="pct"/>
            <w:tcBorders>
              <w:top w:val="outset" w:sz="6" w:space="0" w:color="000000"/>
              <w:bottom w:val="outset" w:sz="6" w:space="0" w:color="000000"/>
            </w:tcBorders>
          </w:tcPr>
          <w:p w:rsidR="007148DF" w:rsidRDefault="007148DF">
            <w:pPr>
              <w:rPr>
                <w:rFonts w:ascii="Times" w:hAnsi="Times" w:cs="Times"/>
                <w:sz w:val="20"/>
                <w:szCs w:val="20"/>
              </w:rPr>
            </w:pPr>
            <w:r>
              <w:rPr>
                <w:rFonts w:ascii="Times" w:hAnsi="Times" w:cs="Times"/>
                <w:sz w:val="20"/>
                <w:szCs w:val="20"/>
              </w:rPr>
              <w:t>Predkladaný materiál je nelegislatívnym rámcovým akčným plánom. Jeho schválenie má vplyv na rozpočet verejnej správy, podnikateľské prostredie a životné prostredie. Nemá sociálne vplyvy, ani vplyvy na informatizáciu a služby verejnej správy pre občana. Samotný materiál nastavuje rámec pre realizáciu legislatívnych zmien, resp. iných strategických a koncepčných materiálov z ktorých akčný plán vychádza. Každé 2 roky bude vypracovaná Správa o stave implementácie aktivít na napĺňanie stanovených cieľov NEHAP V.</w:t>
            </w:r>
          </w:p>
        </w:tc>
      </w:tr>
      <w:tr w:rsidR="007148DF">
        <w:trPr>
          <w:divId w:val="580262460"/>
          <w:jc w:val="center"/>
        </w:trPr>
        <w:tc>
          <w:tcPr>
            <w:tcW w:w="250" w:type="pct"/>
            <w:tcBorders>
              <w:top w:val="outset" w:sz="6" w:space="0" w:color="000000"/>
              <w:bottom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11.  Kontakt na spracovateľa</w:t>
            </w:r>
          </w:p>
        </w:tc>
      </w:tr>
      <w:tr w:rsidR="007148DF">
        <w:trPr>
          <w:divId w:val="580262460"/>
          <w:trHeight w:val="600"/>
          <w:jc w:val="center"/>
        </w:trPr>
        <w:tc>
          <w:tcPr>
            <w:tcW w:w="250" w:type="pct"/>
            <w:tcBorders>
              <w:top w:val="outset" w:sz="6" w:space="0" w:color="000000"/>
              <w:bottom w:val="outset" w:sz="6" w:space="0" w:color="000000"/>
            </w:tcBorders>
          </w:tcPr>
          <w:p w:rsidR="007148DF" w:rsidRDefault="007148DF">
            <w:pPr>
              <w:rPr>
                <w:rFonts w:ascii="Times" w:hAnsi="Times" w:cs="Times"/>
                <w:sz w:val="20"/>
                <w:szCs w:val="20"/>
              </w:rPr>
            </w:pPr>
            <w:r>
              <w:rPr>
                <w:rFonts w:ascii="Times" w:hAnsi="Times" w:cs="Times"/>
                <w:sz w:val="20"/>
                <w:szCs w:val="20"/>
              </w:rPr>
              <w:t>Mgr. Michal Jajcaj, vedúci odboru hygieny životného prostredia</w:t>
            </w:r>
            <w:r>
              <w:rPr>
                <w:rFonts w:ascii="Times" w:hAnsi="Times" w:cs="Times"/>
                <w:sz w:val="20"/>
                <w:szCs w:val="20"/>
              </w:rPr>
              <w:br/>
              <w:t>michal.jajcaj@uvzsr.sk</w:t>
            </w:r>
          </w:p>
        </w:tc>
      </w:tr>
      <w:tr w:rsidR="007148DF">
        <w:trPr>
          <w:divId w:val="580262460"/>
          <w:jc w:val="center"/>
        </w:trPr>
        <w:tc>
          <w:tcPr>
            <w:tcW w:w="250" w:type="pct"/>
            <w:tcBorders>
              <w:top w:val="outset" w:sz="6" w:space="0" w:color="000000"/>
              <w:bottom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12.  Zdroje</w:t>
            </w:r>
          </w:p>
        </w:tc>
      </w:tr>
      <w:tr w:rsidR="007148DF">
        <w:trPr>
          <w:divId w:val="580262460"/>
          <w:trHeight w:val="600"/>
          <w:jc w:val="center"/>
        </w:trPr>
        <w:tc>
          <w:tcPr>
            <w:tcW w:w="250" w:type="pct"/>
            <w:tcBorders>
              <w:top w:val="outset" w:sz="6" w:space="0" w:color="000000"/>
              <w:bottom w:val="outset" w:sz="6" w:space="0" w:color="000000"/>
            </w:tcBorders>
          </w:tcPr>
          <w:p w:rsidR="007148DF" w:rsidRDefault="007148DF">
            <w:pPr>
              <w:rPr>
                <w:rFonts w:ascii="Times" w:hAnsi="Times" w:cs="Times"/>
                <w:sz w:val="20"/>
                <w:szCs w:val="20"/>
              </w:rPr>
            </w:pPr>
            <w:r>
              <w:rPr>
                <w:rFonts w:ascii="Times" w:hAnsi="Times" w:cs="Times"/>
                <w:sz w:val="20"/>
                <w:szCs w:val="20"/>
              </w:rPr>
              <w:t>Na príprave materiálu sa podieľala nominovaná medzirezortná pracovná skupina. Zároveň boli použité štatistiky, odborné materiály, prieskumy a ďalšie podkladové materiály, ktoré sú uvedené priamo v bibliografii akčného plánu NEHAP V.</w:t>
            </w:r>
          </w:p>
        </w:tc>
      </w:tr>
      <w:tr w:rsidR="007148DF">
        <w:trPr>
          <w:divId w:val="580262460"/>
          <w:jc w:val="center"/>
        </w:trPr>
        <w:tc>
          <w:tcPr>
            <w:tcW w:w="250" w:type="pct"/>
            <w:tcBorders>
              <w:top w:val="outset" w:sz="6" w:space="0" w:color="000000"/>
              <w:bottom w:val="outset" w:sz="6" w:space="0" w:color="000000"/>
            </w:tcBorders>
            <w:shd w:val="clear" w:color="auto" w:fill="E6E6E6"/>
          </w:tcPr>
          <w:p w:rsidR="007148DF" w:rsidRDefault="007148DF">
            <w:pPr>
              <w:rPr>
                <w:rFonts w:ascii="Times" w:hAnsi="Times" w:cs="Times"/>
                <w:b/>
                <w:bCs/>
              </w:rPr>
            </w:pPr>
            <w:r>
              <w:rPr>
                <w:rFonts w:ascii="Times" w:hAnsi="Times" w:cs="Times"/>
                <w:b/>
                <w:bCs/>
                <w:sz w:val="22"/>
                <w:szCs w:val="22"/>
              </w:rPr>
              <w:t>  13.  Stanovisko Komisie pre posudzovanie vybraných vplyvov z PPK</w:t>
            </w:r>
          </w:p>
        </w:tc>
      </w:tr>
      <w:tr w:rsidR="007148DF">
        <w:trPr>
          <w:divId w:val="580262460"/>
          <w:trHeight w:val="1200"/>
          <w:jc w:val="center"/>
        </w:trPr>
        <w:tc>
          <w:tcPr>
            <w:tcW w:w="250" w:type="pct"/>
            <w:tcBorders>
              <w:top w:val="outset" w:sz="6" w:space="0" w:color="000000"/>
              <w:bottom w:val="outset" w:sz="6" w:space="0" w:color="000000"/>
            </w:tcBorders>
          </w:tcPr>
          <w:p w:rsidR="007148DF" w:rsidRDefault="007148DF">
            <w:pPr>
              <w:rPr>
                <w:rFonts w:ascii="Times" w:hAnsi="Times" w:cs="Times"/>
                <w:b/>
                <w:bCs/>
              </w:rPr>
            </w:pPr>
          </w:p>
        </w:tc>
      </w:tr>
    </w:tbl>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Default="007148DF" w:rsidP="00543B8E">
      <w:pPr>
        <w:pStyle w:val="NormalWeb"/>
        <w:spacing w:before="0" w:beforeAutospacing="0" w:after="0" w:afterAutospacing="0"/>
        <w:rPr>
          <w:bCs/>
          <w:sz w:val="20"/>
          <w:szCs w:val="20"/>
        </w:rPr>
      </w:pPr>
    </w:p>
    <w:p w:rsidR="007148DF" w:rsidRPr="007D5748" w:rsidRDefault="007148DF" w:rsidP="00927626">
      <w:pPr>
        <w:jc w:val="center"/>
        <w:rPr>
          <w:b/>
          <w:bCs/>
          <w:sz w:val="28"/>
          <w:szCs w:val="28"/>
        </w:rPr>
      </w:pPr>
      <w:r w:rsidRPr="007D5748">
        <w:rPr>
          <w:b/>
          <w:bCs/>
          <w:sz w:val="28"/>
          <w:szCs w:val="28"/>
        </w:rPr>
        <w:t>Analýza vplyvov na rozpočet verejnej správy,</w:t>
      </w:r>
    </w:p>
    <w:p w:rsidR="007148DF" w:rsidRPr="007D5748" w:rsidRDefault="007148DF" w:rsidP="00927626">
      <w:pPr>
        <w:jc w:val="center"/>
        <w:rPr>
          <w:b/>
          <w:bCs/>
          <w:sz w:val="28"/>
          <w:szCs w:val="28"/>
        </w:rPr>
      </w:pPr>
      <w:r w:rsidRPr="007D5748">
        <w:rPr>
          <w:b/>
          <w:bCs/>
          <w:sz w:val="28"/>
          <w:szCs w:val="28"/>
        </w:rPr>
        <w:t>na zamestnanosť vo verejnej správe a financovanie návrhu</w:t>
      </w:r>
    </w:p>
    <w:p w:rsidR="007148DF" w:rsidRPr="00212894" w:rsidRDefault="007148DF" w:rsidP="00927626">
      <w:pPr>
        <w:jc w:val="right"/>
        <w:rPr>
          <w:b/>
          <w:bCs/>
        </w:rPr>
      </w:pPr>
    </w:p>
    <w:p w:rsidR="007148DF" w:rsidRDefault="007148DF" w:rsidP="00927626">
      <w:pPr>
        <w:rPr>
          <w:b/>
          <w:bCs/>
        </w:rPr>
      </w:pPr>
    </w:p>
    <w:p w:rsidR="007148DF" w:rsidRPr="00212894" w:rsidRDefault="007148DF" w:rsidP="00927626">
      <w:pPr>
        <w:rPr>
          <w:b/>
          <w:bCs/>
        </w:rPr>
      </w:pPr>
      <w:r w:rsidRPr="00212894">
        <w:rPr>
          <w:b/>
          <w:bCs/>
        </w:rPr>
        <w:t>2.1 Zhrnutie vplyvov na rozpočet verejnej správy v návrhu</w:t>
      </w:r>
    </w:p>
    <w:p w:rsidR="007148DF" w:rsidRDefault="007148DF" w:rsidP="00927626">
      <w:pPr>
        <w:jc w:val="right"/>
        <w:rPr>
          <w:sz w:val="20"/>
          <w:szCs w:val="20"/>
        </w:rPr>
      </w:pPr>
    </w:p>
    <w:p w:rsidR="007148DF" w:rsidRPr="007D5748" w:rsidRDefault="007148DF" w:rsidP="00927626">
      <w:pPr>
        <w:jc w:val="right"/>
        <w:rPr>
          <w:sz w:val="20"/>
          <w:szCs w:val="20"/>
        </w:rPr>
      </w:pPr>
      <w:r w:rsidRPr="007D5748">
        <w:rPr>
          <w:sz w:val="20"/>
          <w:szCs w:val="20"/>
        </w:rPr>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1"/>
        <w:gridCol w:w="1267"/>
        <w:gridCol w:w="1267"/>
        <w:gridCol w:w="1267"/>
        <w:gridCol w:w="1267"/>
      </w:tblGrid>
      <w:tr w:rsidR="007148DF" w:rsidRPr="00AB78B7" w:rsidTr="00E2216B">
        <w:trPr>
          <w:cantSplit/>
          <w:trHeight w:val="194"/>
          <w:jc w:val="center"/>
        </w:trPr>
        <w:tc>
          <w:tcPr>
            <w:tcW w:w="4661" w:type="dxa"/>
            <w:vMerge w:val="restart"/>
            <w:shd w:val="clear" w:color="auto" w:fill="BFBFBF"/>
            <w:vAlign w:val="center"/>
          </w:tcPr>
          <w:p w:rsidR="007148DF" w:rsidRPr="007D5748" w:rsidRDefault="007148DF" w:rsidP="00E2216B">
            <w:pPr>
              <w:jc w:val="center"/>
              <w:rPr>
                <w:b/>
                <w:bCs/>
              </w:rPr>
            </w:pPr>
            <w:bookmarkStart w:id="1" w:name="OLE_LINK1"/>
            <w:r w:rsidRPr="007D5748">
              <w:rPr>
                <w:b/>
                <w:bCs/>
              </w:rPr>
              <w:t>Vplyvy na rozpočet verejnej správy</w:t>
            </w:r>
          </w:p>
        </w:tc>
        <w:tc>
          <w:tcPr>
            <w:tcW w:w="5068" w:type="dxa"/>
            <w:gridSpan w:val="4"/>
            <w:shd w:val="clear" w:color="auto" w:fill="BFBFBF"/>
            <w:vAlign w:val="center"/>
          </w:tcPr>
          <w:p w:rsidR="007148DF" w:rsidRPr="007D5748" w:rsidRDefault="007148DF" w:rsidP="00E2216B">
            <w:pPr>
              <w:jc w:val="center"/>
              <w:rPr>
                <w:b/>
                <w:bCs/>
              </w:rPr>
            </w:pPr>
            <w:r w:rsidRPr="007D5748">
              <w:rPr>
                <w:b/>
                <w:bCs/>
              </w:rPr>
              <w:t>Vplyv na rozpočet verejnej správy (v eurách)</w:t>
            </w:r>
          </w:p>
        </w:tc>
      </w:tr>
      <w:tr w:rsidR="007148DF" w:rsidRPr="00AB78B7" w:rsidTr="00E2216B">
        <w:trPr>
          <w:cantSplit/>
          <w:trHeight w:val="70"/>
          <w:jc w:val="center"/>
        </w:trPr>
        <w:tc>
          <w:tcPr>
            <w:tcW w:w="4661" w:type="dxa"/>
            <w:vMerge/>
            <w:shd w:val="clear" w:color="auto" w:fill="BFBFBF"/>
            <w:vAlign w:val="center"/>
          </w:tcPr>
          <w:p w:rsidR="007148DF" w:rsidRPr="007D5748" w:rsidRDefault="007148DF" w:rsidP="00E2216B">
            <w:pPr>
              <w:jc w:val="center"/>
              <w:rPr>
                <w:b/>
                <w:bCs/>
              </w:rPr>
            </w:pPr>
          </w:p>
        </w:tc>
        <w:tc>
          <w:tcPr>
            <w:tcW w:w="1267" w:type="dxa"/>
            <w:shd w:val="clear" w:color="auto" w:fill="BFBFBF"/>
            <w:vAlign w:val="center"/>
          </w:tcPr>
          <w:p w:rsidR="007148DF" w:rsidRPr="007D5748" w:rsidRDefault="007148DF" w:rsidP="00E2216B">
            <w:pPr>
              <w:jc w:val="center"/>
              <w:rPr>
                <w:b/>
                <w:bCs/>
              </w:rPr>
            </w:pPr>
            <w:r w:rsidRPr="007D5748">
              <w:rPr>
                <w:b/>
                <w:bCs/>
              </w:rPr>
              <w:t>r</w:t>
            </w:r>
          </w:p>
        </w:tc>
        <w:tc>
          <w:tcPr>
            <w:tcW w:w="1267" w:type="dxa"/>
            <w:shd w:val="clear" w:color="auto" w:fill="BFBFBF"/>
            <w:vAlign w:val="center"/>
          </w:tcPr>
          <w:p w:rsidR="007148DF" w:rsidRPr="007D5748" w:rsidRDefault="007148DF" w:rsidP="00E2216B">
            <w:pPr>
              <w:jc w:val="center"/>
              <w:rPr>
                <w:b/>
                <w:bCs/>
              </w:rPr>
            </w:pPr>
            <w:r w:rsidRPr="007D5748">
              <w:rPr>
                <w:b/>
                <w:bCs/>
              </w:rPr>
              <w:t>r + 1</w:t>
            </w:r>
          </w:p>
        </w:tc>
        <w:tc>
          <w:tcPr>
            <w:tcW w:w="1267" w:type="dxa"/>
            <w:shd w:val="clear" w:color="auto" w:fill="BFBFBF"/>
            <w:vAlign w:val="center"/>
          </w:tcPr>
          <w:p w:rsidR="007148DF" w:rsidRPr="007D5748" w:rsidRDefault="007148DF" w:rsidP="00E2216B">
            <w:pPr>
              <w:jc w:val="center"/>
              <w:rPr>
                <w:b/>
                <w:bCs/>
              </w:rPr>
            </w:pPr>
            <w:r w:rsidRPr="007D5748">
              <w:rPr>
                <w:b/>
                <w:bCs/>
              </w:rPr>
              <w:t>r + 2</w:t>
            </w:r>
          </w:p>
        </w:tc>
        <w:tc>
          <w:tcPr>
            <w:tcW w:w="1267" w:type="dxa"/>
            <w:shd w:val="clear" w:color="auto" w:fill="BFBFBF"/>
            <w:vAlign w:val="center"/>
          </w:tcPr>
          <w:p w:rsidR="007148DF" w:rsidRPr="007D5748" w:rsidRDefault="007148DF" w:rsidP="00E2216B">
            <w:pPr>
              <w:jc w:val="center"/>
              <w:rPr>
                <w:b/>
                <w:bCs/>
              </w:rPr>
            </w:pPr>
            <w:r w:rsidRPr="007D5748">
              <w:rPr>
                <w:b/>
                <w:bCs/>
              </w:rPr>
              <w:t>r + 3</w:t>
            </w:r>
          </w:p>
        </w:tc>
      </w:tr>
      <w:tr w:rsidR="007148DF" w:rsidRPr="00AB78B7" w:rsidTr="00E2216B">
        <w:trPr>
          <w:trHeight w:val="70"/>
          <w:jc w:val="center"/>
        </w:trPr>
        <w:tc>
          <w:tcPr>
            <w:tcW w:w="4661" w:type="dxa"/>
            <w:shd w:val="clear" w:color="auto" w:fill="C0C0C0"/>
            <w:noWrap/>
            <w:vAlign w:val="center"/>
          </w:tcPr>
          <w:p w:rsidR="007148DF" w:rsidRPr="007D5748" w:rsidRDefault="007148DF" w:rsidP="00E2216B">
            <w:r w:rsidRPr="007D5748">
              <w:rPr>
                <w:b/>
                <w:bCs/>
              </w:rPr>
              <w:t>Príjmy verejnej správy celkom</w:t>
            </w:r>
          </w:p>
        </w:tc>
        <w:tc>
          <w:tcPr>
            <w:tcW w:w="1267" w:type="dxa"/>
            <w:shd w:val="clear" w:color="auto" w:fill="C0C0C0"/>
            <w:vAlign w:val="center"/>
          </w:tcPr>
          <w:p w:rsidR="007148DF" w:rsidRPr="007D5748" w:rsidRDefault="007148DF" w:rsidP="00E2216B">
            <w:pPr>
              <w:jc w:val="right"/>
              <w:rPr>
                <w:b/>
                <w:bCs/>
              </w:rPr>
            </w:pPr>
            <w:r w:rsidRPr="007D5748">
              <w:rPr>
                <w:b/>
                <w:bCs/>
              </w:rPr>
              <w:t>0</w:t>
            </w:r>
          </w:p>
        </w:tc>
        <w:tc>
          <w:tcPr>
            <w:tcW w:w="1267" w:type="dxa"/>
            <w:shd w:val="clear" w:color="auto" w:fill="C0C0C0"/>
            <w:vAlign w:val="center"/>
          </w:tcPr>
          <w:p w:rsidR="007148DF" w:rsidRPr="007D5748" w:rsidRDefault="007148DF" w:rsidP="00E2216B">
            <w:pPr>
              <w:jc w:val="right"/>
              <w:rPr>
                <w:b/>
                <w:bCs/>
              </w:rPr>
            </w:pPr>
            <w:r w:rsidRPr="007D5748">
              <w:rPr>
                <w:b/>
                <w:bCs/>
              </w:rPr>
              <w:t>0</w:t>
            </w:r>
          </w:p>
        </w:tc>
        <w:tc>
          <w:tcPr>
            <w:tcW w:w="1267" w:type="dxa"/>
            <w:shd w:val="clear" w:color="auto" w:fill="C0C0C0"/>
            <w:vAlign w:val="center"/>
          </w:tcPr>
          <w:p w:rsidR="007148DF" w:rsidRPr="007D5748" w:rsidRDefault="007148DF" w:rsidP="00E2216B">
            <w:pPr>
              <w:jc w:val="right"/>
              <w:rPr>
                <w:b/>
                <w:bCs/>
              </w:rPr>
            </w:pPr>
            <w:r w:rsidRPr="007D5748">
              <w:rPr>
                <w:b/>
                <w:bCs/>
              </w:rPr>
              <w:t>0</w:t>
            </w:r>
          </w:p>
        </w:tc>
        <w:tc>
          <w:tcPr>
            <w:tcW w:w="1267" w:type="dxa"/>
            <w:shd w:val="clear" w:color="auto" w:fill="C0C0C0"/>
            <w:vAlign w:val="center"/>
          </w:tcPr>
          <w:p w:rsidR="007148DF" w:rsidRPr="007D5748" w:rsidRDefault="007148DF" w:rsidP="00E2216B">
            <w:pPr>
              <w:jc w:val="right"/>
              <w:rPr>
                <w:b/>
                <w:bCs/>
              </w:rPr>
            </w:pPr>
            <w:r w:rsidRPr="007D5748">
              <w:rPr>
                <w:b/>
                <w:bCs/>
              </w:rPr>
              <w:t>0</w:t>
            </w:r>
          </w:p>
        </w:tc>
      </w:tr>
      <w:tr w:rsidR="007148DF" w:rsidRPr="00AB78B7" w:rsidTr="00E2216B">
        <w:trPr>
          <w:trHeight w:val="132"/>
          <w:jc w:val="center"/>
        </w:trPr>
        <w:tc>
          <w:tcPr>
            <w:tcW w:w="4661" w:type="dxa"/>
            <w:noWrap/>
            <w:vAlign w:val="center"/>
          </w:tcPr>
          <w:p w:rsidR="007148DF" w:rsidRPr="007D5748" w:rsidRDefault="007148DF" w:rsidP="00E2216B">
            <w:r w:rsidRPr="007D5748">
              <w:t>v tom: za každý subjekt verejnej správy zvlášť</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r>
      <w:tr w:rsidR="007148DF" w:rsidRPr="00AB78B7" w:rsidTr="00E2216B">
        <w:trPr>
          <w:trHeight w:val="70"/>
          <w:jc w:val="center"/>
        </w:trPr>
        <w:tc>
          <w:tcPr>
            <w:tcW w:w="4661" w:type="dxa"/>
            <w:noWrap/>
            <w:vAlign w:val="center"/>
          </w:tcPr>
          <w:p w:rsidR="007148DF" w:rsidRPr="007D5748" w:rsidRDefault="007148DF" w:rsidP="00E2216B">
            <w:pPr>
              <w:rPr>
                <w:b/>
                <w:bCs/>
                <w:i/>
                <w:iCs/>
              </w:rPr>
            </w:pPr>
            <w:r w:rsidRPr="007D5748">
              <w:rPr>
                <w:b/>
                <w:bCs/>
                <w:i/>
                <w:iCs/>
              </w:rPr>
              <w:t xml:space="preserve">z toho:  </w:t>
            </w:r>
          </w:p>
        </w:tc>
        <w:tc>
          <w:tcPr>
            <w:tcW w:w="1267" w:type="dxa"/>
            <w:noWrap/>
            <w:vAlign w:val="center"/>
          </w:tcPr>
          <w:p w:rsidR="007148DF" w:rsidRPr="007D5748" w:rsidRDefault="007148DF" w:rsidP="00E2216B">
            <w:pPr>
              <w:jc w:val="right"/>
              <w:rPr>
                <w:b/>
                <w:bCs/>
                <w:iCs/>
              </w:rPr>
            </w:pPr>
          </w:p>
        </w:tc>
        <w:tc>
          <w:tcPr>
            <w:tcW w:w="1267" w:type="dxa"/>
            <w:noWrap/>
            <w:vAlign w:val="center"/>
          </w:tcPr>
          <w:p w:rsidR="007148DF" w:rsidRPr="007D5748" w:rsidRDefault="007148DF" w:rsidP="00E2216B">
            <w:pPr>
              <w:jc w:val="right"/>
              <w:rPr>
                <w:b/>
                <w:bCs/>
                <w:iCs/>
              </w:rPr>
            </w:pPr>
          </w:p>
        </w:tc>
        <w:tc>
          <w:tcPr>
            <w:tcW w:w="1267" w:type="dxa"/>
            <w:noWrap/>
            <w:vAlign w:val="center"/>
          </w:tcPr>
          <w:p w:rsidR="007148DF" w:rsidRPr="007D5748" w:rsidRDefault="007148DF" w:rsidP="00E2216B">
            <w:pPr>
              <w:jc w:val="right"/>
              <w:rPr>
                <w:b/>
                <w:bCs/>
                <w:iCs/>
              </w:rPr>
            </w:pPr>
          </w:p>
        </w:tc>
        <w:tc>
          <w:tcPr>
            <w:tcW w:w="1267" w:type="dxa"/>
            <w:noWrap/>
            <w:vAlign w:val="center"/>
          </w:tcPr>
          <w:p w:rsidR="007148DF" w:rsidRPr="007D5748" w:rsidRDefault="007148DF" w:rsidP="00E2216B">
            <w:pPr>
              <w:jc w:val="right"/>
              <w:rPr>
                <w:b/>
                <w:bCs/>
                <w:iCs/>
              </w:rPr>
            </w:pPr>
          </w:p>
        </w:tc>
      </w:tr>
      <w:tr w:rsidR="007148DF" w:rsidRPr="00AB78B7" w:rsidTr="00E2216B">
        <w:trPr>
          <w:trHeight w:val="125"/>
          <w:jc w:val="center"/>
        </w:trPr>
        <w:tc>
          <w:tcPr>
            <w:tcW w:w="4661" w:type="dxa"/>
            <w:noWrap/>
            <w:vAlign w:val="center"/>
          </w:tcPr>
          <w:p w:rsidR="007148DF" w:rsidRPr="007D5748" w:rsidRDefault="007148DF" w:rsidP="00E2216B">
            <w:pPr>
              <w:rPr>
                <w:b/>
                <w:bCs/>
                <w:i/>
                <w:iCs/>
              </w:rPr>
            </w:pPr>
            <w:r w:rsidRPr="007D5748">
              <w:rPr>
                <w:b/>
                <w:bCs/>
                <w:i/>
                <w:iCs/>
              </w:rPr>
              <w:t>- vplyv na ŠR</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125"/>
          <w:jc w:val="center"/>
        </w:trPr>
        <w:tc>
          <w:tcPr>
            <w:tcW w:w="4661" w:type="dxa"/>
            <w:noWrap/>
            <w:vAlign w:val="center"/>
          </w:tcPr>
          <w:p w:rsidR="007148DF" w:rsidRPr="007D5748" w:rsidRDefault="007148DF" w:rsidP="00E2216B">
            <w:pPr>
              <w:ind w:left="259"/>
              <w:rPr>
                <w:b/>
                <w:bCs/>
                <w:i/>
                <w:iCs/>
              </w:rPr>
            </w:pPr>
            <w:r>
              <w:rPr>
                <w:bCs/>
                <w:i/>
                <w:iCs/>
              </w:rPr>
              <w:t>Rozpočtové prostriedky</w:t>
            </w:r>
          </w:p>
        </w:tc>
        <w:tc>
          <w:tcPr>
            <w:tcW w:w="1267" w:type="dxa"/>
            <w:noWrap/>
            <w:vAlign w:val="center"/>
          </w:tcPr>
          <w:p w:rsidR="007148DF" w:rsidRPr="007D5748" w:rsidRDefault="007148DF" w:rsidP="00E2216B">
            <w:pPr>
              <w:jc w:val="right"/>
              <w:rPr>
                <w:b/>
                <w:bCs/>
                <w:iCs/>
              </w:rPr>
            </w:pPr>
            <w:r>
              <w:rPr>
                <w:b/>
                <w:bCs/>
                <w:iCs/>
              </w:rPr>
              <w:t>0</w:t>
            </w:r>
          </w:p>
        </w:tc>
        <w:tc>
          <w:tcPr>
            <w:tcW w:w="1267" w:type="dxa"/>
            <w:noWrap/>
            <w:vAlign w:val="center"/>
          </w:tcPr>
          <w:p w:rsidR="007148DF" w:rsidRPr="007D5748" w:rsidRDefault="007148DF" w:rsidP="00E2216B">
            <w:pPr>
              <w:jc w:val="right"/>
              <w:rPr>
                <w:b/>
                <w:bCs/>
                <w:iCs/>
              </w:rPr>
            </w:pPr>
            <w:r>
              <w:rPr>
                <w:b/>
                <w:bCs/>
                <w:iCs/>
              </w:rPr>
              <w:t>0</w:t>
            </w:r>
          </w:p>
        </w:tc>
        <w:tc>
          <w:tcPr>
            <w:tcW w:w="1267" w:type="dxa"/>
            <w:noWrap/>
            <w:vAlign w:val="center"/>
          </w:tcPr>
          <w:p w:rsidR="007148DF" w:rsidRPr="007D5748" w:rsidRDefault="007148DF" w:rsidP="00E2216B">
            <w:pPr>
              <w:jc w:val="right"/>
              <w:rPr>
                <w:b/>
                <w:bCs/>
                <w:iCs/>
              </w:rPr>
            </w:pPr>
            <w:r>
              <w:rPr>
                <w:b/>
                <w:bCs/>
                <w:iCs/>
              </w:rPr>
              <w:t>0</w:t>
            </w:r>
          </w:p>
        </w:tc>
        <w:tc>
          <w:tcPr>
            <w:tcW w:w="1267" w:type="dxa"/>
            <w:noWrap/>
            <w:vAlign w:val="center"/>
          </w:tcPr>
          <w:p w:rsidR="007148DF" w:rsidRPr="007D5748" w:rsidRDefault="007148DF" w:rsidP="00E2216B">
            <w:pPr>
              <w:jc w:val="right"/>
              <w:rPr>
                <w:b/>
                <w:bCs/>
                <w:iCs/>
              </w:rPr>
            </w:pPr>
            <w:r>
              <w:rPr>
                <w:b/>
                <w:bCs/>
                <w:iCs/>
              </w:rPr>
              <w:t>0</w:t>
            </w:r>
          </w:p>
        </w:tc>
      </w:tr>
      <w:tr w:rsidR="007148DF" w:rsidRPr="00AB78B7" w:rsidTr="00E2216B">
        <w:trPr>
          <w:trHeight w:val="125"/>
          <w:jc w:val="center"/>
        </w:trPr>
        <w:tc>
          <w:tcPr>
            <w:tcW w:w="4661" w:type="dxa"/>
            <w:noWrap/>
            <w:vAlign w:val="center"/>
          </w:tcPr>
          <w:p w:rsidR="007148DF" w:rsidRPr="007D5748" w:rsidRDefault="007148DF" w:rsidP="00E2216B">
            <w:pPr>
              <w:ind w:left="259"/>
              <w:rPr>
                <w:bCs/>
                <w:i/>
                <w:iCs/>
              </w:rPr>
            </w:pPr>
            <w:r w:rsidRPr="007D5748">
              <w:rPr>
                <w:bCs/>
                <w:i/>
                <w:iCs/>
              </w:rPr>
              <w:t>EÚ zdroje</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r>
      <w:tr w:rsidR="007148DF" w:rsidRPr="00AB78B7" w:rsidTr="00E2216B">
        <w:trPr>
          <w:trHeight w:val="125"/>
          <w:jc w:val="center"/>
        </w:trPr>
        <w:tc>
          <w:tcPr>
            <w:tcW w:w="4661" w:type="dxa"/>
            <w:noWrap/>
            <w:vAlign w:val="center"/>
          </w:tcPr>
          <w:p w:rsidR="007148DF" w:rsidRPr="007D5748" w:rsidRDefault="007148DF" w:rsidP="00E2216B">
            <w:pPr>
              <w:rPr>
                <w:b/>
                <w:bCs/>
                <w:i/>
                <w:iCs/>
              </w:rPr>
            </w:pPr>
            <w:r w:rsidRPr="007D5748">
              <w:rPr>
                <w:b/>
                <w:bCs/>
                <w:i/>
                <w:iCs/>
              </w:rPr>
              <w:t>- vplyv na obce</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125"/>
          <w:jc w:val="center"/>
        </w:trPr>
        <w:tc>
          <w:tcPr>
            <w:tcW w:w="4661" w:type="dxa"/>
            <w:noWrap/>
            <w:vAlign w:val="center"/>
          </w:tcPr>
          <w:p w:rsidR="007148DF" w:rsidRPr="007D5748" w:rsidRDefault="007148DF" w:rsidP="00E2216B">
            <w:pPr>
              <w:rPr>
                <w:b/>
                <w:bCs/>
                <w:i/>
                <w:iCs/>
              </w:rPr>
            </w:pPr>
            <w:r w:rsidRPr="007D5748">
              <w:rPr>
                <w:b/>
                <w:bCs/>
                <w:i/>
                <w:iCs/>
              </w:rPr>
              <w:t>- vplyv na vyššie územné celky</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125"/>
          <w:jc w:val="center"/>
        </w:trPr>
        <w:tc>
          <w:tcPr>
            <w:tcW w:w="4661" w:type="dxa"/>
            <w:noWrap/>
            <w:vAlign w:val="center"/>
          </w:tcPr>
          <w:p w:rsidR="007148DF" w:rsidRPr="007D5748" w:rsidRDefault="007148DF" w:rsidP="00E2216B">
            <w:pPr>
              <w:rPr>
                <w:b/>
                <w:bCs/>
                <w:i/>
                <w:iCs/>
              </w:rPr>
            </w:pPr>
            <w:r w:rsidRPr="007D5748">
              <w:rPr>
                <w:b/>
                <w:bCs/>
                <w:i/>
                <w:iCs/>
              </w:rPr>
              <w:t>- vplyv na ostatné subjekty verejnej správy</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125"/>
          <w:jc w:val="center"/>
        </w:trPr>
        <w:tc>
          <w:tcPr>
            <w:tcW w:w="4661" w:type="dxa"/>
            <w:shd w:val="clear" w:color="auto" w:fill="C0C0C0"/>
            <w:noWrap/>
            <w:vAlign w:val="center"/>
          </w:tcPr>
          <w:p w:rsidR="007148DF" w:rsidRPr="007D5748" w:rsidRDefault="007148DF" w:rsidP="00E2216B">
            <w:pPr>
              <w:rPr>
                <w:b/>
                <w:bCs/>
              </w:rPr>
            </w:pPr>
            <w:r w:rsidRPr="007D5748">
              <w:rPr>
                <w:b/>
                <w:bCs/>
              </w:rPr>
              <w:t>Výdavky verejnej správy celkom</w:t>
            </w:r>
          </w:p>
        </w:tc>
        <w:tc>
          <w:tcPr>
            <w:tcW w:w="1267" w:type="dxa"/>
            <w:shd w:val="clear" w:color="auto" w:fill="C0C0C0"/>
            <w:noWrap/>
            <w:vAlign w:val="center"/>
          </w:tcPr>
          <w:p w:rsidR="007148DF" w:rsidRPr="007D5748" w:rsidRDefault="007148DF" w:rsidP="00E2216B">
            <w:pPr>
              <w:jc w:val="right"/>
              <w:rPr>
                <w:b/>
                <w:bCs/>
              </w:rPr>
            </w:pPr>
            <w:r w:rsidRPr="007D5748">
              <w:rPr>
                <w:b/>
                <w:bCs/>
              </w:rPr>
              <w:t>0</w:t>
            </w:r>
          </w:p>
        </w:tc>
        <w:tc>
          <w:tcPr>
            <w:tcW w:w="1267" w:type="dxa"/>
            <w:shd w:val="clear" w:color="auto" w:fill="C0C0C0"/>
            <w:noWrap/>
            <w:vAlign w:val="center"/>
          </w:tcPr>
          <w:p w:rsidR="007148DF" w:rsidRPr="007D5748" w:rsidRDefault="007148DF" w:rsidP="00E2216B">
            <w:pPr>
              <w:jc w:val="right"/>
              <w:rPr>
                <w:b/>
                <w:bCs/>
              </w:rPr>
            </w:pPr>
            <w:r w:rsidRPr="007D5748">
              <w:rPr>
                <w:b/>
                <w:bCs/>
              </w:rPr>
              <w:t>0</w:t>
            </w:r>
          </w:p>
        </w:tc>
        <w:tc>
          <w:tcPr>
            <w:tcW w:w="1267" w:type="dxa"/>
            <w:shd w:val="clear" w:color="auto" w:fill="C0C0C0"/>
            <w:noWrap/>
            <w:vAlign w:val="center"/>
          </w:tcPr>
          <w:p w:rsidR="007148DF" w:rsidRPr="007D5748" w:rsidRDefault="007148DF" w:rsidP="00E2216B">
            <w:pPr>
              <w:jc w:val="right"/>
              <w:rPr>
                <w:b/>
                <w:bCs/>
              </w:rPr>
            </w:pPr>
            <w:r w:rsidRPr="007D5748">
              <w:rPr>
                <w:b/>
                <w:bCs/>
              </w:rPr>
              <w:t>0</w:t>
            </w:r>
          </w:p>
        </w:tc>
        <w:tc>
          <w:tcPr>
            <w:tcW w:w="1267" w:type="dxa"/>
            <w:shd w:val="clear" w:color="auto" w:fill="C0C0C0"/>
            <w:noWrap/>
            <w:vAlign w:val="center"/>
          </w:tcPr>
          <w:p w:rsidR="007148DF" w:rsidRPr="007D5748" w:rsidRDefault="007148DF" w:rsidP="00E2216B">
            <w:pPr>
              <w:jc w:val="right"/>
              <w:rPr>
                <w:b/>
                <w:bCs/>
              </w:rPr>
            </w:pPr>
            <w:r w:rsidRPr="007D5748">
              <w:rPr>
                <w:b/>
                <w:bCs/>
              </w:rPr>
              <w:t xml:space="preserve">0   </w:t>
            </w:r>
          </w:p>
        </w:tc>
      </w:tr>
      <w:tr w:rsidR="007148DF" w:rsidRPr="00AB78B7" w:rsidTr="00E2216B">
        <w:trPr>
          <w:trHeight w:val="70"/>
          <w:jc w:val="center"/>
        </w:trPr>
        <w:tc>
          <w:tcPr>
            <w:tcW w:w="4661" w:type="dxa"/>
            <w:noWrap/>
            <w:vAlign w:val="center"/>
          </w:tcPr>
          <w:p w:rsidR="007148DF" w:rsidRPr="007D5748" w:rsidRDefault="007148DF" w:rsidP="00E2216B">
            <w:r w:rsidRPr="007D5748">
              <w:t>v tom: za každý subjekt verejnej správy / program zvlášť</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r>
      <w:tr w:rsidR="007148DF" w:rsidRPr="00AB78B7" w:rsidTr="00E2216B">
        <w:trPr>
          <w:trHeight w:val="70"/>
          <w:jc w:val="center"/>
        </w:trPr>
        <w:tc>
          <w:tcPr>
            <w:tcW w:w="4661" w:type="dxa"/>
            <w:noWrap/>
            <w:vAlign w:val="center"/>
          </w:tcPr>
          <w:p w:rsidR="007148DF" w:rsidRPr="007D5748" w:rsidRDefault="007148DF" w:rsidP="00E2216B">
            <w:pPr>
              <w:rPr>
                <w:b/>
                <w:bCs/>
                <w:i/>
                <w:iCs/>
              </w:rPr>
            </w:pPr>
            <w:r w:rsidRPr="007D5748">
              <w:rPr>
                <w:b/>
                <w:bCs/>
                <w:i/>
                <w:iCs/>
              </w:rPr>
              <w:t xml:space="preserve">z toho: </w:t>
            </w:r>
          </w:p>
        </w:tc>
        <w:tc>
          <w:tcPr>
            <w:tcW w:w="1267" w:type="dxa"/>
            <w:noWrap/>
            <w:vAlign w:val="center"/>
          </w:tcPr>
          <w:p w:rsidR="007148DF" w:rsidRPr="007D5748" w:rsidRDefault="007148DF" w:rsidP="00E2216B">
            <w:pPr>
              <w:jc w:val="right"/>
              <w:rPr>
                <w:b/>
                <w:bCs/>
                <w:iCs/>
              </w:rPr>
            </w:pPr>
          </w:p>
        </w:tc>
        <w:tc>
          <w:tcPr>
            <w:tcW w:w="1267" w:type="dxa"/>
            <w:noWrap/>
            <w:vAlign w:val="center"/>
          </w:tcPr>
          <w:p w:rsidR="007148DF" w:rsidRPr="007D5748" w:rsidRDefault="007148DF" w:rsidP="00E2216B">
            <w:pPr>
              <w:jc w:val="right"/>
              <w:rPr>
                <w:b/>
                <w:bCs/>
                <w:iCs/>
              </w:rPr>
            </w:pPr>
          </w:p>
        </w:tc>
        <w:tc>
          <w:tcPr>
            <w:tcW w:w="1267" w:type="dxa"/>
            <w:noWrap/>
            <w:vAlign w:val="center"/>
          </w:tcPr>
          <w:p w:rsidR="007148DF" w:rsidRPr="007D5748" w:rsidRDefault="007148DF" w:rsidP="00E2216B">
            <w:pPr>
              <w:jc w:val="right"/>
              <w:rPr>
                <w:b/>
                <w:bCs/>
                <w:iCs/>
              </w:rPr>
            </w:pPr>
          </w:p>
        </w:tc>
        <w:tc>
          <w:tcPr>
            <w:tcW w:w="1267" w:type="dxa"/>
            <w:noWrap/>
            <w:vAlign w:val="center"/>
          </w:tcPr>
          <w:p w:rsidR="007148DF" w:rsidRPr="007D5748" w:rsidRDefault="007148DF" w:rsidP="00E2216B">
            <w:pPr>
              <w:jc w:val="right"/>
              <w:rPr>
                <w:b/>
                <w:bCs/>
                <w:iCs/>
              </w:rPr>
            </w:pPr>
          </w:p>
        </w:tc>
      </w:tr>
      <w:tr w:rsidR="007148DF" w:rsidRPr="00AB78B7" w:rsidTr="00E2216B">
        <w:trPr>
          <w:trHeight w:val="70"/>
          <w:jc w:val="center"/>
        </w:trPr>
        <w:tc>
          <w:tcPr>
            <w:tcW w:w="4661" w:type="dxa"/>
            <w:noWrap/>
            <w:vAlign w:val="center"/>
          </w:tcPr>
          <w:p w:rsidR="007148DF" w:rsidRPr="007D5748" w:rsidRDefault="007148DF" w:rsidP="00E2216B">
            <w:pPr>
              <w:rPr>
                <w:b/>
                <w:bCs/>
                <w:i/>
                <w:iCs/>
              </w:rPr>
            </w:pPr>
            <w:r w:rsidRPr="007D5748">
              <w:rPr>
                <w:b/>
                <w:bCs/>
                <w:i/>
                <w:iCs/>
              </w:rPr>
              <w:t>- vplyv na ŠR</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70"/>
          <w:jc w:val="center"/>
        </w:trPr>
        <w:tc>
          <w:tcPr>
            <w:tcW w:w="4661" w:type="dxa"/>
            <w:noWrap/>
            <w:vAlign w:val="center"/>
          </w:tcPr>
          <w:p w:rsidR="007148DF" w:rsidRPr="007D5748" w:rsidRDefault="007148DF" w:rsidP="00E2216B">
            <w:pPr>
              <w:ind w:left="259"/>
              <w:rPr>
                <w:b/>
                <w:bCs/>
                <w:i/>
                <w:iCs/>
              </w:rPr>
            </w:pPr>
            <w:r>
              <w:rPr>
                <w:bCs/>
                <w:i/>
                <w:iCs/>
              </w:rPr>
              <w:t>Rozpočtové prostriedky</w:t>
            </w:r>
          </w:p>
        </w:tc>
        <w:tc>
          <w:tcPr>
            <w:tcW w:w="1267" w:type="dxa"/>
            <w:noWrap/>
            <w:vAlign w:val="center"/>
          </w:tcPr>
          <w:p w:rsidR="007148DF" w:rsidRPr="007D5748" w:rsidRDefault="007148DF" w:rsidP="00E2216B">
            <w:pPr>
              <w:jc w:val="right"/>
              <w:rPr>
                <w:b/>
                <w:bCs/>
                <w:iCs/>
              </w:rPr>
            </w:pPr>
            <w:r>
              <w:rPr>
                <w:b/>
                <w:bCs/>
                <w:iCs/>
              </w:rPr>
              <w:t>0</w:t>
            </w:r>
          </w:p>
        </w:tc>
        <w:tc>
          <w:tcPr>
            <w:tcW w:w="1267" w:type="dxa"/>
            <w:noWrap/>
            <w:vAlign w:val="center"/>
          </w:tcPr>
          <w:p w:rsidR="007148DF" w:rsidRPr="007D5748" w:rsidRDefault="007148DF" w:rsidP="00E2216B">
            <w:pPr>
              <w:jc w:val="right"/>
              <w:rPr>
                <w:b/>
                <w:bCs/>
                <w:iCs/>
              </w:rPr>
            </w:pPr>
            <w:r>
              <w:rPr>
                <w:b/>
                <w:bCs/>
                <w:iCs/>
              </w:rPr>
              <w:t>0</w:t>
            </w:r>
          </w:p>
        </w:tc>
        <w:tc>
          <w:tcPr>
            <w:tcW w:w="1267" w:type="dxa"/>
            <w:noWrap/>
            <w:vAlign w:val="center"/>
          </w:tcPr>
          <w:p w:rsidR="007148DF" w:rsidRPr="007D5748" w:rsidRDefault="007148DF" w:rsidP="00E2216B">
            <w:pPr>
              <w:jc w:val="right"/>
              <w:rPr>
                <w:b/>
                <w:bCs/>
                <w:iCs/>
              </w:rPr>
            </w:pPr>
            <w:r>
              <w:rPr>
                <w:b/>
                <w:bCs/>
                <w:iCs/>
              </w:rPr>
              <w:t>0</w:t>
            </w:r>
          </w:p>
        </w:tc>
        <w:tc>
          <w:tcPr>
            <w:tcW w:w="1267" w:type="dxa"/>
            <w:noWrap/>
            <w:vAlign w:val="center"/>
          </w:tcPr>
          <w:p w:rsidR="007148DF" w:rsidRPr="007D5748" w:rsidRDefault="007148DF" w:rsidP="00E2216B">
            <w:pPr>
              <w:jc w:val="right"/>
              <w:rPr>
                <w:b/>
                <w:bCs/>
                <w:iCs/>
              </w:rPr>
            </w:pPr>
            <w:r>
              <w:rPr>
                <w:b/>
                <w:bCs/>
                <w:iCs/>
              </w:rPr>
              <w:t>0</w:t>
            </w:r>
          </w:p>
        </w:tc>
      </w:tr>
      <w:tr w:rsidR="007148DF" w:rsidRPr="00AB78B7" w:rsidTr="00E2216B">
        <w:trPr>
          <w:trHeight w:val="70"/>
          <w:jc w:val="center"/>
        </w:trPr>
        <w:tc>
          <w:tcPr>
            <w:tcW w:w="4661" w:type="dxa"/>
            <w:noWrap/>
            <w:vAlign w:val="center"/>
          </w:tcPr>
          <w:p w:rsidR="007148DF" w:rsidRPr="007D5748" w:rsidRDefault="007148DF" w:rsidP="00E2216B">
            <w:pPr>
              <w:rPr>
                <w:bCs/>
                <w:i/>
                <w:iCs/>
              </w:rPr>
            </w:pPr>
            <w:r w:rsidRPr="007D5748">
              <w:rPr>
                <w:bCs/>
                <w:i/>
                <w:iCs/>
              </w:rPr>
              <w:t xml:space="preserve">    EÚ zdroje</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r>
      <w:tr w:rsidR="007148DF" w:rsidRPr="00AB78B7" w:rsidTr="00E2216B">
        <w:trPr>
          <w:trHeight w:val="70"/>
          <w:jc w:val="center"/>
        </w:trPr>
        <w:tc>
          <w:tcPr>
            <w:tcW w:w="4661" w:type="dxa"/>
            <w:noWrap/>
            <w:vAlign w:val="center"/>
          </w:tcPr>
          <w:p w:rsidR="007148DF" w:rsidRPr="007D5748" w:rsidRDefault="007148DF" w:rsidP="00E2216B">
            <w:pPr>
              <w:rPr>
                <w:bCs/>
                <w:i/>
                <w:iCs/>
              </w:rPr>
            </w:pPr>
            <w:r w:rsidRPr="007D5748">
              <w:rPr>
                <w:bCs/>
                <w:i/>
                <w:iCs/>
              </w:rPr>
              <w:t xml:space="preserve">    spolufinancovanie</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r>
      <w:tr w:rsidR="007148DF" w:rsidRPr="00AB78B7" w:rsidTr="00E2216B">
        <w:trPr>
          <w:trHeight w:val="125"/>
          <w:jc w:val="center"/>
        </w:trPr>
        <w:tc>
          <w:tcPr>
            <w:tcW w:w="4661" w:type="dxa"/>
            <w:noWrap/>
            <w:vAlign w:val="center"/>
          </w:tcPr>
          <w:p w:rsidR="007148DF" w:rsidRPr="007D5748" w:rsidRDefault="007148DF" w:rsidP="00E2216B">
            <w:pPr>
              <w:rPr>
                <w:b/>
                <w:bCs/>
                <w:i/>
                <w:iCs/>
              </w:rPr>
            </w:pPr>
            <w:r w:rsidRPr="007D5748">
              <w:rPr>
                <w:b/>
                <w:bCs/>
                <w:i/>
                <w:iCs/>
              </w:rPr>
              <w:t>- vplyv na obce</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125"/>
          <w:jc w:val="center"/>
        </w:trPr>
        <w:tc>
          <w:tcPr>
            <w:tcW w:w="4661" w:type="dxa"/>
            <w:noWrap/>
            <w:vAlign w:val="center"/>
          </w:tcPr>
          <w:p w:rsidR="007148DF" w:rsidRPr="007D5748" w:rsidRDefault="007148DF" w:rsidP="00E2216B">
            <w:pPr>
              <w:rPr>
                <w:b/>
                <w:bCs/>
                <w:i/>
                <w:iCs/>
              </w:rPr>
            </w:pPr>
            <w:r w:rsidRPr="007D5748">
              <w:rPr>
                <w:b/>
                <w:bCs/>
                <w:i/>
                <w:iCs/>
              </w:rPr>
              <w:t>- vplyv na vyššie územné celky</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70"/>
          <w:jc w:val="center"/>
        </w:trPr>
        <w:tc>
          <w:tcPr>
            <w:tcW w:w="4661" w:type="dxa"/>
            <w:noWrap/>
            <w:vAlign w:val="center"/>
          </w:tcPr>
          <w:p w:rsidR="007148DF" w:rsidRPr="007D5748" w:rsidRDefault="007148DF" w:rsidP="00E2216B">
            <w:pPr>
              <w:rPr>
                <w:b/>
                <w:bCs/>
              </w:rPr>
            </w:pPr>
            <w:r w:rsidRPr="007D5748">
              <w:rPr>
                <w:b/>
                <w:bCs/>
                <w:i/>
                <w:iCs/>
              </w:rPr>
              <w:t>- vplyv na ostatné subjekty verejnej správy</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70"/>
          <w:jc w:val="center"/>
        </w:trPr>
        <w:tc>
          <w:tcPr>
            <w:tcW w:w="4661" w:type="dxa"/>
            <w:shd w:val="clear" w:color="auto" w:fill="BFBFBF"/>
            <w:noWrap/>
            <w:vAlign w:val="center"/>
          </w:tcPr>
          <w:p w:rsidR="007148DF" w:rsidRPr="007D5748" w:rsidRDefault="007148DF" w:rsidP="00E2216B">
            <w:pPr>
              <w:rPr>
                <w:b/>
                <w:bCs/>
              </w:rPr>
            </w:pPr>
            <w:r w:rsidRPr="007D5748">
              <w:rPr>
                <w:b/>
                <w:bCs/>
              </w:rPr>
              <w:t xml:space="preserve">Vplyv na počet zamestnancov </w:t>
            </w:r>
          </w:p>
        </w:tc>
        <w:tc>
          <w:tcPr>
            <w:tcW w:w="1267" w:type="dxa"/>
            <w:shd w:val="clear" w:color="auto" w:fill="BFBFBF"/>
            <w:noWrap/>
            <w:vAlign w:val="center"/>
          </w:tcPr>
          <w:p w:rsidR="007148DF" w:rsidRPr="007D5748" w:rsidRDefault="007148DF" w:rsidP="00E2216B">
            <w:pPr>
              <w:jc w:val="right"/>
              <w:rPr>
                <w:b/>
                <w:bCs/>
              </w:rPr>
            </w:pPr>
            <w:r w:rsidRPr="007D5748">
              <w:rPr>
                <w:b/>
                <w:bCs/>
              </w:rPr>
              <w:t>0</w:t>
            </w:r>
          </w:p>
        </w:tc>
        <w:tc>
          <w:tcPr>
            <w:tcW w:w="1267" w:type="dxa"/>
            <w:shd w:val="clear" w:color="auto" w:fill="BFBFBF"/>
            <w:noWrap/>
            <w:vAlign w:val="center"/>
          </w:tcPr>
          <w:p w:rsidR="007148DF" w:rsidRPr="007D5748" w:rsidRDefault="007148DF" w:rsidP="00E2216B">
            <w:pPr>
              <w:jc w:val="right"/>
              <w:rPr>
                <w:b/>
                <w:bCs/>
              </w:rPr>
            </w:pPr>
            <w:r w:rsidRPr="007D5748">
              <w:rPr>
                <w:b/>
                <w:bCs/>
              </w:rPr>
              <w:t>0</w:t>
            </w:r>
          </w:p>
        </w:tc>
        <w:tc>
          <w:tcPr>
            <w:tcW w:w="1267" w:type="dxa"/>
            <w:shd w:val="clear" w:color="auto" w:fill="BFBFBF"/>
            <w:noWrap/>
            <w:vAlign w:val="center"/>
          </w:tcPr>
          <w:p w:rsidR="007148DF" w:rsidRPr="007D5748" w:rsidRDefault="007148DF" w:rsidP="00E2216B">
            <w:pPr>
              <w:jc w:val="right"/>
              <w:rPr>
                <w:b/>
                <w:bCs/>
              </w:rPr>
            </w:pPr>
            <w:r w:rsidRPr="007D5748">
              <w:rPr>
                <w:b/>
                <w:bCs/>
              </w:rPr>
              <w:t>0</w:t>
            </w:r>
          </w:p>
        </w:tc>
        <w:tc>
          <w:tcPr>
            <w:tcW w:w="1267" w:type="dxa"/>
            <w:shd w:val="clear" w:color="auto" w:fill="BFBFBF"/>
            <w:noWrap/>
            <w:vAlign w:val="center"/>
          </w:tcPr>
          <w:p w:rsidR="007148DF" w:rsidRPr="007D5748" w:rsidRDefault="007148DF" w:rsidP="00E2216B">
            <w:pPr>
              <w:jc w:val="right"/>
              <w:rPr>
                <w:b/>
                <w:bCs/>
              </w:rPr>
            </w:pPr>
            <w:r w:rsidRPr="007D5748">
              <w:rPr>
                <w:b/>
                <w:bCs/>
              </w:rPr>
              <w:t>0</w:t>
            </w:r>
          </w:p>
        </w:tc>
      </w:tr>
      <w:tr w:rsidR="007148DF" w:rsidRPr="00AB78B7" w:rsidTr="00E2216B">
        <w:trPr>
          <w:trHeight w:val="70"/>
          <w:jc w:val="center"/>
        </w:trPr>
        <w:tc>
          <w:tcPr>
            <w:tcW w:w="4661" w:type="dxa"/>
            <w:noWrap/>
            <w:vAlign w:val="center"/>
          </w:tcPr>
          <w:p w:rsidR="007148DF" w:rsidRPr="007D5748" w:rsidRDefault="007148DF" w:rsidP="00E2216B">
            <w:pPr>
              <w:rPr>
                <w:b/>
                <w:bCs/>
                <w:i/>
                <w:iCs/>
              </w:rPr>
            </w:pPr>
            <w:r w:rsidRPr="007D5748">
              <w:rPr>
                <w:b/>
                <w:bCs/>
                <w:i/>
                <w:iCs/>
              </w:rPr>
              <w:t>- vplyv na ŠR</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70"/>
          <w:jc w:val="center"/>
        </w:trPr>
        <w:tc>
          <w:tcPr>
            <w:tcW w:w="4661" w:type="dxa"/>
            <w:noWrap/>
            <w:vAlign w:val="center"/>
          </w:tcPr>
          <w:p w:rsidR="007148DF" w:rsidRPr="007D5748" w:rsidRDefault="007148DF" w:rsidP="00E2216B">
            <w:pPr>
              <w:rPr>
                <w:b/>
                <w:bCs/>
                <w:i/>
                <w:iCs/>
              </w:rPr>
            </w:pPr>
            <w:r w:rsidRPr="007D5748">
              <w:rPr>
                <w:b/>
                <w:bCs/>
                <w:i/>
                <w:iCs/>
              </w:rPr>
              <w:t>- vplyv na obce</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70"/>
          <w:jc w:val="center"/>
        </w:trPr>
        <w:tc>
          <w:tcPr>
            <w:tcW w:w="4661" w:type="dxa"/>
            <w:noWrap/>
            <w:vAlign w:val="center"/>
          </w:tcPr>
          <w:p w:rsidR="007148DF" w:rsidRPr="007D5748" w:rsidRDefault="007148DF" w:rsidP="00E2216B">
            <w:pPr>
              <w:rPr>
                <w:b/>
                <w:bCs/>
                <w:i/>
                <w:iCs/>
              </w:rPr>
            </w:pPr>
            <w:r w:rsidRPr="007D5748">
              <w:rPr>
                <w:b/>
                <w:bCs/>
                <w:i/>
                <w:iCs/>
              </w:rPr>
              <w:t>- vplyv na vyššie územné celky</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70"/>
          <w:jc w:val="center"/>
        </w:trPr>
        <w:tc>
          <w:tcPr>
            <w:tcW w:w="4661" w:type="dxa"/>
            <w:noWrap/>
            <w:vAlign w:val="center"/>
          </w:tcPr>
          <w:p w:rsidR="007148DF" w:rsidRPr="007D5748" w:rsidRDefault="007148DF" w:rsidP="00E2216B">
            <w:pPr>
              <w:rPr>
                <w:b/>
                <w:bCs/>
                <w:i/>
                <w:iCs/>
              </w:rPr>
            </w:pPr>
            <w:r w:rsidRPr="007D5748">
              <w:rPr>
                <w:b/>
                <w:bCs/>
                <w:i/>
                <w:iCs/>
              </w:rPr>
              <w:t>- vplyv na ostatné subjekty verejnej správy</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70"/>
          <w:jc w:val="center"/>
        </w:trPr>
        <w:tc>
          <w:tcPr>
            <w:tcW w:w="4661" w:type="dxa"/>
            <w:shd w:val="clear" w:color="auto" w:fill="BFBFBF"/>
            <w:noWrap/>
            <w:vAlign w:val="center"/>
          </w:tcPr>
          <w:p w:rsidR="007148DF" w:rsidRPr="007D5748" w:rsidRDefault="007148DF" w:rsidP="00E2216B">
            <w:pPr>
              <w:rPr>
                <w:b/>
              </w:rPr>
            </w:pPr>
            <w:r w:rsidRPr="007D5748">
              <w:rPr>
                <w:b/>
              </w:rPr>
              <w:t>Vplyv na mzdové výdavky</w:t>
            </w:r>
          </w:p>
        </w:tc>
        <w:tc>
          <w:tcPr>
            <w:tcW w:w="1267" w:type="dxa"/>
            <w:shd w:val="clear" w:color="auto" w:fill="BFBFBF"/>
            <w:noWrap/>
            <w:vAlign w:val="center"/>
          </w:tcPr>
          <w:p w:rsidR="007148DF" w:rsidRPr="007D5748" w:rsidRDefault="007148DF" w:rsidP="00E2216B">
            <w:pPr>
              <w:jc w:val="right"/>
              <w:rPr>
                <w:b/>
              </w:rPr>
            </w:pPr>
            <w:r w:rsidRPr="007D5748">
              <w:rPr>
                <w:b/>
              </w:rPr>
              <w:t>0</w:t>
            </w:r>
          </w:p>
        </w:tc>
        <w:tc>
          <w:tcPr>
            <w:tcW w:w="1267" w:type="dxa"/>
            <w:shd w:val="clear" w:color="auto" w:fill="BFBFBF"/>
            <w:noWrap/>
            <w:vAlign w:val="center"/>
          </w:tcPr>
          <w:p w:rsidR="007148DF" w:rsidRPr="007D5748" w:rsidRDefault="007148DF" w:rsidP="00E2216B">
            <w:pPr>
              <w:jc w:val="right"/>
              <w:rPr>
                <w:b/>
              </w:rPr>
            </w:pPr>
            <w:r w:rsidRPr="007D5748">
              <w:rPr>
                <w:b/>
              </w:rPr>
              <w:t>0</w:t>
            </w:r>
          </w:p>
        </w:tc>
        <w:tc>
          <w:tcPr>
            <w:tcW w:w="1267" w:type="dxa"/>
            <w:shd w:val="clear" w:color="auto" w:fill="BFBFBF"/>
            <w:noWrap/>
            <w:vAlign w:val="center"/>
          </w:tcPr>
          <w:p w:rsidR="007148DF" w:rsidRPr="007D5748" w:rsidRDefault="007148DF" w:rsidP="00E2216B">
            <w:pPr>
              <w:jc w:val="right"/>
              <w:rPr>
                <w:b/>
              </w:rPr>
            </w:pPr>
            <w:r w:rsidRPr="007D5748">
              <w:rPr>
                <w:b/>
              </w:rPr>
              <w:t>0</w:t>
            </w:r>
          </w:p>
        </w:tc>
        <w:tc>
          <w:tcPr>
            <w:tcW w:w="1267" w:type="dxa"/>
            <w:shd w:val="clear" w:color="auto" w:fill="BFBFBF"/>
            <w:noWrap/>
            <w:vAlign w:val="center"/>
          </w:tcPr>
          <w:p w:rsidR="007148DF" w:rsidRPr="007D5748" w:rsidRDefault="007148DF" w:rsidP="00E2216B">
            <w:pPr>
              <w:jc w:val="right"/>
              <w:rPr>
                <w:b/>
              </w:rPr>
            </w:pPr>
            <w:r w:rsidRPr="007D5748">
              <w:rPr>
                <w:b/>
              </w:rPr>
              <w:t>0</w:t>
            </w:r>
          </w:p>
        </w:tc>
      </w:tr>
      <w:tr w:rsidR="007148DF" w:rsidRPr="00AB78B7" w:rsidTr="00E2216B">
        <w:trPr>
          <w:trHeight w:val="70"/>
          <w:jc w:val="center"/>
        </w:trPr>
        <w:tc>
          <w:tcPr>
            <w:tcW w:w="4661" w:type="dxa"/>
            <w:noWrap/>
            <w:vAlign w:val="center"/>
          </w:tcPr>
          <w:p w:rsidR="007148DF" w:rsidRPr="007D5748" w:rsidRDefault="007148DF" w:rsidP="00E2216B">
            <w:pPr>
              <w:rPr>
                <w:b/>
                <w:bCs/>
                <w:i/>
                <w:iCs/>
              </w:rPr>
            </w:pPr>
            <w:r w:rsidRPr="007D5748">
              <w:rPr>
                <w:b/>
                <w:bCs/>
                <w:i/>
                <w:iCs/>
              </w:rPr>
              <w:t>- vplyv na ŠR</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70"/>
          <w:jc w:val="center"/>
        </w:trPr>
        <w:tc>
          <w:tcPr>
            <w:tcW w:w="4661" w:type="dxa"/>
            <w:noWrap/>
            <w:vAlign w:val="center"/>
          </w:tcPr>
          <w:p w:rsidR="007148DF" w:rsidRPr="007D5748" w:rsidRDefault="007148DF" w:rsidP="00E2216B">
            <w:pPr>
              <w:rPr>
                <w:b/>
                <w:bCs/>
                <w:i/>
                <w:iCs/>
              </w:rPr>
            </w:pPr>
            <w:r w:rsidRPr="007D5748">
              <w:rPr>
                <w:b/>
                <w:bCs/>
                <w:i/>
                <w:iCs/>
              </w:rPr>
              <w:t>- vplyv na obce</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70"/>
          <w:jc w:val="center"/>
        </w:trPr>
        <w:tc>
          <w:tcPr>
            <w:tcW w:w="4661" w:type="dxa"/>
            <w:noWrap/>
            <w:vAlign w:val="center"/>
          </w:tcPr>
          <w:p w:rsidR="007148DF" w:rsidRPr="007D5748" w:rsidRDefault="007148DF" w:rsidP="00E2216B">
            <w:pPr>
              <w:rPr>
                <w:b/>
                <w:bCs/>
                <w:i/>
                <w:iCs/>
              </w:rPr>
            </w:pPr>
            <w:r w:rsidRPr="007D5748">
              <w:rPr>
                <w:b/>
                <w:bCs/>
                <w:i/>
                <w:iCs/>
              </w:rPr>
              <w:t>- vplyv na vyššie územné celky</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70"/>
          <w:jc w:val="center"/>
        </w:trPr>
        <w:tc>
          <w:tcPr>
            <w:tcW w:w="4661" w:type="dxa"/>
            <w:noWrap/>
            <w:vAlign w:val="center"/>
          </w:tcPr>
          <w:p w:rsidR="007148DF" w:rsidRPr="007D5748" w:rsidRDefault="007148DF" w:rsidP="00E2216B">
            <w:pPr>
              <w:rPr>
                <w:b/>
                <w:bCs/>
              </w:rPr>
            </w:pPr>
            <w:r w:rsidRPr="007D5748">
              <w:rPr>
                <w:b/>
                <w:bCs/>
                <w:i/>
                <w:iCs/>
              </w:rPr>
              <w:t>- vplyv na ostatné subjekty verejnej správy</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c>
          <w:tcPr>
            <w:tcW w:w="1267" w:type="dxa"/>
            <w:noWrap/>
            <w:vAlign w:val="center"/>
          </w:tcPr>
          <w:p w:rsidR="007148DF" w:rsidRPr="007D5748" w:rsidRDefault="007148DF" w:rsidP="00E2216B">
            <w:pPr>
              <w:jc w:val="right"/>
              <w:rPr>
                <w:b/>
                <w:bCs/>
                <w:iCs/>
              </w:rPr>
            </w:pPr>
            <w:r w:rsidRPr="007D5748">
              <w:rPr>
                <w:b/>
                <w:bCs/>
                <w:iCs/>
              </w:rPr>
              <w:t>0</w:t>
            </w:r>
          </w:p>
        </w:tc>
      </w:tr>
      <w:tr w:rsidR="007148DF" w:rsidRPr="00AB78B7" w:rsidTr="00E2216B">
        <w:trPr>
          <w:trHeight w:val="70"/>
          <w:jc w:val="center"/>
        </w:trPr>
        <w:tc>
          <w:tcPr>
            <w:tcW w:w="4661" w:type="dxa"/>
            <w:shd w:val="clear" w:color="auto" w:fill="C0C0C0"/>
            <w:noWrap/>
            <w:vAlign w:val="center"/>
          </w:tcPr>
          <w:p w:rsidR="007148DF" w:rsidRPr="007D5748" w:rsidRDefault="007148DF" w:rsidP="00E2216B">
            <w:pPr>
              <w:rPr>
                <w:b/>
                <w:bCs/>
              </w:rPr>
            </w:pPr>
            <w:r w:rsidRPr="007D5748">
              <w:rPr>
                <w:b/>
                <w:bCs/>
              </w:rPr>
              <w:t>Financovanie zabezpečené v rozpočte</w:t>
            </w:r>
          </w:p>
        </w:tc>
        <w:tc>
          <w:tcPr>
            <w:tcW w:w="1267" w:type="dxa"/>
            <w:shd w:val="clear" w:color="auto" w:fill="C0C0C0"/>
            <w:noWrap/>
            <w:vAlign w:val="center"/>
          </w:tcPr>
          <w:p w:rsidR="007148DF" w:rsidRPr="007D5748" w:rsidRDefault="007148DF" w:rsidP="00E2216B">
            <w:pPr>
              <w:jc w:val="right"/>
              <w:rPr>
                <w:b/>
                <w:bCs/>
              </w:rPr>
            </w:pPr>
            <w:r w:rsidRPr="007D5748">
              <w:rPr>
                <w:b/>
                <w:bCs/>
              </w:rPr>
              <w:t>0</w:t>
            </w:r>
          </w:p>
        </w:tc>
        <w:tc>
          <w:tcPr>
            <w:tcW w:w="1267" w:type="dxa"/>
            <w:shd w:val="clear" w:color="auto" w:fill="C0C0C0"/>
            <w:noWrap/>
            <w:vAlign w:val="center"/>
          </w:tcPr>
          <w:p w:rsidR="007148DF" w:rsidRPr="007D5748" w:rsidRDefault="007148DF" w:rsidP="00E2216B">
            <w:pPr>
              <w:jc w:val="right"/>
              <w:rPr>
                <w:b/>
                <w:bCs/>
              </w:rPr>
            </w:pPr>
            <w:r w:rsidRPr="007D5748">
              <w:rPr>
                <w:b/>
                <w:bCs/>
              </w:rPr>
              <w:t>0</w:t>
            </w:r>
          </w:p>
        </w:tc>
        <w:tc>
          <w:tcPr>
            <w:tcW w:w="1267" w:type="dxa"/>
            <w:shd w:val="clear" w:color="auto" w:fill="C0C0C0"/>
            <w:noWrap/>
            <w:vAlign w:val="center"/>
          </w:tcPr>
          <w:p w:rsidR="007148DF" w:rsidRPr="007D5748" w:rsidRDefault="007148DF" w:rsidP="00E2216B">
            <w:pPr>
              <w:jc w:val="right"/>
              <w:rPr>
                <w:b/>
                <w:bCs/>
              </w:rPr>
            </w:pPr>
            <w:r w:rsidRPr="007D5748">
              <w:rPr>
                <w:b/>
                <w:bCs/>
              </w:rPr>
              <w:t>0</w:t>
            </w:r>
          </w:p>
        </w:tc>
        <w:tc>
          <w:tcPr>
            <w:tcW w:w="1267" w:type="dxa"/>
            <w:shd w:val="clear" w:color="auto" w:fill="C0C0C0"/>
            <w:noWrap/>
            <w:vAlign w:val="center"/>
          </w:tcPr>
          <w:p w:rsidR="007148DF" w:rsidRPr="007D5748" w:rsidRDefault="007148DF" w:rsidP="00E2216B">
            <w:pPr>
              <w:jc w:val="right"/>
              <w:rPr>
                <w:b/>
                <w:bCs/>
              </w:rPr>
            </w:pPr>
            <w:r w:rsidRPr="007D5748">
              <w:rPr>
                <w:b/>
                <w:bCs/>
              </w:rPr>
              <w:t>0</w:t>
            </w:r>
          </w:p>
        </w:tc>
      </w:tr>
      <w:tr w:rsidR="007148DF" w:rsidRPr="00AB78B7" w:rsidTr="00E2216B">
        <w:trPr>
          <w:trHeight w:val="70"/>
          <w:jc w:val="center"/>
        </w:trPr>
        <w:tc>
          <w:tcPr>
            <w:tcW w:w="4661" w:type="dxa"/>
            <w:noWrap/>
            <w:vAlign w:val="center"/>
          </w:tcPr>
          <w:p w:rsidR="007148DF" w:rsidRPr="007D5748" w:rsidRDefault="007148DF" w:rsidP="00E2216B">
            <w:r w:rsidRPr="007D5748">
              <w:t>v tom: za každý subjekt verejnej správy / program zvlášť</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c>
          <w:tcPr>
            <w:tcW w:w="1267" w:type="dxa"/>
            <w:noWrap/>
            <w:vAlign w:val="center"/>
          </w:tcPr>
          <w:p w:rsidR="007148DF" w:rsidRPr="007D5748" w:rsidRDefault="007148DF" w:rsidP="00E2216B">
            <w:pPr>
              <w:jc w:val="right"/>
            </w:pPr>
            <w:r w:rsidRPr="007D5748">
              <w:t>0</w:t>
            </w:r>
          </w:p>
        </w:tc>
      </w:tr>
      <w:tr w:rsidR="007148DF" w:rsidRPr="00AB78B7" w:rsidTr="00E2216B">
        <w:trPr>
          <w:trHeight w:val="70"/>
          <w:jc w:val="center"/>
        </w:trPr>
        <w:tc>
          <w:tcPr>
            <w:tcW w:w="4661" w:type="dxa"/>
            <w:shd w:val="clear" w:color="auto" w:fill="BFBFBF"/>
            <w:noWrap/>
            <w:vAlign w:val="center"/>
          </w:tcPr>
          <w:p w:rsidR="007148DF" w:rsidRPr="007D5748" w:rsidRDefault="007148DF" w:rsidP="00E2216B">
            <w:pPr>
              <w:rPr>
                <w:b/>
              </w:rPr>
            </w:pPr>
            <w:r w:rsidRPr="007D5748">
              <w:rPr>
                <w:b/>
              </w:rPr>
              <w:t>Iné ako rozpočtové zdroje</w:t>
            </w:r>
          </w:p>
        </w:tc>
        <w:tc>
          <w:tcPr>
            <w:tcW w:w="1267" w:type="dxa"/>
            <w:shd w:val="clear" w:color="auto" w:fill="BFBFBF"/>
            <w:noWrap/>
            <w:vAlign w:val="center"/>
          </w:tcPr>
          <w:p w:rsidR="007148DF" w:rsidRPr="007D5748" w:rsidRDefault="007148DF" w:rsidP="00E2216B">
            <w:pPr>
              <w:jc w:val="right"/>
              <w:rPr>
                <w:b/>
                <w:bCs/>
              </w:rPr>
            </w:pPr>
            <w:r w:rsidRPr="007D5748">
              <w:rPr>
                <w:b/>
                <w:bCs/>
              </w:rPr>
              <w:t>0</w:t>
            </w:r>
          </w:p>
        </w:tc>
        <w:tc>
          <w:tcPr>
            <w:tcW w:w="1267" w:type="dxa"/>
            <w:shd w:val="clear" w:color="auto" w:fill="BFBFBF"/>
            <w:noWrap/>
            <w:vAlign w:val="center"/>
          </w:tcPr>
          <w:p w:rsidR="007148DF" w:rsidRPr="007D5748" w:rsidRDefault="007148DF" w:rsidP="00E2216B">
            <w:pPr>
              <w:jc w:val="right"/>
              <w:rPr>
                <w:b/>
                <w:bCs/>
              </w:rPr>
            </w:pPr>
            <w:r w:rsidRPr="007D5748">
              <w:rPr>
                <w:b/>
                <w:bCs/>
              </w:rPr>
              <w:t>0</w:t>
            </w:r>
          </w:p>
        </w:tc>
        <w:tc>
          <w:tcPr>
            <w:tcW w:w="1267" w:type="dxa"/>
            <w:shd w:val="clear" w:color="auto" w:fill="BFBFBF"/>
            <w:noWrap/>
            <w:vAlign w:val="center"/>
          </w:tcPr>
          <w:p w:rsidR="007148DF" w:rsidRPr="007D5748" w:rsidRDefault="007148DF" w:rsidP="00E2216B">
            <w:pPr>
              <w:jc w:val="right"/>
              <w:rPr>
                <w:b/>
                <w:bCs/>
              </w:rPr>
            </w:pPr>
            <w:r w:rsidRPr="007D5748">
              <w:rPr>
                <w:b/>
                <w:bCs/>
              </w:rPr>
              <w:t>0</w:t>
            </w:r>
          </w:p>
        </w:tc>
        <w:tc>
          <w:tcPr>
            <w:tcW w:w="1267" w:type="dxa"/>
            <w:shd w:val="clear" w:color="auto" w:fill="BFBFBF"/>
            <w:noWrap/>
            <w:vAlign w:val="center"/>
          </w:tcPr>
          <w:p w:rsidR="007148DF" w:rsidRPr="007D5748" w:rsidRDefault="007148DF" w:rsidP="00E2216B">
            <w:pPr>
              <w:jc w:val="right"/>
              <w:rPr>
                <w:b/>
                <w:bCs/>
              </w:rPr>
            </w:pPr>
            <w:r w:rsidRPr="007D5748">
              <w:rPr>
                <w:b/>
                <w:bCs/>
              </w:rPr>
              <w:t>0</w:t>
            </w:r>
          </w:p>
        </w:tc>
      </w:tr>
      <w:tr w:rsidR="007148DF" w:rsidRPr="00AB78B7" w:rsidTr="00E2216B">
        <w:trPr>
          <w:trHeight w:val="70"/>
          <w:jc w:val="center"/>
        </w:trPr>
        <w:tc>
          <w:tcPr>
            <w:tcW w:w="4661" w:type="dxa"/>
            <w:shd w:val="clear" w:color="auto" w:fill="A6A6A6"/>
            <w:noWrap/>
            <w:vAlign w:val="center"/>
          </w:tcPr>
          <w:p w:rsidR="007148DF" w:rsidRPr="007D5748" w:rsidRDefault="007148DF" w:rsidP="00E2216B">
            <w:pPr>
              <w:rPr>
                <w:b/>
                <w:bCs/>
              </w:rPr>
            </w:pPr>
            <w:r w:rsidRPr="007D5748">
              <w:rPr>
                <w:b/>
                <w:bCs/>
              </w:rPr>
              <w:t>Rozpočtovo nekrytý vplyv / úspora</w:t>
            </w:r>
          </w:p>
        </w:tc>
        <w:tc>
          <w:tcPr>
            <w:tcW w:w="1267" w:type="dxa"/>
            <w:shd w:val="clear" w:color="auto" w:fill="A6A6A6"/>
            <w:noWrap/>
            <w:vAlign w:val="center"/>
          </w:tcPr>
          <w:p w:rsidR="007148DF" w:rsidRPr="007D5748" w:rsidRDefault="007148DF" w:rsidP="00E2216B">
            <w:pPr>
              <w:jc w:val="right"/>
              <w:rPr>
                <w:b/>
                <w:bCs/>
              </w:rPr>
            </w:pPr>
            <w:r w:rsidRPr="007D5748">
              <w:rPr>
                <w:b/>
                <w:bCs/>
              </w:rPr>
              <w:t>0</w:t>
            </w:r>
          </w:p>
        </w:tc>
        <w:tc>
          <w:tcPr>
            <w:tcW w:w="1267" w:type="dxa"/>
            <w:shd w:val="clear" w:color="auto" w:fill="A6A6A6"/>
            <w:noWrap/>
            <w:vAlign w:val="center"/>
          </w:tcPr>
          <w:p w:rsidR="007148DF" w:rsidRPr="007D5748" w:rsidRDefault="007148DF" w:rsidP="00E2216B">
            <w:pPr>
              <w:jc w:val="right"/>
              <w:rPr>
                <w:b/>
                <w:bCs/>
              </w:rPr>
            </w:pPr>
            <w:r w:rsidRPr="007D5748">
              <w:rPr>
                <w:b/>
                <w:bCs/>
              </w:rPr>
              <w:t>0</w:t>
            </w:r>
          </w:p>
        </w:tc>
        <w:tc>
          <w:tcPr>
            <w:tcW w:w="1267" w:type="dxa"/>
            <w:shd w:val="clear" w:color="auto" w:fill="A6A6A6"/>
            <w:noWrap/>
            <w:vAlign w:val="center"/>
          </w:tcPr>
          <w:p w:rsidR="007148DF" w:rsidRPr="007D5748" w:rsidRDefault="007148DF" w:rsidP="00E2216B">
            <w:pPr>
              <w:jc w:val="right"/>
              <w:rPr>
                <w:b/>
                <w:bCs/>
              </w:rPr>
            </w:pPr>
            <w:r w:rsidRPr="007D5748">
              <w:rPr>
                <w:b/>
                <w:bCs/>
              </w:rPr>
              <w:t>0</w:t>
            </w:r>
          </w:p>
        </w:tc>
        <w:tc>
          <w:tcPr>
            <w:tcW w:w="1267" w:type="dxa"/>
            <w:shd w:val="clear" w:color="auto" w:fill="A6A6A6"/>
            <w:noWrap/>
            <w:vAlign w:val="center"/>
          </w:tcPr>
          <w:p w:rsidR="007148DF" w:rsidRPr="007D5748" w:rsidRDefault="007148DF" w:rsidP="00E2216B">
            <w:pPr>
              <w:jc w:val="right"/>
              <w:rPr>
                <w:b/>
                <w:bCs/>
              </w:rPr>
            </w:pPr>
            <w:r w:rsidRPr="007D5748">
              <w:rPr>
                <w:b/>
                <w:bCs/>
              </w:rPr>
              <w:t>0</w:t>
            </w:r>
          </w:p>
        </w:tc>
      </w:tr>
      <w:bookmarkEnd w:id="1"/>
    </w:tbl>
    <w:p w:rsidR="007148DF" w:rsidRPr="007D5748" w:rsidRDefault="007148DF" w:rsidP="00927626">
      <w:pPr>
        <w:rPr>
          <w:b/>
          <w:bCs/>
        </w:rPr>
      </w:pPr>
    </w:p>
    <w:p w:rsidR="007148DF" w:rsidRDefault="007148DF" w:rsidP="00927626">
      <w:pPr>
        <w:rPr>
          <w:b/>
          <w:bCs/>
        </w:rPr>
      </w:pPr>
      <w:r>
        <w:rPr>
          <w:b/>
          <w:bCs/>
        </w:rPr>
        <w:br w:type="page"/>
      </w:r>
    </w:p>
    <w:p w:rsidR="007148DF" w:rsidRPr="00E50454" w:rsidRDefault="007148DF" w:rsidP="00927626">
      <w:pPr>
        <w:jc w:val="both"/>
        <w:rPr>
          <w:b/>
          <w:bCs/>
        </w:rPr>
      </w:pPr>
      <w:r w:rsidRPr="007D5748">
        <w:rPr>
          <w:b/>
          <w:bCs/>
        </w:rPr>
        <w:t>2.1.1. Financovanie návrhu - Návrh na riešenie úbytku príjmov alebo zvýšených výdavkov podľa § 33 ods. 1 zákona č. 523/2004 Z. z. o rozpočtových pravidlách verejnej správy:</w:t>
      </w:r>
    </w:p>
    <w:p w:rsidR="007148DF" w:rsidRPr="00E50454" w:rsidRDefault="007148DF" w:rsidP="00927626">
      <w:pPr>
        <w:pBdr>
          <w:top w:val="single" w:sz="4" w:space="1" w:color="auto"/>
          <w:left w:val="single" w:sz="4" w:space="4" w:color="auto"/>
          <w:bottom w:val="single" w:sz="4" w:space="0" w:color="auto"/>
          <w:right w:val="single" w:sz="4" w:space="4" w:color="auto"/>
        </w:pBdr>
        <w:rPr>
          <w:bCs/>
        </w:rPr>
      </w:pPr>
      <w:r w:rsidRPr="00E50454">
        <w:rPr>
          <w:bCs/>
        </w:rPr>
        <w:t xml:space="preserve">Aktivity navrhnuté na realizáciu v rámci  NEHAP V. majú negatívny vplyv na rozpočet verejnej správy, sú však plne rozpočtovo kryté rozpočtom jednotlivých rezortov štátnej správy, ktoré sa na ich realizácii budú podieľať.  Rozsah implementácie navrhnutých aktivít bude vychádzať z aktuálnych finančných a kapacitných možností jednotlivých orgánov štátnej správy, pričom nenavýši požiadavku na schválený rozpočet rezortov.   </w:t>
      </w:r>
    </w:p>
    <w:p w:rsidR="007148DF" w:rsidRPr="007D5748" w:rsidRDefault="007148DF" w:rsidP="00927626">
      <w:pPr>
        <w:pBdr>
          <w:top w:val="single" w:sz="4" w:space="1" w:color="auto"/>
          <w:left w:val="single" w:sz="4" w:space="4" w:color="auto"/>
          <w:bottom w:val="single" w:sz="4" w:space="0" w:color="auto"/>
          <w:right w:val="single" w:sz="4" w:space="4" w:color="auto"/>
        </w:pBdr>
        <w:rPr>
          <w:b/>
          <w:bCs/>
        </w:rPr>
      </w:pPr>
    </w:p>
    <w:p w:rsidR="007148DF" w:rsidRPr="007D5748" w:rsidRDefault="007148DF" w:rsidP="00927626">
      <w:pPr>
        <w:pBdr>
          <w:top w:val="single" w:sz="4" w:space="1" w:color="auto"/>
          <w:left w:val="single" w:sz="4" w:space="4" w:color="auto"/>
          <w:bottom w:val="single" w:sz="4" w:space="0" w:color="auto"/>
          <w:right w:val="single" w:sz="4" w:space="4" w:color="auto"/>
        </w:pBdr>
        <w:rPr>
          <w:b/>
          <w:bCs/>
        </w:rPr>
      </w:pPr>
    </w:p>
    <w:p w:rsidR="007148DF" w:rsidRPr="007D5748" w:rsidRDefault="007148DF" w:rsidP="00927626">
      <w:pPr>
        <w:pBdr>
          <w:top w:val="single" w:sz="4" w:space="1" w:color="auto"/>
          <w:left w:val="single" w:sz="4" w:space="4" w:color="auto"/>
          <w:bottom w:val="single" w:sz="4" w:space="0" w:color="auto"/>
          <w:right w:val="single" w:sz="4" w:space="4" w:color="auto"/>
        </w:pBdr>
        <w:rPr>
          <w:b/>
          <w:bCs/>
        </w:rPr>
      </w:pPr>
    </w:p>
    <w:p w:rsidR="007148DF" w:rsidRPr="007D5748" w:rsidRDefault="007148DF" w:rsidP="00927626">
      <w:pPr>
        <w:rPr>
          <w:b/>
          <w:bCs/>
        </w:rPr>
      </w:pPr>
      <w:r w:rsidRPr="007D5748">
        <w:rPr>
          <w:b/>
          <w:bCs/>
        </w:rPr>
        <w:t>2.2. Popis a charakteristika návrhu</w:t>
      </w:r>
    </w:p>
    <w:p w:rsidR="007148DF" w:rsidRPr="007D5748" w:rsidRDefault="007148DF" w:rsidP="00927626"/>
    <w:p w:rsidR="007148DF" w:rsidRPr="007D5748" w:rsidRDefault="007148DF" w:rsidP="00927626">
      <w:pPr>
        <w:jc w:val="both"/>
        <w:rPr>
          <w:b/>
          <w:bCs/>
        </w:rPr>
      </w:pPr>
      <w:r w:rsidRPr="007D5748">
        <w:rPr>
          <w:b/>
          <w:bCs/>
        </w:rPr>
        <w:t>2.2.1. Popis návrhu:</w:t>
      </w:r>
    </w:p>
    <w:p w:rsidR="007148DF" w:rsidRPr="007D5748" w:rsidRDefault="007148DF" w:rsidP="00927626">
      <w:pPr>
        <w:jc w:val="both"/>
        <w:rPr>
          <w:b/>
          <w:bCs/>
        </w:rPr>
      </w:pPr>
    </w:p>
    <w:p w:rsidR="007148DF" w:rsidRDefault="007148DF" w:rsidP="00927626">
      <w:pPr>
        <w:ind w:firstLine="708"/>
        <w:jc w:val="both"/>
      </w:pPr>
      <w:r w:rsidRPr="007D5748">
        <w:t>Akú problematiku návrh rieši? Kto bude návrh implementovať? Kde sa budú služby poskytovať?</w:t>
      </w:r>
    </w:p>
    <w:p w:rsidR="007148DF" w:rsidRDefault="007148DF" w:rsidP="00927626">
      <w:pPr>
        <w:ind w:firstLine="708"/>
        <w:jc w:val="both"/>
      </w:pPr>
    </w:p>
    <w:p w:rsidR="007148DF" w:rsidRDefault="007148DF" w:rsidP="00927626">
      <w:pPr>
        <w:pStyle w:val="NormalWeb"/>
      </w:pPr>
      <w:r>
        <w:tab/>
        <w:t xml:space="preserve">NEHAP V. bol vypracovaný za účelom implementácie záverov 6. ministerskej konferencie o životnom prostredí a zdraví konanej v Ostrave v podmienkach Slovenskej republiky. Základným cieľom NEHAP V. je minimalizovať riziká pochádzajúce z prostredia, ktoré môžu poškodzovať a ohrozovať zdravie ľudí, a to prostredníctvom navrhnutých aktivít jednotlivých rozpracovaných prioritných oblastí.  NEHAP V. predstavuje dôležitý nástroj na posilnenie procesov v prospech zlepšenia environmentálneho zdravia so zapojením relevantných partnerov z rôznych oblastí.  Prekladaný akčný plán vznikol na základe medzirezortnej spolupráce na ktorého príprave sa podieľali partneri z relevantných rezortov, a to: Ministerstvo životného prostredia,  Ministerstvo pôdohospodárstva a rozvoja vidieka; Ministerstvo hospodárstva, Ministerstvo dopravy a výstavby a Ministerstvo školstva, vedy, výskumu a športu.  Predmetné rezorty navrhli úlohy, ktoré budú po schválení metariálu realizovať. </w:t>
      </w:r>
    </w:p>
    <w:p w:rsidR="007148DF" w:rsidRPr="007D5748" w:rsidRDefault="007148DF" w:rsidP="00927626"/>
    <w:p w:rsidR="007148DF" w:rsidRPr="007D5748" w:rsidRDefault="007148DF" w:rsidP="00927626">
      <w:pPr>
        <w:rPr>
          <w:b/>
          <w:bCs/>
        </w:rPr>
      </w:pPr>
      <w:r w:rsidRPr="007D5748">
        <w:rPr>
          <w:b/>
          <w:bCs/>
        </w:rPr>
        <w:t>2.2.2. Charakteristika návrhu:</w:t>
      </w:r>
    </w:p>
    <w:p w:rsidR="007148DF" w:rsidRPr="007D5748" w:rsidRDefault="007148DF" w:rsidP="00927626"/>
    <w:p w:rsidR="007148DF" w:rsidRPr="007D5748" w:rsidRDefault="007148DF" w:rsidP="00927626">
      <w:r w:rsidRPr="007D5748">
        <w:rPr>
          <w:b/>
          <w:bdr w:val="single" w:sz="4" w:space="0" w:color="auto"/>
        </w:rPr>
        <w:t xml:space="preserve">     </w:t>
      </w:r>
      <w:r w:rsidRPr="007D5748">
        <w:rPr>
          <w:b/>
        </w:rPr>
        <w:t xml:space="preserve">  </w:t>
      </w:r>
      <w:r w:rsidRPr="007D5748">
        <w:t>zmena sadzby</w:t>
      </w:r>
    </w:p>
    <w:p w:rsidR="007148DF" w:rsidRPr="007D5748" w:rsidRDefault="007148DF" w:rsidP="00927626">
      <w:r w:rsidRPr="007D5748">
        <w:rPr>
          <w:bdr w:val="single" w:sz="4" w:space="0" w:color="auto"/>
        </w:rPr>
        <w:t xml:space="preserve">     </w:t>
      </w:r>
      <w:r w:rsidRPr="007D5748">
        <w:t xml:space="preserve">  zmena v nároku</w:t>
      </w:r>
    </w:p>
    <w:p w:rsidR="007148DF" w:rsidRPr="007D5748" w:rsidRDefault="007148DF" w:rsidP="00927626">
      <w:r w:rsidRPr="007D5748">
        <w:rPr>
          <w:bdr w:val="single" w:sz="4" w:space="0" w:color="auto"/>
        </w:rPr>
        <w:t xml:space="preserve">     </w:t>
      </w:r>
      <w:r w:rsidRPr="007D5748">
        <w:t xml:space="preserve">  nová služba alebo nariadenie (alebo ich zrušenie)</w:t>
      </w:r>
    </w:p>
    <w:p w:rsidR="007148DF" w:rsidRPr="007D5748" w:rsidRDefault="007148DF" w:rsidP="00927626">
      <w:r w:rsidRPr="007D5748">
        <w:rPr>
          <w:bdr w:val="single" w:sz="4" w:space="0" w:color="auto"/>
        </w:rPr>
        <w:t xml:space="preserve">     </w:t>
      </w:r>
      <w:r w:rsidRPr="007D5748">
        <w:t xml:space="preserve">  kombinovaný návrh</w:t>
      </w:r>
    </w:p>
    <w:p w:rsidR="007148DF" w:rsidRPr="007D5748" w:rsidRDefault="007148DF" w:rsidP="00927626">
      <w:r w:rsidRPr="007D5748">
        <w:rPr>
          <w:bdr w:val="single" w:sz="4" w:space="0" w:color="auto"/>
        </w:rPr>
        <w:t xml:space="preserve">  </w:t>
      </w:r>
      <w:r>
        <w:rPr>
          <w:bdr w:val="single" w:sz="4" w:space="0" w:color="auto"/>
        </w:rPr>
        <w:t>X</w:t>
      </w:r>
      <w:r w:rsidRPr="007D5748">
        <w:rPr>
          <w:bdr w:val="single" w:sz="4" w:space="0" w:color="auto"/>
        </w:rPr>
        <w:t xml:space="preserve">  </w:t>
      </w:r>
      <w:r w:rsidRPr="007D5748">
        <w:t xml:space="preserve">  iné </w:t>
      </w:r>
    </w:p>
    <w:p w:rsidR="007148DF" w:rsidRDefault="007148DF" w:rsidP="00927626"/>
    <w:p w:rsidR="007148DF" w:rsidRPr="007D5748" w:rsidRDefault="007148DF" w:rsidP="00927626">
      <w:r>
        <w:t>Návrh popisuje zameranie aktivití realizovaných orgánmi štátnej správy za účelom ochrany zdravia v kontexte faktorov ŽP.</w:t>
      </w:r>
    </w:p>
    <w:p w:rsidR="007148DF" w:rsidRDefault="007148DF" w:rsidP="00927626"/>
    <w:p w:rsidR="007148DF" w:rsidRPr="007D5748" w:rsidRDefault="007148DF" w:rsidP="00927626"/>
    <w:p w:rsidR="007148DF" w:rsidRPr="007D5748" w:rsidRDefault="007148DF" w:rsidP="00927626">
      <w:r w:rsidRPr="007D5748">
        <w:rPr>
          <w:b/>
          <w:bCs/>
        </w:rPr>
        <w:t>2.2.3. Predpoklady vývoja objemu aktivít:</w:t>
      </w:r>
    </w:p>
    <w:p w:rsidR="007148DF" w:rsidRPr="007D5748" w:rsidRDefault="007148DF" w:rsidP="00927626"/>
    <w:p w:rsidR="007148DF" w:rsidRPr="007D5748" w:rsidRDefault="007148DF" w:rsidP="00927626">
      <w:pPr>
        <w:ind w:firstLine="708"/>
        <w:jc w:val="both"/>
      </w:pPr>
      <w:r w:rsidRPr="007D5748">
        <w:t>Jasne popíšte, v prípade potreby použite nižšie uvedenú tabuľku. Uveďte aj odhady základov daní a/alebo poplatkov, ak sa ich táto zmena týka.</w:t>
      </w:r>
    </w:p>
    <w:p w:rsidR="007148DF" w:rsidRDefault="007148DF" w:rsidP="00927626">
      <w:pPr>
        <w:jc w:val="right"/>
        <w:rPr>
          <w:sz w:val="20"/>
          <w:szCs w:val="20"/>
        </w:rPr>
      </w:pPr>
    </w:p>
    <w:p w:rsidR="007148DF" w:rsidRPr="007D5748" w:rsidRDefault="007148DF" w:rsidP="00927626">
      <w:pPr>
        <w:jc w:val="right"/>
        <w:rPr>
          <w:sz w:val="20"/>
          <w:szCs w:val="20"/>
        </w:rPr>
      </w:pPr>
      <w:r w:rsidRPr="007D5748">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1134"/>
        <w:gridCol w:w="1134"/>
        <w:gridCol w:w="1134"/>
        <w:gridCol w:w="1134"/>
      </w:tblGrid>
      <w:tr w:rsidR="007148DF" w:rsidRPr="00AB78B7" w:rsidTr="00E2216B">
        <w:trPr>
          <w:cantSplit/>
          <w:trHeight w:val="70"/>
        </w:trPr>
        <w:tc>
          <w:tcPr>
            <w:tcW w:w="4530" w:type="dxa"/>
            <w:vMerge w:val="restart"/>
            <w:shd w:val="clear" w:color="auto" w:fill="BFBFBF"/>
            <w:vAlign w:val="center"/>
          </w:tcPr>
          <w:p w:rsidR="007148DF" w:rsidRPr="007D5748" w:rsidRDefault="007148DF" w:rsidP="00E2216B">
            <w:pPr>
              <w:autoSpaceDE w:val="0"/>
              <w:autoSpaceDN w:val="0"/>
              <w:adjustRightInd w:val="0"/>
              <w:jc w:val="center"/>
              <w:rPr>
                <w:b/>
                <w:bCs/>
              </w:rPr>
            </w:pPr>
            <w:r w:rsidRPr="007D5748">
              <w:rPr>
                <w:b/>
                <w:bCs/>
              </w:rPr>
              <w:t>Objem aktivít</w:t>
            </w:r>
          </w:p>
        </w:tc>
        <w:tc>
          <w:tcPr>
            <w:tcW w:w="1134" w:type="dxa"/>
            <w:gridSpan w:val="4"/>
            <w:shd w:val="clear" w:color="auto" w:fill="BFBFBF"/>
            <w:vAlign w:val="center"/>
          </w:tcPr>
          <w:p w:rsidR="007148DF" w:rsidRPr="007D5748" w:rsidRDefault="007148DF" w:rsidP="00E2216B">
            <w:pPr>
              <w:autoSpaceDE w:val="0"/>
              <w:autoSpaceDN w:val="0"/>
              <w:adjustRightInd w:val="0"/>
              <w:jc w:val="center"/>
              <w:rPr>
                <w:b/>
                <w:bCs/>
              </w:rPr>
            </w:pPr>
            <w:r w:rsidRPr="007D5748">
              <w:rPr>
                <w:b/>
                <w:bCs/>
              </w:rPr>
              <w:t>Odhadované objemy</w:t>
            </w:r>
          </w:p>
        </w:tc>
      </w:tr>
      <w:tr w:rsidR="007148DF" w:rsidRPr="00AB78B7" w:rsidTr="00E2216B">
        <w:trPr>
          <w:cantSplit/>
          <w:trHeight w:val="70"/>
        </w:trPr>
        <w:tc>
          <w:tcPr>
            <w:tcW w:w="4530" w:type="dxa"/>
            <w:vMerge/>
            <w:shd w:val="clear" w:color="auto" w:fill="BFBFBF"/>
          </w:tcPr>
          <w:p w:rsidR="007148DF" w:rsidRPr="007D5748" w:rsidRDefault="007148DF" w:rsidP="00E2216B">
            <w:pPr>
              <w:autoSpaceDE w:val="0"/>
              <w:autoSpaceDN w:val="0"/>
              <w:adjustRightInd w:val="0"/>
              <w:jc w:val="center"/>
              <w:rPr>
                <w:b/>
                <w:bCs/>
              </w:rPr>
            </w:pPr>
          </w:p>
        </w:tc>
        <w:tc>
          <w:tcPr>
            <w:tcW w:w="1134" w:type="dxa"/>
            <w:shd w:val="clear" w:color="auto" w:fill="BFBFBF"/>
            <w:vAlign w:val="center"/>
          </w:tcPr>
          <w:p w:rsidR="007148DF" w:rsidRPr="007D5748" w:rsidRDefault="007148DF" w:rsidP="00E2216B">
            <w:pPr>
              <w:autoSpaceDE w:val="0"/>
              <w:autoSpaceDN w:val="0"/>
              <w:adjustRightInd w:val="0"/>
              <w:jc w:val="center"/>
              <w:rPr>
                <w:b/>
                <w:bCs/>
              </w:rPr>
            </w:pPr>
            <w:r w:rsidRPr="007D5748">
              <w:rPr>
                <w:b/>
                <w:bCs/>
              </w:rPr>
              <w:t>r</w:t>
            </w:r>
          </w:p>
        </w:tc>
        <w:tc>
          <w:tcPr>
            <w:tcW w:w="1134" w:type="dxa"/>
            <w:shd w:val="clear" w:color="auto" w:fill="BFBFBF"/>
            <w:vAlign w:val="center"/>
          </w:tcPr>
          <w:p w:rsidR="007148DF" w:rsidRPr="007D5748" w:rsidRDefault="007148DF" w:rsidP="00E2216B">
            <w:pPr>
              <w:autoSpaceDE w:val="0"/>
              <w:autoSpaceDN w:val="0"/>
              <w:adjustRightInd w:val="0"/>
              <w:jc w:val="center"/>
              <w:rPr>
                <w:b/>
                <w:bCs/>
              </w:rPr>
            </w:pPr>
            <w:r w:rsidRPr="007D5748">
              <w:rPr>
                <w:b/>
                <w:bCs/>
              </w:rPr>
              <w:t>r + 1</w:t>
            </w:r>
          </w:p>
        </w:tc>
        <w:tc>
          <w:tcPr>
            <w:tcW w:w="1134" w:type="dxa"/>
            <w:shd w:val="clear" w:color="auto" w:fill="BFBFBF"/>
            <w:vAlign w:val="center"/>
          </w:tcPr>
          <w:p w:rsidR="007148DF" w:rsidRPr="007D5748" w:rsidRDefault="007148DF" w:rsidP="00E2216B">
            <w:pPr>
              <w:autoSpaceDE w:val="0"/>
              <w:autoSpaceDN w:val="0"/>
              <w:adjustRightInd w:val="0"/>
              <w:jc w:val="center"/>
              <w:rPr>
                <w:b/>
                <w:bCs/>
              </w:rPr>
            </w:pPr>
            <w:r w:rsidRPr="007D5748">
              <w:rPr>
                <w:b/>
                <w:bCs/>
              </w:rPr>
              <w:t>r + 2</w:t>
            </w:r>
          </w:p>
        </w:tc>
        <w:tc>
          <w:tcPr>
            <w:tcW w:w="1134" w:type="dxa"/>
            <w:shd w:val="clear" w:color="auto" w:fill="BFBFBF"/>
            <w:vAlign w:val="center"/>
          </w:tcPr>
          <w:p w:rsidR="007148DF" w:rsidRPr="007D5748" w:rsidRDefault="007148DF" w:rsidP="00E2216B">
            <w:pPr>
              <w:autoSpaceDE w:val="0"/>
              <w:autoSpaceDN w:val="0"/>
              <w:adjustRightInd w:val="0"/>
              <w:jc w:val="center"/>
              <w:rPr>
                <w:b/>
                <w:bCs/>
              </w:rPr>
            </w:pPr>
            <w:r w:rsidRPr="007D5748">
              <w:rPr>
                <w:b/>
                <w:bCs/>
              </w:rPr>
              <w:t>r + 3</w:t>
            </w:r>
          </w:p>
        </w:tc>
      </w:tr>
      <w:tr w:rsidR="007148DF" w:rsidRPr="00AB78B7" w:rsidTr="00E2216B">
        <w:trPr>
          <w:trHeight w:val="70"/>
        </w:trPr>
        <w:tc>
          <w:tcPr>
            <w:tcW w:w="4530" w:type="dxa"/>
          </w:tcPr>
          <w:p w:rsidR="007148DF" w:rsidRPr="007D5748" w:rsidRDefault="007148DF" w:rsidP="00E2216B">
            <w:pPr>
              <w:autoSpaceDE w:val="0"/>
              <w:autoSpaceDN w:val="0"/>
              <w:adjustRightInd w:val="0"/>
              <w:rPr>
                <w:color w:val="000000"/>
              </w:rPr>
            </w:pPr>
            <w:r w:rsidRPr="007D5748">
              <w:rPr>
                <w:color w:val="000000"/>
              </w:rPr>
              <w:t>Indikátor ABC</w:t>
            </w:r>
          </w:p>
        </w:tc>
        <w:tc>
          <w:tcPr>
            <w:tcW w:w="1134" w:type="dxa"/>
          </w:tcPr>
          <w:p w:rsidR="007148DF" w:rsidRPr="007D5748" w:rsidRDefault="007148DF" w:rsidP="00E2216B">
            <w:pPr>
              <w:autoSpaceDE w:val="0"/>
              <w:autoSpaceDN w:val="0"/>
              <w:adjustRightInd w:val="0"/>
              <w:jc w:val="right"/>
              <w:rPr>
                <w:color w:val="000000"/>
              </w:rPr>
            </w:pPr>
          </w:p>
        </w:tc>
        <w:tc>
          <w:tcPr>
            <w:tcW w:w="1134" w:type="dxa"/>
          </w:tcPr>
          <w:p w:rsidR="007148DF" w:rsidRPr="007D5748" w:rsidRDefault="007148DF" w:rsidP="00E2216B">
            <w:pPr>
              <w:autoSpaceDE w:val="0"/>
              <w:autoSpaceDN w:val="0"/>
              <w:adjustRightInd w:val="0"/>
              <w:jc w:val="right"/>
              <w:rPr>
                <w:color w:val="000000"/>
              </w:rPr>
            </w:pPr>
          </w:p>
        </w:tc>
        <w:tc>
          <w:tcPr>
            <w:tcW w:w="1134" w:type="dxa"/>
          </w:tcPr>
          <w:p w:rsidR="007148DF" w:rsidRPr="007D5748" w:rsidRDefault="007148DF" w:rsidP="00E2216B">
            <w:pPr>
              <w:autoSpaceDE w:val="0"/>
              <w:autoSpaceDN w:val="0"/>
              <w:adjustRightInd w:val="0"/>
              <w:jc w:val="right"/>
              <w:rPr>
                <w:color w:val="000000"/>
              </w:rPr>
            </w:pPr>
          </w:p>
        </w:tc>
        <w:tc>
          <w:tcPr>
            <w:tcW w:w="1134" w:type="dxa"/>
          </w:tcPr>
          <w:p w:rsidR="007148DF" w:rsidRPr="007D5748" w:rsidRDefault="007148DF" w:rsidP="00E2216B">
            <w:pPr>
              <w:autoSpaceDE w:val="0"/>
              <w:autoSpaceDN w:val="0"/>
              <w:adjustRightInd w:val="0"/>
              <w:jc w:val="right"/>
              <w:rPr>
                <w:color w:val="000000"/>
              </w:rPr>
            </w:pPr>
          </w:p>
        </w:tc>
      </w:tr>
      <w:tr w:rsidR="007148DF" w:rsidRPr="00AB78B7" w:rsidTr="00E2216B">
        <w:trPr>
          <w:trHeight w:val="70"/>
        </w:trPr>
        <w:tc>
          <w:tcPr>
            <w:tcW w:w="4530" w:type="dxa"/>
          </w:tcPr>
          <w:p w:rsidR="007148DF" w:rsidRPr="007D5748" w:rsidRDefault="007148DF" w:rsidP="00E2216B">
            <w:pPr>
              <w:autoSpaceDE w:val="0"/>
              <w:autoSpaceDN w:val="0"/>
              <w:adjustRightInd w:val="0"/>
              <w:rPr>
                <w:color w:val="000000"/>
              </w:rPr>
            </w:pPr>
            <w:r w:rsidRPr="007D5748">
              <w:rPr>
                <w:color w:val="000000"/>
              </w:rPr>
              <w:t>Indikátor KLM</w:t>
            </w:r>
          </w:p>
        </w:tc>
        <w:tc>
          <w:tcPr>
            <w:tcW w:w="1134" w:type="dxa"/>
          </w:tcPr>
          <w:p w:rsidR="007148DF" w:rsidRPr="007D5748" w:rsidRDefault="007148DF" w:rsidP="00E2216B">
            <w:pPr>
              <w:autoSpaceDE w:val="0"/>
              <w:autoSpaceDN w:val="0"/>
              <w:adjustRightInd w:val="0"/>
              <w:jc w:val="right"/>
              <w:rPr>
                <w:color w:val="000000"/>
              </w:rPr>
            </w:pPr>
          </w:p>
        </w:tc>
        <w:tc>
          <w:tcPr>
            <w:tcW w:w="1134" w:type="dxa"/>
          </w:tcPr>
          <w:p w:rsidR="007148DF" w:rsidRPr="007D5748" w:rsidRDefault="007148DF" w:rsidP="00E2216B">
            <w:pPr>
              <w:autoSpaceDE w:val="0"/>
              <w:autoSpaceDN w:val="0"/>
              <w:adjustRightInd w:val="0"/>
              <w:jc w:val="right"/>
              <w:rPr>
                <w:color w:val="000000"/>
              </w:rPr>
            </w:pPr>
          </w:p>
        </w:tc>
        <w:tc>
          <w:tcPr>
            <w:tcW w:w="1134" w:type="dxa"/>
          </w:tcPr>
          <w:p w:rsidR="007148DF" w:rsidRPr="007D5748" w:rsidRDefault="007148DF" w:rsidP="00E2216B">
            <w:pPr>
              <w:autoSpaceDE w:val="0"/>
              <w:autoSpaceDN w:val="0"/>
              <w:adjustRightInd w:val="0"/>
              <w:jc w:val="right"/>
              <w:rPr>
                <w:color w:val="000000"/>
              </w:rPr>
            </w:pPr>
          </w:p>
        </w:tc>
        <w:tc>
          <w:tcPr>
            <w:tcW w:w="1134" w:type="dxa"/>
          </w:tcPr>
          <w:p w:rsidR="007148DF" w:rsidRPr="007D5748" w:rsidRDefault="007148DF" w:rsidP="00E2216B">
            <w:pPr>
              <w:autoSpaceDE w:val="0"/>
              <w:autoSpaceDN w:val="0"/>
              <w:adjustRightInd w:val="0"/>
              <w:jc w:val="right"/>
              <w:rPr>
                <w:color w:val="000000"/>
              </w:rPr>
            </w:pPr>
          </w:p>
        </w:tc>
      </w:tr>
      <w:tr w:rsidR="007148DF" w:rsidRPr="00AB78B7" w:rsidTr="00E2216B">
        <w:trPr>
          <w:trHeight w:val="70"/>
        </w:trPr>
        <w:tc>
          <w:tcPr>
            <w:tcW w:w="4530" w:type="dxa"/>
          </w:tcPr>
          <w:p w:rsidR="007148DF" w:rsidRPr="007D5748" w:rsidRDefault="007148DF" w:rsidP="00E2216B">
            <w:pPr>
              <w:autoSpaceDE w:val="0"/>
              <w:autoSpaceDN w:val="0"/>
              <w:adjustRightInd w:val="0"/>
              <w:rPr>
                <w:color w:val="000000"/>
              </w:rPr>
            </w:pPr>
            <w:r w:rsidRPr="007D5748">
              <w:rPr>
                <w:color w:val="000000"/>
              </w:rPr>
              <w:t>Indikátor XYZ</w:t>
            </w:r>
          </w:p>
        </w:tc>
        <w:tc>
          <w:tcPr>
            <w:tcW w:w="1134" w:type="dxa"/>
          </w:tcPr>
          <w:p w:rsidR="007148DF" w:rsidRPr="007D5748" w:rsidRDefault="007148DF" w:rsidP="00E2216B">
            <w:pPr>
              <w:autoSpaceDE w:val="0"/>
              <w:autoSpaceDN w:val="0"/>
              <w:adjustRightInd w:val="0"/>
              <w:jc w:val="right"/>
              <w:rPr>
                <w:color w:val="000000"/>
              </w:rPr>
            </w:pPr>
          </w:p>
        </w:tc>
        <w:tc>
          <w:tcPr>
            <w:tcW w:w="1134" w:type="dxa"/>
          </w:tcPr>
          <w:p w:rsidR="007148DF" w:rsidRPr="007D5748" w:rsidRDefault="007148DF" w:rsidP="00E2216B">
            <w:pPr>
              <w:autoSpaceDE w:val="0"/>
              <w:autoSpaceDN w:val="0"/>
              <w:adjustRightInd w:val="0"/>
              <w:jc w:val="right"/>
              <w:rPr>
                <w:color w:val="000000"/>
              </w:rPr>
            </w:pPr>
          </w:p>
        </w:tc>
        <w:tc>
          <w:tcPr>
            <w:tcW w:w="1134" w:type="dxa"/>
          </w:tcPr>
          <w:p w:rsidR="007148DF" w:rsidRPr="007D5748" w:rsidRDefault="007148DF" w:rsidP="00E2216B">
            <w:pPr>
              <w:autoSpaceDE w:val="0"/>
              <w:autoSpaceDN w:val="0"/>
              <w:adjustRightInd w:val="0"/>
              <w:jc w:val="right"/>
              <w:rPr>
                <w:color w:val="000000"/>
              </w:rPr>
            </w:pPr>
          </w:p>
        </w:tc>
        <w:tc>
          <w:tcPr>
            <w:tcW w:w="1134" w:type="dxa"/>
          </w:tcPr>
          <w:p w:rsidR="007148DF" w:rsidRPr="007D5748" w:rsidRDefault="007148DF" w:rsidP="00E2216B">
            <w:pPr>
              <w:autoSpaceDE w:val="0"/>
              <w:autoSpaceDN w:val="0"/>
              <w:adjustRightInd w:val="0"/>
              <w:jc w:val="right"/>
              <w:rPr>
                <w:color w:val="000000"/>
              </w:rPr>
            </w:pPr>
          </w:p>
        </w:tc>
      </w:tr>
    </w:tbl>
    <w:p w:rsidR="007148DF" w:rsidRPr="007D5748" w:rsidRDefault="007148DF" w:rsidP="00927626"/>
    <w:p w:rsidR="007148DF" w:rsidRPr="007D5748" w:rsidRDefault="007148DF" w:rsidP="00927626"/>
    <w:p w:rsidR="007148DF" w:rsidRPr="007D5748" w:rsidRDefault="007148DF" w:rsidP="00927626">
      <w:pPr>
        <w:rPr>
          <w:b/>
          <w:bCs/>
        </w:rPr>
      </w:pPr>
      <w:r w:rsidRPr="007D5748">
        <w:rPr>
          <w:b/>
          <w:bCs/>
        </w:rPr>
        <w:t>2.2.4. Výpočty vplyvov na verejné financie</w:t>
      </w:r>
    </w:p>
    <w:p w:rsidR="007148DF" w:rsidRPr="007D5748" w:rsidRDefault="007148DF" w:rsidP="00927626"/>
    <w:p w:rsidR="007148DF" w:rsidRPr="007D5748" w:rsidRDefault="007148DF" w:rsidP="00927626">
      <w:pPr>
        <w:jc w:val="both"/>
      </w:pPr>
      <w:r>
        <w:tab/>
        <w:t xml:space="preserve">Aktivity sú predkladaným materiálom definované vo všeobecnom rozsahu, ktorý v tejto fáze neumožňuje kvantifikáciu nákladov potrebných na ich realizáciu.  Miera implementácie sa však odvíja od dostupnosti potrebných finančných a personálnych zdrojov v závislosti od potreby financovania aktivít rezortov aj v iných oblastiach.   V období implementácie NEHAP V. budú v dvojročných intervaloch vypracované správy o stave jeho implementácie v jednotlivých rezortoch, v rámci ktorých bude možné jednotlivé aktivity po ich bližšom rozpracovaní jednotlivými rezortami aspoň čiastočne kvantifikovať.   </w:t>
      </w:r>
    </w:p>
    <w:p w:rsidR="007148DF" w:rsidRPr="007D5748" w:rsidRDefault="007148DF" w:rsidP="00927626">
      <w:pPr>
        <w:tabs>
          <w:tab w:val="num" w:pos="1080"/>
        </w:tabs>
        <w:jc w:val="both"/>
        <w:rPr>
          <w:bCs/>
        </w:rPr>
      </w:pPr>
    </w:p>
    <w:p w:rsidR="007148DF" w:rsidRPr="007D5748" w:rsidRDefault="007148DF" w:rsidP="00927626">
      <w:pPr>
        <w:tabs>
          <w:tab w:val="num" w:pos="1080"/>
        </w:tabs>
        <w:jc w:val="both"/>
        <w:rPr>
          <w:bCs/>
        </w:rPr>
      </w:pPr>
    </w:p>
    <w:p w:rsidR="007148DF" w:rsidRPr="007D5748" w:rsidRDefault="007148DF" w:rsidP="00927626">
      <w:pPr>
        <w:tabs>
          <w:tab w:val="num" w:pos="1080"/>
        </w:tabs>
        <w:jc w:val="both"/>
        <w:rPr>
          <w:bCs/>
        </w:rPr>
      </w:pPr>
    </w:p>
    <w:p w:rsidR="007148DF" w:rsidRPr="007D5748" w:rsidRDefault="007148DF" w:rsidP="00927626">
      <w:pPr>
        <w:tabs>
          <w:tab w:val="num" w:pos="1080"/>
        </w:tabs>
        <w:jc w:val="both"/>
        <w:rPr>
          <w:bCs/>
          <w:szCs w:val="20"/>
        </w:rPr>
      </w:pPr>
    </w:p>
    <w:p w:rsidR="007148DF" w:rsidRPr="007D5748" w:rsidRDefault="007148DF" w:rsidP="00927626">
      <w:pPr>
        <w:tabs>
          <w:tab w:val="num" w:pos="1080"/>
        </w:tabs>
        <w:jc w:val="both"/>
        <w:rPr>
          <w:bCs/>
          <w:szCs w:val="20"/>
        </w:rPr>
      </w:pPr>
    </w:p>
    <w:p w:rsidR="007148DF" w:rsidRPr="007D5748" w:rsidRDefault="007148DF" w:rsidP="00927626">
      <w:pPr>
        <w:tabs>
          <w:tab w:val="num" w:pos="1080"/>
        </w:tabs>
        <w:jc w:val="both"/>
        <w:rPr>
          <w:bCs/>
          <w:szCs w:val="20"/>
        </w:rPr>
      </w:pPr>
    </w:p>
    <w:p w:rsidR="007148DF" w:rsidRPr="007D5748" w:rsidRDefault="007148DF" w:rsidP="00927626">
      <w:pPr>
        <w:tabs>
          <w:tab w:val="num" w:pos="1080"/>
        </w:tabs>
        <w:jc w:val="both"/>
        <w:rPr>
          <w:bCs/>
          <w:szCs w:val="20"/>
        </w:rPr>
        <w:sectPr w:rsidR="007148DF" w:rsidRPr="007D5748" w:rsidSect="00EB59C8">
          <w:headerReference w:type="even" r:id="rId7"/>
          <w:footerReference w:type="even" r:id="rId8"/>
          <w:footerReference w:type="default" r:id="rId9"/>
          <w:headerReference w:type="first" r:id="rId10"/>
          <w:footerReference w:type="first" r:id="rId11"/>
          <w:pgSz w:w="11906" w:h="16838"/>
          <w:pgMar w:top="1417" w:right="1417" w:bottom="1276" w:left="1417" w:header="708" w:footer="708" w:gutter="0"/>
          <w:pgNumType w:start="1"/>
          <w:cols w:space="708"/>
          <w:rtlGutter/>
          <w:docGrid w:linePitch="360"/>
        </w:sectPr>
      </w:pPr>
    </w:p>
    <w:p w:rsidR="007148DF" w:rsidRPr="007D5748" w:rsidRDefault="007148DF" w:rsidP="00927626">
      <w:pPr>
        <w:tabs>
          <w:tab w:val="num" w:pos="1080"/>
        </w:tabs>
        <w:jc w:val="right"/>
        <w:rPr>
          <w:bCs/>
        </w:rPr>
      </w:pPr>
      <w:r w:rsidRPr="007D5748">
        <w:rPr>
          <w:bCs/>
        </w:rPr>
        <w:t xml:space="preserve">Tabuľka č. 3 </w:t>
      </w:r>
    </w:p>
    <w:p w:rsidR="007148DF" w:rsidRPr="007D5748" w:rsidRDefault="007148DF" w:rsidP="00927626">
      <w:pPr>
        <w:tabs>
          <w:tab w:val="num" w:pos="1080"/>
        </w:tabs>
        <w:jc w:val="both"/>
        <w:rPr>
          <w:bCs/>
          <w:szCs w:val="20"/>
        </w:rPr>
      </w:pPr>
    </w:p>
    <w:tbl>
      <w:tblPr>
        <w:tblpPr w:leftFromText="141" w:rightFromText="141" w:horzAnchor="margin" w:tblpXSpec="center" w:tblpY="533"/>
        <w:tblW w:w="13950" w:type="dxa"/>
        <w:tblCellMar>
          <w:left w:w="70" w:type="dxa"/>
          <w:right w:w="70" w:type="dxa"/>
        </w:tblCellMar>
        <w:tblLook w:val="0000"/>
      </w:tblPr>
      <w:tblGrid>
        <w:gridCol w:w="4950"/>
        <w:gridCol w:w="1500"/>
        <w:gridCol w:w="1500"/>
        <w:gridCol w:w="1500"/>
        <w:gridCol w:w="1500"/>
        <w:gridCol w:w="3000"/>
      </w:tblGrid>
      <w:tr w:rsidR="007148DF" w:rsidRPr="00AB78B7" w:rsidTr="00E2216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148DF" w:rsidRPr="007D5748" w:rsidRDefault="007148DF" w:rsidP="00E2216B">
            <w:pPr>
              <w:jc w:val="center"/>
              <w:rPr>
                <w:b/>
                <w:bCs/>
              </w:rPr>
            </w:pPr>
            <w:r w:rsidRPr="007D574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148DF" w:rsidRPr="007D5748" w:rsidRDefault="007148DF" w:rsidP="00E2216B">
            <w:pPr>
              <w:jc w:val="center"/>
              <w:rPr>
                <w:b/>
                <w:bCs/>
              </w:rPr>
            </w:pPr>
            <w:r w:rsidRPr="007D5748">
              <w:rPr>
                <w:b/>
                <w:bCs/>
              </w:rPr>
              <w:t>poznámka</w:t>
            </w:r>
          </w:p>
        </w:tc>
      </w:tr>
      <w:tr w:rsidR="007148DF" w:rsidRPr="00AB78B7" w:rsidTr="00E2216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148DF" w:rsidRPr="007D5748" w:rsidRDefault="007148DF" w:rsidP="00E2216B">
            <w:pPr>
              <w:rPr>
                <w:b/>
                <w:bCs/>
                <w:color w:val="FFFFFF"/>
              </w:rPr>
            </w:pPr>
          </w:p>
        </w:tc>
        <w:tc>
          <w:tcPr>
            <w:tcW w:w="1500"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r</w:t>
            </w:r>
          </w:p>
        </w:tc>
        <w:tc>
          <w:tcPr>
            <w:tcW w:w="1500"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r + 1</w:t>
            </w:r>
          </w:p>
        </w:tc>
        <w:tc>
          <w:tcPr>
            <w:tcW w:w="1500"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r + 2</w:t>
            </w:r>
          </w:p>
        </w:tc>
        <w:tc>
          <w:tcPr>
            <w:tcW w:w="1500"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148DF" w:rsidRPr="007D5748" w:rsidRDefault="007148DF" w:rsidP="00E2216B">
            <w:pPr>
              <w:rPr>
                <w:b/>
                <w:bCs/>
                <w:color w:val="FFFFFF"/>
              </w:rPr>
            </w:pPr>
          </w:p>
        </w:tc>
      </w:tr>
      <w:tr w:rsidR="007148DF" w:rsidRPr="00AB78B7" w:rsidTr="00E2216B">
        <w:trPr>
          <w:trHeight w:val="255"/>
        </w:trPr>
        <w:tc>
          <w:tcPr>
            <w:tcW w:w="4950" w:type="dxa"/>
            <w:tcBorders>
              <w:top w:val="nil"/>
              <w:left w:val="single" w:sz="4" w:space="0" w:color="auto"/>
              <w:bottom w:val="single" w:sz="4" w:space="0" w:color="auto"/>
              <w:right w:val="single" w:sz="4" w:space="0" w:color="auto"/>
            </w:tcBorders>
          </w:tcPr>
          <w:p w:rsidR="007148DF" w:rsidRPr="007D5748" w:rsidRDefault="007148DF" w:rsidP="00E2216B">
            <w:pPr>
              <w:rPr>
                <w:b/>
                <w:bCs/>
                <w:vertAlign w:val="superscript"/>
              </w:rPr>
            </w:pPr>
            <w:r w:rsidRPr="007D5748">
              <w:rPr>
                <w:b/>
                <w:bCs/>
              </w:rPr>
              <w:t>Daňové príjmy (100)</w:t>
            </w:r>
            <w:r w:rsidRPr="007D5748">
              <w:rPr>
                <w:b/>
                <w:bCs/>
                <w:vertAlign w:val="superscript"/>
              </w:rPr>
              <w:t>1</w:t>
            </w:r>
          </w:p>
        </w:tc>
        <w:tc>
          <w:tcPr>
            <w:tcW w:w="1500"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500"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500"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500"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3000" w:type="dxa"/>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4950" w:type="dxa"/>
            <w:tcBorders>
              <w:top w:val="nil"/>
              <w:left w:val="single" w:sz="4" w:space="0" w:color="auto"/>
              <w:bottom w:val="single" w:sz="4" w:space="0" w:color="auto"/>
              <w:right w:val="single" w:sz="4" w:space="0" w:color="auto"/>
            </w:tcBorders>
          </w:tcPr>
          <w:p w:rsidR="007148DF" w:rsidRPr="007D5748" w:rsidRDefault="007148DF" w:rsidP="00E2216B">
            <w:pPr>
              <w:rPr>
                <w:b/>
                <w:bCs/>
              </w:rPr>
            </w:pPr>
            <w:r w:rsidRPr="007D5748">
              <w:rPr>
                <w:b/>
                <w:bCs/>
              </w:rPr>
              <w:t>Nedaňové príjmy (200)</w:t>
            </w:r>
            <w:r w:rsidRPr="007D5748">
              <w:rPr>
                <w:b/>
                <w:bCs/>
                <w:vertAlign w:val="superscript"/>
              </w:rPr>
              <w:t>1</w:t>
            </w:r>
          </w:p>
        </w:tc>
        <w:tc>
          <w:tcPr>
            <w:tcW w:w="1500"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500"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500"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500"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3000" w:type="dxa"/>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4950" w:type="dxa"/>
            <w:tcBorders>
              <w:top w:val="nil"/>
              <w:left w:val="single" w:sz="4" w:space="0" w:color="auto"/>
              <w:bottom w:val="single" w:sz="4" w:space="0" w:color="auto"/>
              <w:right w:val="single" w:sz="4" w:space="0" w:color="auto"/>
            </w:tcBorders>
          </w:tcPr>
          <w:p w:rsidR="007148DF" w:rsidRPr="007D5748" w:rsidRDefault="007148DF" w:rsidP="00E2216B">
            <w:pPr>
              <w:rPr>
                <w:b/>
                <w:bCs/>
              </w:rPr>
            </w:pPr>
            <w:r w:rsidRPr="007D5748">
              <w:rPr>
                <w:b/>
                <w:bCs/>
              </w:rPr>
              <w:t>Granty a transfery (300)</w:t>
            </w:r>
            <w:r w:rsidRPr="007D5748">
              <w:rPr>
                <w:b/>
                <w:bCs/>
                <w:vertAlign w:val="superscript"/>
              </w:rPr>
              <w:t>1</w:t>
            </w:r>
          </w:p>
        </w:tc>
        <w:tc>
          <w:tcPr>
            <w:tcW w:w="1500"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500"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500"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500"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3000" w:type="dxa"/>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4950" w:type="dxa"/>
            <w:tcBorders>
              <w:top w:val="nil"/>
              <w:left w:val="single" w:sz="4" w:space="0" w:color="auto"/>
              <w:bottom w:val="single" w:sz="4" w:space="0" w:color="auto"/>
              <w:right w:val="single" w:sz="4" w:space="0" w:color="auto"/>
            </w:tcBorders>
          </w:tcPr>
          <w:p w:rsidR="007148DF" w:rsidRPr="007D5748" w:rsidRDefault="007148DF" w:rsidP="00E2216B">
            <w:pPr>
              <w:rPr>
                <w:b/>
                <w:bCs/>
              </w:rPr>
            </w:pPr>
            <w:r w:rsidRPr="007D5748">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148DF" w:rsidRPr="007D5748" w:rsidRDefault="007148DF" w:rsidP="00E2216B">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148DF" w:rsidRPr="007D5748" w:rsidRDefault="007148DF" w:rsidP="00E2216B">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148DF" w:rsidRPr="007D5748" w:rsidRDefault="007148DF" w:rsidP="00E2216B">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148DF" w:rsidRPr="007D5748" w:rsidRDefault="007148DF" w:rsidP="00E2216B">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4950" w:type="dxa"/>
            <w:tcBorders>
              <w:top w:val="nil"/>
              <w:left w:val="single" w:sz="4" w:space="0" w:color="auto"/>
              <w:bottom w:val="single" w:sz="4" w:space="0" w:color="auto"/>
              <w:right w:val="single" w:sz="4" w:space="0" w:color="auto"/>
            </w:tcBorders>
          </w:tcPr>
          <w:p w:rsidR="007148DF" w:rsidRPr="007D5748" w:rsidRDefault="007148DF" w:rsidP="00E2216B">
            <w:pPr>
              <w:rPr>
                <w:b/>
                <w:bCs/>
              </w:rPr>
            </w:pPr>
            <w:r w:rsidRPr="007D5748">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148DF" w:rsidRPr="007D5748" w:rsidRDefault="007148DF" w:rsidP="00E2216B">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148DF" w:rsidRPr="007D5748" w:rsidRDefault="007148DF" w:rsidP="00E2216B">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148DF" w:rsidRPr="007D5748" w:rsidRDefault="007148DF" w:rsidP="00E2216B">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148DF" w:rsidRPr="007D5748" w:rsidRDefault="007148DF" w:rsidP="00E2216B">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4950" w:type="dxa"/>
            <w:tcBorders>
              <w:top w:val="nil"/>
              <w:left w:val="single" w:sz="4" w:space="0" w:color="auto"/>
              <w:bottom w:val="single" w:sz="4" w:space="0" w:color="auto"/>
              <w:right w:val="single" w:sz="4" w:space="0" w:color="auto"/>
            </w:tcBorders>
            <w:shd w:val="clear" w:color="auto" w:fill="BFBFBF"/>
          </w:tcPr>
          <w:p w:rsidR="007148DF" w:rsidRPr="007D5748" w:rsidRDefault="007148DF" w:rsidP="00E2216B">
            <w:pPr>
              <w:rPr>
                <w:b/>
                <w:bCs/>
              </w:rPr>
            </w:pPr>
            <w:r w:rsidRPr="007D5748">
              <w:rPr>
                <w:b/>
                <w:bCs/>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0</w:t>
            </w:r>
          </w:p>
        </w:tc>
        <w:tc>
          <w:tcPr>
            <w:tcW w:w="3000" w:type="dxa"/>
            <w:tcBorders>
              <w:top w:val="nil"/>
              <w:left w:val="nil"/>
              <w:bottom w:val="single" w:sz="4" w:space="0" w:color="auto"/>
              <w:right w:val="single" w:sz="4" w:space="0" w:color="auto"/>
            </w:tcBorders>
            <w:shd w:val="clear" w:color="auto" w:fill="BFBFBF"/>
            <w:noWrap/>
            <w:vAlign w:val="bottom"/>
          </w:tcPr>
          <w:p w:rsidR="007148DF" w:rsidRPr="007D5748" w:rsidRDefault="007148DF" w:rsidP="00E2216B">
            <w:r w:rsidRPr="007D5748">
              <w:t> </w:t>
            </w:r>
          </w:p>
        </w:tc>
      </w:tr>
    </w:tbl>
    <w:p w:rsidR="007148DF" w:rsidRPr="007D5748" w:rsidRDefault="007148DF" w:rsidP="00927626">
      <w:pPr>
        <w:tabs>
          <w:tab w:val="num" w:pos="1080"/>
        </w:tabs>
        <w:jc w:val="both"/>
        <w:rPr>
          <w:bCs/>
          <w:sz w:val="20"/>
          <w:szCs w:val="20"/>
        </w:rPr>
      </w:pPr>
      <w:r w:rsidRPr="007D5748">
        <w:rPr>
          <w:bCs/>
          <w:sz w:val="20"/>
          <w:szCs w:val="20"/>
        </w:rPr>
        <w:t>1 –  príjmy rozpísať až do položiek platnej ekonomickej klasifikácie</w:t>
      </w:r>
    </w:p>
    <w:p w:rsidR="007148DF" w:rsidRPr="007D5748" w:rsidRDefault="007148DF" w:rsidP="00927626">
      <w:pPr>
        <w:tabs>
          <w:tab w:val="num" w:pos="1080"/>
        </w:tabs>
        <w:jc w:val="both"/>
        <w:rPr>
          <w:bCs/>
          <w:szCs w:val="20"/>
        </w:rPr>
      </w:pPr>
    </w:p>
    <w:p w:rsidR="007148DF" w:rsidRPr="007D5748" w:rsidRDefault="007148DF" w:rsidP="00927626">
      <w:pPr>
        <w:tabs>
          <w:tab w:val="num" w:pos="1080"/>
        </w:tabs>
        <w:jc w:val="both"/>
        <w:rPr>
          <w:b/>
          <w:bCs/>
          <w:szCs w:val="20"/>
        </w:rPr>
      </w:pPr>
      <w:r w:rsidRPr="007D5748">
        <w:rPr>
          <w:b/>
          <w:bCs/>
          <w:szCs w:val="20"/>
        </w:rPr>
        <w:t>Poznámka:</w:t>
      </w:r>
    </w:p>
    <w:p w:rsidR="007148DF" w:rsidRDefault="007148DF" w:rsidP="00927626">
      <w:pPr>
        <w:tabs>
          <w:tab w:val="num" w:pos="1080"/>
        </w:tabs>
        <w:jc w:val="both"/>
        <w:rPr>
          <w:bCs/>
          <w:szCs w:val="20"/>
        </w:rPr>
      </w:pPr>
      <w:r w:rsidRPr="007D5748">
        <w:rPr>
          <w:bCs/>
          <w:szCs w:val="20"/>
        </w:rPr>
        <w:t>Ak sa vplyv týka viacerých subjektov verejnej správy, vypĺňa sa samostatná tabuľka za každý subjekt.</w:t>
      </w:r>
    </w:p>
    <w:p w:rsidR="007148DF" w:rsidRDefault="007148DF" w:rsidP="00927626">
      <w:pPr>
        <w:tabs>
          <w:tab w:val="num" w:pos="1080"/>
        </w:tabs>
        <w:jc w:val="both"/>
        <w:rPr>
          <w:bCs/>
          <w:szCs w:val="20"/>
        </w:rPr>
      </w:pPr>
    </w:p>
    <w:p w:rsidR="007148DF" w:rsidRPr="007D5748" w:rsidRDefault="007148DF" w:rsidP="00927626">
      <w:pPr>
        <w:tabs>
          <w:tab w:val="num" w:pos="1080"/>
        </w:tabs>
        <w:jc w:val="both"/>
        <w:rPr>
          <w:bCs/>
          <w:szCs w:val="20"/>
        </w:rPr>
      </w:pPr>
      <w:r>
        <w:rPr>
          <w:bCs/>
          <w:szCs w:val="20"/>
        </w:rPr>
        <w:t xml:space="preserve">Navrhované aktivity s ohľadom na svoj charakter nebudú generovať príjmy orgánom štátnej správy.   </w:t>
      </w:r>
    </w:p>
    <w:p w:rsidR="007148DF" w:rsidRPr="007D5748" w:rsidRDefault="007148DF" w:rsidP="00927626">
      <w:pPr>
        <w:tabs>
          <w:tab w:val="num" w:pos="1080"/>
        </w:tabs>
        <w:ind w:right="-578"/>
        <w:jc w:val="right"/>
        <w:rPr>
          <w:bCs/>
        </w:rPr>
      </w:pPr>
      <w:r w:rsidRPr="007D5748">
        <w:rPr>
          <w:bCs/>
        </w:rPr>
        <w:t xml:space="preserve"> </w:t>
      </w:r>
    </w:p>
    <w:p w:rsidR="007148DF" w:rsidRPr="007D5748" w:rsidRDefault="007148DF" w:rsidP="00927626">
      <w:pPr>
        <w:tabs>
          <w:tab w:val="num" w:pos="1080"/>
        </w:tabs>
        <w:ind w:right="-578"/>
        <w:jc w:val="right"/>
        <w:rPr>
          <w:bCs/>
        </w:rPr>
      </w:pPr>
    </w:p>
    <w:p w:rsidR="007148DF" w:rsidRPr="007D5748" w:rsidRDefault="007148DF" w:rsidP="00927626">
      <w:pPr>
        <w:tabs>
          <w:tab w:val="num" w:pos="1080"/>
        </w:tabs>
        <w:ind w:right="-578"/>
        <w:jc w:val="right"/>
        <w:rPr>
          <w:bCs/>
        </w:rPr>
      </w:pPr>
    </w:p>
    <w:p w:rsidR="007148DF" w:rsidRPr="007D5748" w:rsidRDefault="007148DF" w:rsidP="00927626">
      <w:pPr>
        <w:tabs>
          <w:tab w:val="num" w:pos="1080"/>
        </w:tabs>
        <w:ind w:right="-578"/>
        <w:jc w:val="right"/>
        <w:rPr>
          <w:bCs/>
        </w:rPr>
      </w:pPr>
    </w:p>
    <w:p w:rsidR="007148DF" w:rsidRPr="007D5748" w:rsidRDefault="007148DF" w:rsidP="00927626">
      <w:pPr>
        <w:tabs>
          <w:tab w:val="num" w:pos="1080"/>
        </w:tabs>
        <w:ind w:right="-578"/>
        <w:jc w:val="right"/>
        <w:rPr>
          <w:bCs/>
        </w:rPr>
      </w:pPr>
    </w:p>
    <w:p w:rsidR="007148DF" w:rsidRPr="007D5748" w:rsidRDefault="007148DF" w:rsidP="00927626">
      <w:pPr>
        <w:tabs>
          <w:tab w:val="num" w:pos="1080"/>
        </w:tabs>
        <w:ind w:right="-578"/>
        <w:jc w:val="right"/>
        <w:rPr>
          <w:bCs/>
        </w:rPr>
      </w:pPr>
    </w:p>
    <w:p w:rsidR="007148DF" w:rsidRPr="007D5748" w:rsidRDefault="007148DF" w:rsidP="00927626">
      <w:pPr>
        <w:tabs>
          <w:tab w:val="num" w:pos="1080"/>
        </w:tabs>
        <w:ind w:right="-578"/>
        <w:jc w:val="right"/>
        <w:rPr>
          <w:bCs/>
        </w:rPr>
      </w:pPr>
    </w:p>
    <w:p w:rsidR="007148DF" w:rsidRPr="007D5748" w:rsidRDefault="007148DF" w:rsidP="00927626">
      <w:pPr>
        <w:tabs>
          <w:tab w:val="num" w:pos="1080"/>
        </w:tabs>
        <w:ind w:right="-578"/>
        <w:jc w:val="right"/>
        <w:rPr>
          <w:bCs/>
        </w:rPr>
      </w:pPr>
    </w:p>
    <w:p w:rsidR="007148DF" w:rsidRPr="007D5748" w:rsidRDefault="007148DF" w:rsidP="00927626">
      <w:pPr>
        <w:tabs>
          <w:tab w:val="num" w:pos="1080"/>
        </w:tabs>
        <w:ind w:right="-578"/>
        <w:jc w:val="right"/>
        <w:rPr>
          <w:bCs/>
        </w:rPr>
      </w:pPr>
    </w:p>
    <w:p w:rsidR="007148DF" w:rsidRPr="007D5748" w:rsidRDefault="007148DF" w:rsidP="00927626">
      <w:pPr>
        <w:tabs>
          <w:tab w:val="num" w:pos="1080"/>
        </w:tabs>
        <w:ind w:right="-578"/>
        <w:jc w:val="right"/>
        <w:rPr>
          <w:bCs/>
        </w:rPr>
      </w:pPr>
    </w:p>
    <w:p w:rsidR="007148DF" w:rsidRPr="007D5748" w:rsidRDefault="007148DF" w:rsidP="00927626">
      <w:pPr>
        <w:tabs>
          <w:tab w:val="num" w:pos="1080"/>
        </w:tabs>
        <w:ind w:right="-578"/>
        <w:jc w:val="right"/>
        <w:rPr>
          <w:bCs/>
        </w:rPr>
      </w:pPr>
    </w:p>
    <w:p w:rsidR="007148DF" w:rsidRPr="007D5748" w:rsidRDefault="007148DF" w:rsidP="00927626">
      <w:pPr>
        <w:tabs>
          <w:tab w:val="num" w:pos="1080"/>
        </w:tabs>
        <w:ind w:right="-578"/>
        <w:jc w:val="right"/>
        <w:rPr>
          <w:bCs/>
        </w:rPr>
      </w:pPr>
    </w:p>
    <w:p w:rsidR="007148DF" w:rsidRPr="007D5748" w:rsidRDefault="007148DF" w:rsidP="00927626">
      <w:pPr>
        <w:tabs>
          <w:tab w:val="num" w:pos="1080"/>
        </w:tabs>
        <w:ind w:right="-578"/>
        <w:jc w:val="right"/>
        <w:rPr>
          <w:bCs/>
        </w:rPr>
      </w:pPr>
    </w:p>
    <w:p w:rsidR="007148DF" w:rsidRPr="007D5748" w:rsidRDefault="007148DF" w:rsidP="00927626">
      <w:pPr>
        <w:tabs>
          <w:tab w:val="num" w:pos="1080"/>
        </w:tabs>
        <w:ind w:right="-578"/>
        <w:jc w:val="right"/>
        <w:rPr>
          <w:bCs/>
        </w:rPr>
      </w:pPr>
    </w:p>
    <w:p w:rsidR="007148DF" w:rsidRPr="007D5748" w:rsidRDefault="007148DF" w:rsidP="00927626">
      <w:pPr>
        <w:tabs>
          <w:tab w:val="num" w:pos="1080"/>
        </w:tabs>
        <w:ind w:right="-578"/>
        <w:jc w:val="right"/>
        <w:rPr>
          <w:bCs/>
        </w:rPr>
      </w:pPr>
    </w:p>
    <w:p w:rsidR="007148DF" w:rsidRPr="007D5748" w:rsidRDefault="007148DF" w:rsidP="00927626">
      <w:pPr>
        <w:tabs>
          <w:tab w:val="num" w:pos="1080"/>
        </w:tabs>
        <w:ind w:right="-32"/>
        <w:jc w:val="right"/>
        <w:rPr>
          <w:bCs/>
        </w:rPr>
      </w:pPr>
      <w:r w:rsidRPr="007D5748">
        <w:rPr>
          <w:bCs/>
        </w:rPr>
        <w:t xml:space="preserve">Tabuľka č. 4 </w:t>
      </w:r>
    </w:p>
    <w:p w:rsidR="007148DF" w:rsidRPr="007D5748" w:rsidRDefault="007148DF" w:rsidP="00927626">
      <w:pPr>
        <w:tabs>
          <w:tab w:val="num" w:pos="1080"/>
        </w:tabs>
        <w:jc w:val="both"/>
        <w:rPr>
          <w:bCs/>
          <w:szCs w:val="20"/>
        </w:rPr>
      </w:pPr>
    </w:p>
    <w:tbl>
      <w:tblPr>
        <w:tblpPr w:leftFromText="141" w:rightFromText="141" w:vertAnchor="text" w:horzAnchor="page" w:tblpX="629" w:tblpY="2"/>
        <w:tblW w:w="15450" w:type="dxa"/>
        <w:tblCellMar>
          <w:left w:w="70" w:type="dxa"/>
          <w:right w:w="70" w:type="dxa"/>
        </w:tblCellMar>
        <w:tblLook w:val="0000"/>
      </w:tblPr>
      <w:tblGrid>
        <w:gridCol w:w="7070"/>
        <w:gridCol w:w="1540"/>
        <w:gridCol w:w="1540"/>
        <w:gridCol w:w="1540"/>
        <w:gridCol w:w="1540"/>
        <w:gridCol w:w="2220"/>
      </w:tblGrid>
      <w:tr w:rsidR="007148DF" w:rsidRPr="00AB78B7" w:rsidTr="00E2216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7148DF" w:rsidRPr="007D5748" w:rsidRDefault="007148DF" w:rsidP="00E2216B">
            <w:pPr>
              <w:jc w:val="center"/>
              <w:rPr>
                <w:b/>
                <w:bCs/>
                <w:sz w:val="20"/>
                <w:szCs w:val="20"/>
              </w:rPr>
            </w:pPr>
            <w:r w:rsidRPr="007D5748">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7148DF" w:rsidRPr="007D5748" w:rsidRDefault="007148DF" w:rsidP="00E2216B">
            <w:pPr>
              <w:jc w:val="center"/>
              <w:rPr>
                <w:b/>
                <w:bCs/>
                <w:sz w:val="20"/>
                <w:szCs w:val="20"/>
              </w:rPr>
            </w:pPr>
            <w:r w:rsidRPr="007D5748">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148DF" w:rsidRPr="007D5748" w:rsidRDefault="007148DF" w:rsidP="00E2216B">
            <w:pPr>
              <w:jc w:val="center"/>
              <w:rPr>
                <w:b/>
                <w:bCs/>
              </w:rPr>
            </w:pPr>
            <w:r w:rsidRPr="007D5748">
              <w:rPr>
                <w:b/>
                <w:bCs/>
              </w:rPr>
              <w:t>poznámka</w:t>
            </w:r>
          </w:p>
        </w:tc>
      </w:tr>
      <w:tr w:rsidR="007148DF" w:rsidRPr="00AB78B7" w:rsidTr="00E2216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148DF" w:rsidRPr="007D5748" w:rsidRDefault="007148DF" w:rsidP="00E2216B">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sz w:val="20"/>
                <w:szCs w:val="20"/>
              </w:rPr>
            </w:pPr>
            <w:r w:rsidRPr="007D5748">
              <w:rPr>
                <w:b/>
                <w:bCs/>
                <w:sz w:val="20"/>
                <w:szCs w:val="20"/>
              </w:rPr>
              <w:t>r</w:t>
            </w:r>
          </w:p>
        </w:tc>
        <w:tc>
          <w:tcPr>
            <w:tcW w:w="1540"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sz w:val="20"/>
                <w:szCs w:val="20"/>
              </w:rPr>
            </w:pPr>
            <w:r w:rsidRPr="007D5748">
              <w:rPr>
                <w:b/>
                <w:bCs/>
                <w:sz w:val="20"/>
                <w:szCs w:val="20"/>
              </w:rPr>
              <w:t>r + 1</w:t>
            </w:r>
          </w:p>
        </w:tc>
        <w:tc>
          <w:tcPr>
            <w:tcW w:w="1540"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sz w:val="20"/>
                <w:szCs w:val="20"/>
              </w:rPr>
            </w:pPr>
            <w:r w:rsidRPr="007D5748">
              <w:rPr>
                <w:b/>
                <w:bCs/>
                <w:sz w:val="20"/>
                <w:szCs w:val="20"/>
              </w:rPr>
              <w:t>r + 2</w:t>
            </w:r>
          </w:p>
        </w:tc>
        <w:tc>
          <w:tcPr>
            <w:tcW w:w="1540"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r + 3</w:t>
            </w:r>
          </w:p>
        </w:tc>
        <w:tc>
          <w:tcPr>
            <w:tcW w:w="2220" w:type="dxa"/>
            <w:vMerge/>
            <w:tcBorders>
              <w:top w:val="single" w:sz="4" w:space="0" w:color="auto"/>
              <w:left w:val="single" w:sz="4" w:space="0" w:color="auto"/>
              <w:bottom w:val="single" w:sz="4" w:space="0" w:color="auto"/>
              <w:right w:val="single" w:sz="4" w:space="0" w:color="auto"/>
            </w:tcBorders>
            <w:vAlign w:val="center"/>
          </w:tcPr>
          <w:p w:rsidR="007148DF" w:rsidRPr="007D5748" w:rsidRDefault="007148DF" w:rsidP="00E2216B">
            <w:pPr>
              <w:rPr>
                <w:b/>
                <w:bCs/>
                <w:color w:val="FFFFFF"/>
              </w:rPr>
            </w:pPr>
          </w:p>
        </w:tc>
      </w:tr>
      <w:tr w:rsidR="007148DF" w:rsidRPr="00AB78B7" w:rsidTr="00E2216B">
        <w:trPr>
          <w:trHeight w:val="255"/>
        </w:trPr>
        <w:tc>
          <w:tcPr>
            <w:tcW w:w="7070" w:type="dxa"/>
            <w:tcBorders>
              <w:top w:val="nil"/>
              <w:left w:val="single" w:sz="4" w:space="0" w:color="auto"/>
              <w:bottom w:val="single" w:sz="4" w:space="0" w:color="auto"/>
              <w:right w:val="single" w:sz="4" w:space="0" w:color="auto"/>
            </w:tcBorders>
          </w:tcPr>
          <w:p w:rsidR="007148DF" w:rsidRPr="007D5748" w:rsidRDefault="007148DF" w:rsidP="00E2216B">
            <w:pPr>
              <w:rPr>
                <w:b/>
                <w:bCs/>
                <w:sz w:val="20"/>
                <w:szCs w:val="20"/>
              </w:rPr>
            </w:pPr>
            <w:r w:rsidRPr="007D5748">
              <w:rPr>
                <w:b/>
                <w:bCs/>
                <w:sz w:val="20"/>
                <w:szCs w:val="20"/>
              </w:rPr>
              <w:t>Bežné výdavky (600)</w:t>
            </w:r>
          </w:p>
        </w:tc>
        <w:tc>
          <w:tcPr>
            <w:tcW w:w="1540" w:type="dxa"/>
            <w:tcBorders>
              <w:top w:val="nil"/>
              <w:left w:val="nil"/>
              <w:bottom w:val="single" w:sz="4" w:space="0" w:color="auto"/>
              <w:right w:val="single" w:sz="4" w:space="0" w:color="auto"/>
            </w:tcBorders>
          </w:tcPr>
          <w:p w:rsidR="007148DF" w:rsidRPr="007D5748" w:rsidRDefault="007148DF" w:rsidP="00E2216B">
            <w:pPr>
              <w:jc w:val="center"/>
              <w:rPr>
                <w:b/>
                <w:bCs/>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b/>
                <w:bCs/>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b/>
                <w:bCs/>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2220" w:type="dxa"/>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7070" w:type="dxa"/>
            <w:tcBorders>
              <w:top w:val="nil"/>
              <w:left w:val="single" w:sz="4" w:space="0" w:color="auto"/>
              <w:bottom w:val="single" w:sz="4" w:space="0" w:color="auto"/>
              <w:right w:val="single" w:sz="4" w:space="0" w:color="auto"/>
            </w:tcBorders>
          </w:tcPr>
          <w:p w:rsidR="007148DF" w:rsidRPr="007D5748" w:rsidRDefault="007148DF" w:rsidP="00E2216B">
            <w:pPr>
              <w:rPr>
                <w:sz w:val="20"/>
                <w:szCs w:val="20"/>
              </w:rPr>
            </w:pPr>
            <w:r w:rsidRPr="007D5748">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pPr>
          </w:p>
        </w:tc>
        <w:tc>
          <w:tcPr>
            <w:tcW w:w="2220" w:type="dxa"/>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7070" w:type="dxa"/>
            <w:tcBorders>
              <w:top w:val="nil"/>
              <w:left w:val="single" w:sz="4" w:space="0" w:color="auto"/>
              <w:bottom w:val="single" w:sz="4" w:space="0" w:color="auto"/>
              <w:right w:val="single" w:sz="4" w:space="0" w:color="auto"/>
            </w:tcBorders>
          </w:tcPr>
          <w:p w:rsidR="007148DF" w:rsidRPr="007D5748" w:rsidRDefault="007148DF" w:rsidP="00E2216B">
            <w:pPr>
              <w:rPr>
                <w:sz w:val="20"/>
                <w:szCs w:val="20"/>
                <w:vertAlign w:val="superscript"/>
              </w:rPr>
            </w:pPr>
            <w:r w:rsidRPr="007D5748">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pPr>
          </w:p>
        </w:tc>
        <w:tc>
          <w:tcPr>
            <w:tcW w:w="2220" w:type="dxa"/>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7070" w:type="dxa"/>
            <w:tcBorders>
              <w:top w:val="nil"/>
              <w:left w:val="single" w:sz="4" w:space="0" w:color="auto"/>
              <w:bottom w:val="single" w:sz="4" w:space="0" w:color="auto"/>
              <w:right w:val="single" w:sz="4" w:space="0" w:color="auto"/>
            </w:tcBorders>
          </w:tcPr>
          <w:p w:rsidR="007148DF" w:rsidRPr="007D5748" w:rsidRDefault="007148DF" w:rsidP="00E2216B">
            <w:pPr>
              <w:rPr>
                <w:sz w:val="20"/>
                <w:szCs w:val="20"/>
                <w:vertAlign w:val="superscript"/>
              </w:rPr>
            </w:pPr>
            <w:r w:rsidRPr="007D5748">
              <w:rPr>
                <w:sz w:val="20"/>
                <w:szCs w:val="20"/>
              </w:rPr>
              <w:t xml:space="preserve">  Tovary a služby (630)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pPr>
          </w:p>
        </w:tc>
        <w:tc>
          <w:tcPr>
            <w:tcW w:w="2220" w:type="dxa"/>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7070" w:type="dxa"/>
            <w:tcBorders>
              <w:top w:val="nil"/>
              <w:left w:val="single" w:sz="4" w:space="0" w:color="auto"/>
              <w:bottom w:val="single" w:sz="4" w:space="0" w:color="auto"/>
              <w:right w:val="single" w:sz="4" w:space="0" w:color="auto"/>
            </w:tcBorders>
          </w:tcPr>
          <w:p w:rsidR="007148DF" w:rsidRPr="007D5748" w:rsidRDefault="007148DF" w:rsidP="00E2216B">
            <w:pPr>
              <w:rPr>
                <w:sz w:val="20"/>
                <w:szCs w:val="20"/>
              </w:rPr>
            </w:pPr>
            <w:r w:rsidRPr="007D5748">
              <w:rPr>
                <w:sz w:val="20"/>
                <w:szCs w:val="20"/>
              </w:rPr>
              <w:t xml:space="preserve">  Bežné transfery (640)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pPr>
          </w:p>
        </w:tc>
        <w:tc>
          <w:tcPr>
            <w:tcW w:w="2220" w:type="dxa"/>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7070" w:type="dxa"/>
            <w:tcBorders>
              <w:top w:val="nil"/>
              <w:left w:val="single" w:sz="4" w:space="0" w:color="auto"/>
              <w:bottom w:val="single" w:sz="4" w:space="0" w:color="auto"/>
              <w:right w:val="single" w:sz="4" w:space="0" w:color="auto"/>
            </w:tcBorders>
            <w:vAlign w:val="center"/>
          </w:tcPr>
          <w:p w:rsidR="007148DF" w:rsidRPr="007D5748" w:rsidRDefault="007148DF" w:rsidP="00E2216B">
            <w:pPr>
              <w:rPr>
                <w:sz w:val="20"/>
                <w:szCs w:val="20"/>
              </w:rPr>
            </w:pPr>
            <w:r w:rsidRPr="007D5748">
              <w:rPr>
                <w:sz w:val="20"/>
                <w:szCs w:val="20"/>
              </w:rPr>
              <w:t xml:space="preserve">  Splácanie úrokov a ostatné platby súvisiace s </w:t>
            </w:r>
            <w:r w:rsidRPr="00AB78B7">
              <w:t xml:space="preserve"> </w:t>
            </w:r>
            <w:r w:rsidRPr="008D339D">
              <w:rPr>
                <w:sz w:val="20"/>
                <w:szCs w:val="20"/>
              </w:rPr>
              <w:t>úverom, pôžičkou, návratnou finančnou výpomocou a finančným prenájmom</w:t>
            </w:r>
            <w:r w:rsidRPr="007D5748">
              <w:rPr>
                <w:sz w:val="20"/>
                <w:szCs w:val="20"/>
              </w:rPr>
              <w:t xml:space="preserve"> (650)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pPr>
          </w:p>
        </w:tc>
        <w:tc>
          <w:tcPr>
            <w:tcW w:w="2220" w:type="dxa"/>
            <w:tcBorders>
              <w:top w:val="nil"/>
              <w:left w:val="nil"/>
              <w:bottom w:val="single" w:sz="4" w:space="0" w:color="auto"/>
              <w:right w:val="single" w:sz="4" w:space="0" w:color="auto"/>
            </w:tcBorders>
            <w:noWrap/>
            <w:vAlign w:val="bottom"/>
          </w:tcPr>
          <w:p w:rsidR="007148DF" w:rsidRPr="007D5748" w:rsidRDefault="007148DF" w:rsidP="00E2216B"/>
        </w:tc>
      </w:tr>
      <w:tr w:rsidR="007148DF" w:rsidRPr="00AB78B7" w:rsidTr="00E2216B">
        <w:trPr>
          <w:trHeight w:val="255"/>
        </w:trPr>
        <w:tc>
          <w:tcPr>
            <w:tcW w:w="7070" w:type="dxa"/>
            <w:tcBorders>
              <w:top w:val="nil"/>
              <w:left w:val="single" w:sz="4" w:space="0" w:color="auto"/>
              <w:bottom w:val="single" w:sz="4" w:space="0" w:color="auto"/>
              <w:right w:val="single" w:sz="4" w:space="0" w:color="auto"/>
            </w:tcBorders>
          </w:tcPr>
          <w:p w:rsidR="007148DF" w:rsidRPr="007D5748" w:rsidRDefault="007148DF" w:rsidP="00E2216B">
            <w:pPr>
              <w:rPr>
                <w:b/>
                <w:bCs/>
                <w:sz w:val="20"/>
                <w:szCs w:val="20"/>
              </w:rPr>
            </w:pPr>
            <w:r w:rsidRPr="007D5748">
              <w:rPr>
                <w:b/>
                <w:bCs/>
                <w:sz w:val="20"/>
                <w:szCs w:val="20"/>
              </w:rPr>
              <w:t>Kapitálové výdavky (700)</w:t>
            </w:r>
          </w:p>
        </w:tc>
        <w:tc>
          <w:tcPr>
            <w:tcW w:w="1540" w:type="dxa"/>
            <w:tcBorders>
              <w:top w:val="nil"/>
              <w:left w:val="nil"/>
              <w:bottom w:val="single" w:sz="4" w:space="0" w:color="auto"/>
              <w:right w:val="single" w:sz="4" w:space="0" w:color="auto"/>
            </w:tcBorders>
          </w:tcPr>
          <w:p w:rsidR="007148DF" w:rsidRPr="007D5748" w:rsidRDefault="007148DF" w:rsidP="00E2216B">
            <w:pPr>
              <w:jc w:val="center"/>
              <w:rPr>
                <w:b/>
                <w:bCs/>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b/>
                <w:bCs/>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b/>
                <w:bCs/>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2220" w:type="dxa"/>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7070" w:type="dxa"/>
            <w:tcBorders>
              <w:top w:val="nil"/>
              <w:left w:val="single" w:sz="4" w:space="0" w:color="auto"/>
              <w:bottom w:val="single" w:sz="4" w:space="0" w:color="auto"/>
              <w:right w:val="single" w:sz="4" w:space="0" w:color="auto"/>
            </w:tcBorders>
          </w:tcPr>
          <w:p w:rsidR="007148DF" w:rsidRPr="007D5748" w:rsidRDefault="007148DF" w:rsidP="00E2216B">
            <w:pPr>
              <w:rPr>
                <w:sz w:val="20"/>
                <w:szCs w:val="20"/>
              </w:rPr>
            </w:pPr>
            <w:r w:rsidRPr="007D5748">
              <w:rPr>
                <w:sz w:val="20"/>
                <w:szCs w:val="20"/>
              </w:rPr>
              <w:t xml:space="preserve">  Obstarávanie kapitálových aktív (710)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pPr>
          </w:p>
        </w:tc>
        <w:tc>
          <w:tcPr>
            <w:tcW w:w="2220" w:type="dxa"/>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7070" w:type="dxa"/>
            <w:tcBorders>
              <w:top w:val="nil"/>
              <w:left w:val="single" w:sz="4" w:space="0" w:color="auto"/>
              <w:bottom w:val="single" w:sz="4" w:space="0" w:color="auto"/>
              <w:right w:val="single" w:sz="4" w:space="0" w:color="auto"/>
            </w:tcBorders>
          </w:tcPr>
          <w:p w:rsidR="007148DF" w:rsidRPr="007D5748" w:rsidRDefault="007148DF" w:rsidP="00E2216B">
            <w:pPr>
              <w:rPr>
                <w:sz w:val="20"/>
                <w:szCs w:val="20"/>
              </w:rPr>
            </w:pPr>
            <w:r w:rsidRPr="007D5748">
              <w:rPr>
                <w:sz w:val="20"/>
                <w:szCs w:val="20"/>
              </w:rPr>
              <w:t xml:space="preserve">  Kapitálové transfery (720)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rPr>
                <w:sz w:val="20"/>
                <w:szCs w:val="20"/>
              </w:rPr>
            </w:pPr>
          </w:p>
        </w:tc>
        <w:tc>
          <w:tcPr>
            <w:tcW w:w="1540" w:type="dxa"/>
            <w:tcBorders>
              <w:top w:val="nil"/>
              <w:left w:val="nil"/>
              <w:bottom w:val="single" w:sz="4" w:space="0" w:color="auto"/>
              <w:right w:val="single" w:sz="4" w:space="0" w:color="auto"/>
            </w:tcBorders>
          </w:tcPr>
          <w:p w:rsidR="007148DF" w:rsidRPr="007D5748" w:rsidRDefault="007148DF" w:rsidP="00E2216B">
            <w:pPr>
              <w:jc w:val="center"/>
            </w:pPr>
          </w:p>
        </w:tc>
        <w:tc>
          <w:tcPr>
            <w:tcW w:w="2220" w:type="dxa"/>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7070" w:type="dxa"/>
            <w:tcBorders>
              <w:top w:val="nil"/>
              <w:left w:val="single" w:sz="4" w:space="0" w:color="auto"/>
              <w:bottom w:val="single" w:sz="4" w:space="0" w:color="auto"/>
              <w:right w:val="single" w:sz="4" w:space="0" w:color="auto"/>
            </w:tcBorders>
          </w:tcPr>
          <w:p w:rsidR="007148DF" w:rsidRPr="007D5748" w:rsidRDefault="007148DF" w:rsidP="00E2216B">
            <w:pPr>
              <w:rPr>
                <w:b/>
                <w:bCs/>
                <w:sz w:val="20"/>
                <w:szCs w:val="20"/>
              </w:rPr>
            </w:pPr>
            <w:r w:rsidRPr="007D5748">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148DF" w:rsidRPr="007D5748" w:rsidRDefault="007148DF" w:rsidP="00E2216B">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7148DF" w:rsidRPr="007D5748" w:rsidRDefault="007148DF" w:rsidP="00E2216B">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7148DF" w:rsidRPr="007D5748" w:rsidRDefault="007148DF" w:rsidP="00E2216B">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7148DF" w:rsidRPr="007D5748" w:rsidRDefault="007148DF" w:rsidP="00E2216B">
            <w:pPr>
              <w:jc w:val="center"/>
              <w:rPr>
                <w:b/>
                <w:bCs/>
              </w:rPr>
            </w:pPr>
            <w:r w:rsidRPr="007D5748">
              <w:rPr>
                <w:b/>
                <w:bCs/>
              </w:rPr>
              <w:t> </w:t>
            </w:r>
          </w:p>
        </w:tc>
        <w:tc>
          <w:tcPr>
            <w:tcW w:w="2220" w:type="dxa"/>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7148DF" w:rsidRPr="007D5748" w:rsidRDefault="007148DF" w:rsidP="00E2216B">
            <w:pPr>
              <w:rPr>
                <w:b/>
                <w:bCs/>
                <w:sz w:val="20"/>
                <w:szCs w:val="20"/>
              </w:rPr>
            </w:pPr>
            <w:r w:rsidRPr="007D5748">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7148DF" w:rsidRPr="007D5748" w:rsidRDefault="007148DF" w:rsidP="00E2216B">
            <w:pPr>
              <w:jc w:val="center"/>
              <w:rPr>
                <w:b/>
                <w:bCs/>
                <w:sz w:val="20"/>
                <w:szCs w:val="20"/>
              </w:rPr>
            </w:pPr>
            <w:r w:rsidRPr="007D5748">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cPr>
          <w:p w:rsidR="007148DF" w:rsidRPr="007D5748" w:rsidRDefault="007148DF" w:rsidP="00E2216B">
            <w:pPr>
              <w:jc w:val="center"/>
              <w:rPr>
                <w:b/>
                <w:bCs/>
                <w:sz w:val="20"/>
                <w:szCs w:val="20"/>
              </w:rPr>
            </w:pPr>
            <w:r w:rsidRPr="007D5748">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cPr>
          <w:p w:rsidR="007148DF" w:rsidRPr="007D5748" w:rsidRDefault="007148DF" w:rsidP="00E2216B">
            <w:pPr>
              <w:jc w:val="center"/>
              <w:rPr>
                <w:b/>
                <w:bCs/>
                <w:sz w:val="20"/>
                <w:szCs w:val="20"/>
              </w:rPr>
            </w:pPr>
            <w:r w:rsidRPr="007D5748">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sz w:val="20"/>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7148DF" w:rsidRPr="007D5748" w:rsidRDefault="007148DF" w:rsidP="00E2216B">
            <w:r w:rsidRPr="007D5748">
              <w:t> </w:t>
            </w:r>
          </w:p>
        </w:tc>
      </w:tr>
    </w:tbl>
    <w:p w:rsidR="007148DF" w:rsidRPr="007D5748" w:rsidRDefault="007148DF" w:rsidP="00927626">
      <w:pPr>
        <w:tabs>
          <w:tab w:val="num" w:pos="1080"/>
        </w:tabs>
        <w:ind w:left="-900"/>
        <w:jc w:val="both"/>
        <w:rPr>
          <w:bCs/>
          <w:sz w:val="20"/>
          <w:szCs w:val="20"/>
        </w:rPr>
      </w:pPr>
      <w:r w:rsidRPr="007D5748">
        <w:rPr>
          <w:bCs/>
          <w:sz w:val="20"/>
          <w:szCs w:val="20"/>
        </w:rPr>
        <w:t>2 –  výdavky rozpísať až do položiek platnej ekonomickej klasifikácie</w:t>
      </w:r>
    </w:p>
    <w:p w:rsidR="007148DF" w:rsidRPr="007D5748" w:rsidRDefault="007148DF" w:rsidP="00927626">
      <w:pPr>
        <w:tabs>
          <w:tab w:val="num" w:pos="1080"/>
        </w:tabs>
        <w:ind w:left="-900"/>
        <w:jc w:val="both"/>
        <w:rPr>
          <w:bCs/>
          <w:szCs w:val="20"/>
        </w:rPr>
      </w:pPr>
    </w:p>
    <w:p w:rsidR="007148DF" w:rsidRPr="007D5748" w:rsidRDefault="007148DF" w:rsidP="00927626">
      <w:pPr>
        <w:tabs>
          <w:tab w:val="num" w:pos="1080"/>
        </w:tabs>
        <w:ind w:left="-900"/>
        <w:jc w:val="both"/>
        <w:rPr>
          <w:b/>
          <w:bCs/>
          <w:sz w:val="20"/>
          <w:szCs w:val="20"/>
        </w:rPr>
      </w:pPr>
      <w:r w:rsidRPr="007D5748">
        <w:rPr>
          <w:b/>
          <w:bCs/>
          <w:szCs w:val="20"/>
        </w:rPr>
        <w:t>Poznámka:</w:t>
      </w:r>
    </w:p>
    <w:p w:rsidR="007148DF" w:rsidRPr="007D5748" w:rsidRDefault="007148DF" w:rsidP="00927626">
      <w:pPr>
        <w:tabs>
          <w:tab w:val="num" w:pos="1080"/>
        </w:tabs>
        <w:ind w:left="-900"/>
        <w:jc w:val="both"/>
        <w:rPr>
          <w:bCs/>
          <w:sz w:val="20"/>
          <w:szCs w:val="20"/>
        </w:rPr>
      </w:pPr>
      <w:r w:rsidRPr="007D5748">
        <w:rPr>
          <w:bCs/>
          <w:szCs w:val="20"/>
        </w:rPr>
        <w:t>Ak sa vplyv týka viacerých subjektov verejnej správy, vypĺňa sa samostatná tabuľka za každý subjekt.</w:t>
      </w:r>
    </w:p>
    <w:p w:rsidR="007148DF" w:rsidRPr="007D5748" w:rsidRDefault="007148DF" w:rsidP="00927626">
      <w:pPr>
        <w:tabs>
          <w:tab w:val="num" w:pos="1080"/>
        </w:tabs>
        <w:ind w:left="-900"/>
        <w:jc w:val="both"/>
        <w:rPr>
          <w:bCs/>
          <w:sz w:val="20"/>
          <w:szCs w:val="20"/>
        </w:rPr>
      </w:pPr>
    </w:p>
    <w:p w:rsidR="007148DF" w:rsidRPr="007D5748" w:rsidRDefault="007148DF" w:rsidP="00927626">
      <w:pPr>
        <w:tabs>
          <w:tab w:val="num" w:pos="1080"/>
        </w:tabs>
        <w:ind w:left="-900"/>
        <w:jc w:val="both"/>
        <w:rPr>
          <w:bCs/>
          <w:sz w:val="20"/>
          <w:szCs w:val="20"/>
        </w:rPr>
      </w:pPr>
    </w:p>
    <w:p w:rsidR="007148DF" w:rsidRPr="007D5748" w:rsidRDefault="007148DF" w:rsidP="00927626">
      <w:pPr>
        <w:jc w:val="both"/>
      </w:pPr>
      <w:r>
        <w:t xml:space="preserve">Aktivity sú predkladaným materiálom definované vo všeobecnom rozsahu, ktorý v tejto fáze neumožňuje kvantifikáciu nákladov potrebných na ich realizáciu.  Miera implementácie sa však odvíja od dostupnosti potrebných finančných a personálnych zdrojov v závislosti od potreby financovania aktivít rezortov aj v iných oblastiach. V období implementácie NEHAP V. budú v dvojročných intervaloch vypracované správy o stave jeho implementácie v jednotlivých rezortoch, v rámci ktorých bude možné jednotlivé aktivity po ich bližšom rozpracovaní jednotlivými rezortami aspoň čiastočne kvantifikovať.   </w:t>
      </w:r>
    </w:p>
    <w:p w:rsidR="007148DF" w:rsidRPr="007D5748" w:rsidRDefault="007148DF" w:rsidP="00927626">
      <w:pPr>
        <w:tabs>
          <w:tab w:val="num" w:pos="1080"/>
        </w:tabs>
        <w:ind w:left="-900"/>
        <w:jc w:val="both"/>
        <w:rPr>
          <w:bCs/>
          <w:sz w:val="20"/>
          <w:szCs w:val="20"/>
        </w:rPr>
      </w:pPr>
      <w:r>
        <w:t xml:space="preserve">  </w:t>
      </w:r>
    </w:p>
    <w:p w:rsidR="007148DF" w:rsidRPr="007D5748" w:rsidRDefault="007148DF" w:rsidP="00927626">
      <w:pPr>
        <w:tabs>
          <w:tab w:val="num" w:pos="1080"/>
        </w:tabs>
        <w:ind w:left="-900"/>
        <w:jc w:val="both"/>
        <w:rPr>
          <w:bCs/>
          <w:sz w:val="20"/>
          <w:szCs w:val="20"/>
        </w:rPr>
      </w:pPr>
    </w:p>
    <w:p w:rsidR="007148DF" w:rsidRPr="007D5748" w:rsidRDefault="007148DF" w:rsidP="00927626">
      <w:pPr>
        <w:tabs>
          <w:tab w:val="num" w:pos="1080"/>
        </w:tabs>
        <w:ind w:left="-900"/>
        <w:jc w:val="both"/>
        <w:rPr>
          <w:bCs/>
          <w:sz w:val="20"/>
          <w:szCs w:val="20"/>
        </w:rPr>
      </w:pPr>
    </w:p>
    <w:p w:rsidR="007148DF" w:rsidRPr="007D5748" w:rsidRDefault="007148DF" w:rsidP="00927626">
      <w:pPr>
        <w:tabs>
          <w:tab w:val="num" w:pos="1080"/>
        </w:tabs>
        <w:ind w:left="-900"/>
        <w:jc w:val="both"/>
        <w:rPr>
          <w:bCs/>
          <w:sz w:val="20"/>
          <w:szCs w:val="20"/>
        </w:rPr>
      </w:pPr>
    </w:p>
    <w:p w:rsidR="007148DF" w:rsidRPr="007D5748" w:rsidRDefault="007148DF" w:rsidP="00927626">
      <w:pPr>
        <w:tabs>
          <w:tab w:val="num" w:pos="1080"/>
        </w:tabs>
        <w:ind w:left="-900"/>
        <w:jc w:val="both"/>
        <w:rPr>
          <w:bCs/>
          <w:sz w:val="20"/>
          <w:szCs w:val="20"/>
        </w:rPr>
      </w:pPr>
    </w:p>
    <w:p w:rsidR="007148DF" w:rsidRPr="007D5748" w:rsidRDefault="007148DF" w:rsidP="00927626">
      <w:pPr>
        <w:tabs>
          <w:tab w:val="num" w:pos="1080"/>
        </w:tabs>
        <w:ind w:left="-900"/>
        <w:jc w:val="both"/>
        <w:rPr>
          <w:bCs/>
          <w:sz w:val="20"/>
          <w:szCs w:val="20"/>
        </w:rPr>
      </w:pPr>
    </w:p>
    <w:p w:rsidR="007148DF" w:rsidRPr="007D5748" w:rsidRDefault="007148DF" w:rsidP="00927626">
      <w:pPr>
        <w:tabs>
          <w:tab w:val="num" w:pos="1080"/>
        </w:tabs>
        <w:ind w:left="-900"/>
        <w:jc w:val="both"/>
        <w:rPr>
          <w:bCs/>
          <w:sz w:val="20"/>
          <w:szCs w:val="20"/>
        </w:rPr>
      </w:pPr>
    </w:p>
    <w:p w:rsidR="007148DF" w:rsidRPr="007D5748" w:rsidRDefault="007148DF" w:rsidP="00927626">
      <w:pPr>
        <w:tabs>
          <w:tab w:val="num" w:pos="1080"/>
        </w:tabs>
        <w:ind w:left="-900"/>
        <w:jc w:val="both"/>
        <w:rPr>
          <w:bCs/>
          <w:sz w:val="20"/>
          <w:szCs w:val="20"/>
        </w:rPr>
      </w:pPr>
    </w:p>
    <w:p w:rsidR="007148DF" w:rsidRPr="007D5748" w:rsidRDefault="007148DF" w:rsidP="00927626">
      <w:pPr>
        <w:tabs>
          <w:tab w:val="num" w:pos="1080"/>
        </w:tabs>
        <w:jc w:val="right"/>
        <w:rPr>
          <w:bCs/>
        </w:rPr>
      </w:pPr>
      <w:r w:rsidRPr="007D5748">
        <w:rPr>
          <w:bCs/>
        </w:rPr>
        <w:t xml:space="preserve">                 Tabuľka č. 5 </w:t>
      </w:r>
    </w:p>
    <w:p w:rsidR="007148DF" w:rsidRPr="007D5748" w:rsidRDefault="007148DF" w:rsidP="00927626">
      <w:pPr>
        <w:tabs>
          <w:tab w:val="num" w:pos="1080"/>
        </w:tabs>
        <w:jc w:val="both"/>
        <w:rPr>
          <w:bCs/>
          <w:szCs w:val="20"/>
        </w:rPr>
      </w:pPr>
    </w:p>
    <w:tbl>
      <w:tblPr>
        <w:tblW w:w="15434" w:type="dxa"/>
        <w:tblInd w:w="-784" w:type="dxa"/>
        <w:tblCellMar>
          <w:left w:w="70" w:type="dxa"/>
          <w:right w:w="70" w:type="dxa"/>
        </w:tblCellMar>
        <w:tblLook w:val="0000"/>
      </w:tblPr>
      <w:tblGrid>
        <w:gridCol w:w="6188"/>
        <w:gridCol w:w="1698"/>
        <w:gridCol w:w="1788"/>
        <w:gridCol w:w="720"/>
        <w:gridCol w:w="1698"/>
        <w:gridCol w:w="1722"/>
        <w:gridCol w:w="630"/>
        <w:gridCol w:w="990"/>
      </w:tblGrid>
      <w:tr w:rsidR="007148DF" w:rsidRPr="00AB78B7" w:rsidTr="00E2216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148DF" w:rsidRPr="007D5748" w:rsidRDefault="007148DF" w:rsidP="00E2216B">
            <w:pPr>
              <w:jc w:val="center"/>
              <w:rPr>
                <w:b/>
                <w:bCs/>
              </w:rPr>
            </w:pPr>
            <w:r w:rsidRPr="007D5748">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148DF" w:rsidRPr="007D5748" w:rsidRDefault="007148DF" w:rsidP="00E2216B">
            <w:pPr>
              <w:jc w:val="center"/>
              <w:rPr>
                <w:b/>
                <w:bCs/>
              </w:rPr>
            </w:pPr>
            <w:r w:rsidRPr="007D5748">
              <w:rPr>
                <w:b/>
                <w:bCs/>
              </w:rPr>
              <w:t>poznámka</w:t>
            </w:r>
          </w:p>
        </w:tc>
      </w:tr>
      <w:tr w:rsidR="007148DF" w:rsidRPr="00AB78B7" w:rsidTr="00E2216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148DF" w:rsidRPr="007D5748" w:rsidRDefault="007148DF" w:rsidP="00E2216B">
            <w:pPr>
              <w:rPr>
                <w:b/>
                <w:bCs/>
              </w:rPr>
            </w:pPr>
          </w:p>
        </w:tc>
        <w:tc>
          <w:tcPr>
            <w:tcW w:w="1698"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r</w:t>
            </w:r>
          </w:p>
        </w:tc>
        <w:tc>
          <w:tcPr>
            <w:tcW w:w="1788"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r + 1</w:t>
            </w:r>
          </w:p>
        </w:tc>
        <w:tc>
          <w:tcPr>
            <w:tcW w:w="2418" w:type="dxa"/>
            <w:gridSpan w:val="2"/>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r + 2</w:t>
            </w:r>
          </w:p>
        </w:tc>
        <w:tc>
          <w:tcPr>
            <w:tcW w:w="1722"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7148DF" w:rsidRPr="007D5748" w:rsidRDefault="007148DF" w:rsidP="00E2216B">
            <w:pPr>
              <w:rPr>
                <w:b/>
                <w:bCs/>
                <w:color w:val="FFFFFF"/>
              </w:rPr>
            </w:pPr>
          </w:p>
        </w:tc>
      </w:tr>
      <w:tr w:rsidR="007148DF" w:rsidRPr="00AB78B7" w:rsidTr="00E2216B">
        <w:trPr>
          <w:trHeight w:val="255"/>
        </w:trPr>
        <w:tc>
          <w:tcPr>
            <w:tcW w:w="6188" w:type="dxa"/>
            <w:tcBorders>
              <w:top w:val="nil"/>
              <w:left w:val="single" w:sz="4" w:space="0" w:color="auto"/>
              <w:bottom w:val="single" w:sz="4" w:space="0" w:color="auto"/>
              <w:right w:val="single" w:sz="4" w:space="0" w:color="auto"/>
            </w:tcBorders>
          </w:tcPr>
          <w:p w:rsidR="007148DF" w:rsidRPr="007D5748" w:rsidRDefault="007148DF" w:rsidP="00E2216B">
            <w:pPr>
              <w:rPr>
                <w:b/>
                <w:bCs/>
              </w:rPr>
            </w:pPr>
            <w:r w:rsidRPr="007D5748">
              <w:rPr>
                <w:b/>
                <w:bCs/>
              </w:rPr>
              <w:t>Počet zamestnancov celkom</w:t>
            </w:r>
          </w:p>
        </w:tc>
        <w:tc>
          <w:tcPr>
            <w:tcW w:w="1698"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788"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2418" w:type="dxa"/>
            <w:gridSpan w:val="2"/>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722"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620" w:type="dxa"/>
            <w:gridSpan w:val="2"/>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6188" w:type="dxa"/>
            <w:tcBorders>
              <w:top w:val="nil"/>
              <w:left w:val="single" w:sz="4" w:space="0" w:color="auto"/>
              <w:bottom w:val="single" w:sz="4" w:space="0" w:color="auto"/>
              <w:right w:val="single" w:sz="4" w:space="0" w:color="auto"/>
            </w:tcBorders>
          </w:tcPr>
          <w:p w:rsidR="007148DF" w:rsidRPr="007D5748" w:rsidRDefault="007148DF" w:rsidP="00E2216B">
            <w:pPr>
              <w:rPr>
                <w:b/>
                <w:bCs/>
              </w:rPr>
            </w:pPr>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7148DF" w:rsidRPr="007D5748" w:rsidRDefault="007148DF" w:rsidP="00E2216B">
            <w:pPr>
              <w:jc w:val="center"/>
              <w:rPr>
                <w:b/>
                <w:bCs/>
              </w:rPr>
            </w:pPr>
          </w:p>
        </w:tc>
        <w:tc>
          <w:tcPr>
            <w:tcW w:w="1788" w:type="dxa"/>
            <w:tcBorders>
              <w:top w:val="single" w:sz="4" w:space="0" w:color="auto"/>
              <w:left w:val="nil"/>
              <w:bottom w:val="single" w:sz="4" w:space="0" w:color="auto"/>
              <w:right w:val="single" w:sz="4" w:space="0" w:color="auto"/>
            </w:tcBorders>
          </w:tcPr>
          <w:p w:rsidR="007148DF" w:rsidRPr="007D5748" w:rsidRDefault="007148DF" w:rsidP="00E2216B">
            <w:pPr>
              <w:jc w:val="center"/>
              <w:rPr>
                <w:b/>
                <w:bCs/>
              </w:rPr>
            </w:pPr>
          </w:p>
        </w:tc>
        <w:tc>
          <w:tcPr>
            <w:tcW w:w="2418" w:type="dxa"/>
            <w:gridSpan w:val="2"/>
            <w:tcBorders>
              <w:top w:val="single" w:sz="4" w:space="0" w:color="auto"/>
              <w:left w:val="nil"/>
              <w:bottom w:val="single" w:sz="4" w:space="0" w:color="auto"/>
              <w:right w:val="single" w:sz="4" w:space="0" w:color="auto"/>
            </w:tcBorders>
          </w:tcPr>
          <w:p w:rsidR="007148DF" w:rsidRPr="007D5748" w:rsidRDefault="007148DF" w:rsidP="00E2216B">
            <w:pPr>
              <w:jc w:val="center"/>
              <w:rPr>
                <w:b/>
                <w:bCs/>
              </w:rPr>
            </w:pPr>
          </w:p>
        </w:tc>
        <w:tc>
          <w:tcPr>
            <w:tcW w:w="1722" w:type="dxa"/>
            <w:tcBorders>
              <w:top w:val="single" w:sz="4" w:space="0" w:color="auto"/>
              <w:left w:val="nil"/>
              <w:bottom w:val="single" w:sz="4" w:space="0" w:color="auto"/>
              <w:right w:val="single" w:sz="4" w:space="0" w:color="auto"/>
            </w:tcBorders>
          </w:tcPr>
          <w:p w:rsidR="007148DF" w:rsidRPr="007D5748" w:rsidRDefault="007148DF" w:rsidP="00E2216B">
            <w:pPr>
              <w:jc w:val="center"/>
              <w:rPr>
                <w:b/>
                <w:bCs/>
              </w:rPr>
            </w:pPr>
          </w:p>
        </w:tc>
        <w:tc>
          <w:tcPr>
            <w:tcW w:w="1620" w:type="dxa"/>
            <w:gridSpan w:val="2"/>
            <w:tcBorders>
              <w:top w:val="nil"/>
              <w:left w:val="nil"/>
              <w:bottom w:val="single" w:sz="4" w:space="0" w:color="auto"/>
              <w:right w:val="single" w:sz="4" w:space="0" w:color="auto"/>
            </w:tcBorders>
            <w:noWrap/>
            <w:vAlign w:val="bottom"/>
          </w:tcPr>
          <w:p w:rsidR="007148DF" w:rsidRPr="007D5748" w:rsidRDefault="007148DF" w:rsidP="00E2216B"/>
        </w:tc>
      </w:tr>
      <w:tr w:rsidR="007148DF" w:rsidRPr="00AB78B7" w:rsidTr="00E2216B">
        <w:trPr>
          <w:trHeight w:val="255"/>
        </w:trPr>
        <w:tc>
          <w:tcPr>
            <w:tcW w:w="6188" w:type="dxa"/>
            <w:tcBorders>
              <w:top w:val="nil"/>
              <w:left w:val="single" w:sz="4" w:space="0" w:color="auto"/>
              <w:bottom w:val="single" w:sz="4" w:space="0" w:color="auto"/>
              <w:right w:val="single" w:sz="4" w:space="0" w:color="auto"/>
            </w:tcBorders>
          </w:tcPr>
          <w:p w:rsidR="007148DF" w:rsidRPr="007D5748" w:rsidRDefault="007148DF" w:rsidP="00E2216B">
            <w:pPr>
              <w:rPr>
                <w:b/>
                <w:bCs/>
              </w:rPr>
            </w:pPr>
            <w:r w:rsidRPr="007D5748">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7148DF" w:rsidRPr="007D5748" w:rsidRDefault="007148DF" w:rsidP="00E2216B">
            <w:pPr>
              <w:jc w:val="center"/>
              <w:rPr>
                <w:b/>
                <w:bCs/>
              </w:rPr>
            </w:pPr>
          </w:p>
        </w:tc>
        <w:tc>
          <w:tcPr>
            <w:tcW w:w="1788" w:type="dxa"/>
            <w:tcBorders>
              <w:top w:val="single" w:sz="4" w:space="0" w:color="auto"/>
              <w:left w:val="nil"/>
              <w:bottom w:val="single" w:sz="4" w:space="0" w:color="auto"/>
              <w:right w:val="single" w:sz="4" w:space="0" w:color="auto"/>
            </w:tcBorders>
          </w:tcPr>
          <w:p w:rsidR="007148DF" w:rsidRPr="007D5748" w:rsidRDefault="007148DF" w:rsidP="00E2216B">
            <w:pPr>
              <w:jc w:val="center"/>
              <w:rPr>
                <w:b/>
                <w:bCs/>
              </w:rPr>
            </w:pPr>
          </w:p>
        </w:tc>
        <w:tc>
          <w:tcPr>
            <w:tcW w:w="2418" w:type="dxa"/>
            <w:gridSpan w:val="2"/>
            <w:tcBorders>
              <w:top w:val="single" w:sz="4" w:space="0" w:color="auto"/>
              <w:left w:val="nil"/>
              <w:bottom w:val="single" w:sz="4" w:space="0" w:color="auto"/>
              <w:right w:val="single" w:sz="4" w:space="0" w:color="auto"/>
            </w:tcBorders>
          </w:tcPr>
          <w:p w:rsidR="007148DF" w:rsidRPr="007D5748" w:rsidRDefault="007148DF" w:rsidP="00E2216B">
            <w:pPr>
              <w:jc w:val="center"/>
              <w:rPr>
                <w:b/>
                <w:bCs/>
              </w:rPr>
            </w:pPr>
          </w:p>
        </w:tc>
        <w:tc>
          <w:tcPr>
            <w:tcW w:w="1722" w:type="dxa"/>
            <w:tcBorders>
              <w:top w:val="single" w:sz="4" w:space="0" w:color="auto"/>
              <w:left w:val="nil"/>
              <w:bottom w:val="single" w:sz="4" w:space="0" w:color="auto"/>
              <w:right w:val="single" w:sz="4" w:space="0" w:color="auto"/>
            </w:tcBorders>
          </w:tcPr>
          <w:p w:rsidR="007148DF" w:rsidRPr="007D5748" w:rsidRDefault="007148DF" w:rsidP="00E2216B">
            <w:pPr>
              <w:jc w:val="center"/>
              <w:rPr>
                <w:b/>
                <w:bCs/>
              </w:rPr>
            </w:pPr>
          </w:p>
        </w:tc>
        <w:tc>
          <w:tcPr>
            <w:tcW w:w="1620" w:type="dxa"/>
            <w:gridSpan w:val="2"/>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6188" w:type="dxa"/>
            <w:tcBorders>
              <w:top w:val="nil"/>
              <w:left w:val="single" w:sz="4" w:space="0" w:color="auto"/>
              <w:bottom w:val="single" w:sz="4" w:space="0" w:color="auto"/>
              <w:right w:val="single" w:sz="4" w:space="0" w:color="auto"/>
            </w:tcBorders>
          </w:tcPr>
          <w:p w:rsidR="007148DF" w:rsidRPr="007D5748" w:rsidRDefault="007148DF" w:rsidP="00E2216B">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7148DF" w:rsidRPr="007D5748" w:rsidRDefault="007148DF" w:rsidP="00E2216B">
            <w:pPr>
              <w:jc w:val="center"/>
            </w:pPr>
            <w:r w:rsidRPr="007D5748">
              <w:t> </w:t>
            </w:r>
          </w:p>
        </w:tc>
        <w:tc>
          <w:tcPr>
            <w:tcW w:w="1788" w:type="dxa"/>
            <w:tcBorders>
              <w:top w:val="single" w:sz="4" w:space="0" w:color="auto"/>
              <w:left w:val="nil"/>
              <w:bottom w:val="single" w:sz="4" w:space="0" w:color="auto"/>
              <w:right w:val="single" w:sz="4" w:space="0" w:color="auto"/>
            </w:tcBorders>
          </w:tcPr>
          <w:p w:rsidR="007148DF" w:rsidRPr="007D5748" w:rsidRDefault="007148DF" w:rsidP="00E2216B">
            <w:pPr>
              <w:jc w:val="center"/>
            </w:pPr>
            <w:r w:rsidRPr="007D5748">
              <w:t> </w:t>
            </w:r>
          </w:p>
        </w:tc>
        <w:tc>
          <w:tcPr>
            <w:tcW w:w="2418" w:type="dxa"/>
            <w:gridSpan w:val="2"/>
            <w:tcBorders>
              <w:top w:val="single" w:sz="4" w:space="0" w:color="auto"/>
              <w:left w:val="nil"/>
              <w:bottom w:val="single" w:sz="4" w:space="0" w:color="auto"/>
              <w:right w:val="single" w:sz="4" w:space="0" w:color="auto"/>
            </w:tcBorders>
          </w:tcPr>
          <w:p w:rsidR="007148DF" w:rsidRPr="007D5748" w:rsidRDefault="007148DF" w:rsidP="00E2216B">
            <w:pPr>
              <w:jc w:val="center"/>
            </w:pPr>
            <w:r w:rsidRPr="007D5748">
              <w:t> </w:t>
            </w:r>
          </w:p>
        </w:tc>
        <w:tc>
          <w:tcPr>
            <w:tcW w:w="1722" w:type="dxa"/>
            <w:tcBorders>
              <w:top w:val="single" w:sz="4" w:space="0" w:color="auto"/>
              <w:left w:val="nil"/>
              <w:bottom w:val="single" w:sz="4" w:space="0" w:color="auto"/>
              <w:right w:val="single" w:sz="4" w:space="0" w:color="auto"/>
            </w:tcBorders>
          </w:tcPr>
          <w:p w:rsidR="007148DF" w:rsidRPr="007D5748" w:rsidRDefault="007148DF" w:rsidP="00E2216B">
            <w:pPr>
              <w:jc w:val="center"/>
            </w:pPr>
            <w:r w:rsidRPr="007D5748">
              <w:t> </w:t>
            </w:r>
          </w:p>
        </w:tc>
        <w:tc>
          <w:tcPr>
            <w:tcW w:w="1620" w:type="dxa"/>
            <w:gridSpan w:val="2"/>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6188" w:type="dxa"/>
            <w:tcBorders>
              <w:top w:val="nil"/>
              <w:left w:val="single" w:sz="4" w:space="0" w:color="auto"/>
              <w:bottom w:val="single" w:sz="4" w:space="0" w:color="auto"/>
              <w:right w:val="single" w:sz="4" w:space="0" w:color="auto"/>
            </w:tcBorders>
            <w:shd w:val="clear" w:color="auto" w:fill="BFBFBF"/>
          </w:tcPr>
          <w:p w:rsidR="007148DF" w:rsidRPr="007D5748" w:rsidRDefault="007148DF" w:rsidP="00E2216B">
            <w:pPr>
              <w:rPr>
                <w:b/>
                <w:bCs/>
              </w:rPr>
            </w:pPr>
            <w:r w:rsidRPr="007D5748">
              <w:rPr>
                <w:b/>
                <w:bCs/>
              </w:rPr>
              <w:t>Osobné výdavky celkom (v eurách)</w:t>
            </w:r>
          </w:p>
        </w:tc>
        <w:tc>
          <w:tcPr>
            <w:tcW w:w="1698"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0</w:t>
            </w:r>
          </w:p>
        </w:tc>
        <w:tc>
          <w:tcPr>
            <w:tcW w:w="1788"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0</w:t>
            </w:r>
          </w:p>
        </w:tc>
        <w:tc>
          <w:tcPr>
            <w:tcW w:w="2418" w:type="dxa"/>
            <w:gridSpan w:val="2"/>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0</w:t>
            </w:r>
          </w:p>
        </w:tc>
        <w:tc>
          <w:tcPr>
            <w:tcW w:w="1722" w:type="dxa"/>
            <w:tcBorders>
              <w:top w:val="nil"/>
              <w:left w:val="nil"/>
              <w:bottom w:val="single" w:sz="4" w:space="0" w:color="auto"/>
              <w:right w:val="single" w:sz="4" w:space="0" w:color="auto"/>
            </w:tcBorders>
            <w:shd w:val="clear" w:color="auto" w:fill="BFBFBF"/>
          </w:tcPr>
          <w:p w:rsidR="007148DF" w:rsidRPr="007D5748" w:rsidRDefault="007148DF" w:rsidP="00E2216B">
            <w:pPr>
              <w:jc w:val="center"/>
              <w:rPr>
                <w:b/>
                <w:bCs/>
              </w:rPr>
            </w:pPr>
            <w:r w:rsidRPr="007D5748">
              <w:rPr>
                <w:b/>
                <w:bCs/>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7148DF" w:rsidRPr="007D5748" w:rsidRDefault="007148DF" w:rsidP="00E2216B">
            <w:pPr>
              <w:rPr>
                <w:b/>
                <w:bCs/>
              </w:rPr>
            </w:pPr>
            <w:r w:rsidRPr="007D5748">
              <w:rPr>
                <w:b/>
                <w:bCs/>
              </w:rPr>
              <w:t> </w:t>
            </w:r>
          </w:p>
        </w:tc>
      </w:tr>
      <w:tr w:rsidR="007148DF" w:rsidRPr="00AB78B7" w:rsidTr="00E2216B">
        <w:trPr>
          <w:trHeight w:val="255"/>
        </w:trPr>
        <w:tc>
          <w:tcPr>
            <w:tcW w:w="6188" w:type="dxa"/>
            <w:tcBorders>
              <w:top w:val="nil"/>
              <w:left w:val="single" w:sz="4" w:space="0" w:color="auto"/>
              <w:bottom w:val="single" w:sz="4" w:space="0" w:color="auto"/>
              <w:right w:val="single" w:sz="4" w:space="0" w:color="auto"/>
            </w:tcBorders>
          </w:tcPr>
          <w:p w:rsidR="007148DF" w:rsidRPr="007D5748" w:rsidRDefault="007148DF" w:rsidP="00E2216B">
            <w:pPr>
              <w:rPr>
                <w:b/>
                <w:bCs/>
              </w:rPr>
            </w:pPr>
            <w:r w:rsidRPr="007D5748">
              <w:rPr>
                <w:b/>
                <w:bCs/>
              </w:rPr>
              <w:t>Mzdy, platy, služobné príjmy a ostatné osobné vyrovnania (610)</w:t>
            </w:r>
          </w:p>
        </w:tc>
        <w:tc>
          <w:tcPr>
            <w:tcW w:w="1698"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788"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2418" w:type="dxa"/>
            <w:gridSpan w:val="2"/>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722"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620" w:type="dxa"/>
            <w:gridSpan w:val="2"/>
            <w:tcBorders>
              <w:top w:val="nil"/>
              <w:left w:val="nil"/>
              <w:bottom w:val="single" w:sz="4" w:space="0" w:color="auto"/>
              <w:right w:val="single" w:sz="4" w:space="0" w:color="auto"/>
            </w:tcBorders>
            <w:noWrap/>
            <w:vAlign w:val="bottom"/>
          </w:tcPr>
          <w:p w:rsidR="007148DF" w:rsidRPr="007D5748" w:rsidRDefault="007148DF" w:rsidP="00E2216B">
            <w:pPr>
              <w:rPr>
                <w:b/>
                <w:bCs/>
              </w:rPr>
            </w:pPr>
            <w:r w:rsidRPr="007D5748">
              <w:rPr>
                <w:b/>
                <w:bCs/>
              </w:rPr>
              <w:t> </w:t>
            </w:r>
          </w:p>
        </w:tc>
      </w:tr>
      <w:tr w:rsidR="007148DF" w:rsidRPr="00AB78B7" w:rsidTr="00E2216B">
        <w:trPr>
          <w:trHeight w:val="255"/>
        </w:trPr>
        <w:tc>
          <w:tcPr>
            <w:tcW w:w="6188" w:type="dxa"/>
            <w:tcBorders>
              <w:top w:val="nil"/>
              <w:left w:val="single" w:sz="4" w:space="0" w:color="auto"/>
              <w:bottom w:val="single" w:sz="4" w:space="0" w:color="auto"/>
              <w:right w:val="single" w:sz="4" w:space="0" w:color="auto"/>
            </w:tcBorders>
          </w:tcPr>
          <w:p w:rsidR="007148DF" w:rsidRPr="007D5748" w:rsidRDefault="007148DF" w:rsidP="00E2216B">
            <w:r w:rsidRPr="007D5748">
              <w:rPr>
                <w:b/>
                <w:bCs/>
              </w:rPr>
              <w:t xml:space="preserve">   z toho vplyv na ŠR</w:t>
            </w:r>
          </w:p>
        </w:tc>
        <w:tc>
          <w:tcPr>
            <w:tcW w:w="1698" w:type="dxa"/>
            <w:tcBorders>
              <w:top w:val="nil"/>
              <w:left w:val="nil"/>
              <w:bottom w:val="single" w:sz="4" w:space="0" w:color="auto"/>
              <w:right w:val="single" w:sz="4" w:space="0" w:color="auto"/>
            </w:tcBorders>
          </w:tcPr>
          <w:p w:rsidR="007148DF" w:rsidRPr="007D5748" w:rsidRDefault="007148DF" w:rsidP="00E2216B">
            <w:pPr>
              <w:jc w:val="center"/>
            </w:pPr>
          </w:p>
        </w:tc>
        <w:tc>
          <w:tcPr>
            <w:tcW w:w="1788" w:type="dxa"/>
            <w:tcBorders>
              <w:top w:val="nil"/>
              <w:left w:val="nil"/>
              <w:bottom w:val="single" w:sz="4" w:space="0" w:color="auto"/>
              <w:right w:val="single" w:sz="4" w:space="0" w:color="auto"/>
            </w:tcBorders>
          </w:tcPr>
          <w:p w:rsidR="007148DF" w:rsidRPr="007D5748" w:rsidRDefault="007148DF" w:rsidP="00E2216B">
            <w:pPr>
              <w:jc w:val="center"/>
            </w:pPr>
          </w:p>
        </w:tc>
        <w:tc>
          <w:tcPr>
            <w:tcW w:w="2418" w:type="dxa"/>
            <w:gridSpan w:val="2"/>
            <w:tcBorders>
              <w:top w:val="nil"/>
              <w:left w:val="nil"/>
              <w:bottom w:val="single" w:sz="4" w:space="0" w:color="auto"/>
              <w:right w:val="single" w:sz="4" w:space="0" w:color="auto"/>
            </w:tcBorders>
          </w:tcPr>
          <w:p w:rsidR="007148DF" w:rsidRPr="007D5748" w:rsidRDefault="007148DF" w:rsidP="00E2216B">
            <w:pPr>
              <w:jc w:val="center"/>
            </w:pPr>
          </w:p>
        </w:tc>
        <w:tc>
          <w:tcPr>
            <w:tcW w:w="1722" w:type="dxa"/>
            <w:tcBorders>
              <w:top w:val="nil"/>
              <w:left w:val="nil"/>
              <w:bottom w:val="single" w:sz="4" w:space="0" w:color="auto"/>
              <w:right w:val="single" w:sz="4" w:space="0" w:color="auto"/>
            </w:tcBorders>
          </w:tcPr>
          <w:p w:rsidR="007148DF" w:rsidRPr="007D5748" w:rsidRDefault="007148DF" w:rsidP="00E2216B">
            <w:pPr>
              <w:jc w:val="center"/>
            </w:pPr>
          </w:p>
        </w:tc>
        <w:tc>
          <w:tcPr>
            <w:tcW w:w="1620" w:type="dxa"/>
            <w:gridSpan w:val="2"/>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6188" w:type="dxa"/>
            <w:tcBorders>
              <w:top w:val="nil"/>
              <w:left w:val="single" w:sz="4" w:space="0" w:color="auto"/>
              <w:bottom w:val="single" w:sz="4" w:space="0" w:color="auto"/>
              <w:right w:val="single" w:sz="4" w:space="0" w:color="auto"/>
            </w:tcBorders>
          </w:tcPr>
          <w:p w:rsidR="007148DF" w:rsidRPr="007D5748" w:rsidRDefault="007148DF" w:rsidP="00E2216B">
            <w:pPr>
              <w:rPr>
                <w:b/>
                <w:bCs/>
              </w:rPr>
            </w:pPr>
            <w:r w:rsidRPr="007D5748">
              <w:rPr>
                <w:b/>
                <w:bCs/>
              </w:rPr>
              <w:t>Poistné a príspevok do poisťovní (620)</w:t>
            </w:r>
          </w:p>
        </w:tc>
        <w:tc>
          <w:tcPr>
            <w:tcW w:w="1698"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788"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2418" w:type="dxa"/>
            <w:gridSpan w:val="2"/>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722" w:type="dxa"/>
            <w:tcBorders>
              <w:top w:val="nil"/>
              <w:left w:val="nil"/>
              <w:bottom w:val="single" w:sz="4" w:space="0" w:color="auto"/>
              <w:right w:val="single" w:sz="4" w:space="0" w:color="auto"/>
            </w:tcBorders>
          </w:tcPr>
          <w:p w:rsidR="007148DF" w:rsidRPr="007D5748" w:rsidRDefault="007148DF" w:rsidP="00E2216B">
            <w:pPr>
              <w:jc w:val="center"/>
              <w:rPr>
                <w:b/>
                <w:bCs/>
              </w:rPr>
            </w:pPr>
          </w:p>
        </w:tc>
        <w:tc>
          <w:tcPr>
            <w:tcW w:w="1620" w:type="dxa"/>
            <w:gridSpan w:val="2"/>
            <w:tcBorders>
              <w:top w:val="nil"/>
              <w:left w:val="nil"/>
              <w:bottom w:val="single" w:sz="4" w:space="0" w:color="auto"/>
              <w:right w:val="single" w:sz="4" w:space="0" w:color="auto"/>
            </w:tcBorders>
            <w:noWrap/>
            <w:vAlign w:val="bottom"/>
          </w:tcPr>
          <w:p w:rsidR="007148DF" w:rsidRPr="007D5748" w:rsidRDefault="007148DF" w:rsidP="00E2216B">
            <w:pPr>
              <w:rPr>
                <w:b/>
                <w:bCs/>
              </w:rPr>
            </w:pPr>
            <w:r w:rsidRPr="007D5748">
              <w:rPr>
                <w:b/>
                <w:bCs/>
              </w:rPr>
              <w:t> </w:t>
            </w:r>
          </w:p>
        </w:tc>
      </w:tr>
      <w:tr w:rsidR="007148DF" w:rsidRPr="00AB78B7" w:rsidTr="00E2216B">
        <w:trPr>
          <w:trHeight w:val="255"/>
        </w:trPr>
        <w:tc>
          <w:tcPr>
            <w:tcW w:w="6188" w:type="dxa"/>
            <w:tcBorders>
              <w:top w:val="nil"/>
              <w:left w:val="single" w:sz="4" w:space="0" w:color="auto"/>
              <w:bottom w:val="single" w:sz="4" w:space="0" w:color="auto"/>
              <w:right w:val="single" w:sz="4" w:space="0" w:color="auto"/>
            </w:tcBorders>
          </w:tcPr>
          <w:p w:rsidR="007148DF" w:rsidRPr="007D5748" w:rsidRDefault="007148DF" w:rsidP="00E2216B">
            <w:r w:rsidRPr="007D5748">
              <w:rPr>
                <w:b/>
                <w:bCs/>
              </w:rPr>
              <w:t xml:space="preserve">   z toho vplyv na ŠR</w:t>
            </w:r>
          </w:p>
        </w:tc>
        <w:tc>
          <w:tcPr>
            <w:tcW w:w="1698" w:type="dxa"/>
            <w:tcBorders>
              <w:top w:val="nil"/>
              <w:left w:val="nil"/>
              <w:bottom w:val="single" w:sz="4" w:space="0" w:color="auto"/>
              <w:right w:val="single" w:sz="4" w:space="0" w:color="auto"/>
            </w:tcBorders>
          </w:tcPr>
          <w:p w:rsidR="007148DF" w:rsidRPr="007D5748" w:rsidRDefault="007148DF" w:rsidP="00E2216B">
            <w:pPr>
              <w:jc w:val="center"/>
            </w:pPr>
          </w:p>
        </w:tc>
        <w:tc>
          <w:tcPr>
            <w:tcW w:w="1788" w:type="dxa"/>
            <w:tcBorders>
              <w:top w:val="nil"/>
              <w:left w:val="nil"/>
              <w:bottom w:val="single" w:sz="4" w:space="0" w:color="auto"/>
              <w:right w:val="single" w:sz="4" w:space="0" w:color="auto"/>
            </w:tcBorders>
          </w:tcPr>
          <w:p w:rsidR="007148DF" w:rsidRPr="007D5748" w:rsidRDefault="007148DF" w:rsidP="00E2216B">
            <w:pPr>
              <w:jc w:val="center"/>
            </w:pPr>
          </w:p>
        </w:tc>
        <w:tc>
          <w:tcPr>
            <w:tcW w:w="2418" w:type="dxa"/>
            <w:gridSpan w:val="2"/>
            <w:tcBorders>
              <w:top w:val="nil"/>
              <w:left w:val="nil"/>
              <w:bottom w:val="single" w:sz="4" w:space="0" w:color="auto"/>
              <w:right w:val="single" w:sz="4" w:space="0" w:color="auto"/>
            </w:tcBorders>
          </w:tcPr>
          <w:p w:rsidR="007148DF" w:rsidRPr="007D5748" w:rsidRDefault="007148DF" w:rsidP="00E2216B">
            <w:pPr>
              <w:jc w:val="center"/>
            </w:pPr>
          </w:p>
        </w:tc>
        <w:tc>
          <w:tcPr>
            <w:tcW w:w="1722" w:type="dxa"/>
            <w:tcBorders>
              <w:top w:val="nil"/>
              <w:left w:val="nil"/>
              <w:bottom w:val="single" w:sz="4" w:space="0" w:color="auto"/>
              <w:right w:val="single" w:sz="4" w:space="0" w:color="auto"/>
            </w:tcBorders>
          </w:tcPr>
          <w:p w:rsidR="007148DF" w:rsidRPr="007D5748" w:rsidRDefault="007148DF" w:rsidP="00E2216B">
            <w:pPr>
              <w:jc w:val="center"/>
            </w:pPr>
          </w:p>
        </w:tc>
        <w:tc>
          <w:tcPr>
            <w:tcW w:w="1620" w:type="dxa"/>
            <w:gridSpan w:val="2"/>
            <w:tcBorders>
              <w:top w:val="nil"/>
              <w:left w:val="nil"/>
              <w:bottom w:val="single" w:sz="4" w:space="0" w:color="auto"/>
              <w:right w:val="single" w:sz="4" w:space="0" w:color="auto"/>
            </w:tcBorders>
            <w:noWrap/>
            <w:vAlign w:val="bottom"/>
          </w:tcPr>
          <w:p w:rsidR="007148DF" w:rsidRPr="007D5748" w:rsidRDefault="007148DF" w:rsidP="00E2216B">
            <w:r w:rsidRPr="007D5748">
              <w:t> </w:t>
            </w:r>
          </w:p>
        </w:tc>
      </w:tr>
      <w:tr w:rsidR="007148DF" w:rsidRPr="00AB78B7" w:rsidTr="00E2216B">
        <w:trPr>
          <w:trHeight w:val="255"/>
        </w:trPr>
        <w:tc>
          <w:tcPr>
            <w:tcW w:w="6188" w:type="dxa"/>
            <w:tcBorders>
              <w:top w:val="nil"/>
              <w:left w:val="nil"/>
              <w:bottom w:val="nil"/>
              <w:right w:val="nil"/>
            </w:tcBorders>
            <w:noWrap/>
            <w:vAlign w:val="bottom"/>
          </w:tcPr>
          <w:p w:rsidR="007148DF" w:rsidRPr="007D5748" w:rsidRDefault="007148DF" w:rsidP="00E2216B"/>
        </w:tc>
        <w:tc>
          <w:tcPr>
            <w:tcW w:w="1698" w:type="dxa"/>
            <w:tcBorders>
              <w:top w:val="nil"/>
              <w:left w:val="nil"/>
              <w:bottom w:val="nil"/>
              <w:right w:val="nil"/>
            </w:tcBorders>
            <w:noWrap/>
            <w:vAlign w:val="bottom"/>
          </w:tcPr>
          <w:p w:rsidR="007148DF" w:rsidRPr="007D5748" w:rsidRDefault="007148DF" w:rsidP="00E2216B"/>
        </w:tc>
        <w:tc>
          <w:tcPr>
            <w:tcW w:w="1788" w:type="dxa"/>
            <w:tcBorders>
              <w:top w:val="nil"/>
              <w:left w:val="nil"/>
              <w:bottom w:val="nil"/>
              <w:right w:val="nil"/>
            </w:tcBorders>
            <w:noWrap/>
            <w:vAlign w:val="bottom"/>
          </w:tcPr>
          <w:p w:rsidR="007148DF" w:rsidRPr="007D5748" w:rsidRDefault="007148DF" w:rsidP="00E2216B"/>
        </w:tc>
        <w:tc>
          <w:tcPr>
            <w:tcW w:w="2418" w:type="dxa"/>
            <w:gridSpan w:val="2"/>
            <w:tcBorders>
              <w:top w:val="nil"/>
              <w:left w:val="nil"/>
              <w:bottom w:val="nil"/>
              <w:right w:val="nil"/>
            </w:tcBorders>
            <w:noWrap/>
            <w:vAlign w:val="bottom"/>
          </w:tcPr>
          <w:p w:rsidR="007148DF" w:rsidRPr="007D5748" w:rsidRDefault="007148DF" w:rsidP="00E2216B"/>
        </w:tc>
        <w:tc>
          <w:tcPr>
            <w:tcW w:w="1722" w:type="dxa"/>
            <w:tcBorders>
              <w:top w:val="nil"/>
              <w:left w:val="nil"/>
              <w:bottom w:val="nil"/>
              <w:right w:val="nil"/>
            </w:tcBorders>
            <w:noWrap/>
            <w:vAlign w:val="bottom"/>
          </w:tcPr>
          <w:p w:rsidR="007148DF" w:rsidRPr="007D5748" w:rsidRDefault="007148DF" w:rsidP="00E2216B"/>
        </w:tc>
        <w:tc>
          <w:tcPr>
            <w:tcW w:w="1620" w:type="dxa"/>
            <w:gridSpan w:val="2"/>
            <w:tcBorders>
              <w:top w:val="nil"/>
              <w:left w:val="nil"/>
              <w:bottom w:val="nil"/>
              <w:right w:val="nil"/>
            </w:tcBorders>
            <w:noWrap/>
            <w:vAlign w:val="bottom"/>
          </w:tcPr>
          <w:p w:rsidR="007148DF" w:rsidRPr="007D5748" w:rsidRDefault="007148DF" w:rsidP="00E2216B"/>
        </w:tc>
      </w:tr>
      <w:tr w:rsidR="007148DF" w:rsidRPr="00AB78B7" w:rsidTr="00E2216B">
        <w:trPr>
          <w:trHeight w:val="255"/>
        </w:trPr>
        <w:tc>
          <w:tcPr>
            <w:tcW w:w="6188" w:type="dxa"/>
            <w:tcBorders>
              <w:top w:val="nil"/>
              <w:left w:val="nil"/>
              <w:bottom w:val="nil"/>
              <w:right w:val="nil"/>
            </w:tcBorders>
          </w:tcPr>
          <w:p w:rsidR="007148DF" w:rsidRPr="007D5748" w:rsidRDefault="007148DF" w:rsidP="00E2216B">
            <w:pPr>
              <w:rPr>
                <w:b/>
                <w:bCs/>
              </w:rPr>
            </w:pPr>
            <w:r w:rsidRPr="007D5748">
              <w:rPr>
                <w:b/>
                <w:bCs/>
              </w:rPr>
              <w:t>Poznámky:</w:t>
            </w:r>
          </w:p>
        </w:tc>
        <w:tc>
          <w:tcPr>
            <w:tcW w:w="1698" w:type="dxa"/>
            <w:tcBorders>
              <w:top w:val="nil"/>
              <w:left w:val="nil"/>
              <w:bottom w:val="nil"/>
              <w:right w:val="nil"/>
            </w:tcBorders>
            <w:noWrap/>
            <w:vAlign w:val="bottom"/>
          </w:tcPr>
          <w:p w:rsidR="007148DF" w:rsidRPr="007D5748" w:rsidRDefault="007148DF" w:rsidP="00E2216B"/>
        </w:tc>
        <w:tc>
          <w:tcPr>
            <w:tcW w:w="1788" w:type="dxa"/>
            <w:tcBorders>
              <w:top w:val="nil"/>
              <w:left w:val="nil"/>
              <w:bottom w:val="nil"/>
              <w:right w:val="nil"/>
            </w:tcBorders>
            <w:noWrap/>
            <w:vAlign w:val="bottom"/>
          </w:tcPr>
          <w:p w:rsidR="007148DF" w:rsidRPr="007D5748" w:rsidRDefault="007148DF" w:rsidP="00E2216B"/>
        </w:tc>
        <w:tc>
          <w:tcPr>
            <w:tcW w:w="2418" w:type="dxa"/>
            <w:gridSpan w:val="2"/>
            <w:tcBorders>
              <w:top w:val="nil"/>
              <w:left w:val="nil"/>
              <w:bottom w:val="nil"/>
              <w:right w:val="nil"/>
            </w:tcBorders>
            <w:noWrap/>
            <w:vAlign w:val="bottom"/>
          </w:tcPr>
          <w:p w:rsidR="007148DF" w:rsidRPr="007D5748" w:rsidRDefault="007148DF" w:rsidP="00E2216B"/>
        </w:tc>
        <w:tc>
          <w:tcPr>
            <w:tcW w:w="1722" w:type="dxa"/>
            <w:tcBorders>
              <w:top w:val="nil"/>
              <w:left w:val="nil"/>
              <w:bottom w:val="nil"/>
              <w:right w:val="nil"/>
            </w:tcBorders>
            <w:noWrap/>
            <w:vAlign w:val="bottom"/>
          </w:tcPr>
          <w:p w:rsidR="007148DF" w:rsidRPr="007D5748" w:rsidRDefault="007148DF" w:rsidP="00E2216B"/>
        </w:tc>
        <w:tc>
          <w:tcPr>
            <w:tcW w:w="1620" w:type="dxa"/>
            <w:gridSpan w:val="2"/>
            <w:tcBorders>
              <w:top w:val="nil"/>
              <w:left w:val="nil"/>
              <w:bottom w:val="nil"/>
              <w:right w:val="nil"/>
            </w:tcBorders>
            <w:noWrap/>
            <w:vAlign w:val="bottom"/>
          </w:tcPr>
          <w:p w:rsidR="007148DF" w:rsidRPr="007D5748" w:rsidRDefault="007148DF" w:rsidP="00E2216B"/>
        </w:tc>
      </w:tr>
      <w:tr w:rsidR="007148DF" w:rsidRPr="00AB78B7" w:rsidTr="00E2216B">
        <w:trPr>
          <w:trHeight w:val="255"/>
        </w:trPr>
        <w:tc>
          <w:tcPr>
            <w:tcW w:w="13814" w:type="dxa"/>
            <w:gridSpan w:val="6"/>
            <w:tcBorders>
              <w:top w:val="nil"/>
              <w:left w:val="nil"/>
              <w:bottom w:val="nil"/>
              <w:right w:val="nil"/>
            </w:tcBorders>
            <w:noWrap/>
          </w:tcPr>
          <w:p w:rsidR="007148DF" w:rsidRPr="007D5748" w:rsidRDefault="007148DF" w:rsidP="00E2216B">
            <w:pPr>
              <w:tabs>
                <w:tab w:val="num" w:pos="1080"/>
              </w:tabs>
              <w:jc w:val="both"/>
              <w:rPr>
                <w:bCs/>
                <w:szCs w:val="20"/>
              </w:rPr>
            </w:pPr>
            <w:r w:rsidRPr="007D5748">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148DF" w:rsidRPr="007D5748" w:rsidRDefault="007148DF" w:rsidP="00E2216B">
            <w:r w:rsidRPr="007D5748">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148DF" w:rsidRPr="007D5748" w:rsidRDefault="007148DF" w:rsidP="00E2216B"/>
        </w:tc>
      </w:tr>
      <w:tr w:rsidR="007148DF" w:rsidRPr="00AB78B7" w:rsidTr="00E2216B">
        <w:trPr>
          <w:trHeight w:val="255"/>
        </w:trPr>
        <w:tc>
          <w:tcPr>
            <w:tcW w:w="10394" w:type="dxa"/>
            <w:gridSpan w:val="4"/>
            <w:tcBorders>
              <w:top w:val="nil"/>
              <w:left w:val="nil"/>
              <w:bottom w:val="nil"/>
              <w:right w:val="nil"/>
            </w:tcBorders>
            <w:noWrap/>
            <w:vAlign w:val="bottom"/>
          </w:tcPr>
          <w:p w:rsidR="007148DF" w:rsidRPr="007D5748" w:rsidRDefault="007148DF" w:rsidP="00E2216B">
            <w:r w:rsidRPr="007D5748">
              <w:t>Kategórie 610 a 620 sú z tejto prílohy prenášané do príslušných kategórií prílohy „výdavky“.</w:t>
            </w:r>
          </w:p>
        </w:tc>
        <w:tc>
          <w:tcPr>
            <w:tcW w:w="1698" w:type="dxa"/>
            <w:tcBorders>
              <w:top w:val="nil"/>
              <w:left w:val="nil"/>
              <w:bottom w:val="nil"/>
              <w:right w:val="nil"/>
            </w:tcBorders>
            <w:noWrap/>
            <w:vAlign w:val="bottom"/>
          </w:tcPr>
          <w:p w:rsidR="007148DF" w:rsidRPr="007D5748" w:rsidRDefault="007148DF" w:rsidP="00E2216B"/>
        </w:tc>
        <w:tc>
          <w:tcPr>
            <w:tcW w:w="2352" w:type="dxa"/>
            <w:gridSpan w:val="2"/>
            <w:tcBorders>
              <w:top w:val="nil"/>
              <w:left w:val="nil"/>
              <w:bottom w:val="nil"/>
              <w:right w:val="nil"/>
            </w:tcBorders>
            <w:noWrap/>
            <w:vAlign w:val="bottom"/>
          </w:tcPr>
          <w:p w:rsidR="007148DF" w:rsidRPr="007D5748" w:rsidRDefault="007148DF" w:rsidP="00E2216B"/>
        </w:tc>
        <w:tc>
          <w:tcPr>
            <w:tcW w:w="990" w:type="dxa"/>
            <w:tcBorders>
              <w:top w:val="nil"/>
              <w:left w:val="nil"/>
              <w:bottom w:val="nil"/>
              <w:right w:val="nil"/>
            </w:tcBorders>
            <w:noWrap/>
            <w:vAlign w:val="bottom"/>
          </w:tcPr>
          <w:p w:rsidR="007148DF" w:rsidRPr="007D5748" w:rsidRDefault="007148DF" w:rsidP="00E2216B"/>
        </w:tc>
      </w:tr>
    </w:tbl>
    <w:p w:rsidR="007148DF" w:rsidRDefault="007148DF" w:rsidP="00927626">
      <w:pPr>
        <w:rPr>
          <w:b/>
          <w:bCs/>
        </w:rPr>
      </w:pPr>
    </w:p>
    <w:p w:rsidR="007148DF" w:rsidRDefault="007148DF" w:rsidP="00927626">
      <w:pPr>
        <w:rPr>
          <w:b/>
          <w:bCs/>
        </w:rPr>
      </w:pPr>
    </w:p>
    <w:p w:rsidR="007148DF" w:rsidRPr="00E76FA3" w:rsidRDefault="007148DF" w:rsidP="00927626">
      <w:pPr>
        <w:rPr>
          <w:bCs/>
        </w:rPr>
        <w:sectPr w:rsidR="007148DF" w:rsidRPr="00E76FA3">
          <w:pgSz w:w="16838" w:h="11906" w:orient="landscape"/>
          <w:pgMar w:top="1418" w:right="1418" w:bottom="1418" w:left="1418" w:header="709" w:footer="709" w:gutter="0"/>
          <w:cols w:space="708"/>
          <w:docGrid w:linePitch="360"/>
        </w:sectPr>
      </w:pPr>
      <w:r w:rsidRPr="00E76FA3">
        <w:rPr>
          <w:bCs/>
        </w:rPr>
        <w:t xml:space="preserve">Aktivity </w:t>
      </w:r>
      <w:r>
        <w:rPr>
          <w:bCs/>
        </w:rPr>
        <w:t xml:space="preserve">navrhnuté v rámci NEHAP V: v zásade neovplyvnia zamestnanosť v orgánoch štátnej správy, nakoľko ich implementácia sa bude odvíjať od aktuálne dostupných personálnych kapacít rezortov.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148DF" w:rsidRPr="00F04CCD" w:rsidTr="00E2216B">
        <w:trPr>
          <w:trHeight w:val="567"/>
        </w:trPr>
        <w:tc>
          <w:tcPr>
            <w:tcW w:w="9212" w:type="dxa"/>
            <w:shd w:val="clear" w:color="auto" w:fill="D9D9D9"/>
          </w:tcPr>
          <w:p w:rsidR="007148DF" w:rsidRPr="002E259A" w:rsidRDefault="007148DF" w:rsidP="00E2216B">
            <w:pPr>
              <w:jc w:val="center"/>
              <w:rPr>
                <w:b/>
              </w:rPr>
            </w:pPr>
            <w:r w:rsidRPr="002E259A">
              <w:rPr>
                <w:b/>
                <w:sz w:val="28"/>
              </w:rPr>
              <w:t xml:space="preserve">Analýza vplyvov na podnikateľské prostredie </w:t>
            </w:r>
          </w:p>
          <w:p w:rsidR="007148DF" w:rsidRPr="002E259A" w:rsidRDefault="007148DF" w:rsidP="00E2216B">
            <w:pPr>
              <w:jc w:val="center"/>
              <w:rPr>
                <w:b/>
              </w:rPr>
            </w:pPr>
            <w:r w:rsidRPr="002E259A">
              <w:rPr>
                <w:b/>
              </w:rPr>
              <w:t>(vrátane testu MSP)</w:t>
            </w:r>
          </w:p>
        </w:tc>
      </w:tr>
      <w:tr w:rsidR="007148DF" w:rsidRPr="00F04CCD" w:rsidTr="00E2216B">
        <w:trPr>
          <w:trHeight w:val="567"/>
        </w:trPr>
        <w:tc>
          <w:tcPr>
            <w:tcW w:w="9212" w:type="dxa"/>
            <w:shd w:val="clear" w:color="auto" w:fill="D9D9D9"/>
          </w:tcPr>
          <w:p w:rsidR="007148DF" w:rsidRPr="002E259A" w:rsidRDefault="007148DF" w:rsidP="00E2216B">
            <w:pPr>
              <w:rPr>
                <w:b/>
              </w:rPr>
            </w:pPr>
            <w:r w:rsidRPr="002E259A">
              <w:rPr>
                <w:b/>
              </w:rPr>
              <w:t>Materiál bude mať vplyv s ohľadom na veľkostnú kategóriu podnikov:</w:t>
            </w:r>
          </w:p>
        </w:tc>
      </w:tr>
      <w:tr w:rsidR="007148DF" w:rsidRPr="00F04CCD" w:rsidTr="00E2216B">
        <w:trPr>
          <w:trHeight w:val="567"/>
        </w:trPr>
        <w:tc>
          <w:tcPr>
            <w:tcW w:w="9212" w:type="dxa"/>
          </w:tcPr>
          <w:tbl>
            <w:tblPr>
              <w:tblW w:w="0" w:type="auto"/>
              <w:tblLook w:val="00A0"/>
            </w:tblPr>
            <w:tblGrid>
              <w:gridCol w:w="456"/>
              <w:gridCol w:w="8540"/>
            </w:tblGrid>
            <w:tr w:rsidR="007148DF" w:rsidRPr="00F04CCD" w:rsidTr="00E2216B">
              <w:tc>
                <w:tcPr>
                  <w:tcW w:w="436" w:type="dxa"/>
                </w:tcPr>
                <w:p w:rsidR="007148DF" w:rsidRPr="00F04CCD" w:rsidRDefault="007148DF" w:rsidP="00E2216B">
                  <w:pPr>
                    <w:jc w:val="center"/>
                  </w:pPr>
                  <w:r w:rsidRPr="002E259A">
                    <w:rPr>
                      <w:rFonts w:ascii="MS Mincho" w:eastAsia="MS Mincho" w:hAnsi="MS Mincho" w:cs="MS Mincho" w:hint="eastAsia"/>
                    </w:rPr>
                    <w:t>☐</w:t>
                  </w:r>
                </w:p>
              </w:tc>
              <w:tc>
                <w:tcPr>
                  <w:tcW w:w="8545" w:type="dxa"/>
                </w:tcPr>
                <w:p w:rsidR="007148DF" w:rsidRPr="002E259A" w:rsidRDefault="007148DF" w:rsidP="00E2216B">
                  <w:pPr>
                    <w:rPr>
                      <w:b/>
                    </w:rPr>
                  </w:pPr>
                  <w:r w:rsidRPr="002E259A">
                    <w:rPr>
                      <w:b/>
                    </w:rPr>
                    <w:t xml:space="preserve">iba na MSP (0 - 249 zamestnancov) </w:t>
                  </w:r>
                </w:p>
              </w:tc>
            </w:tr>
            <w:tr w:rsidR="007148DF" w:rsidRPr="00F04CCD" w:rsidTr="00E2216B">
              <w:tc>
                <w:tcPr>
                  <w:tcW w:w="436" w:type="dxa"/>
                </w:tcPr>
                <w:p w:rsidR="007148DF" w:rsidRPr="00F04CCD" w:rsidRDefault="007148DF" w:rsidP="00E2216B">
                  <w:pPr>
                    <w:jc w:val="center"/>
                  </w:pPr>
                  <w:r w:rsidRPr="002E259A">
                    <w:rPr>
                      <w:rFonts w:ascii="MS Mincho" w:eastAsia="MS Mincho" w:hAnsi="MS Mincho" w:cs="MS Mincho" w:hint="eastAsia"/>
                    </w:rPr>
                    <w:t>☐</w:t>
                  </w:r>
                </w:p>
              </w:tc>
              <w:tc>
                <w:tcPr>
                  <w:tcW w:w="8545" w:type="dxa"/>
                </w:tcPr>
                <w:p w:rsidR="007148DF" w:rsidRPr="002E259A" w:rsidRDefault="007148DF" w:rsidP="00E2216B">
                  <w:pPr>
                    <w:rPr>
                      <w:b/>
                    </w:rPr>
                  </w:pPr>
                  <w:r w:rsidRPr="002E259A">
                    <w:rPr>
                      <w:b/>
                    </w:rPr>
                    <w:t>iba na veľké podniky (250 a viac zamestnancov)</w:t>
                  </w:r>
                </w:p>
              </w:tc>
            </w:tr>
            <w:tr w:rsidR="007148DF" w:rsidRPr="00F04CCD" w:rsidTr="00E2216B">
              <w:tc>
                <w:tcPr>
                  <w:tcW w:w="436" w:type="dxa"/>
                </w:tcPr>
                <w:p w:rsidR="007148DF" w:rsidRPr="00F04CCD" w:rsidRDefault="007148DF" w:rsidP="00E2216B">
                  <w:pPr>
                    <w:jc w:val="center"/>
                  </w:pPr>
                  <w:r>
                    <w:rPr>
                      <w:rFonts w:ascii="MS Mincho" w:eastAsia="MS Mincho" w:hAnsi="MS Mincho" w:cs="MS Mincho"/>
                    </w:rPr>
                    <w:t>X</w:t>
                  </w:r>
                </w:p>
              </w:tc>
              <w:tc>
                <w:tcPr>
                  <w:tcW w:w="8545" w:type="dxa"/>
                </w:tcPr>
                <w:p w:rsidR="007148DF" w:rsidRPr="00F04CCD" w:rsidRDefault="007148DF" w:rsidP="00E2216B">
                  <w:r w:rsidRPr="002E259A">
                    <w:rPr>
                      <w:b/>
                    </w:rPr>
                    <w:t>na všetky kategórie podnikov</w:t>
                  </w:r>
                </w:p>
              </w:tc>
            </w:tr>
          </w:tbl>
          <w:p w:rsidR="007148DF" w:rsidRPr="002E259A" w:rsidRDefault="007148DF" w:rsidP="00E2216B">
            <w:pPr>
              <w:rPr>
                <w:b/>
              </w:rPr>
            </w:pPr>
          </w:p>
        </w:tc>
      </w:tr>
      <w:tr w:rsidR="007148DF" w:rsidRPr="00F04CCD" w:rsidTr="00E2216B">
        <w:tc>
          <w:tcPr>
            <w:tcW w:w="9212" w:type="dxa"/>
            <w:shd w:val="clear" w:color="auto" w:fill="D9D9D9"/>
          </w:tcPr>
          <w:p w:rsidR="007148DF" w:rsidRPr="002E259A" w:rsidRDefault="007148DF" w:rsidP="00E2216B">
            <w:pPr>
              <w:rPr>
                <w:b/>
              </w:rPr>
            </w:pPr>
            <w:r w:rsidRPr="002E259A">
              <w:rPr>
                <w:b/>
              </w:rPr>
              <w:t>3.1 Dotknuté podnikateľské subjekty</w:t>
            </w:r>
          </w:p>
          <w:p w:rsidR="007148DF" w:rsidRPr="002E259A" w:rsidRDefault="007148DF" w:rsidP="00E2216B">
            <w:pPr>
              <w:ind w:left="284"/>
              <w:rPr>
                <w:b/>
              </w:rPr>
            </w:pPr>
            <w:r w:rsidRPr="002E259A">
              <w:t xml:space="preserve"> - </w:t>
            </w:r>
            <w:r w:rsidRPr="002E259A">
              <w:rPr>
                <w:b/>
              </w:rPr>
              <w:t>z toho MSP</w:t>
            </w:r>
          </w:p>
        </w:tc>
      </w:tr>
      <w:tr w:rsidR="007148DF" w:rsidRPr="00F04CCD" w:rsidTr="00E2216B">
        <w:tc>
          <w:tcPr>
            <w:tcW w:w="9212" w:type="dxa"/>
          </w:tcPr>
          <w:p w:rsidR="007148DF" w:rsidRPr="002E259A" w:rsidRDefault="007148DF" w:rsidP="00E2216B">
            <w:pPr>
              <w:rPr>
                <w:i/>
              </w:rPr>
            </w:pPr>
            <w:r w:rsidRPr="002E259A">
              <w:rPr>
                <w:i/>
              </w:rPr>
              <w:t>Uveďte, aké podnikateľské subjekty budú predkladaným návrhom ovplyvnené.</w:t>
            </w:r>
          </w:p>
          <w:p w:rsidR="007148DF" w:rsidRPr="002E259A" w:rsidRDefault="007148DF" w:rsidP="00E2216B">
            <w:pPr>
              <w:rPr>
                <w:i/>
              </w:rPr>
            </w:pPr>
            <w:r w:rsidRPr="002E259A">
              <w:rPr>
                <w:i/>
              </w:rPr>
              <w:t>Aký je ich počet?</w:t>
            </w:r>
          </w:p>
        </w:tc>
      </w:tr>
      <w:tr w:rsidR="007148DF" w:rsidRPr="00F04CCD" w:rsidTr="00E2216B">
        <w:trPr>
          <w:trHeight w:val="1440"/>
        </w:trPr>
        <w:tc>
          <w:tcPr>
            <w:tcW w:w="9212" w:type="dxa"/>
          </w:tcPr>
          <w:p w:rsidR="007148DF" w:rsidRDefault="007148DF" w:rsidP="00E2216B">
            <w:pPr>
              <w:rPr>
                <w:i/>
              </w:rPr>
            </w:pPr>
          </w:p>
          <w:p w:rsidR="007148DF" w:rsidRDefault="007148DF" w:rsidP="00E2216B">
            <w:pPr>
              <w:rPr>
                <w:i/>
              </w:rPr>
            </w:pPr>
            <w:r w:rsidRPr="00292231">
              <w:rPr>
                <w:i/>
              </w:rPr>
              <w:t>-  akékoľvek subjekty prevádzkujúce činnosti, ktoré môžu byť nepriamo negatívne ovplyvnené v dôsledku zmeny politík v oblasti ŽP a zdravia  (napr. znečisťovatelia zložiek  ŽP</w:t>
            </w:r>
          </w:p>
          <w:p w:rsidR="007148DF" w:rsidRPr="00292231" w:rsidRDefault="007148DF" w:rsidP="00E2216B">
            <w:pPr>
              <w:rPr>
                <w:i/>
              </w:rPr>
            </w:pPr>
          </w:p>
          <w:p w:rsidR="007148DF" w:rsidRPr="00292231" w:rsidRDefault="007148DF" w:rsidP="00E2216B">
            <w:pPr>
              <w:rPr>
                <w:i/>
              </w:rPr>
            </w:pPr>
            <w:r w:rsidRPr="00292231">
              <w:rPr>
                <w:i/>
              </w:rPr>
              <w:t>-  subjekty, ktoré môžu byť navrhnutými aktivitami pozitívne ovplyvnené v dôsledku utvorenia nových príležitostí pre ich profesionálne uplatnenie v praxi (napr. organizácie zaoberajúce sa prieskumom, monitorovaním a vyhodnocovaním zložiek ŽP, nepr. geologického prostredia, environmentálnych záťaží, fyzikálnych faktorov v urbanizovaných územiach, atď.)</w:t>
            </w:r>
          </w:p>
          <w:p w:rsidR="007148DF" w:rsidRPr="002E259A" w:rsidRDefault="007148DF" w:rsidP="00E2216B">
            <w:pPr>
              <w:rPr>
                <w:i/>
              </w:rPr>
            </w:pPr>
            <w:r>
              <w:rPr>
                <w:i/>
              </w:rPr>
              <w:t xml:space="preserve">      </w:t>
            </w:r>
          </w:p>
        </w:tc>
      </w:tr>
      <w:tr w:rsidR="007148DF" w:rsidRPr="00F04CCD" w:rsidTr="00E2216B">
        <w:trPr>
          <w:trHeight w:val="339"/>
        </w:trPr>
        <w:tc>
          <w:tcPr>
            <w:tcW w:w="9212" w:type="dxa"/>
            <w:shd w:val="clear" w:color="auto" w:fill="D9D9D9"/>
          </w:tcPr>
          <w:p w:rsidR="007148DF" w:rsidRPr="002E259A" w:rsidRDefault="007148DF" w:rsidP="00E2216B">
            <w:pPr>
              <w:rPr>
                <w:b/>
              </w:rPr>
            </w:pPr>
            <w:r w:rsidRPr="002E259A">
              <w:rPr>
                <w:b/>
              </w:rPr>
              <w:t>3.2 Vyhodnotenie konzultácií</w:t>
            </w:r>
          </w:p>
          <w:p w:rsidR="007148DF" w:rsidRPr="002E259A" w:rsidRDefault="007148DF" w:rsidP="00E2216B">
            <w:pPr>
              <w:rPr>
                <w:b/>
              </w:rPr>
            </w:pPr>
            <w:r w:rsidRPr="002E259A">
              <w:t xml:space="preserve">       - </w:t>
            </w:r>
            <w:r w:rsidRPr="002E259A">
              <w:rPr>
                <w:b/>
              </w:rPr>
              <w:t>z toho MSP</w:t>
            </w:r>
          </w:p>
        </w:tc>
      </w:tr>
      <w:tr w:rsidR="007148DF" w:rsidRPr="00F04CCD" w:rsidTr="00E2216B">
        <w:trPr>
          <w:trHeight w:val="557"/>
        </w:trPr>
        <w:tc>
          <w:tcPr>
            <w:tcW w:w="9212" w:type="dxa"/>
          </w:tcPr>
          <w:p w:rsidR="007148DF" w:rsidRPr="002E259A" w:rsidRDefault="007148DF" w:rsidP="00E2216B">
            <w:pPr>
              <w:rPr>
                <w:i/>
              </w:rPr>
            </w:pPr>
            <w:r w:rsidRPr="002E259A">
              <w:rPr>
                <w:i/>
              </w:rPr>
              <w:t>Uveďte, akou formou (verejné alebo cielené konzultácie a prečo) a s kým bol návrh konzultovaný.</w:t>
            </w:r>
          </w:p>
          <w:p w:rsidR="007148DF" w:rsidRPr="002E259A" w:rsidRDefault="007148DF" w:rsidP="00E2216B">
            <w:pPr>
              <w:rPr>
                <w:i/>
              </w:rPr>
            </w:pPr>
            <w:r w:rsidRPr="002E259A">
              <w:rPr>
                <w:i/>
              </w:rPr>
              <w:t>Ako dlho trvali konzultácie?</w:t>
            </w:r>
          </w:p>
          <w:p w:rsidR="007148DF" w:rsidRPr="002E259A" w:rsidRDefault="007148DF" w:rsidP="00E2216B">
            <w:pPr>
              <w:rPr>
                <w:i/>
              </w:rPr>
            </w:pPr>
            <w:r w:rsidRPr="002E259A">
              <w:rPr>
                <w:i/>
              </w:rPr>
              <w:t xml:space="preserve">Uveďte hlavné body konzultácií a výsledky konzultácií. </w:t>
            </w:r>
          </w:p>
        </w:tc>
      </w:tr>
      <w:tr w:rsidR="007148DF" w:rsidRPr="00F04CCD" w:rsidTr="00E2216B">
        <w:trPr>
          <w:trHeight w:val="1440"/>
        </w:trPr>
        <w:tc>
          <w:tcPr>
            <w:tcW w:w="9212" w:type="dxa"/>
          </w:tcPr>
          <w:p w:rsidR="007148DF" w:rsidRDefault="007148DF" w:rsidP="00E2216B">
            <w:pPr>
              <w:pStyle w:val="NormalWeb"/>
            </w:pPr>
          </w:p>
          <w:p w:rsidR="007148DF" w:rsidRDefault="007148DF" w:rsidP="00E2216B">
            <w:pPr>
              <w:pStyle w:val="NormalWeb"/>
            </w:pPr>
            <w:r w:rsidRPr="00B1232C">
              <w:t>Prekladaný akčný plán vznikol na základe medzirezortnej spolupráce na ktorého príprave sa podieľali partneri z relevantných rezortov, a to: Ministerstvo životného prostredia,  Ministerstvo pôdohospodárstva a rozvoja vidieka; Ministerstvo hospodárstva, Ministerstvo dopravy a výstavby a Ministerstvo školstva, vedy, výskumu a športu.</w:t>
            </w:r>
            <w:r>
              <w:t xml:space="preserve">  </w:t>
            </w:r>
          </w:p>
          <w:p w:rsidR="007148DF" w:rsidRPr="00B1232C" w:rsidRDefault="007148DF" w:rsidP="00E2216B">
            <w:pPr>
              <w:pStyle w:val="NormalWeb"/>
            </w:pPr>
            <w:r>
              <w:t xml:space="preserve">Charakter predkladaného materiálu priamo nezakladá nové povinnosti ani neovplyvňuje existujúce povinnosti podnikateľských subjektov vyplývajúce z platnej legislatívy, preto tieto subjekty neboli zahrnuté do konzultácií v rámci prípravy tohto materiálu. Uvedené subjekty však mali možnosť sa k materiálu vyjadriť v rámci medzirezortného pripomienkovania tak, ako to využili zástupcovia tretieho sektora. </w:t>
            </w:r>
          </w:p>
          <w:p w:rsidR="007148DF" w:rsidRPr="002E259A" w:rsidRDefault="007148DF" w:rsidP="00E2216B">
            <w:pPr>
              <w:rPr>
                <w:i/>
              </w:rPr>
            </w:pPr>
          </w:p>
        </w:tc>
      </w:tr>
      <w:tr w:rsidR="007148DF" w:rsidRPr="00F04CCD" w:rsidTr="00E2216B">
        <w:tc>
          <w:tcPr>
            <w:tcW w:w="9212" w:type="dxa"/>
            <w:shd w:val="clear" w:color="auto" w:fill="D9D9D9"/>
          </w:tcPr>
          <w:p w:rsidR="007148DF" w:rsidRPr="002E259A" w:rsidRDefault="007148DF" w:rsidP="00E2216B">
            <w:pPr>
              <w:rPr>
                <w:b/>
              </w:rPr>
            </w:pPr>
            <w:r w:rsidRPr="002E259A">
              <w:rPr>
                <w:b/>
              </w:rPr>
              <w:t>3.3 Náklady regulácie</w:t>
            </w:r>
          </w:p>
          <w:p w:rsidR="007148DF" w:rsidRPr="002E259A" w:rsidRDefault="007148DF" w:rsidP="00E2216B">
            <w:pPr>
              <w:rPr>
                <w:b/>
              </w:rPr>
            </w:pPr>
            <w:r w:rsidRPr="002E259A">
              <w:t xml:space="preserve">      - </w:t>
            </w:r>
            <w:r w:rsidRPr="002E259A">
              <w:rPr>
                <w:b/>
              </w:rPr>
              <w:t>z toho MSP</w:t>
            </w:r>
          </w:p>
        </w:tc>
      </w:tr>
      <w:tr w:rsidR="007148DF" w:rsidRPr="00F04CCD" w:rsidTr="00E2216B">
        <w:tc>
          <w:tcPr>
            <w:tcW w:w="9212" w:type="dxa"/>
          </w:tcPr>
          <w:p w:rsidR="007148DF" w:rsidRPr="002E259A" w:rsidRDefault="007148DF" w:rsidP="00E2216B">
            <w:pPr>
              <w:rPr>
                <w:b/>
                <w:i/>
              </w:rPr>
            </w:pPr>
            <w:r w:rsidRPr="002E259A">
              <w:rPr>
                <w:b/>
                <w:i/>
              </w:rPr>
              <w:t>3.3.1 Priame finančné náklady</w:t>
            </w:r>
          </w:p>
          <w:p w:rsidR="007148DF" w:rsidRPr="002E259A" w:rsidRDefault="007148DF" w:rsidP="00E2216B">
            <w:pPr>
              <w:rPr>
                <w:i/>
              </w:rPr>
            </w:pPr>
            <w:r w:rsidRPr="002E259A">
              <w:rPr>
                <w:i/>
              </w:rPr>
              <w:t xml:space="preserve">Dochádza k zvýšeniu/zníženiu priamych finančných nákladov (poplatky, odvody, dane clá...)? Ak áno, popíšte a vyčíslite ich. Uveďte tiež spôsob ich výpočtu. </w:t>
            </w:r>
          </w:p>
        </w:tc>
      </w:tr>
      <w:tr w:rsidR="007148DF" w:rsidRPr="00F04CCD" w:rsidTr="00E2216B">
        <w:tc>
          <w:tcPr>
            <w:tcW w:w="9212" w:type="dxa"/>
          </w:tcPr>
          <w:p w:rsidR="007148DF" w:rsidRPr="002E259A" w:rsidRDefault="007148DF" w:rsidP="00E2216B">
            <w:pPr>
              <w:rPr>
                <w:b/>
                <w:i/>
              </w:rPr>
            </w:pPr>
          </w:p>
          <w:p w:rsidR="007148DF" w:rsidRPr="00B1232C" w:rsidRDefault="007148DF" w:rsidP="00E2216B">
            <w:pPr>
              <w:rPr>
                <w:b/>
                <w:i/>
              </w:rPr>
            </w:pPr>
            <w:r w:rsidRPr="00B1232C">
              <w:rPr>
                <w:b/>
                <w:i/>
              </w:rPr>
              <w:t xml:space="preserve">Nie </w:t>
            </w:r>
          </w:p>
          <w:p w:rsidR="007148DF" w:rsidRPr="002E259A" w:rsidRDefault="007148DF" w:rsidP="00E2216B">
            <w:pPr>
              <w:rPr>
                <w:b/>
                <w:i/>
              </w:rPr>
            </w:pPr>
          </w:p>
          <w:p w:rsidR="007148DF" w:rsidRPr="002E259A" w:rsidRDefault="007148DF" w:rsidP="00E2216B">
            <w:pPr>
              <w:rPr>
                <w:b/>
                <w:i/>
              </w:rPr>
            </w:pPr>
          </w:p>
          <w:p w:rsidR="007148DF" w:rsidRPr="002E259A" w:rsidRDefault="007148DF" w:rsidP="00E2216B">
            <w:pPr>
              <w:rPr>
                <w:b/>
                <w:i/>
              </w:rPr>
            </w:pPr>
          </w:p>
        </w:tc>
      </w:tr>
      <w:tr w:rsidR="007148DF" w:rsidRPr="00F04CCD" w:rsidTr="00E2216B">
        <w:tc>
          <w:tcPr>
            <w:tcW w:w="9212" w:type="dxa"/>
          </w:tcPr>
          <w:p w:rsidR="007148DF" w:rsidRPr="002E259A" w:rsidRDefault="007148DF" w:rsidP="00E2216B">
            <w:pPr>
              <w:rPr>
                <w:b/>
                <w:i/>
              </w:rPr>
            </w:pPr>
            <w:r w:rsidRPr="002E259A">
              <w:rPr>
                <w:b/>
                <w:i/>
              </w:rPr>
              <w:t>3.3.2 Nepriame finančné náklady</w:t>
            </w:r>
          </w:p>
          <w:p w:rsidR="007148DF" w:rsidRPr="002E259A" w:rsidRDefault="007148DF" w:rsidP="00E2216B">
            <w:pPr>
              <w:rPr>
                <w:i/>
              </w:rPr>
            </w:pPr>
            <w:r w:rsidRPr="002E259A">
              <w:rPr>
                <w:i/>
              </w:rPr>
              <w:t>Vyžaduje si predkladaný návrh dodatočné náklady na nákup tovarov alebo služieb? Zvyšuje predkladaný návrh náklady súvisiace so zamestnávaním? Ak áno, popíšte a vyčíslite ich. Uveďte tiež spôsob ich výpočtu.</w:t>
            </w:r>
          </w:p>
        </w:tc>
      </w:tr>
      <w:tr w:rsidR="007148DF" w:rsidRPr="00F04CCD" w:rsidTr="00E2216B">
        <w:tc>
          <w:tcPr>
            <w:tcW w:w="9212" w:type="dxa"/>
          </w:tcPr>
          <w:p w:rsidR="007148DF" w:rsidRPr="002E259A" w:rsidRDefault="007148DF" w:rsidP="00E2216B">
            <w:pPr>
              <w:rPr>
                <w:b/>
                <w:i/>
              </w:rPr>
            </w:pPr>
          </w:p>
          <w:p w:rsidR="007148DF" w:rsidRPr="00047918" w:rsidRDefault="007148DF" w:rsidP="00E2216B">
            <w:pPr>
              <w:rPr>
                <w:b/>
              </w:rPr>
            </w:pPr>
            <w:r w:rsidRPr="00047918">
              <w:t xml:space="preserve">Predkladaný materiál môže v rámci jeho implementácie pozitívne ovplyvniť podnikateľské prostredie  v dôsledku utvorenia nových príležitostí pre  profesionálne uplatnenie podnikateľských subjektov  v praxi v prípade využitia ich služieb (napr. prieskum, monitorovanie a vyhodnocovanie zložiek ŽP, napr. geologického prostredia, environmentálnych záťaží, fyzikálnych faktorov v urbanizovaných územiach, atď.), resp, využitie spolupráce týchto subjektov zo strany orgánov štátnej správy, príp. samosprávy.  </w:t>
            </w:r>
          </w:p>
          <w:p w:rsidR="007148DF" w:rsidRPr="002E259A" w:rsidRDefault="007148DF" w:rsidP="00E2216B">
            <w:pPr>
              <w:rPr>
                <w:b/>
                <w:i/>
              </w:rPr>
            </w:pPr>
          </w:p>
          <w:p w:rsidR="007148DF" w:rsidRPr="002E259A" w:rsidRDefault="007148DF" w:rsidP="00E2216B">
            <w:pPr>
              <w:rPr>
                <w:b/>
                <w:i/>
              </w:rPr>
            </w:pPr>
          </w:p>
          <w:p w:rsidR="007148DF" w:rsidRPr="002E259A" w:rsidRDefault="007148DF" w:rsidP="00E2216B">
            <w:pPr>
              <w:rPr>
                <w:b/>
                <w:i/>
              </w:rPr>
            </w:pPr>
          </w:p>
        </w:tc>
      </w:tr>
      <w:tr w:rsidR="007148DF" w:rsidRPr="00F04CCD" w:rsidTr="00E2216B">
        <w:tc>
          <w:tcPr>
            <w:tcW w:w="9212" w:type="dxa"/>
          </w:tcPr>
          <w:p w:rsidR="007148DF" w:rsidRPr="002E259A" w:rsidRDefault="007148DF" w:rsidP="00E2216B">
            <w:pPr>
              <w:rPr>
                <w:b/>
                <w:i/>
              </w:rPr>
            </w:pPr>
            <w:r w:rsidRPr="002E259A">
              <w:rPr>
                <w:b/>
                <w:i/>
              </w:rPr>
              <w:t>3.3.3 Administratívne náklady</w:t>
            </w:r>
          </w:p>
          <w:p w:rsidR="007148DF" w:rsidRPr="002E259A" w:rsidRDefault="007148DF" w:rsidP="00E2216B">
            <w:pPr>
              <w:rPr>
                <w:i/>
              </w:rPr>
            </w:pPr>
            <w:r w:rsidRPr="002E259A">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7148DF" w:rsidRPr="00F04CCD" w:rsidTr="00E2216B">
        <w:tc>
          <w:tcPr>
            <w:tcW w:w="9212" w:type="dxa"/>
          </w:tcPr>
          <w:p w:rsidR="007148DF" w:rsidRPr="002E259A" w:rsidRDefault="007148DF" w:rsidP="00E2216B">
            <w:pPr>
              <w:rPr>
                <w:b/>
                <w:i/>
              </w:rPr>
            </w:pPr>
          </w:p>
          <w:p w:rsidR="007148DF" w:rsidRPr="00B1232C" w:rsidRDefault="007148DF" w:rsidP="00E2216B">
            <w:pPr>
              <w:rPr>
                <w:b/>
                <w:i/>
              </w:rPr>
            </w:pPr>
            <w:r w:rsidRPr="00B1232C">
              <w:rPr>
                <w:b/>
                <w:i/>
              </w:rPr>
              <w:t xml:space="preserve">Nie </w:t>
            </w:r>
          </w:p>
          <w:p w:rsidR="007148DF" w:rsidRPr="002E259A" w:rsidRDefault="007148DF" w:rsidP="00E2216B">
            <w:pPr>
              <w:rPr>
                <w:b/>
                <w:i/>
              </w:rPr>
            </w:pPr>
          </w:p>
          <w:p w:rsidR="007148DF" w:rsidRPr="002E259A" w:rsidRDefault="007148DF" w:rsidP="00E2216B">
            <w:pPr>
              <w:rPr>
                <w:b/>
                <w:i/>
              </w:rPr>
            </w:pPr>
          </w:p>
        </w:tc>
      </w:tr>
      <w:tr w:rsidR="007148DF" w:rsidRPr="00F04CCD" w:rsidTr="00E2216B">
        <w:trPr>
          <w:trHeight w:val="2318"/>
        </w:trPr>
        <w:tc>
          <w:tcPr>
            <w:tcW w:w="9212" w:type="dxa"/>
          </w:tcPr>
          <w:p w:rsidR="007148DF" w:rsidRPr="002E259A" w:rsidRDefault="007148DF" w:rsidP="00E2216B">
            <w:pPr>
              <w:rPr>
                <w:i/>
              </w:rPr>
            </w:pPr>
            <w:r w:rsidRPr="002E259A">
              <w:rPr>
                <w:b/>
                <w:i/>
              </w:rPr>
              <w:t>3.3.4 Súhrnná tabuľka nákladov regulácie</w:t>
            </w:r>
          </w:p>
          <w:p w:rsidR="007148DF" w:rsidRPr="002E259A" w:rsidRDefault="007148DF" w:rsidP="00E2216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3"/>
              <w:gridCol w:w="2994"/>
              <w:gridCol w:w="2994"/>
            </w:tblGrid>
            <w:tr w:rsidR="007148DF" w:rsidRPr="00F04CCD" w:rsidTr="00E2216B">
              <w:tc>
                <w:tcPr>
                  <w:tcW w:w="2993"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rPr>
                      <w:i/>
                    </w:rPr>
                  </w:pPr>
                </w:p>
              </w:tc>
              <w:tc>
                <w:tcPr>
                  <w:tcW w:w="2994"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jc w:val="center"/>
                    <w:rPr>
                      <w:i/>
                    </w:rPr>
                  </w:pPr>
                  <w:r w:rsidRPr="002E259A">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jc w:val="center"/>
                    <w:rPr>
                      <w:i/>
                    </w:rPr>
                  </w:pPr>
                  <w:r w:rsidRPr="002E259A">
                    <w:rPr>
                      <w:i/>
                    </w:rPr>
                    <w:t>Náklady na celé podnikateľské prostredie</w:t>
                  </w:r>
                </w:p>
              </w:tc>
            </w:tr>
            <w:tr w:rsidR="007148DF" w:rsidRPr="00F04CCD" w:rsidTr="00E2216B">
              <w:tc>
                <w:tcPr>
                  <w:tcW w:w="2993"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rPr>
                      <w:i/>
                    </w:rPr>
                  </w:pPr>
                  <w:r w:rsidRPr="002E259A">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jc w:val="center"/>
                    <w:rPr>
                      <w:i/>
                    </w:rPr>
                  </w:pPr>
                  <w:r w:rsidRPr="002E259A">
                    <w:rPr>
                      <w:i/>
                    </w:rPr>
                    <w:t>0</w:t>
                  </w:r>
                </w:p>
              </w:tc>
              <w:tc>
                <w:tcPr>
                  <w:tcW w:w="2994"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jc w:val="center"/>
                    <w:rPr>
                      <w:i/>
                    </w:rPr>
                  </w:pPr>
                  <w:r w:rsidRPr="002E259A">
                    <w:rPr>
                      <w:i/>
                    </w:rPr>
                    <w:t>0</w:t>
                  </w:r>
                </w:p>
              </w:tc>
            </w:tr>
            <w:tr w:rsidR="007148DF" w:rsidRPr="00F04CCD" w:rsidTr="00E2216B">
              <w:tc>
                <w:tcPr>
                  <w:tcW w:w="2993"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rPr>
                      <w:i/>
                    </w:rPr>
                  </w:pPr>
                  <w:r w:rsidRPr="002E259A">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jc w:val="center"/>
                    <w:rPr>
                      <w:i/>
                    </w:rPr>
                  </w:pPr>
                  <w:r w:rsidRPr="002E259A">
                    <w:rPr>
                      <w:i/>
                    </w:rPr>
                    <w:t>0</w:t>
                  </w:r>
                </w:p>
              </w:tc>
              <w:tc>
                <w:tcPr>
                  <w:tcW w:w="2994"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jc w:val="center"/>
                    <w:rPr>
                      <w:i/>
                    </w:rPr>
                  </w:pPr>
                  <w:r w:rsidRPr="002E259A">
                    <w:rPr>
                      <w:i/>
                    </w:rPr>
                    <w:t>0</w:t>
                  </w:r>
                </w:p>
              </w:tc>
            </w:tr>
            <w:tr w:rsidR="007148DF" w:rsidRPr="00F04CCD" w:rsidTr="00E2216B">
              <w:tc>
                <w:tcPr>
                  <w:tcW w:w="2993"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rPr>
                      <w:i/>
                    </w:rPr>
                  </w:pPr>
                  <w:r w:rsidRPr="002E259A">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jc w:val="center"/>
                    <w:rPr>
                      <w:i/>
                    </w:rPr>
                  </w:pPr>
                  <w:r w:rsidRPr="002E259A">
                    <w:rPr>
                      <w:i/>
                    </w:rPr>
                    <w:t>0</w:t>
                  </w:r>
                </w:p>
              </w:tc>
              <w:tc>
                <w:tcPr>
                  <w:tcW w:w="2994"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jc w:val="center"/>
                    <w:rPr>
                      <w:i/>
                    </w:rPr>
                  </w:pPr>
                  <w:r w:rsidRPr="002E259A">
                    <w:rPr>
                      <w:i/>
                    </w:rPr>
                    <w:t>0</w:t>
                  </w:r>
                </w:p>
              </w:tc>
            </w:tr>
            <w:tr w:rsidR="007148DF" w:rsidRPr="00F04CCD" w:rsidTr="00E2216B">
              <w:tc>
                <w:tcPr>
                  <w:tcW w:w="2993"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rPr>
                      <w:b/>
                      <w:i/>
                    </w:rPr>
                  </w:pPr>
                  <w:r w:rsidRPr="002E259A">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jc w:val="center"/>
                    <w:rPr>
                      <w:b/>
                      <w:i/>
                    </w:rPr>
                  </w:pPr>
                  <w:r w:rsidRPr="002E259A">
                    <w:rPr>
                      <w:b/>
                      <w:i/>
                    </w:rPr>
                    <w:t>0</w:t>
                  </w:r>
                </w:p>
              </w:tc>
              <w:tc>
                <w:tcPr>
                  <w:tcW w:w="2994" w:type="dxa"/>
                  <w:tcBorders>
                    <w:top w:val="single" w:sz="4" w:space="0" w:color="auto"/>
                    <w:left w:val="single" w:sz="4" w:space="0" w:color="auto"/>
                    <w:bottom w:val="single" w:sz="4" w:space="0" w:color="auto"/>
                    <w:right w:val="single" w:sz="4" w:space="0" w:color="auto"/>
                  </w:tcBorders>
                </w:tcPr>
                <w:p w:rsidR="007148DF" w:rsidRPr="002E259A" w:rsidRDefault="007148DF" w:rsidP="00E2216B">
                  <w:pPr>
                    <w:jc w:val="center"/>
                    <w:rPr>
                      <w:b/>
                      <w:i/>
                    </w:rPr>
                  </w:pPr>
                  <w:r w:rsidRPr="002E259A">
                    <w:rPr>
                      <w:b/>
                      <w:i/>
                    </w:rPr>
                    <w:t>0</w:t>
                  </w:r>
                </w:p>
              </w:tc>
            </w:tr>
          </w:tbl>
          <w:p w:rsidR="007148DF" w:rsidRDefault="007148DF" w:rsidP="00E2216B">
            <w:pPr>
              <w:rPr>
                <w:i/>
              </w:rPr>
            </w:pPr>
          </w:p>
          <w:p w:rsidR="007148DF" w:rsidRDefault="007148DF" w:rsidP="00E2216B">
            <w:r w:rsidRPr="00047918">
              <w:t xml:space="preserve">Charakter predkladaného materiálu </w:t>
            </w:r>
            <w:r>
              <w:t xml:space="preserve">priamo </w:t>
            </w:r>
            <w:r w:rsidRPr="00047918">
              <w:t>nezakladá nové povinnosti ani neovplyvňuje existujúce povinnosti podnikateľských subjektov vyplývajúce z platnej legislatívy, preto</w:t>
            </w:r>
            <w:r>
              <w:t xml:space="preserve"> nemá dopady na finančné náklady podnikateľského prostredia.</w:t>
            </w:r>
          </w:p>
          <w:p w:rsidR="007148DF" w:rsidRPr="00047918" w:rsidRDefault="007148DF" w:rsidP="00E2216B">
            <w:pPr>
              <w:rPr>
                <w:i/>
              </w:rPr>
            </w:pPr>
            <w:r>
              <w:t xml:space="preserve"> </w:t>
            </w:r>
          </w:p>
        </w:tc>
      </w:tr>
      <w:tr w:rsidR="007148DF" w:rsidRPr="00F04CCD" w:rsidTr="00E2216B">
        <w:tc>
          <w:tcPr>
            <w:tcW w:w="9212" w:type="dxa"/>
            <w:shd w:val="clear" w:color="auto" w:fill="D9D9D9"/>
          </w:tcPr>
          <w:p w:rsidR="007148DF" w:rsidRPr="002E259A" w:rsidRDefault="007148DF" w:rsidP="00E2216B">
            <w:pPr>
              <w:rPr>
                <w:b/>
              </w:rPr>
            </w:pPr>
            <w:r w:rsidRPr="002E259A">
              <w:rPr>
                <w:b/>
              </w:rPr>
              <w:t>3.4 Konkurencieschopnosť a správanie sa podnikov na trhu</w:t>
            </w:r>
          </w:p>
          <w:p w:rsidR="007148DF" w:rsidRPr="00F04CCD" w:rsidRDefault="007148DF" w:rsidP="00E2216B">
            <w:r w:rsidRPr="002E259A">
              <w:rPr>
                <w:b/>
              </w:rPr>
              <w:t xml:space="preserve">       </w:t>
            </w:r>
            <w:r w:rsidRPr="002E259A">
              <w:t xml:space="preserve">- </w:t>
            </w:r>
            <w:r w:rsidRPr="002E259A">
              <w:rPr>
                <w:b/>
              </w:rPr>
              <w:t>z toho MSP</w:t>
            </w:r>
          </w:p>
        </w:tc>
      </w:tr>
      <w:tr w:rsidR="007148DF" w:rsidRPr="00F04CCD" w:rsidTr="00E2216B">
        <w:tc>
          <w:tcPr>
            <w:tcW w:w="9212" w:type="dxa"/>
          </w:tcPr>
          <w:p w:rsidR="007148DF" w:rsidRPr="002E259A" w:rsidRDefault="007148DF" w:rsidP="00E2216B">
            <w:pPr>
              <w:rPr>
                <w:i/>
              </w:rPr>
            </w:pPr>
            <w:r w:rsidRPr="002E259A">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7148DF" w:rsidRPr="002E259A" w:rsidRDefault="007148DF" w:rsidP="00E2216B">
            <w:pPr>
              <w:rPr>
                <w:i/>
              </w:rPr>
            </w:pPr>
            <w:r w:rsidRPr="002E259A">
              <w:rPr>
                <w:i/>
              </w:rPr>
              <w:t>Aký vplyv bude mať navrhovaná zmena na obchodné bariéry? Bude mať vplyv na vyvolanie cezhraničných investícií (príliv /odliv zahraničných investícií resp. uplatnenie slovenských podnikov na zahraničných trhoch)? Ak áno, popíšte.</w:t>
            </w:r>
          </w:p>
          <w:p w:rsidR="007148DF" w:rsidRPr="002E259A" w:rsidRDefault="007148DF" w:rsidP="00E2216B">
            <w:pPr>
              <w:rPr>
                <w:i/>
              </w:rPr>
            </w:pPr>
            <w:r w:rsidRPr="002E259A">
              <w:rPr>
                <w:i/>
              </w:rPr>
              <w:t>Ako ovplyvní cenu alebo dostupnosť základných zdrojov (suroviny, mechanizmy, pracovná sila, energie atď.)?</w:t>
            </w:r>
          </w:p>
          <w:p w:rsidR="007148DF" w:rsidRPr="002E259A" w:rsidRDefault="007148DF" w:rsidP="00E2216B">
            <w:pPr>
              <w:rPr>
                <w:i/>
              </w:rPr>
            </w:pPr>
            <w:r w:rsidRPr="002E259A">
              <w:rPr>
                <w:i/>
              </w:rPr>
              <w:t>Ovplyvňuje prístup k financiám? Ak áno, ako?</w:t>
            </w:r>
          </w:p>
        </w:tc>
      </w:tr>
      <w:tr w:rsidR="007148DF" w:rsidRPr="00F04CCD" w:rsidTr="00E2216B">
        <w:trPr>
          <w:trHeight w:val="1282"/>
        </w:trPr>
        <w:tc>
          <w:tcPr>
            <w:tcW w:w="9212" w:type="dxa"/>
          </w:tcPr>
          <w:p w:rsidR="007148DF" w:rsidRDefault="007148DF" w:rsidP="00E2216B">
            <w:pPr>
              <w:rPr>
                <w:b/>
                <w:i/>
              </w:rPr>
            </w:pPr>
          </w:p>
          <w:p w:rsidR="007148DF" w:rsidRPr="00B1232C" w:rsidRDefault="007148DF" w:rsidP="00E2216B">
            <w:pPr>
              <w:rPr>
                <w:b/>
                <w:i/>
              </w:rPr>
            </w:pPr>
            <w:r w:rsidRPr="00B1232C">
              <w:rPr>
                <w:b/>
                <w:i/>
              </w:rPr>
              <w:t xml:space="preserve">Nie </w:t>
            </w:r>
          </w:p>
          <w:p w:rsidR="007148DF" w:rsidRPr="002E259A" w:rsidRDefault="007148DF" w:rsidP="00E2216B">
            <w:pPr>
              <w:rPr>
                <w:i/>
              </w:rPr>
            </w:pPr>
          </w:p>
        </w:tc>
      </w:tr>
      <w:tr w:rsidR="007148DF" w:rsidRPr="00F04CCD" w:rsidTr="00E2216B">
        <w:tc>
          <w:tcPr>
            <w:tcW w:w="9212" w:type="dxa"/>
            <w:shd w:val="clear" w:color="auto" w:fill="D9D9D9"/>
          </w:tcPr>
          <w:p w:rsidR="007148DF" w:rsidRPr="002E259A" w:rsidRDefault="007148DF" w:rsidP="00E2216B">
            <w:pPr>
              <w:rPr>
                <w:b/>
              </w:rPr>
            </w:pPr>
            <w:r w:rsidRPr="002E259A">
              <w:rPr>
                <w:b/>
              </w:rPr>
              <w:t xml:space="preserve">3.5 Inovácie </w:t>
            </w:r>
          </w:p>
          <w:p w:rsidR="007148DF" w:rsidRPr="002E259A" w:rsidRDefault="007148DF" w:rsidP="00E2216B">
            <w:pPr>
              <w:rPr>
                <w:b/>
              </w:rPr>
            </w:pPr>
            <w:r w:rsidRPr="002E259A">
              <w:t xml:space="preserve">       - </w:t>
            </w:r>
            <w:r w:rsidRPr="002E259A">
              <w:rPr>
                <w:b/>
              </w:rPr>
              <w:t>z toho MSP</w:t>
            </w:r>
          </w:p>
        </w:tc>
      </w:tr>
      <w:tr w:rsidR="007148DF" w:rsidRPr="00F04CCD" w:rsidTr="00E2216B">
        <w:tc>
          <w:tcPr>
            <w:tcW w:w="9212" w:type="dxa"/>
          </w:tcPr>
          <w:p w:rsidR="007148DF" w:rsidRPr="002E259A" w:rsidRDefault="007148DF" w:rsidP="00E2216B">
            <w:pPr>
              <w:rPr>
                <w:i/>
              </w:rPr>
            </w:pPr>
            <w:r w:rsidRPr="002E259A">
              <w:rPr>
                <w:i/>
              </w:rPr>
              <w:t>Uveďte, ako podporuje navrhovaná zmena inovácie.</w:t>
            </w:r>
          </w:p>
          <w:p w:rsidR="007148DF" w:rsidRPr="002E259A" w:rsidRDefault="007148DF" w:rsidP="00E2216B">
            <w:pPr>
              <w:rPr>
                <w:i/>
              </w:rPr>
            </w:pPr>
            <w:r w:rsidRPr="002E259A">
              <w:rPr>
                <w:i/>
              </w:rPr>
              <w:t>Zjednodušuje uvedenie alebo rozšírenie nových výrobných metód, technológií a výrobkov na trh?</w:t>
            </w:r>
          </w:p>
          <w:p w:rsidR="007148DF" w:rsidRPr="002E259A" w:rsidRDefault="007148DF" w:rsidP="00E2216B">
            <w:pPr>
              <w:rPr>
                <w:i/>
              </w:rPr>
            </w:pPr>
            <w:r w:rsidRPr="002E259A">
              <w:rPr>
                <w:i/>
              </w:rPr>
              <w:t>Uveďte, ako vplýva navrhovaná zmena na jednotlivé práva duševného vlastníctva (napr. patenty, ochranné známky, autorské práva, vlastníctvo know-how).</w:t>
            </w:r>
          </w:p>
          <w:p w:rsidR="007148DF" w:rsidRPr="002E259A" w:rsidRDefault="007148DF" w:rsidP="00E2216B">
            <w:pPr>
              <w:rPr>
                <w:i/>
              </w:rPr>
            </w:pPr>
            <w:r w:rsidRPr="002E259A">
              <w:rPr>
                <w:i/>
              </w:rPr>
              <w:t>Podporuje vyššiu efektivitu výroby/využívania zdrojov? Ak áno, ako?</w:t>
            </w:r>
          </w:p>
          <w:p w:rsidR="007148DF" w:rsidRPr="00F04CCD" w:rsidRDefault="007148DF" w:rsidP="00E2216B">
            <w:r w:rsidRPr="002E259A">
              <w:rPr>
                <w:i/>
              </w:rPr>
              <w:t>Vytvorí zmena nové pracovné miesta pre zamestnancov výskumu a vývoja v SR?</w:t>
            </w:r>
          </w:p>
        </w:tc>
      </w:tr>
      <w:tr w:rsidR="007148DF" w:rsidRPr="00F04CCD" w:rsidTr="00E2216B">
        <w:trPr>
          <w:trHeight w:val="1747"/>
        </w:trPr>
        <w:tc>
          <w:tcPr>
            <w:tcW w:w="9212" w:type="dxa"/>
          </w:tcPr>
          <w:p w:rsidR="007148DF" w:rsidRDefault="007148DF" w:rsidP="00E2216B">
            <w:pPr>
              <w:rPr>
                <w:i/>
              </w:rPr>
            </w:pPr>
          </w:p>
          <w:p w:rsidR="007148DF" w:rsidRDefault="007148DF" w:rsidP="00E2216B">
            <w:r>
              <w:t xml:space="preserve">Základným cieľom NEHAP V. je minimalizovať riziká pochádzajúce z prostredia, ktoré môžu poškodzovať a ohrozovať zdravie ľudí, a to prostredníctvom navrhnutých aktivít jednotlivých rozpracovaných prioritných oblastí.  NEHAP V. predstavuje dôležitý nástroj na posilnenie procesov v prospech zlepšenia environmentálneho zdravia so zapojením relevantných partnerov z rôznych oblastí.  </w:t>
            </w:r>
          </w:p>
          <w:p w:rsidR="007148DF" w:rsidRPr="002E259A" w:rsidRDefault="007148DF" w:rsidP="00E2216B">
            <w:pPr>
              <w:rPr>
                <w:i/>
              </w:rPr>
            </w:pPr>
            <w:r>
              <w:t xml:space="preserve">Výstupom niektorých navrhovaných aktivít môže byť aj pozitívny vplyv na inovácie v podnikateľskom prostredí.  </w:t>
            </w:r>
          </w:p>
        </w:tc>
      </w:tr>
    </w:tbl>
    <w:p w:rsidR="007148DF" w:rsidRPr="00F04CCD"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p w:rsidR="007148DF" w:rsidRDefault="007148DF" w:rsidP="00927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148DF" w:rsidRPr="002E32C0" w:rsidTr="00E2216B">
        <w:trPr>
          <w:trHeight w:val="566"/>
        </w:trPr>
        <w:tc>
          <w:tcPr>
            <w:tcW w:w="9212" w:type="dxa"/>
            <w:shd w:val="clear" w:color="auto" w:fill="D9D9D9"/>
            <w:vAlign w:val="center"/>
          </w:tcPr>
          <w:p w:rsidR="007148DF" w:rsidRPr="002E32C0" w:rsidRDefault="007148DF" w:rsidP="00E2216B">
            <w:pPr>
              <w:jc w:val="center"/>
            </w:pPr>
            <w:r w:rsidRPr="002E32C0">
              <w:rPr>
                <w:b/>
                <w:sz w:val="28"/>
              </w:rPr>
              <w:t>Analýza vplyvov na životné prostredie</w:t>
            </w:r>
          </w:p>
        </w:tc>
      </w:tr>
      <w:tr w:rsidR="007148DF" w:rsidRPr="002E32C0" w:rsidTr="00E2216B">
        <w:trPr>
          <w:trHeight w:val="688"/>
        </w:trPr>
        <w:tc>
          <w:tcPr>
            <w:tcW w:w="9212" w:type="dxa"/>
            <w:shd w:val="clear" w:color="auto" w:fill="D9D9D9"/>
            <w:vAlign w:val="center"/>
          </w:tcPr>
          <w:p w:rsidR="007148DF" w:rsidRPr="002E32C0" w:rsidRDefault="007148DF" w:rsidP="00E2216B">
            <w:pPr>
              <w:rPr>
                <w:i/>
              </w:rPr>
            </w:pPr>
            <w:r w:rsidRPr="002E32C0">
              <w:rPr>
                <w:b/>
              </w:rPr>
              <w:t>5.1 Ktoré zložky životného prostredia (najmä ovzdušie, voda, horniny, pôda, organizmy) budú predkladaným materiálom ovplyvnené a aký bude ich vplyv ?</w:t>
            </w:r>
          </w:p>
        </w:tc>
      </w:tr>
      <w:tr w:rsidR="007148DF" w:rsidRPr="002E32C0" w:rsidTr="00E2216B">
        <w:trPr>
          <w:trHeight w:val="995"/>
        </w:trPr>
        <w:tc>
          <w:tcPr>
            <w:tcW w:w="9212" w:type="dxa"/>
          </w:tcPr>
          <w:p w:rsidR="007148DF" w:rsidRPr="00F204E3" w:rsidRDefault="007148DF" w:rsidP="00E2216B">
            <w:pPr>
              <w:jc w:val="both"/>
              <w:rPr>
                <w:i/>
              </w:rPr>
            </w:pPr>
            <w:r w:rsidRPr="00F204E3">
              <w:rPr>
                <w:i/>
              </w:rPr>
              <w:t xml:space="preserve">NEHAP V. bol vypracovaný za účelom implementácie záverov 6. ministerskej konferencie o životnom prostredí a zdraví konanej v Ostrave v podmienkach Slovenskej republiky. </w:t>
            </w:r>
          </w:p>
          <w:p w:rsidR="007148DF" w:rsidRPr="00F204E3" w:rsidRDefault="007148DF" w:rsidP="00E2216B">
            <w:pPr>
              <w:jc w:val="both"/>
              <w:rPr>
                <w:i/>
              </w:rPr>
            </w:pPr>
            <w:r w:rsidRPr="00F204E3">
              <w:rPr>
                <w:i/>
              </w:rPr>
              <w:t xml:space="preserve">Základným cieľom NEHAP V. je </w:t>
            </w:r>
            <w:r w:rsidRPr="00F204E3">
              <w:rPr>
                <w:i/>
                <w:u w:val="single"/>
              </w:rPr>
              <w:t>minimalizovať riziká pochádzajúce z prostredia</w:t>
            </w:r>
            <w:r w:rsidRPr="00F204E3">
              <w:rPr>
                <w:i/>
              </w:rPr>
              <w:t xml:space="preserve">, ktoré môžu poškodzovať a ohrozovať zdravie ľudí, a to prostredníctvom navrhnutých aktivít jednotlivých rozpracovaných prioritných oblastí.  NEHAP V. predstavuje dôležitý nástroj na posilnenie procesov v prospech zlepšenia environmentálneho zdravia so zapojením relevantných partnerov z rôznych oblastí.  </w:t>
            </w:r>
          </w:p>
          <w:p w:rsidR="007148DF" w:rsidRDefault="007148DF" w:rsidP="00E2216B">
            <w:pPr>
              <w:jc w:val="both"/>
              <w:rPr>
                <w:i/>
              </w:rPr>
            </w:pPr>
            <w:r>
              <w:rPr>
                <w:i/>
              </w:rPr>
              <w:t xml:space="preserve">Z vyššuie uvedeného vyplýva, že implementácia NEHAP V. v jednotlivých rezortoch jednoznačne pozitívne ovplyvní životné prostredie človeka ako aj zložky ŽP ako také. Veľkosť a rozsah vplyvu s ohľadom na charakter navrhovaných aktivít nemožno presne kvantifikovať. </w:t>
            </w:r>
          </w:p>
          <w:p w:rsidR="007148DF" w:rsidRPr="002E32C0" w:rsidRDefault="007148DF" w:rsidP="00E2216B">
            <w:pPr>
              <w:jc w:val="both"/>
              <w:rPr>
                <w:i/>
              </w:rPr>
            </w:pPr>
          </w:p>
        </w:tc>
      </w:tr>
      <w:tr w:rsidR="007148DF" w:rsidRPr="002E32C0" w:rsidTr="00E2216B">
        <w:trPr>
          <w:trHeight w:val="404"/>
        </w:trPr>
        <w:tc>
          <w:tcPr>
            <w:tcW w:w="9212" w:type="dxa"/>
            <w:shd w:val="clear" w:color="auto" w:fill="D9D9D9"/>
            <w:vAlign w:val="center"/>
          </w:tcPr>
          <w:p w:rsidR="007148DF" w:rsidRPr="002E32C0" w:rsidRDefault="007148DF" w:rsidP="00E2216B">
            <w:pPr>
              <w:rPr>
                <w:b/>
              </w:rPr>
            </w:pPr>
            <w:r w:rsidRPr="002E32C0">
              <w:rPr>
                <w:b/>
              </w:rPr>
              <w:t xml:space="preserve">5.2 Bude mať predkladaný materiál vplyv na chránené územia a ak áno, aký? </w:t>
            </w:r>
          </w:p>
        </w:tc>
      </w:tr>
      <w:tr w:rsidR="007148DF" w:rsidRPr="002E32C0" w:rsidTr="00E2216B">
        <w:trPr>
          <w:trHeight w:val="987"/>
        </w:trPr>
        <w:tc>
          <w:tcPr>
            <w:tcW w:w="9212" w:type="dxa"/>
          </w:tcPr>
          <w:p w:rsidR="007148DF" w:rsidRPr="002E32C0" w:rsidRDefault="007148DF" w:rsidP="00E2216B">
            <w:pPr>
              <w:jc w:val="both"/>
              <w:rPr>
                <w:i/>
              </w:rPr>
            </w:pPr>
            <w:r>
              <w:rPr>
                <w:i/>
              </w:rPr>
              <w:t xml:space="preserve">Aktivity navrhované v rámci NEHAP V. nepredpokladajú špecifický vplyv na chránené územia, nepriamo ich ochranu však podporujú v dôsledku minimalizácie rizík pochádzajúcich z prostredia uvedených v predkladanom materiáli. </w:t>
            </w:r>
          </w:p>
        </w:tc>
      </w:tr>
      <w:tr w:rsidR="007148DF" w:rsidRPr="002E32C0" w:rsidTr="00E2216B">
        <w:trPr>
          <w:trHeight w:val="698"/>
        </w:trPr>
        <w:tc>
          <w:tcPr>
            <w:tcW w:w="9212" w:type="dxa"/>
            <w:shd w:val="clear" w:color="auto" w:fill="D9D9D9"/>
            <w:vAlign w:val="center"/>
          </w:tcPr>
          <w:p w:rsidR="007148DF" w:rsidRPr="002E32C0" w:rsidRDefault="007148DF" w:rsidP="00E2216B">
            <w:pPr>
              <w:rPr>
                <w:b/>
              </w:rPr>
            </w:pPr>
            <w:r w:rsidRPr="002E32C0">
              <w:rPr>
                <w:b/>
              </w:rPr>
              <w:t>5.3 Bude mať predkladaný materiál vplyvy na životné prostredie presahujúce štátne hranice? (ktoré zložky a ako budú najviac ovplyvnené)?</w:t>
            </w:r>
          </w:p>
        </w:tc>
      </w:tr>
      <w:tr w:rsidR="007148DF" w:rsidRPr="002E32C0" w:rsidTr="00E2216B">
        <w:trPr>
          <w:trHeight w:val="969"/>
        </w:trPr>
        <w:tc>
          <w:tcPr>
            <w:tcW w:w="9212" w:type="dxa"/>
          </w:tcPr>
          <w:p w:rsidR="007148DF" w:rsidRPr="002E32C0" w:rsidRDefault="007148DF" w:rsidP="00E2216B">
            <w:pPr>
              <w:jc w:val="both"/>
              <w:rPr>
                <w:b/>
              </w:rPr>
            </w:pPr>
            <w:r>
              <w:rPr>
                <w:i/>
              </w:rPr>
              <w:t xml:space="preserve">Aktivity navrhované v rámci NEHAP V. nepredpokladajú vplyvy presahujúce štátne hranice. Výstupy mnohých aktivít v oblasti sledovania vplyvu faktorov ŽP na zdravie môžu pozistívne prispieť k údajovej základni a príkladom dobrej praxe v prospech environmentálneho zdravia, ktoré môžu byť využiteľné aj v iných krajinách. </w:t>
            </w:r>
          </w:p>
        </w:tc>
      </w:tr>
      <w:tr w:rsidR="007148DF" w:rsidRPr="002E32C0" w:rsidTr="00E2216B">
        <w:trPr>
          <w:trHeight w:val="713"/>
        </w:trPr>
        <w:tc>
          <w:tcPr>
            <w:tcW w:w="9212" w:type="dxa"/>
            <w:shd w:val="clear" w:color="auto" w:fill="D9D9D9"/>
            <w:vAlign w:val="center"/>
          </w:tcPr>
          <w:p w:rsidR="007148DF" w:rsidRPr="002E32C0" w:rsidRDefault="007148DF" w:rsidP="00E2216B">
            <w:pPr>
              <w:rPr>
                <w:b/>
              </w:rPr>
            </w:pPr>
            <w:r w:rsidRPr="002E32C0">
              <w:rPr>
                <w:b/>
              </w:rPr>
              <w:t>5.4 Aké opatrenia budú prijaté na zmiernenie negatívneho vplyvu na životné prostredie?</w:t>
            </w:r>
          </w:p>
        </w:tc>
      </w:tr>
      <w:tr w:rsidR="007148DF" w:rsidRPr="002E32C0" w:rsidTr="00E2216B">
        <w:trPr>
          <w:trHeight w:val="979"/>
        </w:trPr>
        <w:tc>
          <w:tcPr>
            <w:tcW w:w="9212" w:type="dxa"/>
            <w:shd w:val="clear" w:color="auto" w:fill="FFFFFF"/>
          </w:tcPr>
          <w:p w:rsidR="007148DF" w:rsidRPr="002E32C0" w:rsidRDefault="007148DF" w:rsidP="00E2216B">
            <w:pPr>
              <w:jc w:val="both"/>
              <w:rPr>
                <w:b/>
              </w:rPr>
            </w:pPr>
            <w:r>
              <w:rPr>
                <w:i/>
              </w:rPr>
              <w:t>Aktivity navrhované v rámci NEHAP V. nepredpokladajú negatívne vplyvy na ŽP, opatrenia na zmiernenie takéhoto vplyvu preto nie sú potrebné.</w:t>
            </w:r>
          </w:p>
        </w:tc>
      </w:tr>
    </w:tbl>
    <w:p w:rsidR="007148DF" w:rsidRPr="002E32C0" w:rsidRDefault="007148DF" w:rsidP="00927626">
      <w:pPr>
        <w:jc w:val="center"/>
        <w:rPr>
          <w:b/>
          <w:bCs/>
          <w:sz w:val="28"/>
          <w:szCs w:val="28"/>
        </w:rPr>
      </w:pPr>
    </w:p>
    <w:p w:rsidR="007148DF" w:rsidRDefault="007148DF" w:rsidP="00927626">
      <w:pPr>
        <w:jc w:val="center"/>
      </w:pPr>
    </w:p>
    <w:p w:rsidR="007148DF" w:rsidRDefault="007148DF" w:rsidP="00927626">
      <w:pPr>
        <w:rPr>
          <w:b/>
        </w:rPr>
      </w:pPr>
    </w:p>
    <w:sectPr w:rsidR="007148DF" w:rsidSect="0074693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DF" w:rsidRDefault="007148DF">
      <w:r>
        <w:separator/>
      </w:r>
    </w:p>
  </w:endnote>
  <w:endnote w:type="continuationSeparator" w:id="0">
    <w:p w:rsidR="007148DF" w:rsidRDefault="00714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F" w:rsidRDefault="00714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148DF" w:rsidRDefault="007148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F" w:rsidRDefault="007148DF">
    <w:pPr>
      <w:pStyle w:val="Footer"/>
      <w:jc w:val="right"/>
    </w:pPr>
    <w:fldSimple w:instr="PAGE   \* MERGEFORMAT">
      <w:r>
        <w:rPr>
          <w:noProof/>
        </w:rPr>
        <w:t>8</w:t>
      </w:r>
    </w:fldSimple>
  </w:p>
  <w:p w:rsidR="007148DF" w:rsidRDefault="007148D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F" w:rsidRDefault="007148DF">
    <w:pPr>
      <w:pStyle w:val="Footer"/>
      <w:jc w:val="right"/>
    </w:pPr>
    <w:fldSimple w:instr="PAGE   \* MERGEFORMAT">
      <w:r>
        <w:rPr>
          <w:noProof/>
        </w:rPr>
        <w:t>0</w:t>
      </w:r>
    </w:fldSimple>
  </w:p>
  <w:p w:rsidR="007148DF" w:rsidRDefault="007148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F" w:rsidRDefault="007148DF">
    <w:pPr>
      <w:pStyle w:val="Footer"/>
      <w:jc w:val="right"/>
    </w:pPr>
    <w:fldSimple w:instr="PAGE   \* MERGEFORMAT">
      <w:r>
        <w:rPr>
          <w:noProof/>
        </w:rPr>
        <w:t>12</w:t>
      </w:r>
    </w:fldSimple>
  </w:p>
  <w:p w:rsidR="007148DF" w:rsidRDefault="00714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DF" w:rsidRDefault="007148DF">
      <w:r>
        <w:separator/>
      </w:r>
    </w:p>
  </w:footnote>
  <w:footnote w:type="continuationSeparator" w:id="0">
    <w:p w:rsidR="007148DF" w:rsidRDefault="00714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F" w:rsidRDefault="007148DF" w:rsidP="00EB59C8">
    <w:pPr>
      <w:pStyle w:val="Header"/>
      <w:jc w:val="right"/>
    </w:pPr>
    <w:r>
      <w:t>Príloha č. 2</w:t>
    </w:r>
  </w:p>
  <w:p w:rsidR="007148DF" w:rsidRPr="00EB59C8" w:rsidRDefault="007148DF" w:rsidP="00EB59C8">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F" w:rsidRPr="000A15AE" w:rsidRDefault="007148DF" w:rsidP="000A15AE">
    <w:pPr>
      <w:pStyle w:val="Header"/>
      <w:jc w:val="right"/>
    </w:pPr>
    <w:r>
      <w:t>Príloha č.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F" w:rsidRDefault="007148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2">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16B66859"/>
    <w:multiLevelType w:val="hybridMultilevel"/>
    <w:tmpl w:val="F4145C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8">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nsid w:val="3B2702CF"/>
    <w:multiLevelType w:val="hybridMultilevel"/>
    <w:tmpl w:val="B87C199E"/>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nsid w:val="5CCE19A5"/>
    <w:multiLevelType w:val="hybridMultilevel"/>
    <w:tmpl w:val="E66AFDB2"/>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E680BAD"/>
    <w:multiLevelType w:val="hybridMultilevel"/>
    <w:tmpl w:val="41D4CC1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68833080"/>
    <w:multiLevelType w:val="hybridMultilevel"/>
    <w:tmpl w:val="E85A8616"/>
    <w:lvl w:ilvl="0" w:tplc="328A388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4"/>
  </w:num>
  <w:num w:numId="2">
    <w:abstractNumId w:val="9"/>
  </w:num>
  <w:num w:numId="3">
    <w:abstractNumId w:val="2"/>
  </w:num>
  <w:num w:numId="4">
    <w:abstractNumId w:val="14"/>
  </w:num>
  <w:num w:numId="5">
    <w:abstractNumId w:val="11"/>
  </w:num>
  <w:num w:numId="6">
    <w:abstractNumId w:val="16"/>
  </w:num>
  <w:num w:numId="7">
    <w:abstractNumId w:val="15"/>
  </w:num>
  <w:num w:numId="8">
    <w:abstractNumId w:val="3"/>
  </w:num>
  <w:num w:numId="9">
    <w:abstractNumId w:val="12"/>
  </w:num>
  <w:num w:numId="10">
    <w:abstractNumId w:val="18"/>
  </w:num>
  <w:num w:numId="11">
    <w:abstractNumId w:val="8"/>
  </w:num>
  <w:num w:numId="12">
    <w:abstractNumId w:val="0"/>
  </w:num>
  <w:num w:numId="13">
    <w:abstractNumId w:val="20"/>
  </w:num>
  <w:num w:numId="14">
    <w:abstractNumId w:val="13"/>
  </w:num>
  <w:num w:numId="15">
    <w:abstractNumId w:val="10"/>
  </w:num>
  <w:num w:numId="16">
    <w:abstractNumId w:val="7"/>
  </w:num>
  <w:num w:numId="17">
    <w:abstractNumId w:val="19"/>
  </w:num>
  <w:num w:numId="18">
    <w:abstractNumId w:val="5"/>
  </w:num>
  <w:num w:numId="19">
    <w:abstractNumId w:val="6"/>
  </w:num>
  <w:num w:numId="20">
    <w:abstractNumId w:val="1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47918"/>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A15AE"/>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2894"/>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231"/>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259A"/>
    <w:rsid w:val="002E32C0"/>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B768B"/>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3E26"/>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87659"/>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A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48DF"/>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4693A"/>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0742"/>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2300"/>
    <w:rsid w:val="007C357A"/>
    <w:rsid w:val="007C4FB8"/>
    <w:rsid w:val="007C68C8"/>
    <w:rsid w:val="007D1B49"/>
    <w:rsid w:val="007D32C0"/>
    <w:rsid w:val="007D3352"/>
    <w:rsid w:val="007D5748"/>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39D"/>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27626"/>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B78B7"/>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480"/>
    <w:rsid w:val="00AF5784"/>
    <w:rsid w:val="00AF7427"/>
    <w:rsid w:val="00AF7728"/>
    <w:rsid w:val="00B02E5A"/>
    <w:rsid w:val="00B04B7F"/>
    <w:rsid w:val="00B077DE"/>
    <w:rsid w:val="00B101F0"/>
    <w:rsid w:val="00B1052E"/>
    <w:rsid w:val="00B1100D"/>
    <w:rsid w:val="00B1232C"/>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216B"/>
    <w:rsid w:val="00E240A1"/>
    <w:rsid w:val="00E26472"/>
    <w:rsid w:val="00E3062D"/>
    <w:rsid w:val="00E31FD8"/>
    <w:rsid w:val="00E3631E"/>
    <w:rsid w:val="00E363AC"/>
    <w:rsid w:val="00E36A11"/>
    <w:rsid w:val="00E40EB6"/>
    <w:rsid w:val="00E42B82"/>
    <w:rsid w:val="00E42E94"/>
    <w:rsid w:val="00E50454"/>
    <w:rsid w:val="00E50907"/>
    <w:rsid w:val="00E54694"/>
    <w:rsid w:val="00E579E7"/>
    <w:rsid w:val="00E64414"/>
    <w:rsid w:val="00E76FA3"/>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9C8"/>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4CCD"/>
    <w:rsid w:val="00F07440"/>
    <w:rsid w:val="00F074BE"/>
    <w:rsid w:val="00F074E3"/>
    <w:rsid w:val="00F07E76"/>
    <w:rsid w:val="00F12BFD"/>
    <w:rsid w:val="00F13A83"/>
    <w:rsid w:val="00F1651E"/>
    <w:rsid w:val="00F204E3"/>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B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A28BA"/>
    <w:pPr>
      <w:spacing w:after="120"/>
    </w:pPr>
  </w:style>
  <w:style w:type="character" w:customStyle="1" w:styleId="BodyTextChar">
    <w:name w:val="Body Text Char"/>
    <w:basedOn w:val="DefaultParagraphFont"/>
    <w:link w:val="BodyText"/>
    <w:uiPriority w:val="99"/>
    <w:semiHidden/>
    <w:locked/>
    <w:rsid w:val="004B768B"/>
    <w:rPr>
      <w:rFonts w:cs="Times New Roman"/>
      <w:sz w:val="24"/>
      <w:szCs w:val="24"/>
    </w:rPr>
  </w:style>
  <w:style w:type="paragraph" w:styleId="BodyText2">
    <w:name w:val="Body Text 2"/>
    <w:basedOn w:val="Normal"/>
    <w:link w:val="BodyText2Char"/>
    <w:uiPriority w:val="99"/>
    <w:rsid w:val="00EA28BA"/>
    <w:pPr>
      <w:spacing w:after="120" w:line="480" w:lineRule="auto"/>
    </w:pPr>
  </w:style>
  <w:style w:type="character" w:customStyle="1" w:styleId="BodyText2Char">
    <w:name w:val="Body Text 2 Char"/>
    <w:basedOn w:val="DefaultParagraphFont"/>
    <w:link w:val="BodyText2"/>
    <w:uiPriority w:val="99"/>
    <w:semiHidden/>
    <w:locked/>
    <w:rsid w:val="004B768B"/>
    <w:rPr>
      <w:rFonts w:cs="Times New Roman"/>
      <w:sz w:val="24"/>
      <w:szCs w:val="24"/>
    </w:rPr>
  </w:style>
  <w:style w:type="paragraph" w:styleId="Header">
    <w:name w:val="header"/>
    <w:basedOn w:val="Normal"/>
    <w:link w:val="HeaderChar"/>
    <w:uiPriority w:val="99"/>
    <w:rsid w:val="00EA28BA"/>
    <w:pPr>
      <w:tabs>
        <w:tab w:val="center" w:pos="4536"/>
        <w:tab w:val="right" w:pos="9072"/>
      </w:tabs>
    </w:pPr>
  </w:style>
  <w:style w:type="character" w:customStyle="1" w:styleId="HeaderChar">
    <w:name w:val="Header Char"/>
    <w:basedOn w:val="DefaultParagraphFont"/>
    <w:link w:val="Header"/>
    <w:uiPriority w:val="99"/>
    <w:semiHidden/>
    <w:locked/>
    <w:rsid w:val="004B768B"/>
    <w:rPr>
      <w:rFonts w:cs="Times New Roman"/>
      <w:sz w:val="24"/>
      <w:szCs w:val="24"/>
    </w:rPr>
  </w:style>
  <w:style w:type="paragraph" w:styleId="Footer">
    <w:name w:val="footer"/>
    <w:basedOn w:val="Normal"/>
    <w:link w:val="FooterChar"/>
    <w:uiPriority w:val="99"/>
    <w:rsid w:val="00EA28BA"/>
    <w:pPr>
      <w:tabs>
        <w:tab w:val="center" w:pos="4536"/>
        <w:tab w:val="right" w:pos="9072"/>
      </w:tabs>
    </w:pPr>
  </w:style>
  <w:style w:type="character" w:customStyle="1" w:styleId="FooterChar">
    <w:name w:val="Footer Char"/>
    <w:basedOn w:val="DefaultParagraphFont"/>
    <w:link w:val="Footer"/>
    <w:uiPriority w:val="99"/>
    <w:semiHidden/>
    <w:locked/>
    <w:rsid w:val="004B768B"/>
    <w:rPr>
      <w:rFonts w:cs="Times New Roman"/>
      <w:sz w:val="24"/>
      <w:szCs w:val="24"/>
    </w:rPr>
  </w:style>
  <w:style w:type="paragraph" w:styleId="NormalWeb">
    <w:name w:val="Normal (Web)"/>
    <w:basedOn w:val="Normal"/>
    <w:uiPriority w:val="99"/>
    <w:rsid w:val="004A6A2B"/>
    <w:pPr>
      <w:spacing w:before="100" w:beforeAutospacing="1" w:after="100" w:afterAutospacing="1"/>
    </w:pPr>
  </w:style>
  <w:style w:type="paragraph" w:styleId="FootnoteText">
    <w:name w:val="footnote text"/>
    <w:basedOn w:val="Normal"/>
    <w:link w:val="FootnoteTextChar"/>
    <w:uiPriority w:val="99"/>
    <w:semiHidden/>
    <w:rsid w:val="00543B8E"/>
    <w:rPr>
      <w:sz w:val="20"/>
      <w:szCs w:val="20"/>
    </w:rPr>
  </w:style>
  <w:style w:type="character" w:customStyle="1" w:styleId="FootnoteTextChar">
    <w:name w:val="Footnote Text Char"/>
    <w:basedOn w:val="DefaultParagraphFont"/>
    <w:link w:val="FootnoteText"/>
    <w:uiPriority w:val="99"/>
    <w:semiHidden/>
    <w:locked/>
    <w:rsid w:val="00543B8E"/>
    <w:rPr>
      <w:rFonts w:cs="Times New Roman"/>
      <w:sz w:val="20"/>
      <w:szCs w:val="20"/>
    </w:rPr>
  </w:style>
  <w:style w:type="character" w:styleId="PageNumber">
    <w:name w:val="page number"/>
    <w:basedOn w:val="DefaultParagraphFont"/>
    <w:uiPriority w:val="99"/>
    <w:rsid w:val="00927626"/>
    <w:rPr>
      <w:rFonts w:cs="Times New Roman"/>
    </w:rPr>
  </w:style>
  <w:style w:type="paragraph" w:styleId="ListParagraph">
    <w:name w:val="List Paragraph"/>
    <w:basedOn w:val="Normal"/>
    <w:uiPriority w:val="99"/>
    <w:qFormat/>
    <w:rsid w:val="00927626"/>
    <w:pPr>
      <w:spacing w:after="200" w:line="276" w:lineRule="auto"/>
      <w:ind w:left="720"/>
      <w:contextualSpacing/>
    </w:pPr>
    <w:rPr>
      <w:rFonts w:ascii="Calibri" w:hAnsi="Calibri"/>
      <w:sz w:val="22"/>
      <w:szCs w:val="22"/>
      <w:lang w:eastAsia="en-US"/>
    </w:rPr>
  </w:style>
  <w:style w:type="paragraph" w:customStyle="1" w:styleId="BodyText1">
    <w:name w:val="Body Text1"/>
    <w:uiPriority w:val="99"/>
    <w:rsid w:val="00927626"/>
    <w:pPr>
      <w:spacing w:after="120"/>
    </w:pPr>
    <w:rPr>
      <w:rFonts w:ascii="Arial" w:hAnsi="Arial"/>
      <w:color w:val="000000"/>
      <w:sz w:val="19"/>
      <w:szCs w:val="48"/>
      <w:lang w:eastAsia="en-US"/>
    </w:rPr>
  </w:style>
  <w:style w:type="paragraph" w:customStyle="1" w:styleId="Deloittebodytext">
    <w:name w:val="Deloitte body text"/>
    <w:uiPriority w:val="99"/>
    <w:rsid w:val="00927626"/>
    <w:pPr>
      <w:spacing w:after="240" w:line="280" w:lineRule="exact"/>
      <w:jc w:val="both"/>
    </w:pPr>
    <w:rPr>
      <w:rFonts w:ascii="Arial" w:hAnsi="Arial"/>
      <w:color w:val="000000"/>
      <w:szCs w:val="48"/>
      <w:lang w:eastAsia="en-US"/>
    </w:rPr>
  </w:style>
  <w:style w:type="paragraph" w:customStyle="1" w:styleId="TableColumnheader">
    <w:name w:val="Table Column header"/>
    <w:basedOn w:val="Normal"/>
    <w:uiPriority w:val="99"/>
    <w:rsid w:val="00927626"/>
    <w:pPr>
      <w:spacing w:before="80" w:after="80"/>
    </w:pPr>
    <w:rPr>
      <w:rFonts w:ascii="Arial" w:hAnsi="Arial"/>
      <w:b/>
      <w:noProof/>
      <w:color w:val="FFFFFF"/>
      <w:sz w:val="18"/>
      <w:lang w:val="en-US" w:eastAsia="en-US"/>
    </w:rPr>
  </w:style>
</w:styles>
</file>

<file path=word/webSettings.xml><?xml version="1.0" encoding="utf-8"?>
<w:webSettings xmlns:r="http://schemas.openxmlformats.org/officeDocument/2006/relationships" xmlns:w="http://schemas.openxmlformats.org/wordprocessingml/2006/main">
  <w:divs>
    <w:div w:id="580262459">
      <w:marLeft w:val="0"/>
      <w:marRight w:val="0"/>
      <w:marTop w:val="0"/>
      <w:marBottom w:val="0"/>
      <w:divBdr>
        <w:top w:val="none" w:sz="0" w:space="0" w:color="auto"/>
        <w:left w:val="none" w:sz="0" w:space="0" w:color="auto"/>
        <w:bottom w:val="none" w:sz="0" w:space="0" w:color="auto"/>
        <w:right w:val="none" w:sz="0" w:space="0" w:color="auto"/>
      </w:divBdr>
    </w:div>
    <w:div w:id="580262460">
      <w:marLeft w:val="0"/>
      <w:marRight w:val="0"/>
      <w:marTop w:val="0"/>
      <w:marBottom w:val="0"/>
      <w:divBdr>
        <w:top w:val="none" w:sz="0" w:space="0" w:color="auto"/>
        <w:left w:val="none" w:sz="0" w:space="0" w:color="auto"/>
        <w:bottom w:val="none" w:sz="0" w:space="0" w:color="auto"/>
        <w:right w:val="none" w:sz="0" w:space="0" w:color="auto"/>
      </w:divBdr>
    </w:div>
    <w:div w:id="580262461">
      <w:marLeft w:val="0"/>
      <w:marRight w:val="0"/>
      <w:marTop w:val="0"/>
      <w:marBottom w:val="0"/>
      <w:divBdr>
        <w:top w:val="none" w:sz="0" w:space="0" w:color="auto"/>
        <w:left w:val="none" w:sz="0" w:space="0" w:color="auto"/>
        <w:bottom w:val="none" w:sz="0" w:space="0" w:color="auto"/>
        <w:right w:val="none" w:sz="0" w:space="0" w:color="auto"/>
      </w:divBdr>
    </w:div>
    <w:div w:id="580262462">
      <w:marLeft w:val="0"/>
      <w:marRight w:val="0"/>
      <w:marTop w:val="0"/>
      <w:marBottom w:val="0"/>
      <w:divBdr>
        <w:top w:val="none" w:sz="0" w:space="0" w:color="auto"/>
        <w:left w:val="none" w:sz="0" w:space="0" w:color="auto"/>
        <w:bottom w:val="none" w:sz="0" w:space="0" w:color="auto"/>
        <w:right w:val="none" w:sz="0" w:space="0" w:color="auto"/>
      </w:divBdr>
      <w:divsChild>
        <w:div w:id="580262463">
          <w:marLeft w:val="0"/>
          <w:marRight w:val="0"/>
          <w:marTop w:val="0"/>
          <w:marBottom w:val="0"/>
          <w:divBdr>
            <w:top w:val="none" w:sz="0" w:space="0" w:color="auto"/>
            <w:left w:val="none" w:sz="0" w:space="0" w:color="auto"/>
            <w:bottom w:val="none" w:sz="0" w:space="0" w:color="auto"/>
            <w:right w:val="none" w:sz="0" w:space="0" w:color="auto"/>
          </w:divBdr>
        </w:div>
      </w:divsChild>
    </w:div>
    <w:div w:id="580262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Pages>
  <Words>2877</Words>
  <Characters>16404</Characters>
  <Application>Microsoft Office Outlook</Application>
  <DocSecurity>0</DocSecurity>
  <Lines>0</Lines>
  <Paragraphs>0</Paragraphs>
  <ScaleCrop>false</ScaleCrop>
  <Company>UVSR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subject/>
  <dc:creator>grosjarova</dc:creator>
  <cp:keywords/>
  <dc:description/>
  <cp:lastModifiedBy>Michal Jajcaj</cp:lastModifiedBy>
  <cp:revision>5</cp:revision>
  <dcterms:created xsi:type="dcterms:W3CDTF">2018-11-16T09:52:00Z</dcterms:created>
  <dcterms:modified xsi:type="dcterms:W3CDTF">2018-12-04T14:24:00Z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Nelegislatívny všeobecný materiál</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Nelegislatívna oblasť</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Tomas Kudela</vt:lpwstr>
  </property>
  <property fmtid="{D5CDD505-2E9C-101B-9397-08002B2CF9AE}" pid="9" name="FSC#SKEDITIONSLOVLEX@103.510:zodppredkladatel">
    <vt:lpwstr>doc. MUDr. Andrea Kalavská</vt:lpwstr>
  </property>
  <property fmtid="{D5CDD505-2E9C-101B-9397-08002B2CF9AE}" pid="10" name="FSC#SKEDITIONSLOVLEX@103.510:nazovpredpis">
    <vt:lpwstr> Akčný plán pre životné prostredie a zdravie obyvateľov Slovenskej republiky V. (NEHAP V.) </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práce vlády SR na rok 2018, ktorý bol schválený uznesením vlády SR č. 30 z 24. januára 2018</vt:lpwstr>
  </property>
  <property fmtid="{D5CDD505-2E9C-101B-9397-08002B2CF9AE}" pid="16" name="FSC#SKEDITIONSLOVLEX@103.510:plnynazovpredpis">
    <vt:lpwstr> Akčný plán pre životné prostredie a zdravie obyvateľov Slovenskej republiky V. (NEHAP V.) </vt:lpwstr>
  </property>
  <property fmtid="{D5CDD505-2E9C-101B-9397-08002B2CF9AE}" pid="17" name="FSC#SKEDITIONSLOVLEX@103.510:rezortcislopredpis">
    <vt:lpwstr>Z058132-2018</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LP/2018/843</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Predkladaný materiál je nelegislatívnym rámcovým akčným plánom. Jeho schválenie nemá vplyv na rozpočet verejnej správy, podnikateľské prostredie, priame sociálne vplyvy, ani vplyvy na životné prostredie, informatizáciu a služby verejnej správy pre občana.</vt:lpwstr>
  </property>
  <property fmtid="{D5CDD505-2E9C-101B-9397-08002B2CF9AE}" pid="56" name="FSC#SKEDITIONSLOVLEX@103.510:AttrStrListDocPropAltRiesenia">
    <vt:lpwstr>Bez alternatívnych riešení</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ministerka zdravotníctvapodpredseda vlády  a minister životného prostredia podpredsedníčka vlády  a ministerka pôdohospodárstva a rozvoja vidieka minister dopravy a výstavby minister hospodárstva ministerka školstva, vedy, výskumu a športu </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align="center"&gt;&amp;nbsp;&lt;/p&gt;&lt;p align="center"&gt;na rokovanie vlády SR k&amp;nbsp;návrhu Akčného plánu pre životné prostredie a&amp;nbsp;zdravie obyvateľov&amp;nbsp;Slovenskej republiky (NEHAP V.)&lt;/p&gt;&lt;p&gt;Akčný plán pre životné prostredie a&amp;nbsp;zdravie obyvateľov Slovens</vt:lpwstr>
  </property>
  <property fmtid="{D5CDD505-2E9C-101B-9397-08002B2CF9AE}" pid="130" name="FSC#COOSYSTEM@1.1:Container">
    <vt:lpwstr>COO.2145.1000.3.3055128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zdravotníctva</vt:lpwstr>
  </property>
  <property fmtid="{D5CDD505-2E9C-101B-9397-08002B2CF9AE}" pid="145" name="FSC#SKEDITIONSLOVLEX@103.510:funkciaZodpPredAkuzativ">
    <vt:lpwstr>Ministerky zdravotníctva</vt:lpwstr>
  </property>
  <property fmtid="{D5CDD505-2E9C-101B-9397-08002B2CF9AE}" pid="146" name="FSC#SKEDITIONSLOVLEX@103.510:funkciaZodpPredDativ">
    <vt:lpwstr>Ministerke zdravotníctva</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doc. MUDr. Andrea KalavskáMinisterka zdravotníctva</vt:lpwstr>
  </property>
  <property fmtid="{D5CDD505-2E9C-101B-9397-08002B2CF9AE}" pid="151" name="FSC#SKEDITIONSLOVLEX@103.510:aktualnyrok">
    <vt:lpwstr>2018</vt:lpwstr>
  </property>
  <property fmtid="{D5CDD505-2E9C-101B-9397-08002B2CF9AE}" pid="152" name="FSC#SKEDITIONSLOVLEX@103.510:vytvorenedna">
    <vt:lpwstr>16. 11. 2018</vt:lpwstr>
  </property>
</Properties>
</file>