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A3055" w14:textId="1A83266F" w:rsidR="00260307" w:rsidRPr="00985ECE" w:rsidRDefault="00977AAF" w:rsidP="00985ECE">
      <w:pPr>
        <w:jc w:val="center"/>
        <w:rPr>
          <w:rFonts w:eastAsia="Arial Unicode MS"/>
          <w:b/>
          <w:bCs/>
          <w:color w:val="000000"/>
          <w:spacing w:val="30"/>
        </w:rPr>
      </w:pPr>
      <w:r>
        <w:rPr>
          <w:rFonts w:eastAsia="Arial Unicode MS"/>
          <w:b/>
          <w:bCs/>
        </w:rPr>
        <w:t>P</w:t>
      </w:r>
      <w:r w:rsidR="00260307" w:rsidRPr="00985ECE">
        <w:rPr>
          <w:rFonts w:eastAsia="Arial Unicode MS"/>
          <w:b/>
          <w:bCs/>
        </w:rPr>
        <w:t>redkladacia správa</w:t>
      </w:r>
    </w:p>
    <w:p w14:paraId="2F7D0658" w14:textId="77777777" w:rsidR="00260307" w:rsidRPr="007E598A" w:rsidRDefault="00260307" w:rsidP="00260307">
      <w:pPr>
        <w:spacing w:line="312" w:lineRule="atLeast"/>
        <w:jc w:val="center"/>
        <w:rPr>
          <w:rFonts w:eastAsia="Arial Unicode MS"/>
        </w:rPr>
      </w:pPr>
    </w:p>
    <w:p w14:paraId="6A693329" w14:textId="77777777" w:rsidR="00260307" w:rsidRPr="007E598A" w:rsidRDefault="00260307" w:rsidP="00260307">
      <w:pPr>
        <w:spacing w:line="312" w:lineRule="atLeast"/>
        <w:jc w:val="center"/>
        <w:rPr>
          <w:rFonts w:eastAsia="Arial Unicode MS"/>
        </w:rPr>
      </w:pPr>
    </w:p>
    <w:p w14:paraId="6A6754A2" w14:textId="7D96CC19" w:rsidR="000F05C1" w:rsidRPr="002B6C23" w:rsidRDefault="00AF58FF" w:rsidP="000F05C1">
      <w:pPr>
        <w:spacing w:after="120"/>
        <w:ind w:firstLine="567"/>
        <w:jc w:val="both"/>
        <w:rPr>
          <w:rFonts w:eastAsia="Arial Unicode MS"/>
        </w:rPr>
      </w:pPr>
      <w:r w:rsidRPr="00AF58FF">
        <w:rPr>
          <w:rFonts w:eastAsia="Arial Unicode MS"/>
          <w:bCs/>
        </w:rPr>
        <w:t xml:space="preserve">Ministerstvo hospodárstva SR predkladá na rokovanie </w:t>
      </w:r>
      <w:r w:rsidR="00B318DE">
        <w:rPr>
          <w:rFonts w:eastAsia="Arial Unicode MS"/>
          <w:bCs/>
        </w:rPr>
        <w:t xml:space="preserve">Hospodárskej a sociálnej rady </w:t>
      </w:r>
      <w:r w:rsidRPr="00AF58FF">
        <w:rPr>
          <w:rFonts w:eastAsia="Arial Unicode MS"/>
          <w:bCs/>
        </w:rPr>
        <w:t>S</w:t>
      </w:r>
      <w:r w:rsidR="00941998">
        <w:rPr>
          <w:rFonts w:eastAsia="Arial Unicode MS"/>
          <w:bCs/>
        </w:rPr>
        <w:t>lovenskej republiky</w:t>
      </w:r>
      <w:r w:rsidRPr="00AF58FF">
        <w:rPr>
          <w:rFonts w:eastAsia="Arial Unicode MS"/>
          <w:bCs/>
        </w:rPr>
        <w:t xml:space="preserve"> </w:t>
      </w:r>
      <w:r w:rsidR="000F05C1" w:rsidRPr="002B6C23">
        <w:rPr>
          <w:rFonts w:eastAsia="Arial Unicode MS"/>
          <w:bCs/>
        </w:rPr>
        <w:t>„</w:t>
      </w:r>
      <w:r w:rsidR="000F05C1" w:rsidRPr="002B6C23">
        <w:rPr>
          <w:rFonts w:eastAsia="Arial Unicode MS"/>
          <w:i/>
        </w:rPr>
        <w:t>Návrh Akčného plánu rozvoja elektromobility v Slovenskej republike</w:t>
      </w:r>
      <w:r w:rsidR="000F05C1" w:rsidRPr="002B6C23">
        <w:rPr>
          <w:rFonts w:eastAsia="Arial Unicode MS"/>
        </w:rPr>
        <w:t>“</w:t>
      </w:r>
      <w:r w:rsidR="000F05C1" w:rsidRPr="002B6C23">
        <w:rPr>
          <w:rFonts w:eastAsia="Arial Unicode MS"/>
          <w:bCs/>
        </w:rPr>
        <w:t xml:space="preserve"> ako iniciatívny materiál.</w:t>
      </w:r>
    </w:p>
    <w:p w14:paraId="1926C703" w14:textId="2DA9AAC3" w:rsidR="000F05C1" w:rsidRPr="002B6C23" w:rsidRDefault="000F05C1" w:rsidP="00B974E5">
      <w:pPr>
        <w:ind w:firstLine="567"/>
        <w:jc w:val="both"/>
        <w:rPr>
          <w:rFonts w:eastAsia="Calibri"/>
        </w:rPr>
      </w:pPr>
      <w:r w:rsidRPr="002B6C23">
        <w:rPr>
          <w:rFonts w:eastAsia="Calibri"/>
        </w:rPr>
        <w:t>Cieľom materiálu je</w:t>
      </w:r>
      <w:r w:rsidR="00A43A97">
        <w:rPr>
          <w:rFonts w:eastAsia="Calibri"/>
        </w:rPr>
        <w:t xml:space="preserve"> prostredníctvom navrhnutých opatrení zabezpečiť</w:t>
      </w:r>
      <w:r w:rsidR="00012083">
        <w:rPr>
          <w:rFonts w:eastAsia="Calibri"/>
        </w:rPr>
        <w:t>,</w:t>
      </w:r>
      <w:r w:rsidRPr="002B6C23">
        <w:rPr>
          <w:rFonts w:eastAsia="Calibri"/>
        </w:rPr>
        <w:t xml:space="preserve"> aby spotrebitelia vnímali </w:t>
      </w:r>
      <w:proofErr w:type="spellStart"/>
      <w:r w:rsidRPr="002B6C23">
        <w:rPr>
          <w:rFonts w:eastAsia="Calibri"/>
        </w:rPr>
        <w:t>nízkoemisnú</w:t>
      </w:r>
      <w:proofErr w:type="spellEnd"/>
      <w:r w:rsidRPr="002B6C23">
        <w:rPr>
          <w:rFonts w:eastAsia="Calibri"/>
        </w:rPr>
        <w:t xml:space="preserve"> mobilitu ako bezproblémovú, a to s aspektom zrýchlenia zavádzania príslušnej infraštruktúry. Opatrenia reflektujú na ciele vyplývajúce z nasledovných strategických dokumentov, vypracovaných Ministerstvom hospodárstva SR (ďalej </w:t>
      </w:r>
      <w:r w:rsidR="00441D5F">
        <w:rPr>
          <w:rFonts w:eastAsia="Calibri"/>
        </w:rPr>
        <w:br/>
      </w:r>
      <w:r w:rsidRPr="002B6C23">
        <w:rPr>
          <w:rFonts w:eastAsia="Calibri"/>
        </w:rPr>
        <w:t>len „MH</w:t>
      </w:r>
      <w:r w:rsidR="00441D5F">
        <w:rPr>
          <w:rFonts w:eastAsia="Calibri"/>
        </w:rPr>
        <w:t> </w:t>
      </w:r>
      <w:r w:rsidRPr="002B6C23">
        <w:rPr>
          <w:rFonts w:eastAsia="Calibri"/>
        </w:rPr>
        <w:t xml:space="preserve"> SR“):  </w:t>
      </w:r>
    </w:p>
    <w:p w14:paraId="7FAD70BD" w14:textId="16864A35" w:rsidR="000F05C1" w:rsidRPr="00B52CC2" w:rsidRDefault="00B52CC2" w:rsidP="000F05C1">
      <w:pPr>
        <w:numPr>
          <w:ilvl w:val="0"/>
          <w:numId w:val="17"/>
        </w:numPr>
        <w:jc w:val="both"/>
        <w:rPr>
          <w:rFonts w:eastAsia="Calibri"/>
          <w:i/>
        </w:rPr>
      </w:pPr>
      <w:r>
        <w:rPr>
          <w:rFonts w:eastAsia="Calibri"/>
        </w:rPr>
        <w:t>„</w:t>
      </w:r>
      <w:r w:rsidR="000F05C1" w:rsidRPr="00B52CC2">
        <w:rPr>
          <w:rFonts w:eastAsia="Calibri"/>
          <w:i/>
        </w:rPr>
        <w:t>Stratégia rozvoja elektromobility v Slovenskej republike a jej vplyv na národné hospodárstvo Slovenskej republiky</w:t>
      </w:r>
      <w:r w:rsidRPr="00B52CC2">
        <w:rPr>
          <w:rFonts w:eastAsia="Calibri"/>
          <w:i/>
        </w:rPr>
        <w:t>“</w:t>
      </w:r>
      <w:r w:rsidR="000F05C1" w:rsidRPr="00B52CC2">
        <w:rPr>
          <w:rFonts w:eastAsia="Calibri"/>
          <w:i/>
        </w:rPr>
        <w:t>;</w:t>
      </w:r>
    </w:p>
    <w:p w14:paraId="3BCAFAC5" w14:textId="4A6CA357" w:rsidR="000F05C1" w:rsidRPr="002B6C23" w:rsidRDefault="00B52CC2" w:rsidP="000F05C1">
      <w:pPr>
        <w:numPr>
          <w:ilvl w:val="0"/>
          <w:numId w:val="17"/>
        </w:numPr>
        <w:jc w:val="both"/>
        <w:rPr>
          <w:rFonts w:eastAsia="Calibri"/>
        </w:rPr>
      </w:pPr>
      <w:r w:rsidRPr="00B52CC2">
        <w:rPr>
          <w:rFonts w:eastAsia="Calibri"/>
          <w:i/>
        </w:rPr>
        <w:t>„</w:t>
      </w:r>
      <w:r w:rsidR="000F05C1" w:rsidRPr="00B52CC2">
        <w:rPr>
          <w:rFonts w:eastAsia="Calibri"/>
          <w:i/>
        </w:rPr>
        <w:t>Národný politický rámec pre rozvoj trhu s alternatívnymi palivami</w:t>
      </w:r>
      <w:r>
        <w:rPr>
          <w:rFonts w:eastAsia="Calibri"/>
        </w:rPr>
        <w:t>“</w:t>
      </w:r>
      <w:r w:rsidR="000F05C1" w:rsidRPr="002B6C23">
        <w:rPr>
          <w:rFonts w:eastAsia="Calibri"/>
        </w:rPr>
        <w:t>.</w:t>
      </w:r>
    </w:p>
    <w:p w14:paraId="750337FF" w14:textId="77777777" w:rsidR="000F05C1" w:rsidRPr="002B6C23" w:rsidRDefault="000F05C1" w:rsidP="000F05C1">
      <w:pPr>
        <w:ind w:left="360"/>
        <w:jc w:val="both"/>
        <w:rPr>
          <w:rFonts w:eastAsia="Calibri"/>
        </w:rPr>
      </w:pPr>
    </w:p>
    <w:p w14:paraId="17882913" w14:textId="69214D69" w:rsidR="000F05C1" w:rsidRPr="002B6C23" w:rsidRDefault="000F05C1" w:rsidP="00B974E5">
      <w:pPr>
        <w:spacing w:after="120"/>
        <w:ind w:firstLine="567"/>
        <w:jc w:val="both"/>
        <w:rPr>
          <w:rFonts w:eastAsia="Calibri"/>
        </w:rPr>
      </w:pPr>
      <w:r w:rsidRPr="002B6C23">
        <w:rPr>
          <w:rFonts w:eastAsia="Calibri"/>
        </w:rPr>
        <w:t>Akčný plán takisto nadväzuje na závery a odporúčania skupiny na vysokej úrovni GEAR 2030 z 18. o</w:t>
      </w:r>
      <w:r>
        <w:rPr>
          <w:rFonts w:eastAsia="Calibri"/>
        </w:rPr>
        <w:t>któbra 2017, ako aj na strategický dokument Európskej komisie „</w:t>
      </w:r>
      <w:r w:rsidRPr="0083145B">
        <w:rPr>
          <w:rFonts w:eastAsia="Calibri"/>
          <w:i/>
        </w:rPr>
        <w:t>Európa v</w:t>
      </w:r>
      <w:r w:rsidR="0083145B" w:rsidRPr="0083145B">
        <w:rPr>
          <w:rFonts w:eastAsia="Calibri"/>
          <w:i/>
        </w:rPr>
        <w:t> </w:t>
      </w:r>
      <w:r w:rsidRPr="0083145B">
        <w:rPr>
          <w:rFonts w:eastAsia="Calibri"/>
          <w:i/>
        </w:rPr>
        <w:t>pohybe</w:t>
      </w:r>
      <w:r w:rsidR="0083145B">
        <w:rPr>
          <w:rFonts w:eastAsia="Calibri"/>
        </w:rPr>
        <w:t>“</w:t>
      </w:r>
      <w:r>
        <w:rPr>
          <w:rFonts w:eastAsia="Calibri"/>
        </w:rPr>
        <w:t xml:space="preserve"> a</w:t>
      </w:r>
      <w:r w:rsidR="00B974E5">
        <w:rPr>
          <w:rFonts w:eastAsia="Calibri"/>
        </w:rPr>
        <w:t> </w:t>
      </w:r>
      <w:r>
        <w:rPr>
          <w:rFonts w:eastAsia="Calibri"/>
        </w:rPr>
        <w:t>prijaté balíky</w:t>
      </w:r>
      <w:r w:rsidRPr="002B6C23">
        <w:rPr>
          <w:rFonts w:eastAsia="Calibri"/>
        </w:rPr>
        <w:t xml:space="preserve"> čistej mobility (tzv. „</w:t>
      </w:r>
      <w:proofErr w:type="spellStart"/>
      <w:r w:rsidRPr="0083145B">
        <w:rPr>
          <w:rFonts w:eastAsia="Calibri"/>
          <w:i/>
        </w:rPr>
        <w:t>Clean</w:t>
      </w:r>
      <w:proofErr w:type="spellEnd"/>
      <w:r w:rsidRPr="0083145B">
        <w:rPr>
          <w:rFonts w:eastAsia="Calibri"/>
          <w:i/>
        </w:rPr>
        <w:t xml:space="preserve"> mobility </w:t>
      </w:r>
      <w:proofErr w:type="spellStart"/>
      <w:r w:rsidRPr="0083145B">
        <w:rPr>
          <w:rFonts w:eastAsia="Calibri"/>
          <w:i/>
        </w:rPr>
        <w:t>package</w:t>
      </w:r>
      <w:proofErr w:type="spellEnd"/>
      <w:r>
        <w:rPr>
          <w:rFonts w:eastAsia="Calibri"/>
        </w:rPr>
        <w:t>“), ktoré sa týkajú</w:t>
      </w:r>
      <w:r w:rsidRPr="002B6C23">
        <w:rPr>
          <w:rFonts w:eastAsia="Calibri"/>
        </w:rPr>
        <w:t xml:space="preserve"> viacerých legislatívnych návrhov. Európska komisia sa </w:t>
      </w:r>
      <w:r>
        <w:rPr>
          <w:rFonts w:eastAsia="Calibri"/>
        </w:rPr>
        <w:t xml:space="preserve">v </w:t>
      </w:r>
      <w:r w:rsidRPr="002B6C23">
        <w:rPr>
          <w:rFonts w:eastAsia="Calibri"/>
        </w:rPr>
        <w:t>2. balíku zameriava predovšetkým na čistú mobilitu a zároveň hodnotí, že úroveň ambícií národných politických stratégií vyplývajúcich z</w:t>
      </w:r>
      <w:r w:rsidR="00B974E5">
        <w:rPr>
          <w:rFonts w:eastAsia="Calibri"/>
        </w:rPr>
        <w:t>o</w:t>
      </w:r>
      <w:r w:rsidRPr="002B6C23">
        <w:rPr>
          <w:rFonts w:eastAsia="Calibri"/>
        </w:rPr>
        <w:t> </w:t>
      </w:r>
      <w:r w:rsidR="00B974E5">
        <w:rPr>
          <w:rFonts w:eastAsia="Calibri"/>
        </w:rPr>
        <w:t>„</w:t>
      </w:r>
      <w:r w:rsidRPr="00B974E5">
        <w:rPr>
          <w:rFonts w:eastAsia="Calibri"/>
          <w:i/>
        </w:rPr>
        <w:t>Smernice Európskeho parlamentu a Rady 2014/94/EÚ o zavádzaní infraštruktúry</w:t>
      </w:r>
      <w:r w:rsidR="00012083">
        <w:rPr>
          <w:rFonts w:eastAsia="Calibri"/>
          <w:i/>
        </w:rPr>
        <w:t xml:space="preserve"> </w:t>
      </w:r>
      <w:r w:rsidRPr="00B974E5">
        <w:rPr>
          <w:rFonts w:eastAsia="Calibri"/>
          <w:i/>
        </w:rPr>
        <w:t>pre alternatívne palivá</w:t>
      </w:r>
      <w:r w:rsidR="00B974E5">
        <w:rPr>
          <w:rFonts w:eastAsia="Calibri"/>
        </w:rPr>
        <w:t>“</w:t>
      </w:r>
      <w:r w:rsidRPr="002B6C23">
        <w:rPr>
          <w:rFonts w:eastAsia="Calibri"/>
        </w:rPr>
        <w:t xml:space="preserve"> je</w:t>
      </w:r>
      <w:r w:rsidR="00B974E5">
        <w:rPr>
          <w:rFonts w:eastAsia="Calibri"/>
        </w:rPr>
        <w:t> ne</w:t>
      </w:r>
      <w:r w:rsidRPr="002B6C23">
        <w:rPr>
          <w:rFonts w:eastAsia="Calibri"/>
        </w:rPr>
        <w:t>postačujúc</w:t>
      </w:r>
      <w:r w:rsidR="00B974E5">
        <w:rPr>
          <w:rFonts w:eastAsia="Calibri"/>
        </w:rPr>
        <w:t>a</w:t>
      </w:r>
      <w:r w:rsidRPr="002B6C23">
        <w:rPr>
          <w:rFonts w:eastAsia="Calibri"/>
        </w:rPr>
        <w:t xml:space="preserve">. </w:t>
      </w:r>
    </w:p>
    <w:p w14:paraId="5D9C860F" w14:textId="7C6E7BBC" w:rsidR="000F05C1" w:rsidRPr="002B6C23" w:rsidRDefault="000F05C1" w:rsidP="000F05C1">
      <w:pPr>
        <w:spacing w:after="120"/>
        <w:ind w:firstLine="567"/>
        <w:jc w:val="both"/>
        <w:rPr>
          <w:rFonts w:eastAsia="Calibri"/>
        </w:rPr>
      </w:pPr>
      <w:r>
        <w:rPr>
          <w:rFonts w:eastAsia="Calibri"/>
        </w:rPr>
        <w:t>Akčný plán obsahuje 1</w:t>
      </w:r>
      <w:r w:rsidR="00AF58FF">
        <w:rPr>
          <w:rFonts w:eastAsia="Calibri"/>
        </w:rPr>
        <w:t>5</w:t>
      </w:r>
      <w:r w:rsidRPr="002B6C23">
        <w:rPr>
          <w:rFonts w:eastAsia="Calibri"/>
        </w:rPr>
        <w:t xml:space="preserve"> opatrení, ktoré majú charakter priamej podpory, </w:t>
      </w:r>
      <w:r>
        <w:rPr>
          <w:rFonts w:eastAsia="Calibri"/>
        </w:rPr>
        <w:br/>
      </w:r>
      <w:r w:rsidRPr="002B6C23">
        <w:rPr>
          <w:rFonts w:eastAsia="Calibri"/>
        </w:rPr>
        <w:t xml:space="preserve">či na používanie </w:t>
      </w:r>
      <w:proofErr w:type="spellStart"/>
      <w:r w:rsidRPr="002B6C23">
        <w:rPr>
          <w:rFonts w:eastAsia="Calibri"/>
        </w:rPr>
        <w:t>vysokoekologických</w:t>
      </w:r>
      <w:proofErr w:type="spellEnd"/>
      <w:r w:rsidRPr="002B6C23">
        <w:rPr>
          <w:rFonts w:eastAsia="Calibri"/>
        </w:rPr>
        <w:t xml:space="preserve"> nízkoemisných vozidiel a možnosti finančného mechanizmu na podporu rozvoja nabíjacej infraštruktúry, ako aj charakter motivačnej podpory. Súčasná motivácia k nákupu vozidiel môže byť bez podstatných pomocných nákladov podporovaná výhodami, ako je </w:t>
      </w:r>
      <w:r w:rsidR="00B974E5">
        <w:rPr>
          <w:rFonts w:eastAsia="Calibri"/>
        </w:rPr>
        <w:t xml:space="preserve">napr. </w:t>
      </w:r>
      <w:r w:rsidRPr="002B6C23">
        <w:rPr>
          <w:rFonts w:eastAsia="Calibri"/>
        </w:rPr>
        <w:t xml:space="preserve">odlíšiteľné označenie vozidiel, možnosť používania </w:t>
      </w:r>
      <w:r>
        <w:rPr>
          <w:rFonts w:eastAsia="Calibri"/>
        </w:rPr>
        <w:t>jazdných pruhov</w:t>
      </w:r>
      <w:r w:rsidRPr="002B6C23">
        <w:rPr>
          <w:rFonts w:eastAsia="Calibri"/>
        </w:rPr>
        <w:t xml:space="preserve"> vyhradených pre verejnú dopravu, či</w:t>
      </w:r>
      <w:r>
        <w:rPr>
          <w:rFonts w:eastAsia="Calibri"/>
        </w:rPr>
        <w:t> </w:t>
      </w:r>
      <w:r w:rsidRPr="002B6C23">
        <w:rPr>
          <w:rFonts w:eastAsia="Calibri"/>
        </w:rPr>
        <w:t xml:space="preserve">povolenie vstupu </w:t>
      </w:r>
      <w:r w:rsidR="0003558B">
        <w:rPr>
          <w:rFonts w:eastAsia="Calibri"/>
        </w:rPr>
        <w:br/>
      </w:r>
      <w:r w:rsidRPr="002B6C23">
        <w:rPr>
          <w:rFonts w:eastAsia="Calibri"/>
        </w:rPr>
        <w:t>do nízkoemisných zón</w:t>
      </w:r>
      <w:r w:rsidR="00593B43">
        <w:rPr>
          <w:rFonts w:eastAsia="Calibri"/>
        </w:rPr>
        <w:t>,</w:t>
      </w:r>
      <w:r w:rsidRPr="002B6C23">
        <w:rPr>
          <w:rFonts w:eastAsia="Calibri"/>
        </w:rPr>
        <w:t xml:space="preserve"> alebo využívanie parkovísk určených pre užšiu skupinu užívateľov.</w:t>
      </w:r>
    </w:p>
    <w:p w14:paraId="45F95228" w14:textId="6DAA4140" w:rsidR="000E139C" w:rsidRDefault="000F05C1" w:rsidP="000E139C">
      <w:pPr>
        <w:spacing w:after="120"/>
        <w:ind w:firstLine="567"/>
        <w:jc w:val="both"/>
        <w:rPr>
          <w:rFonts w:eastAsia="Calibri"/>
        </w:rPr>
      </w:pPr>
      <w:r w:rsidRPr="002B6C23">
        <w:rPr>
          <w:rFonts w:eastAsia="Calibri"/>
        </w:rPr>
        <w:t>Pri príprave materiálu spolupracovalo MH SR s vecne príslušnými rezortmi a orgánmi štátnej správy</w:t>
      </w:r>
      <w:r w:rsidR="002C2001">
        <w:rPr>
          <w:rFonts w:eastAsia="Calibri"/>
        </w:rPr>
        <w:t xml:space="preserve"> </w:t>
      </w:r>
      <w:r w:rsidRPr="002B6C23">
        <w:rPr>
          <w:rFonts w:eastAsia="Calibri"/>
        </w:rPr>
        <w:t>a s pracovnou skupinou</w:t>
      </w:r>
      <w:r w:rsidR="002C2001">
        <w:rPr>
          <w:rFonts w:eastAsia="Calibri"/>
        </w:rPr>
        <w:t>,</w:t>
      </w:r>
      <w:r w:rsidRPr="002B6C23">
        <w:rPr>
          <w:rFonts w:eastAsia="Calibri"/>
        </w:rPr>
        <w:t xml:space="preserve"> zloženou </w:t>
      </w:r>
      <w:r w:rsidR="00B974E5">
        <w:rPr>
          <w:rFonts w:eastAsia="Calibri"/>
        </w:rPr>
        <w:t xml:space="preserve">aj </w:t>
      </w:r>
      <w:r w:rsidRPr="002B6C23">
        <w:rPr>
          <w:rFonts w:eastAsia="Calibri"/>
        </w:rPr>
        <w:t xml:space="preserve">zo zástupcov distribučných sietí a Zväzu automobilového priemyslu SR. </w:t>
      </w:r>
    </w:p>
    <w:p w14:paraId="56E19640" w14:textId="1CD19EC5" w:rsidR="000E139C" w:rsidRDefault="000E139C" w:rsidP="000E139C">
      <w:pPr>
        <w:spacing w:after="120"/>
        <w:ind w:firstLine="567"/>
        <w:jc w:val="both"/>
      </w:pPr>
      <w:r w:rsidRPr="000E139C">
        <w:t>Predkladaný materiál má negatívny vplyv na rozpočet verejnej správy, pozitívne i</w:t>
      </w:r>
      <w:r>
        <w:t> </w:t>
      </w:r>
      <w:r w:rsidRPr="000E139C">
        <w:t>negatívne vplyvy na podnikateľské prostredie, pozitívn</w:t>
      </w:r>
      <w:r w:rsidR="0003558B">
        <w:t xml:space="preserve">y vplyv na životné prostredie, </w:t>
      </w:r>
      <w:r w:rsidR="00AA126B">
        <w:t>pozitívne</w:t>
      </w:r>
      <w:r w:rsidRPr="000E139C">
        <w:t xml:space="preserve"> </w:t>
      </w:r>
      <w:r w:rsidR="00AF58FF">
        <w:t xml:space="preserve">i negatívne </w:t>
      </w:r>
      <w:r w:rsidRPr="000E139C">
        <w:t>sociálne vplyvy, nemá vplyv na informatizáciu spoločnosti a vplyv</w:t>
      </w:r>
      <w:r w:rsidR="00012083">
        <w:t>y na</w:t>
      </w:r>
      <w:r w:rsidR="00AF58FF">
        <w:t> </w:t>
      </w:r>
      <w:r w:rsidR="00012083">
        <w:t xml:space="preserve">služby verejnej správy pre </w:t>
      </w:r>
      <w:r w:rsidRPr="000E139C">
        <w:t>občana.</w:t>
      </w:r>
      <w:bookmarkStart w:id="0" w:name="_GoBack"/>
      <w:bookmarkEnd w:id="0"/>
    </w:p>
    <w:sectPr w:rsidR="000E139C" w:rsidSect="00977AAF">
      <w:footerReference w:type="default" r:id="rId8"/>
      <w:headerReference w:type="first" r:id="rId9"/>
      <w:pgSz w:w="11907" w:h="16839" w:code="9"/>
      <w:pgMar w:top="1134" w:right="1418" w:bottom="567" w:left="1418" w:header="709" w:footer="709" w:gutter="0"/>
      <w:paperSrc w:first="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93A4" w14:textId="77777777" w:rsidR="00B30B90" w:rsidRDefault="00B30B90">
      <w:r>
        <w:separator/>
      </w:r>
    </w:p>
  </w:endnote>
  <w:endnote w:type="continuationSeparator" w:id="0">
    <w:p w14:paraId="0CD20F3B" w14:textId="77777777" w:rsidR="00B30B90" w:rsidRDefault="00B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81766"/>
      <w:docPartObj>
        <w:docPartGallery w:val="Page Numbers (Bottom of Page)"/>
        <w:docPartUnique/>
      </w:docPartObj>
    </w:sdtPr>
    <w:sdtEndPr/>
    <w:sdtContent>
      <w:p w14:paraId="6B9D2774" w14:textId="105DA595" w:rsidR="00212828" w:rsidRDefault="00212828">
        <w:pPr>
          <w:pStyle w:val="Pta"/>
          <w:jc w:val="right"/>
        </w:pPr>
        <w:r>
          <w:fldChar w:fldCharType="begin"/>
        </w:r>
        <w:r>
          <w:instrText>PAGE   \* MERGEFORMAT</w:instrText>
        </w:r>
        <w:r>
          <w:fldChar w:fldCharType="separate"/>
        </w:r>
        <w:r w:rsidR="00977AAF">
          <w:rPr>
            <w:noProof/>
          </w:rPr>
          <w:t>1</w:t>
        </w:r>
        <w:r>
          <w:fldChar w:fldCharType="end"/>
        </w:r>
      </w:p>
    </w:sdtContent>
  </w:sdt>
  <w:p w14:paraId="22303919" w14:textId="77777777" w:rsidR="00212828" w:rsidRPr="001D6749" w:rsidRDefault="00212828">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D002" w14:textId="77777777" w:rsidR="00B30B90" w:rsidRDefault="00B30B90">
      <w:r>
        <w:separator/>
      </w:r>
    </w:p>
  </w:footnote>
  <w:footnote w:type="continuationSeparator" w:id="0">
    <w:p w14:paraId="43C740A6" w14:textId="77777777" w:rsidR="00B30B90" w:rsidRDefault="00B3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58B"/>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1D5F"/>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2E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1998"/>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77AA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58FF"/>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55FE"/>
    <w:rsid w:val="00B271BC"/>
    <w:rsid w:val="00B30B90"/>
    <w:rsid w:val="00B31862"/>
    <w:rsid w:val="00B318DE"/>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2CC2"/>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05643"/>
  <w15:docId w15:val="{B93098BE-9C85-4843-AE37-F1ADF194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8E61-C7B9-480E-9893-6162761F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2395</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Farkasova Andrea</cp:lastModifiedBy>
  <cp:revision>8</cp:revision>
  <cp:lastPrinted>2019-02-07T15:06:00Z</cp:lastPrinted>
  <dcterms:created xsi:type="dcterms:W3CDTF">2018-12-10T07:58:00Z</dcterms:created>
  <dcterms:modified xsi:type="dcterms:W3CDTF">2019-02-11T09:15:00Z</dcterms:modified>
</cp:coreProperties>
</file>