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7"/>
        <w:gridCol w:w="4687"/>
      </w:tblGrid>
      <w:tr w:rsidR="00A556C5" w:rsidRPr="00CD4982" w14:paraId="7FD372AA" w14:textId="77777777" w:rsidTr="00B51CD5">
        <w:trPr>
          <w:trHeight w:val="534"/>
          <w:jc w:val="center"/>
        </w:trPr>
        <w:tc>
          <w:tcPr>
            <w:tcW w:w="5000" w:type="pct"/>
            <w:gridSpan w:val="2"/>
            <w:tcBorders>
              <w:bottom w:val="single" w:sz="4" w:space="0" w:color="auto"/>
            </w:tcBorders>
            <w:shd w:val="clear" w:color="auto" w:fill="D9D9D9"/>
          </w:tcPr>
          <w:p w14:paraId="247DA4AE" w14:textId="77777777" w:rsidR="00A556C5" w:rsidRPr="00CD4982" w:rsidRDefault="00A556C5" w:rsidP="00A556C5">
            <w:pPr>
              <w:ind w:left="-284" w:firstLine="284"/>
              <w:jc w:val="center"/>
              <w:rPr>
                <w:rFonts w:eastAsia="Calibri"/>
                <w:b/>
                <w:lang w:eastAsia="sk-SK"/>
              </w:rPr>
            </w:pPr>
            <w:r>
              <w:rPr>
                <w:rFonts w:eastAsia="Calibri"/>
                <w:b/>
                <w:sz w:val="28"/>
                <w:lang w:eastAsia="sk-SK"/>
              </w:rPr>
              <w:t>Analýza s</w:t>
            </w:r>
            <w:r w:rsidRPr="00CD4982">
              <w:rPr>
                <w:rFonts w:eastAsia="Calibri"/>
                <w:b/>
                <w:sz w:val="28"/>
                <w:lang w:eastAsia="sk-SK"/>
              </w:rPr>
              <w:t>ociáln</w:t>
            </w:r>
            <w:r>
              <w:rPr>
                <w:rFonts w:eastAsia="Calibri"/>
                <w:b/>
                <w:sz w:val="28"/>
                <w:lang w:eastAsia="sk-SK"/>
              </w:rPr>
              <w:t>ych</w:t>
            </w:r>
            <w:r w:rsidRPr="00CD4982">
              <w:rPr>
                <w:rFonts w:eastAsia="Calibri"/>
                <w:b/>
                <w:sz w:val="28"/>
                <w:lang w:eastAsia="sk-SK"/>
              </w:rPr>
              <w:t xml:space="preserve"> vplyv</w:t>
            </w:r>
            <w:r>
              <w:rPr>
                <w:rFonts w:eastAsia="Calibri"/>
                <w:b/>
                <w:sz w:val="28"/>
                <w:lang w:eastAsia="sk-SK"/>
              </w:rPr>
              <w:t>ov</w:t>
            </w:r>
          </w:p>
          <w:p w14:paraId="03236482" w14:textId="4EB24234" w:rsidR="00A556C5" w:rsidRPr="00CD4982" w:rsidRDefault="00A556C5" w:rsidP="00A556C5">
            <w:pPr>
              <w:jc w:val="center"/>
              <w:rPr>
                <w:rFonts w:eastAsia="Calibri"/>
                <w:b/>
                <w:lang w:eastAsia="sk-SK"/>
              </w:rPr>
            </w:pPr>
            <w:r w:rsidRPr="00CD4982">
              <w:rPr>
                <w:rFonts w:eastAsia="Calibri"/>
                <w:b/>
                <w:lang w:eastAsia="sk-SK"/>
              </w:rPr>
              <w:t>Vplyvy na hospodárenie domácností, prístup k zdrojom, právam, tovarom a službám, sociálnu inklúziu, rovnosť príležitostí a rodovú rovnosť</w:t>
            </w:r>
            <w:r w:rsidR="000B7922">
              <w:rPr>
                <w:rFonts w:eastAsia="Calibri"/>
                <w:b/>
                <w:lang w:eastAsia="sk-SK"/>
              </w:rPr>
              <w:t>,</w:t>
            </w:r>
            <w:r w:rsidRPr="00CD4982">
              <w:rPr>
                <w:rFonts w:eastAsia="Calibri"/>
                <w:b/>
                <w:lang w:eastAsia="sk-SK"/>
              </w:rPr>
              <w:t xml:space="preserve"> a vplyvy na zamestnanosť</w:t>
            </w:r>
          </w:p>
        </w:tc>
      </w:tr>
      <w:tr w:rsidR="00A556C5" w:rsidRPr="00CD4982" w14:paraId="33D4A2AE" w14:textId="77777777" w:rsidTr="00B51CD5">
        <w:trPr>
          <w:jc w:val="center"/>
        </w:trPr>
        <w:tc>
          <w:tcPr>
            <w:tcW w:w="5000" w:type="pct"/>
            <w:gridSpan w:val="2"/>
            <w:tcBorders>
              <w:bottom w:val="nil"/>
            </w:tcBorders>
            <w:shd w:val="clear" w:color="auto" w:fill="D9D9D9"/>
          </w:tcPr>
          <w:p w14:paraId="6DE2E0BD" w14:textId="77777777" w:rsidR="00A556C5" w:rsidRPr="0040544D" w:rsidRDefault="00A556C5" w:rsidP="00A556C5">
            <w:pPr>
              <w:rPr>
                <w:rFonts w:eastAsia="Calibri"/>
                <w:b/>
                <w:lang w:eastAsia="sk-SK"/>
              </w:rPr>
            </w:pPr>
            <w:r w:rsidRPr="00CD4982">
              <w:rPr>
                <w:rFonts w:eastAsia="Calibri"/>
                <w:b/>
                <w:lang w:eastAsia="sk-SK"/>
              </w:rPr>
              <w:t>4.1 Identifikujte, popíšte a kvantifikujte vplyv na hospodárenie domácností a špecifikujte ovplyvnené skupiny domácností, ktoré budú pozitívne/negatívne ovplyvnené.</w:t>
            </w:r>
          </w:p>
        </w:tc>
      </w:tr>
      <w:tr w:rsidR="00A556C5" w:rsidRPr="00CD4982" w14:paraId="08BB0F1D" w14:textId="77777777" w:rsidTr="00B51CD5">
        <w:trPr>
          <w:trHeight w:val="736"/>
          <w:jc w:val="center"/>
        </w:trPr>
        <w:tc>
          <w:tcPr>
            <w:tcW w:w="5000" w:type="pct"/>
            <w:gridSpan w:val="2"/>
            <w:tcBorders>
              <w:bottom w:val="single" w:sz="4" w:space="0" w:color="auto"/>
            </w:tcBorders>
            <w:shd w:val="clear" w:color="auto" w:fill="F2F2F2"/>
          </w:tcPr>
          <w:p w14:paraId="485EACE1" w14:textId="77777777" w:rsidR="00A556C5" w:rsidRPr="00CD4982" w:rsidRDefault="00A556C5" w:rsidP="00A556C5">
            <w:pPr>
              <w:shd w:val="clear" w:color="auto" w:fill="F2F2F2"/>
              <w:rPr>
                <w:rFonts w:eastAsia="Calibri"/>
                <w:i/>
                <w:sz w:val="20"/>
                <w:szCs w:val="20"/>
                <w:lang w:eastAsia="sk-SK"/>
              </w:rPr>
            </w:pPr>
            <w:r w:rsidRPr="00CD4982">
              <w:rPr>
                <w:rFonts w:eastAsia="Calibri"/>
                <w:i/>
                <w:sz w:val="20"/>
                <w:szCs w:val="20"/>
                <w:lang w:eastAsia="sk-SK"/>
              </w:rPr>
              <w:t xml:space="preserve">Vedie návrh k zvýšeniu alebo zníženiu príjmov alebo výdavkov domácností? </w:t>
            </w:r>
          </w:p>
          <w:p w14:paraId="731B2028" w14:textId="77777777" w:rsidR="00A556C5" w:rsidRPr="00CD4982" w:rsidRDefault="00A556C5" w:rsidP="00A556C5">
            <w:pPr>
              <w:shd w:val="clear" w:color="auto" w:fill="F2F2F2"/>
              <w:rPr>
                <w:rFonts w:eastAsia="Calibri"/>
                <w:i/>
                <w:sz w:val="20"/>
                <w:szCs w:val="20"/>
                <w:lang w:eastAsia="sk-SK"/>
              </w:rPr>
            </w:pPr>
            <w:r w:rsidRPr="00CD4982">
              <w:rPr>
                <w:rFonts w:eastAsia="Calibri"/>
                <w:i/>
                <w:sz w:val="20"/>
                <w:szCs w:val="20"/>
                <w:lang w:eastAsia="sk-SK"/>
              </w:rPr>
              <w:t xml:space="preserve">Ktoré skupiny domácností/obyvateľstva sú takto ovplyvnené a akým spôsobom? </w:t>
            </w:r>
          </w:p>
          <w:p w14:paraId="72AD985D" w14:textId="77777777" w:rsidR="00A556C5" w:rsidRPr="00CD4982" w:rsidRDefault="00A556C5" w:rsidP="00A556C5">
            <w:pPr>
              <w:shd w:val="clear" w:color="auto" w:fill="F2F2F2"/>
              <w:rPr>
                <w:rFonts w:ascii="Calibri" w:eastAsia="Calibri" w:hAnsi="Calibri"/>
                <w:i/>
                <w:sz w:val="20"/>
                <w:szCs w:val="20"/>
                <w:lang w:eastAsia="sk-SK"/>
              </w:rPr>
            </w:pPr>
            <w:r w:rsidRPr="00CD4982">
              <w:rPr>
                <w:rFonts w:eastAsia="Calibri"/>
                <w:i/>
                <w:sz w:val="20"/>
                <w:szCs w:val="20"/>
                <w:lang w:eastAsia="sk-SK"/>
              </w:rPr>
              <w:t>Sú medzi potenciálne ovplyvnenými skupinami skupiny v riziku chudoby alebo sociálneho vylúčenia?</w:t>
            </w:r>
          </w:p>
        </w:tc>
      </w:tr>
      <w:tr w:rsidR="00A556C5" w:rsidRPr="00CD4982" w14:paraId="2F0BC0F2" w14:textId="77777777" w:rsidTr="00B51CD5">
        <w:trPr>
          <w:trHeight w:val="759"/>
          <w:jc w:val="center"/>
        </w:trPr>
        <w:tc>
          <w:tcPr>
            <w:tcW w:w="2500" w:type="pct"/>
            <w:tcBorders>
              <w:top w:val="nil"/>
              <w:bottom w:val="dotted" w:sz="4" w:space="0" w:color="auto"/>
            </w:tcBorders>
            <w:shd w:val="clear" w:color="auto" w:fill="auto"/>
          </w:tcPr>
          <w:p w14:paraId="20C147B1"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Popíšte </w:t>
            </w:r>
            <w:r w:rsidRPr="00E538C0">
              <w:rPr>
                <w:rFonts w:eastAsia="Calibri"/>
                <w:b/>
                <w:i/>
                <w:sz w:val="20"/>
                <w:szCs w:val="20"/>
                <w:lang w:eastAsia="sk-SK"/>
              </w:rPr>
              <w:t>pozitívny</w:t>
            </w:r>
            <w:r>
              <w:rPr>
                <w:rFonts w:eastAsia="Calibri"/>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31E8121D" w14:textId="77777777" w:rsidR="00A556C5" w:rsidRPr="0040544D" w:rsidRDefault="00A556C5" w:rsidP="00A556C5">
            <w:pPr>
              <w:jc w:val="both"/>
              <w:rPr>
                <w:rFonts w:eastAsia="Calibri"/>
                <w:sz w:val="20"/>
                <w:szCs w:val="20"/>
                <w:lang w:eastAsia="sk-SK"/>
              </w:rPr>
            </w:pPr>
            <w:r w:rsidRPr="009E0071">
              <w:rPr>
                <w:bCs/>
                <w:sz w:val="20"/>
                <w:lang w:eastAsia="ar-SA"/>
              </w:rPr>
              <w:t>Stimulačné opatrenia na podporu dopytu po vozidlách                 s alternatívnym pohonom budú mať pozitívny vplyv                    na hospodárenie domácností, ktoré využívajú automobily s alternatívnym palivom, resp. stimulačné opatrenia MH SR prispejú k</w:t>
            </w:r>
            <w:r>
              <w:rPr>
                <w:bCs/>
                <w:sz w:val="20"/>
                <w:lang w:eastAsia="ar-SA"/>
              </w:rPr>
              <w:t xml:space="preserve"> </w:t>
            </w:r>
            <w:r w:rsidRPr="009E0071">
              <w:rPr>
                <w:bCs/>
                <w:sz w:val="20"/>
                <w:lang w:eastAsia="ar-SA"/>
              </w:rPr>
              <w:t>zníženiu prípadných výdavkov obyvateľstva na kúpu a prevádzku elektromobilu.</w:t>
            </w:r>
          </w:p>
        </w:tc>
      </w:tr>
      <w:tr w:rsidR="00A556C5" w:rsidRPr="00CD4982" w14:paraId="78E205FE" w14:textId="77777777" w:rsidTr="00B51CD5">
        <w:trPr>
          <w:trHeight w:val="624"/>
          <w:jc w:val="center"/>
        </w:trPr>
        <w:tc>
          <w:tcPr>
            <w:tcW w:w="2500" w:type="pct"/>
            <w:tcBorders>
              <w:top w:val="dotted" w:sz="4" w:space="0" w:color="auto"/>
            </w:tcBorders>
            <w:shd w:val="clear" w:color="auto" w:fill="auto"/>
          </w:tcPr>
          <w:p w14:paraId="70F5D8A8"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w:t>
            </w:r>
            <w:r w:rsidRPr="00E538C0">
              <w:rPr>
                <w:rFonts w:eastAsia="Calibri"/>
                <w:b/>
                <w:i/>
                <w:sz w:val="20"/>
                <w:szCs w:val="20"/>
                <w:lang w:eastAsia="sk-SK"/>
              </w:rPr>
              <w:t>pozitívne</w:t>
            </w:r>
            <w:r>
              <w:rPr>
                <w:rFonts w:eastAsia="Calibri"/>
                <w:i/>
                <w:sz w:val="20"/>
                <w:szCs w:val="20"/>
                <w:lang w:eastAsia="sk-SK"/>
              </w:rPr>
              <w:t xml:space="preserve"> ovplyvnené skupiny:</w:t>
            </w:r>
          </w:p>
        </w:tc>
        <w:tc>
          <w:tcPr>
            <w:tcW w:w="2500" w:type="pct"/>
            <w:tcBorders>
              <w:top w:val="dotted" w:sz="4" w:space="0" w:color="auto"/>
            </w:tcBorders>
            <w:shd w:val="clear" w:color="auto" w:fill="auto"/>
          </w:tcPr>
          <w:p w14:paraId="22858F95" w14:textId="64F4AD7B" w:rsidR="00A556C5" w:rsidRPr="0040544D" w:rsidRDefault="00A556C5" w:rsidP="00CE6A61">
            <w:pPr>
              <w:jc w:val="both"/>
              <w:rPr>
                <w:rFonts w:eastAsia="Calibri"/>
                <w:sz w:val="20"/>
                <w:szCs w:val="20"/>
                <w:lang w:eastAsia="sk-SK"/>
              </w:rPr>
            </w:pPr>
            <w:r w:rsidRPr="009E0071">
              <w:rPr>
                <w:rFonts w:eastAsia="Calibri"/>
                <w:sz w:val="20"/>
                <w:szCs w:val="20"/>
                <w:lang w:eastAsia="sk-SK"/>
              </w:rPr>
              <w:t>Obyvatelia, ktorí sa rozhodnú pre kúpu elektromobilu.</w:t>
            </w:r>
          </w:p>
        </w:tc>
      </w:tr>
      <w:tr w:rsidR="00A556C5" w:rsidRPr="00CD4982" w14:paraId="05769731" w14:textId="77777777" w:rsidTr="00B51CD5">
        <w:trPr>
          <w:trHeight w:val="759"/>
          <w:jc w:val="center"/>
        </w:trPr>
        <w:tc>
          <w:tcPr>
            <w:tcW w:w="2500" w:type="pct"/>
            <w:tcBorders>
              <w:bottom w:val="dotted" w:sz="4" w:space="0" w:color="auto"/>
            </w:tcBorders>
            <w:shd w:val="clear" w:color="auto" w:fill="auto"/>
          </w:tcPr>
          <w:p w14:paraId="120CCA53" w14:textId="77777777" w:rsidR="00A556C5" w:rsidRPr="00E538C0" w:rsidRDefault="00A556C5" w:rsidP="00A556C5">
            <w:pPr>
              <w:jc w:val="both"/>
              <w:rPr>
                <w:rFonts w:eastAsia="Calibri"/>
                <w:i/>
                <w:sz w:val="20"/>
                <w:szCs w:val="20"/>
                <w:lang w:eastAsia="sk-SK"/>
              </w:rPr>
            </w:pPr>
            <w:r>
              <w:rPr>
                <w:rFonts w:eastAsia="Calibri"/>
                <w:i/>
                <w:sz w:val="20"/>
                <w:szCs w:val="20"/>
                <w:lang w:eastAsia="sk-SK"/>
              </w:rPr>
              <w:t xml:space="preserve">Popíšte </w:t>
            </w:r>
            <w:r>
              <w:rPr>
                <w:rFonts w:eastAsia="Calibri"/>
                <w:b/>
                <w:i/>
                <w:sz w:val="20"/>
                <w:szCs w:val="20"/>
                <w:lang w:eastAsia="sk-SK"/>
              </w:rPr>
              <w:t xml:space="preserve">negatívny </w:t>
            </w:r>
            <w:r>
              <w:rPr>
                <w:rFonts w:eastAsia="Calibri"/>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0FBA9F1B" w14:textId="727A66DD" w:rsidR="00A556C5" w:rsidRPr="0040544D" w:rsidRDefault="00A556C5" w:rsidP="00E31A24">
            <w:pPr>
              <w:jc w:val="both"/>
              <w:rPr>
                <w:rFonts w:eastAsia="Calibri"/>
                <w:sz w:val="20"/>
                <w:szCs w:val="20"/>
                <w:lang w:eastAsia="sk-SK"/>
              </w:rPr>
            </w:pPr>
            <w:r>
              <w:rPr>
                <w:rFonts w:eastAsia="Calibri"/>
                <w:sz w:val="20"/>
                <w:szCs w:val="20"/>
                <w:lang w:eastAsia="sk-SK"/>
              </w:rPr>
              <w:t xml:space="preserve">Negatívne vplyvy sú identifikované </w:t>
            </w:r>
            <w:r w:rsidRPr="00920441">
              <w:rPr>
                <w:rFonts w:eastAsia="Calibri"/>
                <w:sz w:val="20"/>
                <w:szCs w:val="20"/>
                <w:lang w:eastAsia="sk-SK"/>
              </w:rPr>
              <w:t>najmä v súvislosti s</w:t>
            </w:r>
            <w:r>
              <w:rPr>
                <w:rFonts w:eastAsia="Calibri"/>
                <w:sz w:val="20"/>
                <w:szCs w:val="20"/>
                <w:lang w:eastAsia="sk-SK"/>
              </w:rPr>
              <w:t> </w:t>
            </w:r>
            <w:r w:rsidRPr="00920441">
              <w:rPr>
                <w:rFonts w:eastAsia="Calibri"/>
                <w:sz w:val="20"/>
                <w:szCs w:val="20"/>
                <w:lang w:eastAsia="sk-SK"/>
              </w:rPr>
              <w:t>opatrením</w:t>
            </w:r>
            <w:r>
              <w:rPr>
                <w:rFonts w:eastAsia="Calibri"/>
                <w:sz w:val="20"/>
                <w:szCs w:val="20"/>
                <w:lang w:eastAsia="sk-SK"/>
              </w:rPr>
              <w:t xml:space="preserve"> </w:t>
            </w:r>
            <w:r w:rsidRPr="00920441">
              <w:rPr>
                <w:rFonts w:eastAsia="Calibri"/>
                <w:sz w:val="20"/>
                <w:szCs w:val="20"/>
                <w:lang w:eastAsia="sk-SK"/>
              </w:rPr>
              <w:t>„</w:t>
            </w:r>
            <w:r w:rsidRPr="00E33CF4">
              <w:rPr>
                <w:rFonts w:eastAsia="Calibri"/>
                <w:i/>
                <w:sz w:val="20"/>
                <w:szCs w:val="20"/>
                <w:lang w:eastAsia="sk-SK"/>
              </w:rPr>
              <w:t>Legislatívne zavedenie povinnosti budovať nabíjaciu infraštruktúru pri výstavbe nových parkovacích miest</w:t>
            </w:r>
            <w:r w:rsidRPr="00920441">
              <w:rPr>
                <w:rFonts w:eastAsia="Calibri"/>
                <w:sz w:val="20"/>
                <w:szCs w:val="20"/>
                <w:lang w:eastAsia="sk-SK"/>
              </w:rPr>
              <w:t>“. Smernica 2010/31/E</w:t>
            </w:r>
            <w:r w:rsidR="00AE7430">
              <w:rPr>
                <w:rFonts w:eastAsia="Calibri"/>
                <w:sz w:val="20"/>
                <w:szCs w:val="20"/>
                <w:lang w:eastAsia="sk-SK"/>
              </w:rPr>
              <w:t>Ú</w:t>
            </w:r>
            <w:r w:rsidRPr="00920441">
              <w:rPr>
                <w:rFonts w:eastAsia="Calibri"/>
                <w:sz w:val="20"/>
                <w:szCs w:val="20"/>
                <w:lang w:eastAsia="sk-SK"/>
              </w:rPr>
              <w:t xml:space="preserve"> o</w:t>
            </w:r>
            <w:r>
              <w:rPr>
                <w:rFonts w:eastAsia="Calibri"/>
                <w:sz w:val="20"/>
                <w:szCs w:val="20"/>
                <w:lang w:eastAsia="sk-SK"/>
              </w:rPr>
              <w:t> </w:t>
            </w:r>
            <w:r w:rsidRPr="00920441">
              <w:rPr>
                <w:rFonts w:eastAsia="Calibri"/>
                <w:sz w:val="20"/>
                <w:szCs w:val="20"/>
                <w:lang w:eastAsia="sk-SK"/>
              </w:rPr>
              <w:t>energetickej hospodárnosti budov v jej súčasnom znení</w:t>
            </w:r>
            <w:r>
              <w:rPr>
                <w:rFonts w:eastAsia="Calibri"/>
                <w:sz w:val="20"/>
                <w:szCs w:val="20"/>
                <w:lang w:eastAsia="sk-SK"/>
              </w:rPr>
              <w:t xml:space="preserve"> </w:t>
            </w:r>
            <w:r w:rsidRPr="00920441">
              <w:rPr>
                <w:rFonts w:eastAsia="Calibri"/>
                <w:sz w:val="20"/>
                <w:szCs w:val="20"/>
                <w:lang w:eastAsia="sk-SK"/>
              </w:rPr>
              <w:t xml:space="preserve">zavádza povinnosť zabezpečiť inštaláciu nabíjacích staníc pri výstavbe nových nebytových budov alebo nebytových budov prechádzajúcich významnou obnovou, v prípade, ak majú určitý počet parkovacích miest. </w:t>
            </w:r>
          </w:p>
        </w:tc>
      </w:tr>
      <w:tr w:rsidR="00A556C5" w:rsidRPr="00CD4982" w14:paraId="6D9D3798" w14:textId="77777777" w:rsidTr="00B51CD5">
        <w:trPr>
          <w:trHeight w:val="624"/>
          <w:jc w:val="center"/>
        </w:trPr>
        <w:tc>
          <w:tcPr>
            <w:tcW w:w="2500" w:type="pct"/>
            <w:tcBorders>
              <w:top w:val="dotted" w:sz="4" w:space="0" w:color="auto"/>
              <w:bottom w:val="single" w:sz="4" w:space="0" w:color="auto"/>
            </w:tcBorders>
            <w:shd w:val="clear" w:color="auto" w:fill="auto"/>
          </w:tcPr>
          <w:p w14:paraId="3192F81C"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w:t>
            </w:r>
            <w:r w:rsidRPr="00F2597D">
              <w:rPr>
                <w:rFonts w:eastAsia="Calibri"/>
                <w:b/>
                <w:i/>
                <w:sz w:val="20"/>
                <w:szCs w:val="20"/>
                <w:lang w:eastAsia="sk-SK"/>
              </w:rPr>
              <w:t>negatívne</w:t>
            </w:r>
            <w:r>
              <w:rPr>
                <w:rFonts w:eastAsia="Calibri"/>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6E4524AF" w14:textId="77777777" w:rsidR="00A556C5" w:rsidRPr="0040544D" w:rsidRDefault="00A556C5" w:rsidP="00A556C5">
            <w:pPr>
              <w:jc w:val="both"/>
              <w:rPr>
                <w:rFonts w:eastAsia="Calibri"/>
                <w:sz w:val="20"/>
                <w:szCs w:val="20"/>
                <w:lang w:eastAsia="sk-SK"/>
              </w:rPr>
            </w:pPr>
            <w:r w:rsidRPr="00920441">
              <w:rPr>
                <w:rFonts w:eastAsia="Calibri"/>
                <w:sz w:val="20"/>
                <w:szCs w:val="20"/>
                <w:lang w:eastAsia="sk-SK"/>
              </w:rPr>
              <w:t xml:space="preserve">Nakoľko sa táto povinnosť podľa súčasného znenia vzťahuje aj na vyššie uvedené nehnuteľnosti </w:t>
            </w:r>
            <w:r>
              <w:rPr>
                <w:rFonts w:eastAsia="Calibri"/>
                <w:sz w:val="20"/>
                <w:szCs w:val="20"/>
                <w:lang w:eastAsia="sk-SK"/>
              </w:rPr>
              <w:br/>
            </w:r>
            <w:r w:rsidRPr="00920441">
              <w:rPr>
                <w:rFonts w:eastAsia="Calibri"/>
                <w:sz w:val="20"/>
                <w:szCs w:val="20"/>
                <w:lang w:eastAsia="sk-SK"/>
              </w:rPr>
              <w:t xml:space="preserve">v súkromnom vlastníctve, je možné predpokladať, </w:t>
            </w:r>
            <w:r>
              <w:rPr>
                <w:rFonts w:eastAsia="Calibri"/>
                <w:sz w:val="20"/>
                <w:szCs w:val="20"/>
                <w:lang w:eastAsia="sk-SK"/>
              </w:rPr>
              <w:br/>
            </w:r>
            <w:r w:rsidRPr="00920441">
              <w:rPr>
                <w:rFonts w:eastAsia="Calibri"/>
                <w:sz w:val="20"/>
                <w:szCs w:val="20"/>
                <w:lang w:eastAsia="sk-SK"/>
              </w:rPr>
              <w:t>že transpozícia danej smernice bude mať negatívny vplyv napr. na súkromných vlastníkov, ktorí by mali záujem o významnú obnovu nebytovej budovy v ich vlastníctve.</w:t>
            </w:r>
          </w:p>
        </w:tc>
      </w:tr>
      <w:tr w:rsidR="00A556C5" w:rsidRPr="00CD4982" w14:paraId="6C14C63A" w14:textId="77777777" w:rsidTr="00B51CD5">
        <w:trPr>
          <w:trHeight w:val="680"/>
          <w:jc w:val="center"/>
        </w:trPr>
        <w:tc>
          <w:tcPr>
            <w:tcW w:w="2500" w:type="pct"/>
            <w:tcBorders>
              <w:bottom w:val="nil"/>
            </w:tcBorders>
            <w:shd w:val="clear" w:color="auto" w:fill="auto"/>
          </w:tcPr>
          <w:p w14:paraId="436AC352"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ovplyvnené skupiny </w:t>
            </w:r>
            <w:r w:rsidRPr="00E538C0">
              <w:rPr>
                <w:rFonts w:eastAsia="Calibri"/>
                <w:b/>
                <w:i/>
                <w:sz w:val="20"/>
                <w:szCs w:val="20"/>
                <w:lang w:eastAsia="sk-SK"/>
              </w:rPr>
              <w:t>v riziku chudoby alebo sociálneho vylúčenia</w:t>
            </w:r>
            <w:r>
              <w:rPr>
                <w:rFonts w:eastAsia="Calibri"/>
                <w:i/>
                <w:sz w:val="20"/>
                <w:szCs w:val="20"/>
                <w:lang w:eastAsia="sk-SK"/>
              </w:rPr>
              <w:t xml:space="preserve"> a popíšte vplyv:</w:t>
            </w:r>
          </w:p>
        </w:tc>
        <w:tc>
          <w:tcPr>
            <w:tcW w:w="2500" w:type="pct"/>
            <w:tcBorders>
              <w:bottom w:val="nil"/>
            </w:tcBorders>
            <w:shd w:val="clear" w:color="auto" w:fill="auto"/>
          </w:tcPr>
          <w:p w14:paraId="71D3F96D" w14:textId="77777777" w:rsidR="00A556C5" w:rsidRPr="0040544D" w:rsidRDefault="00A556C5" w:rsidP="00A556C5">
            <w:pPr>
              <w:rPr>
                <w:rFonts w:eastAsia="Calibri"/>
                <w:sz w:val="20"/>
                <w:szCs w:val="20"/>
                <w:lang w:eastAsia="sk-SK"/>
              </w:rPr>
            </w:pPr>
          </w:p>
        </w:tc>
      </w:tr>
      <w:tr w:rsidR="00A556C5" w:rsidRPr="00CD4982" w14:paraId="5456B854" w14:textId="77777777" w:rsidTr="00B51CD5">
        <w:trPr>
          <w:trHeight w:val="680"/>
          <w:jc w:val="center"/>
        </w:trPr>
        <w:tc>
          <w:tcPr>
            <w:tcW w:w="5000" w:type="pct"/>
            <w:gridSpan w:val="2"/>
            <w:shd w:val="clear" w:color="auto" w:fill="F2F2F2" w:themeFill="background1" w:themeFillShade="F2"/>
          </w:tcPr>
          <w:p w14:paraId="1512A552" w14:textId="77777777" w:rsidR="00A556C5" w:rsidRDefault="00A556C5" w:rsidP="00A556C5">
            <w:pPr>
              <w:jc w:val="both"/>
              <w:rPr>
                <w:rFonts w:eastAsia="Calibri"/>
                <w:i/>
                <w:sz w:val="20"/>
                <w:szCs w:val="20"/>
                <w:lang w:eastAsia="sk-SK"/>
              </w:rPr>
            </w:pPr>
            <w:r w:rsidRPr="00CD4982">
              <w:rPr>
                <w:rFonts w:eastAsia="Calibri"/>
                <w:i/>
                <w:sz w:val="20"/>
                <w:szCs w:val="20"/>
                <w:lang w:eastAsia="sk-SK"/>
              </w:rPr>
              <w:t>Kvantifikujte rast alebo pokles príjmov/výdavkov za jednotlivé ovplyvnené skupiny domácností / skupiny jednotlivcov a počet obyvateľstva/domácností ovplyvnených predkladaným materiálom.</w:t>
            </w:r>
          </w:p>
          <w:p w14:paraId="075CF0F7"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V prípade vyššieho počtu ovplyvnených skupín doplňte do tabuľky ďalšie riadky.</w:t>
            </w:r>
          </w:p>
          <w:p w14:paraId="1394F3B9" w14:textId="77777777" w:rsidR="00A556C5" w:rsidRPr="0040544D" w:rsidRDefault="00A556C5" w:rsidP="00A556C5">
            <w:pPr>
              <w:tabs>
                <w:tab w:val="left" w:pos="3505"/>
              </w:tabs>
              <w:rPr>
                <w:rFonts w:eastAsia="Calibri"/>
                <w:sz w:val="20"/>
                <w:szCs w:val="20"/>
                <w:lang w:eastAsia="sk-SK"/>
              </w:rPr>
            </w:pPr>
            <w:r w:rsidRPr="00CD4982">
              <w:rPr>
                <w:rFonts w:eastAsia="Calibri"/>
                <w:i/>
                <w:sz w:val="20"/>
                <w:szCs w:val="20"/>
                <w:lang w:eastAsia="sk-SK"/>
              </w:rPr>
              <w:t>V prípade, ak neuvádzate kvantifikáciu, uveďte dôvod.</w:t>
            </w:r>
          </w:p>
        </w:tc>
      </w:tr>
      <w:tr w:rsidR="00A556C5" w:rsidRPr="00CD4982" w14:paraId="51F7E297" w14:textId="77777777" w:rsidTr="00B51CD5">
        <w:trPr>
          <w:trHeight w:val="286"/>
          <w:jc w:val="center"/>
        </w:trPr>
        <w:tc>
          <w:tcPr>
            <w:tcW w:w="5000" w:type="pct"/>
            <w:gridSpan w:val="2"/>
            <w:tcBorders>
              <w:top w:val="nil"/>
            </w:tcBorders>
            <w:shd w:val="clear" w:color="auto" w:fill="auto"/>
          </w:tcPr>
          <w:p w14:paraId="402E797F" w14:textId="77777777" w:rsidR="00A556C5" w:rsidRPr="00CD4982" w:rsidRDefault="00A556C5" w:rsidP="00A556C5">
            <w:pPr>
              <w:jc w:val="both"/>
              <w:rPr>
                <w:rFonts w:eastAsia="Calibri"/>
                <w:i/>
                <w:sz w:val="20"/>
                <w:szCs w:val="20"/>
                <w:lang w:eastAsia="sk-SK"/>
              </w:rPr>
            </w:pPr>
            <w:r w:rsidRPr="00DA4453">
              <w:rPr>
                <w:rFonts w:eastAsia="Calibri"/>
                <w:b/>
                <w:i/>
                <w:sz w:val="20"/>
                <w:szCs w:val="20"/>
                <w:lang w:eastAsia="sk-SK"/>
              </w:rPr>
              <w:t>Ovplyvnená skupina č. 1:</w:t>
            </w:r>
          </w:p>
        </w:tc>
      </w:tr>
      <w:tr w:rsidR="00A556C5" w:rsidRPr="00CD4982" w14:paraId="773A4DE9" w14:textId="77777777" w:rsidTr="00B51CD5">
        <w:trPr>
          <w:trHeight w:val="503"/>
          <w:jc w:val="center"/>
        </w:trPr>
        <w:tc>
          <w:tcPr>
            <w:tcW w:w="2500" w:type="pct"/>
            <w:tcBorders>
              <w:bottom w:val="single" w:sz="4" w:space="0" w:color="BFBFBF" w:themeColor="background1" w:themeShade="BF"/>
            </w:tcBorders>
            <w:shd w:val="clear" w:color="auto" w:fill="auto"/>
          </w:tcPr>
          <w:p w14:paraId="2DBC9273" w14:textId="77777777" w:rsidR="00A556C5" w:rsidRPr="00CD4982" w:rsidRDefault="00A556C5" w:rsidP="00A556C5">
            <w:pPr>
              <w:jc w:val="both"/>
              <w:rPr>
                <w:rFonts w:eastAsia="Calibri"/>
                <w:i/>
                <w:sz w:val="20"/>
                <w:szCs w:val="20"/>
                <w:lang w:eastAsia="sk-SK"/>
              </w:rPr>
            </w:pPr>
            <w:r w:rsidRPr="00CD4982">
              <w:rPr>
                <w:rFonts w:eastAsia="Calibri"/>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364B0637" w14:textId="77777777" w:rsidR="00A556C5" w:rsidRPr="00CA6BAF" w:rsidRDefault="00A556C5" w:rsidP="00A556C5">
            <w:pPr>
              <w:jc w:val="both"/>
              <w:rPr>
                <w:rFonts w:eastAsia="Calibri"/>
                <w:sz w:val="20"/>
                <w:szCs w:val="20"/>
                <w:lang w:eastAsia="sk-SK"/>
              </w:rPr>
            </w:pPr>
            <w:r w:rsidRPr="009E0071">
              <w:rPr>
                <w:bCs/>
                <w:sz w:val="20"/>
                <w:lang w:eastAsia="ar-SA"/>
              </w:rPr>
              <w:t>Domácnostiam využívajúcim elektromobily klesnú výdavky na osobnú dopravu pri využívaní verejných nabíjacích staníc oproti domácnostiam využívajúcim automobily so spaľovacími</w:t>
            </w:r>
            <w:r>
              <w:rPr>
                <w:bCs/>
                <w:sz w:val="20"/>
                <w:lang w:eastAsia="ar-SA"/>
              </w:rPr>
              <w:t>,</w:t>
            </w:r>
            <w:r w:rsidRPr="009E0071">
              <w:rPr>
                <w:bCs/>
                <w:sz w:val="20"/>
                <w:lang w:eastAsia="ar-SA"/>
              </w:rPr>
              <w:t xml:space="preserve"> resp. vznetovými motormi. Výška úspory sa nedá presne vyčísliť, pretože je závislá na cenovom vývoji fosílnych palív v porovnaní s cenou elektriny a tiež na intenzite osobnej dopravy. Celková výška úspory obyvateľstva je tiež závislá od celkového počtu predaných elektromobilov</w:t>
            </w:r>
            <w:r>
              <w:rPr>
                <w:bCs/>
                <w:sz w:val="20"/>
                <w:lang w:eastAsia="ar-SA"/>
              </w:rPr>
              <w:t>.</w:t>
            </w:r>
          </w:p>
        </w:tc>
      </w:tr>
      <w:tr w:rsidR="00A556C5" w:rsidRPr="00CD4982" w14:paraId="792A3E57" w14:textId="77777777" w:rsidTr="00B51CD5">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12CBCCFF" w14:textId="1617C776"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F841519" w14:textId="77777777" w:rsidR="00A556C5" w:rsidRPr="00CA6BAF" w:rsidRDefault="00A556C5" w:rsidP="00A556C5">
            <w:pPr>
              <w:jc w:val="both"/>
              <w:rPr>
                <w:rFonts w:eastAsia="Calibri"/>
                <w:sz w:val="20"/>
                <w:szCs w:val="20"/>
                <w:lang w:eastAsia="sk-SK"/>
              </w:rPr>
            </w:pPr>
          </w:p>
        </w:tc>
      </w:tr>
      <w:tr w:rsidR="00A556C5" w:rsidRPr="00CD4982" w14:paraId="51F39908" w14:textId="77777777" w:rsidTr="00B51CD5">
        <w:trPr>
          <w:trHeight w:val="363"/>
          <w:jc w:val="center"/>
        </w:trPr>
        <w:tc>
          <w:tcPr>
            <w:tcW w:w="2500" w:type="pct"/>
            <w:tcBorders>
              <w:top w:val="single" w:sz="4" w:space="0" w:color="BFBFBF" w:themeColor="background1" w:themeShade="BF"/>
              <w:bottom w:val="single" w:sz="4" w:space="0" w:color="auto"/>
            </w:tcBorders>
            <w:shd w:val="clear" w:color="auto" w:fill="auto"/>
          </w:tcPr>
          <w:p w14:paraId="64A67CC6"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lastRenderedPageBreak/>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620DAACB" w14:textId="0A965716" w:rsidR="00A556C5" w:rsidRDefault="00A556C5" w:rsidP="00A556C5">
            <w:pPr>
              <w:jc w:val="both"/>
              <w:rPr>
                <w:rFonts w:eastAsia="Calibri"/>
                <w:sz w:val="20"/>
                <w:szCs w:val="20"/>
                <w:lang w:eastAsia="sk-SK"/>
              </w:rPr>
            </w:pPr>
            <w:r w:rsidRPr="00920441">
              <w:rPr>
                <w:rFonts w:eastAsia="Calibri"/>
                <w:sz w:val="20"/>
                <w:szCs w:val="20"/>
                <w:lang w:eastAsia="sk-SK"/>
              </w:rPr>
              <w:t>Počet evidovaných vozidiel s batériovým elektrickým/</w:t>
            </w:r>
            <w:proofErr w:type="spellStart"/>
            <w:r w:rsidRPr="00920441">
              <w:rPr>
                <w:rFonts w:eastAsia="Calibri"/>
                <w:sz w:val="20"/>
                <w:szCs w:val="20"/>
                <w:lang w:eastAsia="sk-SK"/>
              </w:rPr>
              <w:t>plug</w:t>
            </w:r>
            <w:proofErr w:type="spellEnd"/>
            <w:r w:rsidRPr="00920441">
              <w:rPr>
                <w:rFonts w:eastAsia="Calibri"/>
                <w:sz w:val="20"/>
                <w:szCs w:val="20"/>
                <w:lang w:eastAsia="sk-SK"/>
              </w:rPr>
              <w:t>-in</w:t>
            </w:r>
            <w:r>
              <w:rPr>
                <w:rFonts w:eastAsia="Calibri"/>
                <w:sz w:val="20"/>
                <w:szCs w:val="20"/>
                <w:lang w:eastAsia="sk-SK"/>
              </w:rPr>
              <w:t xml:space="preserve"> hybridným pohonom v SR k 31. 08</w:t>
            </w:r>
            <w:r w:rsidRPr="00920441">
              <w:rPr>
                <w:rFonts w:eastAsia="Calibri"/>
                <w:sz w:val="20"/>
                <w:szCs w:val="20"/>
                <w:lang w:eastAsia="sk-SK"/>
              </w:rPr>
              <w:t>.</w:t>
            </w:r>
            <w:r w:rsidR="009B5DED">
              <w:rPr>
                <w:rFonts w:eastAsia="Calibri"/>
                <w:sz w:val="20"/>
                <w:szCs w:val="20"/>
                <w:lang w:eastAsia="sk-SK"/>
              </w:rPr>
              <w:t xml:space="preserve"> 2018 bol 2</w:t>
            </w:r>
            <w:r>
              <w:rPr>
                <w:rFonts w:eastAsia="Calibri"/>
                <w:sz w:val="20"/>
                <w:szCs w:val="20"/>
                <w:lang w:eastAsia="sk-SK"/>
              </w:rPr>
              <w:t>122</w:t>
            </w:r>
            <w:r w:rsidRPr="009E0071">
              <w:rPr>
                <w:rFonts w:eastAsia="Calibri"/>
                <w:sz w:val="20"/>
                <w:szCs w:val="20"/>
                <w:lang w:eastAsia="sk-SK"/>
              </w:rPr>
              <w:t>.</w:t>
            </w:r>
          </w:p>
          <w:p w14:paraId="415E190B" w14:textId="77777777" w:rsidR="00A556C5" w:rsidRPr="00CA6BAF" w:rsidRDefault="00A556C5" w:rsidP="00A556C5">
            <w:pPr>
              <w:jc w:val="both"/>
              <w:rPr>
                <w:rFonts w:eastAsia="Calibri"/>
                <w:sz w:val="20"/>
                <w:szCs w:val="20"/>
                <w:lang w:eastAsia="sk-SK"/>
              </w:rPr>
            </w:pPr>
          </w:p>
        </w:tc>
      </w:tr>
      <w:tr w:rsidR="00A556C5" w:rsidRPr="00CD4982" w14:paraId="5C0790C6" w14:textId="77777777" w:rsidTr="00B51CD5">
        <w:trPr>
          <w:trHeight w:val="265"/>
          <w:jc w:val="center"/>
        </w:trPr>
        <w:tc>
          <w:tcPr>
            <w:tcW w:w="5000" w:type="pct"/>
            <w:gridSpan w:val="2"/>
            <w:tcBorders>
              <w:top w:val="single" w:sz="4" w:space="0" w:color="auto"/>
            </w:tcBorders>
            <w:shd w:val="clear" w:color="auto" w:fill="auto"/>
          </w:tcPr>
          <w:p w14:paraId="0942A02D" w14:textId="77777777" w:rsidR="00A556C5" w:rsidRPr="00CD4982" w:rsidRDefault="00A556C5" w:rsidP="00A556C5">
            <w:pPr>
              <w:jc w:val="both"/>
              <w:rPr>
                <w:rFonts w:eastAsia="Calibri"/>
                <w:i/>
                <w:sz w:val="20"/>
                <w:szCs w:val="20"/>
                <w:lang w:eastAsia="sk-SK"/>
              </w:rPr>
            </w:pPr>
            <w:r w:rsidRPr="00DA4453">
              <w:rPr>
                <w:rFonts w:eastAsia="Calibri"/>
                <w:b/>
                <w:i/>
                <w:sz w:val="20"/>
                <w:szCs w:val="20"/>
                <w:lang w:eastAsia="sk-SK"/>
              </w:rPr>
              <w:t>Ovplyvnená skupina č. 2:</w:t>
            </w:r>
          </w:p>
        </w:tc>
      </w:tr>
      <w:tr w:rsidR="00A556C5" w:rsidRPr="00CD4982" w14:paraId="72FC89E1" w14:textId="77777777" w:rsidTr="00B51CD5">
        <w:trPr>
          <w:trHeight w:val="587"/>
          <w:jc w:val="center"/>
        </w:trPr>
        <w:tc>
          <w:tcPr>
            <w:tcW w:w="2500" w:type="pct"/>
            <w:tcBorders>
              <w:bottom w:val="single" w:sz="4" w:space="0" w:color="BFBFBF" w:themeColor="background1" w:themeShade="BF"/>
            </w:tcBorders>
            <w:shd w:val="clear" w:color="auto" w:fill="auto"/>
          </w:tcPr>
          <w:p w14:paraId="2949DF23" w14:textId="77777777" w:rsidR="00A556C5" w:rsidRPr="00CD4982" w:rsidRDefault="00A556C5" w:rsidP="00A556C5">
            <w:pPr>
              <w:jc w:val="both"/>
              <w:rPr>
                <w:rFonts w:eastAsia="Calibri"/>
                <w:i/>
                <w:sz w:val="20"/>
                <w:szCs w:val="20"/>
                <w:lang w:eastAsia="sk-SK"/>
              </w:rPr>
            </w:pPr>
            <w:r w:rsidRPr="00CD4982">
              <w:rPr>
                <w:rFonts w:eastAsia="Calibri"/>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12020813" w14:textId="77777777" w:rsidR="00A556C5" w:rsidRPr="00CA6BAF" w:rsidRDefault="00A556C5" w:rsidP="00A556C5">
            <w:pPr>
              <w:jc w:val="both"/>
              <w:rPr>
                <w:rFonts w:eastAsia="Calibri"/>
                <w:sz w:val="20"/>
                <w:szCs w:val="20"/>
                <w:lang w:eastAsia="sk-SK"/>
              </w:rPr>
            </w:pPr>
          </w:p>
        </w:tc>
      </w:tr>
      <w:tr w:rsidR="00A556C5" w:rsidRPr="00CD4982" w14:paraId="7A8B138E" w14:textId="77777777" w:rsidTr="00B51CD5">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5D4279CB"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A4740BA" w14:textId="77777777" w:rsidR="00A556C5" w:rsidRPr="00CA6BAF" w:rsidRDefault="00A556C5" w:rsidP="00A556C5">
            <w:pPr>
              <w:jc w:val="both"/>
              <w:rPr>
                <w:rFonts w:eastAsia="Calibri"/>
                <w:sz w:val="20"/>
                <w:szCs w:val="20"/>
                <w:lang w:eastAsia="sk-SK"/>
              </w:rPr>
            </w:pPr>
          </w:p>
        </w:tc>
      </w:tr>
      <w:tr w:rsidR="00A556C5" w:rsidRPr="00CD4982" w14:paraId="4A555949" w14:textId="77777777" w:rsidTr="00B51CD5">
        <w:trPr>
          <w:trHeight w:val="363"/>
          <w:jc w:val="center"/>
        </w:trPr>
        <w:tc>
          <w:tcPr>
            <w:tcW w:w="2500" w:type="pct"/>
            <w:tcBorders>
              <w:top w:val="single" w:sz="4" w:space="0" w:color="BFBFBF" w:themeColor="background1" w:themeShade="BF"/>
            </w:tcBorders>
            <w:shd w:val="clear" w:color="auto" w:fill="auto"/>
          </w:tcPr>
          <w:p w14:paraId="447A35AF"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1F6A413C" w14:textId="77777777" w:rsidR="00A556C5" w:rsidRPr="00CA6BAF" w:rsidRDefault="00A556C5" w:rsidP="00A556C5">
            <w:pPr>
              <w:jc w:val="both"/>
              <w:rPr>
                <w:rFonts w:eastAsia="Calibri"/>
                <w:sz w:val="20"/>
                <w:szCs w:val="20"/>
                <w:lang w:eastAsia="sk-SK"/>
              </w:rPr>
            </w:pPr>
          </w:p>
        </w:tc>
      </w:tr>
      <w:tr w:rsidR="00A556C5" w:rsidRPr="00CD4982" w14:paraId="1F8280C7" w14:textId="77777777" w:rsidTr="00B51CD5">
        <w:trPr>
          <w:trHeight w:val="670"/>
          <w:jc w:val="center"/>
        </w:trPr>
        <w:tc>
          <w:tcPr>
            <w:tcW w:w="2500" w:type="pct"/>
            <w:shd w:val="clear" w:color="auto" w:fill="auto"/>
          </w:tcPr>
          <w:p w14:paraId="474F3217" w14:textId="77777777" w:rsidR="00A556C5" w:rsidRPr="00CD4982" w:rsidRDefault="00A556C5" w:rsidP="00A556C5">
            <w:pPr>
              <w:rPr>
                <w:rFonts w:ascii="Calibri" w:eastAsia="Calibri" w:hAnsi="Calibri"/>
                <w:i/>
                <w:sz w:val="20"/>
                <w:szCs w:val="20"/>
                <w:lang w:eastAsia="sk-SK"/>
              </w:rPr>
            </w:pPr>
            <w:r w:rsidRPr="00CD4982">
              <w:rPr>
                <w:rFonts w:eastAsia="Calibri"/>
                <w:i/>
                <w:sz w:val="20"/>
                <w:szCs w:val="20"/>
                <w:lang w:eastAsia="sk-SK"/>
              </w:rPr>
              <w:t>Dôvod chýbajúcej kvantifikácie:</w:t>
            </w:r>
          </w:p>
        </w:tc>
        <w:tc>
          <w:tcPr>
            <w:tcW w:w="2500" w:type="pct"/>
            <w:shd w:val="clear" w:color="auto" w:fill="auto"/>
          </w:tcPr>
          <w:p w14:paraId="44417DC3" w14:textId="77777777" w:rsidR="00A556C5" w:rsidRPr="00CA6BAF" w:rsidRDefault="00A556C5" w:rsidP="00A556C5">
            <w:pPr>
              <w:jc w:val="both"/>
              <w:rPr>
                <w:rFonts w:eastAsia="Calibri"/>
                <w:sz w:val="20"/>
                <w:szCs w:val="20"/>
                <w:lang w:eastAsia="sk-SK"/>
              </w:rPr>
            </w:pPr>
          </w:p>
        </w:tc>
      </w:tr>
      <w:tr w:rsidR="00A556C5" w:rsidRPr="00CD4982" w14:paraId="5D08E3DC" w14:textId="77777777" w:rsidTr="00B51CD5">
        <w:trPr>
          <w:trHeight w:val="670"/>
          <w:jc w:val="center"/>
        </w:trPr>
        <w:tc>
          <w:tcPr>
            <w:tcW w:w="2500" w:type="pct"/>
            <w:shd w:val="clear" w:color="auto" w:fill="auto"/>
          </w:tcPr>
          <w:p w14:paraId="6C930B16" w14:textId="77777777" w:rsidR="00A556C5" w:rsidRPr="00CD4982" w:rsidRDefault="00A556C5" w:rsidP="00A556C5">
            <w:pPr>
              <w:jc w:val="both"/>
              <w:rPr>
                <w:rFonts w:eastAsia="Calibri"/>
                <w:i/>
                <w:lang w:eastAsia="sk-SK"/>
              </w:rPr>
            </w:pPr>
            <w:r w:rsidRPr="00CD4982">
              <w:rPr>
                <w:rFonts w:eastAsia="Calibri"/>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601D3F0E" w14:textId="77777777" w:rsidR="00A556C5" w:rsidRPr="00CA6BAF" w:rsidRDefault="00A556C5" w:rsidP="00A556C5">
            <w:pPr>
              <w:jc w:val="both"/>
              <w:rPr>
                <w:rFonts w:eastAsia="Calibri"/>
                <w:sz w:val="20"/>
                <w:szCs w:val="20"/>
                <w:lang w:eastAsia="sk-SK"/>
              </w:rPr>
            </w:pPr>
          </w:p>
        </w:tc>
      </w:tr>
    </w:tbl>
    <w:p w14:paraId="391A5EB7" w14:textId="77777777" w:rsidR="00A556C5" w:rsidRDefault="00A556C5" w:rsidP="00B51CD5">
      <w:pPr>
        <w:rPr>
          <w:rFonts w:eastAsia="Calibri"/>
          <w:b/>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A556C5" w:rsidRPr="00CD4982" w14:paraId="5F99CAD1" w14:textId="77777777" w:rsidTr="001E496D">
        <w:trPr>
          <w:trHeight w:val="339"/>
          <w:jc w:val="center"/>
        </w:trPr>
        <w:tc>
          <w:tcPr>
            <w:tcW w:w="4999" w:type="pct"/>
            <w:gridSpan w:val="2"/>
            <w:tcBorders>
              <w:bottom w:val="single" w:sz="4" w:space="0" w:color="auto"/>
            </w:tcBorders>
            <w:shd w:val="clear" w:color="auto" w:fill="D9D9D9"/>
          </w:tcPr>
          <w:p w14:paraId="6243D6F1" w14:textId="7664FF20" w:rsidR="00A556C5" w:rsidRPr="00CD4982" w:rsidRDefault="00A556C5" w:rsidP="00015502">
            <w:pPr>
              <w:jc w:val="both"/>
              <w:rPr>
                <w:rFonts w:eastAsia="Calibri"/>
                <w:b/>
                <w:lang w:eastAsia="sk-SK"/>
              </w:rPr>
            </w:pPr>
            <w:r w:rsidRPr="00CD4982">
              <w:rPr>
                <w:rFonts w:eastAsia="Calibri"/>
                <w:b/>
                <w:lang w:eastAsia="sk-SK"/>
              </w:rPr>
              <w:t>4.2 Identifikujte, popíšte a kvantifikujte vplyvy na prístup k zdrojom, právam, tovarom a</w:t>
            </w:r>
            <w:r w:rsidR="001A2280">
              <w:rPr>
                <w:rFonts w:eastAsia="Calibri"/>
                <w:b/>
                <w:lang w:eastAsia="sk-SK"/>
              </w:rPr>
              <w:t> </w:t>
            </w:r>
            <w:r w:rsidRPr="00CD4982">
              <w:rPr>
                <w:rFonts w:eastAsia="Calibri"/>
                <w:b/>
                <w:lang w:eastAsia="sk-SK"/>
              </w:rPr>
              <w:t>službám u jednotlivých ovplyvnených skupín obyvateľstva a vplyv na sociálnu inklúziu.</w:t>
            </w:r>
          </w:p>
        </w:tc>
      </w:tr>
      <w:tr w:rsidR="00A556C5" w:rsidRPr="00CD4982" w14:paraId="2A91808C" w14:textId="77777777" w:rsidTr="001E496D">
        <w:trPr>
          <w:trHeight w:val="290"/>
          <w:jc w:val="center"/>
        </w:trPr>
        <w:tc>
          <w:tcPr>
            <w:tcW w:w="4999" w:type="pct"/>
            <w:gridSpan w:val="2"/>
            <w:tcBorders>
              <w:bottom w:val="single" w:sz="4" w:space="0" w:color="auto"/>
            </w:tcBorders>
            <w:shd w:val="clear" w:color="auto" w:fill="F2F2F2"/>
          </w:tcPr>
          <w:p w14:paraId="2A06AA04" w14:textId="77777777" w:rsidR="00A556C5" w:rsidRPr="00CD4982" w:rsidRDefault="00A556C5" w:rsidP="00A556C5">
            <w:pPr>
              <w:jc w:val="both"/>
              <w:rPr>
                <w:rFonts w:eastAsia="Calibri"/>
                <w:i/>
                <w:sz w:val="20"/>
                <w:lang w:eastAsia="sk-SK"/>
              </w:rPr>
            </w:pPr>
            <w:r w:rsidRPr="00CD4982">
              <w:rPr>
                <w:rFonts w:eastAsia="Calibri"/>
                <w:i/>
                <w:sz w:val="20"/>
                <w:lang w:eastAsia="sk-SK"/>
              </w:rPr>
              <w:t xml:space="preserve">Má návrh vplyv na prístup k zdrojom, právam, tovarom a službám? </w:t>
            </w:r>
          </w:p>
          <w:p w14:paraId="5CB5191E" w14:textId="77777777" w:rsidR="00A556C5" w:rsidRPr="00CD4982" w:rsidRDefault="00A556C5" w:rsidP="00A556C5">
            <w:pPr>
              <w:jc w:val="both"/>
              <w:rPr>
                <w:rFonts w:ascii="Calibri" w:eastAsia="Calibri" w:hAnsi="Calibri"/>
                <w:i/>
                <w:lang w:eastAsia="sk-SK"/>
              </w:rPr>
            </w:pPr>
            <w:r w:rsidRPr="00CD4982">
              <w:rPr>
                <w:rFonts w:eastAsia="Calibri"/>
                <w:i/>
                <w:sz w:val="20"/>
                <w:lang w:eastAsia="sk-SK"/>
              </w:rPr>
              <w:t>Špecifikujete ovplyvnené skupiny obyvateľstva a charakter zmeny v prístupnosti s ohľadom na dostupnosť finančnú, geografickú, kvalitu, organizovanie a pod. Uveďte veľkosť jednotlivých ovplyvnených skupín.</w:t>
            </w:r>
          </w:p>
        </w:tc>
      </w:tr>
      <w:tr w:rsidR="00A556C5" w:rsidRPr="00CD4982" w14:paraId="2359583F" w14:textId="77777777" w:rsidTr="001E496D">
        <w:tblPrEx>
          <w:tblBorders>
            <w:top w:val="none" w:sz="0" w:space="0" w:color="auto"/>
          </w:tblBorders>
        </w:tblPrEx>
        <w:trPr>
          <w:trHeight w:val="6832"/>
          <w:jc w:val="center"/>
        </w:trPr>
        <w:tc>
          <w:tcPr>
            <w:tcW w:w="1993" w:type="pct"/>
            <w:shd w:val="clear" w:color="auto" w:fill="auto"/>
          </w:tcPr>
          <w:p w14:paraId="501511D3" w14:textId="77777777" w:rsidR="00A556C5" w:rsidRPr="00CD4982" w:rsidRDefault="00A556C5" w:rsidP="00A556C5">
            <w:pPr>
              <w:jc w:val="both"/>
              <w:rPr>
                <w:rFonts w:eastAsia="Calibri"/>
                <w:i/>
                <w:sz w:val="18"/>
                <w:szCs w:val="18"/>
                <w:lang w:eastAsia="sk-SK"/>
              </w:rPr>
            </w:pPr>
            <w:r w:rsidRPr="00CD4982">
              <w:rPr>
                <w:rFonts w:eastAsia="Calibri"/>
                <w:i/>
                <w:sz w:val="18"/>
                <w:szCs w:val="18"/>
                <w:lang w:eastAsia="sk-SK"/>
              </w:rPr>
              <w:t>Rozumie sa najmä na prístup k:</w:t>
            </w:r>
          </w:p>
          <w:p w14:paraId="5359AB2F" w14:textId="24FF6686"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sociálnej ochrane, sociálno-právnej ochrane, sociálnym službám (vrátane služieb starostlivosti o deti, starších ľudí a</w:t>
            </w:r>
            <w:r w:rsidR="00E51FD7">
              <w:rPr>
                <w:rFonts w:eastAsia="Calibri"/>
                <w:i/>
                <w:sz w:val="18"/>
                <w:szCs w:val="18"/>
                <w:lang w:eastAsia="sk-SK"/>
              </w:rPr>
              <w:t> </w:t>
            </w:r>
            <w:r w:rsidRPr="00CD4982">
              <w:rPr>
                <w:rFonts w:eastAsia="Calibri"/>
                <w:i/>
                <w:sz w:val="18"/>
                <w:szCs w:val="18"/>
                <w:lang w:eastAsia="sk-SK"/>
              </w:rPr>
              <w:t>ľudí</w:t>
            </w:r>
            <w:r w:rsidR="00E51FD7">
              <w:rPr>
                <w:rFonts w:eastAsia="Calibri"/>
                <w:i/>
                <w:sz w:val="18"/>
                <w:szCs w:val="18"/>
                <w:lang w:eastAsia="sk-SK"/>
              </w:rPr>
              <w:t xml:space="preserve"> </w:t>
            </w:r>
            <w:r w:rsidRPr="00CD4982">
              <w:rPr>
                <w:rFonts w:eastAsia="Calibri"/>
                <w:i/>
                <w:sz w:val="18"/>
                <w:szCs w:val="18"/>
                <w:lang w:eastAsia="sk-SK"/>
              </w:rPr>
              <w:t>so zdravotným postihnutím),</w:t>
            </w:r>
          </w:p>
          <w:p w14:paraId="32091A9E"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kvalitnej práci, ochrane zdravia, dôstojnosti a bezpečnosti pri práci pre zamestnancov a existujúcim zamestnaneckým právam,</w:t>
            </w:r>
          </w:p>
          <w:p w14:paraId="224EF27F"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 xml:space="preserve">pomoci pri úhrade výdavkov súvisiacich so zdravotným postihnutím, </w:t>
            </w:r>
          </w:p>
          <w:p w14:paraId="49B9B679" w14:textId="1CAB6F98"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zamestnaniu, na trh práce (napr. uľahčenie zosúladenia rodinných a pracovných povinností, služby zamestnanosti), k školeniam, odbornému vzdelávaniu</w:t>
            </w:r>
            <w:r w:rsidR="001745EF">
              <w:rPr>
                <w:rFonts w:eastAsia="Calibri"/>
                <w:i/>
                <w:sz w:val="18"/>
                <w:szCs w:val="18"/>
                <w:lang w:eastAsia="sk-SK"/>
              </w:rPr>
              <w:t xml:space="preserve">                    </w:t>
            </w:r>
            <w:r w:rsidRPr="00CD4982">
              <w:rPr>
                <w:rFonts w:eastAsia="Calibri"/>
                <w:i/>
                <w:sz w:val="18"/>
                <w:szCs w:val="18"/>
                <w:lang w:eastAsia="sk-SK"/>
              </w:rPr>
              <w:t xml:space="preserve"> a príprave na trh práce,</w:t>
            </w:r>
          </w:p>
          <w:p w14:paraId="749A0C9B" w14:textId="52212CBB"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zdravotnej starostlivosti</w:t>
            </w:r>
            <w:r w:rsidR="0036600D">
              <w:rPr>
                <w:rFonts w:eastAsia="Calibri"/>
                <w:i/>
                <w:sz w:val="18"/>
                <w:szCs w:val="18"/>
                <w:lang w:eastAsia="sk-SK"/>
              </w:rPr>
              <w:t>,</w:t>
            </w:r>
            <w:r w:rsidRPr="00CD4982">
              <w:rPr>
                <w:rFonts w:eastAsia="Calibri"/>
                <w:i/>
                <w:sz w:val="18"/>
                <w:szCs w:val="18"/>
                <w:lang w:eastAsia="sk-SK"/>
              </w:rPr>
              <w:t xml:space="preserve"> vrátane cenovo dostupných pomôcok pre občanov </w:t>
            </w:r>
            <w:r w:rsidR="001745EF">
              <w:rPr>
                <w:rFonts w:eastAsia="Calibri"/>
                <w:i/>
                <w:sz w:val="18"/>
                <w:szCs w:val="18"/>
                <w:lang w:eastAsia="sk-SK"/>
              </w:rPr>
              <w:t xml:space="preserve">                   </w:t>
            </w:r>
            <w:r w:rsidRPr="00CD4982">
              <w:rPr>
                <w:rFonts w:eastAsia="Calibri"/>
                <w:i/>
                <w:sz w:val="18"/>
                <w:szCs w:val="18"/>
                <w:lang w:eastAsia="sk-SK"/>
              </w:rPr>
              <w:t xml:space="preserve">so zdravotným postihnutím, </w:t>
            </w:r>
          </w:p>
          <w:p w14:paraId="54E28F8B"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k formálnemu i neformálnemu vzdelávaniu a celo</w:t>
            </w:r>
            <w:r w:rsidRPr="00CD4982">
              <w:rPr>
                <w:rFonts w:eastAsia="Calibri"/>
                <w:i/>
                <w:sz w:val="18"/>
                <w:szCs w:val="18"/>
                <w:lang w:eastAsia="sk-SK"/>
              </w:rPr>
              <w:softHyphen/>
              <w:t xml:space="preserve">životnému vzdelávaniu, </w:t>
            </w:r>
          </w:p>
          <w:p w14:paraId="12A99D71"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bývaniu a súvisiacim základným komunálnym službám,</w:t>
            </w:r>
          </w:p>
          <w:p w14:paraId="1009B8A4"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doprave,</w:t>
            </w:r>
          </w:p>
          <w:p w14:paraId="5FFD3515" w14:textId="5BB6442C"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ďalším službám</w:t>
            </w:r>
            <w:r w:rsidR="0036600D">
              <w:rPr>
                <w:rFonts w:eastAsia="Calibri"/>
                <w:i/>
                <w:sz w:val="18"/>
                <w:szCs w:val="18"/>
                <w:lang w:eastAsia="sk-SK"/>
              </w:rPr>
              <w:t>,</w:t>
            </w:r>
            <w:r w:rsidRPr="00CD4982">
              <w:rPr>
                <w:rFonts w:eastAsia="Calibri"/>
                <w:i/>
                <w:sz w:val="18"/>
                <w:szCs w:val="18"/>
                <w:lang w:eastAsia="sk-SK"/>
              </w:rPr>
              <w:t xml:space="preserve"> najmä službám všeobecného záujmu a tovarom,</w:t>
            </w:r>
          </w:p>
          <w:p w14:paraId="0FEA47BD"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spravodlivosti, právnej ochrane, právnym službám,</w:t>
            </w:r>
          </w:p>
          <w:p w14:paraId="29CEE0B9"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informáciám</w:t>
            </w:r>
          </w:p>
          <w:p w14:paraId="008FE27E" w14:textId="77777777" w:rsidR="00A556C5" w:rsidRPr="00CD4982" w:rsidRDefault="00A556C5" w:rsidP="00A556C5">
            <w:pPr>
              <w:numPr>
                <w:ilvl w:val="0"/>
                <w:numId w:val="33"/>
              </w:numPr>
              <w:jc w:val="both"/>
              <w:rPr>
                <w:rFonts w:ascii="Calibri" w:eastAsia="Calibri" w:hAnsi="Calibri"/>
                <w:i/>
                <w:sz w:val="20"/>
                <w:szCs w:val="20"/>
                <w:lang w:eastAsia="sk-SK"/>
              </w:rPr>
            </w:pPr>
            <w:r w:rsidRPr="00CD4982">
              <w:rPr>
                <w:rFonts w:eastAsia="Calibri"/>
                <w:i/>
                <w:sz w:val="18"/>
                <w:szCs w:val="18"/>
                <w:lang w:eastAsia="sk-SK"/>
              </w:rPr>
              <w:t>k iným právam (napr. politickým).</w:t>
            </w:r>
          </w:p>
        </w:tc>
        <w:tc>
          <w:tcPr>
            <w:tcW w:w="3006" w:type="pct"/>
            <w:shd w:val="clear" w:color="auto" w:fill="auto"/>
          </w:tcPr>
          <w:p w14:paraId="2AF0A19D" w14:textId="77777777" w:rsidR="00A556C5" w:rsidRDefault="00A556C5" w:rsidP="00A556C5">
            <w:pPr>
              <w:rPr>
                <w:rFonts w:eastAsia="Calibri"/>
                <w:sz w:val="20"/>
                <w:szCs w:val="20"/>
                <w:lang w:eastAsia="sk-SK"/>
              </w:rPr>
            </w:pPr>
          </w:p>
          <w:p w14:paraId="6C74D375" w14:textId="31C90610" w:rsidR="00A556C5" w:rsidRPr="00F6041E" w:rsidRDefault="00A556C5" w:rsidP="00A556C5">
            <w:pPr>
              <w:jc w:val="both"/>
              <w:rPr>
                <w:rFonts w:eastAsia="Calibri"/>
                <w:sz w:val="20"/>
                <w:szCs w:val="18"/>
              </w:rPr>
            </w:pPr>
            <w:r w:rsidRPr="00F6041E">
              <w:rPr>
                <w:rFonts w:eastAsia="Calibri"/>
                <w:sz w:val="20"/>
                <w:szCs w:val="20"/>
                <w:lang w:eastAsia="sk-SK"/>
              </w:rPr>
              <w:t>Návrh zlepší územnú dostupn</w:t>
            </w:r>
            <w:bookmarkStart w:id="0" w:name="_GoBack"/>
            <w:bookmarkEnd w:id="0"/>
            <w:r w:rsidRPr="00F6041E">
              <w:rPr>
                <w:rFonts w:eastAsia="Calibri"/>
                <w:sz w:val="20"/>
                <w:szCs w:val="20"/>
                <w:lang w:eastAsia="sk-SK"/>
              </w:rPr>
              <w:t xml:space="preserve">osť infraštruktúry pre užívateľov vozidiel s alternatívnym pohonom,  a to najmä v mestách a iných husto obývaných oblastiach. </w:t>
            </w:r>
            <w:r w:rsidRPr="00F6041E">
              <w:rPr>
                <w:rFonts w:eastAsia="Calibri"/>
                <w:sz w:val="20"/>
                <w:szCs w:val="18"/>
              </w:rPr>
              <w:t>Návrh podporí tiež prístup                                k informáciách  o alternatívnych palivách a dostupnej infraštruktúre</w:t>
            </w:r>
            <w:r w:rsidR="006B781D">
              <w:rPr>
                <w:rFonts w:eastAsia="Calibri"/>
                <w:sz w:val="20"/>
                <w:szCs w:val="18"/>
              </w:rPr>
              <w:t>,</w:t>
            </w:r>
            <w:r w:rsidRPr="00F6041E">
              <w:rPr>
                <w:rFonts w:eastAsia="Calibri"/>
                <w:sz w:val="20"/>
                <w:szCs w:val="18"/>
              </w:rPr>
              <w:t xml:space="preserve"> a k vzdelávaniu pracovných síl pre odvetvie alternatívnych palív.</w:t>
            </w:r>
          </w:p>
          <w:p w14:paraId="58E12986" w14:textId="77777777" w:rsidR="00A556C5" w:rsidRPr="00F6041E" w:rsidRDefault="00A556C5" w:rsidP="00A556C5">
            <w:pPr>
              <w:jc w:val="both"/>
              <w:rPr>
                <w:rFonts w:eastAsia="Calibri"/>
                <w:sz w:val="20"/>
                <w:szCs w:val="18"/>
              </w:rPr>
            </w:pPr>
          </w:p>
          <w:p w14:paraId="5102DF35" w14:textId="77777777" w:rsidR="00A556C5" w:rsidRPr="00F6041E" w:rsidRDefault="00A556C5" w:rsidP="00A556C5">
            <w:pPr>
              <w:jc w:val="both"/>
              <w:rPr>
                <w:rFonts w:eastAsia="Calibri"/>
                <w:sz w:val="20"/>
                <w:szCs w:val="20"/>
                <w:lang w:eastAsia="sk-SK"/>
              </w:rPr>
            </w:pPr>
            <w:r w:rsidRPr="00920441">
              <w:rPr>
                <w:rFonts w:eastAsia="Calibri"/>
                <w:sz w:val="20"/>
                <w:szCs w:val="20"/>
                <w:lang w:eastAsia="sk-SK"/>
              </w:rPr>
              <w:t>Počet evidovaných vozidiel s batériovým elektrickým/</w:t>
            </w:r>
            <w:proofErr w:type="spellStart"/>
            <w:r w:rsidRPr="00920441">
              <w:rPr>
                <w:rFonts w:eastAsia="Calibri"/>
                <w:sz w:val="20"/>
                <w:szCs w:val="20"/>
                <w:lang w:eastAsia="sk-SK"/>
              </w:rPr>
              <w:t>plug</w:t>
            </w:r>
            <w:proofErr w:type="spellEnd"/>
            <w:r w:rsidRPr="00920441">
              <w:rPr>
                <w:rFonts w:eastAsia="Calibri"/>
                <w:sz w:val="20"/>
                <w:szCs w:val="20"/>
                <w:lang w:eastAsia="sk-SK"/>
              </w:rPr>
              <w:t>-in</w:t>
            </w:r>
            <w:r>
              <w:rPr>
                <w:rFonts w:eastAsia="Calibri"/>
                <w:sz w:val="20"/>
                <w:szCs w:val="20"/>
                <w:lang w:eastAsia="sk-SK"/>
              </w:rPr>
              <w:t xml:space="preserve"> hybridným pohonom v SR k 31. 08. 2018</w:t>
            </w:r>
            <w:r w:rsidRPr="00920441">
              <w:rPr>
                <w:rFonts w:eastAsia="Calibri"/>
                <w:sz w:val="20"/>
                <w:szCs w:val="20"/>
                <w:lang w:eastAsia="sk-SK"/>
              </w:rPr>
              <w:t xml:space="preserve"> bol </w:t>
            </w:r>
            <w:r>
              <w:rPr>
                <w:rFonts w:eastAsia="Calibri"/>
                <w:sz w:val="20"/>
                <w:szCs w:val="20"/>
                <w:lang w:eastAsia="sk-SK"/>
              </w:rPr>
              <w:t>2</w:t>
            </w:r>
            <w:r w:rsidRPr="00920441">
              <w:rPr>
                <w:rFonts w:eastAsia="Calibri"/>
                <w:sz w:val="20"/>
                <w:szCs w:val="20"/>
                <w:lang w:eastAsia="sk-SK"/>
              </w:rPr>
              <w:t xml:space="preserve"> </w:t>
            </w:r>
            <w:r>
              <w:rPr>
                <w:rFonts w:eastAsia="Calibri"/>
                <w:sz w:val="20"/>
                <w:szCs w:val="20"/>
                <w:lang w:eastAsia="sk-SK"/>
              </w:rPr>
              <w:t>122</w:t>
            </w:r>
            <w:r w:rsidRPr="00920441">
              <w:rPr>
                <w:rFonts w:eastAsia="Calibri"/>
                <w:sz w:val="20"/>
                <w:szCs w:val="20"/>
                <w:lang w:eastAsia="sk-SK"/>
              </w:rPr>
              <w:t>.</w:t>
            </w:r>
            <w:r w:rsidRPr="00F6041E">
              <w:rPr>
                <w:rFonts w:eastAsia="Calibri"/>
                <w:sz w:val="20"/>
                <w:szCs w:val="20"/>
                <w:lang w:eastAsia="sk-SK"/>
              </w:rPr>
              <w:t xml:space="preserve"> Počet </w:t>
            </w:r>
            <w:proofErr w:type="spellStart"/>
            <w:r>
              <w:rPr>
                <w:rFonts w:eastAsia="Calibri"/>
                <w:sz w:val="20"/>
                <w:szCs w:val="20"/>
                <w:lang w:eastAsia="sk-SK"/>
              </w:rPr>
              <w:t>novoprihlásených</w:t>
            </w:r>
            <w:proofErr w:type="spellEnd"/>
            <w:r>
              <w:rPr>
                <w:rFonts w:eastAsia="Calibri"/>
                <w:sz w:val="20"/>
                <w:szCs w:val="20"/>
                <w:lang w:eastAsia="sk-SK"/>
              </w:rPr>
              <w:t xml:space="preserve"> elektrických vozidiel za obdobie od 01. 01. 2018 do 31. 08. 2018 je 534. Štatistický údaj za celý </w:t>
            </w:r>
            <w:r w:rsidRPr="00F6041E">
              <w:rPr>
                <w:rFonts w:eastAsia="Calibri"/>
                <w:sz w:val="20"/>
                <w:szCs w:val="20"/>
                <w:lang w:eastAsia="sk-SK"/>
              </w:rPr>
              <w:t>rok 201</w:t>
            </w:r>
            <w:r>
              <w:rPr>
                <w:rFonts w:eastAsia="Calibri"/>
                <w:sz w:val="20"/>
                <w:szCs w:val="20"/>
                <w:lang w:eastAsia="sk-SK"/>
              </w:rPr>
              <w:t>8</w:t>
            </w:r>
            <w:r w:rsidRPr="00F6041E">
              <w:rPr>
                <w:rFonts w:eastAsia="Calibri"/>
                <w:sz w:val="20"/>
                <w:szCs w:val="20"/>
                <w:lang w:eastAsia="sk-SK"/>
              </w:rPr>
              <w:t xml:space="preserve"> bude možné </w:t>
            </w:r>
            <w:r>
              <w:rPr>
                <w:rFonts w:eastAsia="Calibri"/>
                <w:sz w:val="20"/>
                <w:szCs w:val="20"/>
                <w:lang w:eastAsia="sk-SK"/>
              </w:rPr>
              <w:t>doplniť</w:t>
            </w:r>
            <w:r w:rsidRPr="00F6041E">
              <w:rPr>
                <w:rFonts w:eastAsia="Calibri"/>
                <w:sz w:val="20"/>
                <w:szCs w:val="20"/>
                <w:lang w:eastAsia="sk-SK"/>
              </w:rPr>
              <w:t xml:space="preserve"> v priebehu </w:t>
            </w:r>
            <w:r>
              <w:rPr>
                <w:rFonts w:eastAsia="Calibri"/>
                <w:sz w:val="20"/>
                <w:szCs w:val="20"/>
                <w:lang w:eastAsia="sk-SK"/>
              </w:rPr>
              <w:t xml:space="preserve"> Q1/</w:t>
            </w:r>
            <w:r w:rsidRPr="00F6041E">
              <w:rPr>
                <w:rFonts w:eastAsia="Calibri"/>
                <w:sz w:val="20"/>
                <w:szCs w:val="20"/>
                <w:lang w:eastAsia="sk-SK"/>
              </w:rPr>
              <w:t>201</w:t>
            </w:r>
            <w:r>
              <w:rPr>
                <w:rFonts w:eastAsia="Calibri"/>
                <w:sz w:val="20"/>
                <w:szCs w:val="20"/>
                <w:lang w:eastAsia="sk-SK"/>
              </w:rPr>
              <w:t>9</w:t>
            </w:r>
            <w:r w:rsidRPr="00F6041E">
              <w:rPr>
                <w:rFonts w:eastAsia="Calibri"/>
                <w:sz w:val="20"/>
                <w:szCs w:val="20"/>
                <w:lang w:eastAsia="sk-SK"/>
              </w:rPr>
              <w:t xml:space="preserve">. </w:t>
            </w:r>
          </w:p>
          <w:p w14:paraId="7639D2CF" w14:textId="77777777" w:rsidR="00A556C5" w:rsidRPr="0040544D" w:rsidRDefault="00A556C5" w:rsidP="00A556C5">
            <w:pPr>
              <w:rPr>
                <w:rFonts w:eastAsia="Calibri"/>
                <w:sz w:val="20"/>
                <w:szCs w:val="20"/>
                <w:lang w:eastAsia="sk-SK"/>
              </w:rPr>
            </w:pPr>
          </w:p>
        </w:tc>
      </w:tr>
      <w:tr w:rsidR="00A556C5" w:rsidRPr="00CD4982" w14:paraId="45002888" w14:textId="77777777" w:rsidTr="00B51CD5">
        <w:trPr>
          <w:jc w:val="center"/>
        </w:trPr>
        <w:tc>
          <w:tcPr>
            <w:tcW w:w="5000" w:type="pct"/>
            <w:gridSpan w:val="2"/>
            <w:tcBorders>
              <w:bottom w:val="single" w:sz="4" w:space="0" w:color="auto"/>
            </w:tcBorders>
            <w:shd w:val="clear" w:color="auto" w:fill="F2F2F2"/>
          </w:tcPr>
          <w:p w14:paraId="1BE39EB7" w14:textId="77777777" w:rsidR="00A556C5" w:rsidRPr="00CD4982" w:rsidRDefault="00A556C5" w:rsidP="00A556C5">
            <w:pPr>
              <w:jc w:val="both"/>
              <w:rPr>
                <w:rFonts w:eastAsia="Calibri"/>
                <w:i/>
                <w:sz w:val="20"/>
                <w:szCs w:val="20"/>
                <w:lang w:eastAsia="sk-SK"/>
              </w:rPr>
            </w:pPr>
            <w:r w:rsidRPr="00CD4982">
              <w:rPr>
                <w:rFonts w:eastAsia="Calibri"/>
                <w:i/>
                <w:sz w:val="20"/>
                <w:szCs w:val="20"/>
                <w:lang w:eastAsia="sk-SK"/>
              </w:rPr>
              <w:lastRenderedPageBreak/>
              <w:t xml:space="preserve">Má návrh významný vplyv na niektorú zo zraniteľných skupín obyvateľstva alebo skupín v riziku chudoby alebo sociálneho vylúčenia? </w:t>
            </w:r>
          </w:p>
          <w:p w14:paraId="064CA26F" w14:textId="58D73A3C" w:rsidR="00A556C5" w:rsidRPr="00CD4982" w:rsidRDefault="00A556C5" w:rsidP="00A556C5">
            <w:pPr>
              <w:jc w:val="both"/>
              <w:rPr>
                <w:rFonts w:ascii="Calibri" w:eastAsia="Calibri" w:hAnsi="Calibri"/>
                <w:i/>
                <w:lang w:eastAsia="sk-SK"/>
              </w:rPr>
            </w:pPr>
            <w:r w:rsidRPr="00CD4982">
              <w:rPr>
                <w:rFonts w:eastAsia="Calibri"/>
                <w:i/>
                <w:sz w:val="20"/>
                <w:szCs w:val="20"/>
                <w:lang w:eastAsia="sk-SK"/>
              </w:rPr>
              <w:t>Špecifikujte ovplyvnené skupiny v riziku chudoby a sociálneho vylúčenia</w:t>
            </w:r>
            <w:r w:rsidR="00497FB3">
              <w:rPr>
                <w:rFonts w:eastAsia="Calibri"/>
                <w:i/>
                <w:sz w:val="20"/>
                <w:szCs w:val="20"/>
                <w:lang w:eastAsia="sk-SK"/>
              </w:rPr>
              <w:t>,</w:t>
            </w:r>
            <w:r w:rsidRPr="00CD4982">
              <w:rPr>
                <w:rFonts w:eastAsia="Calibri"/>
                <w:i/>
                <w:sz w:val="20"/>
                <w:szCs w:val="20"/>
                <w:lang w:eastAsia="sk-SK"/>
              </w:rPr>
              <w:t xml:space="preserve"> a popíšte vplyv na </w:t>
            </w:r>
            <w:proofErr w:type="spellStart"/>
            <w:r w:rsidRPr="00CD4982">
              <w:rPr>
                <w:rFonts w:eastAsia="Calibri"/>
                <w:i/>
                <w:sz w:val="20"/>
                <w:szCs w:val="20"/>
                <w:lang w:eastAsia="sk-SK"/>
              </w:rPr>
              <w:t>ne</w:t>
            </w:r>
            <w:proofErr w:type="spellEnd"/>
            <w:r w:rsidRPr="00CD4982">
              <w:rPr>
                <w:rFonts w:eastAsia="Calibri"/>
                <w:i/>
                <w:sz w:val="20"/>
                <w:szCs w:val="20"/>
                <w:lang w:eastAsia="sk-SK"/>
              </w:rPr>
              <w:t>. Je tento vplyv väčší ako vplyv na iné skupiny či subjekty? Uveďte veľkosť jednotlivých ovplyvnených skupín.</w:t>
            </w:r>
          </w:p>
        </w:tc>
      </w:tr>
      <w:tr w:rsidR="00A556C5" w:rsidRPr="00CD4982" w14:paraId="16FF84A2" w14:textId="77777777" w:rsidTr="00B51CD5">
        <w:tblPrEx>
          <w:tblBorders>
            <w:top w:val="none" w:sz="0" w:space="0" w:color="auto"/>
          </w:tblBorders>
        </w:tblPrEx>
        <w:trPr>
          <w:trHeight w:val="677"/>
          <w:jc w:val="center"/>
        </w:trPr>
        <w:tc>
          <w:tcPr>
            <w:tcW w:w="1993" w:type="pct"/>
            <w:shd w:val="clear" w:color="auto" w:fill="auto"/>
          </w:tcPr>
          <w:p w14:paraId="08894E71" w14:textId="77777777" w:rsidR="00A556C5" w:rsidRPr="00CD4982" w:rsidRDefault="00A556C5" w:rsidP="00A556C5">
            <w:pPr>
              <w:jc w:val="both"/>
              <w:rPr>
                <w:rFonts w:eastAsia="Calibri"/>
                <w:i/>
                <w:sz w:val="18"/>
                <w:szCs w:val="18"/>
                <w:lang w:eastAsia="sk-SK"/>
              </w:rPr>
            </w:pPr>
            <w:r>
              <w:rPr>
                <w:rFonts w:eastAsia="Calibri"/>
                <w:i/>
                <w:sz w:val="18"/>
                <w:szCs w:val="18"/>
                <w:lang w:eastAsia="sk-SK"/>
              </w:rPr>
              <w:t>Zraniteľné skupiny alebo s</w:t>
            </w:r>
            <w:r w:rsidRPr="00CD4982">
              <w:rPr>
                <w:rFonts w:eastAsia="Calibri"/>
                <w:i/>
                <w:sz w:val="18"/>
                <w:szCs w:val="18"/>
                <w:lang w:eastAsia="sk-SK"/>
              </w:rPr>
              <w:t>kupiny v riziku chudoby alebo sociálneho vylúčenia</w:t>
            </w:r>
            <w:r>
              <w:rPr>
                <w:rFonts w:eastAsia="Calibri"/>
                <w:i/>
                <w:sz w:val="18"/>
                <w:szCs w:val="18"/>
                <w:lang w:eastAsia="sk-SK"/>
              </w:rPr>
              <w:t xml:space="preserve"> sú napr.</w:t>
            </w:r>
            <w:r w:rsidRPr="00CD4982">
              <w:rPr>
                <w:rFonts w:eastAsia="Calibri"/>
                <w:i/>
                <w:sz w:val="18"/>
                <w:szCs w:val="18"/>
                <w:lang w:eastAsia="sk-SK"/>
              </w:rPr>
              <w:t>:</w:t>
            </w:r>
          </w:p>
          <w:p w14:paraId="1692EEF0" w14:textId="5F68B1BC"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domácnosti s nízkym príjmom (napr. žijúce iba zo sociálnych príjmov, alebo z príjmov pod hranicou rizika chudoby, alebo</w:t>
            </w:r>
            <w:r w:rsidR="001745EF">
              <w:rPr>
                <w:rFonts w:eastAsia="Calibri"/>
                <w:i/>
                <w:sz w:val="18"/>
                <w:szCs w:val="18"/>
                <w:lang w:eastAsia="sk-SK"/>
              </w:rPr>
              <w:t xml:space="preserve">                      </w:t>
            </w:r>
            <w:r w:rsidRPr="00CD4982">
              <w:rPr>
                <w:rFonts w:eastAsia="Calibri"/>
                <w:i/>
                <w:sz w:val="18"/>
                <w:szCs w:val="18"/>
                <w:lang w:eastAsia="sk-SK"/>
              </w:rPr>
              <w:t xml:space="preserve"> s príjmom pod životným minimom, alebo patriace medzi 25% domácností s najnižším príjmom),</w:t>
            </w:r>
          </w:p>
          <w:p w14:paraId="1DE53545" w14:textId="232F0F3F"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nezamestnaní, najmä dlhodobo nezamestnaní, mladí nezamestnaní </w:t>
            </w:r>
            <w:r w:rsidR="001745EF">
              <w:rPr>
                <w:rFonts w:eastAsia="Calibri"/>
                <w:i/>
                <w:sz w:val="18"/>
                <w:szCs w:val="18"/>
                <w:lang w:eastAsia="sk-SK"/>
              </w:rPr>
              <w:t xml:space="preserve">                        </w:t>
            </w:r>
            <w:r w:rsidRPr="00CD4982">
              <w:rPr>
                <w:rFonts w:eastAsia="Calibri"/>
                <w:i/>
                <w:sz w:val="18"/>
                <w:szCs w:val="18"/>
                <w:lang w:eastAsia="sk-SK"/>
              </w:rPr>
              <w:t>a nezamestnaní nad 50 rokov,</w:t>
            </w:r>
          </w:p>
          <w:p w14:paraId="7D3967DD"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deti (0 – 17),</w:t>
            </w:r>
          </w:p>
          <w:p w14:paraId="1E527449"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mladí ľudia (18 – 25 rokov),</w:t>
            </w:r>
          </w:p>
          <w:p w14:paraId="5C43D6A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starší ľudia, napr. ľudia vo veku nad 65 rokov alebo dôchodcovia,</w:t>
            </w:r>
          </w:p>
          <w:p w14:paraId="318FB9F6"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ľudia so zdravotným postihnutím,</w:t>
            </w:r>
          </w:p>
          <w:p w14:paraId="71DDE9A8"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marginalizované rómske komunity </w:t>
            </w:r>
          </w:p>
          <w:p w14:paraId="6959C352"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domácnosti s 3 a viac deťmi,</w:t>
            </w:r>
          </w:p>
          <w:p w14:paraId="33A71335"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jednorodičovské domácnosti s deťmi (neúplné rodiny, ktoré tvoria najmä osamelé matky s deťmi),</w:t>
            </w:r>
          </w:p>
          <w:p w14:paraId="2B9899B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príslušníci tretích krajín, azylanti, žiadatelia o azyl,</w:t>
            </w:r>
          </w:p>
          <w:p w14:paraId="184EDE6D" w14:textId="77777777" w:rsidR="00A556C5" w:rsidRPr="00CD4982" w:rsidRDefault="00A556C5" w:rsidP="00A556C5">
            <w:pPr>
              <w:numPr>
                <w:ilvl w:val="0"/>
                <w:numId w:val="34"/>
              </w:numPr>
              <w:jc w:val="both"/>
              <w:rPr>
                <w:rFonts w:ascii="Calibri" w:eastAsia="Calibri" w:hAnsi="Calibri"/>
                <w:i/>
                <w:sz w:val="18"/>
                <w:szCs w:val="18"/>
                <w:lang w:eastAsia="sk-SK"/>
              </w:rPr>
            </w:pPr>
            <w:r w:rsidRPr="00CD4982">
              <w:rPr>
                <w:rFonts w:eastAsia="Calibri"/>
                <w:i/>
                <w:sz w:val="18"/>
                <w:szCs w:val="18"/>
                <w:lang w:eastAsia="sk-SK"/>
              </w:rPr>
              <w:t>iné zraniteľné skupiny, ako sú napr. bezdomovci, ľudia opúšťajúci detské domovy alebo iné inštitucionálne zariadenia</w:t>
            </w:r>
          </w:p>
        </w:tc>
        <w:tc>
          <w:tcPr>
            <w:tcW w:w="3007" w:type="pct"/>
            <w:shd w:val="clear" w:color="auto" w:fill="auto"/>
          </w:tcPr>
          <w:p w14:paraId="24B7AB41" w14:textId="77777777" w:rsidR="00A556C5" w:rsidRPr="009E0071" w:rsidRDefault="00A556C5" w:rsidP="00A556C5">
            <w:pPr>
              <w:rPr>
                <w:rFonts w:eastAsia="Calibri"/>
                <w:sz w:val="20"/>
                <w:lang w:eastAsia="sk-SK"/>
              </w:rPr>
            </w:pPr>
            <w:r w:rsidRPr="009E0071">
              <w:rPr>
                <w:rFonts w:eastAsia="Calibri"/>
                <w:sz w:val="20"/>
                <w:lang w:eastAsia="sk-SK"/>
              </w:rPr>
              <w:t xml:space="preserve">Návrh dokumentu nemá vplyvy na niektorú zo zraniteľných skupín obyvateľstva. </w:t>
            </w:r>
          </w:p>
          <w:p w14:paraId="3531A42C" w14:textId="77777777" w:rsidR="00A556C5" w:rsidRPr="0040544D" w:rsidRDefault="00A556C5" w:rsidP="00A556C5">
            <w:pPr>
              <w:rPr>
                <w:rFonts w:eastAsia="Calibri"/>
                <w:sz w:val="20"/>
                <w:lang w:eastAsia="sk-SK"/>
              </w:rPr>
            </w:pPr>
          </w:p>
          <w:p w14:paraId="4C73F15E" w14:textId="77777777" w:rsidR="00A556C5" w:rsidRPr="0040544D" w:rsidRDefault="00A556C5" w:rsidP="00A556C5">
            <w:pPr>
              <w:rPr>
                <w:rFonts w:eastAsia="Calibri"/>
                <w:sz w:val="20"/>
                <w:lang w:eastAsia="sk-SK"/>
              </w:rPr>
            </w:pPr>
          </w:p>
        </w:tc>
      </w:tr>
    </w:tbl>
    <w:p w14:paraId="638FFA64" w14:textId="77777777" w:rsidR="00A556C5" w:rsidRDefault="00A556C5" w:rsidP="00B51CD5"/>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A556C5" w:rsidRPr="00CD4982" w14:paraId="51611FAF" w14:textId="77777777" w:rsidTr="00E33CF4">
        <w:trPr>
          <w:jc w:val="center"/>
        </w:trPr>
        <w:tc>
          <w:tcPr>
            <w:tcW w:w="5000" w:type="pct"/>
            <w:gridSpan w:val="2"/>
            <w:shd w:val="clear" w:color="auto" w:fill="D9D9D9"/>
          </w:tcPr>
          <w:p w14:paraId="13BF493A" w14:textId="77777777" w:rsidR="00A556C5" w:rsidRPr="00CD4982" w:rsidRDefault="00A556C5" w:rsidP="00A556C5">
            <w:pPr>
              <w:rPr>
                <w:rFonts w:eastAsia="Calibri"/>
                <w:b/>
                <w:lang w:eastAsia="sk-SK"/>
              </w:rPr>
            </w:pPr>
            <w:r w:rsidRPr="00CD4982">
              <w:rPr>
                <w:rFonts w:eastAsia="Calibri"/>
                <w:b/>
                <w:lang w:eastAsia="sk-SK"/>
              </w:rPr>
              <w:t>4.3 Identifikujte a popíšte vplyv na rovnosť príležitostí.</w:t>
            </w:r>
          </w:p>
          <w:p w14:paraId="2C68F3E3" w14:textId="77777777" w:rsidR="00A556C5" w:rsidRPr="00CD4982" w:rsidRDefault="00A556C5" w:rsidP="00A556C5">
            <w:pPr>
              <w:ind w:left="340"/>
              <w:jc w:val="both"/>
              <w:rPr>
                <w:rFonts w:ascii="Calibri" w:eastAsia="Calibri" w:hAnsi="Calibri"/>
                <w:lang w:eastAsia="sk-SK"/>
              </w:rPr>
            </w:pPr>
            <w:r w:rsidRPr="00CD4982">
              <w:rPr>
                <w:rFonts w:eastAsia="Calibri"/>
                <w:b/>
                <w:lang w:eastAsia="sk-SK"/>
              </w:rPr>
              <w:t>Identifikujte, popíšte a kvantifikujte vplyv na rodovú rovnosť.</w:t>
            </w:r>
          </w:p>
        </w:tc>
      </w:tr>
      <w:tr w:rsidR="00A556C5" w:rsidRPr="00CD4982" w14:paraId="00366752" w14:textId="77777777" w:rsidTr="00E33CF4">
        <w:trPr>
          <w:jc w:val="center"/>
        </w:trPr>
        <w:tc>
          <w:tcPr>
            <w:tcW w:w="5000" w:type="pct"/>
            <w:gridSpan w:val="2"/>
            <w:tcBorders>
              <w:bottom w:val="single" w:sz="4" w:space="0" w:color="auto"/>
            </w:tcBorders>
            <w:shd w:val="clear" w:color="auto" w:fill="F2F2F2"/>
          </w:tcPr>
          <w:p w14:paraId="16095CB6" w14:textId="607EB4B6" w:rsidR="00A556C5" w:rsidRPr="00CD4982" w:rsidRDefault="00A556C5" w:rsidP="00A556C5">
            <w:pPr>
              <w:jc w:val="both"/>
              <w:rPr>
                <w:rFonts w:eastAsia="Calibri"/>
                <w:i/>
                <w:lang w:eastAsia="sk-SK"/>
              </w:rPr>
            </w:pPr>
            <w:r w:rsidRPr="00CD4982">
              <w:rPr>
                <w:rFonts w:eastAsia="Calibri"/>
                <w:i/>
                <w:sz w:val="20"/>
                <w:lang w:eastAsia="sk-SK"/>
              </w:rPr>
              <w:t>Dodržuje návrh povinnosť rovnakého zaobchádzania so skupinami alebo jednotlivcami na základe pohlavia, rasy, etnicity, náboženstva alebo viery, zdravotného postihnutia</w:t>
            </w:r>
            <w:r w:rsidR="00AD7BDC">
              <w:rPr>
                <w:rFonts w:eastAsia="Calibri"/>
                <w:i/>
                <w:sz w:val="20"/>
                <w:lang w:eastAsia="sk-SK"/>
              </w:rPr>
              <w:t>,</w:t>
            </w:r>
            <w:r w:rsidRPr="00CD4982">
              <w:rPr>
                <w:rFonts w:eastAsia="Calibri"/>
                <w:i/>
                <w:sz w:val="20"/>
                <w:lang w:eastAsia="sk-SK"/>
              </w:rPr>
              <w:t xml:space="preserve"> veku a sexuálnej orientácie? Mohol by viesť k nepriamej diskriminácii niektorých skupín obyvateľstva? Podporuje návrh rovnosť príležitostí?</w:t>
            </w:r>
          </w:p>
        </w:tc>
      </w:tr>
      <w:tr w:rsidR="00A556C5" w:rsidRPr="0040544D" w14:paraId="0938A874" w14:textId="77777777" w:rsidTr="00E33CF4">
        <w:trPr>
          <w:trHeight w:val="287"/>
          <w:jc w:val="center"/>
        </w:trPr>
        <w:tc>
          <w:tcPr>
            <w:tcW w:w="5000" w:type="pct"/>
            <w:gridSpan w:val="2"/>
            <w:tcBorders>
              <w:top w:val="nil"/>
              <w:bottom w:val="nil"/>
            </w:tcBorders>
            <w:shd w:val="clear" w:color="auto" w:fill="auto"/>
          </w:tcPr>
          <w:p w14:paraId="7EBF3A9E" w14:textId="5B6FA408" w:rsidR="00A556C5" w:rsidRPr="0040544D" w:rsidRDefault="00A556C5" w:rsidP="00CE6A61">
            <w:pPr>
              <w:rPr>
                <w:rFonts w:eastAsia="Calibri"/>
                <w:i/>
                <w:sz w:val="20"/>
                <w:lang w:eastAsia="sk-SK"/>
              </w:rPr>
            </w:pPr>
            <w:r>
              <w:rPr>
                <w:rFonts w:eastAsia="Calibri"/>
                <w:sz w:val="20"/>
                <w:lang w:eastAsia="sk-SK"/>
              </w:rPr>
              <w:t>Návrh dokumentu nemá vplyvy na rovnosť príležitostí.</w:t>
            </w:r>
          </w:p>
        </w:tc>
      </w:tr>
      <w:tr w:rsidR="00A556C5" w:rsidRPr="00CD4982" w14:paraId="5F574EBC" w14:textId="77777777" w:rsidTr="00E33CF4">
        <w:trPr>
          <w:trHeight w:val="345"/>
          <w:jc w:val="center"/>
        </w:trPr>
        <w:tc>
          <w:tcPr>
            <w:tcW w:w="5000" w:type="pct"/>
            <w:gridSpan w:val="2"/>
            <w:tcBorders>
              <w:bottom w:val="single" w:sz="4" w:space="0" w:color="auto"/>
            </w:tcBorders>
            <w:shd w:val="clear" w:color="auto" w:fill="F2F2F2"/>
            <w:vAlign w:val="center"/>
          </w:tcPr>
          <w:p w14:paraId="53C59E50" w14:textId="77777777" w:rsidR="00A556C5" w:rsidRPr="00CD4982" w:rsidRDefault="00A556C5" w:rsidP="00015502">
            <w:pPr>
              <w:jc w:val="both"/>
              <w:rPr>
                <w:rFonts w:eastAsia="Calibri"/>
                <w:i/>
                <w:sz w:val="20"/>
                <w:szCs w:val="20"/>
                <w:lang w:eastAsia="sk-SK"/>
              </w:rPr>
            </w:pPr>
            <w:r w:rsidRPr="00CD4982">
              <w:rPr>
                <w:rFonts w:eastAsia="Calibri"/>
                <w:i/>
                <w:sz w:val="20"/>
                <w:szCs w:val="20"/>
                <w:lang w:eastAsia="sk-SK"/>
              </w:rPr>
              <w:t>Môže mať návrh odlišný vplyv na ženy a mužov? Podporuje návrh rovnosť medzi ženami a mužmi alebo naopak bude viesť k zväčšovaniu rodových nerovností? Popíšte vplyvy.</w:t>
            </w:r>
          </w:p>
        </w:tc>
      </w:tr>
      <w:tr w:rsidR="00A556C5" w:rsidRPr="00CD4982" w14:paraId="43393F54" w14:textId="77777777" w:rsidTr="00E33CF4">
        <w:tblPrEx>
          <w:tblBorders>
            <w:top w:val="none" w:sz="0" w:space="0" w:color="auto"/>
          </w:tblBorders>
        </w:tblPrEx>
        <w:trPr>
          <w:trHeight w:val="3350"/>
          <w:jc w:val="center"/>
        </w:trPr>
        <w:tc>
          <w:tcPr>
            <w:tcW w:w="1993" w:type="pct"/>
            <w:shd w:val="clear" w:color="auto" w:fill="auto"/>
          </w:tcPr>
          <w:p w14:paraId="12195B3A" w14:textId="77777777" w:rsidR="00A556C5" w:rsidRPr="00CD4982" w:rsidRDefault="00A556C5" w:rsidP="00A556C5">
            <w:pPr>
              <w:jc w:val="both"/>
              <w:rPr>
                <w:rFonts w:eastAsia="Calibri"/>
                <w:i/>
                <w:sz w:val="18"/>
                <w:szCs w:val="18"/>
                <w:lang w:eastAsia="sk-SK"/>
              </w:rPr>
            </w:pPr>
            <w:r w:rsidRPr="00CD4982">
              <w:rPr>
                <w:rFonts w:eastAsia="Calibri"/>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1CD745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podpora vyrovnávania ekonomickej nezávislosti, </w:t>
            </w:r>
          </w:p>
          <w:p w14:paraId="71F6321B"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zosúladenie pracovného, súkromného a rodinného života, </w:t>
            </w:r>
          </w:p>
          <w:p w14:paraId="0CED2EAC"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podpora rovnej participácie na rozhodovaní, </w:t>
            </w:r>
          </w:p>
          <w:p w14:paraId="02242F84"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boj proti rodovo podmienenému násiliu a obchodovaniu s ľuďmi, </w:t>
            </w:r>
          </w:p>
          <w:p w14:paraId="413F82D1"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eliminácia rodových stereotypov.</w:t>
            </w:r>
          </w:p>
        </w:tc>
        <w:tc>
          <w:tcPr>
            <w:tcW w:w="3007" w:type="pct"/>
            <w:shd w:val="clear" w:color="auto" w:fill="auto"/>
          </w:tcPr>
          <w:p w14:paraId="3C8A57AE" w14:textId="77777777" w:rsidR="00A556C5" w:rsidRDefault="00A556C5" w:rsidP="00A556C5">
            <w:pPr>
              <w:rPr>
                <w:rFonts w:eastAsia="Calibri"/>
                <w:sz w:val="20"/>
                <w:lang w:eastAsia="sk-SK"/>
              </w:rPr>
            </w:pPr>
            <w:r w:rsidRPr="009E0071">
              <w:rPr>
                <w:rFonts w:eastAsia="Calibri"/>
                <w:sz w:val="20"/>
                <w:lang w:eastAsia="sk-SK"/>
              </w:rPr>
              <w:t xml:space="preserve">Návrh dokumentu nemá odlišný vplyv </w:t>
            </w:r>
            <w:r>
              <w:rPr>
                <w:rFonts w:eastAsia="Calibri"/>
                <w:sz w:val="20"/>
                <w:lang w:eastAsia="sk-SK"/>
              </w:rPr>
              <w:t xml:space="preserve">na </w:t>
            </w:r>
            <w:r w:rsidRPr="009E0071">
              <w:rPr>
                <w:rFonts w:eastAsia="Calibri"/>
                <w:sz w:val="20"/>
                <w:lang w:eastAsia="sk-SK"/>
              </w:rPr>
              <w:t>ženy a mužov.</w:t>
            </w:r>
          </w:p>
          <w:p w14:paraId="22529131" w14:textId="77777777" w:rsidR="00A556C5" w:rsidRDefault="00A556C5" w:rsidP="00A556C5">
            <w:pPr>
              <w:rPr>
                <w:rFonts w:eastAsia="Calibri"/>
                <w:sz w:val="20"/>
                <w:lang w:eastAsia="sk-SK"/>
              </w:rPr>
            </w:pPr>
          </w:p>
          <w:p w14:paraId="5498DC9E" w14:textId="77777777" w:rsidR="00A556C5" w:rsidRDefault="00A556C5" w:rsidP="00A556C5">
            <w:pPr>
              <w:rPr>
                <w:rFonts w:eastAsia="Calibri"/>
                <w:sz w:val="20"/>
                <w:lang w:eastAsia="sk-SK"/>
              </w:rPr>
            </w:pPr>
          </w:p>
          <w:p w14:paraId="07546EBF" w14:textId="77777777" w:rsidR="00A556C5" w:rsidRDefault="00A556C5" w:rsidP="00A556C5">
            <w:pPr>
              <w:rPr>
                <w:rFonts w:eastAsia="Calibri"/>
                <w:sz w:val="20"/>
                <w:lang w:eastAsia="sk-SK"/>
              </w:rPr>
            </w:pPr>
          </w:p>
          <w:p w14:paraId="4D294497" w14:textId="77777777" w:rsidR="00A556C5" w:rsidRPr="00CA6BAF" w:rsidRDefault="00A556C5" w:rsidP="00A556C5">
            <w:pPr>
              <w:rPr>
                <w:rFonts w:eastAsia="Calibri"/>
                <w:sz w:val="20"/>
                <w:lang w:eastAsia="sk-SK"/>
              </w:rPr>
            </w:pPr>
          </w:p>
        </w:tc>
      </w:tr>
    </w:tbl>
    <w:p w14:paraId="6FD18915" w14:textId="77777777" w:rsidR="00E33CF4" w:rsidRDefault="00E33CF4"/>
    <w:p w14:paraId="5484EDFA" w14:textId="77777777" w:rsidR="00E33CF4" w:rsidRDefault="00E33CF4"/>
    <w:p w14:paraId="0AAA79B3" w14:textId="77777777" w:rsidR="00E33CF4" w:rsidRDefault="00E33CF4"/>
    <w:p w14:paraId="490B6E64" w14:textId="77777777" w:rsidR="00E33CF4" w:rsidRDefault="00E33CF4"/>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A556C5" w:rsidRPr="00CD4982" w14:paraId="2287CFF0" w14:textId="77777777" w:rsidTr="001E496D">
        <w:trPr>
          <w:jc w:val="center"/>
        </w:trPr>
        <w:tc>
          <w:tcPr>
            <w:tcW w:w="5000" w:type="pct"/>
            <w:gridSpan w:val="2"/>
            <w:shd w:val="clear" w:color="auto" w:fill="D9D9D9"/>
          </w:tcPr>
          <w:p w14:paraId="4711745C" w14:textId="77777777" w:rsidR="00A556C5" w:rsidRPr="00994C53" w:rsidRDefault="00A556C5" w:rsidP="00A556C5">
            <w:pPr>
              <w:rPr>
                <w:rFonts w:eastAsia="Calibri"/>
                <w:b/>
                <w:lang w:eastAsia="sk-SK"/>
              </w:rPr>
            </w:pPr>
            <w:r w:rsidRPr="00CD4982">
              <w:rPr>
                <w:rFonts w:eastAsia="Calibri"/>
                <w:b/>
                <w:lang w:eastAsia="sk-SK"/>
              </w:rPr>
              <w:lastRenderedPageBreak/>
              <w:t xml:space="preserve">4.4 </w:t>
            </w:r>
            <w:r w:rsidRPr="00994C53">
              <w:rPr>
                <w:rFonts w:eastAsia="Calibri"/>
                <w:b/>
                <w:lang w:eastAsia="sk-SK"/>
              </w:rPr>
              <w:t>Identifikujte, popíšte a kvantifikujte vplyvy na zamestnanosť a na trh práce.</w:t>
            </w:r>
          </w:p>
          <w:p w14:paraId="03A9C218" w14:textId="77777777" w:rsidR="00A556C5" w:rsidRPr="00994C53" w:rsidRDefault="00A556C5" w:rsidP="00A556C5">
            <w:pPr>
              <w:jc w:val="both"/>
              <w:rPr>
                <w:rFonts w:eastAsia="Calibri"/>
                <w:i/>
                <w:lang w:eastAsia="sk-SK"/>
              </w:rPr>
            </w:pPr>
            <w:r w:rsidRPr="00994C53">
              <w:rPr>
                <w:rFonts w:eastAsia="Calibri"/>
                <w:i/>
                <w:lang w:eastAsia="sk-SK"/>
              </w:rPr>
              <w:t xml:space="preserve">V prípade kladnej odpovede pripojte </w:t>
            </w:r>
            <w:r w:rsidRPr="00994C53">
              <w:rPr>
                <w:rFonts w:eastAsia="Calibri"/>
                <w:b/>
                <w:i/>
                <w:lang w:eastAsia="sk-SK"/>
              </w:rPr>
              <w:t>odôvodnenie</w:t>
            </w:r>
            <w:r w:rsidRPr="00994C53">
              <w:rPr>
                <w:rFonts w:eastAsia="Calibri"/>
                <w:i/>
                <w:lang w:eastAsia="sk-SK"/>
              </w:rPr>
              <w:t xml:space="preserve"> v súlade s Metodickým postupom pre analýzu sociálnych vplyvov.</w:t>
            </w:r>
          </w:p>
        </w:tc>
      </w:tr>
      <w:tr w:rsidR="00A556C5" w:rsidRPr="00994C53" w14:paraId="75A1E4EF" w14:textId="77777777" w:rsidTr="00B51CD5">
        <w:trPr>
          <w:trHeight w:val="287"/>
          <w:jc w:val="center"/>
        </w:trPr>
        <w:tc>
          <w:tcPr>
            <w:tcW w:w="5000" w:type="pct"/>
            <w:gridSpan w:val="2"/>
            <w:tcBorders>
              <w:top w:val="nil"/>
              <w:bottom w:val="single" w:sz="4" w:space="0" w:color="auto"/>
            </w:tcBorders>
            <w:shd w:val="clear" w:color="auto" w:fill="F2F2F2"/>
          </w:tcPr>
          <w:p w14:paraId="08D1D9EC" w14:textId="77777777" w:rsidR="00A556C5" w:rsidRPr="00994C53" w:rsidRDefault="00A556C5" w:rsidP="00A556C5">
            <w:pPr>
              <w:rPr>
                <w:rFonts w:eastAsia="Calibri"/>
                <w:i/>
                <w:sz w:val="20"/>
                <w:szCs w:val="20"/>
              </w:rPr>
            </w:pPr>
            <w:r w:rsidRPr="00994C53">
              <w:rPr>
                <w:rFonts w:eastAsia="Calibri"/>
                <w:i/>
                <w:sz w:val="20"/>
                <w:szCs w:val="20"/>
              </w:rPr>
              <w:t>Uľahčuje návrh vznik nových pracovných miest? Ak áno, ako? Ak je to možné, doplňte kvantifikáciu.</w:t>
            </w:r>
          </w:p>
        </w:tc>
      </w:tr>
      <w:tr w:rsidR="00A556C5" w:rsidRPr="00994C53" w14:paraId="2CA47714" w14:textId="77777777" w:rsidTr="00B51CD5">
        <w:trPr>
          <w:trHeight w:val="567"/>
          <w:jc w:val="center"/>
        </w:trPr>
        <w:tc>
          <w:tcPr>
            <w:tcW w:w="1993" w:type="pct"/>
            <w:tcBorders>
              <w:top w:val="nil"/>
              <w:bottom w:val="single" w:sz="4" w:space="0" w:color="auto"/>
            </w:tcBorders>
            <w:shd w:val="clear" w:color="auto" w:fill="FFFFFF"/>
          </w:tcPr>
          <w:p w14:paraId="5ED8997C" w14:textId="77777777" w:rsidR="00A556C5" w:rsidRPr="00994C53" w:rsidRDefault="00A556C5" w:rsidP="00A556C5">
            <w:pPr>
              <w:jc w:val="both"/>
              <w:rPr>
                <w:rFonts w:eastAsia="Calibri"/>
                <w:i/>
                <w:sz w:val="18"/>
                <w:szCs w:val="18"/>
              </w:rPr>
            </w:pPr>
            <w:r w:rsidRPr="00994C53">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36852335" w14:textId="750CE404" w:rsidR="00A556C5" w:rsidRPr="00A30F1C" w:rsidRDefault="00A556C5" w:rsidP="001D5CA0">
            <w:pPr>
              <w:jc w:val="both"/>
              <w:rPr>
                <w:rFonts w:eastAsia="Calibri"/>
                <w:sz w:val="20"/>
                <w:szCs w:val="18"/>
              </w:rPr>
            </w:pPr>
            <w:r w:rsidRPr="009E0071">
              <w:rPr>
                <w:rFonts w:eastAsia="Calibri"/>
                <w:sz w:val="20"/>
                <w:szCs w:val="18"/>
              </w:rPr>
              <w:t xml:space="preserve">V súčasnosti nie je možné </w:t>
            </w:r>
            <w:r>
              <w:rPr>
                <w:rFonts w:eastAsia="Calibri"/>
                <w:sz w:val="20"/>
                <w:szCs w:val="18"/>
              </w:rPr>
              <w:t>uvedené kvantifikovať</w:t>
            </w:r>
            <w:r w:rsidRPr="009E0071">
              <w:rPr>
                <w:rFonts w:eastAsia="Calibri"/>
                <w:sz w:val="20"/>
                <w:szCs w:val="18"/>
              </w:rPr>
              <w:t xml:space="preserve">, nakoľko tento ukazovateľ závisí od dopytu obyvateľstva </w:t>
            </w:r>
            <w:r w:rsidR="001D5CA0">
              <w:rPr>
                <w:rFonts w:eastAsia="Calibri"/>
                <w:sz w:val="20"/>
                <w:szCs w:val="18"/>
              </w:rPr>
              <w:t>po</w:t>
            </w:r>
            <w:r w:rsidR="001D5CA0" w:rsidRPr="009E0071">
              <w:rPr>
                <w:rFonts w:eastAsia="Calibri"/>
                <w:sz w:val="20"/>
                <w:szCs w:val="18"/>
              </w:rPr>
              <w:t xml:space="preserve"> </w:t>
            </w:r>
            <w:r w:rsidRPr="009E0071">
              <w:rPr>
                <w:rFonts w:eastAsia="Calibri"/>
                <w:sz w:val="20"/>
                <w:szCs w:val="18"/>
              </w:rPr>
              <w:t>kúpe elektromobilov.</w:t>
            </w:r>
          </w:p>
        </w:tc>
      </w:tr>
      <w:tr w:rsidR="00A556C5" w:rsidRPr="00994C53" w14:paraId="0C839BCB" w14:textId="77777777" w:rsidTr="00B51CD5">
        <w:trPr>
          <w:trHeight w:val="270"/>
          <w:jc w:val="center"/>
        </w:trPr>
        <w:tc>
          <w:tcPr>
            <w:tcW w:w="5000" w:type="pct"/>
            <w:gridSpan w:val="2"/>
            <w:tcBorders>
              <w:bottom w:val="single" w:sz="4" w:space="0" w:color="auto"/>
            </w:tcBorders>
            <w:shd w:val="clear" w:color="auto" w:fill="F2F2F2"/>
          </w:tcPr>
          <w:p w14:paraId="3C791767" w14:textId="77777777" w:rsidR="00A556C5" w:rsidRPr="00994C53" w:rsidRDefault="00A556C5" w:rsidP="00A556C5">
            <w:pPr>
              <w:rPr>
                <w:rFonts w:eastAsia="Calibri"/>
                <w:i/>
                <w:sz w:val="20"/>
                <w:szCs w:val="20"/>
              </w:rPr>
            </w:pPr>
            <w:r w:rsidRPr="00994C53">
              <w:rPr>
                <w:rFonts w:eastAsia="Calibri"/>
                <w:i/>
                <w:sz w:val="20"/>
                <w:szCs w:val="20"/>
              </w:rPr>
              <w:t>Vedie návrh k zániku pracovných miest?</w:t>
            </w:r>
            <w:r w:rsidRPr="00994C53">
              <w:rPr>
                <w:rFonts w:eastAsia="Calibri"/>
                <w:sz w:val="20"/>
                <w:szCs w:val="20"/>
              </w:rPr>
              <w:t xml:space="preserve"> </w:t>
            </w:r>
            <w:r w:rsidRPr="00994C53">
              <w:rPr>
                <w:rFonts w:eastAsia="Calibri"/>
                <w:i/>
                <w:sz w:val="20"/>
                <w:szCs w:val="20"/>
              </w:rPr>
              <w:t>Ak áno, ako a akých? Ak je to možné, doplňte kvantifikáciu.</w:t>
            </w:r>
          </w:p>
        </w:tc>
      </w:tr>
      <w:tr w:rsidR="00A556C5" w:rsidRPr="00994C53" w14:paraId="72C999F9" w14:textId="77777777" w:rsidTr="00B51CD5">
        <w:trPr>
          <w:trHeight w:val="1172"/>
          <w:jc w:val="center"/>
        </w:trPr>
        <w:tc>
          <w:tcPr>
            <w:tcW w:w="1993" w:type="pct"/>
            <w:tcBorders>
              <w:bottom w:val="single" w:sz="4" w:space="0" w:color="auto"/>
            </w:tcBorders>
            <w:shd w:val="clear" w:color="auto" w:fill="FFFFFF"/>
          </w:tcPr>
          <w:p w14:paraId="2FFC7843" w14:textId="77777777" w:rsidR="00A556C5" w:rsidRPr="00994C53" w:rsidRDefault="00A556C5" w:rsidP="00A556C5">
            <w:pPr>
              <w:jc w:val="both"/>
              <w:rPr>
                <w:rFonts w:eastAsia="Calibri"/>
                <w:i/>
                <w:sz w:val="18"/>
                <w:szCs w:val="18"/>
              </w:rPr>
            </w:pPr>
            <w:r w:rsidRPr="00994C53">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039E810E" w14:textId="77777777" w:rsidR="00A556C5" w:rsidRPr="00A30F1C" w:rsidRDefault="00A556C5" w:rsidP="00A556C5">
            <w:pPr>
              <w:rPr>
                <w:rFonts w:eastAsia="Calibri"/>
                <w:sz w:val="20"/>
                <w:szCs w:val="18"/>
              </w:rPr>
            </w:pPr>
            <w:r w:rsidRPr="00977F57">
              <w:rPr>
                <w:rFonts w:eastAsia="Calibri"/>
                <w:sz w:val="20"/>
                <w:szCs w:val="18"/>
              </w:rPr>
              <w:t>Návrh dokumentu nevedie k zániku pracovných miest.</w:t>
            </w:r>
          </w:p>
        </w:tc>
      </w:tr>
      <w:tr w:rsidR="00A556C5" w:rsidRPr="00994C53" w14:paraId="1193F5D5" w14:textId="77777777" w:rsidTr="00B51CD5">
        <w:trPr>
          <w:trHeight w:val="248"/>
          <w:jc w:val="center"/>
        </w:trPr>
        <w:tc>
          <w:tcPr>
            <w:tcW w:w="5000" w:type="pct"/>
            <w:gridSpan w:val="2"/>
            <w:tcBorders>
              <w:bottom w:val="single" w:sz="4" w:space="0" w:color="auto"/>
            </w:tcBorders>
            <w:shd w:val="clear" w:color="auto" w:fill="F2F2F2"/>
          </w:tcPr>
          <w:p w14:paraId="3B24E5E2" w14:textId="77777777" w:rsidR="00A556C5" w:rsidRPr="00994C53" w:rsidRDefault="00A556C5" w:rsidP="00A556C5">
            <w:pPr>
              <w:rPr>
                <w:rFonts w:eastAsia="Calibri"/>
                <w:sz w:val="20"/>
                <w:szCs w:val="20"/>
              </w:rPr>
            </w:pPr>
            <w:r w:rsidRPr="00994C53">
              <w:rPr>
                <w:rFonts w:eastAsia="Calibri"/>
                <w:i/>
                <w:sz w:val="20"/>
                <w:szCs w:val="20"/>
              </w:rPr>
              <w:t>Ovplyvňuje návrh dopyt po práci?</w:t>
            </w:r>
            <w:r w:rsidRPr="00994C53">
              <w:rPr>
                <w:rFonts w:eastAsia="Calibri"/>
                <w:sz w:val="20"/>
                <w:szCs w:val="20"/>
              </w:rPr>
              <w:t xml:space="preserve"> </w:t>
            </w:r>
            <w:r w:rsidRPr="00994C53">
              <w:rPr>
                <w:rFonts w:eastAsia="Calibri"/>
                <w:i/>
                <w:sz w:val="20"/>
                <w:szCs w:val="20"/>
              </w:rPr>
              <w:t>Ak áno, ako?</w:t>
            </w:r>
          </w:p>
        </w:tc>
      </w:tr>
      <w:tr w:rsidR="00A556C5" w:rsidRPr="00994C53" w14:paraId="3DF5F342" w14:textId="77777777" w:rsidTr="00B51CD5">
        <w:trPr>
          <w:trHeight w:val="209"/>
          <w:jc w:val="center"/>
        </w:trPr>
        <w:tc>
          <w:tcPr>
            <w:tcW w:w="1993" w:type="pct"/>
            <w:tcBorders>
              <w:bottom w:val="single" w:sz="4" w:space="0" w:color="auto"/>
            </w:tcBorders>
            <w:shd w:val="clear" w:color="auto" w:fill="FFFFFF"/>
          </w:tcPr>
          <w:p w14:paraId="744AA0FA" w14:textId="77777777" w:rsidR="00A556C5" w:rsidRPr="00994C53" w:rsidRDefault="00A556C5" w:rsidP="00015502">
            <w:pPr>
              <w:jc w:val="both"/>
              <w:rPr>
                <w:rFonts w:eastAsia="Calibri"/>
                <w:i/>
                <w:sz w:val="18"/>
                <w:szCs w:val="18"/>
              </w:rPr>
            </w:pPr>
            <w:r w:rsidRPr="00994C53">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6E0E844A" w14:textId="77777777" w:rsidR="00A556C5" w:rsidRPr="009E0071" w:rsidRDefault="00A556C5" w:rsidP="00A556C5">
            <w:pPr>
              <w:jc w:val="both"/>
              <w:rPr>
                <w:rFonts w:eastAsia="Calibri"/>
                <w:sz w:val="20"/>
                <w:szCs w:val="18"/>
              </w:rPr>
            </w:pPr>
            <w:r w:rsidRPr="009E0071">
              <w:rPr>
                <w:rFonts w:eastAsia="Calibri"/>
                <w:sz w:val="20"/>
                <w:szCs w:val="18"/>
              </w:rPr>
              <w:t xml:space="preserve">Návrh dokumentu pozitívne ovplyvňuje dopyt pracovných síl </w:t>
            </w:r>
            <w:r>
              <w:rPr>
                <w:rFonts w:eastAsia="Calibri"/>
                <w:sz w:val="20"/>
                <w:szCs w:val="18"/>
              </w:rPr>
              <w:br/>
            </w:r>
            <w:r w:rsidRPr="009E0071">
              <w:rPr>
                <w:rFonts w:eastAsia="Calibri"/>
                <w:sz w:val="20"/>
                <w:szCs w:val="18"/>
              </w:rPr>
              <w:t>pre odvetvie alternatívnych palív.</w:t>
            </w:r>
          </w:p>
        </w:tc>
      </w:tr>
      <w:tr w:rsidR="00A556C5" w:rsidRPr="00994C53" w14:paraId="5A27D5C9" w14:textId="77777777" w:rsidTr="00B51CD5">
        <w:trPr>
          <w:trHeight w:val="208"/>
          <w:jc w:val="center"/>
        </w:trPr>
        <w:tc>
          <w:tcPr>
            <w:tcW w:w="5000" w:type="pct"/>
            <w:gridSpan w:val="2"/>
            <w:tcBorders>
              <w:bottom w:val="single" w:sz="4" w:space="0" w:color="auto"/>
            </w:tcBorders>
            <w:shd w:val="clear" w:color="auto" w:fill="F2F2F2"/>
          </w:tcPr>
          <w:p w14:paraId="1F8205DE" w14:textId="77777777" w:rsidR="00A556C5" w:rsidRPr="00994C53" w:rsidRDefault="00A556C5" w:rsidP="00A556C5">
            <w:pPr>
              <w:rPr>
                <w:rFonts w:eastAsia="Calibri"/>
                <w:sz w:val="20"/>
                <w:szCs w:val="20"/>
              </w:rPr>
            </w:pPr>
            <w:r w:rsidRPr="00994C53">
              <w:rPr>
                <w:rFonts w:eastAsia="Calibri"/>
                <w:i/>
                <w:sz w:val="20"/>
                <w:szCs w:val="20"/>
              </w:rPr>
              <w:t>Má návrh dosah na fungovanie trhu práce?</w:t>
            </w:r>
            <w:r w:rsidRPr="00994C53">
              <w:rPr>
                <w:rFonts w:eastAsia="Calibri"/>
                <w:sz w:val="20"/>
                <w:szCs w:val="20"/>
              </w:rPr>
              <w:t xml:space="preserve"> </w:t>
            </w:r>
            <w:r w:rsidRPr="00994C53">
              <w:rPr>
                <w:rFonts w:eastAsia="Calibri"/>
                <w:i/>
                <w:sz w:val="20"/>
                <w:szCs w:val="20"/>
              </w:rPr>
              <w:t>Ak áno, aký?</w:t>
            </w:r>
          </w:p>
        </w:tc>
      </w:tr>
      <w:tr w:rsidR="00A556C5" w:rsidRPr="00994C53" w14:paraId="20D61B7F" w14:textId="77777777" w:rsidTr="00B51CD5">
        <w:trPr>
          <w:trHeight w:val="1252"/>
          <w:jc w:val="center"/>
        </w:trPr>
        <w:tc>
          <w:tcPr>
            <w:tcW w:w="1993" w:type="pct"/>
            <w:tcBorders>
              <w:bottom w:val="single" w:sz="4" w:space="0" w:color="auto"/>
            </w:tcBorders>
            <w:shd w:val="clear" w:color="auto" w:fill="FFFFFF"/>
          </w:tcPr>
          <w:p w14:paraId="45416C71" w14:textId="77777777" w:rsidR="00A556C5" w:rsidRPr="00994C53" w:rsidRDefault="00A556C5" w:rsidP="00A556C5">
            <w:pPr>
              <w:jc w:val="both"/>
              <w:rPr>
                <w:rFonts w:eastAsia="Calibri"/>
                <w:i/>
                <w:sz w:val="18"/>
                <w:szCs w:val="18"/>
              </w:rPr>
            </w:pPr>
            <w:r w:rsidRPr="00994C53">
              <w:rPr>
                <w:rFonts w:eastAsia="Calibri"/>
                <w:i/>
                <w:sz w:val="18"/>
                <w:szCs w:val="18"/>
              </w:rPr>
              <w:t>Týka sa makroekonomických dosahov ako je napr. participácia na trhu práce, dlhodobá nezamestnanosť, regionálne rozdiely v mierach zamestnanosti.</w:t>
            </w:r>
            <w:r w:rsidRPr="00994C53">
              <w:rPr>
                <w:rFonts w:eastAsia="Calibri"/>
                <w:sz w:val="18"/>
                <w:szCs w:val="18"/>
              </w:rPr>
              <w:t xml:space="preserve"> </w:t>
            </w:r>
            <w:r w:rsidRPr="00994C53">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79E9FE85" w14:textId="77777777" w:rsidR="00A556C5" w:rsidRPr="00A30F1C" w:rsidRDefault="00A556C5" w:rsidP="00A556C5">
            <w:pPr>
              <w:rPr>
                <w:rFonts w:eastAsia="Calibri"/>
                <w:sz w:val="20"/>
                <w:szCs w:val="18"/>
              </w:rPr>
            </w:pPr>
          </w:p>
        </w:tc>
      </w:tr>
      <w:tr w:rsidR="00A556C5" w:rsidRPr="00994C53" w14:paraId="2B29B2B1" w14:textId="77777777" w:rsidTr="00B51CD5">
        <w:trPr>
          <w:trHeight w:val="324"/>
          <w:jc w:val="center"/>
        </w:trPr>
        <w:tc>
          <w:tcPr>
            <w:tcW w:w="5000" w:type="pct"/>
            <w:gridSpan w:val="2"/>
            <w:tcBorders>
              <w:bottom w:val="single" w:sz="4" w:space="0" w:color="auto"/>
            </w:tcBorders>
            <w:shd w:val="clear" w:color="auto" w:fill="F2F2F2"/>
          </w:tcPr>
          <w:p w14:paraId="50E98F42" w14:textId="77777777" w:rsidR="00A556C5" w:rsidRPr="00994C53" w:rsidRDefault="00A556C5" w:rsidP="00A556C5">
            <w:pPr>
              <w:jc w:val="both"/>
              <w:rPr>
                <w:rFonts w:eastAsia="Calibri"/>
                <w:sz w:val="20"/>
                <w:szCs w:val="20"/>
              </w:rPr>
            </w:pPr>
            <w:r w:rsidRPr="00994C53">
              <w:rPr>
                <w:rFonts w:eastAsia="Calibri"/>
                <w:i/>
                <w:sz w:val="20"/>
                <w:szCs w:val="20"/>
              </w:rPr>
              <w:t>Má návrh špecifické negatívne dôsledky pre isté skupiny profesií, skupín zamestnancov či živnostníkov?</w:t>
            </w:r>
            <w:r w:rsidRPr="00994C53">
              <w:rPr>
                <w:rFonts w:eastAsia="Calibri"/>
                <w:sz w:val="20"/>
                <w:szCs w:val="20"/>
              </w:rPr>
              <w:t xml:space="preserve"> </w:t>
            </w:r>
            <w:r w:rsidRPr="00994C53">
              <w:rPr>
                <w:rFonts w:eastAsia="Calibri"/>
                <w:i/>
                <w:sz w:val="20"/>
                <w:szCs w:val="20"/>
              </w:rPr>
              <w:t>Ak áno, aké a pre ktoré skupiny?</w:t>
            </w:r>
          </w:p>
        </w:tc>
      </w:tr>
      <w:tr w:rsidR="00A556C5" w:rsidRPr="00994C53" w14:paraId="1AD7CCE7" w14:textId="77777777" w:rsidTr="00B51CD5">
        <w:trPr>
          <w:trHeight w:val="216"/>
          <w:jc w:val="center"/>
        </w:trPr>
        <w:tc>
          <w:tcPr>
            <w:tcW w:w="1993" w:type="pct"/>
            <w:tcBorders>
              <w:bottom w:val="single" w:sz="4" w:space="0" w:color="auto"/>
            </w:tcBorders>
            <w:shd w:val="clear" w:color="auto" w:fill="FFFFFF"/>
          </w:tcPr>
          <w:p w14:paraId="79B8F05C" w14:textId="77777777" w:rsidR="00A556C5" w:rsidRPr="00994C53" w:rsidRDefault="00A556C5" w:rsidP="00015502">
            <w:pPr>
              <w:jc w:val="both"/>
              <w:rPr>
                <w:rFonts w:eastAsia="Calibri"/>
                <w:i/>
                <w:sz w:val="18"/>
                <w:szCs w:val="18"/>
              </w:rPr>
            </w:pPr>
            <w:r w:rsidRPr="00994C53">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46EA053D" w14:textId="77777777" w:rsidR="00A556C5" w:rsidRPr="00A30F1C" w:rsidRDefault="00A556C5" w:rsidP="00A556C5">
            <w:pPr>
              <w:jc w:val="both"/>
              <w:rPr>
                <w:rFonts w:eastAsia="Calibri"/>
                <w:sz w:val="20"/>
                <w:szCs w:val="18"/>
              </w:rPr>
            </w:pPr>
            <w:r w:rsidRPr="009E0071">
              <w:rPr>
                <w:rFonts w:eastAsia="Calibri"/>
                <w:sz w:val="20"/>
                <w:szCs w:val="18"/>
              </w:rPr>
              <w:t>Návrh nemá špecifické negatívne dôsledky na isté skupiny profesií, skupín zamestnancov alebo živnostníkov</w:t>
            </w:r>
            <w:r>
              <w:rPr>
                <w:rFonts w:eastAsia="Calibri"/>
                <w:sz w:val="20"/>
                <w:szCs w:val="18"/>
              </w:rPr>
              <w:t>.</w:t>
            </w:r>
          </w:p>
        </w:tc>
      </w:tr>
      <w:tr w:rsidR="00A556C5" w:rsidRPr="00994C53" w14:paraId="1E657EF0" w14:textId="77777777" w:rsidTr="00B51CD5">
        <w:trPr>
          <w:trHeight w:val="219"/>
          <w:jc w:val="center"/>
        </w:trPr>
        <w:tc>
          <w:tcPr>
            <w:tcW w:w="5000" w:type="pct"/>
            <w:gridSpan w:val="2"/>
            <w:tcBorders>
              <w:bottom w:val="single" w:sz="4" w:space="0" w:color="auto"/>
            </w:tcBorders>
            <w:shd w:val="clear" w:color="auto" w:fill="F2F2F2"/>
          </w:tcPr>
          <w:p w14:paraId="63DC884B" w14:textId="77777777" w:rsidR="00A556C5" w:rsidRPr="00994C53" w:rsidRDefault="00A556C5" w:rsidP="00A556C5">
            <w:pPr>
              <w:rPr>
                <w:rFonts w:eastAsia="Calibri"/>
                <w:sz w:val="20"/>
                <w:szCs w:val="20"/>
              </w:rPr>
            </w:pPr>
            <w:r w:rsidRPr="00994C53">
              <w:rPr>
                <w:rFonts w:eastAsia="Calibri"/>
                <w:i/>
                <w:sz w:val="20"/>
                <w:szCs w:val="20"/>
              </w:rPr>
              <w:t>Ovplyvňuje návrh špecifické vekové skupiny zamestnancov? Ak áno, aké? Akým spôsobom?</w:t>
            </w:r>
          </w:p>
        </w:tc>
      </w:tr>
      <w:tr w:rsidR="00A556C5" w:rsidRPr="00994C53" w14:paraId="79FB469F" w14:textId="77777777" w:rsidTr="00B51CD5">
        <w:trPr>
          <w:trHeight w:val="497"/>
          <w:jc w:val="center"/>
        </w:trPr>
        <w:tc>
          <w:tcPr>
            <w:tcW w:w="1993" w:type="pct"/>
            <w:tcBorders>
              <w:bottom w:val="single" w:sz="4" w:space="0" w:color="auto"/>
            </w:tcBorders>
            <w:shd w:val="clear" w:color="auto" w:fill="FFFFFF"/>
          </w:tcPr>
          <w:p w14:paraId="36C380EC" w14:textId="77777777" w:rsidR="00A556C5" w:rsidRPr="00994C53" w:rsidRDefault="00A556C5" w:rsidP="00015502">
            <w:pPr>
              <w:jc w:val="both"/>
              <w:rPr>
                <w:rFonts w:eastAsia="Calibri"/>
                <w:i/>
                <w:sz w:val="18"/>
                <w:szCs w:val="18"/>
              </w:rPr>
            </w:pPr>
            <w:r w:rsidRPr="00994C53">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0535BF5F" w14:textId="77777777" w:rsidR="00A556C5" w:rsidRPr="00A30F1C" w:rsidRDefault="00A556C5" w:rsidP="00A556C5">
            <w:pPr>
              <w:rPr>
                <w:rFonts w:eastAsia="Calibri"/>
                <w:sz w:val="20"/>
                <w:szCs w:val="18"/>
              </w:rPr>
            </w:pPr>
            <w:r w:rsidRPr="009E0071">
              <w:rPr>
                <w:rFonts w:eastAsia="Calibri"/>
                <w:sz w:val="20"/>
                <w:szCs w:val="18"/>
              </w:rPr>
              <w:t>Návrh neovplyvňuje špecifické vekové skupiny zamestnancov.</w:t>
            </w:r>
          </w:p>
        </w:tc>
      </w:tr>
    </w:tbl>
    <w:p w14:paraId="2AC475F8" w14:textId="5AA6CA50" w:rsidR="00010EC9" w:rsidRPr="00975CBF" w:rsidRDefault="00010EC9" w:rsidP="00975CBF">
      <w:pPr>
        <w:tabs>
          <w:tab w:val="left" w:pos="12906"/>
        </w:tabs>
      </w:pPr>
    </w:p>
    <w:sectPr w:rsidR="00010EC9" w:rsidRPr="00975CBF" w:rsidSect="005522C5">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6E9A" w14:textId="77777777" w:rsidR="00786366" w:rsidRDefault="00786366">
      <w:r>
        <w:separator/>
      </w:r>
    </w:p>
  </w:endnote>
  <w:endnote w:type="continuationSeparator" w:id="0">
    <w:p w14:paraId="553F7B59" w14:textId="77777777" w:rsidR="00786366" w:rsidRDefault="0078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81766"/>
      <w:docPartObj>
        <w:docPartGallery w:val="Page Numbers (Bottom of Page)"/>
        <w:docPartUnique/>
      </w:docPartObj>
    </w:sdtPr>
    <w:sdtEndPr/>
    <w:sdtContent>
      <w:p w14:paraId="6B9D2774" w14:textId="0C2D0F37" w:rsidR="00212828" w:rsidRDefault="00212828">
        <w:pPr>
          <w:pStyle w:val="Pta"/>
          <w:jc w:val="right"/>
        </w:pPr>
        <w:r>
          <w:fldChar w:fldCharType="begin"/>
        </w:r>
        <w:r>
          <w:instrText>PAGE   \* MERGEFORMAT</w:instrText>
        </w:r>
        <w:r>
          <w:fldChar w:fldCharType="separate"/>
        </w:r>
        <w:r w:rsidR="00015502">
          <w:rPr>
            <w:noProof/>
          </w:rPr>
          <w:t>3</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38A7" w14:textId="77777777" w:rsidR="00786366" w:rsidRDefault="00786366">
      <w:r>
        <w:separator/>
      </w:r>
    </w:p>
  </w:footnote>
  <w:footnote w:type="continuationSeparator" w:id="0">
    <w:p w14:paraId="177EB661" w14:textId="77777777" w:rsidR="00786366" w:rsidRDefault="0078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5502"/>
    <w:rsid w:val="00017179"/>
    <w:rsid w:val="000177E9"/>
    <w:rsid w:val="0002045F"/>
    <w:rsid w:val="00020743"/>
    <w:rsid w:val="0002109C"/>
    <w:rsid w:val="00022935"/>
    <w:rsid w:val="000238F5"/>
    <w:rsid w:val="00025AC9"/>
    <w:rsid w:val="00026644"/>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B7922"/>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3B54"/>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5CA0"/>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3F0E"/>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0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5792E"/>
    <w:rsid w:val="00461064"/>
    <w:rsid w:val="004620D4"/>
    <w:rsid w:val="0046270F"/>
    <w:rsid w:val="0046407C"/>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97FB3"/>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211"/>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81D"/>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366"/>
    <w:rsid w:val="007867D8"/>
    <w:rsid w:val="007874C6"/>
    <w:rsid w:val="00787877"/>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2D6D"/>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CB5"/>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141"/>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D7BDC"/>
    <w:rsid w:val="00AE0274"/>
    <w:rsid w:val="00AE05E4"/>
    <w:rsid w:val="00AE16F4"/>
    <w:rsid w:val="00AE2167"/>
    <w:rsid w:val="00AE240B"/>
    <w:rsid w:val="00AE4BB6"/>
    <w:rsid w:val="00AE5892"/>
    <w:rsid w:val="00AE5FC1"/>
    <w:rsid w:val="00AE7430"/>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0C19"/>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CE7"/>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47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1A24"/>
    <w:rsid w:val="00E32C61"/>
    <w:rsid w:val="00E32DBB"/>
    <w:rsid w:val="00E33228"/>
    <w:rsid w:val="00E33CF4"/>
    <w:rsid w:val="00E33DFC"/>
    <w:rsid w:val="00E33F77"/>
    <w:rsid w:val="00E362DF"/>
    <w:rsid w:val="00E37469"/>
    <w:rsid w:val="00E37A44"/>
    <w:rsid w:val="00E408FD"/>
    <w:rsid w:val="00E4434C"/>
    <w:rsid w:val="00E4581C"/>
    <w:rsid w:val="00E45D3E"/>
    <w:rsid w:val="00E46C7A"/>
    <w:rsid w:val="00E50958"/>
    <w:rsid w:val="00E51EF7"/>
    <w:rsid w:val="00E51FD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D5F5B"/>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A5E"/>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05643"/>
  <w15:docId w15:val="{E3DB79B9-8029-4A48-8CB3-920D925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E8EF-8C10-466F-9B00-8C05852A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1453</Words>
  <Characters>9458</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10890</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Farkasova Andrea</cp:lastModifiedBy>
  <cp:revision>29</cp:revision>
  <cp:lastPrinted>2018-11-23T08:06:00Z</cp:lastPrinted>
  <dcterms:created xsi:type="dcterms:W3CDTF">2018-12-10T08:18:00Z</dcterms:created>
  <dcterms:modified xsi:type="dcterms:W3CDTF">2019-02-11T11:55:00Z</dcterms:modified>
</cp:coreProperties>
</file>