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0771" w:rsidRPr="00683D6A" w:rsidRDefault="00180771" w:rsidP="00180771">
      <w:pPr>
        <w:jc w:val="center"/>
        <w:rPr>
          <w:b/>
          <w:caps/>
          <w:spacing w:val="30"/>
        </w:rPr>
      </w:pPr>
      <w:r w:rsidRPr="00683D6A">
        <w:rPr>
          <w:b/>
          <w:caps/>
          <w:spacing w:val="30"/>
        </w:rPr>
        <w:t>Doložka zlučiteľnosti</w:t>
      </w:r>
    </w:p>
    <w:p w:rsidR="00180771" w:rsidRPr="00683D6A" w:rsidRDefault="00180771" w:rsidP="00180771">
      <w:pPr>
        <w:jc w:val="center"/>
        <w:rPr>
          <w:b/>
        </w:rPr>
      </w:pPr>
      <w:r w:rsidRPr="00683D6A">
        <w:rPr>
          <w:b/>
        </w:rPr>
        <w:t xml:space="preserve">návrhu </w:t>
      </w:r>
      <w:r w:rsidR="00BD02FD">
        <w:rPr>
          <w:b/>
        </w:rPr>
        <w:t>zákona</w:t>
      </w:r>
      <w:r w:rsidRPr="00683D6A">
        <w:rPr>
          <w:b/>
        </w:rPr>
        <w:t xml:space="preserve"> s právom Európskej únie</w:t>
      </w:r>
    </w:p>
    <w:p w:rsidR="00180771" w:rsidRPr="00683D6A" w:rsidRDefault="00180771" w:rsidP="00180771">
      <w:pPr>
        <w:jc w:val="center"/>
        <w:rPr>
          <w:b/>
        </w:rPr>
      </w:pPr>
    </w:p>
    <w:p w:rsidR="00180771" w:rsidRPr="00683D6A" w:rsidRDefault="00180771" w:rsidP="00180771">
      <w:pPr>
        <w:jc w:val="center"/>
        <w:rPr>
          <w:b/>
        </w:rPr>
      </w:pPr>
    </w:p>
    <w:tbl>
      <w:tblPr>
        <w:tblStyle w:val="Mriekatabuky"/>
        <w:tblW w:w="1003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
        <w:gridCol w:w="9627"/>
      </w:tblGrid>
      <w:tr w:rsidR="00180771" w:rsidRPr="00683D6A" w:rsidTr="00180771">
        <w:tc>
          <w:tcPr>
            <w:tcW w:w="404" w:type="dxa"/>
            <w:hideMark/>
          </w:tcPr>
          <w:p w:rsidR="00180771" w:rsidRPr="00683D6A" w:rsidRDefault="00180771">
            <w:pPr>
              <w:tabs>
                <w:tab w:val="left" w:pos="360"/>
              </w:tabs>
              <w:rPr>
                <w:b/>
              </w:rPr>
            </w:pPr>
            <w:r w:rsidRPr="00683D6A">
              <w:rPr>
                <w:b/>
              </w:rPr>
              <w:t>1.</w:t>
            </w:r>
          </w:p>
        </w:tc>
        <w:tc>
          <w:tcPr>
            <w:tcW w:w="9627" w:type="dxa"/>
            <w:hideMark/>
          </w:tcPr>
          <w:p w:rsidR="00180771" w:rsidRPr="00683D6A" w:rsidRDefault="00BD02FD">
            <w:pPr>
              <w:tabs>
                <w:tab w:val="left" w:pos="360"/>
              </w:tabs>
            </w:pPr>
            <w:r>
              <w:rPr>
                <w:b/>
              </w:rPr>
              <w:t>Navrhovateľ zákona</w:t>
            </w:r>
            <w:r w:rsidR="00180771" w:rsidRPr="00683D6A">
              <w:rPr>
                <w:b/>
              </w:rPr>
              <w:t>:</w:t>
            </w:r>
            <w:r w:rsidR="00180771" w:rsidRPr="00683D6A">
              <w:t xml:space="preserve"> </w:t>
            </w:r>
            <w:r w:rsidR="00FB5F11">
              <w:fldChar w:fldCharType="begin"/>
            </w:r>
            <w:r w:rsidR="00FB5F11">
              <w:instrText xml:space="preserve"> DOCPROPERTY  FSC#SKEDITIONSLOVLEX@103.510:zodpinstitucia  \* MERGEFORMAT </w:instrText>
            </w:r>
            <w:r w:rsidR="00FB5F11">
              <w:fldChar w:fldCharType="separate"/>
            </w:r>
            <w:r w:rsidR="00180771" w:rsidRPr="00683D6A">
              <w:t>Ministerstvo životného prostredia Slovenskej republiky</w:t>
            </w:r>
            <w:r w:rsidR="00FB5F11">
              <w:fldChar w:fldCharType="end"/>
            </w:r>
          </w:p>
        </w:tc>
      </w:tr>
      <w:tr w:rsidR="00180771" w:rsidRPr="00683D6A" w:rsidTr="00180771">
        <w:tc>
          <w:tcPr>
            <w:tcW w:w="404" w:type="dxa"/>
          </w:tcPr>
          <w:p w:rsidR="00180771" w:rsidRPr="00683D6A" w:rsidRDefault="00180771">
            <w:pPr>
              <w:tabs>
                <w:tab w:val="left" w:pos="360"/>
              </w:tabs>
            </w:pPr>
          </w:p>
        </w:tc>
        <w:tc>
          <w:tcPr>
            <w:tcW w:w="9627" w:type="dxa"/>
          </w:tcPr>
          <w:p w:rsidR="00180771" w:rsidRPr="00683D6A" w:rsidRDefault="00180771">
            <w:pPr>
              <w:tabs>
                <w:tab w:val="left" w:pos="360"/>
              </w:tabs>
            </w:pPr>
          </w:p>
        </w:tc>
      </w:tr>
      <w:tr w:rsidR="00180771" w:rsidRPr="00683D6A" w:rsidTr="00180771">
        <w:tc>
          <w:tcPr>
            <w:tcW w:w="404" w:type="dxa"/>
            <w:hideMark/>
          </w:tcPr>
          <w:p w:rsidR="00180771" w:rsidRPr="00683D6A" w:rsidRDefault="00180771">
            <w:pPr>
              <w:tabs>
                <w:tab w:val="left" w:pos="360"/>
              </w:tabs>
              <w:rPr>
                <w:b/>
              </w:rPr>
            </w:pPr>
            <w:r w:rsidRPr="00683D6A">
              <w:rPr>
                <w:b/>
              </w:rPr>
              <w:t>2.</w:t>
            </w:r>
          </w:p>
        </w:tc>
        <w:tc>
          <w:tcPr>
            <w:tcW w:w="9627" w:type="dxa"/>
            <w:hideMark/>
          </w:tcPr>
          <w:p w:rsidR="00180771" w:rsidRPr="00683D6A" w:rsidRDefault="00180771" w:rsidP="00BD02FD">
            <w:pPr>
              <w:tabs>
                <w:tab w:val="left" w:pos="360"/>
              </w:tabs>
            </w:pPr>
            <w:r w:rsidRPr="00683D6A">
              <w:rPr>
                <w:b/>
              </w:rPr>
              <w:t xml:space="preserve">Názov návrhu </w:t>
            </w:r>
            <w:r w:rsidR="00BD02FD">
              <w:rPr>
                <w:b/>
              </w:rPr>
              <w:t>zákona</w:t>
            </w:r>
            <w:r w:rsidRPr="00683D6A">
              <w:rPr>
                <w:b/>
              </w:rPr>
              <w:t>:</w:t>
            </w:r>
            <w:r w:rsidRPr="00683D6A">
              <w:t xml:space="preserve"> </w:t>
            </w:r>
            <w:r w:rsidR="00FB5F11">
              <w:fldChar w:fldCharType="begin"/>
            </w:r>
            <w:r w:rsidR="00FB5F11">
              <w:instrText xml:space="preserve"> DOCPROPERTY  FSC#SKEDITIONSLOVLEX@103.510:plnynazovpredpis  \* MERGEFORMAT </w:instrText>
            </w:r>
            <w:r w:rsidR="00FB5F11">
              <w:fldChar w:fldCharType="separate"/>
            </w:r>
            <w:r w:rsidRPr="00683D6A">
              <w:t xml:space="preserve"> Zákon o prevencii a manažmente introdukcie a šírenia inváznych nepôvodných druhov a o zmene a doplnení niektorých zákonov </w:t>
            </w:r>
            <w:r w:rsidR="00FB5F11">
              <w:fldChar w:fldCharType="end"/>
            </w:r>
            <w:r w:rsidRPr="00683D6A">
              <w:fldChar w:fldCharType="begin"/>
            </w:r>
            <w:r w:rsidRPr="00683D6A">
              <w:instrText xml:space="preserve"> DOCPROPERTY  FSC#SKEDITIONSLOVLEX@103.510:plnynazovpredpis1  \* MERGEFORMAT </w:instrText>
            </w:r>
            <w:r w:rsidRPr="00683D6A">
              <w:fldChar w:fldCharType="end"/>
            </w:r>
            <w:r w:rsidRPr="00683D6A">
              <w:fldChar w:fldCharType="begin"/>
            </w:r>
            <w:r w:rsidRPr="00683D6A">
              <w:instrText xml:space="preserve"> DOCPROPERTY  FSC#SKEDITIONSLOVLEX@103.510:plnynazovpredpis2  \* MERGEFORMAT </w:instrText>
            </w:r>
            <w:r w:rsidRPr="00683D6A">
              <w:fldChar w:fldCharType="end"/>
            </w:r>
            <w:r w:rsidRPr="00683D6A">
              <w:fldChar w:fldCharType="begin"/>
            </w:r>
            <w:r w:rsidRPr="00683D6A">
              <w:instrText xml:space="preserve"> DOCPROPERTY  FSC#SKEDITIONSLOVLEX@103.510:plnynazovpredpis3  \* MERGEFORMAT </w:instrText>
            </w:r>
            <w:r w:rsidRPr="00683D6A">
              <w:fldChar w:fldCharType="end"/>
            </w:r>
          </w:p>
        </w:tc>
      </w:tr>
      <w:tr w:rsidR="00180771" w:rsidRPr="00683D6A" w:rsidTr="00180771">
        <w:tc>
          <w:tcPr>
            <w:tcW w:w="404" w:type="dxa"/>
          </w:tcPr>
          <w:p w:rsidR="00180771" w:rsidRPr="00683D6A" w:rsidRDefault="00180771">
            <w:pPr>
              <w:tabs>
                <w:tab w:val="left" w:pos="360"/>
              </w:tabs>
            </w:pPr>
          </w:p>
        </w:tc>
        <w:tc>
          <w:tcPr>
            <w:tcW w:w="9627" w:type="dxa"/>
          </w:tcPr>
          <w:p w:rsidR="00180771" w:rsidRPr="00683D6A" w:rsidRDefault="00180771">
            <w:pPr>
              <w:tabs>
                <w:tab w:val="left" w:pos="360"/>
              </w:tabs>
            </w:pPr>
          </w:p>
        </w:tc>
      </w:tr>
      <w:tr w:rsidR="00180771" w:rsidRPr="00683D6A" w:rsidTr="00180771">
        <w:tc>
          <w:tcPr>
            <w:tcW w:w="404" w:type="dxa"/>
            <w:hideMark/>
          </w:tcPr>
          <w:p w:rsidR="00180771" w:rsidRPr="00683D6A" w:rsidRDefault="00180771">
            <w:pPr>
              <w:tabs>
                <w:tab w:val="left" w:pos="360"/>
              </w:tabs>
              <w:rPr>
                <w:b/>
              </w:rPr>
            </w:pPr>
            <w:r w:rsidRPr="00683D6A">
              <w:rPr>
                <w:b/>
              </w:rPr>
              <w:t>3.</w:t>
            </w:r>
          </w:p>
        </w:tc>
        <w:tc>
          <w:tcPr>
            <w:tcW w:w="9627" w:type="dxa"/>
          </w:tcPr>
          <w:p w:rsidR="00180771" w:rsidRPr="00683D6A" w:rsidRDefault="00BD02FD">
            <w:pPr>
              <w:tabs>
                <w:tab w:val="left" w:pos="360"/>
              </w:tabs>
              <w:rPr>
                <w:b/>
              </w:rPr>
            </w:pPr>
            <w:r>
              <w:rPr>
                <w:b/>
              </w:rPr>
              <w:t>Predmet</w:t>
            </w:r>
            <w:r w:rsidR="00180771" w:rsidRPr="00683D6A">
              <w:rPr>
                <w:b/>
              </w:rPr>
              <w:t xml:space="preserve"> návrhu </w:t>
            </w:r>
            <w:r>
              <w:rPr>
                <w:b/>
              </w:rPr>
              <w:t>zákona je upravený v práve Európskej únie</w:t>
            </w:r>
            <w:r w:rsidR="00180771" w:rsidRPr="00683D6A">
              <w:rPr>
                <w:b/>
              </w:rPr>
              <w:t>:</w:t>
            </w:r>
          </w:p>
          <w:p w:rsidR="00180771" w:rsidRPr="00683D6A" w:rsidRDefault="00180771">
            <w:pPr>
              <w:tabs>
                <w:tab w:val="left" w:pos="360"/>
              </w:tabs>
            </w:pPr>
          </w:p>
        </w:tc>
      </w:tr>
      <w:tr w:rsidR="00180771" w:rsidRPr="00683D6A" w:rsidTr="00180771">
        <w:tc>
          <w:tcPr>
            <w:tcW w:w="404" w:type="dxa"/>
          </w:tcPr>
          <w:p w:rsidR="00180771" w:rsidRPr="00683D6A" w:rsidRDefault="00180771">
            <w:pPr>
              <w:tabs>
                <w:tab w:val="left" w:pos="360"/>
              </w:tabs>
            </w:pPr>
          </w:p>
        </w:tc>
        <w:tc>
          <w:tcPr>
            <w:tcW w:w="9627" w:type="dxa"/>
          </w:tcPr>
          <w:p w:rsidR="00180771" w:rsidRPr="00683D6A" w:rsidRDefault="00BD02FD" w:rsidP="009E241A">
            <w:pPr>
              <w:pStyle w:val="Odsekzoznamu"/>
              <w:numPr>
                <w:ilvl w:val="0"/>
                <w:numId w:val="1"/>
              </w:numPr>
              <w:tabs>
                <w:tab w:val="left" w:pos="360"/>
              </w:tabs>
            </w:pPr>
            <w:r>
              <w:rPr>
                <w:rFonts w:ascii="Times" w:hAnsi="Times" w:cs="Times"/>
              </w:rPr>
              <w:t>v primárnom práve</w:t>
            </w:r>
          </w:p>
          <w:p w:rsidR="00180771" w:rsidRDefault="00180771">
            <w:pPr>
              <w:rPr>
                <w:rFonts w:ascii="Times" w:hAnsi="Times" w:cs="Times"/>
              </w:rPr>
            </w:pPr>
            <w:r w:rsidRPr="00683D6A">
              <w:rPr>
                <w:rFonts w:ascii="Times" w:hAnsi="Times" w:cs="Times"/>
              </w:rPr>
              <w:br/>
              <w:t>Čl. 191 až 193 Zmluvy o fungovaní Európskej únie v platnom znení.</w:t>
            </w:r>
          </w:p>
          <w:p w:rsidR="00BD02FD" w:rsidRDefault="00BD02FD">
            <w:pPr>
              <w:rPr>
                <w:rFonts w:ascii="Times" w:hAnsi="Times" w:cs="Times"/>
              </w:rPr>
            </w:pPr>
          </w:p>
          <w:p w:rsidR="00BD02FD" w:rsidRDefault="00BD02FD" w:rsidP="00BD02FD">
            <w:pPr>
              <w:jc w:val="both"/>
            </w:pPr>
            <w:r w:rsidRPr="000A66C4">
              <w:t>b) v sekundárnom práve</w:t>
            </w:r>
          </w:p>
          <w:p w:rsidR="00BD02FD" w:rsidRPr="00683D6A" w:rsidRDefault="00BD02FD">
            <w:pPr>
              <w:rPr>
                <w:rFonts w:ascii="Times" w:hAnsi="Times" w:cs="Times"/>
              </w:rPr>
            </w:pPr>
          </w:p>
          <w:p w:rsidR="00BD02FD" w:rsidRDefault="00BD02FD" w:rsidP="001B0AA4">
            <w:pPr>
              <w:widowControl/>
              <w:autoSpaceDE/>
              <w:autoSpaceDN/>
              <w:adjustRightInd/>
              <w:spacing w:line="250" w:lineRule="atLeast"/>
              <w:textAlignment w:val="baseline"/>
              <w:rPr>
                <w:iCs/>
              </w:rPr>
            </w:pPr>
            <w:r>
              <w:t>N</w:t>
            </w:r>
            <w:r w:rsidR="001B0AA4" w:rsidRPr="00683D6A">
              <w:rPr>
                <w:bCs/>
                <w:bdr w:val="none" w:sz="0" w:space="0" w:color="auto" w:frame="1"/>
              </w:rPr>
              <w:t>ariadenie Európskeho parlamentu a Rady (EÚ) č. 952/2013 z  9. októbra 2013, ktorým sa ustanovuje Colný kódex Únie</w:t>
            </w:r>
            <w:r w:rsidR="00BA00C0" w:rsidRPr="00683D6A">
              <w:rPr>
                <w:bCs/>
                <w:bdr w:val="none" w:sz="0" w:space="0" w:color="auto" w:frame="1"/>
              </w:rPr>
              <w:t xml:space="preserve"> (prepracované znenie) </w:t>
            </w:r>
            <w:r w:rsidR="001B0AA4" w:rsidRPr="00683D6A">
              <w:t>(</w:t>
            </w:r>
            <w:r w:rsidR="001B0AA4" w:rsidRPr="00683D6A">
              <w:rPr>
                <w:iCs/>
              </w:rPr>
              <w:t>Ú. v. EÚ L 269, 10.10.2013)</w:t>
            </w:r>
          </w:p>
          <w:p w:rsidR="00BD02FD" w:rsidRDefault="00BD02FD" w:rsidP="001B0AA4">
            <w:pPr>
              <w:widowControl/>
              <w:autoSpaceDE/>
              <w:autoSpaceDN/>
              <w:adjustRightInd/>
              <w:spacing w:line="250" w:lineRule="atLeast"/>
              <w:textAlignment w:val="baseline"/>
              <w:rPr>
                <w:iCs/>
              </w:rPr>
            </w:pPr>
            <w:r>
              <w:rPr>
                <w:iCs/>
              </w:rPr>
              <w:t xml:space="preserve">      gestor: </w:t>
            </w:r>
            <w:r w:rsidRPr="00683D6A">
              <w:rPr>
                <w:rFonts w:ascii="Times" w:hAnsi="Times" w:cs="Times"/>
              </w:rPr>
              <w:t xml:space="preserve">Ministerstvo </w:t>
            </w:r>
            <w:r w:rsidR="00CE2626">
              <w:rPr>
                <w:rFonts w:ascii="Times" w:hAnsi="Times" w:cs="Times"/>
              </w:rPr>
              <w:t>financií</w:t>
            </w:r>
            <w:bookmarkStart w:id="0" w:name="_GoBack"/>
            <w:bookmarkEnd w:id="0"/>
            <w:r w:rsidRPr="00683D6A">
              <w:rPr>
                <w:rFonts w:ascii="Times" w:hAnsi="Times" w:cs="Times"/>
              </w:rPr>
              <w:t xml:space="preserve"> Slovenskej republiky</w:t>
            </w:r>
          </w:p>
          <w:p w:rsidR="00180771" w:rsidRPr="00683D6A" w:rsidRDefault="00180771" w:rsidP="001B0AA4">
            <w:pPr>
              <w:widowControl/>
              <w:autoSpaceDE/>
              <w:autoSpaceDN/>
              <w:adjustRightInd/>
              <w:spacing w:line="250" w:lineRule="atLeast"/>
              <w:textAlignment w:val="baseline"/>
              <w:rPr>
                <w:rFonts w:ascii="Lucida Sans Unicode" w:hAnsi="Lucida Sans Unicode" w:cs="Lucida Sans Unicode"/>
                <w:color w:val="444444"/>
              </w:rPr>
            </w:pPr>
            <w:r w:rsidRPr="00683D6A">
              <w:br/>
            </w:r>
            <w:r w:rsidR="00BD02FD">
              <w:rPr>
                <w:rFonts w:ascii="Times" w:hAnsi="Times" w:cs="Times"/>
              </w:rPr>
              <w:t>N</w:t>
            </w:r>
            <w:r w:rsidRPr="00683D6A">
              <w:rPr>
                <w:rFonts w:ascii="Times" w:hAnsi="Times" w:cs="Times"/>
              </w:rPr>
              <w:t>ariadenie Európskeho parlamentu a Rady (EÚ) č. 1143/2014 z 22. októbra 2014 o prevencii a manažmente introdukcie a šírenia inváznych nepôvodných druhov (Ú. v. EÚ L 317, 4.11.2014)</w:t>
            </w:r>
          </w:p>
          <w:p w:rsidR="00180771" w:rsidRDefault="00BD02FD">
            <w:pPr>
              <w:pStyle w:val="Odsekzoznamu"/>
              <w:tabs>
                <w:tab w:val="left" w:pos="360"/>
              </w:tabs>
              <w:ind w:left="360"/>
            </w:pPr>
            <w:r>
              <w:t xml:space="preserve">gestor: </w:t>
            </w:r>
            <w:r w:rsidR="007778FE" w:rsidRPr="00683D6A">
              <w:rPr>
                <w:rFonts w:ascii="Times" w:hAnsi="Times" w:cs="Times"/>
              </w:rPr>
              <w:t>Ministerstvo životného prostredia Slovenskej republiky</w:t>
            </w:r>
            <w:r w:rsidR="007778FE" w:rsidRPr="00683D6A">
              <w:rPr>
                <w:rFonts w:ascii="Times" w:hAnsi="Times" w:cs="Times"/>
              </w:rPr>
              <w:br/>
            </w:r>
            <w:r w:rsidR="002A60B6">
              <w:rPr>
                <w:rFonts w:ascii="Times" w:hAnsi="Times" w:cs="Times"/>
              </w:rPr>
              <w:t xml:space="preserve">            </w:t>
            </w:r>
            <w:r w:rsidR="007778FE" w:rsidRPr="00683D6A">
              <w:rPr>
                <w:rFonts w:ascii="Times" w:hAnsi="Times" w:cs="Times"/>
              </w:rPr>
              <w:t>Ministerstvo pôdohospodárstva a rozvoja vidieka Slovenskej republiky</w:t>
            </w:r>
            <w:r w:rsidR="007778FE" w:rsidRPr="00683D6A">
              <w:rPr>
                <w:rFonts w:ascii="Times" w:hAnsi="Times" w:cs="Times"/>
              </w:rPr>
              <w:br/>
            </w:r>
            <w:r w:rsidR="002A60B6">
              <w:rPr>
                <w:rFonts w:ascii="Times" w:hAnsi="Times" w:cs="Times"/>
              </w:rPr>
              <w:t xml:space="preserve">            </w:t>
            </w:r>
            <w:r w:rsidR="007778FE" w:rsidRPr="00683D6A">
              <w:rPr>
                <w:rFonts w:ascii="Times" w:hAnsi="Times" w:cs="Times"/>
              </w:rPr>
              <w:t>Ministerstvo financií Slovenskej republiky</w:t>
            </w:r>
          </w:p>
          <w:p w:rsidR="002A60B6" w:rsidRDefault="007778FE">
            <w:r>
              <w:rPr>
                <w:rFonts w:ascii="Times" w:hAnsi="Times" w:cs="Times"/>
              </w:rPr>
              <w:br/>
              <w:t>V</w:t>
            </w:r>
            <w:r w:rsidR="00180771" w:rsidRPr="00683D6A">
              <w:t>ykonávacie nariadenie Komisie (EÚ) 2016/145 zo 4. februára 2016, ktorým sa prijíma formát dokumentu slúžiaceho ako dôkaz pre povolenie vydané príslušnými orgánmi členského štátu, na základe ktorého môžu zariadenia vykonávať určité činnosti týkajúce sa inváznych nepôvodných druhov vzbudzujúcich obavy Únie podľa nariadenia Európskeho parlamentu a Rady (EÚ) č. 1143/2014 (Ú. v. EÚ L 30, 5.2.2016)</w:t>
            </w:r>
          </w:p>
          <w:p w:rsidR="001B0AA4" w:rsidRPr="00683D6A" w:rsidRDefault="002A60B6">
            <w:r>
              <w:t xml:space="preserve">      gestor: </w:t>
            </w:r>
            <w:r w:rsidRPr="00683D6A">
              <w:rPr>
                <w:rFonts w:ascii="Times" w:hAnsi="Times" w:cs="Times"/>
              </w:rPr>
              <w:t>Ministerstvo životného prostredia Slovenskej republiky</w:t>
            </w:r>
            <w:r w:rsidR="005C7732" w:rsidRPr="00683D6A">
              <w:t xml:space="preserve"> </w:t>
            </w:r>
          </w:p>
          <w:p w:rsidR="007778FE" w:rsidRDefault="007778FE"/>
          <w:p w:rsidR="00180771" w:rsidRDefault="007778FE">
            <w:r>
              <w:t>V</w:t>
            </w:r>
            <w:r w:rsidR="00180771" w:rsidRPr="00683D6A">
              <w:t>ykonávacie nariadenie Komisie (EÚ) 2016/1141 z 13. júla 2016, ktorým sa prijíma zoznam inváznych nepôvodných druhov vzbudzujúcich obavy Únie podľa nariadenia Európskeho parlamentu a Rady (EÚ) č. 1143/2014 (Ú. v. EÚ L 189, 14.7.2016)</w:t>
            </w:r>
          </w:p>
          <w:p w:rsidR="002A60B6" w:rsidRDefault="002A60B6" w:rsidP="002A60B6">
            <w:pPr>
              <w:widowControl/>
              <w:autoSpaceDE/>
              <w:autoSpaceDN/>
              <w:adjustRightInd/>
              <w:spacing w:line="250" w:lineRule="atLeast"/>
              <w:textAlignment w:val="baseline"/>
              <w:rPr>
                <w:iCs/>
              </w:rPr>
            </w:pPr>
            <w:r>
              <w:t xml:space="preserve">     </w:t>
            </w:r>
            <w:r>
              <w:rPr>
                <w:iCs/>
              </w:rPr>
              <w:t xml:space="preserve">gestor: </w:t>
            </w:r>
            <w:r w:rsidRPr="00683D6A">
              <w:rPr>
                <w:rFonts w:ascii="Times" w:hAnsi="Times" w:cs="Times"/>
              </w:rPr>
              <w:t>Ministerstvo životného prostredia Slovenskej republiky</w:t>
            </w:r>
          </w:p>
          <w:p w:rsidR="007778FE" w:rsidRDefault="007778FE"/>
          <w:p w:rsidR="00CE077D" w:rsidRDefault="007778FE">
            <w:r>
              <w:t>V</w:t>
            </w:r>
            <w:r w:rsidR="00CE077D" w:rsidRPr="00683D6A">
              <w:t>ykonávacie nariadenie Komisie (EÚ) 2017/1263 z 12. júla 2017, ktorým sa aktualizuje zoznam inváznych nepôvodných druhov vzbudzujúcich obavy Únie prijatý vykonávacím nariadením (EÚ) 2016/1141 podľa nariadenia Európskeho parlamentu a Rady (EÚ) č. 1143/2014</w:t>
            </w:r>
          </w:p>
          <w:p w:rsidR="002A60B6" w:rsidRDefault="002A60B6" w:rsidP="002A60B6">
            <w:pPr>
              <w:widowControl/>
              <w:autoSpaceDE/>
              <w:autoSpaceDN/>
              <w:adjustRightInd/>
              <w:spacing w:line="250" w:lineRule="atLeast"/>
              <w:textAlignment w:val="baseline"/>
              <w:rPr>
                <w:iCs/>
              </w:rPr>
            </w:pPr>
            <w:r>
              <w:t xml:space="preserve">     </w:t>
            </w:r>
            <w:r>
              <w:rPr>
                <w:iCs/>
              </w:rPr>
              <w:t xml:space="preserve">gestor: </w:t>
            </w:r>
            <w:r w:rsidRPr="00683D6A">
              <w:rPr>
                <w:rFonts w:ascii="Times" w:hAnsi="Times" w:cs="Times"/>
              </w:rPr>
              <w:t>Ministerstvo životného prostredia Slovenskej republiky</w:t>
            </w:r>
          </w:p>
          <w:p w:rsidR="007778FE" w:rsidRDefault="007778FE"/>
          <w:p w:rsidR="00CE077D" w:rsidRDefault="007778FE">
            <w:r>
              <w:t>V</w:t>
            </w:r>
            <w:r w:rsidR="00CE077D" w:rsidRPr="00683D6A">
              <w:t xml:space="preserve">ykonávacie nariadenie Komisie (EÚ) 2017/1454 z 10. </w:t>
            </w:r>
            <w:r w:rsidR="00A34861" w:rsidRPr="00683D6A">
              <w:t>a</w:t>
            </w:r>
            <w:r w:rsidR="00CE077D" w:rsidRPr="00683D6A">
              <w:t>ugusta 2017, ktorým sa špecifikujú technické formáty na podávanie správ členských štátov podľa nariadenia Eur</w:t>
            </w:r>
            <w:r w:rsidR="00A34861" w:rsidRPr="00683D6A">
              <w:t>ópskeho parlamentu</w:t>
            </w:r>
            <w:r w:rsidR="00CE077D" w:rsidRPr="00683D6A">
              <w:t xml:space="preserve"> a Rady (</w:t>
            </w:r>
            <w:r w:rsidR="00A34861" w:rsidRPr="00683D6A">
              <w:t>EÚ) č. 1143/2014</w:t>
            </w:r>
          </w:p>
          <w:p w:rsidR="002A60B6" w:rsidRDefault="002A60B6" w:rsidP="002A60B6">
            <w:pPr>
              <w:widowControl/>
              <w:autoSpaceDE/>
              <w:autoSpaceDN/>
              <w:adjustRightInd/>
              <w:spacing w:line="250" w:lineRule="atLeast"/>
              <w:textAlignment w:val="baseline"/>
              <w:rPr>
                <w:iCs/>
              </w:rPr>
            </w:pPr>
            <w:r>
              <w:t xml:space="preserve">     </w:t>
            </w:r>
            <w:r>
              <w:rPr>
                <w:iCs/>
              </w:rPr>
              <w:t xml:space="preserve">gestor: </w:t>
            </w:r>
            <w:r w:rsidRPr="00683D6A">
              <w:rPr>
                <w:rFonts w:ascii="Times" w:hAnsi="Times" w:cs="Times"/>
              </w:rPr>
              <w:t>Ministerstvo životného prostredia Slovenskej republiky</w:t>
            </w:r>
          </w:p>
          <w:p w:rsidR="002A60B6" w:rsidRPr="00683D6A" w:rsidRDefault="002A60B6"/>
          <w:p w:rsidR="002A60B6" w:rsidRDefault="002A60B6"/>
          <w:p w:rsidR="00A34861" w:rsidRDefault="007778FE">
            <w:r>
              <w:lastRenderedPageBreak/>
              <w:t>D</w:t>
            </w:r>
            <w:r w:rsidR="00A34861" w:rsidRPr="00683D6A">
              <w:t xml:space="preserve">elegované nariadenie Komisie (EÚ) 2018/968 z 30. apríla 2018, ktorým sa dopĺňa nariadenie Európskeho parlamentu a Rady (EÚ) č. 1143/2014, pokiaľ ide o posudzovanie rizík súvisiacich s inváznymi nepôvodnými druhmi </w:t>
            </w:r>
          </w:p>
          <w:p w:rsidR="002A60B6" w:rsidRDefault="002A60B6" w:rsidP="002A60B6">
            <w:pPr>
              <w:widowControl/>
              <w:autoSpaceDE/>
              <w:autoSpaceDN/>
              <w:adjustRightInd/>
              <w:spacing w:line="250" w:lineRule="atLeast"/>
              <w:textAlignment w:val="baseline"/>
              <w:rPr>
                <w:iCs/>
              </w:rPr>
            </w:pPr>
            <w:r>
              <w:t xml:space="preserve">     </w:t>
            </w:r>
            <w:r>
              <w:rPr>
                <w:iCs/>
              </w:rPr>
              <w:t xml:space="preserve">gestor: </w:t>
            </w:r>
            <w:r w:rsidRPr="00683D6A">
              <w:rPr>
                <w:rFonts w:ascii="Times" w:hAnsi="Times" w:cs="Times"/>
              </w:rPr>
              <w:t>Ministerstvo životného prostredia Slovenskej republiky</w:t>
            </w:r>
          </w:p>
          <w:p w:rsidR="00180771" w:rsidRPr="00683D6A" w:rsidRDefault="00180771" w:rsidP="002A60B6">
            <w:pPr>
              <w:tabs>
                <w:tab w:val="left" w:pos="360"/>
              </w:tabs>
            </w:pPr>
          </w:p>
        </w:tc>
      </w:tr>
      <w:tr w:rsidR="00180771" w:rsidRPr="00683D6A" w:rsidTr="00180771">
        <w:tc>
          <w:tcPr>
            <w:tcW w:w="404" w:type="dxa"/>
          </w:tcPr>
          <w:p w:rsidR="00180771" w:rsidRPr="00683D6A" w:rsidRDefault="00180771">
            <w:pPr>
              <w:tabs>
                <w:tab w:val="left" w:pos="360"/>
              </w:tabs>
            </w:pPr>
          </w:p>
        </w:tc>
        <w:tc>
          <w:tcPr>
            <w:tcW w:w="9627" w:type="dxa"/>
          </w:tcPr>
          <w:p w:rsidR="00180771" w:rsidRPr="00683D6A" w:rsidRDefault="007778FE" w:rsidP="007778FE">
            <w:pPr>
              <w:tabs>
                <w:tab w:val="left" w:pos="360"/>
              </w:tabs>
            </w:pPr>
            <w:r>
              <w:rPr>
                <w:rFonts w:ascii="Times" w:hAnsi="Times" w:cs="Times"/>
              </w:rPr>
              <w:t xml:space="preserve">c) </w:t>
            </w:r>
            <w:r w:rsidR="00180771" w:rsidRPr="007778FE">
              <w:rPr>
                <w:rFonts w:ascii="Times" w:hAnsi="Times" w:cs="Times"/>
              </w:rPr>
              <w:t>nie je obsiahnut</w:t>
            </w:r>
            <w:r>
              <w:rPr>
                <w:rFonts w:ascii="Times" w:hAnsi="Times" w:cs="Times"/>
              </w:rPr>
              <w:t>ý</w:t>
            </w:r>
            <w:r w:rsidR="00180771" w:rsidRPr="007778FE">
              <w:rPr>
                <w:rFonts w:ascii="Times" w:hAnsi="Times" w:cs="Times"/>
              </w:rPr>
              <w:t xml:space="preserve"> v judikatúre Súdneho dvora Európskej únie</w:t>
            </w:r>
          </w:p>
          <w:p w:rsidR="00180771" w:rsidRPr="00683D6A" w:rsidRDefault="00180771">
            <w:pPr>
              <w:pStyle w:val="Odsekzoznamu"/>
              <w:tabs>
                <w:tab w:val="left" w:pos="360"/>
              </w:tabs>
              <w:ind w:left="360"/>
            </w:pPr>
          </w:p>
        </w:tc>
      </w:tr>
    </w:tbl>
    <w:p w:rsidR="00180771" w:rsidRPr="00683D6A" w:rsidRDefault="00180771" w:rsidP="00180771">
      <w:pPr>
        <w:tabs>
          <w:tab w:val="left" w:pos="360"/>
        </w:tabs>
        <w:jc w:val="both"/>
      </w:pPr>
    </w:p>
    <w:tbl>
      <w:tblPr>
        <w:tblW w:w="5000" w:type="pct"/>
        <w:jc w:val="center"/>
        <w:tblCellMar>
          <w:left w:w="0" w:type="dxa"/>
          <w:right w:w="0" w:type="dxa"/>
        </w:tblCellMar>
        <w:tblLook w:val="04A0" w:firstRow="1" w:lastRow="0" w:firstColumn="1" w:lastColumn="0" w:noHBand="0" w:noVBand="1"/>
      </w:tblPr>
      <w:tblGrid>
        <w:gridCol w:w="263"/>
        <w:gridCol w:w="653"/>
        <w:gridCol w:w="8156"/>
      </w:tblGrid>
      <w:tr w:rsidR="00180771" w:rsidRPr="00683D6A" w:rsidTr="007778FE">
        <w:trPr>
          <w:jc w:val="center"/>
        </w:trPr>
        <w:tc>
          <w:tcPr>
            <w:tcW w:w="145" w:type="pct"/>
            <w:hideMark/>
          </w:tcPr>
          <w:p w:rsidR="00180771" w:rsidRPr="00683D6A" w:rsidRDefault="00180771">
            <w:pPr>
              <w:spacing w:line="276" w:lineRule="auto"/>
              <w:rPr>
                <w:rFonts w:ascii="Times" w:hAnsi="Times" w:cs="Times"/>
                <w:b/>
                <w:bCs/>
              </w:rPr>
            </w:pPr>
            <w:r w:rsidRPr="00683D6A">
              <w:rPr>
                <w:rFonts w:ascii="Times" w:hAnsi="Times" w:cs="Times"/>
                <w:b/>
                <w:bCs/>
              </w:rPr>
              <w:t>4.</w:t>
            </w:r>
          </w:p>
        </w:tc>
        <w:tc>
          <w:tcPr>
            <w:tcW w:w="4855" w:type="pct"/>
            <w:gridSpan w:val="2"/>
            <w:vAlign w:val="center"/>
            <w:hideMark/>
          </w:tcPr>
          <w:p w:rsidR="00180771" w:rsidRPr="00683D6A" w:rsidRDefault="00180771">
            <w:pPr>
              <w:spacing w:after="250" w:line="276" w:lineRule="auto"/>
              <w:rPr>
                <w:rFonts w:ascii="Times" w:hAnsi="Times" w:cs="Times"/>
                <w:b/>
                <w:bCs/>
              </w:rPr>
            </w:pPr>
            <w:r w:rsidRPr="00683D6A">
              <w:rPr>
                <w:rFonts w:ascii="Times" w:hAnsi="Times" w:cs="Times"/>
                <w:b/>
                <w:bCs/>
              </w:rPr>
              <w:t>Záväzky Slovenskej republiky vo vzťahu k Európskej únii:</w:t>
            </w:r>
          </w:p>
        </w:tc>
      </w:tr>
      <w:tr w:rsidR="00180771" w:rsidRPr="00683D6A" w:rsidTr="007778FE">
        <w:trPr>
          <w:jc w:val="center"/>
        </w:trPr>
        <w:tc>
          <w:tcPr>
            <w:tcW w:w="0" w:type="auto"/>
            <w:hideMark/>
          </w:tcPr>
          <w:p w:rsidR="00180771" w:rsidRPr="00683D6A" w:rsidRDefault="00180771">
            <w:pPr>
              <w:widowControl/>
              <w:autoSpaceDE/>
              <w:autoSpaceDN/>
              <w:adjustRightInd/>
              <w:spacing w:line="276" w:lineRule="auto"/>
            </w:pPr>
          </w:p>
        </w:tc>
        <w:tc>
          <w:tcPr>
            <w:tcW w:w="360" w:type="pct"/>
            <w:hideMark/>
          </w:tcPr>
          <w:p w:rsidR="00180771" w:rsidRPr="00683D6A" w:rsidRDefault="00180771">
            <w:pPr>
              <w:widowControl/>
              <w:autoSpaceDE/>
              <w:autoSpaceDN/>
              <w:adjustRightInd/>
              <w:spacing w:line="276" w:lineRule="auto"/>
            </w:pPr>
          </w:p>
        </w:tc>
        <w:tc>
          <w:tcPr>
            <w:tcW w:w="4495" w:type="pct"/>
            <w:vAlign w:val="center"/>
            <w:hideMark/>
          </w:tcPr>
          <w:p w:rsidR="003B43E6" w:rsidRDefault="003B43E6" w:rsidP="003B43E6">
            <w:pPr>
              <w:spacing w:after="250" w:line="276" w:lineRule="auto"/>
              <w:ind w:left="-584" w:firstLine="584"/>
              <w:jc w:val="both"/>
              <w:rPr>
                <w:rFonts w:ascii="Times" w:hAnsi="Times" w:cs="Times"/>
              </w:rPr>
            </w:pPr>
            <w:r>
              <w:rPr>
                <w:rFonts w:ascii="Times" w:hAnsi="Times" w:cs="Times"/>
              </w:rPr>
              <w:t>a) lehota na prebratie smernice alebo lehota na implementáciu nariadenia alebo rozhodnutia</w:t>
            </w:r>
          </w:p>
          <w:p w:rsidR="003B43E6" w:rsidRDefault="003B43E6" w:rsidP="007778FE">
            <w:pPr>
              <w:spacing w:after="250" w:line="276" w:lineRule="auto"/>
              <w:ind w:left="-584" w:firstLine="584"/>
              <w:rPr>
                <w:rFonts w:ascii="Times" w:hAnsi="Times" w:cs="Times"/>
              </w:rPr>
            </w:pPr>
            <w:r>
              <w:rPr>
                <w:rFonts w:ascii="Times" w:hAnsi="Times" w:cs="Times"/>
              </w:rPr>
              <w:t>bezpredmetné</w:t>
            </w:r>
          </w:p>
          <w:p w:rsidR="007778FE" w:rsidRDefault="003B43E6" w:rsidP="003B43E6">
            <w:pPr>
              <w:spacing w:after="250" w:line="276" w:lineRule="auto"/>
              <w:jc w:val="both"/>
              <w:rPr>
                <w:rFonts w:ascii="Times" w:hAnsi="Times" w:cs="Times"/>
              </w:rPr>
            </w:pPr>
            <w:r>
              <w:t xml:space="preserve">b) </w:t>
            </w:r>
            <w:r w:rsidR="007778FE" w:rsidRPr="000A66C4">
              <w:t xml:space="preserve">informácia o začatí konania v rámci „EÚ Pilot“ alebo o začatí postupu Európskej komisie, alebo o konaní Súdneho dvora Európskej únie proti Slovenskej republike podľa čl. 258 a 260 Zmluvy o fungovaní Európskej únie v jej platnom znení, konkrétne vytýkané nedostatky a požiadavky na zabezpečenie nápravy so zreteľom na nariadenie Európskeho parlamentu a Rady (ES) č. 1049/2001 z 30. mája 2001 o prístupe verejnosti k dokumentom Európskeho parlamentu, Rady a Komisie, </w:t>
            </w:r>
          </w:p>
          <w:p w:rsidR="007778FE" w:rsidRPr="003B43E6" w:rsidRDefault="007778FE" w:rsidP="003B43E6">
            <w:pPr>
              <w:spacing w:after="250" w:line="276" w:lineRule="auto"/>
              <w:rPr>
                <w:rFonts w:ascii="Times" w:hAnsi="Times" w:cs="Times"/>
              </w:rPr>
            </w:pPr>
            <w:r w:rsidRPr="004C556D">
              <w:t>-</w:t>
            </w:r>
            <w:r w:rsidRPr="004C556D">
              <w:rPr>
                <w:w w:val="108"/>
                <w:lang w:bidi="he-IL"/>
              </w:rPr>
              <w:t xml:space="preserve"> </w:t>
            </w:r>
            <w:r>
              <w:rPr>
                <w:w w:val="108"/>
                <w:lang w:bidi="he-IL"/>
              </w:rPr>
              <w:t>nie je vedené</w:t>
            </w:r>
          </w:p>
          <w:p w:rsidR="00180771" w:rsidRDefault="007778FE" w:rsidP="007778FE">
            <w:pPr>
              <w:jc w:val="both"/>
            </w:pPr>
            <w:r w:rsidRPr="000A66C4">
              <w:t>c</w:t>
            </w:r>
            <w:r>
              <w:t xml:space="preserve">) </w:t>
            </w:r>
            <w:r w:rsidRPr="000A66C4">
              <w:t>informácia o právnych predpisoch, v ktorých sú preber</w:t>
            </w:r>
            <w:r>
              <w:t xml:space="preserve">ané smernice už prebraté spolu </w:t>
            </w:r>
            <w:r w:rsidRPr="000A66C4">
              <w:t>s uvedením rozsahu tohto prebratia a o potrebe prijatia ďalších úprav</w:t>
            </w:r>
          </w:p>
          <w:p w:rsidR="003B43E6" w:rsidRPr="007778FE" w:rsidRDefault="003B43E6" w:rsidP="007778FE">
            <w:pPr>
              <w:jc w:val="both"/>
            </w:pPr>
          </w:p>
        </w:tc>
      </w:tr>
      <w:tr w:rsidR="00180771" w:rsidRPr="00683D6A" w:rsidTr="007778FE">
        <w:trPr>
          <w:jc w:val="center"/>
        </w:trPr>
        <w:tc>
          <w:tcPr>
            <w:tcW w:w="0" w:type="auto"/>
            <w:hideMark/>
          </w:tcPr>
          <w:p w:rsidR="00180771" w:rsidRPr="00683D6A" w:rsidRDefault="00180771">
            <w:pPr>
              <w:widowControl/>
              <w:autoSpaceDE/>
              <w:autoSpaceDN/>
              <w:adjustRightInd/>
              <w:spacing w:line="276" w:lineRule="auto"/>
            </w:pPr>
          </w:p>
        </w:tc>
        <w:tc>
          <w:tcPr>
            <w:tcW w:w="360" w:type="pct"/>
            <w:hideMark/>
          </w:tcPr>
          <w:p w:rsidR="00180771" w:rsidRPr="00683D6A" w:rsidRDefault="00180771">
            <w:pPr>
              <w:widowControl/>
              <w:autoSpaceDE/>
              <w:autoSpaceDN/>
              <w:adjustRightInd/>
              <w:spacing w:line="276" w:lineRule="auto"/>
            </w:pPr>
          </w:p>
        </w:tc>
        <w:tc>
          <w:tcPr>
            <w:tcW w:w="4495" w:type="pct"/>
            <w:vAlign w:val="center"/>
            <w:hideMark/>
          </w:tcPr>
          <w:p w:rsidR="00180771" w:rsidRPr="00683D6A" w:rsidRDefault="00180771">
            <w:pPr>
              <w:widowControl/>
              <w:autoSpaceDE/>
              <w:autoSpaceDN/>
              <w:adjustRightInd/>
              <w:spacing w:line="276" w:lineRule="auto"/>
            </w:pPr>
          </w:p>
        </w:tc>
      </w:tr>
      <w:tr w:rsidR="007778FE" w:rsidRPr="00683D6A" w:rsidTr="00180771">
        <w:trPr>
          <w:jc w:val="center"/>
        </w:trPr>
        <w:tc>
          <w:tcPr>
            <w:tcW w:w="0" w:type="auto"/>
            <w:hideMark/>
          </w:tcPr>
          <w:p w:rsidR="007778FE" w:rsidRPr="00683D6A" w:rsidRDefault="007778FE" w:rsidP="007778FE">
            <w:pPr>
              <w:spacing w:line="276" w:lineRule="auto"/>
              <w:rPr>
                <w:rFonts w:ascii="Times" w:hAnsi="Times" w:cs="Times"/>
                <w:b/>
                <w:bCs/>
              </w:rPr>
            </w:pPr>
            <w:r w:rsidRPr="00683D6A">
              <w:rPr>
                <w:rFonts w:ascii="Times" w:hAnsi="Times" w:cs="Times"/>
                <w:b/>
                <w:bCs/>
              </w:rPr>
              <w:t>5.</w:t>
            </w:r>
          </w:p>
        </w:tc>
        <w:tc>
          <w:tcPr>
            <w:tcW w:w="0" w:type="auto"/>
            <w:gridSpan w:val="2"/>
            <w:hideMark/>
          </w:tcPr>
          <w:p w:rsidR="007778FE" w:rsidRDefault="007778FE" w:rsidP="007778FE">
            <w:r w:rsidRPr="005B219D">
              <w:rPr>
                <w:b/>
              </w:rPr>
              <w:t xml:space="preserve">Návrh </w:t>
            </w:r>
            <w:r>
              <w:rPr>
                <w:b/>
              </w:rPr>
              <w:t>zákona</w:t>
            </w:r>
            <w:r w:rsidRPr="005B219D">
              <w:rPr>
                <w:b/>
              </w:rPr>
              <w:t xml:space="preserve"> je zlučiteľný s právom Európskej únie: </w:t>
            </w:r>
            <w:r w:rsidRPr="005B219D">
              <w:t>úplne</w:t>
            </w:r>
          </w:p>
        </w:tc>
      </w:tr>
      <w:tr w:rsidR="007778FE" w:rsidRPr="00683D6A" w:rsidTr="007778FE">
        <w:trPr>
          <w:gridAfter w:val="2"/>
          <w:wAfter w:w="4855" w:type="pct"/>
          <w:jc w:val="center"/>
        </w:trPr>
        <w:tc>
          <w:tcPr>
            <w:tcW w:w="0" w:type="auto"/>
            <w:hideMark/>
          </w:tcPr>
          <w:p w:rsidR="007778FE" w:rsidRPr="00683D6A" w:rsidRDefault="007778FE" w:rsidP="007778FE">
            <w:pPr>
              <w:widowControl/>
              <w:autoSpaceDE/>
              <w:autoSpaceDN/>
              <w:adjustRightInd/>
              <w:spacing w:line="276" w:lineRule="auto"/>
            </w:pPr>
          </w:p>
        </w:tc>
      </w:tr>
    </w:tbl>
    <w:p w:rsidR="00180771" w:rsidRPr="00683D6A" w:rsidRDefault="00180771" w:rsidP="00180771">
      <w:pPr>
        <w:tabs>
          <w:tab w:val="left" w:pos="360"/>
        </w:tabs>
        <w:jc w:val="both"/>
      </w:pPr>
    </w:p>
    <w:p w:rsidR="007B0328" w:rsidRPr="00683D6A" w:rsidRDefault="007B0328"/>
    <w:sectPr w:rsidR="007B0328" w:rsidRPr="00683D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entury Gothic"/>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AFF" w:usb1="C0007841"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6A6D74"/>
    <w:multiLevelType w:val="hybridMultilevel"/>
    <w:tmpl w:val="EB42C244"/>
    <w:lvl w:ilvl="0" w:tplc="041B0017">
      <w:start w:val="1"/>
      <w:numFmt w:val="lowerLetter"/>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200"/>
    <w:rsid w:val="00133200"/>
    <w:rsid w:val="00180771"/>
    <w:rsid w:val="001B0AA4"/>
    <w:rsid w:val="002A60B6"/>
    <w:rsid w:val="003B43E6"/>
    <w:rsid w:val="005C7732"/>
    <w:rsid w:val="00683D6A"/>
    <w:rsid w:val="007778FE"/>
    <w:rsid w:val="007B0328"/>
    <w:rsid w:val="00A34861"/>
    <w:rsid w:val="00B03F28"/>
    <w:rsid w:val="00BA00C0"/>
    <w:rsid w:val="00BD02FD"/>
    <w:rsid w:val="00CE077D"/>
    <w:rsid w:val="00CE2626"/>
    <w:rsid w:val="00FB5F1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547B5F-BAF4-4A52-B2DC-277515EC4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80771"/>
    <w:pPr>
      <w:widowControl w:val="0"/>
      <w:autoSpaceDE w:val="0"/>
      <w:autoSpaceDN w:val="0"/>
      <w:adjustRightInd w:val="0"/>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99"/>
    <w:qFormat/>
    <w:rsid w:val="00180771"/>
    <w:pPr>
      <w:ind w:left="720"/>
      <w:contextualSpacing/>
    </w:pPr>
  </w:style>
  <w:style w:type="table" w:styleId="Mriekatabuky">
    <w:name w:val="Table Grid"/>
    <w:basedOn w:val="Normlnatabuka"/>
    <w:uiPriority w:val="99"/>
    <w:rsid w:val="00180771"/>
    <w:pPr>
      <w:spacing w:after="0" w:line="240" w:lineRule="auto"/>
    </w:pPr>
    <w:rPr>
      <w:rFonts w:ascii="Times New Roman" w:eastAsia="Times New Roman" w:hAnsi="Times New Roman" w:cs="Times New Roman"/>
      <w:lang w:eastAsia="sk-S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basedOn w:val="Predvolenpsmoodseku"/>
    <w:uiPriority w:val="22"/>
    <w:qFormat/>
    <w:rsid w:val="001B0AA4"/>
    <w:rPr>
      <w:b/>
      <w:bCs/>
    </w:rPr>
  </w:style>
  <w:style w:type="paragraph" w:styleId="Textbubliny">
    <w:name w:val="Balloon Text"/>
    <w:basedOn w:val="Normlny"/>
    <w:link w:val="TextbublinyChar"/>
    <w:uiPriority w:val="99"/>
    <w:semiHidden/>
    <w:unhideWhenUsed/>
    <w:rsid w:val="00A34861"/>
    <w:rPr>
      <w:rFonts w:ascii="Tahoma" w:hAnsi="Tahoma" w:cs="Tahoma"/>
      <w:sz w:val="16"/>
      <w:szCs w:val="16"/>
    </w:rPr>
  </w:style>
  <w:style w:type="character" w:customStyle="1" w:styleId="TextbublinyChar">
    <w:name w:val="Text bubliny Char"/>
    <w:basedOn w:val="Predvolenpsmoodseku"/>
    <w:link w:val="Textbubliny"/>
    <w:uiPriority w:val="99"/>
    <w:semiHidden/>
    <w:rsid w:val="00A34861"/>
    <w:rPr>
      <w:rFonts w:ascii="Tahoma" w:eastAsia="Times New Roman" w:hAnsi="Tahoma" w:cs="Tahoma"/>
      <w:sz w:val="16"/>
      <w:szCs w:val="16"/>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4629585">
      <w:bodyDiv w:val="1"/>
      <w:marLeft w:val="0"/>
      <w:marRight w:val="0"/>
      <w:marTop w:val="0"/>
      <w:marBottom w:val="0"/>
      <w:divBdr>
        <w:top w:val="none" w:sz="0" w:space="0" w:color="auto"/>
        <w:left w:val="none" w:sz="0" w:space="0" w:color="auto"/>
        <w:bottom w:val="none" w:sz="0" w:space="0" w:color="auto"/>
        <w:right w:val="none" w:sz="0" w:space="0" w:color="auto"/>
      </w:divBdr>
      <w:divsChild>
        <w:div w:id="1473135686">
          <w:marLeft w:val="0"/>
          <w:marRight w:val="0"/>
          <w:marTop w:val="0"/>
          <w:marBottom w:val="0"/>
          <w:divBdr>
            <w:top w:val="none" w:sz="0" w:space="0" w:color="auto"/>
            <w:left w:val="none" w:sz="0" w:space="0" w:color="auto"/>
            <w:bottom w:val="none" w:sz="0" w:space="0" w:color="auto"/>
            <w:right w:val="none" w:sz="0" w:space="0" w:color="auto"/>
          </w:divBdr>
        </w:div>
      </w:divsChild>
    </w:div>
    <w:div w:id="1274704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2</Pages>
  <Words>607</Words>
  <Characters>3466</Characters>
  <Application>Microsoft Office Word</Application>
  <DocSecurity>0</DocSecurity>
  <Lines>28</Lines>
  <Paragraphs>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Kozlíková Barbora</dc:creator>
  <cp:keywords/>
  <dc:description/>
  <cp:lastModifiedBy>Smažáková Janette</cp:lastModifiedBy>
  <cp:revision>6</cp:revision>
  <dcterms:created xsi:type="dcterms:W3CDTF">2019-02-21T09:31:00Z</dcterms:created>
  <dcterms:modified xsi:type="dcterms:W3CDTF">2019-02-21T13:03:00Z</dcterms:modified>
</cp:coreProperties>
</file>