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8E3CF1" w:rsidRDefault="003501A1" w:rsidP="003501A1">
      <w:pPr>
        <w:jc w:val="center"/>
        <w:rPr>
          <w:b/>
          <w:bCs/>
          <w:sz w:val="28"/>
          <w:szCs w:val="28"/>
        </w:rPr>
      </w:pPr>
      <w:r w:rsidRPr="008E3CF1">
        <w:rPr>
          <w:b/>
          <w:bCs/>
          <w:sz w:val="28"/>
          <w:szCs w:val="28"/>
        </w:rPr>
        <w:t>Doložka vybraných vplyvov</w:t>
      </w:r>
    </w:p>
    <w:p w:rsidR="003501A1" w:rsidRPr="008E3CF1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1"/>
        <w:gridCol w:w="400"/>
        <w:gridCol w:w="141"/>
        <w:gridCol w:w="564"/>
        <w:gridCol w:w="717"/>
        <w:gridCol w:w="570"/>
        <w:gridCol w:w="1133"/>
        <w:gridCol w:w="284"/>
        <w:gridCol w:w="263"/>
        <w:gridCol w:w="1297"/>
      </w:tblGrid>
      <w:tr w:rsidR="003501A1" w:rsidRPr="008E3CF1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8E3CF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8E3CF1" w:rsidRDefault="00A80EC7" w:rsidP="00A80EC7">
            <w:r w:rsidRPr="008E3CF1">
              <w:t>Návrh zákona</w:t>
            </w:r>
            <w:r w:rsidR="00CC1ABD" w:rsidRPr="008E3CF1">
              <w:t xml:space="preserve">, ktorým sa mení a dopĺňa zákon č. 150/2013 Z. z. o Štátnom fonde rozvoja bývania v znení </w:t>
            </w:r>
            <w:r w:rsidR="00892D5E" w:rsidRPr="008E3CF1">
              <w:t>neskorších predpisov</w:t>
            </w:r>
            <w:r w:rsidR="00AE2BEA">
              <w:t xml:space="preserve"> </w:t>
            </w:r>
            <w:r w:rsidR="00AE2BEA" w:rsidRPr="00AE2BEA">
              <w:rPr>
                <w:bCs/>
                <w:szCs w:val="24"/>
              </w:rPr>
              <w:t>a</w:t>
            </w:r>
            <w:r w:rsidR="00F35B8E">
              <w:rPr>
                <w:bCs/>
                <w:szCs w:val="24"/>
              </w:rPr>
              <w:t xml:space="preserve"> ktorým sa </w:t>
            </w:r>
            <w:bookmarkStart w:id="0" w:name="_GoBack"/>
            <w:bookmarkEnd w:id="0"/>
            <w:r w:rsidR="00AE2BEA" w:rsidRPr="00AE2BEA">
              <w:rPr>
                <w:bCs/>
                <w:szCs w:val="24"/>
              </w:rPr>
              <w:t>mení a dopĺňa zákon Národnej rady Slovenskej republiky č. 182/1993 Z. z. o vlastníctve bytov a nebytových priestorov v znení neskorších predpisov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8E3CF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2DFA" w:rsidRPr="008E3CF1" w:rsidRDefault="00CC1ABD" w:rsidP="00CC1ABD">
            <w:r w:rsidRPr="008E3CF1">
              <w:t>Ministerstvo dopravy a</w:t>
            </w:r>
            <w:r w:rsidR="008D7BF9" w:rsidRPr="008E3CF1">
              <w:t xml:space="preserve"> výstavby Slovenskej republiky </w:t>
            </w:r>
          </w:p>
        </w:tc>
      </w:tr>
      <w:tr w:rsidR="003501A1" w:rsidRPr="008E3CF1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8E3CF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8E3CF1" w:rsidRDefault="003501A1" w:rsidP="007B71A4">
                <w:pPr>
                  <w:jc w:val="center"/>
                </w:pPr>
                <w:r w:rsidRPr="008E3CF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r w:rsidRPr="008E3CF1">
              <w:t>Materiál nelegislatívnej povahy</w:t>
            </w:r>
          </w:p>
        </w:tc>
      </w:tr>
      <w:tr w:rsidR="003501A1" w:rsidRPr="008E3CF1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8E3CF1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8E3CF1" w:rsidRDefault="008D7BF9" w:rsidP="007B71A4">
                <w:pPr>
                  <w:jc w:val="center"/>
                </w:pPr>
                <w:r w:rsidRPr="008E3CF1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ind w:left="175" w:hanging="175"/>
            </w:pPr>
            <w:r w:rsidRPr="008E3CF1">
              <w:t>Materiál legislatívnej povahy</w:t>
            </w:r>
          </w:p>
        </w:tc>
      </w:tr>
      <w:tr w:rsidR="003501A1" w:rsidRPr="008E3CF1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8E3CF1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8E3CF1" w:rsidRDefault="003501A1" w:rsidP="007B71A4">
                <w:pPr>
                  <w:jc w:val="center"/>
                </w:pPr>
                <w:r w:rsidRPr="008E3CF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r w:rsidRPr="008E3CF1">
              <w:t>Transpozícia práva EÚ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8E3CF1" w:rsidRDefault="003501A1" w:rsidP="007B71A4">
            <w:r w:rsidRPr="008E3CF1">
              <w:rPr>
                <w:i/>
              </w:rPr>
              <w:t>V prípade transpozície uveďte zoznam transponovaných predpisov:</w:t>
            </w:r>
          </w:p>
          <w:p w:rsidR="003501A1" w:rsidRPr="008E3CF1" w:rsidRDefault="003501A1" w:rsidP="007B71A4"/>
        </w:tc>
      </w:tr>
      <w:tr w:rsidR="003501A1" w:rsidRPr="008E3CF1" w:rsidTr="00B2599D">
        <w:tc>
          <w:tcPr>
            <w:tcW w:w="62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8E3CF1" w:rsidRDefault="00CC1ABD" w:rsidP="00CC1ABD">
            <w:pPr>
              <w:rPr>
                <w:i/>
              </w:rPr>
            </w:pPr>
            <w:r w:rsidRPr="008E3CF1">
              <w:rPr>
                <w:i/>
              </w:rPr>
              <w:t>0</w:t>
            </w:r>
            <w:r w:rsidR="001E379E" w:rsidRPr="008E3CF1">
              <w:rPr>
                <w:i/>
              </w:rPr>
              <w:t>1</w:t>
            </w:r>
            <w:r w:rsidR="008D7BF9" w:rsidRPr="008E3CF1">
              <w:rPr>
                <w:i/>
              </w:rPr>
              <w:t>/201</w:t>
            </w:r>
            <w:r w:rsidR="00892D5E" w:rsidRPr="008E3CF1">
              <w:rPr>
                <w:i/>
              </w:rPr>
              <w:t>9</w:t>
            </w:r>
          </w:p>
        </w:tc>
      </w:tr>
      <w:tr w:rsidR="003501A1" w:rsidRPr="008E3CF1" w:rsidTr="00B2599D"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8E3CF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8E3CF1" w:rsidRDefault="00CC1ABD" w:rsidP="00CC1ABD">
            <w:pPr>
              <w:rPr>
                <w:i/>
              </w:rPr>
            </w:pPr>
            <w:r w:rsidRPr="008E3CF1">
              <w:rPr>
                <w:i/>
              </w:rPr>
              <w:t>0</w:t>
            </w:r>
            <w:r w:rsidR="001E379E" w:rsidRPr="008E3CF1">
              <w:rPr>
                <w:i/>
              </w:rPr>
              <w:t>2</w:t>
            </w:r>
            <w:r w:rsidR="008D7BF9" w:rsidRPr="008E3CF1">
              <w:rPr>
                <w:i/>
              </w:rPr>
              <w:t>/201</w:t>
            </w:r>
            <w:r w:rsidR="00892D5E" w:rsidRPr="008E3CF1">
              <w:rPr>
                <w:i/>
              </w:rPr>
              <w:t>9</w:t>
            </w:r>
          </w:p>
        </w:tc>
      </w:tr>
      <w:tr w:rsidR="003501A1" w:rsidRPr="008E3CF1" w:rsidTr="00B2599D">
        <w:trPr>
          <w:trHeight w:val="457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6E2167">
            <w:pPr>
              <w:pStyle w:val="Odsekzoznamu"/>
              <w:spacing w:after="12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8E3CF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8E3CF1" w:rsidRDefault="0001187A" w:rsidP="00CC1ABD">
            <w:pPr>
              <w:rPr>
                <w:i/>
              </w:rPr>
            </w:pPr>
            <w:r w:rsidRPr="008E3CF1">
              <w:rPr>
                <w:i/>
              </w:rPr>
              <w:t>0</w:t>
            </w:r>
            <w:r w:rsidR="00CC1ABD" w:rsidRPr="008E3CF1">
              <w:rPr>
                <w:i/>
              </w:rPr>
              <w:t>3</w:t>
            </w:r>
            <w:r w:rsidRPr="008E3CF1">
              <w:rPr>
                <w:i/>
              </w:rPr>
              <w:t>/</w:t>
            </w:r>
            <w:r w:rsidR="008D7BF9" w:rsidRPr="008E3CF1">
              <w:rPr>
                <w:i/>
              </w:rPr>
              <w:t>201</w:t>
            </w:r>
            <w:r w:rsidR="00892D5E" w:rsidRPr="008E3CF1">
              <w:rPr>
                <w:i/>
              </w:rPr>
              <w:t>9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8E3CF1" w:rsidRDefault="003501A1" w:rsidP="007B71A4"/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Defin</w:t>
            </w:r>
            <w:r w:rsidR="00AC2477" w:rsidRPr="008E3CF1">
              <w:rPr>
                <w:rFonts w:ascii="Times New Roman" w:hAnsi="Times New Roman" w:cs="Times New Roman"/>
                <w:b/>
              </w:rPr>
              <w:t>ovanie</w:t>
            </w:r>
            <w:r w:rsidRPr="008E3CF1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8E3CF1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67508D" w:rsidP="0002248E">
            <w:pPr>
              <w:jc w:val="both"/>
              <w:rPr>
                <w:b/>
              </w:rPr>
            </w:pPr>
            <w:r w:rsidRPr="008E3CF1">
              <w:t xml:space="preserve">Významnou formou podpory štátu v oblasti rozvoja bývania je poskytovanie podpory prostredníctvom Štátneho fondu rozvoja bývania. Podmienky poskytovania </w:t>
            </w:r>
            <w:r w:rsidR="0002248E" w:rsidRPr="008E3CF1">
              <w:t xml:space="preserve">podpory na rozširovanie a zveľaďovanie bytového fondu sú ustanovené zákonom </w:t>
            </w:r>
            <w:r w:rsidRPr="008E3CF1">
              <w:t xml:space="preserve">č. </w:t>
            </w:r>
            <w:r w:rsidR="0002248E" w:rsidRPr="008E3CF1">
              <w:t>150</w:t>
            </w:r>
            <w:r w:rsidRPr="008E3CF1">
              <w:t>/201</w:t>
            </w:r>
            <w:r w:rsidR="0002248E" w:rsidRPr="008E3CF1">
              <w:t>3</w:t>
            </w:r>
            <w:r w:rsidRPr="008E3CF1">
              <w:t xml:space="preserve"> Z. z. o</w:t>
            </w:r>
            <w:r w:rsidR="0002248E" w:rsidRPr="008E3CF1">
              <w:t xml:space="preserve"> Štátnom fonde </w:t>
            </w:r>
            <w:r w:rsidRPr="008E3CF1">
              <w:t>rozvoj</w:t>
            </w:r>
            <w:r w:rsidR="0002248E" w:rsidRPr="008E3CF1">
              <w:t>a</w:t>
            </w:r>
            <w:r w:rsidRPr="008E3CF1">
              <w:t xml:space="preserve"> bývania v znení </w:t>
            </w:r>
            <w:r w:rsidR="00892D5E" w:rsidRPr="008E3CF1">
              <w:t>neskorších predpisov</w:t>
            </w:r>
            <w:r w:rsidR="0002248E" w:rsidRPr="008E3CF1">
              <w:t>.</w:t>
            </w:r>
            <w:r w:rsidRPr="008E3CF1">
              <w:t xml:space="preserve"> Potreba úpravy a doplnenia zákona vyplynula z aplikácie platného znenia zákona v praxi a z nutnosti stanovenia spresňujúcich podmienok pri poskytovaní </w:t>
            </w:r>
            <w:r w:rsidR="0002248E" w:rsidRPr="008E3CF1">
              <w:t>podpory</w:t>
            </w:r>
            <w:r w:rsidRPr="008E3CF1">
              <w:t>.</w:t>
            </w:r>
            <w:r w:rsidR="006E2167" w:rsidRPr="008E3CF1">
              <w:t xml:space="preserve"> 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8E3CF1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Uveďte hlavné ciele navrhovaného predpisu (aký výsledný stav chcete reguláciou dosiahnuť).</w:t>
            </w:r>
          </w:p>
          <w:p w:rsidR="003501A1" w:rsidRPr="008E3CF1" w:rsidRDefault="0067508D" w:rsidP="008E3CF1">
            <w:pPr>
              <w:jc w:val="both"/>
            </w:pPr>
            <w:r w:rsidRPr="008E3CF1">
              <w:t xml:space="preserve">Novela zákona navrhuje </w:t>
            </w:r>
            <w:r w:rsidR="00643F51" w:rsidRPr="008E3CF1">
              <w:t>doplnenie nov</w:t>
            </w:r>
            <w:r w:rsidR="000476F5" w:rsidRPr="008E3CF1">
              <w:t xml:space="preserve">ého </w:t>
            </w:r>
            <w:r w:rsidR="00892D5E" w:rsidRPr="008E3CF1">
              <w:t>účel</w:t>
            </w:r>
            <w:r w:rsidR="000476F5" w:rsidRPr="008E3CF1">
              <w:t xml:space="preserve">u </w:t>
            </w:r>
            <w:r w:rsidR="00643F51" w:rsidRPr="008E3CF1">
              <w:t xml:space="preserve">podpory – </w:t>
            </w:r>
            <w:r w:rsidR="00892D5E" w:rsidRPr="008E3CF1">
              <w:t>o</w:t>
            </w:r>
            <w:r w:rsidR="004B0843" w:rsidRPr="008E3CF1">
              <w:t>b</w:t>
            </w:r>
            <w:r w:rsidR="00892D5E" w:rsidRPr="008E3CF1">
              <w:t>staranie u</w:t>
            </w:r>
            <w:r w:rsidR="00B04C55" w:rsidRPr="008E3CF1">
              <w:t>b</w:t>
            </w:r>
            <w:r w:rsidR="00892D5E" w:rsidRPr="008E3CF1">
              <w:t>ytovacieho domu jeho výstavbou alebo kúpou, čím sa podporí mobilita pracovnej sily.  V rámci účelov výstavby a</w:t>
            </w:r>
            <w:r w:rsidR="00981CE2" w:rsidRPr="008E3CF1">
              <w:t> </w:t>
            </w:r>
            <w:r w:rsidR="00892D5E" w:rsidRPr="008E3CF1">
              <w:t>obnovy zariadení sociálnych služieb sa navrhuje rozšíriť okruh žiadateľov o inú právnickú osobu. V snahe zvýšiť záujem súkromného sektora investovať do oblasti obstarania nájomných bytov navrhujú sa menej prísne podmienky na tento účel, ktorými sú najmä priemerná podlahová plocha obstarávac</w:t>
            </w:r>
            <w:r w:rsidR="00B04C55" w:rsidRPr="008E3CF1">
              <w:t>í</w:t>
            </w:r>
            <w:r w:rsidR="00892D5E" w:rsidRPr="008E3CF1">
              <w:t>ch nájomných bytov, limit obstarávacích nákladov</w:t>
            </w:r>
            <w:r w:rsidR="00B9274A" w:rsidRPr="008E3CF1">
              <w:t xml:space="preserve"> a povinnosť skúmať príjem domácnosti iba pri uzavretí prvej nájomnej zmluvy. 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4763C4" w:rsidRPr="008E3CF1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Uveďte subjekty, ktorých sa zmeny návrhu dotknú priamo aj nepriamo:</w:t>
            </w:r>
          </w:p>
          <w:p w:rsidR="003501A1" w:rsidRPr="008E3CF1" w:rsidRDefault="00B9274A" w:rsidP="004763C4">
            <w:pPr>
              <w:jc w:val="both"/>
              <w:rPr>
                <w:i/>
              </w:rPr>
            </w:pPr>
            <w:r w:rsidRPr="008E3CF1">
              <w:t>Fyzická osoba, o</w:t>
            </w:r>
            <w:r w:rsidR="004763C4" w:rsidRPr="008E3CF1">
              <w:t xml:space="preserve">bec, </w:t>
            </w:r>
            <w:r w:rsidR="0067508D" w:rsidRPr="008E3CF1">
              <w:t>vyšší územný celok a nezisková organizácia s minimálnou 51 %-nou majetkovou účasťou obce alebo vyššieho územného celku</w:t>
            </w:r>
            <w:r w:rsidR="004763C4" w:rsidRPr="008E3CF1">
              <w:t>, iná právnická osoba.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8E3CF1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Aké alternatívne riešenia boli posudzované?</w:t>
            </w:r>
          </w:p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Uveďte, aké alternatívne spôsoby na odstránenie definovaného problému boli identifikované a posudzované.</w:t>
            </w:r>
          </w:p>
          <w:p w:rsidR="00975D97" w:rsidRPr="008E3CF1" w:rsidRDefault="00975D97" w:rsidP="007B71A4">
            <w:r w:rsidRPr="008E3CF1">
              <w:t>Žiadne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8E3CF1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8E3CF1" w:rsidRDefault="00F35B8E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E81FA9" w:rsidRPr="008E3C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8E3CF1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F35B8E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D13B6F" w:rsidRPr="008E3C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8E3CF1">
              <w:t xml:space="preserve">  Nie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8E3CF1" w:rsidRDefault="00E81FA9" w:rsidP="0041564C">
            <w:pPr>
              <w:jc w:val="both"/>
            </w:pPr>
            <w:r w:rsidRPr="008E3CF1">
              <w:t xml:space="preserve">Vyhláška Ministerstva dopravy, výstavby a regionálneho rozvoja Slovenskej republiky č. </w:t>
            </w:r>
            <w:r w:rsidR="0041564C" w:rsidRPr="008E3CF1">
              <w:t>284/2013</w:t>
            </w:r>
            <w:r w:rsidRPr="008E3CF1">
              <w:t xml:space="preserve"> Z. z. o podrobnostiach o výške </w:t>
            </w:r>
            <w:r w:rsidR="0041564C" w:rsidRPr="008E3CF1">
              <w:t xml:space="preserve">poskytovanej podpory zo Štátneho fondu rozvoja bývania, o všeobecných podmienkach poskytnutia podpory a o obsahu žiadosti v znení </w:t>
            </w:r>
            <w:r w:rsidR="00B9274A" w:rsidRPr="008E3CF1">
              <w:t>neskorších predpisov</w:t>
            </w:r>
            <w:r w:rsidR="0041564C" w:rsidRPr="008E3CF1">
              <w:t xml:space="preserve"> 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8E3CF1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8E3CF1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8E3CF1" w:rsidRDefault="00C47E33" w:rsidP="0000440B">
            <w:r w:rsidRPr="008E3CF1">
              <w:rPr>
                <w:rFonts w:ascii="Times" w:hAnsi="Times" w:cs="Times"/>
              </w:rPr>
              <w:t>Žiadna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8E3CF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8E3CF1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8E3CF1" w:rsidRDefault="003501A1" w:rsidP="00C47E33">
            <w:pPr>
              <w:rPr>
                <w:i/>
              </w:rPr>
            </w:pPr>
            <w:r w:rsidRPr="008E3CF1">
              <w:rPr>
                <w:i/>
              </w:rPr>
              <w:t>Uveďte kritériá, na základe ktorých bude preskúmanie vykonané.</w:t>
            </w:r>
          </w:p>
        </w:tc>
      </w:tr>
      <w:tr w:rsidR="003501A1" w:rsidRPr="008E3CF1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8E3CF1" w:rsidRDefault="004F6F1F" w:rsidP="004C60B8">
            <w:pPr>
              <w:ind w:left="142" w:hanging="142"/>
            </w:pPr>
          </w:p>
          <w:p w:rsidR="00F62771" w:rsidRPr="008E3CF1" w:rsidRDefault="00F62771" w:rsidP="004C60B8">
            <w:pPr>
              <w:ind w:left="142" w:hanging="142"/>
            </w:pPr>
            <w:r w:rsidRPr="008E3CF1">
              <w:t xml:space="preserve">* </w:t>
            </w:r>
            <w:r w:rsidR="004C60B8" w:rsidRPr="008E3CF1">
              <w:t>vyplniť iba v prípade, ak</w:t>
            </w:r>
            <w:r w:rsidRPr="008E3CF1">
              <w:t xml:space="preserve"> </w:t>
            </w:r>
            <w:r w:rsidR="004C60B8" w:rsidRPr="008E3CF1">
              <w:t xml:space="preserve">materiál </w:t>
            </w:r>
            <w:r w:rsidRPr="008E3CF1">
              <w:t xml:space="preserve">nie je </w:t>
            </w:r>
            <w:r w:rsidR="004C60B8" w:rsidRPr="008E3CF1">
              <w:t>zahrnutý do Plánu práce vlády Slovenskej republiky alebo Plánu        legislatívnych úloh vlády Slovenskej republiky.</w:t>
            </w:r>
            <w:r w:rsidRPr="008E3CF1">
              <w:t xml:space="preserve"> </w:t>
            </w:r>
          </w:p>
          <w:p w:rsidR="003501A1" w:rsidRPr="008E3CF1" w:rsidRDefault="00F62771" w:rsidP="00F22831">
            <w:r w:rsidRPr="008E3CF1">
              <w:lastRenderedPageBreak/>
              <w:t>*</w:t>
            </w:r>
            <w:r w:rsidR="00F22831" w:rsidRPr="008E3CF1">
              <w:t>* nepovinné</w:t>
            </w:r>
          </w:p>
        </w:tc>
      </w:tr>
      <w:tr w:rsidR="003501A1" w:rsidRPr="008E3CF1" w:rsidTr="00995E87">
        <w:trPr>
          <w:trHeight w:val="313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8E3CF1" w:rsidRDefault="003501A1" w:rsidP="003501A1">
            <w:pPr>
              <w:rPr>
                <w:b/>
              </w:rPr>
            </w:pPr>
          </w:p>
        </w:tc>
      </w:tr>
      <w:tr w:rsidR="004763C4" w:rsidRPr="008E3CF1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4763C4" w:rsidRPr="008E3CF1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7B71A4">
            <w:pPr>
              <w:rPr>
                <w:b/>
              </w:rPr>
            </w:pPr>
            <w:r w:rsidRPr="008E3CF1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rPr>
                <w:b/>
              </w:rPr>
            </w:pPr>
            <w:r w:rsidRPr="008E3CF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sdt>
              <w:sdtPr>
                <w:rPr>
                  <w:b/>
                </w:rPr>
                <w:id w:val="25282624"/>
              </w:sdtPr>
              <w:sdtEndPr>
                <w:rPr>
                  <w:rFonts w:ascii="MS Gothic" w:eastAsia="MS Gothic" w:hAnsi="MS Gothic"/>
                </w:rPr>
              </w:sdtEndPr>
              <w:sdtContent>
                <w:tc>
                  <w:tcPr>
                    <w:tcW w:w="56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3501A1" w:rsidRPr="008E3CF1" w:rsidRDefault="00F35B8E" w:rsidP="000E5C0E">
                    <w:pPr>
                      <w:jc w:val="center"/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id w:val="2035606666"/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-424885332"/>
                          </w:sdtPr>
                          <w:sdtEndPr>
                            <w:rPr>
                              <w:rFonts w:ascii="MS Gothic" w:eastAsia="MS Gothic" w:hAnsi="MS Gothic"/>
                            </w:rPr>
                          </w:sdtEndPr>
                          <w:sdtContent>
                            <w:r w:rsidR="000E5C0E" w:rsidRPr="008E3CF1">
                              <w:rPr>
                                <w:rFonts w:ascii="MS Gothic" w:eastAsia="MS Gothic" w:hAnsi="MS Gothic" w:hint="eastAsia"/>
                                <w:b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  <w:r w:rsidR="0070726A" w:rsidRPr="008E3CF1">
                      <w:rPr>
                        <w:rFonts w:ascii="MS Gothic" w:eastAsia="MS Gothic" w:hAnsi="MS Gothic" w:hint="eastAsia"/>
                        <w:b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rPr>
                <w:b/>
              </w:rPr>
            </w:pPr>
            <w:r w:rsidRPr="008E3CF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F35B8E" w:rsidP="000E5C0E">
                <w:pPr>
                  <w:ind w:left="-107" w:right="-108"/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-831370863"/>
                  </w:sdtPr>
                  <w:sdtEndPr>
                    <w:rPr>
                      <w:rFonts w:ascii="MS Mincho" w:eastAsia="MS Mincho" w:hAnsi="MS Mincho" w:cs="MS Mincho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501493962"/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624438131"/>
                          </w:sdtPr>
                          <w:sdtEndPr>
                            <w:rPr>
                              <w:rFonts w:ascii="MS Gothic" w:eastAsia="MS Gothic" w:hAnsi="MS Gothic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-779955238"/>
                              </w:sdtPr>
                              <w:sdtEndPr>
                                <w:rPr>
                                  <w:rFonts w:ascii="MS Mincho" w:eastAsia="MS Mincho" w:hAnsi="MS Mincho" w:cs="MS Mincho"/>
                                </w:rPr>
                              </w:sdtEndPr>
                              <w:sdtContent>
                                <w:r w:rsidR="000E5C0E" w:rsidRPr="008E3CF1">
                                  <w:rPr>
                                    <w:rFonts w:ascii="MS Mincho" w:eastAsia="MS Mincho" w:hAnsi="MS Mincho" w:cs="MS Mincho" w:hint="eastAsia"/>
                                    <w:b/>
                                  </w:rPr>
                                  <w:t>☒</w:t>
                                </w:r>
                              </w:sdtContent>
                            </w:sdt>
                            <w:r w:rsidR="000E5C0E" w:rsidRPr="008E3CF1">
                              <w:rPr>
                                <w:rFonts w:ascii="MS Gothic" w:eastAsia="MS Gothic" w:hAnsi="MS Gothic" w:hint="eastAsia"/>
                                <w:b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E3CF1" w:rsidRDefault="003501A1" w:rsidP="007B71A4">
            <w:pPr>
              <w:ind w:left="34"/>
              <w:rPr>
                <w:b/>
              </w:rPr>
            </w:pPr>
            <w:r w:rsidRPr="008E3CF1">
              <w:rPr>
                <w:b/>
              </w:rPr>
              <w:t>Negatívne</w:t>
            </w:r>
          </w:p>
        </w:tc>
      </w:tr>
      <w:tr w:rsidR="004763C4" w:rsidRPr="008E3CF1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7B71A4">
            <w:r w:rsidRPr="008E3CF1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E3CF1" w:rsidRDefault="00F35B8E" w:rsidP="007B71A4">
                <w:pPr>
                  <w:jc w:val="center"/>
                </w:pPr>
                <w:sdt>
                  <w:sdtPr>
                    <w:rPr>
                      <w:b/>
                    </w:rPr>
                    <w:id w:val="658272489"/>
                  </w:sdtPr>
                  <w:sdtEndPr/>
                  <w:sdtContent>
                    <w:r w:rsidR="008D6C97" w:rsidRPr="008E3CF1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  <w:r w:rsidR="008D6C97" w:rsidRPr="008E3CF1">
                  <w:rPr>
                    <w:rFonts w:ascii="MS Mincho" w:eastAsia="MS Mincho" w:hAnsi="MS Mincho" w:cs="MS Mincho" w:hint="eastAsia"/>
                  </w:rPr>
                  <w:t xml:space="preserve"> 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r w:rsidRPr="008E3CF1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207376" w:rsidP="007B71A4">
                <w:pPr>
                  <w:jc w:val="center"/>
                </w:pPr>
                <w:r w:rsidRPr="008E3CF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r w:rsidRPr="008E3CF1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ind w:left="-107" w:right="-108"/>
                  <w:jc w:val="center"/>
                </w:pPr>
                <w:r w:rsidRPr="008E3CF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E3CF1" w:rsidRDefault="003501A1" w:rsidP="007B71A4">
            <w:pPr>
              <w:ind w:left="34"/>
            </w:pPr>
            <w:r w:rsidRPr="008E3CF1">
              <w:t>Čiastočne</w:t>
            </w:r>
          </w:p>
        </w:tc>
      </w:tr>
      <w:tr w:rsidR="004763C4" w:rsidRPr="008E3CF1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4C794A">
            <w:pPr>
              <w:rPr>
                <w:b/>
              </w:rPr>
            </w:pPr>
            <w:r w:rsidRPr="008E3CF1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E3CF1" w:rsidRDefault="005968F8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ind w:right="-108"/>
              <w:rPr>
                <w:b/>
              </w:rPr>
            </w:pPr>
            <w:r w:rsidRPr="008E3CF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rPr>
                <w:b/>
              </w:rPr>
            </w:pPr>
            <w:r w:rsidRPr="008E3CF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E3CF1" w:rsidRDefault="003501A1" w:rsidP="007B71A4">
            <w:pPr>
              <w:ind w:left="54"/>
              <w:rPr>
                <w:b/>
              </w:rPr>
            </w:pPr>
            <w:r w:rsidRPr="008E3CF1">
              <w:rPr>
                <w:b/>
              </w:rPr>
              <w:t>Negatívne</w:t>
            </w:r>
          </w:p>
        </w:tc>
      </w:tr>
      <w:tr w:rsidR="004763C4" w:rsidRPr="008E3CF1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8E3CF1" w:rsidRDefault="003501A1" w:rsidP="007B71A4">
            <w:r w:rsidRPr="008E3CF1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8E3CF1" w:rsidRDefault="00D559AD" w:rsidP="007B71A4">
                <w:pPr>
                  <w:jc w:val="center"/>
                </w:pPr>
                <w:r w:rsidRPr="008E3CF1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ind w:right="-108"/>
            </w:pPr>
            <w:r w:rsidRPr="008E3CF1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</w:pPr>
                <w:r w:rsidRPr="008E3CF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r w:rsidRPr="008E3CF1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</w:pPr>
                <w:r w:rsidRPr="008E3CF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E3CF1" w:rsidRDefault="003501A1" w:rsidP="007B71A4">
            <w:pPr>
              <w:ind w:left="54"/>
            </w:pPr>
            <w:r w:rsidRPr="008E3CF1">
              <w:t>Negatívne</w:t>
            </w:r>
          </w:p>
        </w:tc>
      </w:tr>
      <w:tr w:rsidR="004763C4" w:rsidRPr="008E3CF1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4C794A">
            <w:pPr>
              <w:rPr>
                <w:b/>
              </w:rPr>
            </w:pPr>
            <w:r w:rsidRPr="008E3CF1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E3CF1" w:rsidRDefault="005968F8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ind w:right="-108"/>
              <w:rPr>
                <w:b/>
              </w:rPr>
            </w:pPr>
            <w:r w:rsidRPr="008E3CF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rPr>
                <w:b/>
              </w:rPr>
            </w:pPr>
            <w:r w:rsidRPr="008E3CF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sdt>
              <w:sdtPr>
                <w:rPr>
                  <w:b/>
                </w:rPr>
                <w:id w:val="-1008756482"/>
              </w:sdtPr>
              <w:sdtEndPr/>
              <w:sdtContent>
                <w:sdt>
                  <w:sdtPr>
                    <w:rPr>
                      <w:b/>
                    </w:rPr>
                    <w:id w:val="-31732518"/>
                  </w:sdtPr>
                  <w:sdtEndPr/>
                  <w:sdtContent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501A1" w:rsidRPr="008E3CF1" w:rsidRDefault="006824C3" w:rsidP="007B71A4">
                        <w:pPr>
                          <w:jc w:val="center"/>
                          <w:rPr>
                            <w:b/>
                          </w:rPr>
                        </w:pPr>
                        <w:r w:rsidRPr="008E3CF1">
                          <w:rPr>
                            <w:rFonts w:ascii="MS Mincho" w:eastAsia="MS Mincho" w:hAnsi="MS Mincho" w:cs="MS Mincho" w:hint="eastAsia"/>
                            <w:b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E3CF1" w:rsidRDefault="003501A1" w:rsidP="007B71A4">
            <w:pPr>
              <w:ind w:left="54"/>
              <w:rPr>
                <w:b/>
              </w:rPr>
            </w:pPr>
            <w:r w:rsidRPr="008E3CF1">
              <w:rPr>
                <w:b/>
              </w:rPr>
              <w:t>Negatívne</w:t>
            </w:r>
          </w:p>
        </w:tc>
      </w:tr>
      <w:tr w:rsidR="004763C4" w:rsidRPr="008E3CF1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4C794A">
            <w:pPr>
              <w:rPr>
                <w:b/>
              </w:rPr>
            </w:pPr>
            <w:r w:rsidRPr="008E3CF1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E3CF1" w:rsidRDefault="00F35B8E" w:rsidP="007B71A4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724721551"/>
                  </w:sdtPr>
                  <w:sdtEndPr/>
                  <w:sdtContent>
                    <w:r w:rsidR="006824C3" w:rsidRPr="008E3CF1">
                      <w:rPr>
                        <w:rFonts w:ascii="MS Mincho" w:eastAsia="MS Mincho" w:hAnsi="MS Mincho" w:cs="MS Mincho" w:hint="eastAsia"/>
                        <w:b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ind w:right="-108"/>
              <w:rPr>
                <w:b/>
              </w:rPr>
            </w:pPr>
            <w:r w:rsidRPr="008E3CF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F35B8E" w:rsidP="007B71A4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-137262829"/>
                  </w:sdtPr>
                  <w:sdtEndPr/>
                  <w:sdtContent>
                    <w:r w:rsidR="006824C3" w:rsidRPr="008E3CF1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  <w:r w:rsidR="006824C3" w:rsidRPr="008E3CF1">
                  <w:rPr>
                    <w:rFonts w:ascii="MS Mincho" w:eastAsia="MS Mincho" w:hAnsi="MS Mincho" w:cs="MS Mincho" w:hint="eastAsia"/>
                    <w:b/>
                  </w:rPr>
                  <w:t xml:space="preserve"> 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rPr>
                <w:b/>
              </w:rPr>
            </w:pPr>
            <w:r w:rsidRPr="008E3CF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E3CF1" w:rsidRDefault="003501A1" w:rsidP="007B71A4">
            <w:pPr>
              <w:ind w:left="54"/>
              <w:rPr>
                <w:b/>
              </w:rPr>
            </w:pPr>
            <w:r w:rsidRPr="008E3CF1">
              <w:rPr>
                <w:b/>
              </w:rPr>
              <w:t>Negatívne</w:t>
            </w:r>
          </w:p>
        </w:tc>
      </w:tr>
      <w:tr w:rsidR="004763C4" w:rsidRPr="008E3CF1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4C794A">
            <w:pPr>
              <w:rPr>
                <w:b/>
              </w:rPr>
            </w:pPr>
            <w:r w:rsidRPr="008E3CF1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ind w:right="-108"/>
              <w:rPr>
                <w:b/>
              </w:rPr>
            </w:pPr>
            <w:r w:rsidRPr="008E3CF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4F7496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E3CF1" w:rsidRDefault="003501A1" w:rsidP="007B71A4">
            <w:pPr>
              <w:rPr>
                <w:b/>
              </w:rPr>
            </w:pPr>
            <w:r w:rsidRPr="008E3CF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E3CF1" w:rsidRDefault="003501A1" w:rsidP="007B71A4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E3CF1" w:rsidRDefault="003501A1" w:rsidP="007B71A4">
            <w:pPr>
              <w:ind w:left="54"/>
              <w:rPr>
                <w:b/>
              </w:rPr>
            </w:pPr>
            <w:r w:rsidRPr="008E3CF1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763C4" w:rsidRPr="008E3CF1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8E3CF1" w:rsidRDefault="0045465B" w:rsidP="00B83402">
            <w:pPr>
              <w:rPr>
                <w:b/>
              </w:rPr>
            </w:pPr>
            <w:r w:rsidRPr="008E3CF1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8E3CF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E3CF1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E3CF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E3CF1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E3CF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8E3CF1" w:rsidRDefault="0045465B" w:rsidP="00B83402">
            <w:pPr>
              <w:ind w:left="54"/>
              <w:rPr>
                <w:b/>
              </w:rPr>
            </w:pPr>
          </w:p>
        </w:tc>
      </w:tr>
      <w:tr w:rsidR="004763C4" w:rsidRPr="008E3CF1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8E3CF1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8E3CF1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8E3CF1" w:rsidRDefault="00207376" w:rsidP="00EB1608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E3CF1" w:rsidRDefault="001A1559" w:rsidP="00EB1608">
            <w:pPr>
              <w:ind w:right="-108"/>
              <w:rPr>
                <w:b/>
              </w:rPr>
            </w:pPr>
            <w:r w:rsidRPr="008E3CF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sdt>
              <w:sdtPr>
                <w:rPr>
                  <w:b/>
                </w:rPr>
                <w:id w:val="1945650754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1A1559" w:rsidRPr="008E3CF1" w:rsidRDefault="00252A94" w:rsidP="00EB1608">
                    <w:pPr>
                      <w:jc w:val="center"/>
                      <w:rPr>
                        <w:b/>
                      </w:rPr>
                    </w:pPr>
                    <w:r w:rsidRPr="008E3CF1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E3CF1" w:rsidRDefault="001A1559" w:rsidP="00EB1608">
            <w:pPr>
              <w:rPr>
                <w:b/>
              </w:rPr>
            </w:pPr>
            <w:r w:rsidRPr="008E3CF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E3CF1" w:rsidRDefault="001A1559" w:rsidP="00EB1608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8E3CF1" w:rsidRDefault="001A1559" w:rsidP="00EB1608">
            <w:pPr>
              <w:ind w:left="54"/>
              <w:rPr>
                <w:b/>
              </w:rPr>
            </w:pPr>
            <w:r w:rsidRPr="008E3CF1">
              <w:rPr>
                <w:b/>
              </w:rPr>
              <w:t>Negatívne</w:t>
            </w:r>
          </w:p>
        </w:tc>
      </w:tr>
      <w:tr w:rsidR="004763C4" w:rsidRPr="008E3CF1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8E3CF1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E3CF1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E3CF1" w:rsidRDefault="001A1559" w:rsidP="00EB1608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E3CF1" w:rsidRDefault="001A1559" w:rsidP="00EB1608">
            <w:pPr>
              <w:ind w:right="-108"/>
              <w:rPr>
                <w:b/>
              </w:rPr>
            </w:pPr>
            <w:r w:rsidRPr="008E3CF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sdt>
              <w:sdtPr>
                <w:rPr>
                  <w:b/>
                </w:rPr>
                <w:id w:val="-1575430533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1A1559" w:rsidRPr="008E3CF1" w:rsidRDefault="00252A94" w:rsidP="00EB1608">
                    <w:pPr>
                      <w:jc w:val="center"/>
                      <w:rPr>
                        <w:b/>
                      </w:rPr>
                    </w:pPr>
                    <w:r w:rsidRPr="008E3CF1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E3CF1" w:rsidRDefault="001A1559" w:rsidP="00EB1608">
            <w:pPr>
              <w:rPr>
                <w:b/>
              </w:rPr>
            </w:pPr>
            <w:r w:rsidRPr="008E3CF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E3CF1" w:rsidRDefault="001A1559" w:rsidP="00EB1608">
                <w:pPr>
                  <w:jc w:val="center"/>
                  <w:rPr>
                    <w:b/>
                  </w:rPr>
                </w:pPr>
                <w:r w:rsidRPr="008E3CF1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8E3CF1" w:rsidRDefault="001A1559" w:rsidP="00EB1608">
            <w:pPr>
              <w:ind w:left="54"/>
              <w:rPr>
                <w:b/>
              </w:rPr>
            </w:pPr>
            <w:r w:rsidRPr="008E3CF1">
              <w:rPr>
                <w:b/>
              </w:rPr>
              <w:t>Negatívne</w:t>
            </w:r>
          </w:p>
        </w:tc>
      </w:tr>
    </w:tbl>
    <w:p w:rsidR="003501A1" w:rsidRPr="008E3CF1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8E3CF1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8E3CF1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8E3CF1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70726A" w:rsidRPr="008E3CF1" w:rsidRDefault="00B9274A" w:rsidP="00B9274A">
            <w:pPr>
              <w:jc w:val="both"/>
            </w:pPr>
            <w:r w:rsidRPr="008E3CF1">
              <w:t xml:space="preserve">Schválením predloženého návrhu zákona, </w:t>
            </w:r>
            <w:r w:rsidRPr="008E3CF1">
              <w:rPr>
                <w:bCs/>
              </w:rPr>
              <w:t xml:space="preserve">ktorým sa mení a dopĺňa zákon č. 150/2013 Z. z. o Štátnom fonde rozvoja bývania v znení neskorších predpisov </w:t>
            </w:r>
            <w:r w:rsidR="00AE2BEA" w:rsidRPr="00AE2BEA">
              <w:rPr>
                <w:bCs/>
                <w:szCs w:val="24"/>
              </w:rPr>
              <w:t>a mení a dopĺňa zákon Národnej rady Slovenskej republiky č. 182/1993 Z. z. o vlastníctve bytov a nebytových priestorov v znení neskorších predpisov</w:t>
            </w:r>
            <w:r w:rsidR="00AE2BEA">
              <w:rPr>
                <w:b/>
                <w:bCs/>
                <w:color w:val="00B050"/>
                <w:szCs w:val="24"/>
              </w:rPr>
              <w:t xml:space="preserve"> </w:t>
            </w:r>
            <w:r w:rsidRPr="008E3CF1">
              <w:t>a úpravy jeho vykonávacieho predpisu nevzniknú nové požiadavky na rozpočet verejnej správy.</w:t>
            </w:r>
            <w:r w:rsidR="0070726A" w:rsidRPr="008E3CF1">
              <w:t xml:space="preserve"> </w:t>
            </w:r>
            <w:r w:rsidRPr="008E3CF1">
              <w:t xml:space="preserve">Financovanie bude zabezpečené </w:t>
            </w:r>
            <w:r w:rsidRPr="008E3CF1">
              <w:rPr>
                <w:u w:val="single"/>
              </w:rPr>
              <w:t>v rámci schválených limitov</w:t>
            </w:r>
            <w:r w:rsidRPr="008E3CF1">
              <w:t xml:space="preserve"> výdavkov rozpočtu Štátneho fondu rozvoja bývania na príslušný rozpočtový rok. </w:t>
            </w:r>
          </w:p>
          <w:p w:rsidR="00B9274A" w:rsidRPr="008E3CF1" w:rsidRDefault="00B9274A" w:rsidP="00B9274A">
            <w:pPr>
              <w:jc w:val="both"/>
            </w:pPr>
            <w:r w:rsidRPr="008E3CF1">
              <w:t>V súčasnej dobe nie je možné vyčísliť výšku poskytnutých podpôr v príslušnom rozpočtovom roku, nakoľko nie je zrejmé, koľko oprávnených žiadateľov využije túto formu financovania zákonom navrhovan</w:t>
            </w:r>
            <w:r w:rsidR="000476F5" w:rsidRPr="008E3CF1">
              <w:t xml:space="preserve">ého </w:t>
            </w:r>
            <w:r w:rsidRPr="008E3CF1">
              <w:t xml:space="preserve"> nov</w:t>
            </w:r>
            <w:r w:rsidR="000476F5" w:rsidRPr="008E3CF1">
              <w:t xml:space="preserve">ého </w:t>
            </w:r>
            <w:r w:rsidRPr="008E3CF1">
              <w:t>účel</w:t>
            </w:r>
            <w:r w:rsidR="000476F5" w:rsidRPr="008E3CF1">
              <w:t>u</w:t>
            </w:r>
            <w:r w:rsidRPr="008E3CF1">
              <w:t xml:space="preserve">, rozšírenia okruhu žiadateľov v prípade účelov výstavby a obnovy zariadenia sociálnych služieb a úpravy podmienok poskytnutia podpory na obstaranie nájomných bytov inou právnickou osobou.  </w:t>
            </w:r>
          </w:p>
          <w:p w:rsidR="00B9274A" w:rsidRPr="008E3CF1" w:rsidRDefault="00B9274A" w:rsidP="00B9274A">
            <w:pPr>
              <w:jc w:val="both"/>
            </w:pPr>
            <w:r w:rsidRPr="008E3CF1">
              <w:t xml:space="preserve">Navrhované zmeny majú pozitívny vplyv na podnikateľské prostredie, a to možnosťou poskytovania dlhodobých úverov s nízkym úrokom na nový účel, ktorým je obstaranie ubytovacieho domu. </w:t>
            </w:r>
          </w:p>
          <w:p w:rsidR="004F6F1F" w:rsidRPr="008E3CF1" w:rsidRDefault="00B9274A" w:rsidP="00B9274A">
            <w:pPr>
              <w:jc w:val="both"/>
              <w:rPr>
                <w:b/>
              </w:rPr>
            </w:pPr>
            <w:r w:rsidRPr="008E3CF1">
              <w:t>Navrhovaná úprava má pozitívne sociálne vplyvy. Pozitívnym vplyvom je</w:t>
            </w:r>
            <w:r w:rsidR="009E6752" w:rsidRPr="008E3CF1">
              <w:t xml:space="preserve"> vytvorenie podmienok pre ubytovanie pracovnej sily, zvýšenie počtu nájomných bytov a zariadení sociálnych služieb. </w:t>
            </w:r>
            <w:r w:rsidRPr="008E3CF1">
              <w:t xml:space="preserve"> </w:t>
            </w:r>
          </w:p>
        </w:tc>
      </w:tr>
      <w:tr w:rsidR="003501A1" w:rsidRPr="008E3CF1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8E3CF1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040DCF" w:rsidP="007C5802">
            <w:r w:rsidRPr="008E3CF1">
              <w:t xml:space="preserve">MDV SR – Ing. </w:t>
            </w:r>
            <w:r w:rsidR="005F4DF4" w:rsidRPr="008E3CF1">
              <w:t>Čerňanská</w:t>
            </w:r>
            <w:r w:rsidRPr="008E3CF1">
              <w:t>,02/594 94 5</w:t>
            </w:r>
            <w:r w:rsidR="005F4DF4" w:rsidRPr="008E3CF1">
              <w:t>85</w:t>
            </w:r>
            <w:r w:rsidRPr="008E3CF1">
              <w:t xml:space="preserve">, </w:t>
            </w:r>
            <w:r w:rsidR="005F4DF4" w:rsidRPr="008E3CF1">
              <w:t>jana.cernanska</w:t>
            </w:r>
            <w:r w:rsidRPr="008E3CF1">
              <w:t xml:space="preserve">@mindop.sk </w:t>
            </w:r>
          </w:p>
        </w:tc>
      </w:tr>
      <w:tr w:rsidR="003501A1" w:rsidRPr="008E3CF1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8E3CF1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7B71A4">
            <w:pPr>
              <w:rPr>
                <w:i/>
              </w:rPr>
            </w:pPr>
            <w:r w:rsidRPr="008E3CF1">
              <w:rPr>
                <w:i/>
              </w:rPr>
              <w:t>Uveďte zdroje</w:t>
            </w:r>
            <w:r w:rsidR="00EB59E3" w:rsidRPr="008E3CF1">
              <w:rPr>
                <w:i/>
              </w:rPr>
              <w:t xml:space="preserve"> </w:t>
            </w:r>
            <w:r w:rsidR="00D75D35" w:rsidRPr="008E3CF1">
              <w:rPr>
                <w:i/>
              </w:rPr>
              <w:t>(štatistiky, prieskumy, spoluprácu s odborníkmi a iné)</w:t>
            </w:r>
            <w:r w:rsidRPr="008E3CF1">
              <w:rPr>
                <w:i/>
              </w:rPr>
              <w:t>, z ktorých ste pri vypracovávaní doložky, príp. analýz vplyvov vychádzali.</w:t>
            </w:r>
          </w:p>
          <w:p w:rsidR="003501A1" w:rsidRPr="008E3CF1" w:rsidRDefault="00E00D98" w:rsidP="007B71A4">
            <w:r w:rsidRPr="008E3CF1">
              <w:t>MDV SR, ŠFRB</w:t>
            </w:r>
          </w:p>
          <w:p w:rsidR="003501A1" w:rsidRPr="008E3CF1" w:rsidRDefault="003501A1" w:rsidP="007B71A4">
            <w:pPr>
              <w:rPr>
                <w:b/>
              </w:rPr>
            </w:pPr>
          </w:p>
        </w:tc>
      </w:tr>
      <w:tr w:rsidR="003501A1" w:rsidRPr="008E3CF1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8E3CF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E3CF1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8E3CF1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E3CF1" w:rsidRDefault="003501A1" w:rsidP="00CB0BC2">
            <w:pPr>
              <w:jc w:val="both"/>
              <w:rPr>
                <w:i/>
              </w:rPr>
            </w:pPr>
            <w:r w:rsidRPr="008E3CF1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3501A1" w:rsidRPr="008E3CF1" w:rsidRDefault="003501A1" w:rsidP="00CB0BC2">
            <w:pPr>
              <w:jc w:val="both"/>
              <w:rPr>
                <w:b/>
              </w:rPr>
            </w:pPr>
          </w:p>
          <w:p w:rsidR="00CB0BC2" w:rsidRPr="00CB0BC2" w:rsidRDefault="00CB0BC2" w:rsidP="00CB0BC2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CB0BC2">
              <w:rPr>
                <w:b/>
                <w:bCs/>
                <w:lang w:eastAsia="ar-SA"/>
              </w:rPr>
              <w:t xml:space="preserve">I. Úvod: </w:t>
            </w:r>
            <w:r w:rsidRPr="00CB0BC2">
              <w:rPr>
                <w:bCs/>
                <w:lang w:eastAsia="ar-SA"/>
              </w:rPr>
              <w:t>Ministerstvo dopravy a výstavby Slovenskej republiky dňa 23. januára 2019 predložilo Stálej pracovnej komisii na posudzovanie vybr</w:t>
            </w:r>
            <w:r w:rsidRPr="00CB0BC2">
              <w:rPr>
                <w:iCs/>
                <w:lang w:eastAsia="ar-SA"/>
              </w:rPr>
              <w:t>aných vplyvov (ďalej len „Komisia“) na predbežné pripomienkové konanie materiál:</w:t>
            </w:r>
            <w:r w:rsidRPr="00CB0BC2">
              <w:rPr>
                <w:i/>
                <w:iCs/>
                <w:lang w:eastAsia="ar-SA"/>
              </w:rPr>
              <w:t xml:space="preserve"> „Návrh zákona, ktorým sa mení a dopĺňa zákon č. 150/2013 Z. z. o Štátnom fonde rozvoja bývania v znení neskorších predpisov“</w:t>
            </w:r>
            <w:r w:rsidRPr="00CB0BC2">
              <w:rPr>
                <w:iCs/>
                <w:lang w:eastAsia="ar-SA"/>
              </w:rPr>
              <w:t>. Materiál predpokladá negatívne vplyvy na rozpočet verejnej správy, pozitívne vplyvy na podnikateľské prostredie, vrátane pozitívnych vplyvov na malé a stredné podniky a pozitívne sociálne vplyvy.</w:t>
            </w:r>
          </w:p>
          <w:p w:rsidR="00CB0BC2" w:rsidRPr="00CB0BC2" w:rsidRDefault="00CB0BC2" w:rsidP="00CB0BC2">
            <w:pPr>
              <w:suppressAutoHyphens/>
              <w:spacing w:line="100" w:lineRule="atLeast"/>
              <w:jc w:val="both"/>
              <w:rPr>
                <w:b/>
                <w:bCs/>
                <w:lang w:eastAsia="ar-SA"/>
              </w:rPr>
            </w:pPr>
          </w:p>
          <w:p w:rsidR="00CB0BC2" w:rsidRPr="00CB0BC2" w:rsidRDefault="00CB0BC2" w:rsidP="00CB0BC2">
            <w:pPr>
              <w:suppressAutoHyphens/>
              <w:spacing w:line="100" w:lineRule="atLeast"/>
              <w:jc w:val="both"/>
              <w:rPr>
                <w:bCs/>
                <w:lang w:eastAsia="ar-SA"/>
              </w:rPr>
            </w:pPr>
            <w:r w:rsidRPr="00CB0BC2">
              <w:rPr>
                <w:b/>
                <w:bCs/>
                <w:lang w:eastAsia="ar-SA"/>
              </w:rPr>
              <w:t>II. P</w:t>
            </w:r>
            <w:r w:rsidRPr="00CB0BC2">
              <w:rPr>
                <w:b/>
                <w:lang w:eastAsia="ar-SA"/>
              </w:rPr>
              <w:t>r</w:t>
            </w:r>
            <w:r w:rsidRPr="00CB0BC2">
              <w:rPr>
                <w:b/>
                <w:bCs/>
                <w:lang w:eastAsia="ar-SA"/>
              </w:rPr>
              <w:t>ipomienky a návrhy zm</w:t>
            </w:r>
            <w:r w:rsidRPr="00CB0BC2">
              <w:rPr>
                <w:b/>
                <w:lang w:eastAsia="ar-SA"/>
              </w:rPr>
              <w:t>ie</w:t>
            </w:r>
            <w:r w:rsidRPr="00CB0BC2">
              <w:rPr>
                <w:b/>
                <w:bCs/>
                <w:lang w:eastAsia="ar-SA"/>
              </w:rPr>
              <w:t xml:space="preserve">n: </w:t>
            </w:r>
            <w:r w:rsidRPr="00CB0BC2">
              <w:rPr>
                <w:bCs/>
                <w:lang w:eastAsia="ar-SA"/>
              </w:rPr>
              <w:t>Komisia uplatňuje k materiálu nasledovné pripomienky a odporúčania:</w:t>
            </w: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:rsidR="00CB0BC2" w:rsidRPr="00CB0BC2" w:rsidRDefault="00CB0BC2" w:rsidP="00CB0BC2">
            <w:pPr>
              <w:suppressAutoHyphens/>
              <w:spacing w:line="100" w:lineRule="atLeast"/>
              <w:ind w:right="-2"/>
              <w:jc w:val="both"/>
              <w:rPr>
                <w:b/>
                <w:bCs/>
                <w:lang w:eastAsia="ar-SA"/>
              </w:rPr>
            </w:pPr>
            <w:r w:rsidRPr="00CB0BC2">
              <w:rPr>
                <w:b/>
                <w:bCs/>
                <w:lang w:eastAsia="ar-SA"/>
              </w:rPr>
              <w:t>K vplyvom na rozpočet verejnej správy</w:t>
            </w: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CB0BC2">
              <w:rPr>
                <w:bCs/>
                <w:lang w:eastAsia="ar-SA"/>
              </w:rPr>
              <w:t xml:space="preserve">Komisia berie na vedomie, že návrhom zákona nevzniknú nové požiadavky na rozpočet verejnej správy a že v súčasnosti nie je možné vyčísliť výšku poskytnutých podpôr, pretože nie je zrejmé, koľko oprávnených žiadateľov využije takúto formu financovania navrhovaného nového účelu podpory. Financovanie návrhu je </w:t>
            </w:r>
            <w:r w:rsidRPr="00CB0BC2">
              <w:rPr>
                <w:bCs/>
                <w:lang w:eastAsia="ar-SA"/>
              </w:rPr>
              <w:lastRenderedPageBreak/>
              <w:t>zabezpečené v rámci schváleného limitu výdavkov kapitoly MDV SR na príslušný rozpočtový rok. Komisia upozorňuje, že v doložke vybraných vplyvov v bode 9. je potrebné v riadku „z toho rozpočtovo zabezpečené vplyvy“ označiť možnosť „áno“.</w:t>
            </w:r>
          </w:p>
          <w:p w:rsidR="00CB0BC2" w:rsidRPr="00CB0BC2" w:rsidRDefault="00CB0BC2" w:rsidP="00CB0BC2">
            <w:pPr>
              <w:spacing w:after="200" w:line="276" w:lineRule="auto"/>
              <w:jc w:val="both"/>
              <w:rPr>
                <w:b/>
                <w:bCs/>
                <w:lang w:eastAsia="ar-SA"/>
              </w:rPr>
            </w:pPr>
          </w:p>
          <w:p w:rsidR="00CB0BC2" w:rsidRPr="00CB0BC2" w:rsidRDefault="00CB0BC2" w:rsidP="00CB0BC2">
            <w:pPr>
              <w:jc w:val="both"/>
              <w:rPr>
                <w:b/>
                <w:bCs/>
                <w:lang w:eastAsia="ar-SA"/>
              </w:rPr>
            </w:pPr>
            <w:r w:rsidRPr="00CB0BC2">
              <w:rPr>
                <w:b/>
                <w:bCs/>
                <w:lang w:eastAsia="ar-SA"/>
              </w:rPr>
              <w:t xml:space="preserve">K analýze sociálnych vplyvov </w:t>
            </w:r>
          </w:p>
          <w:p w:rsidR="00CB0BC2" w:rsidRPr="00CB0BC2" w:rsidRDefault="00CB0BC2" w:rsidP="00CB0BC2">
            <w:pPr>
              <w:jc w:val="both"/>
              <w:rPr>
                <w:bCs/>
                <w:lang w:eastAsia="ar-SA"/>
              </w:rPr>
            </w:pPr>
            <w:r w:rsidRPr="00CB0BC2">
              <w:rPr>
                <w:bCs/>
                <w:lang w:eastAsia="ar-SA"/>
              </w:rPr>
              <w:t xml:space="preserve">V sekcii 4.1 analýzy predkladateľ deklaruje, že prijatím tohto návrhu dôjde k pozitívnemu vplyvu na hospodárenie domácností, avšak nešpecifikuje tento vplyv v kontexte konkrétneho vplyvu na zníženie ich nákladov. Komisia odporúča preto túto sekciu doplniť o informácie, do akej miery poklesnú náklady domácností v prípade ak: a) domácnosť bude mať lepší prístup k získaniu nájomného bývania; b) ak bude mať lepší prístup k získaniu vlastného bývania; c) ak pracujúci budú mať lepší prístup k dlhodobému ubytovaniu v ubytovacích domoch; d) ak sa zvýši počet lôžok v zariadeniach sociálnych služieb. </w:t>
            </w:r>
          </w:p>
          <w:p w:rsidR="00CB0BC2" w:rsidRPr="00CB0BC2" w:rsidRDefault="00CB0BC2" w:rsidP="00CB0BC2">
            <w:pPr>
              <w:jc w:val="both"/>
              <w:rPr>
                <w:bCs/>
                <w:lang w:eastAsia="ar-SA"/>
              </w:rPr>
            </w:pPr>
          </w:p>
          <w:p w:rsidR="00CB0BC2" w:rsidRPr="00CB0BC2" w:rsidRDefault="00CB0BC2" w:rsidP="00CB0BC2">
            <w:pPr>
              <w:jc w:val="both"/>
              <w:rPr>
                <w:bCs/>
                <w:lang w:eastAsia="ar-SA"/>
              </w:rPr>
            </w:pPr>
            <w:r w:rsidRPr="00CB0BC2">
              <w:rPr>
                <w:bCs/>
                <w:lang w:eastAsia="ar-SA"/>
              </w:rPr>
              <w:t>V sekcii 4.4 analýzy sociálnych vplyvov predkladateľ deklaruje, že prijatie predmetného návrhu bude mať za následok zvýšenie počtu pracovných miest. Pôjde však o dlhodobé zvýšenie, alebo len krátkodobý nárast v súvislosti s potrebou vybudovania, resp. rekonštrukcie ubytovacích zariadení, na ktoré sa novela vzťahuje? Predkladateľovi Komisia odporúča tieto informácie špecifikovať a, pokiaľ je to možné, mieru tohto vplyvu minimálne orientačne kvantifikovať.</w:t>
            </w:r>
          </w:p>
          <w:p w:rsidR="00CB0BC2" w:rsidRPr="00CB0BC2" w:rsidRDefault="00CB0BC2" w:rsidP="00CB0BC2">
            <w:pPr>
              <w:jc w:val="both"/>
              <w:rPr>
                <w:b/>
                <w:bCs/>
                <w:lang w:eastAsia="ar-SA"/>
              </w:rPr>
            </w:pP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  <w:r w:rsidRPr="00CB0BC2">
              <w:rPr>
                <w:b/>
                <w:bCs/>
                <w:lang w:eastAsia="ar-SA"/>
              </w:rPr>
              <w:t xml:space="preserve">III. Záver: </w:t>
            </w:r>
            <w:r w:rsidRPr="00CB0BC2">
              <w:rPr>
                <w:bCs/>
                <w:lang w:eastAsia="ar-SA"/>
              </w:rPr>
              <w:t xml:space="preserve">Stála pracovná komisia na posudzovanie vybraných vplyvov vyjadruje </w:t>
            </w: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lang w:eastAsia="ar-SA"/>
              </w:rPr>
            </w:pP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CB0BC2">
              <w:rPr>
                <w:b/>
                <w:bCs/>
                <w:lang w:eastAsia="ar-SA"/>
              </w:rPr>
              <w:t>súhlasné stanovisko s návrhom na dopracovanie</w:t>
            </w: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jc w:val="both"/>
              <w:rPr>
                <w:bCs/>
                <w:lang w:eastAsia="ar-SA"/>
              </w:rPr>
            </w:pPr>
          </w:p>
          <w:p w:rsidR="00CB0BC2" w:rsidRPr="00CB0BC2" w:rsidRDefault="00CB0BC2" w:rsidP="00CB0BC2">
            <w:pPr>
              <w:tabs>
                <w:tab w:val="center" w:pos="6379"/>
              </w:tabs>
              <w:suppressAutoHyphens/>
              <w:jc w:val="both"/>
              <w:rPr>
                <w:bCs/>
                <w:lang w:eastAsia="ar-SA"/>
              </w:rPr>
            </w:pPr>
          </w:p>
          <w:p w:rsidR="003501A1" w:rsidRPr="00CB0BC2" w:rsidRDefault="00CB0BC2" w:rsidP="00CB0BC2">
            <w:pPr>
              <w:jc w:val="both"/>
              <w:rPr>
                <w:b/>
              </w:rPr>
            </w:pPr>
            <w:r w:rsidRPr="00CB0BC2">
              <w:rPr>
                <w:bCs/>
                <w:lang w:eastAsia="ar-SA"/>
              </w:rPr>
              <w:t>s materiálom predloženým na predbežné pripomienkové konanie s odporúčaním na jeho dopracovanie podľa pripomienok v bode II.</w:t>
            </w:r>
          </w:p>
          <w:p w:rsidR="003501A1" w:rsidRPr="008E3CF1" w:rsidRDefault="003501A1" w:rsidP="00CB0BC2">
            <w:pPr>
              <w:jc w:val="both"/>
              <w:rPr>
                <w:b/>
              </w:rPr>
            </w:pPr>
          </w:p>
          <w:p w:rsidR="003501A1" w:rsidRPr="00385AB0" w:rsidRDefault="00CB0BC2" w:rsidP="00385AB0">
            <w:pPr>
              <w:jc w:val="both"/>
              <w:rPr>
                <w:b/>
              </w:rPr>
            </w:pPr>
            <w:r w:rsidRPr="00385AB0">
              <w:rPr>
                <w:bCs/>
              </w:rPr>
              <w:t xml:space="preserve">MDV SR uplatnené pripomienky Komisie v stanovisku </w:t>
            </w:r>
            <w:r w:rsidR="00585D3B" w:rsidRPr="00385AB0">
              <w:rPr>
                <w:bCs/>
              </w:rPr>
              <w:t>k vplyvom na rozpočet verejnej správy akceptovalo</w:t>
            </w:r>
            <w:r w:rsidR="00C557E8" w:rsidRPr="00385AB0">
              <w:rPr>
                <w:bCs/>
              </w:rPr>
              <w:t>,</w:t>
            </w:r>
            <w:r w:rsidR="00585D3B" w:rsidRPr="00385AB0">
              <w:rPr>
                <w:bCs/>
              </w:rPr>
              <w:t xml:space="preserve"> </w:t>
            </w:r>
            <w:r w:rsidR="00C557E8" w:rsidRPr="00385AB0">
              <w:rPr>
                <w:bCs/>
              </w:rPr>
              <w:t>p</w:t>
            </w:r>
            <w:r w:rsidR="00585D3B" w:rsidRPr="00385AB0">
              <w:rPr>
                <w:bCs/>
              </w:rPr>
              <w:t>ripomienky</w:t>
            </w:r>
            <w:r w:rsidR="00585D3B" w:rsidRPr="00385AB0">
              <w:t xml:space="preserve"> </w:t>
            </w:r>
            <w:r w:rsidR="00585D3B" w:rsidRPr="00385AB0">
              <w:rPr>
                <w:bCs/>
              </w:rPr>
              <w:t xml:space="preserve">k analýze sociálnych vplyvov </w:t>
            </w:r>
            <w:r w:rsidRPr="00385AB0">
              <w:rPr>
                <w:bCs/>
              </w:rPr>
              <w:t xml:space="preserve">čiastočne akceptovalo a zapracovalo do návrhu materiálu, ktorý </w:t>
            </w:r>
            <w:r w:rsidR="00C557E8" w:rsidRPr="00385AB0">
              <w:rPr>
                <w:bCs/>
              </w:rPr>
              <w:t xml:space="preserve">je </w:t>
            </w:r>
            <w:r w:rsidRPr="00385AB0">
              <w:rPr>
                <w:bCs/>
              </w:rPr>
              <w:t xml:space="preserve">predložený na medzirezortné pripomienkové konanie. </w:t>
            </w:r>
            <w:r w:rsidR="007906D8" w:rsidRPr="00385AB0">
              <w:rPr>
                <w:bCs/>
              </w:rPr>
              <w:t>V</w:t>
            </w:r>
            <w:r w:rsidRPr="00385AB0">
              <w:rPr>
                <w:bCs/>
              </w:rPr>
              <w:t> prípade obstarania ubytovacích domov ide o zavedenie nového účelu a</w:t>
            </w:r>
            <w:r w:rsidR="007906D8" w:rsidRPr="00385AB0">
              <w:rPr>
                <w:bCs/>
              </w:rPr>
              <w:t> </w:t>
            </w:r>
            <w:r w:rsidRPr="00385AB0">
              <w:rPr>
                <w:bCs/>
              </w:rPr>
              <w:t xml:space="preserve"> </w:t>
            </w:r>
            <w:r w:rsidR="007906D8" w:rsidRPr="00385AB0">
              <w:rPr>
                <w:bCs/>
              </w:rPr>
              <w:t xml:space="preserve">pri účele </w:t>
            </w:r>
            <w:r w:rsidRPr="00385AB0">
              <w:rPr>
                <w:bCs/>
              </w:rPr>
              <w:t>výstavby a obnovy zariadení sociálnych služieb</w:t>
            </w:r>
            <w:r w:rsidR="00385AB0" w:rsidRPr="00385AB0">
              <w:rPr>
                <w:bCs/>
              </w:rPr>
              <w:t xml:space="preserve"> ide rozšírenie okruhu žiadateľov</w:t>
            </w:r>
            <w:r w:rsidRPr="00385AB0">
              <w:rPr>
                <w:bCs/>
              </w:rPr>
              <w:t xml:space="preserve">, </w:t>
            </w:r>
            <w:r w:rsidR="007906D8" w:rsidRPr="00385AB0">
              <w:rPr>
                <w:bCs/>
              </w:rPr>
              <w:t xml:space="preserve">a preto </w:t>
            </w:r>
            <w:r w:rsidRPr="00385AB0">
              <w:rPr>
                <w:bCs/>
              </w:rPr>
              <w:t>nie je možné predpokladať</w:t>
            </w:r>
            <w:r w:rsidR="007906D8" w:rsidRPr="00385AB0">
              <w:rPr>
                <w:bCs/>
              </w:rPr>
              <w:t>,</w:t>
            </w:r>
            <w:r w:rsidRPr="00385AB0">
              <w:rPr>
                <w:bCs/>
              </w:rPr>
              <w:t xml:space="preserve"> koľko žiadateľov využije tento druh podpory. Súčasne je potrebné uviesť, že zákon </w:t>
            </w:r>
            <w:r w:rsidR="007E41E7" w:rsidRPr="00385AB0">
              <w:rPr>
                <w:bCs/>
              </w:rPr>
              <w:t>neustanovuje výšku nájmu v ubytovacích domoch ani v zariadeniach sociálnych služieb a preto</w:t>
            </w:r>
            <w:r w:rsidRPr="00385AB0">
              <w:rPr>
                <w:bCs/>
              </w:rPr>
              <w:t xml:space="preserve">, nie je možné určiť výšku ušetrených nákladov pracujúcich </w:t>
            </w:r>
            <w:r w:rsidR="007E41E7" w:rsidRPr="00385AB0">
              <w:rPr>
                <w:bCs/>
              </w:rPr>
              <w:t>a ani klientov v zariadeniach sociálnych služieb.</w:t>
            </w:r>
          </w:p>
        </w:tc>
      </w:tr>
    </w:tbl>
    <w:p w:rsidR="003501A1" w:rsidRPr="008E3CF1" w:rsidRDefault="003501A1" w:rsidP="00CB0BC2">
      <w:pPr>
        <w:jc w:val="both"/>
        <w:rPr>
          <w:b/>
        </w:rPr>
      </w:pPr>
    </w:p>
    <w:p w:rsidR="003501A1" w:rsidRPr="008E3CF1" w:rsidRDefault="003501A1" w:rsidP="003501A1">
      <w:pPr>
        <w:rPr>
          <w:b/>
        </w:rPr>
      </w:pPr>
    </w:p>
    <w:p w:rsidR="00CB3623" w:rsidRPr="008E3CF1" w:rsidRDefault="00CB3623"/>
    <w:sectPr w:rsidR="00CB3623" w:rsidRPr="008E3CF1" w:rsidSect="00995E87"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85" w:rsidRDefault="00F41885" w:rsidP="003501A1">
      <w:r>
        <w:separator/>
      </w:r>
    </w:p>
  </w:endnote>
  <w:endnote w:type="continuationSeparator" w:id="0">
    <w:p w:rsidR="00F41885" w:rsidRDefault="00F4188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631807"/>
      <w:docPartObj>
        <w:docPartGallery w:val="Page Numbers (Bottom of Page)"/>
        <w:docPartUnique/>
      </w:docPartObj>
    </w:sdtPr>
    <w:sdtEndPr/>
    <w:sdtContent>
      <w:p w:rsidR="00820FC1" w:rsidRDefault="00C07AD2">
        <w:pPr>
          <w:pStyle w:val="Pta"/>
          <w:jc w:val="center"/>
        </w:pPr>
        <w:r>
          <w:fldChar w:fldCharType="begin"/>
        </w:r>
        <w:r w:rsidR="00820FC1">
          <w:instrText>PAGE   \* MERGEFORMAT</w:instrText>
        </w:r>
        <w:r>
          <w:fldChar w:fldCharType="separate"/>
        </w:r>
        <w:r w:rsidR="00F35B8E">
          <w:rPr>
            <w:noProof/>
          </w:rPr>
          <w:t>3</w:t>
        </w:r>
        <w:r>
          <w:fldChar w:fldCharType="end"/>
        </w:r>
      </w:p>
    </w:sdtContent>
  </w:sdt>
  <w:p w:rsidR="00820FC1" w:rsidRDefault="00820F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85" w:rsidRDefault="00F41885" w:rsidP="003501A1">
      <w:r>
        <w:separator/>
      </w:r>
    </w:p>
  </w:footnote>
  <w:footnote w:type="continuationSeparator" w:id="0">
    <w:p w:rsidR="00F41885" w:rsidRDefault="00F41885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6"/>
    <w:rsid w:val="0000440B"/>
    <w:rsid w:val="0001187A"/>
    <w:rsid w:val="0002248E"/>
    <w:rsid w:val="00036A60"/>
    <w:rsid w:val="00040DCF"/>
    <w:rsid w:val="000476F5"/>
    <w:rsid w:val="0005685A"/>
    <w:rsid w:val="00084AD6"/>
    <w:rsid w:val="00097156"/>
    <w:rsid w:val="000B6C82"/>
    <w:rsid w:val="000D40AB"/>
    <w:rsid w:val="000E5C0E"/>
    <w:rsid w:val="0011693A"/>
    <w:rsid w:val="00141BE7"/>
    <w:rsid w:val="00175FD8"/>
    <w:rsid w:val="001A1559"/>
    <w:rsid w:val="001E0DEA"/>
    <w:rsid w:val="001E379E"/>
    <w:rsid w:val="00207376"/>
    <w:rsid w:val="00252A94"/>
    <w:rsid w:val="003501A1"/>
    <w:rsid w:val="003844FC"/>
    <w:rsid w:val="00385AB0"/>
    <w:rsid w:val="00387B99"/>
    <w:rsid w:val="00395098"/>
    <w:rsid w:val="003D52CC"/>
    <w:rsid w:val="0041564C"/>
    <w:rsid w:val="0045465B"/>
    <w:rsid w:val="00454ABC"/>
    <w:rsid w:val="00467385"/>
    <w:rsid w:val="004763C4"/>
    <w:rsid w:val="004B0843"/>
    <w:rsid w:val="004C60B8"/>
    <w:rsid w:val="004C794A"/>
    <w:rsid w:val="004F6F1F"/>
    <w:rsid w:val="004F7496"/>
    <w:rsid w:val="004F7D6F"/>
    <w:rsid w:val="0051017A"/>
    <w:rsid w:val="00570B48"/>
    <w:rsid w:val="00585D3B"/>
    <w:rsid w:val="005968F8"/>
    <w:rsid w:val="005B7A8D"/>
    <w:rsid w:val="005F4DF4"/>
    <w:rsid w:val="00643F51"/>
    <w:rsid w:val="0067508D"/>
    <w:rsid w:val="006824C3"/>
    <w:rsid w:val="006C3B7D"/>
    <w:rsid w:val="006E2167"/>
    <w:rsid w:val="0070726A"/>
    <w:rsid w:val="007906D8"/>
    <w:rsid w:val="007C5802"/>
    <w:rsid w:val="007E41E7"/>
    <w:rsid w:val="007E60D4"/>
    <w:rsid w:val="00820FC1"/>
    <w:rsid w:val="008546BA"/>
    <w:rsid w:val="0085486B"/>
    <w:rsid w:val="00885DDB"/>
    <w:rsid w:val="00892B0D"/>
    <w:rsid w:val="00892D5E"/>
    <w:rsid w:val="008D6C97"/>
    <w:rsid w:val="008D7BF9"/>
    <w:rsid w:val="008E3CF1"/>
    <w:rsid w:val="00975D97"/>
    <w:rsid w:val="00981CE2"/>
    <w:rsid w:val="00990D53"/>
    <w:rsid w:val="00995E87"/>
    <w:rsid w:val="009C5D6D"/>
    <w:rsid w:val="009E6752"/>
    <w:rsid w:val="009F6C39"/>
    <w:rsid w:val="009F6E34"/>
    <w:rsid w:val="00A80EC7"/>
    <w:rsid w:val="00AB1ADE"/>
    <w:rsid w:val="00AB6565"/>
    <w:rsid w:val="00AC2477"/>
    <w:rsid w:val="00AE2BEA"/>
    <w:rsid w:val="00AF4985"/>
    <w:rsid w:val="00B04C55"/>
    <w:rsid w:val="00B21F1B"/>
    <w:rsid w:val="00B2599D"/>
    <w:rsid w:val="00B436FC"/>
    <w:rsid w:val="00B65A86"/>
    <w:rsid w:val="00B9274A"/>
    <w:rsid w:val="00BD2DFA"/>
    <w:rsid w:val="00C07AD2"/>
    <w:rsid w:val="00C47E33"/>
    <w:rsid w:val="00C557E8"/>
    <w:rsid w:val="00C56970"/>
    <w:rsid w:val="00CA21CA"/>
    <w:rsid w:val="00CB0BC2"/>
    <w:rsid w:val="00CB3623"/>
    <w:rsid w:val="00CC1ABD"/>
    <w:rsid w:val="00CC6E00"/>
    <w:rsid w:val="00D13B6F"/>
    <w:rsid w:val="00D1567D"/>
    <w:rsid w:val="00D41ACA"/>
    <w:rsid w:val="00D559AD"/>
    <w:rsid w:val="00D75D35"/>
    <w:rsid w:val="00DE2A12"/>
    <w:rsid w:val="00DE57B0"/>
    <w:rsid w:val="00E00D98"/>
    <w:rsid w:val="00E81FA9"/>
    <w:rsid w:val="00EB59E3"/>
    <w:rsid w:val="00EE0868"/>
    <w:rsid w:val="00EF466C"/>
    <w:rsid w:val="00F22831"/>
    <w:rsid w:val="00F35B8E"/>
    <w:rsid w:val="00F41885"/>
    <w:rsid w:val="00F62771"/>
    <w:rsid w:val="00F77189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C66D5-304B-4D98-931E-23B0A21D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4763C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D616-311A-48BC-90A3-332AB1E1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Hlaváčová, Viera</cp:lastModifiedBy>
  <cp:revision>72</cp:revision>
  <dcterms:created xsi:type="dcterms:W3CDTF">2016-09-06T08:52:00Z</dcterms:created>
  <dcterms:modified xsi:type="dcterms:W3CDTF">2019-03-18T07:06:00Z</dcterms:modified>
</cp:coreProperties>
</file>