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1.xml" ContentType="application/vnd.openxmlformats-officedocument.themeOverride+xml"/>
  <Override PartName="/word/drawings/drawing2.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theme/themeOverride13.xml" ContentType="application/vnd.openxmlformats-officedocument.themeOverride+xml"/>
  <Override PartName="/word/charts/chart18.xml" ContentType="application/vnd.openxmlformats-officedocument.drawingml.chart+xml"/>
  <Override PartName="/word/theme/themeOverride14.xml" ContentType="application/vnd.openxmlformats-officedocument.themeOverride+xml"/>
  <Override PartName="/word/charts/chart19.xml" ContentType="application/vnd.openxmlformats-officedocument.drawingml.chart+xml"/>
  <Override PartName="/word/theme/themeOverride15.xml" ContentType="application/vnd.openxmlformats-officedocument.themeOverride+xml"/>
  <Override PartName="/word/charts/chart20.xml" ContentType="application/vnd.openxmlformats-officedocument.drawingml.chart+xml"/>
  <Override PartName="/word/theme/themeOverride16.xml" ContentType="application/vnd.openxmlformats-officedocument.themeOverride+xml"/>
  <Override PartName="/word/drawings/drawing3.xml" ContentType="application/vnd.openxmlformats-officedocument.drawingml.chartshapes+xml"/>
  <Override PartName="/word/charts/chart21.xml" ContentType="application/vnd.openxmlformats-officedocument.drawingml.chart+xml"/>
  <Override PartName="/word/theme/themeOverride17.xml" ContentType="application/vnd.openxmlformats-officedocument.themeOverride+xml"/>
  <Override PartName="/word/charts/chart22.xml" ContentType="application/vnd.openxmlformats-officedocument.drawingml.chart+xml"/>
  <Override PartName="/word/theme/themeOverride18.xml" ContentType="application/vnd.openxmlformats-officedocument.themeOverride+xml"/>
  <Override PartName="/word/charts/chart23.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9.xml" ContentType="application/vnd.openxmlformats-officedocument.themeOverride+xml"/>
  <Override PartName="/word/charts/chart24.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0.xml" ContentType="application/vnd.openxmlformats-officedocument.themeOverride+xml"/>
  <Override PartName="/word/charts/chart25.xml" ContentType="application/vnd.openxmlformats-officedocument.drawingml.chart+xml"/>
  <Override PartName="/word/theme/themeOverride21.xml" ContentType="application/vnd.openxmlformats-officedocument.themeOverride+xml"/>
  <Override PartName="/word/charts/chart2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2.xml" ContentType="application/vnd.openxmlformats-officedocument.themeOverride+xml"/>
  <Override PartName="/word/charts/chart27.xml" ContentType="application/vnd.openxmlformats-officedocument.drawingml.chart+xml"/>
  <Override PartName="/word/theme/themeOverride23.xml" ContentType="application/vnd.openxmlformats-officedocument.themeOverride+xml"/>
  <Override PartName="/word/charts/chart28.xml" ContentType="application/vnd.openxmlformats-officedocument.drawingml.chart+xml"/>
  <Override PartName="/word/theme/themeOverride24.xml" ContentType="application/vnd.openxmlformats-officedocument.themeOverride+xml"/>
  <Override PartName="/word/charts/chart29.xml" ContentType="application/vnd.openxmlformats-officedocument.drawingml.chart+xml"/>
  <Override PartName="/word/theme/themeOverride25.xml" ContentType="application/vnd.openxmlformats-officedocument.themeOverride+xml"/>
  <Override PartName="/word/charts/chart30.xml" ContentType="application/vnd.openxmlformats-officedocument.drawingml.chart+xml"/>
  <Override PartName="/word/theme/themeOverride26.xml" ContentType="application/vnd.openxmlformats-officedocument.themeOverride+xml"/>
  <Override PartName="/word/charts/chart31.xml" ContentType="application/vnd.openxmlformats-officedocument.drawingml.chart+xml"/>
  <Override PartName="/word/theme/themeOverride27.xml" ContentType="application/vnd.openxmlformats-officedocument.themeOverride+xml"/>
  <Override PartName="/word/charts/chart32.xml" ContentType="application/vnd.openxmlformats-officedocument.drawingml.chart+xml"/>
  <Override PartName="/word/theme/themeOverride28.xml" ContentType="application/vnd.openxmlformats-officedocument.themeOverride+xml"/>
  <Override PartName="/word/charts/chart33.xml" ContentType="application/vnd.openxmlformats-officedocument.drawingml.chart+xml"/>
  <Override PartName="/word/charts/style8.xml" ContentType="application/vnd.ms-office.chartstyle+xml"/>
  <Override PartName="/word/charts/colors8.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71B64" w14:textId="77777777" w:rsidR="001E0231" w:rsidRPr="004C54B9" w:rsidRDefault="001E0231" w:rsidP="004C54B9">
      <w:pPr>
        <w:widowControl w:val="0"/>
        <w:autoSpaceDE w:val="0"/>
        <w:autoSpaceDN w:val="0"/>
        <w:adjustRightInd w:val="0"/>
        <w:spacing w:after="0" w:line="240" w:lineRule="auto"/>
        <w:rPr>
          <w:rFonts w:ascii="Arial Narrow" w:hAnsi="Arial Narrow"/>
        </w:rPr>
      </w:pPr>
    </w:p>
    <w:p w14:paraId="0752BA13"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0BB93037"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5A7B6221"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4A707603" w14:textId="77777777" w:rsidR="005B2D07" w:rsidRPr="004C54B9" w:rsidRDefault="001E0231" w:rsidP="004C54B9">
      <w:pPr>
        <w:widowControl w:val="0"/>
        <w:autoSpaceDE w:val="0"/>
        <w:autoSpaceDN w:val="0"/>
        <w:adjustRightInd w:val="0"/>
        <w:spacing w:after="0" w:line="240" w:lineRule="auto"/>
        <w:rPr>
          <w:rFonts w:ascii="Arial Narrow" w:hAnsi="Arial Narrow"/>
          <w:b/>
        </w:rPr>
      </w:pPr>
      <w:r w:rsidRPr="004C54B9">
        <w:rPr>
          <w:rFonts w:ascii="Arial Narrow" w:hAnsi="Arial Narrow"/>
          <w:b/>
          <w:noProof/>
          <w:lang w:val="en-GB" w:eastAsia="en-GB"/>
        </w:rPr>
        <mc:AlternateContent>
          <mc:Choice Requires="wps">
            <w:drawing>
              <wp:anchor distT="0" distB="0" distL="114300" distR="114300" simplePos="0" relativeHeight="251711488" behindDoc="0" locked="1" layoutInCell="1" allowOverlap="1" wp14:anchorId="4711B139" wp14:editId="0CC8C0AF">
                <wp:simplePos x="0" y="0"/>
                <wp:positionH relativeFrom="column">
                  <wp:posOffset>1009650</wp:posOffset>
                </wp:positionH>
                <wp:positionV relativeFrom="page">
                  <wp:posOffset>723900</wp:posOffset>
                </wp:positionV>
                <wp:extent cx="3552825" cy="3810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81000"/>
                        </a:xfrm>
                        <a:prstGeom prst="rect">
                          <a:avLst/>
                        </a:prstGeom>
                        <a:solidFill>
                          <a:srgbClr val="FFFFFF"/>
                        </a:solidFill>
                        <a:ln w="9525">
                          <a:noFill/>
                          <a:miter lim="800000"/>
                          <a:headEnd/>
                          <a:tailEnd/>
                        </a:ln>
                      </wps:spPr>
                      <wps:txbx>
                        <w:txbxContent>
                          <w:p w14:paraId="194ECC4E" w14:textId="77777777" w:rsidR="00EE676F" w:rsidRPr="001E0231" w:rsidRDefault="00EE676F" w:rsidP="001E0231">
                            <w:pPr>
                              <w:jc w:val="center"/>
                              <w:rPr>
                                <w:rFonts w:ascii="Arial Narrow" w:hAnsi="Arial Narrow" w:cstheme="minorHAnsi"/>
                                <w:sz w:val="32"/>
                                <w:szCs w:val="32"/>
                              </w:rPr>
                            </w:pPr>
                            <w:r w:rsidRPr="001E0231">
                              <w:rPr>
                                <w:rFonts w:ascii="Arial Narrow" w:hAnsi="Arial Narrow" w:cstheme="minorHAnsi"/>
                                <w:b/>
                                <w:bCs/>
                                <w:sz w:val="32"/>
                                <w:szCs w:val="32"/>
                                <w:lang w:val="pl-PL"/>
                              </w:rPr>
                              <w:t>Ministerstvo financií Slovenskej republiky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1B139" id="_x0000_t202" coordsize="21600,21600" o:spt="202" path="m,l,21600r21600,l21600,xe">
                <v:stroke joinstyle="miter"/>
                <v:path gradientshapeok="t" o:connecttype="rect"/>
              </v:shapetype>
              <v:shape id="Text Box 2" o:spid="_x0000_s1026" type="#_x0000_t202" style="position:absolute;margin-left:79.5pt;margin-top:57pt;width:279.75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" stroked="f">
                <v:textbox>
                  <w:txbxContent>
                    <w:p w14:paraId="194ECC4E" w14:textId="77777777" w:rsidR="00EE676F" w:rsidRPr="001E0231" w:rsidRDefault="00EE676F" w:rsidP="001E0231">
                      <w:pPr>
                        <w:jc w:val="center"/>
                        <w:rPr>
                          <w:rFonts w:ascii="Arial Narrow" w:hAnsi="Arial Narrow" w:cstheme="minorHAnsi"/>
                          <w:sz w:val="32"/>
                          <w:szCs w:val="32"/>
                        </w:rPr>
                      </w:pPr>
                      <w:r w:rsidRPr="001E0231">
                        <w:rPr>
                          <w:rFonts w:ascii="Arial Narrow" w:hAnsi="Arial Narrow" w:cstheme="minorHAnsi"/>
                          <w:b/>
                          <w:bCs/>
                          <w:sz w:val="32"/>
                          <w:szCs w:val="32"/>
                          <w:lang w:val="pl-PL"/>
                        </w:rPr>
                        <w:t>Ministerstvo financií Slovenskej republiky</w:t>
                      </w:r>
                    </w:p>
                  </w:txbxContent>
                </v:textbox>
                <w10:wrap anchory="page"/>
                <w10:anchorlock/>
              </v:shape>
            </w:pict>
          </mc:Fallback>
        </mc:AlternateContent>
      </w:r>
    </w:p>
    <w:p w14:paraId="576C2BC1"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6BD75CB5"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400C848A"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3B45747B"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72925E0F" w14:textId="77777777" w:rsidR="005B2D07" w:rsidRPr="004C54B9" w:rsidRDefault="005E095E" w:rsidP="004C54B9">
      <w:pPr>
        <w:widowControl w:val="0"/>
        <w:autoSpaceDE w:val="0"/>
        <w:autoSpaceDN w:val="0"/>
        <w:adjustRightInd w:val="0"/>
        <w:spacing w:after="0" w:line="240" w:lineRule="auto"/>
        <w:rPr>
          <w:rFonts w:ascii="Arial Narrow" w:hAnsi="Arial Narrow"/>
          <w:b/>
        </w:rPr>
      </w:pPr>
      <w:r w:rsidRPr="004C54B9">
        <w:rPr>
          <w:rFonts w:ascii="Arial Narrow" w:hAnsi="Arial Narrow"/>
          <w:b/>
          <w:noProof/>
          <w:lang w:val="en-GB" w:eastAsia="en-GB"/>
        </w:rPr>
        <mc:AlternateContent>
          <mc:Choice Requires="wps">
            <w:drawing>
              <wp:anchor distT="0" distB="0" distL="114300" distR="114300" simplePos="0" relativeHeight="251664384" behindDoc="1" locked="0" layoutInCell="0" allowOverlap="1" wp14:anchorId="0C94BF69" wp14:editId="417FDDB6">
                <wp:simplePos x="0" y="0"/>
                <wp:positionH relativeFrom="page">
                  <wp:posOffset>3175</wp:posOffset>
                </wp:positionH>
                <wp:positionV relativeFrom="page">
                  <wp:posOffset>3860800</wp:posOffset>
                </wp:positionV>
                <wp:extent cx="81280" cy="2899410"/>
                <wp:effectExtent l="0" t="0" r="0" b="0"/>
                <wp:wrapNone/>
                <wp:docPr id="1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2899410"/>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7AE80" id="Rectangle 3" o:spid="_x0000_s1026" style="position:absolute;margin-left:.25pt;margin-top:304pt;width:6.4pt;height:228.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" o:allowincell="f" fillcolor="#37abe1" stroked="f">
                <v:path arrowok="t"/>
                <w10:wrap anchorx="page" anchory="page"/>
              </v:rect>
            </w:pict>
          </mc:Fallback>
        </mc:AlternateContent>
      </w:r>
    </w:p>
    <w:p w14:paraId="742F5B4F"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57CEDB43"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35BE7308"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41BED0AC" w14:textId="77777777" w:rsidR="00E92D30" w:rsidRPr="004C54B9" w:rsidRDefault="00E92D30" w:rsidP="004C54B9">
      <w:pPr>
        <w:widowControl w:val="0"/>
        <w:autoSpaceDE w:val="0"/>
        <w:autoSpaceDN w:val="0"/>
        <w:adjustRightInd w:val="0"/>
        <w:spacing w:after="0" w:line="240" w:lineRule="auto"/>
        <w:rPr>
          <w:rFonts w:ascii="Arial Narrow" w:hAnsi="Arial Narrow"/>
          <w:b/>
        </w:rPr>
      </w:pPr>
    </w:p>
    <w:p w14:paraId="1C2B1E36"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3D32CB18" w14:textId="77777777" w:rsidR="005B2D07" w:rsidRPr="004C54B9" w:rsidRDefault="001E0231" w:rsidP="004C54B9">
      <w:pPr>
        <w:widowControl w:val="0"/>
        <w:autoSpaceDE w:val="0"/>
        <w:autoSpaceDN w:val="0"/>
        <w:adjustRightInd w:val="0"/>
        <w:spacing w:after="0" w:line="240" w:lineRule="auto"/>
        <w:rPr>
          <w:rFonts w:ascii="Arial Narrow" w:hAnsi="Arial Narrow"/>
          <w:b/>
        </w:rPr>
      </w:pPr>
      <w:r w:rsidRPr="004C54B9">
        <w:rPr>
          <w:rFonts w:ascii="Arial Narrow" w:hAnsi="Arial Narrow"/>
          <w:noProof/>
          <w:lang w:val="en-GB" w:eastAsia="en-GB"/>
        </w:rPr>
        <w:drawing>
          <wp:anchor distT="0" distB="0" distL="114300" distR="114300" simplePos="0" relativeHeight="251709440" behindDoc="0" locked="0" layoutInCell="1" allowOverlap="1" wp14:anchorId="61695C4B" wp14:editId="22068689">
            <wp:simplePos x="0" y="0"/>
            <wp:positionH relativeFrom="column">
              <wp:posOffset>2066925</wp:posOffset>
            </wp:positionH>
            <wp:positionV relativeFrom="paragraph">
              <wp:posOffset>26348</wp:posOffset>
            </wp:positionV>
            <wp:extent cx="1362075" cy="1695450"/>
            <wp:effectExtent l="0" t="0" r="9525" b="0"/>
            <wp:wrapNone/>
            <wp:docPr id="1" name="Obrázok 56" descr="Popis: štátny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6" descr="Popis: štátny 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62A83"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61B9D8C7"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31BE276E"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66FB7855"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584438C2"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4C42492F"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25FE80B1"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2F9BE05E"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09FB365E"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05615AD1"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02E5ACEA"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40274E32"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3EEFAF0E"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0C1B833B"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16862B6E"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343CC8E5"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1AF3B9EF"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1330B6E8"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4EE594C8"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5889A6D4"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33D1FB9E"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19AEA5C2" w14:textId="77777777" w:rsidR="005B2D07" w:rsidRPr="004C54B9" w:rsidRDefault="001E0231" w:rsidP="004C54B9">
      <w:pPr>
        <w:widowControl w:val="0"/>
        <w:autoSpaceDE w:val="0"/>
        <w:autoSpaceDN w:val="0"/>
        <w:adjustRightInd w:val="0"/>
        <w:spacing w:after="0" w:line="240" w:lineRule="auto"/>
        <w:rPr>
          <w:rFonts w:ascii="Arial Narrow" w:hAnsi="Arial Narrow"/>
          <w:b/>
        </w:rPr>
      </w:pPr>
      <w:r w:rsidRPr="004C54B9">
        <w:rPr>
          <w:rFonts w:ascii="Arial Narrow" w:hAnsi="Arial Narrow"/>
          <w:b/>
          <w:noProof/>
          <w:lang w:val="en-GB" w:eastAsia="en-GB"/>
        </w:rPr>
        <mc:AlternateContent>
          <mc:Choice Requires="wps">
            <w:drawing>
              <wp:anchor distT="0" distB="0" distL="114300" distR="114300" simplePos="0" relativeHeight="251708416" behindDoc="1" locked="0" layoutInCell="0" allowOverlap="1" wp14:anchorId="6F63EEB6" wp14:editId="67C9BE1E">
                <wp:simplePos x="0" y="0"/>
                <wp:positionH relativeFrom="page">
                  <wp:posOffset>1665605</wp:posOffset>
                </wp:positionH>
                <wp:positionV relativeFrom="page">
                  <wp:posOffset>5546403</wp:posOffset>
                </wp:positionV>
                <wp:extent cx="59055" cy="294640"/>
                <wp:effectExtent l="0" t="0" r="0" b="0"/>
                <wp:wrapNone/>
                <wp:docPr id="3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94640"/>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F845B" id="Rectangle 2" o:spid="_x0000_s1026" style="position:absolute;margin-left:131.15pt;margin-top:436.7pt;width:4.65pt;height:23.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" o:allowincell="f" fillcolor="#37abe1" stroked="f">
                <v:path arrowok="t"/>
                <w10:wrap anchorx="page" anchory="page"/>
              </v:rect>
            </w:pict>
          </mc:Fallback>
        </mc:AlternateContent>
      </w:r>
    </w:p>
    <w:p w14:paraId="5C19B048"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608CABD2" w14:textId="77777777" w:rsidR="005B2D07" w:rsidRPr="004C54B9" w:rsidRDefault="0032199C" w:rsidP="004C54B9">
      <w:pPr>
        <w:widowControl w:val="0"/>
        <w:autoSpaceDE w:val="0"/>
        <w:autoSpaceDN w:val="0"/>
        <w:adjustRightInd w:val="0"/>
        <w:spacing w:after="0" w:line="240" w:lineRule="auto"/>
        <w:rPr>
          <w:rFonts w:ascii="Arial Narrow" w:hAnsi="Arial Narrow"/>
          <w:b/>
        </w:rPr>
      </w:pPr>
      <w:r w:rsidRPr="004C54B9">
        <w:rPr>
          <w:rFonts w:ascii="Arial Narrow" w:hAnsi="Arial Narrow"/>
          <w:b/>
          <w:noProof/>
          <w:lang w:val="en-GB" w:eastAsia="en-GB"/>
        </w:rPr>
        <mc:AlternateContent>
          <mc:Choice Requires="wps">
            <w:drawing>
              <wp:anchor distT="0" distB="0" distL="114300" distR="114300" simplePos="0" relativeHeight="251715584" behindDoc="0" locked="1" layoutInCell="1" allowOverlap="1" wp14:anchorId="418F646F" wp14:editId="350CC081">
                <wp:simplePos x="0" y="0"/>
                <wp:positionH relativeFrom="margin">
                  <wp:posOffset>720090</wp:posOffset>
                </wp:positionH>
                <wp:positionV relativeFrom="page">
                  <wp:posOffset>5438775</wp:posOffset>
                </wp:positionV>
                <wp:extent cx="4068000" cy="170280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000" cy="1702800"/>
                        </a:xfrm>
                        <a:prstGeom prst="rect">
                          <a:avLst/>
                        </a:prstGeom>
                        <a:solidFill>
                          <a:srgbClr val="FFFFFF"/>
                        </a:solidFill>
                        <a:ln w="9525">
                          <a:noFill/>
                          <a:miter lim="800000"/>
                          <a:headEnd/>
                          <a:tailEnd/>
                        </a:ln>
                      </wps:spPr>
                      <wps:txbx>
                        <w:txbxContent>
                          <w:p w14:paraId="5555F0A4" w14:textId="77777777" w:rsidR="00EE676F" w:rsidRPr="005661BA" w:rsidRDefault="00EE676F" w:rsidP="0032199C">
                            <w:pPr>
                              <w:jc w:val="center"/>
                              <w:rPr>
                                <w:rFonts w:ascii="Arial Narrow" w:hAnsi="Arial Narrow" w:cstheme="minorHAnsi"/>
                                <w:sz w:val="96"/>
                              </w:rPr>
                            </w:pPr>
                            <w:r w:rsidRPr="005661BA">
                              <w:rPr>
                                <w:rFonts w:ascii="Arial Narrow" w:hAnsi="Arial Narrow" w:cstheme="minorHAnsi"/>
                                <w:b/>
                                <w:bCs/>
                                <w:sz w:val="52"/>
                                <w:lang w:val="pl-PL"/>
                              </w:rPr>
                              <w:t>Národný program reforiem Slovenskej republiky 201</w:t>
                            </w:r>
                            <w:r>
                              <w:rPr>
                                <w:rFonts w:ascii="Arial Narrow" w:hAnsi="Arial Narrow" w:cstheme="minorHAnsi"/>
                                <w:b/>
                                <w:bCs/>
                                <w:sz w:val="52"/>
                                <w:lang w:val="pl-PL"/>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F646F" id="_x0000_s1027" type="#_x0000_t202" style="position:absolute;margin-left:56.7pt;margin-top:428.25pt;width:320.3pt;height:134.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" stroked="f">
                <v:textbox>
                  <w:txbxContent>
                    <w:p w14:paraId="5555F0A4" w14:textId="77777777" w:rsidR="00EE676F" w:rsidRPr="005661BA" w:rsidRDefault="00EE676F" w:rsidP="0032199C">
                      <w:pPr>
                        <w:jc w:val="center"/>
                        <w:rPr>
                          <w:rFonts w:ascii="Arial Narrow" w:hAnsi="Arial Narrow" w:cstheme="minorHAnsi"/>
                          <w:sz w:val="96"/>
                        </w:rPr>
                      </w:pPr>
                      <w:r w:rsidRPr="005661BA">
                        <w:rPr>
                          <w:rFonts w:ascii="Arial Narrow" w:hAnsi="Arial Narrow" w:cstheme="minorHAnsi"/>
                          <w:b/>
                          <w:bCs/>
                          <w:sz w:val="52"/>
                          <w:lang w:val="pl-PL"/>
                        </w:rPr>
                        <w:t xml:space="preserve">Národný </w:t>
                      </w:r>
                      <w:r w:rsidRPr="005661BA">
                        <w:rPr>
                          <w:rFonts w:ascii="Arial Narrow" w:hAnsi="Arial Narrow" w:cstheme="minorHAnsi"/>
                          <w:b/>
                          <w:bCs/>
                          <w:sz w:val="52"/>
                          <w:lang w:val="pl-PL"/>
                        </w:rPr>
                        <w:t>program reforiem Slovenskej republiky 201</w:t>
                      </w:r>
                      <w:r>
                        <w:rPr>
                          <w:rFonts w:ascii="Arial Narrow" w:hAnsi="Arial Narrow" w:cstheme="minorHAnsi"/>
                          <w:b/>
                          <w:bCs/>
                          <w:sz w:val="52"/>
                          <w:lang w:val="pl-PL"/>
                        </w:rPr>
                        <w:t>9</w:t>
                      </w:r>
                    </w:p>
                  </w:txbxContent>
                </v:textbox>
                <w10:wrap anchorx="margin" anchory="page"/>
                <w10:anchorlock/>
              </v:shape>
            </w:pict>
          </mc:Fallback>
        </mc:AlternateContent>
      </w:r>
    </w:p>
    <w:p w14:paraId="0FA88630"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4F308C52"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1483F810"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25D04239"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41895854"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4D0E5D44"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3B1CCFDF"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5B5F7381"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77DEFF5D"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40F79B61"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7610B72B"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7A4FF224" w14:textId="77777777" w:rsidR="005B2D07" w:rsidRPr="004C54B9" w:rsidRDefault="005B2D07" w:rsidP="004C54B9">
      <w:pPr>
        <w:widowControl w:val="0"/>
        <w:autoSpaceDE w:val="0"/>
        <w:autoSpaceDN w:val="0"/>
        <w:adjustRightInd w:val="0"/>
        <w:spacing w:after="0" w:line="240" w:lineRule="auto"/>
        <w:rPr>
          <w:rFonts w:ascii="Arial Narrow" w:hAnsi="Arial Narrow"/>
          <w:b/>
        </w:rPr>
      </w:pPr>
    </w:p>
    <w:p w14:paraId="6809434A" w14:textId="77777777" w:rsidR="002E2D4D" w:rsidRPr="004C54B9" w:rsidRDefault="00C97621" w:rsidP="00880229">
      <w:pPr>
        <w:widowControl w:val="0"/>
        <w:tabs>
          <w:tab w:val="left" w:pos="2337"/>
        </w:tabs>
        <w:autoSpaceDE w:val="0"/>
        <w:autoSpaceDN w:val="0"/>
        <w:adjustRightInd w:val="0"/>
        <w:spacing w:after="0" w:line="240" w:lineRule="auto"/>
        <w:rPr>
          <w:rFonts w:ascii="Arial Narrow" w:hAnsi="Arial Narrow"/>
          <w:b/>
        </w:rPr>
      </w:pPr>
      <w:r w:rsidRPr="004C54B9">
        <w:rPr>
          <w:rFonts w:ascii="Arial Narrow" w:hAnsi="Arial Narrow"/>
          <w:b/>
        </w:rPr>
        <w:tab/>
      </w:r>
    </w:p>
    <w:p w14:paraId="46676398" w14:textId="77777777" w:rsidR="002E2D4D" w:rsidRPr="004C54B9" w:rsidRDefault="002E2D4D" w:rsidP="004C54B9">
      <w:pPr>
        <w:widowControl w:val="0"/>
        <w:autoSpaceDE w:val="0"/>
        <w:autoSpaceDN w:val="0"/>
        <w:adjustRightInd w:val="0"/>
        <w:spacing w:after="0" w:line="240" w:lineRule="auto"/>
        <w:rPr>
          <w:rFonts w:ascii="Arial Narrow" w:hAnsi="Arial Narrow"/>
          <w:b/>
        </w:rPr>
      </w:pPr>
    </w:p>
    <w:p w14:paraId="0764A5C6" w14:textId="77777777" w:rsidR="002E2D4D" w:rsidRPr="004C54B9" w:rsidRDefault="002E2D4D" w:rsidP="004C54B9">
      <w:pPr>
        <w:widowControl w:val="0"/>
        <w:autoSpaceDE w:val="0"/>
        <w:autoSpaceDN w:val="0"/>
        <w:adjustRightInd w:val="0"/>
        <w:spacing w:after="0" w:line="240" w:lineRule="auto"/>
        <w:rPr>
          <w:rFonts w:ascii="Arial Narrow" w:hAnsi="Arial Narrow"/>
          <w:b/>
        </w:rPr>
      </w:pPr>
    </w:p>
    <w:p w14:paraId="3B385174" w14:textId="77777777" w:rsidR="002E2D4D" w:rsidRPr="004C54B9" w:rsidRDefault="002E2D4D" w:rsidP="004C54B9">
      <w:pPr>
        <w:widowControl w:val="0"/>
        <w:autoSpaceDE w:val="0"/>
        <w:autoSpaceDN w:val="0"/>
        <w:adjustRightInd w:val="0"/>
        <w:spacing w:after="0" w:line="240" w:lineRule="auto"/>
        <w:rPr>
          <w:rFonts w:ascii="Arial Narrow" w:hAnsi="Arial Narrow"/>
          <w:b/>
        </w:rPr>
      </w:pPr>
    </w:p>
    <w:p w14:paraId="7A99B5A4" w14:textId="77777777" w:rsidR="002E2D4D" w:rsidRPr="004C54B9" w:rsidRDefault="00315573" w:rsidP="004C54B9">
      <w:pPr>
        <w:widowControl w:val="0"/>
        <w:autoSpaceDE w:val="0"/>
        <w:autoSpaceDN w:val="0"/>
        <w:adjustRightInd w:val="0"/>
        <w:spacing w:after="0" w:line="240" w:lineRule="auto"/>
        <w:rPr>
          <w:rFonts w:ascii="Arial Narrow" w:hAnsi="Arial Narrow"/>
          <w:b/>
        </w:rPr>
        <w:sectPr w:rsidR="002E2D4D" w:rsidRPr="004C54B9" w:rsidSect="005E6EFA">
          <w:headerReference w:type="default" r:id="rId9"/>
          <w:footerReference w:type="default" r:id="rId10"/>
          <w:type w:val="nextColumn"/>
          <w:pgSz w:w="11920" w:h="16840"/>
          <w:pgMar w:top="993" w:right="1678" w:bottom="280" w:left="1678" w:header="708" w:footer="708" w:gutter="0"/>
          <w:cols w:space="708"/>
          <w:noEndnote/>
        </w:sectPr>
      </w:pPr>
      <w:r w:rsidRPr="004C54B9">
        <w:rPr>
          <w:rFonts w:ascii="Arial Narrow" w:hAnsi="Arial Narrow"/>
          <w:noProof/>
          <w:lang w:val="en-GB" w:eastAsia="en-GB"/>
        </w:rPr>
        <mc:AlternateContent>
          <mc:Choice Requires="wps">
            <w:drawing>
              <wp:anchor distT="0" distB="0" distL="114300" distR="114300" simplePos="0" relativeHeight="251717632" behindDoc="0" locked="1" layoutInCell="1" allowOverlap="1" wp14:anchorId="4541E7F5" wp14:editId="0C6C8CB5">
                <wp:simplePos x="0" y="0"/>
                <wp:positionH relativeFrom="column">
                  <wp:posOffset>2048510</wp:posOffset>
                </wp:positionH>
                <wp:positionV relativeFrom="page">
                  <wp:posOffset>9879330</wp:posOffset>
                </wp:positionV>
                <wp:extent cx="1267200" cy="482400"/>
                <wp:effectExtent l="0" t="0" r="9525"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200" cy="482400"/>
                        </a:xfrm>
                        <a:prstGeom prst="rect">
                          <a:avLst/>
                        </a:prstGeom>
                        <a:solidFill>
                          <a:srgbClr val="FFFFFF"/>
                        </a:solidFill>
                        <a:ln w="9525">
                          <a:noFill/>
                          <a:miter lim="800000"/>
                          <a:headEnd/>
                          <a:tailEnd/>
                        </a:ln>
                      </wps:spPr>
                      <wps:txbx>
                        <w:txbxContent>
                          <w:p w14:paraId="0B334507" w14:textId="77777777" w:rsidR="00EE676F" w:rsidRPr="001E0231" w:rsidRDefault="00EE676F" w:rsidP="00315573">
                            <w:pPr>
                              <w:jc w:val="center"/>
                              <w:rPr>
                                <w:rFonts w:ascii="Arial Narrow" w:hAnsi="Arial Narrow" w:cs="Calibri"/>
                                <w:sz w:val="32"/>
                              </w:rPr>
                            </w:pPr>
                            <w:r w:rsidRPr="001E0231">
                              <w:rPr>
                                <w:rFonts w:ascii="Arial Narrow" w:hAnsi="Arial Narrow" w:cs="Calibri"/>
                                <w:sz w:val="32"/>
                              </w:rPr>
                              <w:t>apríl 201</w:t>
                            </w:r>
                            <w:r>
                              <w:rPr>
                                <w:rFonts w:ascii="Arial Narrow" w:hAnsi="Arial Narrow" w:cs="Calibri"/>
                                <w:sz w:val="3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1E7F5" id="_x0000_s1028" type="#_x0000_t202" style="position:absolute;margin-left:161.3pt;margin-top:777.9pt;width:99.8pt;height: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" stroked="f">
                <v:textbox>
                  <w:txbxContent>
                    <w:p w14:paraId="0B334507" w14:textId="77777777" w:rsidR="00EE676F" w:rsidRPr="001E0231" w:rsidRDefault="00EE676F" w:rsidP="00315573">
                      <w:pPr>
                        <w:jc w:val="center"/>
                        <w:rPr>
                          <w:rFonts w:ascii="Arial Narrow" w:hAnsi="Arial Narrow" w:cs="Calibri"/>
                          <w:sz w:val="32"/>
                        </w:rPr>
                      </w:pPr>
                      <w:r w:rsidRPr="001E0231">
                        <w:rPr>
                          <w:rFonts w:ascii="Arial Narrow" w:hAnsi="Arial Narrow" w:cs="Calibri"/>
                          <w:sz w:val="32"/>
                        </w:rPr>
                        <w:t>apríl 201</w:t>
                      </w:r>
                      <w:r>
                        <w:rPr>
                          <w:rFonts w:ascii="Arial Narrow" w:hAnsi="Arial Narrow" w:cs="Calibri"/>
                          <w:sz w:val="32"/>
                        </w:rPr>
                        <w:t>9</w:t>
                      </w:r>
                    </w:p>
                  </w:txbxContent>
                </v:textbox>
                <w10:wrap anchory="page"/>
                <w10:anchorlock/>
              </v:shape>
            </w:pict>
          </mc:Fallback>
        </mc:AlternateContent>
      </w:r>
    </w:p>
    <w:p w14:paraId="75DA40FF" w14:textId="77777777" w:rsidR="002E2D4D" w:rsidRPr="004C54B9" w:rsidRDefault="002E2D4D" w:rsidP="004C54B9">
      <w:pPr>
        <w:spacing w:after="0" w:line="240" w:lineRule="auto"/>
        <w:jc w:val="both"/>
        <w:rPr>
          <w:rFonts w:ascii="Arial Narrow" w:hAnsi="Arial Narrow"/>
          <w:b/>
        </w:rPr>
      </w:pPr>
      <w:bookmarkStart w:id="0" w:name="_Toc404013080"/>
    </w:p>
    <w:p w14:paraId="50FC708B" w14:textId="77777777" w:rsidR="002E2D4D" w:rsidRPr="004C54B9" w:rsidRDefault="002E2D4D" w:rsidP="004C54B9">
      <w:pPr>
        <w:spacing w:after="0" w:line="240" w:lineRule="auto"/>
        <w:jc w:val="both"/>
        <w:rPr>
          <w:rFonts w:ascii="Arial Narrow" w:hAnsi="Arial Narrow"/>
          <w:b/>
        </w:rPr>
      </w:pPr>
    </w:p>
    <w:p w14:paraId="7F7672B6" w14:textId="77777777" w:rsidR="002E2D4D" w:rsidRPr="004C54B9" w:rsidRDefault="002E2D4D" w:rsidP="004C54B9">
      <w:pPr>
        <w:spacing w:after="0" w:line="240" w:lineRule="auto"/>
        <w:jc w:val="both"/>
        <w:rPr>
          <w:rFonts w:ascii="Arial Narrow" w:hAnsi="Arial Narrow"/>
          <w:b/>
        </w:rPr>
      </w:pPr>
    </w:p>
    <w:p w14:paraId="7E1BB7BC" w14:textId="77777777" w:rsidR="00827618" w:rsidRPr="00895381" w:rsidRDefault="00E81DE6" w:rsidP="004C54B9">
      <w:pPr>
        <w:spacing w:after="0" w:line="240" w:lineRule="auto"/>
        <w:jc w:val="both"/>
        <w:rPr>
          <w:rFonts w:ascii="Arial Narrow" w:hAnsi="Arial Narrow"/>
          <w:i/>
          <w:sz w:val="32"/>
        </w:rPr>
      </w:pPr>
      <w:r w:rsidRPr="00895381">
        <w:rPr>
          <w:rFonts w:ascii="Arial Narrow" w:hAnsi="Arial Narrow"/>
          <w:b/>
          <w:sz w:val="32"/>
        </w:rPr>
        <w:t xml:space="preserve">Obsah </w:t>
      </w:r>
    </w:p>
    <w:sdt>
      <w:sdtPr>
        <w:rPr>
          <w:rFonts w:ascii="Arial Narrow" w:eastAsia="Times New Roman" w:hAnsi="Arial Narrow" w:cs="Times New Roman"/>
          <w:b w:val="0"/>
          <w:bCs w:val="0"/>
          <w:color w:val="auto"/>
          <w:sz w:val="22"/>
          <w:szCs w:val="22"/>
          <w:lang w:eastAsia="sk-SK"/>
        </w:rPr>
        <w:id w:val="865874715"/>
        <w:docPartObj>
          <w:docPartGallery w:val="Table of Contents"/>
          <w:docPartUnique/>
        </w:docPartObj>
      </w:sdtPr>
      <w:sdtEndPr/>
      <w:sdtContent>
        <w:p w14:paraId="08649ED0" w14:textId="77777777" w:rsidR="00827618" w:rsidRPr="00895381" w:rsidRDefault="00827618" w:rsidP="004C54B9">
          <w:pPr>
            <w:pStyle w:val="Hlavikaobsahu"/>
            <w:spacing w:line="240" w:lineRule="auto"/>
            <w:rPr>
              <w:rFonts w:ascii="Arial Narrow" w:hAnsi="Arial Narrow"/>
              <w:sz w:val="22"/>
              <w:szCs w:val="22"/>
            </w:rPr>
          </w:pPr>
        </w:p>
        <w:p w14:paraId="2D0E5848" w14:textId="77777777" w:rsidR="007F2923" w:rsidRPr="007F2923" w:rsidRDefault="00827618">
          <w:pPr>
            <w:pStyle w:val="Obsah1"/>
            <w:rPr>
              <w:rFonts w:ascii="Arial Narrow" w:eastAsiaTheme="minorEastAsia" w:hAnsi="Arial Narrow" w:cstheme="minorBidi"/>
              <w:lang w:val="en-GB" w:eastAsia="en-GB"/>
            </w:rPr>
          </w:pPr>
          <w:r w:rsidRPr="007F2923">
            <w:rPr>
              <w:rFonts w:ascii="Arial Narrow" w:hAnsi="Arial Narrow"/>
            </w:rPr>
            <w:fldChar w:fldCharType="begin"/>
          </w:r>
          <w:r w:rsidRPr="007F2923">
            <w:rPr>
              <w:rFonts w:ascii="Arial Narrow" w:hAnsi="Arial Narrow"/>
            </w:rPr>
            <w:instrText xml:space="preserve"> TOC \o "1-3" \h \z \u </w:instrText>
          </w:r>
          <w:r w:rsidRPr="007F2923">
            <w:rPr>
              <w:rFonts w:ascii="Arial Narrow" w:hAnsi="Arial Narrow"/>
            </w:rPr>
            <w:fldChar w:fldCharType="separate"/>
          </w:r>
          <w:hyperlink w:anchor="_Toc4766829" w:history="1">
            <w:r w:rsidR="007F2923" w:rsidRPr="007F2923">
              <w:rPr>
                <w:rStyle w:val="Hypertextovprepojenie"/>
                <w:rFonts w:ascii="Arial Narrow" w:hAnsi="Arial Narrow"/>
              </w:rPr>
              <w:t>Zhrnutie</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_Toc4766829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4</w:t>
            </w:r>
            <w:r w:rsidR="007F2923" w:rsidRPr="007F2923">
              <w:rPr>
                <w:rFonts w:ascii="Arial Narrow" w:hAnsi="Arial Narrow"/>
                <w:webHidden/>
              </w:rPr>
              <w:fldChar w:fldCharType="end"/>
            </w:r>
          </w:hyperlink>
        </w:p>
        <w:p w14:paraId="1A5D8632" w14:textId="77777777" w:rsidR="007F2923" w:rsidRPr="007F2923" w:rsidRDefault="005952C3">
          <w:pPr>
            <w:pStyle w:val="Obsah1"/>
            <w:rPr>
              <w:rFonts w:ascii="Arial Narrow" w:eastAsiaTheme="minorEastAsia" w:hAnsi="Arial Narrow" w:cstheme="minorBidi"/>
              <w:lang w:val="en-GB" w:eastAsia="en-GB"/>
            </w:rPr>
          </w:pPr>
          <w:hyperlink w:anchor="_Toc4766830" w:history="1">
            <w:r w:rsidR="007F2923" w:rsidRPr="007F2923">
              <w:rPr>
                <w:rStyle w:val="Hypertextovprepojenie"/>
                <w:rFonts w:ascii="Arial Narrow" w:hAnsi="Arial Narrow"/>
              </w:rPr>
              <w:t>1</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hAnsi="Arial Narrow"/>
              </w:rPr>
              <w:t>Identifikácia výziev slovenskej ekonomiky</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_Toc4766830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6</w:t>
            </w:r>
            <w:r w:rsidR="007F2923" w:rsidRPr="007F2923">
              <w:rPr>
                <w:rFonts w:ascii="Arial Narrow" w:hAnsi="Arial Narrow"/>
                <w:webHidden/>
              </w:rPr>
              <w:fldChar w:fldCharType="end"/>
            </w:r>
          </w:hyperlink>
        </w:p>
        <w:p w14:paraId="10F1DCF2" w14:textId="77777777" w:rsidR="007F2923" w:rsidRPr="007F2923" w:rsidRDefault="005952C3">
          <w:pPr>
            <w:pStyle w:val="Obsah1"/>
            <w:rPr>
              <w:rFonts w:ascii="Arial Narrow" w:eastAsiaTheme="minorEastAsia" w:hAnsi="Arial Narrow" w:cstheme="minorBidi"/>
              <w:lang w:val="en-GB" w:eastAsia="en-GB"/>
            </w:rPr>
          </w:pPr>
          <w:hyperlink w:anchor="_Toc4766831" w:history="1">
            <w:r w:rsidR="007F2923" w:rsidRPr="007F2923">
              <w:rPr>
                <w:rStyle w:val="Hypertextovprepojenie"/>
                <w:rFonts w:ascii="Arial Narrow" w:hAnsi="Arial Narrow"/>
              </w:rPr>
              <w:t>2</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hAnsi="Arial Narrow"/>
              </w:rPr>
              <w:t>Opatrenia prijaté v roku 2018</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_Toc4766831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8</w:t>
            </w:r>
            <w:r w:rsidR="007F2923" w:rsidRPr="007F2923">
              <w:rPr>
                <w:rFonts w:ascii="Arial Narrow" w:hAnsi="Arial Narrow"/>
                <w:webHidden/>
              </w:rPr>
              <w:fldChar w:fldCharType="end"/>
            </w:r>
          </w:hyperlink>
        </w:p>
        <w:p w14:paraId="29B5ECE8" w14:textId="77777777" w:rsidR="007F2923" w:rsidRPr="007F2923" w:rsidRDefault="005952C3">
          <w:pPr>
            <w:pStyle w:val="Obsah1"/>
            <w:rPr>
              <w:rFonts w:ascii="Arial Narrow" w:eastAsiaTheme="minorEastAsia" w:hAnsi="Arial Narrow" w:cstheme="minorBidi"/>
              <w:lang w:val="en-GB" w:eastAsia="en-GB"/>
            </w:rPr>
          </w:pPr>
          <w:hyperlink w:anchor="_Toc4766832" w:history="1">
            <w:r w:rsidR="007F2923" w:rsidRPr="007F2923">
              <w:rPr>
                <w:rStyle w:val="Hypertextovprepojenie"/>
                <w:rFonts w:ascii="Arial Narrow" w:hAnsi="Arial Narrow"/>
              </w:rPr>
              <w:t>3</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hAnsi="Arial Narrow"/>
              </w:rPr>
              <w:t>Makroekonomický rámec a strednodobá prognóza</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_Toc4766832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18</w:t>
            </w:r>
            <w:r w:rsidR="007F2923" w:rsidRPr="007F2923">
              <w:rPr>
                <w:rFonts w:ascii="Arial Narrow" w:hAnsi="Arial Narrow"/>
                <w:webHidden/>
              </w:rPr>
              <w:fldChar w:fldCharType="end"/>
            </w:r>
          </w:hyperlink>
        </w:p>
        <w:p w14:paraId="434E5493" w14:textId="77777777" w:rsidR="007F2923" w:rsidRPr="007F2923" w:rsidRDefault="005952C3">
          <w:pPr>
            <w:pStyle w:val="Obsah1"/>
            <w:rPr>
              <w:rFonts w:ascii="Arial Narrow" w:eastAsiaTheme="minorEastAsia" w:hAnsi="Arial Narrow" w:cstheme="minorBidi"/>
              <w:lang w:val="en-GB" w:eastAsia="en-GB"/>
            </w:rPr>
          </w:pPr>
          <w:hyperlink w:anchor="_Toc4766833" w:history="1">
            <w:r w:rsidR="007F2923" w:rsidRPr="007F2923">
              <w:rPr>
                <w:rStyle w:val="Hypertextovprepojenie"/>
                <w:rFonts w:ascii="Arial Narrow" w:hAnsi="Arial Narrow"/>
              </w:rPr>
              <w:t>4</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hAnsi="Arial Narrow"/>
              </w:rPr>
              <w:t>Plánované opatrenia v štrukturálnych témach</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_Toc4766833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21</w:t>
            </w:r>
            <w:r w:rsidR="007F2923" w:rsidRPr="007F2923">
              <w:rPr>
                <w:rFonts w:ascii="Arial Narrow" w:hAnsi="Arial Narrow"/>
                <w:webHidden/>
              </w:rPr>
              <w:fldChar w:fldCharType="end"/>
            </w:r>
          </w:hyperlink>
        </w:p>
        <w:p w14:paraId="2F0F7281" w14:textId="77777777" w:rsidR="007F2923" w:rsidRPr="007F2923" w:rsidRDefault="005952C3">
          <w:pPr>
            <w:pStyle w:val="Obsah2"/>
            <w:rPr>
              <w:rFonts w:ascii="Arial Narrow" w:eastAsiaTheme="minorEastAsia" w:hAnsi="Arial Narrow" w:cstheme="minorBidi"/>
              <w:lang w:val="en-GB" w:eastAsia="en-GB"/>
            </w:rPr>
          </w:pPr>
          <w:hyperlink w:anchor="_Toc4766834" w:history="1">
            <w:r w:rsidR="007F2923" w:rsidRPr="007F2923">
              <w:rPr>
                <w:rStyle w:val="Hypertextovprepojenie"/>
                <w:rFonts w:ascii="Arial Narrow" w:hAnsi="Arial Narrow"/>
              </w:rPr>
              <w:t>4.1</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hAnsi="Arial Narrow"/>
              </w:rPr>
              <w:t>Fiškálna politika a verejné financie</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_Toc4766834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22</w:t>
            </w:r>
            <w:r w:rsidR="007F2923" w:rsidRPr="007F2923">
              <w:rPr>
                <w:rFonts w:ascii="Arial Narrow" w:hAnsi="Arial Narrow"/>
                <w:webHidden/>
              </w:rPr>
              <w:fldChar w:fldCharType="end"/>
            </w:r>
          </w:hyperlink>
        </w:p>
        <w:p w14:paraId="7EA8964D" w14:textId="77777777" w:rsidR="007F2923" w:rsidRPr="007F2923" w:rsidRDefault="005952C3">
          <w:pPr>
            <w:pStyle w:val="Obsah2"/>
            <w:rPr>
              <w:rFonts w:ascii="Arial Narrow" w:eastAsiaTheme="minorEastAsia" w:hAnsi="Arial Narrow" w:cstheme="minorBidi"/>
              <w:lang w:val="en-GB" w:eastAsia="en-GB"/>
            </w:rPr>
          </w:pPr>
          <w:hyperlink w:anchor="_Toc4766835" w:history="1">
            <w:r w:rsidR="007F2923" w:rsidRPr="007F2923">
              <w:rPr>
                <w:rStyle w:val="Hypertextovprepojenie"/>
                <w:rFonts w:ascii="Arial Narrow" w:hAnsi="Arial Narrow"/>
              </w:rPr>
              <w:t>4.2</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hAnsi="Arial Narrow"/>
              </w:rPr>
              <w:t>Vzdelávanie, veda a inovácie</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_Toc4766835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24</w:t>
            </w:r>
            <w:r w:rsidR="007F2923" w:rsidRPr="007F2923">
              <w:rPr>
                <w:rFonts w:ascii="Arial Narrow" w:hAnsi="Arial Narrow"/>
                <w:webHidden/>
              </w:rPr>
              <w:fldChar w:fldCharType="end"/>
            </w:r>
          </w:hyperlink>
        </w:p>
        <w:p w14:paraId="249B0734" w14:textId="77777777" w:rsidR="007F2923" w:rsidRPr="007F2923" w:rsidRDefault="005952C3">
          <w:pPr>
            <w:pStyle w:val="Obsah2"/>
            <w:rPr>
              <w:rFonts w:ascii="Arial Narrow" w:eastAsiaTheme="minorEastAsia" w:hAnsi="Arial Narrow" w:cstheme="minorBidi"/>
              <w:lang w:val="en-GB" w:eastAsia="en-GB"/>
            </w:rPr>
          </w:pPr>
          <w:hyperlink w:anchor="_Toc4766836" w:history="1">
            <w:r w:rsidR="007F2923" w:rsidRPr="007F2923">
              <w:rPr>
                <w:rStyle w:val="Hypertextovprepojenie"/>
                <w:rFonts w:ascii="Arial Narrow" w:eastAsiaTheme="majorEastAsia" w:hAnsi="Arial Narrow" w:cstheme="majorBidi"/>
                <w:bCs/>
              </w:rPr>
              <w:t>4.2.1</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eastAsiaTheme="majorEastAsia" w:hAnsi="Arial Narrow" w:cstheme="majorBidi"/>
                <w:bCs/>
              </w:rPr>
              <w:t>Regionálne školstvo</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_Toc4766836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26</w:t>
            </w:r>
            <w:r w:rsidR="007F2923" w:rsidRPr="007F2923">
              <w:rPr>
                <w:rFonts w:ascii="Arial Narrow" w:hAnsi="Arial Narrow"/>
                <w:webHidden/>
              </w:rPr>
              <w:fldChar w:fldCharType="end"/>
            </w:r>
          </w:hyperlink>
        </w:p>
        <w:p w14:paraId="6A7019D9" w14:textId="77777777" w:rsidR="007F2923" w:rsidRPr="007F2923" w:rsidRDefault="005952C3">
          <w:pPr>
            <w:pStyle w:val="Obsah2"/>
            <w:rPr>
              <w:rFonts w:ascii="Arial Narrow" w:eastAsiaTheme="minorEastAsia" w:hAnsi="Arial Narrow" w:cstheme="minorBidi"/>
              <w:lang w:val="en-GB" w:eastAsia="en-GB"/>
            </w:rPr>
          </w:pPr>
          <w:hyperlink w:anchor="_Toc4766837" w:history="1">
            <w:r w:rsidR="007F2923" w:rsidRPr="007F2923">
              <w:rPr>
                <w:rStyle w:val="Hypertextovprepojenie"/>
                <w:rFonts w:ascii="Arial Narrow" w:eastAsiaTheme="majorEastAsia" w:hAnsi="Arial Narrow" w:cstheme="majorBidi"/>
                <w:bCs/>
              </w:rPr>
              <w:t>4.2.2</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eastAsiaTheme="majorEastAsia" w:hAnsi="Arial Narrow" w:cstheme="majorBidi"/>
                <w:bCs/>
              </w:rPr>
              <w:t>Vysoké školstvo, výskum a vývoj</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_Toc4766837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28</w:t>
            </w:r>
            <w:r w:rsidR="007F2923" w:rsidRPr="007F2923">
              <w:rPr>
                <w:rFonts w:ascii="Arial Narrow" w:hAnsi="Arial Narrow"/>
                <w:webHidden/>
              </w:rPr>
              <w:fldChar w:fldCharType="end"/>
            </w:r>
          </w:hyperlink>
        </w:p>
        <w:p w14:paraId="699C905E" w14:textId="77777777" w:rsidR="007F2923" w:rsidRPr="007F2923" w:rsidRDefault="005952C3">
          <w:pPr>
            <w:pStyle w:val="Obsah2"/>
            <w:rPr>
              <w:rFonts w:ascii="Arial Narrow" w:eastAsiaTheme="minorEastAsia" w:hAnsi="Arial Narrow" w:cstheme="minorBidi"/>
              <w:lang w:val="en-GB" w:eastAsia="en-GB"/>
            </w:rPr>
          </w:pPr>
          <w:hyperlink w:anchor="_Toc4766838" w:history="1">
            <w:r w:rsidR="007F2923" w:rsidRPr="007F2923">
              <w:rPr>
                <w:rStyle w:val="Hypertextovprepojenie"/>
                <w:rFonts w:ascii="Arial Narrow" w:hAnsi="Arial Narrow"/>
              </w:rPr>
              <w:t>4.3</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hAnsi="Arial Narrow"/>
              </w:rPr>
              <w:t>Zamestnanosť, penzijný systém a sociálna inklúzia</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_Toc4766838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30</w:t>
            </w:r>
            <w:r w:rsidR="007F2923" w:rsidRPr="007F2923">
              <w:rPr>
                <w:rFonts w:ascii="Arial Narrow" w:hAnsi="Arial Narrow"/>
                <w:webHidden/>
              </w:rPr>
              <w:fldChar w:fldCharType="end"/>
            </w:r>
          </w:hyperlink>
        </w:p>
        <w:p w14:paraId="365B4DA0" w14:textId="77777777" w:rsidR="007F2923" w:rsidRPr="007F2923" w:rsidRDefault="005952C3">
          <w:pPr>
            <w:pStyle w:val="Obsah2"/>
            <w:rPr>
              <w:rFonts w:ascii="Arial Narrow" w:eastAsiaTheme="minorEastAsia" w:hAnsi="Arial Narrow" w:cstheme="minorBidi"/>
              <w:lang w:val="en-GB" w:eastAsia="en-GB"/>
            </w:rPr>
          </w:pPr>
          <w:hyperlink w:anchor="_Toc4766839" w:history="1">
            <w:r w:rsidR="007F2923" w:rsidRPr="007F2923">
              <w:rPr>
                <w:rStyle w:val="Hypertextovprepojenie"/>
                <w:rFonts w:ascii="Arial Narrow" w:eastAsiaTheme="majorEastAsia" w:hAnsi="Arial Narrow" w:cstheme="majorBidi"/>
                <w:bCs/>
              </w:rPr>
              <w:t>4.3.1</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eastAsiaTheme="majorEastAsia" w:hAnsi="Arial Narrow" w:cstheme="majorBidi"/>
                <w:bCs/>
              </w:rPr>
              <w:t>Zamestnanosť</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_Toc4766839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32</w:t>
            </w:r>
            <w:r w:rsidR="007F2923" w:rsidRPr="007F2923">
              <w:rPr>
                <w:rFonts w:ascii="Arial Narrow" w:hAnsi="Arial Narrow"/>
                <w:webHidden/>
              </w:rPr>
              <w:fldChar w:fldCharType="end"/>
            </w:r>
          </w:hyperlink>
        </w:p>
        <w:p w14:paraId="67BDC70B" w14:textId="77777777" w:rsidR="007F2923" w:rsidRPr="007F2923" w:rsidRDefault="005952C3">
          <w:pPr>
            <w:pStyle w:val="Obsah2"/>
            <w:rPr>
              <w:rFonts w:ascii="Arial Narrow" w:eastAsiaTheme="minorEastAsia" w:hAnsi="Arial Narrow" w:cstheme="minorBidi"/>
              <w:lang w:val="en-GB" w:eastAsia="en-GB"/>
            </w:rPr>
          </w:pPr>
          <w:hyperlink w:anchor="_Toc4766840" w:history="1">
            <w:r w:rsidR="007F2923" w:rsidRPr="007F2923">
              <w:rPr>
                <w:rStyle w:val="Hypertextovprepojenie"/>
                <w:rFonts w:ascii="Arial Narrow" w:eastAsiaTheme="majorEastAsia" w:hAnsi="Arial Narrow" w:cstheme="majorBidi"/>
                <w:bCs/>
              </w:rPr>
              <w:t>4.3.2</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eastAsiaTheme="majorEastAsia" w:hAnsi="Arial Narrow" w:cstheme="majorBidi"/>
                <w:bCs/>
              </w:rPr>
              <w:t>Penzijný systém</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_Toc4766840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36</w:t>
            </w:r>
            <w:r w:rsidR="007F2923" w:rsidRPr="007F2923">
              <w:rPr>
                <w:rFonts w:ascii="Arial Narrow" w:hAnsi="Arial Narrow"/>
                <w:webHidden/>
              </w:rPr>
              <w:fldChar w:fldCharType="end"/>
            </w:r>
          </w:hyperlink>
        </w:p>
        <w:p w14:paraId="7689DB9E" w14:textId="77777777" w:rsidR="007F2923" w:rsidRPr="007F2923" w:rsidRDefault="005952C3">
          <w:pPr>
            <w:pStyle w:val="Obsah2"/>
            <w:rPr>
              <w:rFonts w:ascii="Arial Narrow" w:eastAsiaTheme="minorEastAsia" w:hAnsi="Arial Narrow" w:cstheme="minorBidi"/>
              <w:lang w:val="en-GB" w:eastAsia="en-GB"/>
            </w:rPr>
          </w:pPr>
          <w:hyperlink w:anchor="_Toc4766841" w:history="1">
            <w:r w:rsidR="007F2923" w:rsidRPr="007F2923">
              <w:rPr>
                <w:rStyle w:val="Hypertextovprepojenie"/>
                <w:rFonts w:ascii="Arial Narrow" w:eastAsiaTheme="majorEastAsia" w:hAnsi="Arial Narrow" w:cstheme="majorBidi"/>
                <w:bCs/>
              </w:rPr>
              <w:t>4.3.3</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eastAsiaTheme="majorEastAsia" w:hAnsi="Arial Narrow" w:cstheme="majorBidi"/>
                <w:bCs/>
              </w:rPr>
              <w:t>Sociálna inklúzia</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_Toc4766841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37</w:t>
            </w:r>
            <w:r w:rsidR="007F2923" w:rsidRPr="007F2923">
              <w:rPr>
                <w:rFonts w:ascii="Arial Narrow" w:hAnsi="Arial Narrow"/>
                <w:webHidden/>
              </w:rPr>
              <w:fldChar w:fldCharType="end"/>
            </w:r>
          </w:hyperlink>
        </w:p>
        <w:p w14:paraId="21BB2872" w14:textId="77777777" w:rsidR="007F2923" w:rsidRPr="007F2923" w:rsidRDefault="005952C3">
          <w:pPr>
            <w:pStyle w:val="Obsah2"/>
            <w:rPr>
              <w:rFonts w:ascii="Arial Narrow" w:eastAsiaTheme="minorEastAsia" w:hAnsi="Arial Narrow" w:cstheme="minorBidi"/>
              <w:lang w:val="en-GB" w:eastAsia="en-GB"/>
            </w:rPr>
          </w:pPr>
          <w:hyperlink w:anchor="_Toc4766842" w:history="1">
            <w:r w:rsidR="007F2923" w:rsidRPr="007F2923">
              <w:rPr>
                <w:rStyle w:val="Hypertextovprepojenie"/>
                <w:rFonts w:ascii="Arial Narrow" w:hAnsi="Arial Narrow"/>
              </w:rPr>
              <w:t>4.4</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hAnsi="Arial Narrow"/>
              </w:rPr>
              <w:t>Zdravie</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_Toc4766842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39</w:t>
            </w:r>
            <w:r w:rsidR="007F2923" w:rsidRPr="007F2923">
              <w:rPr>
                <w:rFonts w:ascii="Arial Narrow" w:hAnsi="Arial Narrow"/>
                <w:webHidden/>
              </w:rPr>
              <w:fldChar w:fldCharType="end"/>
            </w:r>
          </w:hyperlink>
        </w:p>
        <w:p w14:paraId="240B748F" w14:textId="77777777" w:rsidR="007F2923" w:rsidRPr="007F2923" w:rsidRDefault="005952C3">
          <w:pPr>
            <w:pStyle w:val="Obsah2"/>
            <w:rPr>
              <w:rFonts w:ascii="Arial Narrow" w:eastAsiaTheme="minorEastAsia" w:hAnsi="Arial Narrow" w:cstheme="minorBidi"/>
              <w:lang w:val="en-GB" w:eastAsia="en-GB"/>
            </w:rPr>
          </w:pPr>
          <w:hyperlink w:anchor="_Toc4766843" w:history="1">
            <w:r w:rsidR="007F2923" w:rsidRPr="007F2923">
              <w:rPr>
                <w:rStyle w:val="Hypertextovprepojenie"/>
                <w:rFonts w:ascii="Arial Narrow" w:hAnsi="Arial Narrow"/>
              </w:rPr>
              <w:t>4.5</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hAnsi="Arial Narrow"/>
              </w:rPr>
              <w:t>Modernizácia verejnej správy a podnikateľské prostredie</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_Toc4766843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44</w:t>
            </w:r>
            <w:r w:rsidR="007F2923" w:rsidRPr="007F2923">
              <w:rPr>
                <w:rFonts w:ascii="Arial Narrow" w:hAnsi="Arial Narrow"/>
                <w:webHidden/>
              </w:rPr>
              <w:fldChar w:fldCharType="end"/>
            </w:r>
          </w:hyperlink>
        </w:p>
        <w:p w14:paraId="66834EF0" w14:textId="77777777" w:rsidR="007F2923" w:rsidRPr="007F2923" w:rsidRDefault="005952C3">
          <w:pPr>
            <w:pStyle w:val="Obsah2"/>
            <w:rPr>
              <w:rFonts w:ascii="Arial Narrow" w:eastAsiaTheme="minorEastAsia" w:hAnsi="Arial Narrow" w:cstheme="minorBidi"/>
              <w:lang w:val="en-GB" w:eastAsia="en-GB"/>
            </w:rPr>
          </w:pPr>
          <w:hyperlink w:anchor="_Toc4766844" w:history="1">
            <w:r w:rsidR="007F2923" w:rsidRPr="007F2923">
              <w:rPr>
                <w:rStyle w:val="Hypertextovprepojenie"/>
                <w:rFonts w:ascii="Arial Narrow" w:hAnsi="Arial Narrow"/>
              </w:rPr>
              <w:t>4.5.1</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hAnsi="Arial Narrow"/>
              </w:rPr>
              <w:t>Modernizácia verejnej správy</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_Toc4766844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46</w:t>
            </w:r>
            <w:r w:rsidR="007F2923" w:rsidRPr="007F2923">
              <w:rPr>
                <w:rFonts w:ascii="Arial Narrow" w:hAnsi="Arial Narrow"/>
                <w:webHidden/>
              </w:rPr>
              <w:fldChar w:fldCharType="end"/>
            </w:r>
          </w:hyperlink>
        </w:p>
        <w:p w14:paraId="567847D8" w14:textId="77777777" w:rsidR="007F2923" w:rsidRPr="007F2923" w:rsidRDefault="005952C3">
          <w:pPr>
            <w:pStyle w:val="Obsah2"/>
            <w:rPr>
              <w:rFonts w:ascii="Arial Narrow" w:eastAsiaTheme="minorEastAsia" w:hAnsi="Arial Narrow" w:cstheme="minorBidi"/>
              <w:lang w:val="en-GB" w:eastAsia="en-GB"/>
            </w:rPr>
          </w:pPr>
          <w:hyperlink w:anchor="_Toc4766845" w:history="1">
            <w:r w:rsidR="007F2923" w:rsidRPr="007F2923">
              <w:rPr>
                <w:rStyle w:val="Hypertextovprepojenie"/>
                <w:rFonts w:ascii="Arial Narrow" w:hAnsi="Arial Narrow"/>
              </w:rPr>
              <w:t>4.5.2</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hAnsi="Arial Narrow"/>
              </w:rPr>
              <w:t>Podnikateľské prostredie</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_Toc4766845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47</w:t>
            </w:r>
            <w:r w:rsidR="007F2923" w:rsidRPr="007F2923">
              <w:rPr>
                <w:rFonts w:ascii="Arial Narrow" w:hAnsi="Arial Narrow"/>
                <w:webHidden/>
              </w:rPr>
              <w:fldChar w:fldCharType="end"/>
            </w:r>
          </w:hyperlink>
        </w:p>
        <w:p w14:paraId="5F691092" w14:textId="77777777" w:rsidR="007F2923" w:rsidRPr="007F2923" w:rsidRDefault="005952C3">
          <w:pPr>
            <w:pStyle w:val="Obsah2"/>
            <w:rPr>
              <w:rFonts w:ascii="Arial Narrow" w:eastAsiaTheme="minorEastAsia" w:hAnsi="Arial Narrow" w:cstheme="minorBidi"/>
              <w:lang w:val="en-GB" w:eastAsia="en-GB"/>
            </w:rPr>
          </w:pPr>
          <w:hyperlink w:anchor="_Toc4766846" w:history="1">
            <w:r w:rsidR="007F2923" w:rsidRPr="007F2923">
              <w:rPr>
                <w:rStyle w:val="Hypertextovprepojenie"/>
                <w:rFonts w:ascii="Arial Narrow" w:hAnsi="Arial Narrow"/>
              </w:rPr>
              <w:t>4.5.3</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hAnsi="Arial Narrow"/>
              </w:rPr>
              <w:t>IT a dopravná infraštruktúra</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_Toc4766846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48</w:t>
            </w:r>
            <w:r w:rsidR="007F2923" w:rsidRPr="007F2923">
              <w:rPr>
                <w:rFonts w:ascii="Arial Narrow" w:hAnsi="Arial Narrow"/>
                <w:webHidden/>
              </w:rPr>
              <w:fldChar w:fldCharType="end"/>
            </w:r>
          </w:hyperlink>
        </w:p>
        <w:p w14:paraId="5CAD887B" w14:textId="77777777" w:rsidR="007F2923" w:rsidRPr="007F2923" w:rsidRDefault="005952C3">
          <w:pPr>
            <w:pStyle w:val="Obsah2"/>
            <w:rPr>
              <w:rFonts w:ascii="Arial Narrow" w:eastAsiaTheme="minorEastAsia" w:hAnsi="Arial Narrow" w:cstheme="minorBidi"/>
              <w:lang w:val="en-GB" w:eastAsia="en-GB"/>
            </w:rPr>
          </w:pPr>
          <w:hyperlink w:anchor="_Toc4766847" w:history="1">
            <w:r w:rsidR="007F2923" w:rsidRPr="007F2923">
              <w:rPr>
                <w:rStyle w:val="Hypertextovprepojenie"/>
                <w:rFonts w:ascii="Arial Narrow" w:hAnsi="Arial Narrow"/>
              </w:rPr>
              <w:t>4.6</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hAnsi="Arial Narrow"/>
              </w:rPr>
              <w:t>Environmentálna udržateľnosť a energetika</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_Toc4766847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49</w:t>
            </w:r>
            <w:r w:rsidR="007F2923" w:rsidRPr="007F2923">
              <w:rPr>
                <w:rFonts w:ascii="Arial Narrow" w:hAnsi="Arial Narrow"/>
                <w:webHidden/>
              </w:rPr>
              <w:fldChar w:fldCharType="end"/>
            </w:r>
          </w:hyperlink>
        </w:p>
        <w:p w14:paraId="0859AF8D" w14:textId="77777777" w:rsidR="007F2923" w:rsidRPr="007F2923" w:rsidRDefault="005952C3">
          <w:pPr>
            <w:pStyle w:val="Obsah1"/>
            <w:rPr>
              <w:rFonts w:ascii="Arial Narrow" w:eastAsiaTheme="minorEastAsia" w:hAnsi="Arial Narrow" w:cstheme="minorBidi"/>
              <w:lang w:val="en-GB" w:eastAsia="en-GB"/>
            </w:rPr>
          </w:pPr>
          <w:hyperlink w:anchor="_Toc4766848" w:history="1">
            <w:r w:rsidR="007F2923" w:rsidRPr="007F2923">
              <w:rPr>
                <w:rStyle w:val="Hypertextovprepojenie"/>
                <w:rFonts w:ascii="Arial Narrow" w:hAnsi="Arial Narrow"/>
              </w:rPr>
              <w:t>5</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hAnsi="Arial Narrow"/>
              </w:rPr>
              <w:t>Politika súdržnosti EÚ</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_Toc4766848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51</w:t>
            </w:r>
            <w:r w:rsidR="007F2923" w:rsidRPr="007F2923">
              <w:rPr>
                <w:rFonts w:ascii="Arial Narrow" w:hAnsi="Arial Narrow"/>
                <w:webHidden/>
              </w:rPr>
              <w:fldChar w:fldCharType="end"/>
            </w:r>
          </w:hyperlink>
        </w:p>
        <w:p w14:paraId="73B07808" w14:textId="77777777" w:rsidR="007F2923" w:rsidRPr="007F2923" w:rsidRDefault="005952C3">
          <w:pPr>
            <w:pStyle w:val="Obsah1"/>
            <w:rPr>
              <w:rFonts w:ascii="Arial Narrow" w:eastAsiaTheme="minorEastAsia" w:hAnsi="Arial Narrow" w:cstheme="minorBidi"/>
              <w:lang w:val="en-GB" w:eastAsia="en-GB"/>
            </w:rPr>
          </w:pPr>
          <w:hyperlink w:anchor="_Toc4766849" w:history="1">
            <w:r w:rsidR="007F2923" w:rsidRPr="007F2923">
              <w:rPr>
                <w:rStyle w:val="Hypertextovprepojenie"/>
                <w:rFonts w:ascii="Arial Narrow" w:eastAsiaTheme="majorEastAsia" w:hAnsi="Arial Narrow" w:cs="Arial Narrow"/>
              </w:rPr>
              <w:t>6</w:t>
            </w:r>
            <w:r w:rsidR="007F2923" w:rsidRPr="007F2923">
              <w:rPr>
                <w:rFonts w:ascii="Arial Narrow" w:eastAsiaTheme="minorEastAsia" w:hAnsi="Arial Narrow" w:cstheme="minorBidi"/>
                <w:lang w:val="en-GB" w:eastAsia="en-GB"/>
              </w:rPr>
              <w:tab/>
            </w:r>
            <w:r w:rsidR="007F2923" w:rsidRPr="007F2923">
              <w:rPr>
                <w:rStyle w:val="Hypertextovprepojenie"/>
                <w:rFonts w:ascii="Arial Narrow" w:eastAsiaTheme="majorEastAsia" w:hAnsi="Arial Narrow" w:cstheme="majorBidi"/>
                <w:bCs/>
              </w:rPr>
              <w:t>Inštitucionálny rámec stratégie Európa 2020 a NPR</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_Toc4766849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53</w:t>
            </w:r>
            <w:r w:rsidR="007F2923" w:rsidRPr="007F2923">
              <w:rPr>
                <w:rFonts w:ascii="Arial Narrow" w:hAnsi="Arial Narrow"/>
                <w:webHidden/>
              </w:rPr>
              <w:fldChar w:fldCharType="end"/>
            </w:r>
          </w:hyperlink>
        </w:p>
        <w:p w14:paraId="53F9B381" w14:textId="77777777" w:rsidR="007F2923" w:rsidRPr="007F2923" w:rsidRDefault="005952C3">
          <w:pPr>
            <w:pStyle w:val="Obsah1"/>
            <w:rPr>
              <w:rFonts w:ascii="Arial Narrow" w:eastAsiaTheme="minorEastAsia" w:hAnsi="Arial Narrow" w:cstheme="minorBidi"/>
              <w:lang w:val="en-GB" w:eastAsia="en-GB"/>
            </w:rPr>
          </w:pPr>
          <w:hyperlink w:anchor="_Toc4766850" w:history="1">
            <w:r w:rsidR="007F2923" w:rsidRPr="007F2923">
              <w:rPr>
                <w:rStyle w:val="Hypertextovprepojenie"/>
                <w:rFonts w:ascii="Arial Narrow" w:eastAsiaTheme="majorEastAsia" w:hAnsi="Arial Narrow" w:cstheme="majorBidi"/>
                <w:bCs/>
              </w:rPr>
              <w:t>Príloha č. 1: Národné ciele stratégie Európa 2020 a iné indikátory</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_Toc4766850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54</w:t>
            </w:r>
            <w:r w:rsidR="007F2923" w:rsidRPr="007F2923">
              <w:rPr>
                <w:rFonts w:ascii="Arial Narrow" w:hAnsi="Arial Narrow"/>
                <w:webHidden/>
              </w:rPr>
              <w:fldChar w:fldCharType="end"/>
            </w:r>
          </w:hyperlink>
        </w:p>
        <w:p w14:paraId="2D684B95" w14:textId="77777777" w:rsidR="007F2923" w:rsidRPr="007F2923" w:rsidRDefault="005952C3">
          <w:pPr>
            <w:pStyle w:val="Obsah1"/>
            <w:rPr>
              <w:rFonts w:ascii="Arial Narrow" w:eastAsiaTheme="minorEastAsia" w:hAnsi="Arial Narrow" w:cstheme="minorBidi"/>
              <w:lang w:val="en-GB" w:eastAsia="en-GB"/>
            </w:rPr>
          </w:pPr>
          <w:hyperlink w:anchor="_Toc4766851" w:history="1">
            <w:r w:rsidR="007F2923" w:rsidRPr="007F2923">
              <w:rPr>
                <w:rStyle w:val="Hypertextovprepojenie"/>
                <w:rFonts w:ascii="Arial Narrow" w:eastAsiaTheme="majorEastAsia" w:hAnsi="Arial Narrow" w:cstheme="majorBidi"/>
                <w:bCs/>
              </w:rPr>
              <w:t>Príloha č. 6: Odpočet kľúčových opatrení z Programového vyhlásenia vlády SR 2016 až 2020</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_Toc4766851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58</w:t>
            </w:r>
            <w:r w:rsidR="007F2923" w:rsidRPr="007F2923">
              <w:rPr>
                <w:rFonts w:ascii="Arial Narrow" w:hAnsi="Arial Narrow"/>
                <w:webHidden/>
              </w:rPr>
              <w:fldChar w:fldCharType="end"/>
            </w:r>
          </w:hyperlink>
        </w:p>
        <w:p w14:paraId="1528664D" w14:textId="77777777" w:rsidR="007F2923" w:rsidRPr="007F2923" w:rsidRDefault="005952C3">
          <w:pPr>
            <w:pStyle w:val="Obsah1"/>
            <w:rPr>
              <w:rFonts w:ascii="Arial Narrow" w:eastAsiaTheme="minorEastAsia" w:hAnsi="Arial Narrow" w:cstheme="minorBidi"/>
              <w:lang w:val="en-GB" w:eastAsia="en-GB"/>
            </w:rPr>
          </w:pPr>
          <w:hyperlink w:anchor="_Toc4766852" w:history="1">
            <w:r w:rsidR="007F2923" w:rsidRPr="007F2923">
              <w:rPr>
                <w:rStyle w:val="Hypertextovprepojenie"/>
                <w:rFonts w:ascii="Arial Narrow" w:eastAsiaTheme="majorEastAsia" w:hAnsi="Arial Narrow" w:cstheme="majorBidi"/>
                <w:bCs/>
              </w:rPr>
              <w:t>Príloha č. 7: Opatrenia prijaté na elimináciu dopadov prípadného vystúpenia Spojeného kráľovstva Veľkej Británie a Severného Írska  z Európskej únie bez dohody</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_Toc4766852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66</w:t>
            </w:r>
            <w:r w:rsidR="007F2923" w:rsidRPr="007F2923">
              <w:rPr>
                <w:rFonts w:ascii="Arial Narrow" w:hAnsi="Arial Narrow"/>
                <w:webHidden/>
              </w:rPr>
              <w:fldChar w:fldCharType="end"/>
            </w:r>
          </w:hyperlink>
        </w:p>
        <w:p w14:paraId="49E96346" w14:textId="77777777" w:rsidR="007F2923" w:rsidRPr="007F2923" w:rsidRDefault="005952C3">
          <w:pPr>
            <w:pStyle w:val="Obsah1"/>
            <w:rPr>
              <w:rFonts w:ascii="Arial Narrow" w:eastAsiaTheme="minorEastAsia" w:hAnsi="Arial Narrow" w:cstheme="minorBidi"/>
              <w:lang w:val="en-GB" w:eastAsia="en-GB"/>
            </w:rPr>
          </w:pPr>
          <w:hyperlink w:anchor="_Toc4766853" w:history="1">
            <w:r w:rsidR="007F2923" w:rsidRPr="007F2923">
              <w:rPr>
                <w:rStyle w:val="Hypertextovprepojenie"/>
                <w:rFonts w:ascii="Arial Narrow" w:eastAsiaTheme="majorEastAsia" w:hAnsi="Arial Narrow" w:cstheme="majorBidi"/>
                <w:bCs/>
              </w:rPr>
              <w:t>Príloha č. 8: Zoznam skratiek</w:t>
            </w:r>
            <w:r w:rsidR="007F2923" w:rsidRPr="007F2923">
              <w:rPr>
                <w:rFonts w:ascii="Arial Narrow" w:hAnsi="Arial Narrow"/>
                <w:webHidden/>
              </w:rPr>
              <w:tab/>
            </w:r>
            <w:r w:rsidR="007F2923" w:rsidRPr="007F2923">
              <w:rPr>
                <w:rFonts w:ascii="Arial Narrow" w:hAnsi="Arial Narrow"/>
                <w:webHidden/>
              </w:rPr>
              <w:fldChar w:fldCharType="begin"/>
            </w:r>
            <w:r w:rsidR="007F2923" w:rsidRPr="007F2923">
              <w:rPr>
                <w:rFonts w:ascii="Arial Narrow" w:hAnsi="Arial Narrow"/>
                <w:webHidden/>
              </w:rPr>
              <w:instrText xml:space="preserve"> PAGEREF _Toc4766853 \h </w:instrText>
            </w:r>
            <w:r w:rsidR="007F2923" w:rsidRPr="007F2923">
              <w:rPr>
                <w:rFonts w:ascii="Arial Narrow" w:hAnsi="Arial Narrow"/>
                <w:webHidden/>
              </w:rPr>
            </w:r>
            <w:r w:rsidR="007F2923" w:rsidRPr="007F2923">
              <w:rPr>
                <w:rFonts w:ascii="Arial Narrow" w:hAnsi="Arial Narrow"/>
                <w:webHidden/>
              </w:rPr>
              <w:fldChar w:fldCharType="separate"/>
            </w:r>
            <w:r w:rsidR="007F2923" w:rsidRPr="007F2923">
              <w:rPr>
                <w:rFonts w:ascii="Arial Narrow" w:hAnsi="Arial Narrow"/>
                <w:webHidden/>
              </w:rPr>
              <w:t>69</w:t>
            </w:r>
            <w:r w:rsidR="007F2923" w:rsidRPr="007F2923">
              <w:rPr>
                <w:rFonts w:ascii="Arial Narrow" w:hAnsi="Arial Narrow"/>
                <w:webHidden/>
              </w:rPr>
              <w:fldChar w:fldCharType="end"/>
            </w:r>
          </w:hyperlink>
        </w:p>
        <w:p w14:paraId="05D43A78" w14:textId="316E4221" w:rsidR="00827618" w:rsidRPr="00895381" w:rsidRDefault="00827618" w:rsidP="004C54B9">
          <w:pPr>
            <w:spacing w:line="240" w:lineRule="auto"/>
            <w:rPr>
              <w:rFonts w:ascii="Arial Narrow" w:hAnsi="Arial Narrow"/>
            </w:rPr>
          </w:pPr>
          <w:r w:rsidRPr="007F2923">
            <w:rPr>
              <w:rFonts w:ascii="Arial Narrow" w:hAnsi="Arial Narrow"/>
              <w:bCs/>
            </w:rPr>
            <w:fldChar w:fldCharType="end"/>
          </w:r>
        </w:p>
      </w:sdtContent>
    </w:sdt>
    <w:p w14:paraId="39D3CC9C" w14:textId="77777777" w:rsidR="0089051B" w:rsidRPr="004C54B9" w:rsidRDefault="0089051B" w:rsidP="004C54B9">
      <w:pPr>
        <w:spacing w:after="0" w:line="240" w:lineRule="auto"/>
        <w:rPr>
          <w:rFonts w:ascii="Arial Narrow" w:hAnsi="Arial Narrow"/>
          <w:b/>
        </w:rPr>
      </w:pPr>
      <w:r w:rsidRPr="004C54B9">
        <w:rPr>
          <w:rFonts w:ascii="Arial Narrow" w:hAnsi="Arial Narrow"/>
          <w:b/>
        </w:rPr>
        <w:br w:type="page"/>
      </w:r>
    </w:p>
    <w:p w14:paraId="0D5D4D4C" w14:textId="77777777" w:rsidR="00E81DE6" w:rsidRPr="005A735A" w:rsidRDefault="005D29C8" w:rsidP="004C54B9">
      <w:pPr>
        <w:pBdr>
          <w:bottom w:val="single" w:sz="4" w:space="1" w:color="auto"/>
        </w:pBdr>
        <w:spacing w:after="120" w:line="240" w:lineRule="auto"/>
        <w:rPr>
          <w:rFonts w:ascii="Arial Narrow" w:hAnsi="Arial Narrow" w:cs="Arial Narrow"/>
          <w:b/>
        </w:rPr>
      </w:pPr>
      <w:r w:rsidRPr="005A735A">
        <w:rPr>
          <w:rFonts w:ascii="Arial Narrow" w:hAnsi="Arial Narrow" w:cs="Arial Narrow"/>
          <w:b/>
        </w:rPr>
        <w:lastRenderedPageBreak/>
        <w:t>Zoznam boxov</w:t>
      </w:r>
    </w:p>
    <w:p w14:paraId="02E191B7" w14:textId="71701227" w:rsidR="007C219D" w:rsidRDefault="005952C3" w:rsidP="007C219D">
      <w:pPr>
        <w:pStyle w:val="Zoznamobrzkov"/>
        <w:tabs>
          <w:tab w:val="right" w:leader="dot" w:pos="8554"/>
        </w:tabs>
        <w:rPr>
          <w:rStyle w:val="Hypertextovprepojenie"/>
          <w:rFonts w:ascii="Arial Narrow" w:eastAsiaTheme="majorEastAsia" w:hAnsi="Arial Narrow"/>
          <w:noProof/>
        </w:rPr>
      </w:pPr>
      <w:hyperlink w:anchor="_Toc3573954" w:history="1">
        <w:r w:rsidR="007C219D">
          <w:rPr>
            <w:rStyle w:val="Hypertextovprepojenie"/>
            <w:rFonts w:ascii="Arial Narrow" w:eastAsiaTheme="majorEastAsia" w:hAnsi="Arial Narrow"/>
            <w:bCs/>
            <w:noProof/>
            <w:color w:val="000000" w:themeColor="text1"/>
            <w:u w:val="none"/>
          </w:rPr>
          <w:t>Box 1</w:t>
        </w:r>
        <w:r w:rsidR="007C219D">
          <w:rPr>
            <w:rStyle w:val="Hypertextovprepojenie"/>
            <w:rFonts w:ascii="Arial Narrow" w:eastAsiaTheme="majorEastAsia" w:hAnsi="Arial Narrow" w:cs="Arial"/>
            <w:noProof/>
            <w:color w:val="000000" w:themeColor="text1"/>
            <w:u w:val="none"/>
          </w:rPr>
          <w:t xml:space="preserve">: </w:t>
        </w:r>
        <w:r w:rsidR="007C219D" w:rsidRPr="007C219D">
          <w:rPr>
            <w:rFonts w:ascii="Arial Narrow" w:eastAsia="NeueHaasGroteskText W02" w:hAnsi="Arial Narrow" w:cs="Arial"/>
            <w:bCs/>
            <w:color w:val="000000" w:themeColor="text1"/>
            <w:szCs w:val="18"/>
            <w:u w:color="2C9ADC"/>
          </w:rPr>
          <w:t xml:space="preserve">Očakávaný vplyv </w:t>
        </w:r>
        <w:proofErr w:type="spellStart"/>
        <w:r w:rsidR="007C219D" w:rsidRPr="007C219D">
          <w:rPr>
            <w:rFonts w:ascii="Arial Narrow" w:eastAsia="NeueHaasGroteskText W02" w:hAnsi="Arial Narrow" w:cs="Arial"/>
            <w:bCs/>
            <w:color w:val="000000" w:themeColor="text1"/>
            <w:szCs w:val="18"/>
            <w:u w:color="2C9ADC"/>
          </w:rPr>
          <w:t>Brexitu</w:t>
        </w:r>
        <w:proofErr w:type="spellEnd"/>
        <w:r w:rsidR="007C219D" w:rsidRPr="007C219D">
          <w:rPr>
            <w:rFonts w:ascii="Arial Narrow" w:eastAsia="NeueHaasGroteskText W02" w:hAnsi="Arial Narrow" w:cs="Arial"/>
            <w:bCs/>
            <w:color w:val="000000" w:themeColor="text1"/>
            <w:szCs w:val="18"/>
            <w:u w:color="2C9ADC"/>
          </w:rPr>
          <w:t xml:space="preserve"> na slovenskú ekonomiku</w:t>
        </w:r>
        <w:r w:rsidR="007C219D" w:rsidRPr="005A735A">
          <w:rPr>
            <w:rFonts w:ascii="Arial Narrow" w:hAnsi="Arial Narrow"/>
            <w:noProof/>
            <w:webHidden/>
          </w:rPr>
          <w:tab/>
        </w:r>
        <w:r w:rsidR="007C219D">
          <w:rPr>
            <w:rFonts w:ascii="Arial Narrow" w:hAnsi="Arial Narrow"/>
            <w:noProof/>
            <w:webHidden/>
          </w:rPr>
          <w:t>2</w:t>
        </w:r>
        <w:r w:rsidR="00574FE7">
          <w:rPr>
            <w:rFonts w:ascii="Arial Narrow" w:hAnsi="Arial Narrow"/>
            <w:noProof/>
            <w:webHidden/>
          </w:rPr>
          <w:t>0</w:t>
        </w:r>
      </w:hyperlink>
    </w:p>
    <w:p w14:paraId="5F0EBC94" w14:textId="79403FB3" w:rsidR="007C219D" w:rsidRPr="007C219D" w:rsidRDefault="005952C3" w:rsidP="007C219D">
      <w:pPr>
        <w:pStyle w:val="Zoznamobrzkov"/>
        <w:tabs>
          <w:tab w:val="right" w:leader="dot" w:pos="8554"/>
        </w:tabs>
        <w:rPr>
          <w:rStyle w:val="Hypertextovprepojenie"/>
          <w:rFonts w:ascii="Arial Narrow" w:eastAsiaTheme="majorEastAsia" w:hAnsi="Arial Narrow"/>
          <w:noProof/>
        </w:rPr>
      </w:pPr>
      <w:hyperlink w:anchor="_Toc3573954" w:history="1">
        <w:r w:rsidR="007C219D" w:rsidRPr="007C219D">
          <w:rPr>
            <w:rStyle w:val="Hypertextovprepojenie"/>
            <w:rFonts w:ascii="Arial Narrow" w:eastAsiaTheme="majorEastAsia" w:hAnsi="Arial Narrow"/>
            <w:bCs/>
            <w:noProof/>
            <w:color w:val="000000" w:themeColor="text1"/>
            <w:u w:val="none"/>
          </w:rPr>
          <w:t>Box 2</w:t>
        </w:r>
        <w:r w:rsidR="007C219D" w:rsidRPr="007C219D">
          <w:rPr>
            <w:rStyle w:val="Hypertextovprepojenie"/>
            <w:rFonts w:ascii="Arial Narrow" w:eastAsiaTheme="majorEastAsia" w:hAnsi="Arial Narrow" w:cs="Arial"/>
            <w:noProof/>
            <w:color w:val="000000" w:themeColor="text1"/>
            <w:u w:val="none"/>
          </w:rPr>
          <w:t xml:space="preserve">: </w:t>
        </w:r>
        <w:r w:rsidR="007C219D" w:rsidRPr="007C219D">
          <w:rPr>
            <w:rFonts w:ascii="Arial Narrow" w:hAnsi="Arial Narrow"/>
          </w:rPr>
          <w:t>Podpora nájomného bývania v kontexte zvýšenia mobility pracovnej sily</w:t>
        </w:r>
        <w:r w:rsidR="007C219D" w:rsidRPr="007C219D">
          <w:rPr>
            <w:rFonts w:ascii="Arial Narrow" w:hAnsi="Arial Narrow"/>
            <w:noProof/>
            <w:webHidden/>
          </w:rPr>
          <w:tab/>
        </w:r>
        <w:r w:rsidR="007C219D">
          <w:rPr>
            <w:rFonts w:ascii="Arial Narrow" w:hAnsi="Arial Narrow"/>
            <w:noProof/>
            <w:webHidden/>
          </w:rPr>
          <w:t>3</w:t>
        </w:r>
        <w:r w:rsidR="00574FE7">
          <w:rPr>
            <w:rFonts w:ascii="Arial Narrow" w:hAnsi="Arial Narrow"/>
            <w:noProof/>
            <w:webHidden/>
          </w:rPr>
          <w:t>4</w:t>
        </w:r>
      </w:hyperlink>
    </w:p>
    <w:p w14:paraId="51777319" w14:textId="45631A99" w:rsidR="00457D71" w:rsidRPr="00457D71" w:rsidRDefault="005952C3" w:rsidP="007C219D">
      <w:pPr>
        <w:pStyle w:val="Zoznamobrzkov"/>
        <w:tabs>
          <w:tab w:val="right" w:leader="dot" w:pos="8554"/>
        </w:tabs>
        <w:rPr>
          <w:rStyle w:val="Hypertextovprepojenie"/>
          <w:rFonts w:ascii="Arial Narrow" w:eastAsiaTheme="majorEastAsia" w:hAnsi="Arial Narrow"/>
          <w:noProof/>
        </w:rPr>
      </w:pPr>
      <w:hyperlink w:anchor="_Toc3573954" w:history="1">
        <w:r w:rsidR="00457D71">
          <w:rPr>
            <w:rStyle w:val="Hypertextovprepojenie"/>
            <w:rFonts w:ascii="Arial Narrow" w:eastAsiaTheme="majorEastAsia" w:hAnsi="Arial Narrow"/>
            <w:bCs/>
            <w:noProof/>
            <w:color w:val="000000" w:themeColor="text1"/>
            <w:u w:val="none"/>
          </w:rPr>
          <w:t>Box 3</w:t>
        </w:r>
        <w:r w:rsidR="00457D71">
          <w:rPr>
            <w:rStyle w:val="Hypertextovprepojenie"/>
            <w:rFonts w:ascii="Arial Narrow" w:eastAsiaTheme="majorEastAsia" w:hAnsi="Arial Narrow" w:cs="Arial"/>
            <w:noProof/>
            <w:color w:val="000000" w:themeColor="text1"/>
            <w:u w:val="none"/>
          </w:rPr>
          <w:t xml:space="preserve">: </w:t>
        </w:r>
        <w:r w:rsidR="00457D71" w:rsidRPr="00457D71">
          <w:rPr>
            <w:rStyle w:val="Hypertextovprepojenie"/>
            <w:rFonts w:ascii="Arial Narrow" w:eastAsiaTheme="majorEastAsia" w:hAnsi="Arial Narrow" w:cs="Arial"/>
            <w:noProof/>
            <w:color w:val="000000" w:themeColor="text1"/>
            <w:u w:val="none"/>
          </w:rPr>
          <w:t>Zavedenie predvolenej sporiacej stratégie v II. pilieri</w:t>
        </w:r>
        <w:r w:rsidR="00457D71" w:rsidRPr="007C219D">
          <w:rPr>
            <w:rFonts w:ascii="Arial Narrow" w:hAnsi="Arial Narrow"/>
            <w:noProof/>
            <w:webHidden/>
          </w:rPr>
          <w:tab/>
        </w:r>
        <w:r w:rsidR="00574FE7">
          <w:rPr>
            <w:rFonts w:ascii="Arial Narrow" w:hAnsi="Arial Narrow"/>
            <w:noProof/>
            <w:webHidden/>
          </w:rPr>
          <w:t>36</w:t>
        </w:r>
      </w:hyperlink>
    </w:p>
    <w:p w14:paraId="19160DC9" w14:textId="4F68CFC5" w:rsidR="007C219D" w:rsidRPr="007C219D" w:rsidRDefault="005952C3" w:rsidP="007C219D">
      <w:pPr>
        <w:pStyle w:val="Zoznamobrzkov"/>
        <w:tabs>
          <w:tab w:val="right" w:leader="dot" w:pos="8554"/>
        </w:tabs>
        <w:rPr>
          <w:rStyle w:val="Hypertextovprepojenie"/>
          <w:rFonts w:ascii="Arial Narrow" w:eastAsiaTheme="majorEastAsia" w:hAnsi="Arial Narrow"/>
          <w:noProof/>
        </w:rPr>
      </w:pPr>
      <w:hyperlink w:anchor="_Toc3573954" w:history="1">
        <w:r w:rsidR="00457D71">
          <w:rPr>
            <w:rStyle w:val="Hypertextovprepojenie"/>
            <w:rFonts w:ascii="Arial Narrow" w:eastAsiaTheme="majorEastAsia" w:hAnsi="Arial Narrow"/>
            <w:bCs/>
            <w:noProof/>
            <w:color w:val="000000" w:themeColor="text1"/>
            <w:u w:val="none"/>
          </w:rPr>
          <w:t>Box 4</w:t>
        </w:r>
        <w:r w:rsidR="007C219D" w:rsidRPr="007C219D">
          <w:rPr>
            <w:rStyle w:val="Hypertextovprepojenie"/>
            <w:rFonts w:ascii="Arial Narrow" w:eastAsiaTheme="majorEastAsia" w:hAnsi="Arial Narrow" w:cs="Arial"/>
            <w:noProof/>
            <w:color w:val="000000" w:themeColor="text1"/>
            <w:u w:val="none"/>
          </w:rPr>
          <w:t xml:space="preserve">: </w:t>
        </w:r>
        <w:r w:rsidR="007C219D" w:rsidRPr="007C219D">
          <w:rPr>
            <w:rFonts w:ascii="Arial Narrow" w:hAnsi="Arial Narrow"/>
          </w:rPr>
          <w:t>Sociálna inklúzia rómskej populácie</w:t>
        </w:r>
        <w:r w:rsidR="007C219D" w:rsidRPr="007C219D">
          <w:rPr>
            <w:rFonts w:ascii="Arial Narrow" w:hAnsi="Arial Narrow"/>
            <w:noProof/>
            <w:webHidden/>
          </w:rPr>
          <w:tab/>
        </w:r>
        <w:r w:rsidR="00574FE7">
          <w:rPr>
            <w:rFonts w:ascii="Arial Narrow" w:hAnsi="Arial Narrow"/>
            <w:noProof/>
            <w:webHidden/>
          </w:rPr>
          <w:t>37</w:t>
        </w:r>
      </w:hyperlink>
    </w:p>
    <w:p w14:paraId="4F6B212B" w14:textId="77777777" w:rsidR="00A64FEB" w:rsidRPr="004C54B9" w:rsidRDefault="00A64FEB" w:rsidP="004C54B9">
      <w:pPr>
        <w:spacing w:line="240" w:lineRule="auto"/>
        <w:rPr>
          <w:rFonts w:ascii="Arial Narrow" w:hAnsi="Arial Narrow"/>
          <w:highlight w:val="yellow"/>
        </w:rPr>
      </w:pPr>
    </w:p>
    <w:p w14:paraId="5BE4502D" w14:textId="77777777" w:rsidR="005D29C8" w:rsidRPr="005A735A" w:rsidRDefault="005D29C8" w:rsidP="004C54B9">
      <w:pPr>
        <w:pBdr>
          <w:bottom w:val="single" w:sz="4" w:space="1" w:color="auto"/>
        </w:pBdr>
        <w:spacing w:after="120" w:line="240" w:lineRule="auto"/>
        <w:rPr>
          <w:rFonts w:ascii="Arial Narrow" w:hAnsi="Arial Narrow" w:cs="Arial Narrow"/>
          <w:b/>
        </w:rPr>
      </w:pPr>
      <w:r w:rsidRPr="005A735A">
        <w:rPr>
          <w:rFonts w:ascii="Arial Narrow" w:hAnsi="Arial Narrow" w:cs="Arial Narrow"/>
          <w:b/>
        </w:rPr>
        <w:t>Zoznam grafov</w:t>
      </w:r>
    </w:p>
    <w:bookmarkEnd w:id="0"/>
    <w:p w14:paraId="10695FD8" w14:textId="77777777" w:rsidR="001E6559" w:rsidRPr="001E6559" w:rsidRDefault="005D29C8">
      <w:pPr>
        <w:pStyle w:val="Zoznamobrzkov"/>
        <w:tabs>
          <w:tab w:val="right" w:leader="dot" w:pos="8554"/>
        </w:tabs>
        <w:rPr>
          <w:rFonts w:ascii="Arial Narrow" w:eastAsiaTheme="minorEastAsia" w:hAnsi="Arial Narrow" w:cstheme="minorBidi"/>
          <w:noProof/>
          <w:lang w:val="en-GB" w:eastAsia="en-GB"/>
        </w:rPr>
      </w:pPr>
      <w:r w:rsidRPr="001E6559">
        <w:rPr>
          <w:rFonts w:ascii="Arial Narrow" w:hAnsi="Arial Narrow"/>
          <w:highlight w:val="yellow"/>
        </w:rPr>
        <w:fldChar w:fldCharType="begin"/>
      </w:r>
      <w:r w:rsidRPr="001E6559">
        <w:rPr>
          <w:rFonts w:ascii="Arial Narrow" w:hAnsi="Arial Narrow"/>
          <w:highlight w:val="yellow"/>
        </w:rPr>
        <w:instrText xml:space="preserve"> TOC \h \z \c "Graf" </w:instrText>
      </w:r>
      <w:r w:rsidRPr="001E6559">
        <w:rPr>
          <w:rFonts w:ascii="Arial Narrow" w:hAnsi="Arial Narrow"/>
          <w:highlight w:val="yellow"/>
        </w:rPr>
        <w:fldChar w:fldCharType="separate"/>
      </w:r>
      <w:hyperlink w:anchor="_Toc4625950" w:history="1">
        <w:r w:rsidR="001E6559" w:rsidRPr="001E6559">
          <w:rPr>
            <w:rStyle w:val="Hypertextovprepojenie"/>
            <w:rFonts w:ascii="Arial Narrow" w:eastAsiaTheme="majorEastAsia" w:hAnsi="Arial Narrow"/>
            <w:bCs/>
            <w:noProof/>
          </w:rPr>
          <w:t>Graf 1</w:t>
        </w:r>
        <w:r w:rsidR="001E6559" w:rsidRPr="001E6559">
          <w:rPr>
            <w:rStyle w:val="Hypertextovprepojenie"/>
            <w:rFonts w:ascii="Arial Narrow" w:eastAsiaTheme="majorEastAsia" w:hAnsi="Arial Narrow" w:cs="Arial"/>
            <w:noProof/>
          </w:rPr>
          <w:t>: Hlavné výsledkové ukazovatele, štandardná odchýlka od priemeru OECD a EÚ</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_Toc4625950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6</w:t>
        </w:r>
        <w:r w:rsidR="001E6559" w:rsidRPr="001E6559">
          <w:rPr>
            <w:rFonts w:ascii="Arial Narrow" w:hAnsi="Arial Narrow"/>
            <w:noProof/>
            <w:webHidden/>
          </w:rPr>
          <w:fldChar w:fldCharType="end"/>
        </w:r>
      </w:hyperlink>
    </w:p>
    <w:p w14:paraId="358E8F67"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51" w:history="1">
        <w:r w:rsidR="001E6559" w:rsidRPr="001E6559">
          <w:rPr>
            <w:rStyle w:val="Hypertextovprepojenie"/>
            <w:rFonts w:ascii="Arial Narrow" w:eastAsiaTheme="majorEastAsia" w:hAnsi="Arial Narrow"/>
            <w:bCs/>
            <w:noProof/>
          </w:rPr>
          <w:t>Graf 2</w:t>
        </w:r>
        <w:r w:rsidR="001E6559" w:rsidRPr="001E6559">
          <w:rPr>
            <w:rStyle w:val="Hypertextovprepojenie"/>
            <w:rFonts w:ascii="Arial Narrow" w:eastAsiaTheme="majorEastAsia" w:hAnsi="Arial Narrow" w:cs="Arial"/>
            <w:noProof/>
          </w:rPr>
          <w:t>: „Disagregácia“ hlavných výsledkových ukazovateľov pomocou doplnkových indikátorov, štandardná odchýlka od priemeru OECD a EÚ</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_Toc4625951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6</w:t>
        </w:r>
        <w:r w:rsidR="001E6559" w:rsidRPr="001E6559">
          <w:rPr>
            <w:rFonts w:ascii="Arial Narrow" w:hAnsi="Arial Narrow"/>
            <w:noProof/>
            <w:webHidden/>
          </w:rPr>
          <w:fldChar w:fldCharType="end"/>
        </w:r>
      </w:hyperlink>
    </w:p>
    <w:p w14:paraId="39202328"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52" w:history="1">
        <w:r w:rsidR="001E6559" w:rsidRPr="001E6559">
          <w:rPr>
            <w:rStyle w:val="Hypertextovprepojenie"/>
            <w:rFonts w:ascii="Arial Narrow" w:eastAsiaTheme="majorEastAsia" w:hAnsi="Arial Narrow"/>
            <w:noProof/>
          </w:rPr>
          <w:t xml:space="preserve">Graf 3: </w:t>
        </w:r>
        <w:r w:rsidR="001E6559" w:rsidRPr="001E6559">
          <w:rPr>
            <w:rStyle w:val="Hypertextovprepojenie"/>
            <w:rFonts w:ascii="Arial Narrow" w:eastAsiaTheme="majorEastAsia" w:hAnsi="Arial Narrow" w:cs="Arial"/>
            <w:noProof/>
          </w:rPr>
          <w:t>Príspevky k rastu HDP na Slovensku, 2011 – 2021 (v p. b.)</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_Toc4625952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19</w:t>
        </w:r>
        <w:r w:rsidR="001E6559" w:rsidRPr="001E6559">
          <w:rPr>
            <w:rFonts w:ascii="Arial Narrow" w:hAnsi="Arial Narrow"/>
            <w:noProof/>
            <w:webHidden/>
          </w:rPr>
          <w:fldChar w:fldCharType="end"/>
        </w:r>
      </w:hyperlink>
    </w:p>
    <w:p w14:paraId="20F18CFA"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53" w:history="1">
        <w:r w:rsidR="001E6559" w:rsidRPr="001E6559">
          <w:rPr>
            <w:rStyle w:val="Hypertextovprepojenie"/>
            <w:rFonts w:ascii="Arial Narrow" w:eastAsiaTheme="majorEastAsia" w:hAnsi="Arial Narrow"/>
            <w:noProof/>
          </w:rPr>
          <w:t xml:space="preserve">Graf 4: </w:t>
        </w:r>
        <w:r w:rsidR="001E6559" w:rsidRPr="001E6559">
          <w:rPr>
            <w:rStyle w:val="Hypertextovprepojenie"/>
            <w:rFonts w:ascii="Arial Narrow" w:eastAsiaTheme="majorEastAsia" w:hAnsi="Arial Narrow" w:cs="Arial"/>
            <w:noProof/>
          </w:rPr>
          <w:t>Štruktúra spotrebiteľskej inflácie – medziročné príspevky zložiek CPI (v p. b.)</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_Toc4625953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19</w:t>
        </w:r>
        <w:r w:rsidR="001E6559" w:rsidRPr="001E6559">
          <w:rPr>
            <w:rFonts w:ascii="Arial Narrow" w:hAnsi="Arial Narrow"/>
            <w:noProof/>
            <w:webHidden/>
          </w:rPr>
          <w:fldChar w:fldCharType="end"/>
        </w:r>
      </w:hyperlink>
    </w:p>
    <w:p w14:paraId="6DBA0552"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54" w:history="1">
        <w:r w:rsidR="001E6559" w:rsidRPr="001E6559">
          <w:rPr>
            <w:rStyle w:val="Hypertextovprepojenie"/>
            <w:rFonts w:ascii="Arial Narrow" w:eastAsiaTheme="majorEastAsia" w:hAnsi="Arial Narrow"/>
            <w:noProof/>
          </w:rPr>
          <w:t xml:space="preserve">Graf 5:  </w:t>
        </w:r>
        <w:r w:rsidR="001E6559" w:rsidRPr="001E6559">
          <w:rPr>
            <w:rStyle w:val="Hypertextovprepojenie"/>
            <w:rFonts w:ascii="Arial Narrow" w:eastAsiaTheme="majorEastAsia" w:hAnsi="Arial Narrow" w:cs="Arial"/>
            <w:noProof/>
          </w:rPr>
          <w:t>Daňová medzera na DPH (% potenciálneho výnosu), národná aj EK metodika</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_Toc4625954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22</w:t>
        </w:r>
        <w:r w:rsidR="001E6559" w:rsidRPr="001E6559">
          <w:rPr>
            <w:rFonts w:ascii="Arial Narrow" w:hAnsi="Arial Narrow"/>
            <w:noProof/>
            <w:webHidden/>
          </w:rPr>
          <w:fldChar w:fldCharType="end"/>
        </w:r>
      </w:hyperlink>
    </w:p>
    <w:p w14:paraId="146B04F7"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55" w:history="1">
        <w:r w:rsidR="001E6559" w:rsidRPr="001E6559">
          <w:rPr>
            <w:rStyle w:val="Hypertextovprepojenie"/>
            <w:rFonts w:ascii="Arial Narrow" w:eastAsiaTheme="majorEastAsia" w:hAnsi="Arial Narrow"/>
            <w:noProof/>
          </w:rPr>
          <w:t xml:space="preserve">Graf 6: </w:t>
        </w:r>
        <w:r w:rsidR="001E6559" w:rsidRPr="001E6559">
          <w:rPr>
            <w:rStyle w:val="Hypertextovprepojenie"/>
            <w:rFonts w:ascii="Arial Narrow" w:eastAsiaTheme="majorEastAsia" w:hAnsi="Arial Narrow" w:cs="Arial"/>
            <w:noProof/>
          </w:rPr>
          <w:t>Zmena daňovej medzery na DPH v EÚ (2016)</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_Toc4625955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22</w:t>
        </w:r>
        <w:r w:rsidR="001E6559" w:rsidRPr="001E6559">
          <w:rPr>
            <w:rFonts w:ascii="Arial Narrow" w:hAnsi="Arial Narrow"/>
            <w:noProof/>
            <w:webHidden/>
          </w:rPr>
          <w:fldChar w:fldCharType="end"/>
        </w:r>
      </w:hyperlink>
    </w:p>
    <w:p w14:paraId="68AA3A0A"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56" w:history="1">
        <w:r w:rsidR="001E6559" w:rsidRPr="001E6559">
          <w:rPr>
            <w:rStyle w:val="Hypertextovprepojenie"/>
            <w:rFonts w:ascii="Arial Narrow" w:eastAsiaTheme="majorEastAsia" w:hAnsi="Arial Narrow"/>
            <w:bCs/>
            <w:noProof/>
          </w:rPr>
          <w:t>Graf 7:</w:t>
        </w:r>
        <w:r w:rsidR="001E6559" w:rsidRPr="001E6559">
          <w:rPr>
            <w:rStyle w:val="Hypertextovprepojenie"/>
            <w:rFonts w:ascii="Arial Narrow" w:eastAsiaTheme="majorEastAsia" w:hAnsi="Arial Narrow" w:cs="Arial"/>
            <w:bCs/>
            <w:noProof/>
          </w:rPr>
          <w:t xml:space="preserve">  Verejné výdavky na vzdelávanie, 2015</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_Toc4625956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25</w:t>
        </w:r>
        <w:r w:rsidR="001E6559" w:rsidRPr="001E6559">
          <w:rPr>
            <w:rFonts w:ascii="Arial Narrow" w:hAnsi="Arial Narrow"/>
            <w:noProof/>
            <w:webHidden/>
          </w:rPr>
          <w:fldChar w:fldCharType="end"/>
        </w:r>
      </w:hyperlink>
    </w:p>
    <w:p w14:paraId="65818851"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57" w:history="1">
        <w:r w:rsidR="001E6559" w:rsidRPr="001E6559">
          <w:rPr>
            <w:rStyle w:val="Hypertextovprepojenie"/>
            <w:rFonts w:ascii="Arial Narrow" w:eastAsiaTheme="majorEastAsia" w:hAnsi="Arial Narrow" w:cs="Arial"/>
            <w:bCs/>
            <w:noProof/>
          </w:rPr>
          <w:t>Graf 8: Priemerné platy pedagógov druhého stupňa ZŠ v pomere k platom zamestnancov s VŠ vzdelaním (2016)</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_Toc4625957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25</w:t>
        </w:r>
        <w:r w:rsidR="001E6559" w:rsidRPr="001E6559">
          <w:rPr>
            <w:rFonts w:ascii="Arial Narrow" w:hAnsi="Arial Narrow"/>
            <w:noProof/>
            <w:webHidden/>
          </w:rPr>
          <w:fldChar w:fldCharType="end"/>
        </w:r>
      </w:hyperlink>
    </w:p>
    <w:p w14:paraId="355780D7"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58" w:history="1">
        <w:r w:rsidR="001E6559" w:rsidRPr="001E6559">
          <w:rPr>
            <w:rStyle w:val="Hypertextovprepojenie"/>
            <w:rFonts w:ascii="Arial Narrow" w:eastAsiaTheme="majorEastAsia" w:hAnsi="Arial Narrow"/>
            <w:bCs/>
            <w:noProof/>
          </w:rPr>
          <w:t xml:space="preserve">Graf 9: </w:t>
        </w:r>
        <w:r w:rsidR="001E6559" w:rsidRPr="001E6559">
          <w:rPr>
            <w:rStyle w:val="Hypertextovprepojenie"/>
            <w:rFonts w:ascii="Arial Narrow" w:eastAsiaTheme="majorEastAsia" w:hAnsi="Arial Narrow" w:cs="Arial"/>
            <w:bCs/>
            <w:noProof/>
          </w:rPr>
          <w:t>Vstupy a výstupy pre výskum a vývoj ako % priemeru V3</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_Toc4625958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26</w:t>
        </w:r>
        <w:r w:rsidR="001E6559" w:rsidRPr="001E6559">
          <w:rPr>
            <w:rFonts w:ascii="Arial Narrow" w:hAnsi="Arial Narrow"/>
            <w:noProof/>
            <w:webHidden/>
          </w:rPr>
          <w:fldChar w:fldCharType="end"/>
        </w:r>
      </w:hyperlink>
    </w:p>
    <w:p w14:paraId="78F683C8"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59" w:history="1">
        <w:r w:rsidR="001E6559" w:rsidRPr="001E6559">
          <w:rPr>
            <w:rStyle w:val="Hypertextovprepojenie"/>
            <w:rFonts w:ascii="Arial Narrow" w:eastAsiaTheme="majorEastAsia" w:hAnsi="Arial Narrow"/>
            <w:bCs/>
            <w:noProof/>
          </w:rPr>
          <w:t xml:space="preserve">Graf 10: </w:t>
        </w:r>
        <w:r w:rsidR="001E6559" w:rsidRPr="001E6559">
          <w:rPr>
            <w:rStyle w:val="Hypertextovprepojenie"/>
            <w:rFonts w:ascii="Arial Narrow" w:eastAsiaTheme="majorEastAsia" w:hAnsi="Arial Narrow" w:cs="Arial"/>
            <w:bCs/>
            <w:noProof/>
          </w:rPr>
          <w:t>Výsledky testovania PISA v čitateľskej gramotnosti (ľavá os) a podiel žiakov nedosahujúcich základnú úroveň v % (pravá os)</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_Toc4625959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26</w:t>
        </w:r>
        <w:r w:rsidR="001E6559" w:rsidRPr="001E6559">
          <w:rPr>
            <w:rFonts w:ascii="Arial Narrow" w:hAnsi="Arial Narrow"/>
            <w:noProof/>
            <w:webHidden/>
          </w:rPr>
          <w:fldChar w:fldCharType="end"/>
        </w:r>
      </w:hyperlink>
    </w:p>
    <w:p w14:paraId="242A7B08"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60" w:history="1">
        <w:r w:rsidR="001E6559" w:rsidRPr="001E6559">
          <w:rPr>
            <w:rStyle w:val="Hypertextovprepojenie"/>
            <w:rFonts w:ascii="Arial Narrow" w:hAnsi="Arial Narrow"/>
            <w:noProof/>
          </w:rPr>
          <w:t>Graf 11:</w:t>
        </w:r>
        <w:r w:rsidR="001E6559" w:rsidRPr="001E6559">
          <w:rPr>
            <w:rStyle w:val="Hypertextovprepojenie"/>
            <w:rFonts w:ascii="Arial Narrow" w:eastAsiaTheme="majorEastAsia" w:hAnsi="Arial Narrow"/>
            <w:noProof/>
          </w:rPr>
          <w:t xml:space="preserve"> </w:t>
        </w:r>
        <w:r w:rsidR="001E6559" w:rsidRPr="001E6559">
          <w:rPr>
            <w:rStyle w:val="Hypertextovprepojenie"/>
            <w:rFonts w:ascii="Arial Narrow" w:hAnsi="Arial Narrow"/>
            <w:noProof/>
          </w:rPr>
          <w:t>Kvartálny vývoj miery nezamestnanosti (% aktívnej populácie, sezónne očistené údaje)</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_Toc4625960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30</w:t>
        </w:r>
        <w:r w:rsidR="001E6559" w:rsidRPr="001E6559">
          <w:rPr>
            <w:rFonts w:ascii="Arial Narrow" w:hAnsi="Arial Narrow"/>
            <w:noProof/>
            <w:webHidden/>
          </w:rPr>
          <w:fldChar w:fldCharType="end"/>
        </w:r>
      </w:hyperlink>
    </w:p>
    <w:p w14:paraId="0CBEA0A0"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61" w:history="1">
        <w:r w:rsidR="001E6559" w:rsidRPr="001E6559">
          <w:rPr>
            <w:rStyle w:val="Hypertextovprepojenie"/>
            <w:rFonts w:ascii="Arial Narrow" w:eastAsiaTheme="majorEastAsia" w:hAnsi="Arial Narrow" w:cs="Arial"/>
            <w:noProof/>
          </w:rPr>
          <w:t>Graf 12: Dlhodobá nezamestnanosť (v %, 3Q 2017, 3Q 2018)</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_Toc4625961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30</w:t>
        </w:r>
        <w:r w:rsidR="001E6559" w:rsidRPr="001E6559">
          <w:rPr>
            <w:rFonts w:ascii="Arial Narrow" w:hAnsi="Arial Narrow"/>
            <w:noProof/>
            <w:webHidden/>
          </w:rPr>
          <w:fldChar w:fldCharType="end"/>
        </w:r>
      </w:hyperlink>
    </w:p>
    <w:p w14:paraId="0824CEE1"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62" w:history="1">
        <w:r w:rsidR="001E6559" w:rsidRPr="001E6559">
          <w:rPr>
            <w:rStyle w:val="Hypertextovprepojenie"/>
            <w:rFonts w:ascii="Arial Narrow" w:hAnsi="Arial Narrow"/>
            <w:noProof/>
          </w:rPr>
          <w:t>Graf 13:</w:t>
        </w:r>
        <w:r w:rsidR="001E6559" w:rsidRPr="001E6559">
          <w:rPr>
            <w:rStyle w:val="Hypertextovprepojenie"/>
            <w:rFonts w:ascii="Arial Narrow" w:eastAsiaTheme="majorEastAsia" w:hAnsi="Arial Narrow" w:cs="Arial"/>
            <w:noProof/>
          </w:rPr>
          <w:t xml:space="preserve"> </w:t>
        </w:r>
        <w:r w:rsidR="001E6559" w:rsidRPr="001E6559">
          <w:rPr>
            <w:rStyle w:val="Hypertextovprepojenie"/>
            <w:rFonts w:ascii="Arial Narrow" w:hAnsi="Arial Narrow"/>
            <w:noProof/>
          </w:rPr>
          <w:t>Nízkokvalifikovaná pracovná sila na trhu práce (%, 2017)</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_Toc4625962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31</w:t>
        </w:r>
        <w:r w:rsidR="001E6559" w:rsidRPr="001E6559">
          <w:rPr>
            <w:rFonts w:ascii="Arial Narrow" w:hAnsi="Arial Narrow"/>
            <w:noProof/>
            <w:webHidden/>
          </w:rPr>
          <w:fldChar w:fldCharType="end"/>
        </w:r>
      </w:hyperlink>
    </w:p>
    <w:p w14:paraId="07213C6C"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63" w:history="1">
        <w:r w:rsidR="001E6559" w:rsidRPr="001E6559">
          <w:rPr>
            <w:rStyle w:val="Hypertextovprepojenie"/>
            <w:rFonts w:ascii="Arial Narrow" w:eastAsiaTheme="majorEastAsia" w:hAnsi="Arial Narrow" w:cs="Arial"/>
            <w:noProof/>
          </w:rPr>
          <w:t>Graf 14: Miera zamestnanosti Rómov z obcí s koncentrovanými osídleniami (v %, populácia vo veku 15-64 rokov)</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_Toc4625963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31</w:t>
        </w:r>
        <w:r w:rsidR="001E6559" w:rsidRPr="001E6559">
          <w:rPr>
            <w:rFonts w:ascii="Arial Narrow" w:hAnsi="Arial Narrow"/>
            <w:noProof/>
            <w:webHidden/>
          </w:rPr>
          <w:fldChar w:fldCharType="end"/>
        </w:r>
      </w:hyperlink>
    </w:p>
    <w:p w14:paraId="2117B4EE"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64" w:history="1">
        <w:r w:rsidR="001E6559" w:rsidRPr="001E6559">
          <w:rPr>
            <w:rStyle w:val="Hypertextovprepojenie"/>
            <w:rFonts w:ascii="Arial Narrow" w:eastAsiaTheme="majorEastAsia" w:hAnsi="Arial Narrow"/>
            <w:noProof/>
          </w:rPr>
          <w:t xml:space="preserve">Graf 15: </w:t>
        </w:r>
        <w:r w:rsidR="001E6559" w:rsidRPr="001E6559">
          <w:rPr>
            <w:rStyle w:val="Hypertextovprepojenie"/>
            <w:rFonts w:ascii="Arial Narrow" w:eastAsiaTheme="majorEastAsia" w:hAnsi="Arial Narrow" w:cs="Arial"/>
            <w:noProof/>
          </w:rPr>
          <w:t>Miera zamestnanosti žien (%, 2017)</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_Toc4625964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32</w:t>
        </w:r>
        <w:r w:rsidR="001E6559" w:rsidRPr="001E6559">
          <w:rPr>
            <w:rFonts w:ascii="Arial Narrow" w:hAnsi="Arial Narrow"/>
            <w:noProof/>
            <w:webHidden/>
          </w:rPr>
          <w:fldChar w:fldCharType="end"/>
        </w:r>
      </w:hyperlink>
    </w:p>
    <w:p w14:paraId="2584E30F"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65" w:history="1">
        <w:r w:rsidR="001E6559" w:rsidRPr="001E6559">
          <w:rPr>
            <w:rStyle w:val="Hypertextovprepojenie"/>
            <w:rFonts w:ascii="Arial Narrow" w:eastAsiaTheme="majorEastAsia" w:hAnsi="Arial Narrow"/>
            <w:noProof/>
          </w:rPr>
          <w:t xml:space="preserve">Graf 16: </w:t>
        </w:r>
        <w:r w:rsidR="001E6559" w:rsidRPr="001E6559">
          <w:rPr>
            <w:rStyle w:val="Hypertextovprepojenie"/>
            <w:rFonts w:ascii="Arial Narrow" w:eastAsiaTheme="majorEastAsia" w:hAnsi="Arial Narrow"/>
            <w:bCs/>
            <w:noProof/>
          </w:rPr>
          <w:t>Zamestnávanie pracovníkov zo zahraničia</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_Toc4625965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32</w:t>
        </w:r>
        <w:r w:rsidR="001E6559" w:rsidRPr="001E6559">
          <w:rPr>
            <w:rFonts w:ascii="Arial Narrow" w:hAnsi="Arial Narrow"/>
            <w:noProof/>
            <w:webHidden/>
          </w:rPr>
          <w:fldChar w:fldCharType="end"/>
        </w:r>
      </w:hyperlink>
    </w:p>
    <w:p w14:paraId="76076CB2"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66" w:history="1">
        <w:r w:rsidR="001E6559" w:rsidRPr="001E6559">
          <w:rPr>
            <w:rStyle w:val="Hypertextovprepojenie"/>
            <w:rFonts w:ascii="Arial Narrow" w:eastAsiaTheme="majorEastAsia" w:hAnsi="Arial Narrow"/>
            <w:bCs/>
            <w:noProof/>
          </w:rPr>
          <w:t xml:space="preserve">Graf 17: </w:t>
        </w:r>
        <w:r w:rsidR="001E6559" w:rsidRPr="001E6559">
          <w:rPr>
            <w:rStyle w:val="Hypertextovprepojenie"/>
            <w:rFonts w:ascii="Arial Narrow" w:eastAsiaTheme="majorEastAsia" w:hAnsi="Arial Narrow" w:cs="Arial"/>
            <w:noProof/>
          </w:rPr>
          <w:t>Podiel bytov podľa vlastníctva (%, 2016)</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_Toc4625966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34</w:t>
        </w:r>
        <w:r w:rsidR="001E6559" w:rsidRPr="001E6559">
          <w:rPr>
            <w:rFonts w:ascii="Arial Narrow" w:hAnsi="Arial Narrow"/>
            <w:noProof/>
            <w:webHidden/>
          </w:rPr>
          <w:fldChar w:fldCharType="end"/>
        </w:r>
      </w:hyperlink>
    </w:p>
    <w:p w14:paraId="15E1D5FD"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67" w:history="1">
        <w:r w:rsidR="001E6559" w:rsidRPr="001E6559">
          <w:rPr>
            <w:rStyle w:val="Hypertextovprepojenie"/>
            <w:rFonts w:ascii="Arial Narrow" w:eastAsiaTheme="majorEastAsia" w:hAnsi="Arial Narrow"/>
            <w:bCs/>
            <w:noProof/>
          </w:rPr>
          <w:t xml:space="preserve">Graf 18: </w:t>
        </w:r>
        <w:r w:rsidR="001E6559" w:rsidRPr="001E6559">
          <w:rPr>
            <w:rStyle w:val="Hypertextovprepojenie"/>
            <w:rFonts w:ascii="Arial Narrow" w:eastAsiaTheme="majorEastAsia" w:hAnsi="Arial Narrow" w:cs="Arial"/>
            <w:noProof/>
          </w:rPr>
          <w:t>Podiel bytov s regulovaným nájmom na všetkých bytoch (%)</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_Toc4625967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34</w:t>
        </w:r>
        <w:r w:rsidR="001E6559" w:rsidRPr="001E6559">
          <w:rPr>
            <w:rFonts w:ascii="Arial Narrow" w:hAnsi="Arial Narrow"/>
            <w:noProof/>
            <w:webHidden/>
          </w:rPr>
          <w:fldChar w:fldCharType="end"/>
        </w:r>
      </w:hyperlink>
    </w:p>
    <w:p w14:paraId="13DAFEFD"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68" w:history="1">
        <w:r w:rsidR="001E6559" w:rsidRPr="001E6559">
          <w:rPr>
            <w:rStyle w:val="Hypertextovprepojenie"/>
            <w:rFonts w:ascii="Arial Narrow" w:eastAsiaTheme="majorEastAsia" w:hAnsi="Arial Narrow"/>
            <w:bCs/>
            <w:noProof/>
          </w:rPr>
          <w:t>Graf 19</w:t>
        </w:r>
        <w:r w:rsidR="001E6559" w:rsidRPr="001E6559">
          <w:rPr>
            <w:rStyle w:val="Hypertextovprepojenie"/>
            <w:rFonts w:ascii="Arial Narrow" w:eastAsia="NeueHaasGroteskText W02" w:hAnsi="Arial Narrow" w:cs="NeueHaasGroteskText W02"/>
            <w:noProof/>
            <w:u w:color="808080"/>
          </w:rPr>
          <w:t>: Podiel sporiteľov s úsporami v negarantovaných fondoch v roku 2017 (%)</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_Toc4625968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36</w:t>
        </w:r>
        <w:r w:rsidR="001E6559" w:rsidRPr="001E6559">
          <w:rPr>
            <w:rFonts w:ascii="Arial Narrow" w:hAnsi="Arial Narrow"/>
            <w:noProof/>
            <w:webHidden/>
          </w:rPr>
          <w:fldChar w:fldCharType="end"/>
        </w:r>
      </w:hyperlink>
    </w:p>
    <w:p w14:paraId="5374EC9A"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69" w:history="1">
        <w:r w:rsidR="001E6559" w:rsidRPr="001E6559">
          <w:rPr>
            <w:rStyle w:val="Hypertextovprepojenie"/>
            <w:rFonts w:ascii="Arial Narrow" w:eastAsiaTheme="majorEastAsia" w:hAnsi="Arial Narrow"/>
            <w:bCs/>
            <w:noProof/>
          </w:rPr>
          <w:t>Graf 20</w:t>
        </w:r>
        <w:r w:rsidR="001E6559" w:rsidRPr="001E6559">
          <w:rPr>
            <w:rStyle w:val="Hypertextovprepojenie"/>
            <w:rFonts w:ascii="Arial Narrow" w:eastAsia="NeueHaasGroteskText W02" w:hAnsi="Arial Narrow" w:cs="NeueHaasGroteskText W02"/>
            <w:noProof/>
            <w:u w:color="808080"/>
          </w:rPr>
          <w:t>: Odporúčaný podiel úspor investovaných do akcií a skutočnosť v roku 2017 (%)</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_Toc4625969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36</w:t>
        </w:r>
        <w:r w:rsidR="001E6559" w:rsidRPr="001E6559">
          <w:rPr>
            <w:rFonts w:ascii="Arial Narrow" w:hAnsi="Arial Narrow"/>
            <w:noProof/>
            <w:webHidden/>
          </w:rPr>
          <w:fldChar w:fldCharType="end"/>
        </w:r>
      </w:hyperlink>
    </w:p>
    <w:p w14:paraId="47A5AEBB"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70" w:history="1">
        <w:r w:rsidR="001E6559" w:rsidRPr="001E6559">
          <w:rPr>
            <w:rStyle w:val="Hypertextovprepojenie"/>
            <w:rFonts w:ascii="Arial Narrow" w:eastAsiaTheme="majorEastAsia" w:hAnsi="Arial Narrow"/>
            <w:bCs/>
            <w:noProof/>
          </w:rPr>
          <w:t xml:space="preserve">Graf 21: </w:t>
        </w:r>
        <w:r w:rsidR="001E6559" w:rsidRPr="001E6559">
          <w:rPr>
            <w:rStyle w:val="Hypertextovprepojenie"/>
            <w:rFonts w:ascii="Arial Narrow" w:eastAsiaTheme="majorEastAsia" w:hAnsi="Arial Narrow" w:cs="Arial"/>
            <w:bCs/>
            <w:noProof/>
          </w:rPr>
          <w:t>Verejné výdavky na zdravotníctvo, 2017 (% HDP)</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_Toc4625970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39</w:t>
        </w:r>
        <w:r w:rsidR="001E6559" w:rsidRPr="001E6559">
          <w:rPr>
            <w:rFonts w:ascii="Arial Narrow" w:hAnsi="Arial Narrow"/>
            <w:noProof/>
            <w:webHidden/>
          </w:rPr>
          <w:fldChar w:fldCharType="end"/>
        </w:r>
      </w:hyperlink>
    </w:p>
    <w:p w14:paraId="3A2D0D28"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71" w:history="1">
        <w:r w:rsidR="001E6559" w:rsidRPr="001E6559">
          <w:rPr>
            <w:rStyle w:val="Hypertextovprepojenie"/>
            <w:rFonts w:ascii="Arial Narrow" w:eastAsiaTheme="majorEastAsia" w:hAnsi="Arial Narrow"/>
            <w:bCs/>
            <w:noProof/>
          </w:rPr>
          <w:t>Graf 22: Úmrtia odvrátiteľné zdravotnou starostlivosťou, 2015 (štandardizovaná na 100 tis. obyvateľov)</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_Toc4625971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39</w:t>
        </w:r>
        <w:r w:rsidR="001E6559" w:rsidRPr="001E6559">
          <w:rPr>
            <w:rFonts w:ascii="Arial Narrow" w:hAnsi="Arial Narrow"/>
            <w:noProof/>
            <w:webHidden/>
          </w:rPr>
          <w:fldChar w:fldCharType="end"/>
        </w:r>
      </w:hyperlink>
    </w:p>
    <w:p w14:paraId="6D5E8D79"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72" w:history="1">
        <w:r w:rsidR="001E6559" w:rsidRPr="001E6559">
          <w:rPr>
            <w:rStyle w:val="Hypertextovprepojenie"/>
            <w:rFonts w:ascii="Arial Narrow" w:eastAsiaTheme="majorEastAsia" w:hAnsi="Arial Narrow"/>
            <w:bCs/>
            <w:noProof/>
          </w:rPr>
          <w:t xml:space="preserve">Graf 23: </w:t>
        </w:r>
        <w:r w:rsidR="001E6559" w:rsidRPr="001E6559">
          <w:rPr>
            <w:rStyle w:val="Hypertextovprepojenie"/>
            <w:rFonts w:ascii="Arial Narrow" w:eastAsiaTheme="majorEastAsia" w:hAnsi="Arial Narrow" w:cs="Arial"/>
            <w:bCs/>
            <w:noProof/>
          </w:rPr>
          <w:t>Očakávaná dĺžka života pri narodení</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_Toc4625972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40</w:t>
        </w:r>
        <w:r w:rsidR="001E6559" w:rsidRPr="001E6559">
          <w:rPr>
            <w:rFonts w:ascii="Arial Narrow" w:hAnsi="Arial Narrow"/>
            <w:noProof/>
            <w:webHidden/>
          </w:rPr>
          <w:fldChar w:fldCharType="end"/>
        </w:r>
      </w:hyperlink>
    </w:p>
    <w:p w14:paraId="5F6641E8"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73" w:history="1">
        <w:r w:rsidR="001E6559" w:rsidRPr="001E6559">
          <w:rPr>
            <w:rStyle w:val="Hypertextovprepojenie"/>
            <w:rFonts w:ascii="Arial Narrow" w:eastAsiaTheme="majorEastAsia" w:hAnsi="Arial Narrow"/>
            <w:bCs/>
            <w:noProof/>
          </w:rPr>
          <w:t>Graf 24: Dojčenská úmrtnosť (počet úmrtí dojčiat na 1 000 živonarodených detí, 2006 až 2015)</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_Toc4625973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40</w:t>
        </w:r>
        <w:r w:rsidR="001E6559" w:rsidRPr="001E6559">
          <w:rPr>
            <w:rFonts w:ascii="Arial Narrow" w:hAnsi="Arial Narrow"/>
            <w:noProof/>
            <w:webHidden/>
          </w:rPr>
          <w:fldChar w:fldCharType="end"/>
        </w:r>
      </w:hyperlink>
    </w:p>
    <w:p w14:paraId="70FB514C"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74" w:history="1">
        <w:r w:rsidR="001E6559" w:rsidRPr="001E6559">
          <w:rPr>
            <w:rStyle w:val="Hypertextovprepojenie"/>
            <w:rFonts w:ascii="Arial Narrow" w:eastAsiaTheme="majorEastAsia" w:hAnsi="Arial Narrow"/>
            <w:bCs/>
            <w:noProof/>
          </w:rPr>
          <w:t>Graf 25:</w:t>
        </w:r>
        <w:r w:rsidR="001E6559" w:rsidRPr="001E6559">
          <w:rPr>
            <w:rStyle w:val="Hypertextovprepojenie"/>
            <w:rFonts w:ascii="Arial Narrow" w:eastAsiaTheme="majorEastAsia" w:hAnsi="Arial Narrow" w:cs="Arial"/>
            <w:bCs/>
            <w:noProof/>
          </w:rPr>
          <w:t xml:space="preserve"> Efektívnosť zdravotníctva krajín OECD</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_Toc4625974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41</w:t>
        </w:r>
        <w:r w:rsidR="001E6559" w:rsidRPr="001E6559">
          <w:rPr>
            <w:rFonts w:ascii="Arial Narrow" w:hAnsi="Arial Narrow"/>
            <w:noProof/>
            <w:webHidden/>
          </w:rPr>
          <w:fldChar w:fldCharType="end"/>
        </w:r>
      </w:hyperlink>
    </w:p>
    <w:p w14:paraId="746ABFA6"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75" w:history="1">
        <w:r w:rsidR="001E6559" w:rsidRPr="001E6559">
          <w:rPr>
            <w:rStyle w:val="Hypertextovprepojenie"/>
            <w:rFonts w:ascii="Arial Narrow" w:eastAsiaTheme="majorEastAsia" w:hAnsi="Arial Narrow"/>
            <w:bCs/>
            <w:noProof/>
          </w:rPr>
          <w:t>Graf 26: Záväzky 13 fakultných a univerzitných nemocníc rezortu zdravotníctva (31.12. 2018, mil. eur)</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_Toc4625975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41</w:t>
        </w:r>
        <w:r w:rsidR="001E6559" w:rsidRPr="001E6559">
          <w:rPr>
            <w:rFonts w:ascii="Arial Narrow" w:hAnsi="Arial Narrow"/>
            <w:noProof/>
            <w:webHidden/>
          </w:rPr>
          <w:fldChar w:fldCharType="end"/>
        </w:r>
      </w:hyperlink>
    </w:p>
    <w:p w14:paraId="3E474B00"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76" w:history="1">
        <w:r w:rsidR="001E6559" w:rsidRPr="001E6559">
          <w:rPr>
            <w:rStyle w:val="Hypertextovprepojenie"/>
            <w:rFonts w:ascii="Arial Narrow" w:eastAsia="Calibri" w:hAnsi="Arial Narrow" w:cs="Arial Narrow"/>
            <w:bCs/>
            <w:noProof/>
            <w:bdr w:val="nil"/>
            <w:lang w:eastAsia="en-US"/>
          </w:rPr>
          <w:t>Graf 27: Bodové hodnotenie v rebríčku Doing Business (metodika DB 2019)</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_Toc4625976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44</w:t>
        </w:r>
        <w:r w:rsidR="001E6559" w:rsidRPr="001E6559">
          <w:rPr>
            <w:rFonts w:ascii="Arial Narrow" w:hAnsi="Arial Narrow"/>
            <w:noProof/>
            <w:webHidden/>
          </w:rPr>
          <w:fldChar w:fldCharType="end"/>
        </w:r>
      </w:hyperlink>
    </w:p>
    <w:p w14:paraId="5015170A"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77" w:history="1">
        <w:r w:rsidR="001E6559" w:rsidRPr="001E6559">
          <w:rPr>
            <w:rStyle w:val="Hypertextovprepojenie"/>
            <w:rFonts w:ascii="Arial Narrow" w:eastAsia="Calibri" w:hAnsi="Arial Narrow" w:cs="Arial Narrow"/>
            <w:bCs/>
            <w:noProof/>
            <w:bdr w:val="nil"/>
            <w:lang w:eastAsia="en-US"/>
          </w:rPr>
          <w:t>Graf 28: Porovnanie jednotlivých oblastí SK v rebríčku Doing Business (štand. odchýlka od priemeru OECD)</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_Toc4625977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44</w:t>
        </w:r>
        <w:r w:rsidR="001E6559" w:rsidRPr="001E6559">
          <w:rPr>
            <w:rFonts w:ascii="Arial Narrow" w:hAnsi="Arial Narrow"/>
            <w:noProof/>
            <w:webHidden/>
          </w:rPr>
          <w:fldChar w:fldCharType="end"/>
        </w:r>
      </w:hyperlink>
    </w:p>
    <w:p w14:paraId="5421C4E1"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78" w:history="1">
        <w:r w:rsidR="001E6559" w:rsidRPr="001E6559">
          <w:rPr>
            <w:rStyle w:val="Hypertextovprepojenie"/>
            <w:rFonts w:ascii="Arial Narrow" w:eastAsiaTheme="majorEastAsia" w:hAnsi="Arial Narrow"/>
            <w:noProof/>
          </w:rPr>
          <w:t>Graf 29: Teoretická dĺžka, občianskych a obchodných vecí v dňoch (</w:t>
        </w:r>
        <w:r w:rsidR="001E6559" w:rsidRPr="001E6559">
          <w:rPr>
            <w:rStyle w:val="Hypertextovprepojenie"/>
            <w:rFonts w:ascii="Arial Narrow" w:eastAsiaTheme="majorEastAsia" w:hAnsi="Arial Narrow"/>
            <w:i/>
            <w:noProof/>
          </w:rPr>
          <w:t>Disposition time</w:t>
        </w:r>
        <w:r w:rsidR="001E6559" w:rsidRPr="001E6559">
          <w:rPr>
            <w:rStyle w:val="Hypertextovprepojenie"/>
            <w:rFonts w:ascii="Arial Narrow" w:eastAsiaTheme="majorEastAsia" w:hAnsi="Arial Narrow"/>
            <w:noProof/>
          </w:rPr>
          <w:t>), 2016</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_Toc4625978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45</w:t>
        </w:r>
        <w:r w:rsidR="001E6559" w:rsidRPr="001E6559">
          <w:rPr>
            <w:rFonts w:ascii="Arial Narrow" w:hAnsi="Arial Narrow"/>
            <w:noProof/>
            <w:webHidden/>
          </w:rPr>
          <w:fldChar w:fldCharType="end"/>
        </w:r>
      </w:hyperlink>
    </w:p>
    <w:p w14:paraId="2E8ADB4F"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79" w:history="1">
        <w:r w:rsidR="001E6559" w:rsidRPr="001E6559">
          <w:rPr>
            <w:rStyle w:val="Hypertextovprepojenie"/>
            <w:rFonts w:ascii="Arial Narrow" w:eastAsiaTheme="majorEastAsia" w:hAnsi="Arial Narrow"/>
            <w:noProof/>
          </w:rPr>
          <w:t>Graf 30: Miera vybavenosti konaní V4, občianske a obchodné veci v %, 2010-2016</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_Toc4625979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45</w:t>
        </w:r>
        <w:r w:rsidR="001E6559" w:rsidRPr="001E6559">
          <w:rPr>
            <w:rFonts w:ascii="Arial Narrow" w:hAnsi="Arial Narrow"/>
            <w:noProof/>
            <w:webHidden/>
          </w:rPr>
          <w:fldChar w:fldCharType="end"/>
        </w:r>
      </w:hyperlink>
    </w:p>
    <w:p w14:paraId="200C2AEF"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80" w:history="1">
        <w:r w:rsidR="001E6559" w:rsidRPr="001E6559">
          <w:rPr>
            <w:rStyle w:val="Hypertextovprepojenie"/>
            <w:rFonts w:ascii="Arial Narrow" w:eastAsiaTheme="majorEastAsia" w:hAnsi="Arial Narrow"/>
            <w:bCs/>
            <w:noProof/>
          </w:rPr>
          <w:t>Graf 31: Miera recyklácie komunálneho odpadu (%)</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_Toc4625980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51</w:t>
        </w:r>
        <w:r w:rsidR="001E6559" w:rsidRPr="001E6559">
          <w:rPr>
            <w:rFonts w:ascii="Arial Narrow" w:hAnsi="Arial Narrow"/>
            <w:noProof/>
            <w:webHidden/>
          </w:rPr>
          <w:fldChar w:fldCharType="end"/>
        </w:r>
      </w:hyperlink>
    </w:p>
    <w:p w14:paraId="0DD7E65F"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81" w:history="1">
        <w:r w:rsidR="001E6559" w:rsidRPr="001E6559">
          <w:rPr>
            <w:rStyle w:val="Hypertextovprepojenie"/>
            <w:rFonts w:ascii="Arial Narrow" w:eastAsiaTheme="majorEastAsia" w:hAnsi="Arial Narrow"/>
            <w:bCs/>
            <w:noProof/>
          </w:rPr>
          <w:t>Graf 32: Priemerné vystavenie obyvateľstva PM2,5 v µg/m3 (2015, odhadované hodnoty)</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_Toc4625981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51</w:t>
        </w:r>
        <w:r w:rsidR="001E6559" w:rsidRPr="001E6559">
          <w:rPr>
            <w:rFonts w:ascii="Arial Narrow" w:hAnsi="Arial Narrow"/>
            <w:noProof/>
            <w:webHidden/>
          </w:rPr>
          <w:fldChar w:fldCharType="end"/>
        </w:r>
      </w:hyperlink>
    </w:p>
    <w:p w14:paraId="2EAD924B" w14:textId="77777777" w:rsidR="001E6559" w:rsidRPr="001E6559" w:rsidRDefault="005952C3">
      <w:pPr>
        <w:pStyle w:val="Zoznamobrzkov"/>
        <w:tabs>
          <w:tab w:val="right" w:leader="dot" w:pos="8554"/>
        </w:tabs>
        <w:rPr>
          <w:rFonts w:ascii="Arial Narrow" w:eastAsiaTheme="minorEastAsia" w:hAnsi="Arial Narrow" w:cstheme="minorBidi"/>
          <w:noProof/>
          <w:lang w:val="en-GB" w:eastAsia="en-GB"/>
        </w:rPr>
      </w:pPr>
      <w:hyperlink w:anchor="_Toc4625982" w:history="1">
        <w:r w:rsidR="001E6559" w:rsidRPr="001E6559">
          <w:rPr>
            <w:rStyle w:val="Hypertextovprepojenie"/>
            <w:rFonts w:ascii="Arial Narrow" w:eastAsiaTheme="majorEastAsia" w:hAnsi="Arial Narrow"/>
            <w:noProof/>
          </w:rPr>
          <w:t>Graf 33</w:t>
        </w:r>
        <w:r w:rsidR="001E6559" w:rsidRPr="001E6559">
          <w:rPr>
            <w:rStyle w:val="Hypertextovprepojenie"/>
            <w:rFonts w:ascii="Arial Narrow" w:eastAsiaTheme="majorEastAsia" w:hAnsi="Arial Narrow" w:cs="Arial"/>
            <w:noProof/>
          </w:rPr>
          <w:t>: Vývoj implementácie EŠIF (mil. eur)</w:t>
        </w:r>
        <w:r w:rsidR="001E6559" w:rsidRPr="001E6559">
          <w:rPr>
            <w:rFonts w:ascii="Arial Narrow" w:hAnsi="Arial Narrow"/>
            <w:noProof/>
            <w:webHidden/>
          </w:rPr>
          <w:tab/>
        </w:r>
        <w:r w:rsidR="001E6559" w:rsidRPr="001E6559">
          <w:rPr>
            <w:rFonts w:ascii="Arial Narrow" w:hAnsi="Arial Narrow"/>
            <w:noProof/>
            <w:webHidden/>
          </w:rPr>
          <w:fldChar w:fldCharType="begin"/>
        </w:r>
        <w:r w:rsidR="001E6559" w:rsidRPr="001E6559">
          <w:rPr>
            <w:rFonts w:ascii="Arial Narrow" w:hAnsi="Arial Narrow"/>
            <w:noProof/>
            <w:webHidden/>
          </w:rPr>
          <w:instrText xml:space="preserve"> PAGEREF _Toc4625982 \h </w:instrText>
        </w:r>
        <w:r w:rsidR="001E6559" w:rsidRPr="001E6559">
          <w:rPr>
            <w:rFonts w:ascii="Arial Narrow" w:hAnsi="Arial Narrow"/>
            <w:noProof/>
            <w:webHidden/>
          </w:rPr>
        </w:r>
        <w:r w:rsidR="001E6559" w:rsidRPr="001E6559">
          <w:rPr>
            <w:rFonts w:ascii="Arial Narrow" w:hAnsi="Arial Narrow"/>
            <w:noProof/>
            <w:webHidden/>
          </w:rPr>
          <w:fldChar w:fldCharType="separate"/>
        </w:r>
        <w:r w:rsidR="009B3E89">
          <w:rPr>
            <w:rFonts w:ascii="Arial Narrow" w:hAnsi="Arial Narrow"/>
            <w:noProof/>
            <w:webHidden/>
          </w:rPr>
          <w:t>53</w:t>
        </w:r>
        <w:r w:rsidR="001E6559" w:rsidRPr="001E6559">
          <w:rPr>
            <w:rFonts w:ascii="Arial Narrow" w:hAnsi="Arial Narrow"/>
            <w:noProof/>
            <w:webHidden/>
          </w:rPr>
          <w:fldChar w:fldCharType="end"/>
        </w:r>
      </w:hyperlink>
    </w:p>
    <w:p w14:paraId="49E69467" w14:textId="77777777" w:rsidR="005D29C8" w:rsidRPr="005A735A" w:rsidRDefault="005D29C8" w:rsidP="004C54B9">
      <w:pPr>
        <w:spacing w:after="0" w:line="240" w:lineRule="auto"/>
        <w:jc w:val="both"/>
        <w:rPr>
          <w:rFonts w:ascii="Arial Narrow" w:eastAsiaTheme="majorEastAsia" w:hAnsi="Arial Narrow" w:cstheme="majorBidi"/>
          <w:bCs/>
        </w:rPr>
      </w:pPr>
      <w:r w:rsidRPr="001E6559">
        <w:rPr>
          <w:rFonts w:ascii="Arial Narrow" w:hAnsi="Arial Narrow"/>
          <w:highlight w:val="yellow"/>
        </w:rPr>
        <w:fldChar w:fldCharType="end"/>
      </w:r>
      <w:r w:rsidRPr="005A735A">
        <w:rPr>
          <w:rFonts w:ascii="Arial Narrow" w:hAnsi="Arial Narrow"/>
        </w:rPr>
        <w:br w:type="page"/>
      </w:r>
    </w:p>
    <w:p w14:paraId="2DD80D69" w14:textId="77777777" w:rsidR="00541CFC" w:rsidRPr="00F57624" w:rsidRDefault="001E0231" w:rsidP="004C54B9">
      <w:pPr>
        <w:pStyle w:val="Nadpis1"/>
        <w:spacing w:line="240" w:lineRule="auto"/>
        <w:ind w:left="720" w:hanging="720"/>
        <w:rPr>
          <w:rFonts w:ascii="Arial Narrow" w:hAnsi="Arial Narrow"/>
          <w:color w:val="auto"/>
          <w:sz w:val="32"/>
          <w:szCs w:val="32"/>
        </w:rPr>
      </w:pPr>
      <w:bookmarkStart w:id="1" w:name="_Toc4766829"/>
      <w:r w:rsidRPr="00F57624">
        <w:rPr>
          <w:rFonts w:ascii="Arial Narrow" w:hAnsi="Arial Narrow"/>
          <w:color w:val="auto"/>
          <w:sz w:val="32"/>
          <w:szCs w:val="32"/>
        </w:rPr>
        <w:lastRenderedPageBreak/>
        <w:t>Zhrnutie</w:t>
      </w:r>
      <w:bookmarkEnd w:id="1"/>
    </w:p>
    <w:p w14:paraId="54872E64" w14:textId="77777777" w:rsidR="001B1A52" w:rsidRPr="004C54B9" w:rsidRDefault="001B1A52" w:rsidP="004C54B9">
      <w:pPr>
        <w:spacing w:after="0" w:line="240" w:lineRule="auto"/>
        <w:jc w:val="both"/>
        <w:rPr>
          <w:rFonts w:ascii="Arial Narrow" w:hAnsi="Arial Narrow"/>
          <w:highlight w:val="yellow"/>
        </w:rPr>
      </w:pPr>
    </w:p>
    <w:p w14:paraId="610B8379" w14:textId="6CB0BAB7" w:rsidR="007D2366" w:rsidRPr="004C54B9" w:rsidRDefault="007D2366" w:rsidP="004C54B9">
      <w:pPr>
        <w:spacing w:after="0" w:line="240" w:lineRule="auto"/>
        <w:jc w:val="both"/>
        <w:rPr>
          <w:rFonts w:ascii="Arial Narrow" w:hAnsi="Arial Narrow"/>
        </w:rPr>
      </w:pPr>
      <w:r w:rsidRPr="004C54B9">
        <w:rPr>
          <w:rFonts w:ascii="Arial Narrow" w:hAnsi="Arial Narrow"/>
        </w:rPr>
        <w:t>Národný program re</w:t>
      </w:r>
      <w:r w:rsidR="00591D19" w:rsidRPr="004C54B9">
        <w:rPr>
          <w:rFonts w:ascii="Arial Narrow" w:hAnsi="Arial Narrow"/>
        </w:rPr>
        <w:t>foriem Slovenskej republiky 2019</w:t>
      </w:r>
      <w:r w:rsidR="007F2923">
        <w:rPr>
          <w:rFonts w:ascii="Arial Narrow" w:hAnsi="Arial Narrow"/>
        </w:rPr>
        <w:t xml:space="preserve"> </w:t>
      </w:r>
      <w:r w:rsidRPr="004C54B9">
        <w:rPr>
          <w:rFonts w:ascii="Arial Narrow" w:hAnsi="Arial Narrow"/>
        </w:rPr>
        <w:t xml:space="preserve">popisuje štrukturálne opatrenia, ktoré vláda SR plánuje realizovať najmä v </w:t>
      </w:r>
      <w:r w:rsidR="00591D19" w:rsidRPr="004C54B9">
        <w:rPr>
          <w:rFonts w:ascii="Arial Narrow" w:hAnsi="Arial Narrow"/>
        </w:rPr>
        <w:t>najbližších dvoch rokoch. K</w:t>
      </w:r>
      <w:r w:rsidRPr="004C54B9">
        <w:rPr>
          <w:rFonts w:ascii="Arial Narrow" w:hAnsi="Arial Narrow"/>
        </w:rPr>
        <w:t xml:space="preserve">omplexný prístup stanovovania priorít, ktorý okrem HDP berie do úvahy aj ďalšie aspekty kvality života, </w:t>
      </w:r>
      <w:r w:rsidR="0001026E" w:rsidRPr="004C54B9">
        <w:rPr>
          <w:rFonts w:ascii="Arial Narrow" w:hAnsi="Arial Narrow"/>
        </w:rPr>
        <w:t xml:space="preserve">opätovne </w:t>
      </w:r>
      <w:r w:rsidRPr="004C54B9">
        <w:rPr>
          <w:rFonts w:ascii="Arial Narrow" w:hAnsi="Arial Narrow"/>
        </w:rPr>
        <w:t xml:space="preserve">identifikoval </w:t>
      </w:r>
      <w:r w:rsidR="00591D19" w:rsidRPr="004C54B9">
        <w:rPr>
          <w:rFonts w:ascii="Arial Narrow" w:hAnsi="Arial Narrow"/>
        </w:rPr>
        <w:t xml:space="preserve">aj v roku 2019 </w:t>
      </w:r>
      <w:r w:rsidRPr="004C54B9">
        <w:rPr>
          <w:rFonts w:ascii="Arial Narrow" w:hAnsi="Arial Narrow"/>
        </w:rPr>
        <w:t xml:space="preserve">ako </w:t>
      </w:r>
      <w:r w:rsidR="0001026E" w:rsidRPr="004C54B9">
        <w:rPr>
          <w:rFonts w:ascii="Arial Narrow" w:hAnsi="Arial Narrow"/>
        </w:rPr>
        <w:t xml:space="preserve">pretrvávajúce </w:t>
      </w:r>
      <w:r w:rsidRPr="004C54B9">
        <w:rPr>
          <w:rFonts w:ascii="Arial Narrow" w:hAnsi="Arial Narrow"/>
        </w:rPr>
        <w:t>najväčšie výzvy slovenského hospodárstva</w:t>
      </w:r>
      <w:r w:rsidR="001D26FE" w:rsidRPr="004C54B9">
        <w:rPr>
          <w:rFonts w:ascii="Arial Narrow" w:hAnsi="Arial Narrow"/>
        </w:rPr>
        <w:t xml:space="preserve"> </w:t>
      </w:r>
      <w:r w:rsidRPr="004C54B9">
        <w:rPr>
          <w:rFonts w:ascii="Arial Narrow" w:hAnsi="Arial Narrow"/>
        </w:rPr>
        <w:t>základné školstvo</w:t>
      </w:r>
      <w:r w:rsidR="001D26FE" w:rsidRPr="004C54B9">
        <w:rPr>
          <w:rFonts w:ascii="Arial Narrow" w:hAnsi="Arial Narrow"/>
        </w:rPr>
        <w:t>, zdravotníctvo a trh práce.</w:t>
      </w:r>
      <w:r w:rsidRPr="004C54B9">
        <w:rPr>
          <w:rFonts w:ascii="Arial Narrow" w:hAnsi="Arial Narrow"/>
        </w:rPr>
        <w:t xml:space="preserve"> </w:t>
      </w:r>
    </w:p>
    <w:p w14:paraId="11BFAE4C" w14:textId="77777777" w:rsidR="007D2366" w:rsidRPr="004C54B9" w:rsidRDefault="007D2366" w:rsidP="004C54B9">
      <w:pPr>
        <w:spacing w:after="0" w:line="240" w:lineRule="auto"/>
        <w:jc w:val="both"/>
        <w:rPr>
          <w:rFonts w:ascii="Arial Narrow" w:hAnsi="Arial Narrow"/>
        </w:rPr>
      </w:pPr>
    </w:p>
    <w:p w14:paraId="018E5E53" w14:textId="6345F143" w:rsidR="008229F0" w:rsidRPr="00F57624" w:rsidRDefault="004D031D" w:rsidP="004C54B9">
      <w:pPr>
        <w:pStyle w:val="Odsekzoznamu"/>
        <w:tabs>
          <w:tab w:val="left" w:pos="426"/>
        </w:tabs>
        <w:spacing w:after="0" w:line="240" w:lineRule="auto"/>
        <w:ind w:left="0"/>
        <w:contextualSpacing w:val="0"/>
        <w:jc w:val="both"/>
        <w:rPr>
          <w:rFonts w:ascii="Arial Narrow" w:hAnsi="Arial Narrow"/>
          <w:highlight w:val="yellow"/>
        </w:rPr>
      </w:pPr>
      <w:r w:rsidRPr="004C54B9">
        <w:rPr>
          <w:rFonts w:ascii="Arial Narrow" w:hAnsi="Arial Narrow"/>
          <w:b/>
        </w:rPr>
        <w:t xml:space="preserve">Trh práce podporený viacerými opatreniami dosahuje historicky najlepšie výsledky. </w:t>
      </w:r>
      <w:r w:rsidR="007D2366" w:rsidRPr="00F57624">
        <w:rPr>
          <w:rFonts w:ascii="Arial Narrow" w:hAnsi="Arial Narrow"/>
        </w:rPr>
        <w:t>V</w:t>
      </w:r>
      <w:r w:rsidR="001D26FE" w:rsidRPr="00F57624">
        <w:rPr>
          <w:rFonts w:ascii="Arial Narrow" w:hAnsi="Arial Narrow"/>
        </w:rPr>
        <w:t xml:space="preserve"> roku 2018</w:t>
      </w:r>
      <w:r w:rsidR="00644958" w:rsidRPr="00F57624">
        <w:rPr>
          <w:rFonts w:ascii="Arial Narrow" w:hAnsi="Arial Narrow"/>
        </w:rPr>
        <w:t xml:space="preserve"> sa vytvorilo </w:t>
      </w:r>
      <w:r w:rsidR="000E26B9">
        <w:rPr>
          <w:rFonts w:ascii="Arial Narrow" w:hAnsi="Arial Narrow"/>
        </w:rPr>
        <w:t>takmer 50 tisíc</w:t>
      </w:r>
      <w:r w:rsidR="00644958" w:rsidRPr="00F57624">
        <w:rPr>
          <w:rFonts w:ascii="Arial Narrow" w:hAnsi="Arial Narrow"/>
        </w:rPr>
        <w:t xml:space="preserve"> nových pracovných miest</w:t>
      </w:r>
      <w:r w:rsidR="00C065B0">
        <w:rPr>
          <w:rStyle w:val="Odkaznapoznmkupodiarou"/>
          <w:rFonts w:ascii="Arial Narrow" w:hAnsi="Arial Narrow"/>
        </w:rPr>
        <w:footnoteReference w:id="1"/>
      </w:r>
      <w:r w:rsidR="00644958" w:rsidRPr="00F57624">
        <w:rPr>
          <w:rFonts w:ascii="Arial Narrow" w:hAnsi="Arial Narrow"/>
        </w:rPr>
        <w:t xml:space="preserve"> </w:t>
      </w:r>
      <w:r w:rsidR="007D2366" w:rsidRPr="00F57624">
        <w:rPr>
          <w:rFonts w:ascii="Arial Narrow" w:hAnsi="Arial Narrow"/>
        </w:rPr>
        <w:t xml:space="preserve">a miera nezamestnanosti poklesla na najnižšiu úroveň od </w:t>
      </w:r>
      <w:r w:rsidR="00644958" w:rsidRPr="00F57624">
        <w:rPr>
          <w:rFonts w:ascii="Arial Narrow" w:hAnsi="Arial Narrow"/>
        </w:rPr>
        <w:t>vzniku SR (</w:t>
      </w:r>
      <w:r w:rsidR="00712EAD" w:rsidRPr="00F57624">
        <w:rPr>
          <w:rFonts w:ascii="Arial Narrow" w:hAnsi="Arial Narrow"/>
        </w:rPr>
        <w:t>6,1</w:t>
      </w:r>
      <w:r w:rsidR="00644958" w:rsidRPr="00F57624">
        <w:rPr>
          <w:rFonts w:ascii="Arial Narrow" w:hAnsi="Arial Narrow"/>
        </w:rPr>
        <w:t xml:space="preserve"> % vo štvrtom kvartáli 201</w:t>
      </w:r>
      <w:r w:rsidR="00712EAD" w:rsidRPr="00F57624">
        <w:rPr>
          <w:rFonts w:ascii="Arial Narrow" w:hAnsi="Arial Narrow"/>
        </w:rPr>
        <w:t>8</w:t>
      </w:r>
      <w:r w:rsidR="007D2366" w:rsidRPr="00F57624">
        <w:rPr>
          <w:rFonts w:ascii="Arial Narrow" w:hAnsi="Arial Narrow"/>
        </w:rPr>
        <w:t xml:space="preserve">). </w:t>
      </w:r>
      <w:r w:rsidR="00712EAD" w:rsidRPr="00F57624">
        <w:rPr>
          <w:rFonts w:ascii="Arial Narrow" w:hAnsi="Arial Narrow"/>
        </w:rPr>
        <w:t xml:space="preserve">Na </w:t>
      </w:r>
      <w:r w:rsidR="00DF7581">
        <w:rPr>
          <w:rFonts w:ascii="Arial Narrow" w:hAnsi="Arial Narrow"/>
        </w:rPr>
        <w:t>podporu znižovania</w:t>
      </w:r>
      <w:r w:rsidR="00712EAD" w:rsidRPr="00F57624">
        <w:rPr>
          <w:rFonts w:ascii="Arial Narrow" w:hAnsi="Arial Narrow"/>
        </w:rPr>
        <w:t xml:space="preserve"> dlhodobej nezamestnanosti bude </w:t>
      </w:r>
      <w:r w:rsidR="008229F0" w:rsidRPr="00F57624">
        <w:rPr>
          <w:rFonts w:ascii="Arial Narrow" w:hAnsi="Arial Narrow"/>
        </w:rPr>
        <w:t>pokračovať</w:t>
      </w:r>
      <w:r w:rsidR="00712EAD" w:rsidRPr="00F57624">
        <w:rPr>
          <w:rFonts w:ascii="Arial Narrow" w:hAnsi="Arial Narrow"/>
        </w:rPr>
        <w:t xml:space="preserve"> implementácia akčného plánu opatrení aj v roku 2019</w:t>
      </w:r>
      <w:r w:rsidR="008229F0" w:rsidRPr="00F57624">
        <w:rPr>
          <w:rFonts w:ascii="Arial Narrow" w:hAnsi="Arial Narrow"/>
        </w:rPr>
        <w:t xml:space="preserve">. </w:t>
      </w:r>
      <w:r w:rsidR="00B956DD">
        <w:rPr>
          <w:rFonts w:ascii="Arial Narrow" w:hAnsi="Arial Narrow"/>
        </w:rPr>
        <w:t>Realizujú</w:t>
      </w:r>
      <w:r w:rsidR="00712EAD" w:rsidRPr="00F57624">
        <w:rPr>
          <w:rFonts w:ascii="Arial Narrow" w:hAnsi="Arial Narrow"/>
        </w:rPr>
        <w:t xml:space="preserve"> sa projekty rekvalifikácie</w:t>
      </w:r>
      <w:r w:rsidR="008229F0" w:rsidRPr="00F57624">
        <w:rPr>
          <w:rFonts w:ascii="Arial Narrow" w:hAnsi="Arial Narrow"/>
        </w:rPr>
        <w:t xml:space="preserve"> a</w:t>
      </w:r>
      <w:r w:rsidR="00712EAD" w:rsidRPr="00F57624">
        <w:rPr>
          <w:rFonts w:ascii="Arial Narrow" w:hAnsi="Arial Narrow"/>
        </w:rPr>
        <w:t> vzdelávania</w:t>
      </w:r>
      <w:r w:rsidR="00AC3718" w:rsidRPr="00F57624">
        <w:rPr>
          <w:rFonts w:ascii="Arial Narrow" w:hAnsi="Arial Narrow"/>
        </w:rPr>
        <w:t xml:space="preserve"> zamestnancov a</w:t>
      </w:r>
      <w:r w:rsidR="00712EAD" w:rsidRPr="00F57624">
        <w:rPr>
          <w:rFonts w:ascii="Arial Narrow" w:hAnsi="Arial Narrow"/>
        </w:rPr>
        <w:t> </w:t>
      </w:r>
      <w:r w:rsidR="007F2923" w:rsidRPr="00F57624">
        <w:rPr>
          <w:rFonts w:ascii="Arial Narrow" w:hAnsi="Arial Narrow"/>
        </w:rPr>
        <w:t xml:space="preserve"> </w:t>
      </w:r>
      <w:proofErr w:type="spellStart"/>
      <w:r w:rsidR="008229F0" w:rsidRPr="00F57624">
        <w:rPr>
          <w:rFonts w:ascii="Arial Narrow" w:hAnsi="Arial Narrow"/>
        </w:rPr>
        <w:t>UoZ</w:t>
      </w:r>
      <w:proofErr w:type="spellEnd"/>
      <w:r w:rsidR="008229F0" w:rsidRPr="00F57624">
        <w:rPr>
          <w:rFonts w:ascii="Arial Narrow" w:hAnsi="Arial Narrow"/>
        </w:rPr>
        <w:t>. Podporí sa budovanie kapacít zariadení starostlivosti o deti do troch rokov</w:t>
      </w:r>
      <w:r w:rsidR="00740C43" w:rsidRPr="00F57624">
        <w:rPr>
          <w:rFonts w:ascii="Arial Narrow" w:hAnsi="Arial Narrow"/>
        </w:rPr>
        <w:t xml:space="preserve">, </w:t>
      </w:r>
      <w:r w:rsidR="00740C43" w:rsidRPr="00F57624">
        <w:rPr>
          <w:rFonts w:ascii="Arial Narrow" w:hAnsi="Arial Narrow"/>
          <w:bCs/>
        </w:rPr>
        <w:t xml:space="preserve">ktoré uľahčí matkám </w:t>
      </w:r>
      <w:r w:rsidR="00712EAD" w:rsidRPr="00F57624">
        <w:rPr>
          <w:rFonts w:ascii="Arial Narrow" w:hAnsi="Arial Narrow"/>
          <w:bCs/>
        </w:rPr>
        <w:t xml:space="preserve">na rodičovskej dovolenke </w:t>
      </w:r>
      <w:r w:rsidR="00740C43" w:rsidRPr="00F57624">
        <w:rPr>
          <w:rFonts w:ascii="Arial Narrow" w:hAnsi="Arial Narrow"/>
          <w:bCs/>
        </w:rPr>
        <w:t>návrat na trh práce</w:t>
      </w:r>
      <w:r w:rsidR="008229F0" w:rsidRPr="00F57624">
        <w:rPr>
          <w:rFonts w:ascii="Arial Narrow" w:hAnsi="Arial Narrow"/>
        </w:rPr>
        <w:t xml:space="preserve">. </w:t>
      </w:r>
      <w:r w:rsidR="00963A63" w:rsidRPr="00F57624">
        <w:rPr>
          <w:rFonts w:ascii="Arial Narrow" w:hAnsi="Arial Narrow"/>
        </w:rPr>
        <w:t xml:space="preserve">Aj v ďalšom období bude pokračovať implementácia opatrení na zlepšenie sociálnej integrácie </w:t>
      </w:r>
      <w:r w:rsidR="007F2923">
        <w:rPr>
          <w:rFonts w:ascii="Arial Narrow" w:hAnsi="Arial Narrow"/>
        </w:rPr>
        <w:t>ľudí z MRK</w:t>
      </w:r>
      <w:r w:rsidR="00963A63" w:rsidRPr="00F57624">
        <w:rPr>
          <w:rFonts w:ascii="Arial Narrow" w:hAnsi="Arial Narrow"/>
        </w:rPr>
        <w:t>.</w:t>
      </w:r>
    </w:p>
    <w:p w14:paraId="4DC538EB" w14:textId="77777777" w:rsidR="00A94D26" w:rsidRPr="004C54B9" w:rsidRDefault="00A94D26" w:rsidP="004C54B9">
      <w:pPr>
        <w:pStyle w:val="Odsekzoznamu"/>
        <w:tabs>
          <w:tab w:val="left" w:pos="426"/>
        </w:tabs>
        <w:spacing w:after="0" w:line="240" w:lineRule="auto"/>
        <w:ind w:left="0"/>
        <w:contextualSpacing w:val="0"/>
        <w:jc w:val="both"/>
        <w:rPr>
          <w:rFonts w:ascii="Arial Narrow" w:hAnsi="Arial Narrow"/>
          <w:highlight w:val="yellow"/>
        </w:rPr>
      </w:pPr>
    </w:p>
    <w:p w14:paraId="22257401" w14:textId="261C6ECA" w:rsidR="00A94D26" w:rsidRPr="008D10A1" w:rsidRDefault="00F871C0" w:rsidP="0062680A">
      <w:pPr>
        <w:spacing w:after="0" w:line="240" w:lineRule="auto"/>
        <w:jc w:val="both"/>
        <w:rPr>
          <w:rFonts w:ascii="Arial Narrow" w:hAnsi="Arial Narrow"/>
          <w:highlight w:val="yellow"/>
        </w:rPr>
      </w:pPr>
      <w:r w:rsidRPr="00F871C0">
        <w:rPr>
          <w:rFonts w:ascii="Arial Narrow" w:hAnsi="Arial Narrow"/>
          <w:b/>
        </w:rPr>
        <w:t xml:space="preserve">Vládou schválený </w:t>
      </w:r>
      <w:r w:rsidRPr="00F871C0">
        <w:rPr>
          <w:rFonts w:ascii="Arial Narrow" w:hAnsi="Arial Narrow"/>
          <w:b/>
          <w:i/>
        </w:rPr>
        <w:t>Národný program rozvoja výchovy a</w:t>
      </w:r>
      <w:r w:rsidR="00F57624">
        <w:rPr>
          <w:rFonts w:ascii="Arial Narrow" w:hAnsi="Arial Narrow"/>
          <w:b/>
          <w:i/>
        </w:rPr>
        <w:t> </w:t>
      </w:r>
      <w:r w:rsidRPr="00F871C0">
        <w:rPr>
          <w:rFonts w:ascii="Arial Narrow" w:hAnsi="Arial Narrow"/>
          <w:b/>
          <w:i/>
        </w:rPr>
        <w:t>vzdelávania</w:t>
      </w:r>
      <w:r w:rsidR="00F57624">
        <w:rPr>
          <w:rFonts w:ascii="Arial Narrow" w:hAnsi="Arial Narrow"/>
          <w:b/>
        </w:rPr>
        <w:t xml:space="preserve"> </w:t>
      </w:r>
      <w:r w:rsidRPr="00F871C0">
        <w:rPr>
          <w:rFonts w:ascii="Arial Narrow" w:hAnsi="Arial Narrow"/>
          <w:b/>
        </w:rPr>
        <w:t xml:space="preserve">je strategickým rámcom v oblasti zvýšenia kvality vzdelávania </w:t>
      </w:r>
      <w:r w:rsidR="00294729">
        <w:rPr>
          <w:rFonts w:ascii="Arial Narrow" w:hAnsi="Arial Narrow"/>
          <w:b/>
        </w:rPr>
        <w:t xml:space="preserve">v </w:t>
      </w:r>
      <w:r w:rsidRPr="00F871C0">
        <w:rPr>
          <w:rFonts w:ascii="Arial Narrow" w:hAnsi="Arial Narrow"/>
          <w:b/>
        </w:rPr>
        <w:t xml:space="preserve">desaťročnom </w:t>
      </w:r>
      <w:r w:rsidRPr="008D10A1">
        <w:rPr>
          <w:rFonts w:ascii="Arial Narrow" w:hAnsi="Arial Narrow"/>
          <w:b/>
        </w:rPr>
        <w:t>horizonte.</w:t>
      </w:r>
      <w:r w:rsidRPr="008D10A1">
        <w:rPr>
          <w:rFonts w:ascii="Arial Narrow" w:hAnsi="Arial Narrow"/>
        </w:rPr>
        <w:t xml:space="preserve"> </w:t>
      </w:r>
      <w:r w:rsidR="00A94D26" w:rsidRPr="008D10A1">
        <w:rPr>
          <w:rFonts w:ascii="Arial Narrow" w:hAnsi="Arial Narrow"/>
        </w:rPr>
        <w:t xml:space="preserve">Pokračuje zvyšovanie atraktivity učiteľského povolania najmä </w:t>
      </w:r>
      <w:r w:rsidR="00283345" w:rsidRPr="008D10A1">
        <w:rPr>
          <w:rFonts w:ascii="Arial Narrow" w:hAnsi="Arial Narrow"/>
        </w:rPr>
        <w:t xml:space="preserve">opakovaným </w:t>
      </w:r>
      <w:r w:rsidR="00A94D26" w:rsidRPr="008D10A1">
        <w:rPr>
          <w:rFonts w:ascii="Arial Narrow" w:hAnsi="Arial Narrow"/>
        </w:rPr>
        <w:t>zvyšovaním platov u</w:t>
      </w:r>
      <w:r w:rsidR="00BD1EEE" w:rsidRPr="008D10A1">
        <w:rPr>
          <w:rFonts w:ascii="Arial Narrow" w:hAnsi="Arial Narrow"/>
        </w:rPr>
        <w:t>čiteľov</w:t>
      </w:r>
      <w:r w:rsidR="00E23D3E" w:rsidRPr="008D10A1">
        <w:rPr>
          <w:rFonts w:ascii="Arial Narrow" w:hAnsi="Arial Narrow"/>
        </w:rPr>
        <w:t xml:space="preserve">, ktoré presahuje rámec deklarovaný </w:t>
      </w:r>
      <w:r w:rsidR="00E23D3E" w:rsidRPr="008D10A1">
        <w:rPr>
          <w:rFonts w:ascii="Arial Narrow" w:hAnsi="Arial Narrow"/>
          <w:i/>
        </w:rPr>
        <w:t>Programovým vyhlásením vlády SR</w:t>
      </w:r>
      <w:r w:rsidR="00E23D3E" w:rsidRPr="008D10A1">
        <w:rPr>
          <w:rFonts w:ascii="Arial Narrow" w:hAnsi="Arial Narrow"/>
        </w:rPr>
        <w:t xml:space="preserve">. </w:t>
      </w:r>
      <w:r w:rsidR="00477F62" w:rsidRPr="008D10A1">
        <w:rPr>
          <w:rFonts w:ascii="Arial Narrow" w:hAnsi="Arial Narrow"/>
        </w:rPr>
        <w:t>Ďalšie prostriedky sa  v štátnom rozpočte vyčlenili n</w:t>
      </w:r>
      <w:r w:rsidR="0053061C" w:rsidRPr="008D10A1">
        <w:rPr>
          <w:rFonts w:ascii="Arial Narrow" w:hAnsi="Arial Narrow"/>
        </w:rPr>
        <w:t>a</w:t>
      </w:r>
      <w:r w:rsidR="00914318" w:rsidRPr="008D10A1">
        <w:rPr>
          <w:rFonts w:ascii="Arial Narrow" w:hAnsi="Arial Narrow"/>
        </w:rPr>
        <w:t xml:space="preserve"> zvyšovanie tarifných platov pre začínajúcich učiteľov od septembra 2019</w:t>
      </w:r>
      <w:r w:rsidR="00477F62" w:rsidRPr="008D10A1">
        <w:rPr>
          <w:rFonts w:ascii="Arial Narrow" w:hAnsi="Arial Narrow"/>
        </w:rPr>
        <w:t>.</w:t>
      </w:r>
      <w:r w:rsidR="008F0A7E" w:rsidRPr="008D10A1">
        <w:rPr>
          <w:rFonts w:ascii="Arial Narrow" w:hAnsi="Arial Narrow"/>
        </w:rPr>
        <w:t xml:space="preserve"> </w:t>
      </w:r>
      <w:r w:rsidR="001A4BA3" w:rsidRPr="008D10A1">
        <w:rPr>
          <w:rFonts w:ascii="Arial Narrow" w:hAnsi="Arial Narrow"/>
        </w:rPr>
        <w:t>Nový</w:t>
      </w:r>
      <w:r w:rsidR="007B7C04" w:rsidRPr="008D10A1">
        <w:rPr>
          <w:rFonts w:ascii="Arial Narrow" w:hAnsi="Arial Narrow"/>
        </w:rPr>
        <w:t xml:space="preserve"> zákon o pedagogických a odborných zamestnancoch</w:t>
      </w:r>
      <w:r w:rsidR="007B7C04" w:rsidRPr="008D10A1">
        <w:rPr>
          <w:rStyle w:val="Odkaznapoznmkupodiarou"/>
          <w:rFonts w:ascii="Arial Narrow" w:hAnsi="Arial Narrow"/>
        </w:rPr>
        <w:footnoteReference w:id="2"/>
      </w:r>
      <w:r w:rsidR="001A4BA3" w:rsidRPr="008D10A1">
        <w:rPr>
          <w:rFonts w:ascii="Arial Narrow" w:hAnsi="Arial Narrow"/>
        </w:rPr>
        <w:t xml:space="preserve"> </w:t>
      </w:r>
      <w:r w:rsidR="007B7C04" w:rsidRPr="008D10A1">
        <w:rPr>
          <w:rFonts w:ascii="Arial Narrow" w:hAnsi="Arial Narrow"/>
        </w:rPr>
        <w:t>sa zameriava na zlepšenie väzby medzi odmeňovaním učiteľov a kvalitou ich výučby úpravou atestačného konania, ktoré je podmienkou pre kariérny rast. Zmeny v duálnom vzdelávaní podporujú participáciu škôl a zamestnávateľov znižovaním bariér pre vstup do systému. V oblasti vysokého školstva sa reformuje proces akreditácie s cieľom napĺňať európske štandardy</w:t>
      </w:r>
      <w:r w:rsidR="00C04519" w:rsidRPr="008D10A1">
        <w:rPr>
          <w:rFonts w:ascii="Arial Narrow" w:hAnsi="Arial Narrow"/>
        </w:rPr>
        <w:t xml:space="preserve"> a </w:t>
      </w:r>
      <w:r w:rsidR="007B7C04" w:rsidRPr="008D10A1">
        <w:rPr>
          <w:rFonts w:ascii="Arial Narrow" w:hAnsi="Arial Narrow"/>
        </w:rPr>
        <w:t xml:space="preserve"> umožní </w:t>
      </w:r>
      <w:r w:rsidR="00C04519" w:rsidRPr="008D10A1">
        <w:rPr>
          <w:rFonts w:ascii="Arial Narrow" w:hAnsi="Arial Narrow"/>
        </w:rPr>
        <w:t xml:space="preserve">sa </w:t>
      </w:r>
      <w:r w:rsidR="007B7C04" w:rsidRPr="008D10A1">
        <w:rPr>
          <w:rFonts w:ascii="Arial Narrow" w:hAnsi="Arial Narrow"/>
        </w:rPr>
        <w:t>hodnotenie výskumnej činnosti vysokých škôl externými odborníkmi</w:t>
      </w:r>
      <w:r w:rsidR="007D34CA" w:rsidRPr="008D10A1">
        <w:rPr>
          <w:rFonts w:ascii="Arial Narrow" w:hAnsi="Arial Narrow"/>
        </w:rPr>
        <w:t>.</w:t>
      </w:r>
      <w:r w:rsidR="007B7C04" w:rsidRPr="008D10A1">
        <w:rPr>
          <w:rFonts w:ascii="Arial Narrow" w:hAnsi="Arial Narrow"/>
        </w:rPr>
        <w:t xml:space="preserve"> </w:t>
      </w:r>
      <w:r w:rsidR="007D34CA" w:rsidRPr="008D10A1">
        <w:rPr>
          <w:rFonts w:ascii="Arial Narrow" w:hAnsi="Arial Narrow"/>
        </w:rPr>
        <w:t>P</w:t>
      </w:r>
      <w:r w:rsidR="007B7C04" w:rsidRPr="008D10A1">
        <w:rPr>
          <w:rFonts w:ascii="Arial Narrow" w:hAnsi="Arial Narrow"/>
        </w:rPr>
        <w:t>lánovaná podpora profesijne orientovaných vysokoškolských študijných programov zabezpečí lepšiu prepojenosť s trhom práce</w:t>
      </w:r>
      <w:r w:rsidR="007D34CA" w:rsidRPr="008D10A1">
        <w:rPr>
          <w:rFonts w:ascii="Arial Narrow" w:hAnsi="Arial Narrow"/>
        </w:rPr>
        <w:t xml:space="preserve">. </w:t>
      </w:r>
      <w:r w:rsidR="00914318" w:rsidRPr="008D10A1">
        <w:rPr>
          <w:rFonts w:ascii="Arial Narrow" w:hAnsi="Arial Narrow"/>
        </w:rPr>
        <w:t xml:space="preserve">Bude sa pokračovať v zavádzaní opatrení na vyrovnávanie rozdielov vo výsledkoch žiakov </w:t>
      </w:r>
      <w:r w:rsidR="00294729">
        <w:rPr>
          <w:rFonts w:ascii="Arial Narrow" w:hAnsi="Arial Narrow"/>
        </w:rPr>
        <w:t xml:space="preserve">ovplyvnených </w:t>
      </w:r>
      <w:r w:rsidR="00914318" w:rsidRPr="008D10A1">
        <w:rPr>
          <w:rFonts w:ascii="Arial Narrow" w:hAnsi="Arial Narrow"/>
        </w:rPr>
        <w:t xml:space="preserve">ich </w:t>
      </w:r>
      <w:r w:rsidR="0053061C" w:rsidRPr="008D10A1">
        <w:rPr>
          <w:rFonts w:ascii="Arial Narrow" w:hAnsi="Arial Narrow"/>
        </w:rPr>
        <w:t>socioekonomick</w:t>
      </w:r>
      <w:r w:rsidR="00294729">
        <w:rPr>
          <w:rFonts w:ascii="Arial Narrow" w:hAnsi="Arial Narrow"/>
        </w:rPr>
        <w:t xml:space="preserve">ým </w:t>
      </w:r>
      <w:r w:rsidR="00914318" w:rsidRPr="008D10A1">
        <w:rPr>
          <w:rFonts w:ascii="Arial Narrow" w:hAnsi="Arial Narrow"/>
        </w:rPr>
        <w:t>zázem</w:t>
      </w:r>
      <w:r w:rsidR="00294729">
        <w:rPr>
          <w:rFonts w:ascii="Arial Narrow" w:hAnsi="Arial Narrow"/>
        </w:rPr>
        <w:t>ím</w:t>
      </w:r>
      <w:r w:rsidR="00914318" w:rsidRPr="008D10A1">
        <w:rPr>
          <w:rFonts w:ascii="Arial Narrow" w:hAnsi="Arial Narrow"/>
        </w:rPr>
        <w:t>.</w:t>
      </w:r>
    </w:p>
    <w:p w14:paraId="11E00722" w14:textId="77777777" w:rsidR="00C115CA" w:rsidRPr="008D10A1" w:rsidRDefault="00C115CA" w:rsidP="0062680A">
      <w:pPr>
        <w:spacing w:after="0" w:line="240" w:lineRule="auto"/>
        <w:jc w:val="both"/>
        <w:rPr>
          <w:rFonts w:ascii="Arial Narrow" w:hAnsi="Arial Narrow"/>
          <w:highlight w:val="yellow"/>
        </w:rPr>
      </w:pPr>
    </w:p>
    <w:p w14:paraId="5A7E62BD" w14:textId="5A1EFFD3" w:rsidR="006840DD" w:rsidRDefault="00264F41" w:rsidP="004C54B9">
      <w:pPr>
        <w:spacing w:after="0" w:line="240" w:lineRule="auto"/>
        <w:jc w:val="both"/>
        <w:rPr>
          <w:rFonts w:ascii="Arial Narrow" w:hAnsi="Arial Narrow"/>
        </w:rPr>
      </w:pPr>
      <w:r w:rsidRPr="004C54B9">
        <w:rPr>
          <w:rFonts w:ascii="Arial Narrow" w:hAnsi="Arial Narrow"/>
          <w:b/>
        </w:rPr>
        <w:t xml:space="preserve">Postupná implementácia opatrení </w:t>
      </w:r>
      <w:r w:rsidR="002B0601">
        <w:rPr>
          <w:rFonts w:ascii="Arial Narrow" w:hAnsi="Arial Narrow"/>
          <w:b/>
        </w:rPr>
        <w:t xml:space="preserve">v oblasti úhrady liekov a pomôcok a obstarávaní </w:t>
      </w:r>
      <w:r w:rsidR="00AC52B5">
        <w:rPr>
          <w:rFonts w:ascii="Arial Narrow" w:hAnsi="Arial Narrow"/>
          <w:b/>
        </w:rPr>
        <w:t xml:space="preserve">v nemocniciach </w:t>
      </w:r>
      <w:r w:rsidRPr="004C54B9">
        <w:rPr>
          <w:rFonts w:ascii="Arial Narrow" w:hAnsi="Arial Narrow"/>
          <w:b/>
        </w:rPr>
        <w:t>priebežne zlepšuje nákladovú efektívnosť vybraných častí systému</w:t>
      </w:r>
      <w:r w:rsidR="00477F62">
        <w:rPr>
          <w:rFonts w:ascii="Arial Narrow" w:hAnsi="Arial Narrow"/>
          <w:b/>
        </w:rPr>
        <w:t xml:space="preserve"> zdravotníctva</w:t>
      </w:r>
      <w:r w:rsidRPr="004C54B9">
        <w:rPr>
          <w:rFonts w:ascii="Arial Narrow" w:hAnsi="Arial Narrow"/>
          <w:b/>
        </w:rPr>
        <w:t>.</w:t>
      </w:r>
      <w:r w:rsidRPr="004C54B9">
        <w:rPr>
          <w:rFonts w:ascii="Arial Narrow" w:hAnsi="Arial Narrow"/>
        </w:rPr>
        <w:t xml:space="preserve"> </w:t>
      </w:r>
      <w:r w:rsidR="00815375">
        <w:rPr>
          <w:rFonts w:ascii="Arial Narrow" w:hAnsi="Arial Narrow"/>
        </w:rPr>
        <w:t>V</w:t>
      </w:r>
      <w:r w:rsidR="00815375" w:rsidRPr="00815375">
        <w:rPr>
          <w:rFonts w:ascii="Arial Narrow" w:hAnsi="Arial Narrow"/>
        </w:rPr>
        <w:t>ýdavky na zdravotníctvo rastú v s</w:t>
      </w:r>
      <w:r w:rsidR="00815375">
        <w:rPr>
          <w:rFonts w:ascii="Arial Narrow" w:hAnsi="Arial Narrow"/>
        </w:rPr>
        <w:t>úlade s medzinárodnými trendami.</w:t>
      </w:r>
      <w:r w:rsidR="00815375" w:rsidRPr="00815375">
        <w:rPr>
          <w:rFonts w:ascii="Arial Narrow" w:hAnsi="Arial Narrow"/>
        </w:rPr>
        <w:t xml:space="preserve"> </w:t>
      </w:r>
      <w:r w:rsidR="00815375">
        <w:rPr>
          <w:rFonts w:ascii="Arial Narrow" w:hAnsi="Arial Narrow"/>
        </w:rPr>
        <w:t xml:space="preserve">Slovensko však </w:t>
      </w:r>
      <w:r w:rsidR="00815375" w:rsidRPr="00815375">
        <w:rPr>
          <w:rFonts w:ascii="Arial Narrow" w:hAnsi="Arial Narrow"/>
        </w:rPr>
        <w:t>zaostá</w:t>
      </w:r>
      <w:r w:rsidR="00815375">
        <w:rPr>
          <w:rFonts w:ascii="Arial Narrow" w:hAnsi="Arial Narrow"/>
        </w:rPr>
        <w:t xml:space="preserve">va </w:t>
      </w:r>
      <w:r w:rsidR="00815375" w:rsidRPr="00815375">
        <w:rPr>
          <w:rFonts w:ascii="Arial Narrow" w:hAnsi="Arial Narrow"/>
        </w:rPr>
        <w:t>vo výsledkových ukazovateľoch a v porovnaní s priemerom krajín OECD zostáva slovenské zdravotníctvo dlhodobo menej efektívne</w:t>
      </w:r>
      <w:r w:rsidR="00815375">
        <w:rPr>
          <w:rFonts w:ascii="Arial Narrow" w:hAnsi="Arial Narrow"/>
        </w:rPr>
        <w:t xml:space="preserve">. </w:t>
      </w:r>
      <w:r w:rsidR="00815375" w:rsidRPr="00815375">
        <w:rPr>
          <w:rFonts w:ascii="Arial Narrow" w:hAnsi="Arial Narrow"/>
        </w:rPr>
        <w:t>Zavedenie systému rozpočtovania založeného na výsledkoch pomôže naviazať prideľované zdroje na výsledky.</w:t>
      </w:r>
      <w:r w:rsidR="00815375">
        <w:rPr>
          <w:rFonts w:ascii="Arial Narrow" w:hAnsi="Arial Narrow"/>
        </w:rPr>
        <w:t xml:space="preserve"> </w:t>
      </w:r>
      <w:r w:rsidR="00815375" w:rsidRPr="00815375">
        <w:rPr>
          <w:rFonts w:ascii="Arial Narrow" w:hAnsi="Arial Narrow"/>
        </w:rPr>
        <w:t xml:space="preserve">Systém platieb nemocniciam podľa diagnóz (DRG) </w:t>
      </w:r>
      <w:r w:rsidR="0003738F">
        <w:rPr>
          <w:rFonts w:ascii="Arial Narrow" w:hAnsi="Arial Narrow"/>
        </w:rPr>
        <w:t xml:space="preserve">a pripravovaná cenová regulácia všetkých zdravotníckych výkonov </w:t>
      </w:r>
      <w:r w:rsidR="00815375" w:rsidRPr="00815375">
        <w:rPr>
          <w:rFonts w:ascii="Arial Narrow" w:hAnsi="Arial Narrow"/>
        </w:rPr>
        <w:t>zvýši</w:t>
      </w:r>
      <w:r w:rsidR="0003738F">
        <w:rPr>
          <w:rFonts w:ascii="Arial Narrow" w:hAnsi="Arial Narrow"/>
        </w:rPr>
        <w:t>a</w:t>
      </w:r>
      <w:r w:rsidR="00815375" w:rsidRPr="00815375">
        <w:rPr>
          <w:rFonts w:ascii="Arial Narrow" w:hAnsi="Arial Narrow"/>
        </w:rPr>
        <w:t xml:space="preserve"> transpar</w:t>
      </w:r>
      <w:r w:rsidR="00815375">
        <w:rPr>
          <w:rFonts w:ascii="Arial Narrow" w:hAnsi="Arial Narrow"/>
        </w:rPr>
        <w:t xml:space="preserve">entnosť a spravodlivosť platieb. </w:t>
      </w:r>
      <w:r w:rsidR="00000575" w:rsidRPr="00815375">
        <w:rPr>
          <w:rFonts w:ascii="Arial Narrow" w:hAnsi="Arial Narrow"/>
        </w:rPr>
        <w:t>Projekt stratifikácie ústavnej zdravotnej starostlivosti bude v roku 2019 pokračovať zverejnením konkrétneho plánu zmien v sieti nemocníc.</w:t>
      </w:r>
      <w:r w:rsidR="00000575">
        <w:rPr>
          <w:rFonts w:ascii="Arial Narrow" w:hAnsi="Arial Narrow"/>
        </w:rPr>
        <w:t xml:space="preserve"> Zároveň v nemocniciach prebiehajú rekonštrukcie a obnova prístrojového vybavenia zo zdrojov štátneho rozpočtu nad rámec zdravotného poistenia. </w:t>
      </w:r>
      <w:r w:rsidR="00000575" w:rsidRPr="00000575">
        <w:rPr>
          <w:rFonts w:ascii="Arial Narrow" w:hAnsi="Arial Narrow"/>
        </w:rPr>
        <w:t xml:space="preserve"> </w:t>
      </w:r>
      <w:r w:rsidR="00000575">
        <w:rPr>
          <w:rFonts w:ascii="Arial Narrow" w:hAnsi="Arial Narrow"/>
        </w:rPr>
        <w:t xml:space="preserve">V roku 2019 budú spustené skríningové programy na </w:t>
      </w:r>
      <w:r w:rsidR="00000575" w:rsidRPr="002F4FCD">
        <w:rPr>
          <w:rFonts w:ascii="Arial Narrow" w:hAnsi="Arial Narrow"/>
        </w:rPr>
        <w:t>včasné odhalenie nádorových ochorení</w:t>
      </w:r>
      <w:r w:rsidR="00000575">
        <w:rPr>
          <w:rFonts w:ascii="Arial Narrow" w:hAnsi="Arial Narrow"/>
        </w:rPr>
        <w:t>.</w:t>
      </w:r>
      <w:r w:rsidR="00000575" w:rsidRPr="00396238">
        <w:rPr>
          <w:rFonts w:ascii="Arial Narrow" w:hAnsi="Arial Narrow"/>
        </w:rPr>
        <w:t xml:space="preserve"> </w:t>
      </w:r>
      <w:r w:rsidR="00005005" w:rsidRPr="00396238">
        <w:rPr>
          <w:rFonts w:ascii="Arial Narrow" w:hAnsi="Arial Narrow"/>
        </w:rPr>
        <w:t>Druhá revízia výdavkov v roku 2019 prinesie ďalšie návrhy opatrení na zvyšovanie efektívnosti v zdravotníctve, rast kvality poskytovanej starostlivosti a zlepšovanie výsledkov.</w:t>
      </w:r>
      <w:r w:rsidR="00815375">
        <w:rPr>
          <w:rFonts w:ascii="Arial Narrow" w:hAnsi="Arial Narrow"/>
        </w:rPr>
        <w:t xml:space="preserve"> </w:t>
      </w:r>
    </w:p>
    <w:p w14:paraId="3D9EE020" w14:textId="77777777" w:rsidR="00CF0E4F" w:rsidRDefault="00CF0E4F" w:rsidP="004C54B9">
      <w:pPr>
        <w:spacing w:after="0" w:line="240" w:lineRule="auto"/>
        <w:jc w:val="both"/>
        <w:rPr>
          <w:rFonts w:ascii="Arial Narrow" w:hAnsi="Arial Narrow"/>
        </w:rPr>
      </w:pPr>
    </w:p>
    <w:p w14:paraId="130901F2" w14:textId="0F4F038A" w:rsidR="007D2366" w:rsidRPr="004C54B9" w:rsidRDefault="00CF0E4F" w:rsidP="004C54B9">
      <w:pPr>
        <w:spacing w:after="0" w:line="240" w:lineRule="auto"/>
        <w:jc w:val="both"/>
        <w:rPr>
          <w:rFonts w:ascii="Arial Narrow" w:hAnsi="Arial Narrow"/>
        </w:rPr>
      </w:pPr>
      <w:r>
        <w:rPr>
          <w:rFonts w:ascii="Arial Narrow" w:hAnsi="Arial Narrow"/>
          <w:b/>
          <w:bCs/>
        </w:rPr>
        <w:t>I</w:t>
      </w:r>
      <w:r w:rsidR="00006AA4" w:rsidRPr="004C54B9">
        <w:rPr>
          <w:rFonts w:ascii="Arial Narrow" w:hAnsi="Arial Narrow"/>
          <w:b/>
          <w:bCs/>
        </w:rPr>
        <w:t>nštitucionálne usporiadani</w:t>
      </w:r>
      <w:r>
        <w:rPr>
          <w:rFonts w:ascii="Arial Narrow" w:hAnsi="Arial Narrow"/>
          <w:b/>
          <w:bCs/>
        </w:rPr>
        <w:t>e</w:t>
      </w:r>
      <w:r w:rsidR="00006AA4" w:rsidRPr="004C54B9">
        <w:rPr>
          <w:rFonts w:ascii="Arial Narrow" w:hAnsi="Arial Narrow"/>
          <w:b/>
          <w:bCs/>
        </w:rPr>
        <w:t xml:space="preserve"> projektu </w:t>
      </w:r>
      <w:r w:rsidR="00006AA4" w:rsidRPr="004C54B9">
        <w:rPr>
          <w:rFonts w:ascii="Arial Narrow" w:hAnsi="Arial Narrow"/>
          <w:b/>
          <w:bCs/>
          <w:i/>
        </w:rPr>
        <w:t>Hodnota za peniaze</w:t>
      </w:r>
      <w:r w:rsidR="00006AA4" w:rsidRPr="004C54B9">
        <w:rPr>
          <w:rFonts w:ascii="Arial Narrow" w:hAnsi="Arial Narrow"/>
          <w:b/>
          <w:bCs/>
        </w:rPr>
        <w:t xml:space="preserve"> </w:t>
      </w:r>
      <w:r>
        <w:rPr>
          <w:rFonts w:ascii="Arial Narrow" w:hAnsi="Arial Narrow"/>
          <w:b/>
          <w:bCs/>
        </w:rPr>
        <w:t xml:space="preserve">bolo v rozpočtovom procese </w:t>
      </w:r>
      <w:r w:rsidRPr="004C54B9">
        <w:rPr>
          <w:rFonts w:ascii="Arial Narrow" w:hAnsi="Arial Narrow"/>
          <w:b/>
        </w:rPr>
        <w:t>ukotven</w:t>
      </w:r>
      <w:r>
        <w:rPr>
          <w:rFonts w:ascii="Arial Narrow" w:hAnsi="Arial Narrow"/>
          <w:b/>
        </w:rPr>
        <w:t>é</w:t>
      </w:r>
      <w:r w:rsidRPr="004C54B9">
        <w:rPr>
          <w:rFonts w:ascii="Arial Narrow" w:hAnsi="Arial Narrow"/>
          <w:b/>
        </w:rPr>
        <w:t xml:space="preserve"> </w:t>
      </w:r>
      <w:r w:rsidR="00006AA4" w:rsidRPr="004C54B9">
        <w:rPr>
          <w:rFonts w:ascii="Arial Narrow" w:hAnsi="Arial Narrow"/>
          <w:b/>
        </w:rPr>
        <w:t xml:space="preserve">prostredníctvom zákona o rozpočtových pravidlách. </w:t>
      </w:r>
      <w:r w:rsidR="00006AA4" w:rsidRPr="004C54B9">
        <w:rPr>
          <w:rFonts w:ascii="Arial Narrow" w:hAnsi="Arial Narrow"/>
        </w:rPr>
        <w:t xml:space="preserve">V roku 2019 budú dokončené revízie výdavkov na pôdohospodárstvo, zdravotníctvo, výdavkov na začleňovanie skupín ohrozených chudobou a sociálnym vylúčením, </w:t>
      </w:r>
      <w:r w:rsidR="00D30418">
        <w:rPr>
          <w:rFonts w:ascii="Arial Narrow" w:hAnsi="Arial Narrow"/>
        </w:rPr>
        <w:t xml:space="preserve">a výdavkov na </w:t>
      </w:r>
      <w:r w:rsidR="00006AA4" w:rsidRPr="004C54B9">
        <w:rPr>
          <w:rFonts w:ascii="Arial Narrow" w:hAnsi="Arial Narrow"/>
        </w:rPr>
        <w:t xml:space="preserve">zamestnanosť a odmeňovanie vo verejnej správe. </w:t>
      </w:r>
    </w:p>
    <w:p w14:paraId="5B9C5DFB" w14:textId="77777777" w:rsidR="00006AA4" w:rsidRPr="004C54B9" w:rsidRDefault="00006AA4" w:rsidP="004C54B9">
      <w:pPr>
        <w:spacing w:after="0" w:line="240" w:lineRule="auto"/>
        <w:jc w:val="both"/>
        <w:rPr>
          <w:rFonts w:ascii="Arial Narrow" w:hAnsi="Arial Narrow"/>
        </w:rPr>
      </w:pPr>
    </w:p>
    <w:p w14:paraId="18CE4173" w14:textId="47A8A558" w:rsidR="00E12610" w:rsidRDefault="00815375" w:rsidP="004C54B9">
      <w:pPr>
        <w:spacing w:after="0" w:line="240" w:lineRule="auto"/>
        <w:jc w:val="both"/>
        <w:rPr>
          <w:rFonts w:ascii="Arial Narrow" w:hAnsi="Arial Narrow" w:cs="Arial Narrow"/>
        </w:rPr>
      </w:pPr>
      <w:r>
        <w:rPr>
          <w:rFonts w:ascii="Arial Narrow" w:hAnsi="Arial Narrow"/>
          <w:b/>
        </w:rPr>
        <w:t>B</w:t>
      </w:r>
      <w:r w:rsidR="008D1AC9" w:rsidRPr="004C54B9">
        <w:rPr>
          <w:rFonts w:ascii="Arial Narrow" w:hAnsi="Arial Narrow"/>
          <w:b/>
        </w:rPr>
        <w:t>oj proti daňovým únikom</w:t>
      </w:r>
      <w:r>
        <w:rPr>
          <w:rFonts w:ascii="Arial Narrow" w:hAnsi="Arial Narrow"/>
          <w:b/>
        </w:rPr>
        <w:t xml:space="preserve"> prispieva k zlepšeniu </w:t>
      </w:r>
      <w:r w:rsidR="008D1AC9" w:rsidRPr="004C54B9">
        <w:rPr>
          <w:rFonts w:ascii="Arial Narrow" w:hAnsi="Arial Narrow"/>
          <w:b/>
        </w:rPr>
        <w:t>úspešnosti výberu</w:t>
      </w:r>
      <w:r>
        <w:rPr>
          <w:rFonts w:ascii="Arial Narrow" w:hAnsi="Arial Narrow"/>
          <w:b/>
        </w:rPr>
        <w:t xml:space="preserve"> daní</w:t>
      </w:r>
      <w:r w:rsidR="008D1AC9" w:rsidRPr="008444A7">
        <w:rPr>
          <w:rFonts w:ascii="Arial Narrow" w:hAnsi="Arial Narrow"/>
        </w:rPr>
        <w:t>.</w:t>
      </w:r>
      <w:r w:rsidR="00A02B8F" w:rsidRPr="00A02B8F">
        <w:t xml:space="preserve"> </w:t>
      </w:r>
      <w:r w:rsidR="00A02B8F" w:rsidRPr="008444A7">
        <w:rPr>
          <w:rFonts w:ascii="Arial Narrow" w:hAnsi="Arial Narrow"/>
        </w:rPr>
        <w:t xml:space="preserve">V oblasti zvýšeného výberu spotrebných daní bol úspešne ukončený legislatívny proces pre označovanie minerálneho oleja značkovačom (tzv. </w:t>
      </w:r>
      <w:proofErr w:type="spellStart"/>
      <w:r w:rsidR="00A02B8F" w:rsidRPr="002974DB">
        <w:rPr>
          <w:rFonts w:ascii="Arial Narrow" w:hAnsi="Arial Narrow"/>
          <w:i/>
        </w:rPr>
        <w:t>nanomarke</w:t>
      </w:r>
      <w:r w:rsidR="00A02B8F" w:rsidRPr="002974DB">
        <w:rPr>
          <w:rFonts w:ascii="Arial Narrow" w:hAnsi="Arial Narrow"/>
        </w:rPr>
        <w:t>r</w:t>
      </w:r>
      <w:proofErr w:type="spellEnd"/>
      <w:r w:rsidR="00A02B8F" w:rsidRPr="008444A7">
        <w:rPr>
          <w:rFonts w:ascii="Arial Narrow" w:hAnsi="Arial Narrow"/>
        </w:rPr>
        <w:t>).</w:t>
      </w:r>
      <w:r w:rsidR="00A02B8F" w:rsidRPr="00A02B8F">
        <w:t xml:space="preserve"> </w:t>
      </w:r>
      <w:r w:rsidR="00A02B8F" w:rsidRPr="008444A7">
        <w:rPr>
          <w:rFonts w:ascii="Arial Narrow" w:hAnsi="Arial Narrow"/>
        </w:rPr>
        <w:t>Zavedie sa elektronická fakturácia a elektronické registračné pokladnice</w:t>
      </w:r>
      <w:r w:rsidR="00A44AB8">
        <w:rPr>
          <w:rFonts w:ascii="Arial Narrow" w:hAnsi="Arial Narrow"/>
        </w:rPr>
        <w:t xml:space="preserve"> (</w:t>
      </w:r>
      <w:proofErr w:type="spellStart"/>
      <w:r w:rsidR="00A44AB8" w:rsidRPr="008444A7">
        <w:rPr>
          <w:rFonts w:ascii="Arial Narrow" w:hAnsi="Arial Narrow"/>
          <w:i/>
        </w:rPr>
        <w:t>eKasa</w:t>
      </w:r>
      <w:proofErr w:type="spellEnd"/>
      <w:r w:rsidR="00A44AB8">
        <w:rPr>
          <w:rFonts w:ascii="Arial Narrow" w:hAnsi="Arial Narrow"/>
        </w:rPr>
        <w:t>)</w:t>
      </w:r>
      <w:r w:rsidR="00A02B8F" w:rsidRPr="008444A7">
        <w:rPr>
          <w:rFonts w:ascii="Arial Narrow" w:hAnsi="Arial Narrow"/>
        </w:rPr>
        <w:t xml:space="preserve"> prepojené online so systémami finančnej správy.</w:t>
      </w:r>
      <w:r w:rsidR="00A94D26" w:rsidRPr="004C54B9">
        <w:rPr>
          <w:rFonts w:ascii="Arial Narrow" w:hAnsi="Arial Narrow" w:cs="Arial Narrow"/>
          <w:i/>
        </w:rPr>
        <w:t xml:space="preserve"> </w:t>
      </w:r>
      <w:r>
        <w:rPr>
          <w:rFonts w:ascii="Arial Narrow" w:hAnsi="Arial Narrow" w:cs="Arial Narrow"/>
        </w:rPr>
        <w:t>F</w:t>
      </w:r>
      <w:r w:rsidR="00A94D26" w:rsidRPr="004C54B9">
        <w:rPr>
          <w:rFonts w:ascii="Arial Narrow" w:hAnsi="Arial Narrow" w:cs="Arial Narrow"/>
        </w:rPr>
        <w:t>inančná správa</w:t>
      </w:r>
      <w:r w:rsidR="00A02B8F">
        <w:rPr>
          <w:rFonts w:ascii="Arial Narrow" w:hAnsi="Arial Narrow" w:cs="Arial Narrow"/>
        </w:rPr>
        <w:t xml:space="preserve"> </w:t>
      </w:r>
      <w:r w:rsidR="00E23D3E">
        <w:rPr>
          <w:rFonts w:ascii="Arial Narrow" w:hAnsi="Arial Narrow" w:cs="Arial Narrow"/>
        </w:rPr>
        <w:t xml:space="preserve">implementovala </w:t>
      </w:r>
      <w:r w:rsidR="00A94D26" w:rsidRPr="004C54B9">
        <w:rPr>
          <w:rFonts w:ascii="Arial Narrow" w:hAnsi="Arial Narrow" w:cs="Arial Narrow"/>
        </w:rPr>
        <w:t xml:space="preserve">interné </w:t>
      </w:r>
      <w:r w:rsidR="00A94D26" w:rsidRPr="004C54B9">
        <w:rPr>
          <w:rFonts w:ascii="Arial Narrow" w:hAnsi="Arial Narrow" w:cs="Arial Narrow"/>
        </w:rPr>
        <w:lastRenderedPageBreak/>
        <w:t xml:space="preserve">posudzovanie spoľahlivosti daňových subjektov. </w:t>
      </w:r>
      <w:r w:rsidR="00477F62">
        <w:rPr>
          <w:rFonts w:ascii="Arial Narrow" w:hAnsi="Arial Narrow" w:cs="Arial Narrow"/>
        </w:rPr>
        <w:t>Prijala sa legislatíva zavádzajúca r</w:t>
      </w:r>
      <w:r w:rsidR="00B16203" w:rsidRPr="004C54B9">
        <w:rPr>
          <w:rFonts w:ascii="Arial Narrow" w:hAnsi="Arial Narrow" w:cs="Arial Narrow"/>
        </w:rPr>
        <w:t>očné zúčtovanie sociálneho poistenia</w:t>
      </w:r>
      <w:r w:rsidR="00A866FC">
        <w:rPr>
          <w:rFonts w:ascii="Arial Narrow" w:hAnsi="Arial Narrow" w:cs="Arial Narrow"/>
        </w:rPr>
        <w:t xml:space="preserve">, ktoré </w:t>
      </w:r>
      <w:r w:rsidR="00B16203" w:rsidRPr="004C54B9">
        <w:rPr>
          <w:rFonts w:ascii="Arial Narrow" w:hAnsi="Arial Narrow" w:cs="Arial Narrow"/>
        </w:rPr>
        <w:t>sa prvý krát vykoná v roku 2023 za rok 2022.</w:t>
      </w:r>
    </w:p>
    <w:p w14:paraId="113A1BB0" w14:textId="77777777" w:rsidR="0004113F" w:rsidRDefault="0004113F" w:rsidP="004C54B9">
      <w:pPr>
        <w:spacing w:after="0" w:line="240" w:lineRule="auto"/>
        <w:jc w:val="both"/>
        <w:rPr>
          <w:rFonts w:ascii="Arial Narrow" w:hAnsi="Arial Narrow" w:cs="Arial Narrow"/>
        </w:rPr>
      </w:pPr>
    </w:p>
    <w:p w14:paraId="4D212F74" w14:textId="4AB57A78" w:rsidR="00FF7D2E" w:rsidRDefault="004626D1" w:rsidP="00FF7D2E">
      <w:pPr>
        <w:spacing w:after="0" w:line="240" w:lineRule="auto"/>
        <w:jc w:val="both"/>
        <w:rPr>
          <w:rFonts w:ascii="Arial Narrow" w:hAnsi="Arial Narrow"/>
        </w:rPr>
      </w:pPr>
      <w:r w:rsidRPr="004626D1">
        <w:rPr>
          <w:rFonts w:ascii="Arial Narrow" w:hAnsi="Arial Narrow"/>
          <w:b/>
        </w:rPr>
        <w:t>Pripraví sa akčný plán na posilnenie boja proti korupcii</w:t>
      </w:r>
      <w:r w:rsidR="00D816F9" w:rsidRPr="004626D1">
        <w:rPr>
          <w:rFonts w:ascii="Arial Narrow" w:hAnsi="Arial Narrow"/>
          <w:b/>
        </w:rPr>
        <w:t>.</w:t>
      </w:r>
      <w:r w:rsidR="00D816F9" w:rsidRPr="004626D1">
        <w:rPr>
          <w:rFonts w:ascii="Arial Narrow" w:hAnsi="Arial Narrow"/>
        </w:rPr>
        <w:t xml:space="preserve"> O</w:t>
      </w:r>
      <w:r w:rsidR="0004113F" w:rsidRPr="004626D1">
        <w:rPr>
          <w:rFonts w:ascii="Arial Narrow" w:hAnsi="Arial Narrow"/>
        </w:rPr>
        <w:t xml:space="preserve">d roku 2017 </w:t>
      </w:r>
      <w:r w:rsidR="00D30418">
        <w:rPr>
          <w:rFonts w:ascii="Arial Narrow" w:hAnsi="Arial Narrow"/>
        </w:rPr>
        <w:t xml:space="preserve">sa </w:t>
      </w:r>
      <w:r w:rsidR="0004113F" w:rsidRPr="004626D1">
        <w:rPr>
          <w:rFonts w:ascii="Arial Narrow" w:hAnsi="Arial Narrow"/>
        </w:rPr>
        <w:t>implementuje spoločný projekt</w:t>
      </w:r>
      <w:r w:rsidR="00952AC5">
        <w:rPr>
          <w:rFonts w:ascii="Arial Narrow" w:hAnsi="Arial Narrow"/>
        </w:rPr>
        <w:t xml:space="preserve"> s OECD </w:t>
      </w:r>
      <w:r w:rsidR="0004113F" w:rsidRPr="004626D1">
        <w:rPr>
          <w:rFonts w:ascii="Arial Narrow" w:hAnsi="Arial Narrow"/>
        </w:rPr>
        <w:t>týkajúci sa protikorupčných opatrení</w:t>
      </w:r>
      <w:r w:rsidR="0004113F" w:rsidRPr="004626D1">
        <w:rPr>
          <w:rFonts w:ascii="Arial Narrow" w:hAnsi="Arial Narrow"/>
          <w:b/>
        </w:rPr>
        <w:t xml:space="preserve">, </w:t>
      </w:r>
      <w:r w:rsidR="0004113F" w:rsidRPr="004626D1">
        <w:rPr>
          <w:rFonts w:ascii="Arial Narrow" w:hAnsi="Arial Narrow"/>
        </w:rPr>
        <w:t>posilnenia účinnosti a koherentnosti všeobecných stratégií na riadenie rizík spojených s podvodmi a</w:t>
      </w:r>
      <w:r w:rsidR="00C728EE">
        <w:rPr>
          <w:rFonts w:ascii="Arial Narrow" w:hAnsi="Arial Narrow"/>
        </w:rPr>
        <w:t xml:space="preserve"> </w:t>
      </w:r>
      <w:r w:rsidR="0004113F" w:rsidRPr="004626D1">
        <w:rPr>
          <w:rFonts w:ascii="Arial Narrow" w:hAnsi="Arial Narrow"/>
        </w:rPr>
        <w:t>korupciou,</w:t>
      </w:r>
      <w:r w:rsidR="00C728EE">
        <w:rPr>
          <w:rFonts w:ascii="Arial Narrow" w:hAnsi="Arial Narrow"/>
        </w:rPr>
        <w:t xml:space="preserve"> </w:t>
      </w:r>
      <w:r w:rsidR="0004113F" w:rsidRPr="004626D1">
        <w:rPr>
          <w:rFonts w:ascii="Arial Narrow" w:hAnsi="Arial Narrow"/>
        </w:rPr>
        <w:t xml:space="preserve">zavedenia kontrolných činností, identifikácie a posudzovania rizík spojených s podvodmi. </w:t>
      </w:r>
      <w:r w:rsidR="00FF7D2E">
        <w:rPr>
          <w:rFonts w:ascii="Arial Narrow" w:hAnsi="Arial Narrow"/>
        </w:rPr>
        <w:t xml:space="preserve">V roku 2019 bude hlavným výstupom projektu </w:t>
      </w:r>
      <w:r w:rsidR="00FF7D2E" w:rsidRPr="004C54B9">
        <w:rPr>
          <w:rFonts w:ascii="Arial Narrow" w:hAnsi="Arial Narrow"/>
        </w:rPr>
        <w:t xml:space="preserve">akčný plán </w:t>
      </w:r>
      <w:r w:rsidR="00FF7D2E">
        <w:rPr>
          <w:rFonts w:ascii="Arial Narrow" w:hAnsi="Arial Narrow"/>
        </w:rPr>
        <w:t>na posilnenie boja proti korupcii a podvodom.</w:t>
      </w:r>
    </w:p>
    <w:p w14:paraId="3BB19565" w14:textId="1FBA677F" w:rsidR="00A94D26" w:rsidRPr="004C54B9" w:rsidRDefault="00A94D26" w:rsidP="004C54B9">
      <w:pPr>
        <w:spacing w:after="0" w:line="240" w:lineRule="auto"/>
        <w:jc w:val="both"/>
        <w:rPr>
          <w:rFonts w:ascii="Arial Narrow" w:hAnsi="Arial Narrow" w:cs="Arial Narrow"/>
          <w:i/>
        </w:rPr>
      </w:pPr>
    </w:p>
    <w:p w14:paraId="26BD1B82" w14:textId="375581FE" w:rsidR="008C6520" w:rsidRPr="004C54B9" w:rsidRDefault="008C6520" w:rsidP="004C54B9">
      <w:pPr>
        <w:spacing w:after="0" w:line="240" w:lineRule="auto"/>
        <w:jc w:val="both"/>
        <w:rPr>
          <w:rFonts w:ascii="Arial Narrow" w:hAnsi="Arial Narrow"/>
        </w:rPr>
      </w:pPr>
      <w:r w:rsidRPr="004C54B9">
        <w:rPr>
          <w:rFonts w:ascii="Arial Narrow" w:hAnsi="Arial Narrow"/>
          <w:b/>
        </w:rPr>
        <w:t xml:space="preserve">Lepšie fungovanie verejnej správy </w:t>
      </w:r>
      <w:r w:rsidR="00202354" w:rsidRPr="004C54B9">
        <w:rPr>
          <w:rFonts w:ascii="Arial Narrow" w:hAnsi="Arial Narrow"/>
          <w:b/>
        </w:rPr>
        <w:t>a justície by</w:t>
      </w:r>
      <w:r w:rsidRPr="004C54B9">
        <w:rPr>
          <w:rFonts w:ascii="Arial Narrow" w:hAnsi="Arial Narrow"/>
          <w:b/>
        </w:rPr>
        <w:t xml:space="preserve"> mali priniesť viaceré opatrenia.</w:t>
      </w:r>
      <w:r w:rsidRPr="004C54B9">
        <w:rPr>
          <w:rFonts w:ascii="Arial Narrow" w:hAnsi="Arial Narrow"/>
        </w:rPr>
        <w:t xml:space="preserve"> Od marca 2019 vstupuje do účinnosti nová právna úprava ochrany oznamovateľov korupcie tzv. </w:t>
      </w:r>
      <w:proofErr w:type="spellStart"/>
      <w:r w:rsidRPr="004C54B9">
        <w:rPr>
          <w:rFonts w:ascii="Arial Narrow" w:hAnsi="Arial Narrow"/>
          <w:i/>
        </w:rPr>
        <w:t>whistleblowerov</w:t>
      </w:r>
      <w:proofErr w:type="spellEnd"/>
      <w:r w:rsidRPr="004C54B9">
        <w:rPr>
          <w:rFonts w:ascii="Arial Narrow" w:hAnsi="Arial Narrow"/>
        </w:rPr>
        <w:t>.</w:t>
      </w:r>
      <w:r w:rsidR="00EB67DD">
        <w:rPr>
          <w:rFonts w:ascii="Arial Narrow" w:hAnsi="Arial Narrow"/>
        </w:rPr>
        <w:t xml:space="preserve"> </w:t>
      </w:r>
      <w:r w:rsidR="00202354" w:rsidRPr="004C54B9">
        <w:rPr>
          <w:rFonts w:ascii="Arial Narrow" w:hAnsi="Arial Narrow"/>
        </w:rPr>
        <w:t>Pozornosť v súdnictve bude zameraná na</w:t>
      </w:r>
      <w:r w:rsidR="00202354" w:rsidRPr="004C54B9">
        <w:rPr>
          <w:rFonts w:ascii="Arial Narrow" w:hAnsi="Arial Narrow"/>
          <w:bCs/>
        </w:rPr>
        <w:t xml:space="preserve"> </w:t>
      </w:r>
      <w:r w:rsidR="00202354" w:rsidRPr="00EB67DD">
        <w:rPr>
          <w:rFonts w:ascii="Arial Narrow" w:hAnsi="Arial Narrow"/>
          <w:bCs/>
        </w:rPr>
        <w:t>riešenie problému starých exekučných konaní</w:t>
      </w:r>
      <w:r w:rsidR="00202354" w:rsidRPr="004C54B9">
        <w:rPr>
          <w:rFonts w:ascii="Arial Narrow" w:hAnsi="Arial Narrow"/>
          <w:b/>
          <w:bCs/>
        </w:rPr>
        <w:t xml:space="preserve"> </w:t>
      </w:r>
      <w:r w:rsidR="00202354" w:rsidRPr="004C54B9">
        <w:rPr>
          <w:rFonts w:ascii="Arial Narrow" w:hAnsi="Arial Narrow"/>
          <w:bCs/>
        </w:rPr>
        <w:t>a</w:t>
      </w:r>
      <w:r w:rsidR="00202354" w:rsidRPr="004C54B9">
        <w:rPr>
          <w:rFonts w:ascii="Arial Narrow" w:hAnsi="Arial Narrow"/>
          <w:b/>
          <w:bCs/>
        </w:rPr>
        <w:t xml:space="preserve"> </w:t>
      </w:r>
      <w:r w:rsidR="00202354" w:rsidRPr="004C54B9">
        <w:rPr>
          <w:rFonts w:ascii="Arial Narrow" w:hAnsi="Arial Narrow"/>
          <w:bCs/>
        </w:rPr>
        <w:t>príprav</w:t>
      </w:r>
      <w:r w:rsidR="00ED40BA">
        <w:rPr>
          <w:rFonts w:ascii="Arial Narrow" w:hAnsi="Arial Narrow"/>
          <w:bCs/>
        </w:rPr>
        <w:t>u</w:t>
      </w:r>
      <w:r w:rsidR="00202354" w:rsidRPr="004C54B9">
        <w:rPr>
          <w:rFonts w:ascii="Arial Narrow" w:hAnsi="Arial Narrow"/>
          <w:bCs/>
        </w:rPr>
        <w:t xml:space="preserve"> reformy občianskeho zákonníka</w:t>
      </w:r>
      <w:r w:rsidR="00202354" w:rsidRPr="004C54B9">
        <w:rPr>
          <w:rFonts w:ascii="Arial Narrow" w:hAnsi="Arial Narrow"/>
        </w:rPr>
        <w:t xml:space="preserve">. Bude pokračovať zlepšovanie poskytovania a tiež zvyšovanie dostupnosti právnej pomoci prostredníctvom Centra právnej pomoci. V súlade s </w:t>
      </w:r>
      <w:r w:rsidR="00202354" w:rsidRPr="00D45D43">
        <w:rPr>
          <w:rFonts w:ascii="Arial Narrow" w:hAnsi="Arial Narrow"/>
          <w:i/>
        </w:rPr>
        <w:t>Programovým vyhlásením vlády SR</w:t>
      </w:r>
      <w:r w:rsidR="00202354" w:rsidRPr="004C54B9">
        <w:rPr>
          <w:rFonts w:ascii="Arial Narrow" w:hAnsi="Arial Narrow"/>
        </w:rPr>
        <w:t xml:space="preserve"> sa pripraví zákon o justičnej štátnej službe</w:t>
      </w:r>
      <w:r w:rsidR="00B956DD">
        <w:rPr>
          <w:rFonts w:ascii="Arial Narrow" w:hAnsi="Arial Narrow"/>
        </w:rPr>
        <w:t>.</w:t>
      </w:r>
    </w:p>
    <w:p w14:paraId="3FD51F92" w14:textId="77777777" w:rsidR="00A94D26" w:rsidRPr="004C54B9" w:rsidRDefault="00A94D26" w:rsidP="004C54B9">
      <w:pPr>
        <w:spacing w:after="0" w:line="240" w:lineRule="auto"/>
        <w:jc w:val="both"/>
        <w:rPr>
          <w:rFonts w:ascii="Arial Narrow" w:hAnsi="Arial Narrow"/>
        </w:rPr>
      </w:pPr>
    </w:p>
    <w:p w14:paraId="6E28F99B" w14:textId="7904202F" w:rsidR="00A94D26" w:rsidRDefault="00202354" w:rsidP="004C54B9">
      <w:pPr>
        <w:spacing w:after="0" w:line="240" w:lineRule="auto"/>
        <w:jc w:val="both"/>
        <w:rPr>
          <w:rFonts w:ascii="Arial Narrow" w:hAnsi="Arial Narrow"/>
        </w:rPr>
      </w:pPr>
      <w:r w:rsidRPr="004C54B9">
        <w:rPr>
          <w:rFonts w:ascii="Arial Narrow" w:hAnsi="Arial Narrow"/>
          <w:b/>
        </w:rPr>
        <w:t>Realizujú sa viaceré opatrenia na</w:t>
      </w:r>
      <w:r w:rsidR="008C6520" w:rsidRPr="004C54B9">
        <w:rPr>
          <w:rFonts w:ascii="Arial Narrow" w:hAnsi="Arial Narrow"/>
          <w:b/>
        </w:rPr>
        <w:t xml:space="preserve"> zníženi</w:t>
      </w:r>
      <w:r w:rsidRPr="004C54B9">
        <w:rPr>
          <w:rFonts w:ascii="Arial Narrow" w:hAnsi="Arial Narrow"/>
          <w:b/>
        </w:rPr>
        <w:t>e</w:t>
      </w:r>
      <w:r w:rsidR="008C6520" w:rsidRPr="004C54B9">
        <w:rPr>
          <w:rFonts w:ascii="Arial Narrow" w:hAnsi="Arial Narrow"/>
          <w:b/>
        </w:rPr>
        <w:t xml:space="preserve"> administratívnej záťaže podnikateľského prostredia</w:t>
      </w:r>
      <w:r w:rsidRPr="004C54B9">
        <w:rPr>
          <w:rFonts w:ascii="Arial Narrow" w:hAnsi="Arial Narrow"/>
        </w:rPr>
        <w:t xml:space="preserve">. </w:t>
      </w:r>
      <w:r w:rsidR="00313622" w:rsidRPr="004C54B9">
        <w:rPr>
          <w:rFonts w:ascii="Arial Narrow" w:hAnsi="Arial Narrow"/>
        </w:rPr>
        <w:t xml:space="preserve"> Napreduje </w:t>
      </w:r>
      <w:r w:rsidR="008C6520" w:rsidRPr="004C54B9">
        <w:rPr>
          <w:rFonts w:ascii="Arial Narrow" w:hAnsi="Arial Narrow"/>
        </w:rPr>
        <w:t>rozširovanie podpory elektronickej a automatizovanej komunikácie s finančnou správou, implement</w:t>
      </w:r>
      <w:r w:rsidR="007F2923">
        <w:rPr>
          <w:rFonts w:ascii="Arial Narrow" w:hAnsi="Arial Narrow"/>
        </w:rPr>
        <w:t xml:space="preserve">ácia opatrení z už schválených </w:t>
      </w:r>
      <w:proofErr w:type="spellStart"/>
      <w:r w:rsidR="008C6520" w:rsidRPr="004C54B9">
        <w:rPr>
          <w:rFonts w:ascii="Arial Narrow" w:hAnsi="Arial Narrow"/>
        </w:rPr>
        <w:t>antibyrokratických</w:t>
      </w:r>
      <w:proofErr w:type="spellEnd"/>
      <w:r w:rsidR="008C6520" w:rsidRPr="004C54B9">
        <w:rPr>
          <w:rFonts w:ascii="Arial Narrow" w:hAnsi="Arial Narrow"/>
        </w:rPr>
        <w:t xml:space="preserve"> podnikateľských balíčkov, či ďalšia optimalizácia služieb obchodného registra. </w:t>
      </w:r>
      <w:r w:rsidR="004626D1" w:rsidRPr="004626D1">
        <w:rPr>
          <w:rFonts w:ascii="Arial Narrow" w:hAnsi="Arial Narrow"/>
        </w:rPr>
        <w:t>O</w:t>
      </w:r>
      <w:r w:rsidR="0004113F" w:rsidRPr="004626D1">
        <w:rPr>
          <w:rFonts w:ascii="Arial Narrow" w:hAnsi="Arial Narrow"/>
        </w:rPr>
        <w:t xml:space="preserve">d septembra 2018 </w:t>
      </w:r>
      <w:r w:rsidR="004626D1" w:rsidRPr="004626D1">
        <w:rPr>
          <w:rFonts w:ascii="Arial Narrow" w:hAnsi="Arial Narrow"/>
        </w:rPr>
        <w:t xml:space="preserve">sa </w:t>
      </w:r>
      <w:r w:rsidR="0004113F" w:rsidRPr="004626D1">
        <w:rPr>
          <w:rFonts w:ascii="Arial Narrow" w:hAnsi="Arial Narrow"/>
        </w:rPr>
        <w:t>zavádza</w:t>
      </w:r>
      <w:r w:rsidR="00741F1B">
        <w:rPr>
          <w:rFonts w:ascii="Arial Narrow" w:hAnsi="Arial Narrow"/>
        </w:rPr>
        <w:t xml:space="preserve"> </w:t>
      </w:r>
      <w:r w:rsidR="0004113F" w:rsidRPr="004626D1">
        <w:rPr>
          <w:rFonts w:ascii="Arial Narrow" w:hAnsi="Arial Narrow"/>
        </w:rPr>
        <w:t xml:space="preserve">do praxe </w:t>
      </w:r>
      <w:r w:rsidR="0004113F" w:rsidRPr="004626D1">
        <w:rPr>
          <w:rFonts w:ascii="Arial Narrow" w:hAnsi="Arial Narrow"/>
          <w:color w:val="000000" w:themeColor="text1"/>
        </w:rPr>
        <w:t xml:space="preserve">princíp </w:t>
      </w:r>
      <w:r w:rsidR="0004113F" w:rsidRPr="004626D1">
        <w:rPr>
          <w:rFonts w:ascii="Arial Narrow" w:hAnsi="Arial Narrow"/>
          <w:i/>
        </w:rPr>
        <w:t>jedenkrát a dosť</w:t>
      </w:r>
      <w:r w:rsidR="0004113F" w:rsidRPr="004626D1">
        <w:rPr>
          <w:rFonts w:ascii="Arial Narrow" w:hAnsi="Arial Narrow"/>
        </w:rPr>
        <w:t>, teda zrušenie povinnosti opakovane predkladať orgánom verejnej moci listinné výpisy viacerých druhov.</w:t>
      </w:r>
      <w:r w:rsidR="0004113F">
        <w:rPr>
          <w:rFonts w:ascii="Arial Narrow" w:hAnsi="Arial Narrow"/>
        </w:rPr>
        <w:t xml:space="preserve"> </w:t>
      </w:r>
      <w:r w:rsidR="00BD58FD">
        <w:rPr>
          <w:rFonts w:ascii="Arial Narrow" w:hAnsi="Arial Narrow"/>
        </w:rPr>
        <w:t xml:space="preserve">Rezort financií vypracuje </w:t>
      </w:r>
      <w:r w:rsidR="002721F5">
        <w:rPr>
          <w:rFonts w:ascii="Arial Narrow" w:hAnsi="Arial Narrow"/>
        </w:rPr>
        <w:t xml:space="preserve">návrh </w:t>
      </w:r>
      <w:r w:rsidR="00BD58FD">
        <w:rPr>
          <w:rFonts w:ascii="Arial Narrow" w:hAnsi="Arial Narrow"/>
        </w:rPr>
        <w:t xml:space="preserve">zákona o dani z príjmov, </w:t>
      </w:r>
      <w:r w:rsidR="00253FB6">
        <w:rPr>
          <w:rFonts w:ascii="Arial Narrow" w:hAnsi="Arial Narrow"/>
        </w:rPr>
        <w:t>ktorá malým a stredným podnikom uľahčí plnenie daňových povinností</w:t>
      </w:r>
      <w:r w:rsidR="00BD58FD">
        <w:rPr>
          <w:rFonts w:ascii="Arial Narrow" w:hAnsi="Arial Narrow"/>
        </w:rPr>
        <w:t xml:space="preserve">. </w:t>
      </w:r>
      <w:r w:rsidR="00437B46">
        <w:rPr>
          <w:rFonts w:ascii="Arial Narrow" w:hAnsi="Arial Narrow"/>
        </w:rPr>
        <w:t>Rezort hospodárstva</w:t>
      </w:r>
      <w:r w:rsidR="008C6520" w:rsidRPr="004C54B9">
        <w:rPr>
          <w:rFonts w:ascii="Arial Narrow" w:hAnsi="Arial Narrow"/>
        </w:rPr>
        <w:t xml:space="preserve"> bude pokračovať v koordinácii auditu legislatívy</w:t>
      </w:r>
      <w:r w:rsidR="00D30418">
        <w:rPr>
          <w:rFonts w:ascii="Arial Narrow" w:hAnsi="Arial Narrow"/>
        </w:rPr>
        <w:t xml:space="preserve"> s </w:t>
      </w:r>
      <w:r w:rsidR="008C6520" w:rsidRPr="004C54B9">
        <w:rPr>
          <w:rFonts w:ascii="Arial Narrow" w:hAnsi="Arial Narrow"/>
        </w:rPr>
        <w:t>cieľom odstrániť identifikovanú neopodstatnenú regulačnú záťaž na podnikateľské subjekty</w:t>
      </w:r>
      <w:r w:rsidRPr="004C54B9">
        <w:rPr>
          <w:rFonts w:ascii="Arial Narrow" w:hAnsi="Arial Narrow"/>
        </w:rPr>
        <w:t>.</w:t>
      </w:r>
    </w:p>
    <w:p w14:paraId="34FC99C8" w14:textId="77777777" w:rsidR="008C6520" w:rsidRPr="004C54B9" w:rsidRDefault="008C6520" w:rsidP="004C54B9">
      <w:pPr>
        <w:spacing w:after="0" w:line="240" w:lineRule="auto"/>
        <w:jc w:val="both"/>
        <w:rPr>
          <w:rFonts w:ascii="Arial Narrow" w:hAnsi="Arial Narrow"/>
        </w:rPr>
      </w:pPr>
    </w:p>
    <w:p w14:paraId="59A46BD7" w14:textId="77777777" w:rsidR="00541CFC" w:rsidRPr="004C54B9" w:rsidRDefault="007D2366" w:rsidP="004C54B9">
      <w:pPr>
        <w:spacing w:after="0" w:line="240" w:lineRule="auto"/>
        <w:jc w:val="both"/>
        <w:rPr>
          <w:rFonts w:ascii="Arial Narrow" w:eastAsiaTheme="majorEastAsia" w:hAnsi="Arial Narrow" w:cstheme="majorBidi"/>
          <w:b/>
          <w:bCs/>
        </w:rPr>
      </w:pPr>
      <w:r w:rsidRPr="004C54B9">
        <w:rPr>
          <w:rFonts w:ascii="Arial Narrow" w:hAnsi="Arial Narrow"/>
        </w:rPr>
        <w:t xml:space="preserve">NPR vychádza </w:t>
      </w:r>
      <w:r w:rsidR="002E4E13">
        <w:rPr>
          <w:rFonts w:ascii="Arial Narrow" w:hAnsi="Arial Narrow"/>
        </w:rPr>
        <w:t xml:space="preserve">aj </w:t>
      </w:r>
      <w:r w:rsidRPr="004C54B9">
        <w:rPr>
          <w:rFonts w:ascii="Arial Narrow" w:hAnsi="Arial Narrow"/>
        </w:rPr>
        <w:t>zo špecifických odporúčaní Rady EÚ pre Slovensko z roku 201</w:t>
      </w:r>
      <w:r w:rsidR="00591D19" w:rsidRPr="004C54B9">
        <w:rPr>
          <w:rFonts w:ascii="Arial Narrow" w:hAnsi="Arial Narrow"/>
        </w:rPr>
        <w:t>8</w:t>
      </w:r>
      <w:r w:rsidRPr="004C54B9">
        <w:rPr>
          <w:rFonts w:ascii="Arial Narrow" w:hAnsi="Arial Narrow"/>
        </w:rPr>
        <w:t xml:space="preserve"> a hodnotenia ich plnenia Európskou komisiou z </w:t>
      </w:r>
      <w:r w:rsidR="0012358D" w:rsidRPr="004C54B9">
        <w:rPr>
          <w:rFonts w:ascii="Arial Narrow" w:hAnsi="Arial Narrow"/>
        </w:rPr>
        <w:t>februára</w:t>
      </w:r>
      <w:r w:rsidR="00057013" w:rsidRPr="004C54B9">
        <w:rPr>
          <w:rFonts w:ascii="Arial Narrow" w:hAnsi="Arial Narrow"/>
        </w:rPr>
        <w:t xml:space="preserve"> </w:t>
      </w:r>
      <w:r w:rsidRPr="004C54B9">
        <w:rPr>
          <w:rFonts w:ascii="Arial Narrow" w:hAnsi="Arial Narrow"/>
        </w:rPr>
        <w:t>201</w:t>
      </w:r>
      <w:r w:rsidR="00591D19" w:rsidRPr="004C54B9">
        <w:rPr>
          <w:rFonts w:ascii="Arial Narrow" w:hAnsi="Arial Narrow"/>
        </w:rPr>
        <w:t>9</w:t>
      </w:r>
      <w:r w:rsidR="0012358D" w:rsidRPr="004C54B9">
        <w:rPr>
          <w:rStyle w:val="Odkaznapoznmkupodiarou"/>
          <w:rFonts w:ascii="Arial Narrow" w:hAnsi="Arial Narrow"/>
        </w:rPr>
        <w:footnoteReference w:id="3"/>
      </w:r>
      <w:r w:rsidRPr="004C54B9">
        <w:rPr>
          <w:rFonts w:ascii="Arial Narrow" w:hAnsi="Arial Narrow"/>
        </w:rPr>
        <w:t>. Financovanie opatrení NPR bude zabezpečené v rámci stanovených limitov výdavkov a počtu zamestnancov kapitol štátneho rozpočtu.</w:t>
      </w:r>
      <w:r w:rsidR="00541CFC" w:rsidRPr="004C54B9">
        <w:rPr>
          <w:rFonts w:ascii="Arial Narrow" w:hAnsi="Arial Narrow"/>
        </w:rPr>
        <w:br w:type="page"/>
      </w:r>
    </w:p>
    <w:p w14:paraId="13C9FD50" w14:textId="77777777" w:rsidR="00E81DE6" w:rsidRPr="00F57624" w:rsidRDefault="00541CFC" w:rsidP="004239D2">
      <w:pPr>
        <w:pStyle w:val="Nadpis1"/>
        <w:numPr>
          <w:ilvl w:val="0"/>
          <w:numId w:val="1"/>
        </w:numPr>
        <w:spacing w:line="240" w:lineRule="auto"/>
        <w:rPr>
          <w:rFonts w:ascii="Arial Narrow" w:hAnsi="Arial Narrow"/>
          <w:color w:val="auto"/>
          <w:sz w:val="32"/>
          <w:szCs w:val="32"/>
        </w:rPr>
      </w:pPr>
      <w:bookmarkStart w:id="2" w:name="_Toc4766830"/>
      <w:r w:rsidRPr="00F57624">
        <w:rPr>
          <w:rFonts w:ascii="Arial Narrow" w:hAnsi="Arial Narrow"/>
          <w:color w:val="auto"/>
          <w:sz w:val="32"/>
          <w:szCs w:val="32"/>
        </w:rPr>
        <w:lastRenderedPageBreak/>
        <w:t>Identifikácia výziev slovenskej ekonomiky</w:t>
      </w:r>
      <w:bookmarkEnd w:id="2"/>
    </w:p>
    <w:p w14:paraId="4707903F" w14:textId="77777777" w:rsidR="00DD024E" w:rsidRDefault="00DD024E" w:rsidP="00F57624">
      <w:pPr>
        <w:spacing w:after="0" w:line="240" w:lineRule="auto"/>
        <w:rPr>
          <w:rFonts w:ascii="Arial Narrow" w:hAnsi="Arial Narrow"/>
        </w:rPr>
      </w:pPr>
    </w:p>
    <w:p w14:paraId="42AFBB3B" w14:textId="77777777" w:rsidR="006C4A73" w:rsidRPr="00DB3458" w:rsidRDefault="006C4A73" w:rsidP="006C4A73">
      <w:pPr>
        <w:spacing w:after="0" w:line="240" w:lineRule="auto"/>
        <w:jc w:val="both"/>
        <w:rPr>
          <w:rFonts w:ascii="Arial Narrow" w:hAnsi="Arial Narrow"/>
        </w:rPr>
      </w:pPr>
      <w:r w:rsidRPr="00DB3458">
        <w:rPr>
          <w:rFonts w:ascii="Arial Narrow" w:hAnsi="Arial Narrow"/>
          <w:b/>
        </w:rPr>
        <w:t xml:space="preserve">Tri najväčšie výzvy pre Slovensko sú kvalita základného školstva, zdravotníctvo a trh práce. </w:t>
      </w:r>
      <w:r w:rsidRPr="00DB3458">
        <w:rPr>
          <w:rFonts w:ascii="Arial Narrow" w:hAnsi="Arial Narrow"/>
        </w:rPr>
        <w:t xml:space="preserve">Tieto oblasti sú identifikované na základe zaostávania vo výsledkových ukazovateľoch oproti priemeru OECD alebo EÚ (Graf 1). Na základe zaostávania v medzinárodnom porovnaní trh práce zostáva v skupine troch výziev aj napriek výraznému zlepšeniu dlhodobej nezamestnanosti, ktorá predstavuje jeden z dvoch hlavných výsledkových indikátorov v tejto oblasti. </w:t>
      </w:r>
    </w:p>
    <w:tbl>
      <w:tblPr>
        <w:tblpPr w:leftFromText="141" w:rightFromText="141" w:vertAnchor="text" w:horzAnchor="margin" w:tblpXSpec="center" w:tblpY="109"/>
        <w:tblOverlap w:val="never"/>
        <w:tblW w:w="86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207"/>
        <w:gridCol w:w="4128"/>
        <w:gridCol w:w="161"/>
        <w:gridCol w:w="4151"/>
      </w:tblGrid>
      <w:tr w:rsidR="00DD024E" w:rsidRPr="00614593" w14:paraId="086A095E" w14:textId="77777777" w:rsidTr="00F57624">
        <w:trPr>
          <w:trHeight w:val="268"/>
        </w:trPr>
        <w:tc>
          <w:tcPr>
            <w:tcW w:w="2507" w:type="pct"/>
            <w:gridSpan w:val="2"/>
            <w:tcBorders>
              <w:top w:val="nil"/>
              <w:left w:val="nil"/>
              <w:bottom w:val="single" w:sz="4" w:space="0" w:color="auto"/>
              <w:right w:val="nil"/>
            </w:tcBorders>
            <w:shd w:val="clear" w:color="auto" w:fill="auto"/>
            <w:vAlign w:val="center"/>
          </w:tcPr>
          <w:p w14:paraId="0D01B1C9" w14:textId="55837980" w:rsidR="00DD024E" w:rsidRPr="00614593" w:rsidRDefault="00CA1F56" w:rsidP="001E7483">
            <w:pPr>
              <w:spacing w:before="40" w:after="0" w:line="240" w:lineRule="auto"/>
              <w:rPr>
                <w:rFonts w:ascii="Arial Narrow" w:hAnsi="Arial Narrow" w:cs="Arial"/>
                <w:b/>
                <w:color w:val="2C9ADC"/>
                <w:sz w:val="18"/>
                <w:szCs w:val="18"/>
              </w:rPr>
            </w:pPr>
            <w:bookmarkStart w:id="3" w:name="_Toc4625950"/>
            <w:r w:rsidRPr="00484218">
              <w:rPr>
                <w:rFonts w:ascii="Arial Narrow" w:hAnsi="Arial Narrow"/>
                <w:b/>
                <w:bCs/>
                <w:color w:val="2C9ADC"/>
                <w:sz w:val="20"/>
              </w:rPr>
              <w:t xml:space="preserve">Graf </w:t>
            </w:r>
            <w:r w:rsidRPr="00484218">
              <w:rPr>
                <w:rFonts w:ascii="Arial Narrow" w:hAnsi="Arial Narrow"/>
                <w:b/>
                <w:bCs/>
                <w:noProof/>
                <w:color w:val="2C9ADC"/>
                <w:sz w:val="20"/>
              </w:rPr>
              <w:fldChar w:fldCharType="begin"/>
            </w:r>
            <w:r w:rsidRPr="00484218">
              <w:rPr>
                <w:rFonts w:ascii="Arial Narrow" w:hAnsi="Arial Narrow"/>
                <w:b/>
                <w:bCs/>
                <w:noProof/>
                <w:color w:val="2C9ADC"/>
                <w:sz w:val="20"/>
              </w:rPr>
              <w:instrText xml:space="preserve"> SEQ Graf \* ARABIC </w:instrText>
            </w:r>
            <w:r w:rsidRPr="00484218">
              <w:rPr>
                <w:rFonts w:ascii="Arial Narrow" w:hAnsi="Arial Narrow"/>
                <w:b/>
                <w:bCs/>
                <w:noProof/>
                <w:color w:val="2C9ADC"/>
                <w:sz w:val="20"/>
              </w:rPr>
              <w:fldChar w:fldCharType="separate"/>
            </w:r>
            <w:r w:rsidR="0020148F">
              <w:rPr>
                <w:rFonts w:ascii="Arial Narrow" w:hAnsi="Arial Narrow"/>
                <w:b/>
                <w:bCs/>
                <w:noProof/>
                <w:color w:val="2C9ADC"/>
                <w:sz w:val="20"/>
              </w:rPr>
              <w:t>1</w:t>
            </w:r>
            <w:r w:rsidRPr="00484218">
              <w:rPr>
                <w:rFonts w:ascii="Arial Narrow" w:hAnsi="Arial Narrow"/>
                <w:b/>
                <w:bCs/>
                <w:noProof/>
                <w:color w:val="2C9ADC"/>
                <w:sz w:val="20"/>
              </w:rPr>
              <w:fldChar w:fldCharType="end"/>
            </w:r>
            <w:r w:rsidR="00DD024E">
              <w:rPr>
                <w:rFonts w:ascii="Arial Narrow" w:hAnsi="Arial Narrow" w:cs="Arial"/>
                <w:b/>
                <w:color w:val="2C9ADC"/>
                <w:sz w:val="20"/>
                <w:szCs w:val="18"/>
              </w:rPr>
              <w:t xml:space="preserve">: </w:t>
            </w:r>
            <w:r w:rsidR="00110C2A">
              <w:rPr>
                <w:rFonts w:ascii="Arial Narrow" w:hAnsi="Arial Narrow" w:cs="Arial"/>
                <w:b/>
                <w:color w:val="2C9ADC"/>
                <w:sz w:val="20"/>
                <w:szCs w:val="18"/>
              </w:rPr>
              <w:t>Hlavné v</w:t>
            </w:r>
            <w:r w:rsidR="00DD024E">
              <w:rPr>
                <w:rFonts w:ascii="Arial Narrow" w:hAnsi="Arial Narrow" w:cs="Arial"/>
                <w:b/>
                <w:color w:val="2C9ADC"/>
                <w:sz w:val="20"/>
                <w:szCs w:val="18"/>
              </w:rPr>
              <w:t>ýsledko</w:t>
            </w:r>
            <w:r w:rsidR="00DD024E" w:rsidRPr="00F73772">
              <w:rPr>
                <w:rFonts w:ascii="Arial Narrow" w:hAnsi="Arial Narrow" w:cs="Arial"/>
                <w:b/>
                <w:color w:val="2C9ADC"/>
                <w:sz w:val="20"/>
                <w:szCs w:val="18"/>
              </w:rPr>
              <w:t>v</w:t>
            </w:r>
            <w:r w:rsidR="00DD024E">
              <w:rPr>
                <w:rFonts w:ascii="Arial Narrow" w:hAnsi="Arial Narrow" w:cs="Arial"/>
                <w:b/>
                <w:color w:val="2C9ADC"/>
                <w:sz w:val="20"/>
                <w:szCs w:val="18"/>
              </w:rPr>
              <w:t>é</w:t>
            </w:r>
            <w:r w:rsidR="00DD024E" w:rsidRPr="00F73772">
              <w:rPr>
                <w:rFonts w:ascii="Arial Narrow" w:hAnsi="Arial Narrow" w:cs="Arial"/>
                <w:b/>
                <w:color w:val="2C9ADC"/>
                <w:sz w:val="20"/>
                <w:szCs w:val="18"/>
              </w:rPr>
              <w:t xml:space="preserve"> ukazovate</w:t>
            </w:r>
            <w:r w:rsidR="00DD024E">
              <w:rPr>
                <w:rFonts w:ascii="Arial Narrow" w:hAnsi="Arial Narrow" w:cs="Arial"/>
                <w:b/>
                <w:color w:val="2C9ADC"/>
                <w:sz w:val="20"/>
                <w:szCs w:val="18"/>
              </w:rPr>
              <w:t>le, štandardná odchýlka</w:t>
            </w:r>
            <w:r w:rsidR="00DD024E" w:rsidRPr="00F73772">
              <w:rPr>
                <w:rFonts w:ascii="Arial Narrow" w:hAnsi="Arial Narrow" w:cs="Arial"/>
                <w:b/>
                <w:color w:val="2C9ADC"/>
                <w:sz w:val="20"/>
                <w:szCs w:val="18"/>
              </w:rPr>
              <w:t xml:space="preserve"> </w:t>
            </w:r>
            <w:r w:rsidR="00DD024E">
              <w:rPr>
                <w:rFonts w:ascii="Arial Narrow" w:hAnsi="Arial Narrow" w:cs="Arial"/>
                <w:b/>
                <w:color w:val="2C9ADC"/>
                <w:sz w:val="20"/>
                <w:szCs w:val="18"/>
              </w:rPr>
              <w:t>od priemeru OECD a EÚ</w:t>
            </w:r>
            <w:bookmarkEnd w:id="3"/>
            <w:r w:rsidR="00DD024E" w:rsidRPr="00F73772">
              <w:rPr>
                <w:rFonts w:ascii="Arial Narrow" w:hAnsi="Arial Narrow" w:cs="Arial"/>
                <w:b/>
                <w:color w:val="2C9ADC"/>
                <w:sz w:val="20"/>
                <w:szCs w:val="18"/>
              </w:rPr>
              <w:t xml:space="preserve">  </w:t>
            </w:r>
          </w:p>
        </w:tc>
        <w:tc>
          <w:tcPr>
            <w:tcW w:w="93" w:type="pct"/>
            <w:tcBorders>
              <w:top w:val="nil"/>
              <w:left w:val="nil"/>
              <w:bottom w:val="nil"/>
              <w:right w:val="nil"/>
            </w:tcBorders>
            <w:shd w:val="clear" w:color="auto" w:fill="auto"/>
            <w:vAlign w:val="center"/>
          </w:tcPr>
          <w:p w14:paraId="150E3228" w14:textId="77777777" w:rsidR="00DD024E" w:rsidRPr="00614593" w:rsidRDefault="00DD024E" w:rsidP="001E7483">
            <w:pPr>
              <w:spacing w:before="60" w:after="0" w:line="240" w:lineRule="auto"/>
              <w:rPr>
                <w:rFonts w:ascii="Arial Narrow" w:hAnsi="Arial Narrow" w:cs="Arial"/>
                <w:b/>
                <w:color w:val="2C9ADC"/>
                <w:sz w:val="18"/>
                <w:szCs w:val="18"/>
              </w:rPr>
            </w:pPr>
          </w:p>
        </w:tc>
        <w:tc>
          <w:tcPr>
            <w:tcW w:w="2400" w:type="pct"/>
            <w:tcBorders>
              <w:top w:val="nil"/>
              <w:left w:val="nil"/>
              <w:bottom w:val="single" w:sz="4" w:space="0" w:color="auto"/>
              <w:right w:val="nil"/>
            </w:tcBorders>
            <w:shd w:val="clear" w:color="auto" w:fill="auto"/>
            <w:vAlign w:val="center"/>
          </w:tcPr>
          <w:p w14:paraId="5CA6DC9B" w14:textId="355023B0" w:rsidR="00DD024E" w:rsidRPr="00614593" w:rsidRDefault="00CA1F56" w:rsidP="001E7483">
            <w:pPr>
              <w:spacing w:before="40" w:after="0" w:line="240" w:lineRule="auto"/>
              <w:rPr>
                <w:rFonts w:ascii="Arial Narrow" w:hAnsi="Arial Narrow" w:cs="Arial"/>
                <w:b/>
                <w:color w:val="2C9ADC"/>
                <w:sz w:val="18"/>
                <w:szCs w:val="18"/>
              </w:rPr>
            </w:pPr>
            <w:bookmarkStart w:id="4" w:name="_Toc4625951"/>
            <w:r w:rsidRPr="00484218">
              <w:rPr>
                <w:rFonts w:ascii="Arial Narrow" w:hAnsi="Arial Narrow"/>
                <w:b/>
                <w:bCs/>
                <w:color w:val="2C9ADC"/>
                <w:sz w:val="20"/>
              </w:rPr>
              <w:t xml:space="preserve">Graf </w:t>
            </w:r>
            <w:r w:rsidRPr="00484218">
              <w:rPr>
                <w:rFonts w:ascii="Arial Narrow" w:hAnsi="Arial Narrow"/>
                <w:b/>
                <w:bCs/>
                <w:noProof/>
                <w:color w:val="2C9ADC"/>
                <w:sz w:val="20"/>
              </w:rPr>
              <w:fldChar w:fldCharType="begin"/>
            </w:r>
            <w:r w:rsidRPr="00484218">
              <w:rPr>
                <w:rFonts w:ascii="Arial Narrow" w:hAnsi="Arial Narrow"/>
                <w:b/>
                <w:bCs/>
                <w:noProof/>
                <w:color w:val="2C9ADC"/>
                <w:sz w:val="20"/>
              </w:rPr>
              <w:instrText xml:space="preserve"> SEQ Graf \* ARABIC </w:instrText>
            </w:r>
            <w:r w:rsidRPr="00484218">
              <w:rPr>
                <w:rFonts w:ascii="Arial Narrow" w:hAnsi="Arial Narrow"/>
                <w:b/>
                <w:bCs/>
                <w:noProof/>
                <w:color w:val="2C9ADC"/>
                <w:sz w:val="20"/>
              </w:rPr>
              <w:fldChar w:fldCharType="separate"/>
            </w:r>
            <w:r w:rsidR="0020148F">
              <w:rPr>
                <w:rFonts w:ascii="Arial Narrow" w:hAnsi="Arial Narrow"/>
                <w:b/>
                <w:bCs/>
                <w:noProof/>
                <w:color w:val="2C9ADC"/>
                <w:sz w:val="20"/>
              </w:rPr>
              <w:t>2</w:t>
            </w:r>
            <w:r w:rsidRPr="00484218">
              <w:rPr>
                <w:rFonts w:ascii="Arial Narrow" w:hAnsi="Arial Narrow"/>
                <w:b/>
                <w:bCs/>
                <w:noProof/>
                <w:color w:val="2C9ADC"/>
                <w:sz w:val="20"/>
              </w:rPr>
              <w:fldChar w:fldCharType="end"/>
            </w:r>
            <w:r w:rsidR="00DD024E" w:rsidRPr="009B2EF8">
              <w:rPr>
                <w:rFonts w:ascii="Arial Narrow" w:hAnsi="Arial Narrow" w:cs="Arial"/>
                <w:b/>
                <w:color w:val="2C9ADC"/>
                <w:sz w:val="20"/>
                <w:szCs w:val="18"/>
              </w:rPr>
              <w:t>: „</w:t>
            </w:r>
            <w:proofErr w:type="spellStart"/>
            <w:r w:rsidR="00DD024E" w:rsidRPr="009B2EF8">
              <w:rPr>
                <w:rFonts w:ascii="Arial Narrow" w:hAnsi="Arial Narrow" w:cs="Arial"/>
                <w:b/>
                <w:color w:val="2C9ADC"/>
                <w:sz w:val="20"/>
                <w:szCs w:val="18"/>
              </w:rPr>
              <w:t>Disagregácia</w:t>
            </w:r>
            <w:proofErr w:type="spellEnd"/>
            <w:r w:rsidR="00DD024E" w:rsidRPr="009B2EF8">
              <w:rPr>
                <w:rFonts w:ascii="Arial Narrow" w:hAnsi="Arial Narrow" w:cs="Arial"/>
                <w:b/>
                <w:color w:val="2C9ADC"/>
                <w:sz w:val="20"/>
                <w:szCs w:val="18"/>
              </w:rPr>
              <w:t xml:space="preserve">“ </w:t>
            </w:r>
            <w:r w:rsidR="00110C2A" w:rsidRPr="009B2EF8">
              <w:rPr>
                <w:rFonts w:ascii="Arial Narrow" w:hAnsi="Arial Narrow" w:cs="Arial"/>
                <w:b/>
                <w:color w:val="2C9ADC"/>
                <w:sz w:val="20"/>
                <w:szCs w:val="18"/>
              </w:rPr>
              <w:t xml:space="preserve">hlavných </w:t>
            </w:r>
            <w:r w:rsidR="00DD024E" w:rsidRPr="009B2EF8">
              <w:rPr>
                <w:rFonts w:ascii="Arial Narrow" w:hAnsi="Arial Narrow" w:cs="Arial"/>
                <w:b/>
                <w:color w:val="2C9ADC"/>
                <w:sz w:val="20"/>
                <w:szCs w:val="18"/>
              </w:rPr>
              <w:t>výsledkových ukazovateľov pomocou doplnkových indikátorov, štandardná odchýlka od priemeru OECD a EÚ</w:t>
            </w:r>
            <w:bookmarkEnd w:id="4"/>
          </w:p>
        </w:tc>
      </w:tr>
      <w:tr w:rsidR="00DD024E" w:rsidRPr="00614593" w14:paraId="7BF5321B" w14:textId="77777777" w:rsidTr="00F57624">
        <w:trPr>
          <w:gridBefore w:val="1"/>
          <w:wBefore w:w="120" w:type="pct"/>
          <w:trHeight w:val="3414"/>
        </w:trPr>
        <w:tc>
          <w:tcPr>
            <w:tcW w:w="2387" w:type="pct"/>
            <w:tcBorders>
              <w:top w:val="single" w:sz="4" w:space="0" w:color="auto"/>
              <w:left w:val="nil"/>
              <w:bottom w:val="single" w:sz="4" w:space="0" w:color="auto"/>
              <w:right w:val="nil"/>
            </w:tcBorders>
            <w:vAlign w:val="center"/>
          </w:tcPr>
          <w:p w14:paraId="66F61391" w14:textId="6A7EA3AA" w:rsidR="00DD024E" w:rsidRPr="00522B96" w:rsidRDefault="00334F26" w:rsidP="00F57624">
            <w:pPr>
              <w:spacing w:before="40" w:after="40"/>
              <w:ind w:left="-136" w:hanging="142"/>
              <w:jc w:val="center"/>
              <w:rPr>
                <w:rFonts w:ascii="Arial Narrow" w:hAnsi="Arial Narrow" w:cs="Arial"/>
                <w:b/>
                <w:sz w:val="20"/>
                <w:szCs w:val="20"/>
              </w:rPr>
            </w:pPr>
            <w:r w:rsidRPr="00DB3458">
              <w:rPr>
                <w:rFonts w:ascii="Arial Narrow" w:hAnsi="Arial Narrow"/>
                <w:noProof/>
                <w:lang w:val="en-GB" w:eastAsia="en-GB"/>
              </w:rPr>
              <w:drawing>
                <wp:inline distT="0" distB="0" distL="0" distR="0" wp14:anchorId="17599DC8" wp14:editId="72063803">
                  <wp:extent cx="2532380" cy="2196465"/>
                  <wp:effectExtent l="0" t="0" r="1270" b="0"/>
                  <wp:docPr id="231" name="Graf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93" w:type="pct"/>
            <w:tcBorders>
              <w:top w:val="nil"/>
              <w:left w:val="nil"/>
              <w:bottom w:val="nil"/>
              <w:right w:val="nil"/>
            </w:tcBorders>
            <w:vAlign w:val="center"/>
          </w:tcPr>
          <w:p w14:paraId="09599944" w14:textId="77777777" w:rsidR="00DD024E" w:rsidRPr="00614593" w:rsidRDefault="00DD024E" w:rsidP="00F57624">
            <w:pPr>
              <w:spacing w:before="40" w:after="40"/>
              <w:jc w:val="center"/>
              <w:rPr>
                <w:rFonts w:ascii="Arial Narrow" w:hAnsi="Arial Narrow" w:cs="Arial"/>
                <w:b/>
                <w:sz w:val="20"/>
                <w:szCs w:val="20"/>
              </w:rPr>
            </w:pPr>
          </w:p>
        </w:tc>
        <w:tc>
          <w:tcPr>
            <w:tcW w:w="2400" w:type="pct"/>
            <w:tcBorders>
              <w:top w:val="single" w:sz="4" w:space="0" w:color="auto"/>
              <w:left w:val="nil"/>
              <w:bottom w:val="single" w:sz="4" w:space="0" w:color="auto"/>
              <w:right w:val="nil"/>
            </w:tcBorders>
            <w:vAlign w:val="center"/>
          </w:tcPr>
          <w:p w14:paraId="4D597548" w14:textId="29BCB5FB" w:rsidR="00DD024E" w:rsidRPr="00522B96" w:rsidRDefault="00334F26" w:rsidP="00F57624">
            <w:pPr>
              <w:spacing w:before="40" w:after="40"/>
              <w:ind w:right="213"/>
              <w:jc w:val="center"/>
              <w:rPr>
                <w:rFonts w:ascii="Arial Narrow" w:hAnsi="Arial Narrow" w:cs="Arial"/>
                <w:b/>
                <w:color w:val="000000" w:themeColor="text1"/>
                <w:sz w:val="20"/>
                <w:szCs w:val="20"/>
              </w:rPr>
            </w:pPr>
            <w:r w:rsidRPr="00DB3458">
              <w:rPr>
                <w:rFonts w:ascii="Arial Narrow" w:hAnsi="Arial Narrow"/>
                <w:noProof/>
                <w:lang w:val="en-GB" w:eastAsia="en-GB"/>
              </w:rPr>
              <w:drawing>
                <wp:inline distT="0" distB="0" distL="0" distR="0" wp14:anchorId="479E2584" wp14:editId="30C9D8BD">
                  <wp:extent cx="2546985" cy="2173184"/>
                  <wp:effectExtent l="0" t="0" r="5715" b="0"/>
                  <wp:docPr id="233" name="Graf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DD024E" w:rsidRPr="00614593" w14:paraId="72F3BF58" w14:textId="77777777" w:rsidTr="00F57624">
        <w:trPr>
          <w:trHeight w:val="113"/>
        </w:trPr>
        <w:tc>
          <w:tcPr>
            <w:tcW w:w="2507" w:type="pct"/>
            <w:gridSpan w:val="2"/>
            <w:tcBorders>
              <w:top w:val="single" w:sz="4" w:space="0" w:color="auto"/>
              <w:left w:val="nil"/>
              <w:bottom w:val="nil"/>
              <w:right w:val="nil"/>
            </w:tcBorders>
            <w:vAlign w:val="center"/>
          </w:tcPr>
          <w:p w14:paraId="089025AE" w14:textId="77777777" w:rsidR="00DD024E" w:rsidRPr="00653D43" w:rsidRDefault="00DD024E" w:rsidP="001E7483">
            <w:pPr>
              <w:spacing w:after="0" w:line="240" w:lineRule="auto"/>
              <w:jc w:val="right"/>
              <w:rPr>
                <w:rFonts w:ascii="Arial Narrow" w:hAnsi="Arial Narrow" w:cs="Arial"/>
                <w:sz w:val="18"/>
                <w:szCs w:val="14"/>
              </w:rPr>
            </w:pPr>
            <w:r w:rsidRPr="00653D43">
              <w:rPr>
                <w:rFonts w:ascii="Arial Narrow" w:hAnsi="Arial Narrow"/>
                <w:i/>
                <w:iCs/>
                <w:color w:val="000000"/>
                <w:sz w:val="18"/>
                <w:szCs w:val="16"/>
              </w:rPr>
              <w:t>Zdroj: IFP</w:t>
            </w:r>
          </w:p>
        </w:tc>
        <w:tc>
          <w:tcPr>
            <w:tcW w:w="93" w:type="pct"/>
            <w:tcBorders>
              <w:top w:val="nil"/>
              <w:left w:val="nil"/>
              <w:bottom w:val="nil"/>
              <w:right w:val="nil"/>
            </w:tcBorders>
            <w:vAlign w:val="center"/>
          </w:tcPr>
          <w:p w14:paraId="1D023F08" w14:textId="77777777" w:rsidR="00DD024E" w:rsidRPr="00653D43" w:rsidRDefault="00DD024E" w:rsidP="001E7483">
            <w:pPr>
              <w:spacing w:after="0" w:line="240" w:lineRule="auto"/>
              <w:jc w:val="center"/>
              <w:rPr>
                <w:rFonts w:ascii="Arial Narrow" w:hAnsi="Arial Narrow" w:cs="Arial"/>
                <w:sz w:val="18"/>
                <w:szCs w:val="14"/>
              </w:rPr>
            </w:pPr>
          </w:p>
        </w:tc>
        <w:tc>
          <w:tcPr>
            <w:tcW w:w="2400" w:type="pct"/>
            <w:tcBorders>
              <w:top w:val="single" w:sz="4" w:space="0" w:color="auto"/>
              <w:left w:val="nil"/>
              <w:bottom w:val="nil"/>
              <w:right w:val="nil"/>
            </w:tcBorders>
            <w:vAlign w:val="center"/>
          </w:tcPr>
          <w:p w14:paraId="7A38DFEF" w14:textId="77777777" w:rsidR="00DD024E" w:rsidRPr="00653D43" w:rsidRDefault="00DD024E" w:rsidP="001E7483">
            <w:pPr>
              <w:spacing w:after="0" w:line="240" w:lineRule="auto"/>
              <w:jc w:val="right"/>
              <w:rPr>
                <w:rFonts w:ascii="Arial Narrow" w:hAnsi="Arial Narrow" w:cs="Arial"/>
                <w:sz w:val="18"/>
                <w:szCs w:val="14"/>
              </w:rPr>
            </w:pPr>
            <w:r w:rsidRPr="00653D43">
              <w:rPr>
                <w:rFonts w:ascii="Arial Narrow" w:hAnsi="Arial Narrow"/>
                <w:i/>
                <w:iCs/>
                <w:color w:val="000000"/>
                <w:sz w:val="18"/>
                <w:szCs w:val="16"/>
              </w:rPr>
              <w:t xml:space="preserve">Zdroj: IFP </w:t>
            </w:r>
          </w:p>
        </w:tc>
      </w:tr>
    </w:tbl>
    <w:p w14:paraId="75664370" w14:textId="77777777" w:rsidR="001E7483" w:rsidRDefault="001E7483" w:rsidP="00334F26">
      <w:pPr>
        <w:spacing w:after="0" w:line="240" w:lineRule="auto"/>
        <w:jc w:val="both"/>
        <w:rPr>
          <w:rFonts w:ascii="Arial Narrow" w:hAnsi="Arial Narrow"/>
          <w:b/>
        </w:rPr>
      </w:pPr>
    </w:p>
    <w:p w14:paraId="181DC6FB" w14:textId="4759E63A" w:rsidR="00334F26" w:rsidRDefault="00334F26" w:rsidP="00334F26">
      <w:pPr>
        <w:spacing w:after="0" w:line="240" w:lineRule="auto"/>
        <w:jc w:val="both"/>
        <w:rPr>
          <w:rFonts w:ascii="Arial Narrow" w:hAnsi="Arial Narrow"/>
        </w:rPr>
      </w:pPr>
      <w:r w:rsidRPr="00DB3458">
        <w:rPr>
          <w:rFonts w:ascii="Arial Narrow" w:hAnsi="Arial Narrow"/>
          <w:b/>
        </w:rPr>
        <w:t>Výsledkové ukazovatele sú spárované s doplnkovými indikátormi</w:t>
      </w:r>
      <w:r w:rsidRPr="00DB3458">
        <w:rPr>
          <w:rFonts w:ascii="Arial Narrow" w:hAnsi="Arial Narrow"/>
        </w:rPr>
        <w:t xml:space="preserve"> </w:t>
      </w:r>
      <w:r w:rsidRPr="00DB3458">
        <w:rPr>
          <w:rFonts w:ascii="Arial Narrow" w:hAnsi="Arial Narrow"/>
          <w:b/>
        </w:rPr>
        <w:t>a poskytujú podrobnejšie informácie o situácii v danej oblasti.</w:t>
      </w:r>
      <w:r w:rsidRPr="00DB3458">
        <w:rPr>
          <w:rFonts w:ascii="Arial Narrow" w:hAnsi="Arial Narrow"/>
        </w:rPr>
        <w:t xml:space="preserve"> </w:t>
      </w:r>
      <w:r w:rsidR="00535460">
        <w:rPr>
          <w:rFonts w:ascii="Arial Narrow" w:hAnsi="Arial Narrow"/>
        </w:rPr>
        <w:t>Širšie definovaný problém</w:t>
      </w:r>
      <w:r w:rsidRPr="00DB3458">
        <w:rPr>
          <w:rFonts w:ascii="Arial Narrow" w:hAnsi="Arial Narrow"/>
        </w:rPr>
        <w:t xml:space="preserve"> (napríklad trh práce s výsledkovými indikátormi zamestnanosť a dlhodobá nezamestnanosť) </w:t>
      </w:r>
      <w:r w:rsidR="00535460">
        <w:rPr>
          <w:rFonts w:ascii="Arial Narrow" w:hAnsi="Arial Narrow"/>
        </w:rPr>
        <w:t xml:space="preserve">je </w:t>
      </w:r>
      <w:proofErr w:type="spellStart"/>
      <w:r w:rsidR="00535460">
        <w:rPr>
          <w:rFonts w:ascii="Arial Narrow" w:hAnsi="Arial Narrow"/>
        </w:rPr>
        <w:t>disagregovaný</w:t>
      </w:r>
      <w:proofErr w:type="spellEnd"/>
      <w:r w:rsidR="00535460">
        <w:rPr>
          <w:rFonts w:ascii="Arial Narrow" w:hAnsi="Arial Narrow"/>
        </w:rPr>
        <w:t xml:space="preserve"> </w:t>
      </w:r>
      <w:r w:rsidRPr="00DB3458">
        <w:rPr>
          <w:rFonts w:ascii="Arial Narrow" w:hAnsi="Arial Narrow"/>
        </w:rPr>
        <w:t xml:space="preserve">na špecifickejšie oblasti (napr. nezamestnanosť ľudí so základným vzdelaním alebo zamestnanosť žien). Body v ľavom dolnom kvadrante tak  predstavujú tie hlavné výsledkové a doplnkové ukazovatele, pri ktorých v oboch prípadoch Slovensko dosahuje podpriemerné hodnoty. V ľavom hornom kvadrante sú oblasti, v ktorých Slovensko dosahuje podpriemerné výsledky, avšak v doplnkových indikátoroch dosahuje nadpriemerné výsledky (napr. podiel tuhých palív na celkovej primárnej produkcii energie je nízky v porovnaní s ostatnými krajinami, napriek tomu v oblasti environmentálnej udržateľnosti Slovensko nedosahuje nadpriemerné výsledky v skupine výsledkových indikátorov). </w:t>
      </w:r>
    </w:p>
    <w:p w14:paraId="4967372B" w14:textId="77777777" w:rsidR="00334F26" w:rsidRPr="00DB3458" w:rsidRDefault="00334F26" w:rsidP="00334F26">
      <w:pPr>
        <w:spacing w:after="0" w:line="240" w:lineRule="auto"/>
        <w:jc w:val="both"/>
        <w:rPr>
          <w:rFonts w:ascii="Arial Narrow" w:hAnsi="Arial Narrow"/>
        </w:rPr>
      </w:pPr>
    </w:p>
    <w:p w14:paraId="17BC3800" w14:textId="7856EB6D" w:rsidR="00334F26" w:rsidRDefault="00334F26" w:rsidP="00334F26">
      <w:pPr>
        <w:spacing w:after="0" w:line="240" w:lineRule="auto"/>
        <w:jc w:val="both"/>
        <w:rPr>
          <w:rFonts w:ascii="Arial Narrow" w:hAnsi="Arial Narrow"/>
        </w:rPr>
      </w:pPr>
      <w:r w:rsidRPr="00DB3458">
        <w:rPr>
          <w:rFonts w:ascii="Arial Narrow" w:hAnsi="Arial Narrow"/>
          <w:b/>
        </w:rPr>
        <w:t xml:space="preserve">Slovensko najviac zaostáva v oblasti základného školstva. </w:t>
      </w:r>
      <w:r w:rsidRPr="00DB3458">
        <w:rPr>
          <w:rFonts w:ascii="Arial Narrow" w:hAnsi="Arial Narrow"/>
        </w:rPr>
        <w:t>Medzinárodne porovnateľné výsledky školstva sú merané na úrovni základných škôl PISA testovaním 15-ročných študentov. V roku 2015 sa výsledky slovenských žiakov v testovaní PISA opäť zhoršili</w:t>
      </w:r>
      <w:r w:rsidRPr="00DB3458">
        <w:rPr>
          <w:rStyle w:val="Odkaznapoznmkupodiarou"/>
          <w:rFonts w:ascii="Arial Narrow" w:hAnsi="Arial Narrow"/>
        </w:rPr>
        <w:footnoteReference w:id="4"/>
      </w:r>
      <w:r w:rsidRPr="00DB3458">
        <w:rPr>
          <w:rFonts w:ascii="Arial Narrow" w:hAnsi="Arial Narrow"/>
        </w:rPr>
        <w:t xml:space="preserve"> a výrazne zaostávajú za priemerom OECD. Vplyv prostredia, v akom žiak vyrastá, do veľkej miery ovplyvňuje výsledok, čo prispieva k nízkej sociálnej mobilite detí rodičov v najnižších príjmových kategóriách</w:t>
      </w:r>
      <w:r w:rsidRPr="00DB3458">
        <w:rPr>
          <w:rStyle w:val="Odkaznapoznmkupodiarou"/>
          <w:rFonts w:ascii="Arial Narrow" w:hAnsi="Arial Narrow"/>
        </w:rPr>
        <w:footnoteReference w:id="5"/>
      </w:r>
      <w:r>
        <w:rPr>
          <w:rFonts w:ascii="Arial Narrow" w:hAnsi="Arial Narrow"/>
        </w:rPr>
        <w:t>.</w:t>
      </w:r>
      <w:r w:rsidRPr="00DB3458">
        <w:rPr>
          <w:rFonts w:ascii="Arial Narrow" w:hAnsi="Arial Narrow"/>
        </w:rPr>
        <w:t xml:space="preserve"> Problematický je aj vysoký a narastajúci podiel žiakov, ktorí nedosahujú základnú úroveň zručností v jednotlivých oblastiach testovania. Schopnosť vzdelávacieho systému poskytovať rovné príležitosti pre všetkých žiakov je do veľkej miery ovplyvnená kvalitou práce učiteľov, čo bolo aj motiváciou pre opakované zvyšovanie ich miezd s cieľom zvýšiť atraktivitu učiteľského povolania</w:t>
      </w:r>
      <w:r w:rsidRPr="00DB3458">
        <w:rPr>
          <w:rStyle w:val="Odkaznapoznmkupodiarou"/>
          <w:rFonts w:ascii="Arial Narrow" w:hAnsi="Arial Narrow"/>
        </w:rPr>
        <w:footnoteReference w:id="6"/>
      </w:r>
      <w:r>
        <w:rPr>
          <w:rFonts w:ascii="Arial Narrow" w:hAnsi="Arial Narrow"/>
        </w:rPr>
        <w:t>.</w:t>
      </w:r>
      <w:r w:rsidRPr="00DB3458">
        <w:rPr>
          <w:rFonts w:ascii="Arial Narrow" w:hAnsi="Arial Narrow"/>
        </w:rPr>
        <w:t xml:space="preserve"> Napriek tomu mzdy učiteľov zostávajú nízke v medzinárodnom porovnaní</w:t>
      </w:r>
      <w:r w:rsidRPr="00DB3458">
        <w:rPr>
          <w:rStyle w:val="Odkaznapoznmkupodiarou"/>
          <w:rFonts w:ascii="Arial Narrow" w:hAnsi="Arial Narrow"/>
        </w:rPr>
        <w:footnoteReference w:id="7"/>
      </w:r>
      <w:r>
        <w:rPr>
          <w:rFonts w:ascii="Arial Narrow" w:hAnsi="Arial Narrow"/>
        </w:rPr>
        <w:t>.</w:t>
      </w:r>
    </w:p>
    <w:p w14:paraId="67865A06" w14:textId="77777777" w:rsidR="00334F26" w:rsidRDefault="00334F26" w:rsidP="00334F26">
      <w:pPr>
        <w:spacing w:after="0" w:line="240" w:lineRule="auto"/>
        <w:jc w:val="both"/>
        <w:rPr>
          <w:rFonts w:ascii="Arial Narrow" w:hAnsi="Arial Narrow"/>
        </w:rPr>
      </w:pPr>
      <w:r w:rsidRPr="00DB3458">
        <w:rPr>
          <w:rFonts w:ascii="Arial Narrow" w:hAnsi="Arial Narrow"/>
          <w:b/>
        </w:rPr>
        <w:lastRenderedPageBreak/>
        <w:t>Vzdelávací systém nedostatočne reaguje na potreby detí zo sociálne znevýhodneného prostredia.</w:t>
      </w:r>
      <w:r w:rsidRPr="00DB3458">
        <w:rPr>
          <w:rFonts w:ascii="Arial Narrow" w:hAnsi="Arial Narrow"/>
        </w:rPr>
        <w:t xml:space="preserve"> Pripravenosť detí zo znevýhodneného prostredia pre vzdelávací systém sa zlepšuje so zvyšujúcou sa participáciou na kvalitnom predškolskom vzdelávaní</w:t>
      </w:r>
      <w:r w:rsidRPr="00DB3458">
        <w:rPr>
          <w:rFonts w:ascii="Arial Narrow" w:hAnsi="Arial Narrow"/>
          <w:vertAlign w:val="superscript"/>
        </w:rPr>
        <w:footnoteReference w:id="8"/>
      </w:r>
      <w:r w:rsidRPr="00DB3458">
        <w:rPr>
          <w:rFonts w:ascii="Arial Narrow" w:hAnsi="Arial Narrow"/>
        </w:rPr>
        <w:t xml:space="preserve">, čo predstavuje oblasť v ktorej Slovensko tiež zaostáva. Celkovo podpriemerné financovanie školstva je badateľné aj v podpriemerných výdavkoch na žiaka. Odliv žiakov po ukončení základnej školy je síce v medzinárodnom porovnaní nižší ako priemer, avšak trend je v tejto oblasti negatívny a postupne sa výsledky v tomto indikátore zhoršujú. Ukončenie aspoň stredoškolského vzdelania je pritom nevyhnutné pre úspešný nástup na trh práce, znižuje riziko chudoby a sociálneho vylúčenia. </w:t>
      </w:r>
    </w:p>
    <w:p w14:paraId="283884FA" w14:textId="77777777" w:rsidR="00334F26" w:rsidRPr="00DB3458" w:rsidRDefault="00334F26" w:rsidP="00334F26">
      <w:pPr>
        <w:spacing w:after="0" w:line="240" w:lineRule="auto"/>
        <w:jc w:val="both"/>
        <w:rPr>
          <w:rFonts w:ascii="Arial Narrow" w:hAnsi="Arial Narrow"/>
        </w:rPr>
      </w:pPr>
    </w:p>
    <w:p w14:paraId="1B523AC5" w14:textId="77777777" w:rsidR="00334F26" w:rsidRDefault="00334F26" w:rsidP="00334F26">
      <w:pPr>
        <w:spacing w:after="0" w:line="240" w:lineRule="auto"/>
        <w:jc w:val="both"/>
        <w:rPr>
          <w:rFonts w:ascii="Arial Narrow" w:hAnsi="Arial Narrow"/>
        </w:rPr>
      </w:pPr>
      <w:r w:rsidRPr="00DB3458">
        <w:rPr>
          <w:rFonts w:ascii="Arial Narrow" w:hAnsi="Arial Narrow"/>
          <w:b/>
        </w:rPr>
        <w:t>Napriek historicky najlepším výsledkom predstavujú niektoré ukazovatele  trhu práce naďalej výzvu.</w:t>
      </w:r>
      <w:r w:rsidRPr="00DB3458">
        <w:rPr>
          <w:rFonts w:ascii="Arial Narrow" w:hAnsi="Arial Narrow"/>
        </w:rPr>
        <w:t xml:space="preserve"> Od roku 2013 klesá celková nezamestnanosť, ktorá už v súčasnosti dosahuje hodnoty na úrovni priemeru krajín EÚ a OECD. Dlhodobou štrukturálnou výzvou však zostáva zamestnávanie </w:t>
      </w:r>
      <w:proofErr w:type="spellStart"/>
      <w:r w:rsidRPr="00DB3458">
        <w:rPr>
          <w:rFonts w:ascii="Arial Narrow" w:hAnsi="Arial Narrow"/>
        </w:rPr>
        <w:t>nízkokvalifikovaných</w:t>
      </w:r>
      <w:proofErr w:type="spellEnd"/>
      <w:r w:rsidRPr="00DB3458">
        <w:rPr>
          <w:rFonts w:ascii="Arial Narrow" w:hAnsi="Arial Narrow"/>
        </w:rPr>
        <w:t xml:space="preserve"> a dlhodobo nezamestnaných osôb. Aj napriek ekonomickému rastu zamestnanosť rómskej populácie stále výrazne zaostáva za väčšinovou populáciou. Miera zamestnanosti rómskej populácie dosahuje len približne tretinu miery zamestnanosti majority</w:t>
      </w:r>
      <w:r w:rsidRPr="00DB3458">
        <w:rPr>
          <w:rStyle w:val="Odkaznapoznmkupodiarou"/>
          <w:rFonts w:ascii="Arial Narrow" w:hAnsi="Arial Narrow"/>
        </w:rPr>
        <w:footnoteReference w:id="9"/>
      </w:r>
      <w:r w:rsidRPr="00DB3458">
        <w:rPr>
          <w:rFonts w:ascii="Arial Narrow" w:hAnsi="Arial Narrow"/>
        </w:rPr>
        <w:t>. Zamestnanosť žien s deťmi do troch rokov patrí medzi najnižšie v krajinách OECD, čo má negatívny vplyv počas neskoršej pracovnej kariéry v podobe stratených zručností a nižších príjmov</w:t>
      </w:r>
      <w:r w:rsidRPr="00DB3458">
        <w:rPr>
          <w:rStyle w:val="Odkaznapoznmkupodiarou"/>
          <w:rFonts w:ascii="Arial Narrow" w:hAnsi="Arial Narrow"/>
        </w:rPr>
        <w:footnoteReference w:id="10"/>
      </w:r>
      <w:r w:rsidRPr="00DB3458">
        <w:rPr>
          <w:rFonts w:ascii="Arial Narrow" w:hAnsi="Arial Narrow"/>
        </w:rPr>
        <w:t>. Ekonomický cyklus spôsobil, že zamestnanosť mladých a starších vekových skupín je na tom relatívne lepšie ako v porovnávaných krajinách.</w:t>
      </w:r>
    </w:p>
    <w:p w14:paraId="3CA56A23" w14:textId="77777777" w:rsidR="00334F26" w:rsidRPr="00DB3458" w:rsidRDefault="00334F26" w:rsidP="00334F26">
      <w:pPr>
        <w:spacing w:after="0" w:line="240" w:lineRule="auto"/>
        <w:jc w:val="both"/>
        <w:rPr>
          <w:rFonts w:ascii="Arial Narrow" w:hAnsi="Arial Narrow"/>
        </w:rPr>
      </w:pPr>
    </w:p>
    <w:p w14:paraId="52EF8328" w14:textId="30E5A100" w:rsidR="001C2E48" w:rsidRPr="004C54B9" w:rsidRDefault="00334F26" w:rsidP="00334F26">
      <w:pPr>
        <w:spacing w:after="0" w:line="240" w:lineRule="auto"/>
        <w:jc w:val="both"/>
        <w:rPr>
          <w:rFonts w:ascii="Arial Narrow" w:hAnsi="Arial Narrow"/>
        </w:rPr>
      </w:pPr>
      <w:r w:rsidRPr="00DB3458">
        <w:rPr>
          <w:rFonts w:ascii="Arial Narrow" w:hAnsi="Arial Narrow"/>
          <w:b/>
        </w:rPr>
        <w:t>Slovensko zaostáva v hlavných výsledkových ukazovateľoch v oblasti zdravotníctva.</w:t>
      </w:r>
      <w:r w:rsidRPr="00DB3458">
        <w:rPr>
          <w:rFonts w:ascii="Arial Narrow" w:hAnsi="Arial Narrow"/>
        </w:rPr>
        <w:t xml:space="preserve"> V porovnaní s priemerom EÚ je priemerná dĺžka života výrazne nižšia spolu s horšou (dvojnásobnou) mierou úmrtnosti odvrátiteľnej zdravotnou starostlivosťou</w:t>
      </w:r>
      <w:r w:rsidRPr="00DB3458">
        <w:rPr>
          <w:rStyle w:val="Odkaznapoznmkupodiarou"/>
          <w:rFonts w:ascii="Arial Narrow" w:hAnsi="Arial Narrow"/>
        </w:rPr>
        <w:footnoteReference w:id="11"/>
      </w:r>
      <w:r w:rsidRPr="00DB3458">
        <w:rPr>
          <w:rFonts w:ascii="Arial Narrow" w:hAnsi="Arial Narrow"/>
        </w:rPr>
        <w:t xml:space="preserve">. Relatívne vysoká hodnota  miery </w:t>
      </w:r>
      <w:proofErr w:type="spellStart"/>
      <w:r w:rsidRPr="00DB3458">
        <w:rPr>
          <w:rFonts w:ascii="Arial Narrow" w:hAnsi="Arial Narrow"/>
        </w:rPr>
        <w:t>predchádzateľnej</w:t>
      </w:r>
      <w:proofErr w:type="spellEnd"/>
      <w:r w:rsidRPr="00DB3458">
        <w:rPr>
          <w:rFonts w:ascii="Arial Narrow" w:hAnsi="Arial Narrow"/>
        </w:rPr>
        <w:t xml:space="preserve"> úmrtnosti zodpovedá hodnotám indikátorov, ktoré merajú prejavy horšej životosprávy (fajčenie, spotreba alkoholu). Celkové výdavky vyjadrené ako podiel na HDP zaostávajú za priemerom EÚ. Aktualizácia modelu efektívnosti slovenského zdravotného systému potvrdzuje dlhodobo horšiu efektívnosť v porovnaní s priemerom krajín OECD.</w:t>
      </w:r>
      <w:r w:rsidR="00882023" w:rsidRPr="004C54B9">
        <w:rPr>
          <w:rFonts w:ascii="Arial Narrow" w:hAnsi="Arial Narrow"/>
        </w:rPr>
        <w:br w:type="page"/>
      </w:r>
    </w:p>
    <w:p w14:paraId="4987712B" w14:textId="77777777" w:rsidR="00DC0931" w:rsidRPr="00F57624" w:rsidRDefault="000E4403" w:rsidP="004239D2">
      <w:pPr>
        <w:pStyle w:val="Nadpis1"/>
        <w:numPr>
          <w:ilvl w:val="0"/>
          <w:numId w:val="1"/>
        </w:numPr>
        <w:spacing w:line="240" w:lineRule="auto"/>
        <w:rPr>
          <w:rFonts w:ascii="Arial Narrow" w:hAnsi="Arial Narrow"/>
          <w:sz w:val="32"/>
          <w:szCs w:val="32"/>
        </w:rPr>
      </w:pPr>
      <w:bookmarkStart w:id="5" w:name="_Toc386005358"/>
      <w:r w:rsidRPr="004C54B9">
        <w:rPr>
          <w:rFonts w:ascii="Arial Narrow" w:hAnsi="Arial Narrow"/>
          <w:color w:val="auto"/>
          <w:sz w:val="22"/>
          <w:szCs w:val="22"/>
        </w:rPr>
        <w:lastRenderedPageBreak/>
        <w:t xml:space="preserve"> </w:t>
      </w:r>
      <w:bookmarkStart w:id="6" w:name="_Toc4766831"/>
      <w:r w:rsidR="00492611" w:rsidRPr="00F57624">
        <w:rPr>
          <w:rFonts w:ascii="Arial Narrow" w:hAnsi="Arial Narrow"/>
          <w:color w:val="auto"/>
          <w:sz w:val="32"/>
          <w:szCs w:val="32"/>
        </w:rPr>
        <w:t>O</w:t>
      </w:r>
      <w:r w:rsidRPr="00F57624">
        <w:rPr>
          <w:rFonts w:ascii="Arial Narrow" w:hAnsi="Arial Narrow"/>
          <w:color w:val="auto"/>
          <w:sz w:val="32"/>
          <w:szCs w:val="32"/>
        </w:rPr>
        <w:t xml:space="preserve">patrenia </w:t>
      </w:r>
      <w:r w:rsidR="00492611" w:rsidRPr="00F57624">
        <w:rPr>
          <w:rFonts w:ascii="Arial Narrow" w:hAnsi="Arial Narrow"/>
          <w:color w:val="auto"/>
          <w:sz w:val="32"/>
          <w:szCs w:val="32"/>
        </w:rPr>
        <w:t xml:space="preserve">prijaté </w:t>
      </w:r>
      <w:r w:rsidRPr="00F57624">
        <w:rPr>
          <w:rFonts w:ascii="Arial Narrow" w:hAnsi="Arial Narrow"/>
          <w:color w:val="auto"/>
          <w:sz w:val="32"/>
          <w:szCs w:val="32"/>
        </w:rPr>
        <w:t>v roku</w:t>
      </w:r>
      <w:r w:rsidR="00E81DE6" w:rsidRPr="00F57624">
        <w:rPr>
          <w:rFonts w:ascii="Arial Narrow" w:hAnsi="Arial Narrow"/>
          <w:color w:val="auto"/>
          <w:sz w:val="32"/>
          <w:szCs w:val="32"/>
        </w:rPr>
        <w:t xml:space="preserve"> 201</w:t>
      </w:r>
      <w:bookmarkEnd w:id="5"/>
      <w:r w:rsidR="00493E43" w:rsidRPr="00F57624">
        <w:rPr>
          <w:rFonts w:ascii="Arial Narrow" w:hAnsi="Arial Narrow"/>
          <w:color w:val="auto"/>
          <w:sz w:val="32"/>
          <w:szCs w:val="32"/>
        </w:rPr>
        <w:t>8</w:t>
      </w:r>
      <w:bookmarkEnd w:id="6"/>
    </w:p>
    <w:p w14:paraId="6C0D6BB7" w14:textId="77777777" w:rsidR="009C7EEA" w:rsidRPr="004C54B9" w:rsidRDefault="009C7EEA" w:rsidP="004C54B9">
      <w:pPr>
        <w:spacing w:after="0" w:line="240" w:lineRule="auto"/>
        <w:jc w:val="both"/>
        <w:rPr>
          <w:rFonts w:ascii="Arial Narrow" w:hAnsi="Arial Narrow"/>
        </w:rPr>
      </w:pPr>
    </w:p>
    <w:p w14:paraId="59EA374D" w14:textId="77777777" w:rsidR="00AE7BDD" w:rsidRPr="004C54B9" w:rsidRDefault="00AE7BDD" w:rsidP="004C54B9">
      <w:pPr>
        <w:spacing w:after="0" w:line="240" w:lineRule="auto"/>
        <w:jc w:val="both"/>
        <w:rPr>
          <w:rFonts w:ascii="Arial Narrow" w:hAnsi="Arial Narrow"/>
        </w:rPr>
      </w:pPr>
      <w:r w:rsidRPr="004C54B9">
        <w:rPr>
          <w:rFonts w:ascii="Arial Narrow" w:hAnsi="Arial Narrow"/>
        </w:rPr>
        <w:t>Odpočet plnenia úloh akčného plánu NPR je vecne usporiadaný podľa jednotlivých špecifických odporúčaní, ktoré boli schválené na zasadnutí júnového summitu Európskej rady a v júli 2018 prijaté Radou</w:t>
      </w:r>
      <w:r w:rsidRPr="004C54B9">
        <w:rPr>
          <w:rStyle w:val="Odkaznapoznmkupodiarou"/>
          <w:rFonts w:ascii="Arial Narrow" w:hAnsi="Arial Narrow"/>
        </w:rPr>
        <w:footnoteReference w:id="12"/>
      </w:r>
      <w:r w:rsidRPr="004C54B9">
        <w:rPr>
          <w:rFonts w:ascii="Arial Narrow" w:hAnsi="Arial Narrow"/>
        </w:rPr>
        <w:t xml:space="preserve">. </w:t>
      </w:r>
    </w:p>
    <w:p w14:paraId="09586D80" w14:textId="77777777" w:rsidR="00AE7BDD" w:rsidRPr="004C54B9" w:rsidRDefault="00AE7BDD" w:rsidP="004C54B9">
      <w:pPr>
        <w:spacing w:after="0" w:line="240" w:lineRule="auto"/>
        <w:jc w:val="both"/>
        <w:rPr>
          <w:rFonts w:ascii="Arial Narrow" w:hAnsi="Arial Narrow"/>
        </w:rPr>
      </w:pPr>
    </w:p>
    <w:p w14:paraId="206D89E4" w14:textId="77777777" w:rsidR="00AE7BDD" w:rsidRPr="004C54B9" w:rsidRDefault="00AE7BDD" w:rsidP="004C54B9">
      <w:pPr>
        <w:pStyle w:val="Odsekzoznamu"/>
        <w:numPr>
          <w:ilvl w:val="0"/>
          <w:numId w:val="3"/>
        </w:numPr>
        <w:spacing w:after="0" w:line="240" w:lineRule="auto"/>
        <w:ind w:left="425" w:hanging="425"/>
        <w:contextualSpacing w:val="0"/>
        <w:jc w:val="both"/>
        <w:rPr>
          <w:rFonts w:ascii="Arial Narrow" w:hAnsi="Arial Narrow"/>
          <w:b/>
        </w:rPr>
      </w:pPr>
      <w:r w:rsidRPr="004C54B9">
        <w:rPr>
          <w:rFonts w:ascii="Arial Narrow" w:hAnsi="Arial Narrow"/>
          <w:b/>
        </w:rPr>
        <w:t>Fiškálna politika a efektivita zdravotníctva</w:t>
      </w:r>
    </w:p>
    <w:p w14:paraId="254FA0C2" w14:textId="77777777" w:rsidR="00AE7BDD" w:rsidRPr="004C54B9" w:rsidRDefault="00AE7BDD" w:rsidP="004C54B9">
      <w:pPr>
        <w:pStyle w:val="Odsekzoznamu"/>
        <w:spacing w:before="120" w:after="0" w:line="240" w:lineRule="auto"/>
        <w:ind w:left="0"/>
        <w:jc w:val="both"/>
        <w:rPr>
          <w:rFonts w:ascii="Arial Narrow" w:hAnsi="Arial Narrow"/>
          <w:b/>
          <w:i/>
        </w:rPr>
      </w:pPr>
    </w:p>
    <w:p w14:paraId="7AD6FD67" w14:textId="77777777" w:rsidR="00F856B9" w:rsidRPr="004C54B9" w:rsidRDefault="00F856B9" w:rsidP="00F856B9">
      <w:pPr>
        <w:spacing w:after="240" w:line="240" w:lineRule="auto"/>
        <w:jc w:val="both"/>
        <w:rPr>
          <w:rFonts w:ascii="Arial Narrow" w:hAnsi="Arial Narrow"/>
          <w:b/>
          <w:i/>
        </w:rPr>
      </w:pPr>
      <w:r w:rsidRPr="004C54B9">
        <w:rPr>
          <w:rFonts w:ascii="Arial Narrow" w:hAnsi="Arial Narrow"/>
          <w:b/>
          <w:i/>
        </w:rPr>
        <w:t>Špecifické odporúčanie Rady: Zabezpečiť, že nominálna miera rastu čistých primárnych verejných výdavkov v roku 2019 nepresiahne 4,1 %, čo zodpovedá ročnej štrukturálnej úprave vo výške 0,5 % HDP. Implementovať opatrenia na zvýšenie nákladovej efektívnosti systému zdravotníctva a vytvoriť účinnejšiu stratégiu zdravotníckej pracovnej sily.</w:t>
      </w:r>
    </w:p>
    <w:p w14:paraId="24C44AD6" w14:textId="27A3D82E" w:rsidR="00F856B9" w:rsidRPr="004C54B9" w:rsidRDefault="0014151A" w:rsidP="00F856B9">
      <w:pPr>
        <w:spacing w:after="0" w:line="240" w:lineRule="auto"/>
        <w:jc w:val="both"/>
        <w:rPr>
          <w:rFonts w:ascii="Arial Narrow" w:hAnsi="Arial Narrow"/>
        </w:rPr>
      </w:pPr>
      <w:r w:rsidRPr="0014151A">
        <w:rPr>
          <w:rFonts w:ascii="Arial Narrow" w:hAnsi="Arial Narrow"/>
          <w:i/>
        </w:rPr>
        <w:t xml:space="preserve">Hospodárenie verejnej správy v roku 2018 prekonalo ciele rozpočtu. </w:t>
      </w:r>
      <w:r w:rsidR="00F856B9">
        <w:rPr>
          <w:rFonts w:ascii="Arial Narrow" w:hAnsi="Arial Narrow"/>
          <w:i/>
        </w:rPr>
        <w:t>V roku 2018 došl</w:t>
      </w:r>
      <w:r>
        <w:rPr>
          <w:rFonts w:ascii="Arial Narrow" w:hAnsi="Arial Narrow"/>
          <w:i/>
        </w:rPr>
        <w:t xml:space="preserve">o tiež </w:t>
      </w:r>
      <w:r w:rsidR="00F856B9">
        <w:rPr>
          <w:rFonts w:ascii="Arial Narrow" w:hAnsi="Arial Narrow"/>
          <w:i/>
        </w:rPr>
        <w:t xml:space="preserve"> k</w:t>
      </w:r>
      <w:r>
        <w:rPr>
          <w:rFonts w:ascii="Arial Narrow" w:hAnsi="Arial Narrow"/>
          <w:i/>
        </w:rPr>
        <w:t xml:space="preserve"> legislatívnemu ukotveniu</w:t>
      </w:r>
      <w:r w:rsidR="00F856B9" w:rsidRPr="004C54B9">
        <w:rPr>
          <w:rFonts w:ascii="Arial Narrow" w:hAnsi="Arial Narrow"/>
          <w:i/>
        </w:rPr>
        <w:t xml:space="preserve"> inštitucionálneho usporiadania projektu Hodnota za peniaze</w:t>
      </w:r>
      <w:r w:rsidR="00F856B9">
        <w:rPr>
          <w:rFonts w:ascii="Arial Narrow" w:hAnsi="Arial Narrow"/>
          <w:i/>
        </w:rPr>
        <w:t>, ktoré vytvára predpoklad pre ďalšie zlepšenie manažmentu verejných výdavkov</w:t>
      </w:r>
      <w:r w:rsidR="00F856B9" w:rsidRPr="004C54B9">
        <w:rPr>
          <w:rFonts w:ascii="Arial Narrow" w:hAnsi="Arial Narrow"/>
          <w:i/>
        </w:rPr>
        <w:t xml:space="preserve">. </w:t>
      </w:r>
      <w:r w:rsidR="00F856B9">
        <w:rPr>
          <w:rFonts w:ascii="Arial Narrow" w:hAnsi="Arial Narrow"/>
          <w:i/>
        </w:rPr>
        <w:t>P</w:t>
      </w:r>
      <w:r w:rsidR="00F856B9" w:rsidRPr="004C54B9">
        <w:rPr>
          <w:rFonts w:ascii="Arial Narrow" w:hAnsi="Arial Narrow"/>
          <w:i/>
        </w:rPr>
        <w:t>okračovala implementácia opatrení, ktoré boli identifikované v rámci revízie výdavkov v sektore zdravotníctva. V systéme elektronického zdravotníctva (</w:t>
      </w:r>
      <w:proofErr w:type="spellStart"/>
      <w:r w:rsidR="00F856B9" w:rsidRPr="004C54B9">
        <w:rPr>
          <w:rFonts w:ascii="Arial Narrow" w:hAnsi="Arial Narrow"/>
          <w:i/>
        </w:rPr>
        <w:t>eHealth</w:t>
      </w:r>
      <w:proofErr w:type="spellEnd"/>
      <w:r w:rsidR="00F856B9" w:rsidRPr="004C54B9">
        <w:rPr>
          <w:rFonts w:ascii="Arial Narrow" w:hAnsi="Arial Narrow"/>
          <w:i/>
        </w:rPr>
        <w:t xml:space="preserve">) sa </w:t>
      </w:r>
      <w:r w:rsidR="00F856B9">
        <w:rPr>
          <w:rFonts w:ascii="Arial Narrow" w:hAnsi="Arial Narrow"/>
          <w:i/>
        </w:rPr>
        <w:t xml:space="preserve">začali </w:t>
      </w:r>
      <w:r w:rsidR="00F856B9" w:rsidRPr="004C54B9">
        <w:rPr>
          <w:rFonts w:ascii="Arial Narrow" w:hAnsi="Arial Narrow"/>
          <w:i/>
        </w:rPr>
        <w:t>využíva</w:t>
      </w:r>
      <w:r w:rsidR="00F856B9">
        <w:rPr>
          <w:rFonts w:ascii="Arial Narrow" w:hAnsi="Arial Narrow"/>
          <w:i/>
        </w:rPr>
        <w:t>ť</w:t>
      </w:r>
      <w:r w:rsidR="00F856B9" w:rsidRPr="004C54B9">
        <w:rPr>
          <w:rFonts w:ascii="Arial Narrow" w:hAnsi="Arial Narrow"/>
          <w:i/>
        </w:rPr>
        <w:t xml:space="preserve"> moduly na predpisovanie liekov a zápis záznamov o vyšetreniach. Zavedenie úhrad za diagnostickú skupinu </w:t>
      </w:r>
      <w:r w:rsidR="003D4CA2">
        <w:rPr>
          <w:rFonts w:ascii="Arial Narrow" w:hAnsi="Arial Narrow"/>
          <w:i/>
        </w:rPr>
        <w:t xml:space="preserve">(DRG) </w:t>
      </w:r>
      <w:r w:rsidR="00F856B9" w:rsidRPr="004C54B9">
        <w:rPr>
          <w:rFonts w:ascii="Arial Narrow" w:hAnsi="Arial Narrow"/>
          <w:i/>
        </w:rPr>
        <w:t>je zatiaľ v štádiu vykazovania a nastavovania platieb. Obe opatrenia zostávajú hlavnými prioritami v zdravotníctve. Zvýšenie platov zdravotných sestier o 10 %</w:t>
      </w:r>
      <w:r w:rsidR="00F856B9">
        <w:rPr>
          <w:rFonts w:ascii="Arial Narrow" w:hAnsi="Arial Narrow"/>
          <w:i/>
        </w:rPr>
        <w:t xml:space="preserve"> nad rámec štandardnej valorizácie</w:t>
      </w:r>
      <w:r w:rsidR="00F856B9" w:rsidRPr="004C54B9">
        <w:rPr>
          <w:rFonts w:ascii="Arial Narrow" w:hAnsi="Arial Narrow"/>
          <w:i/>
        </w:rPr>
        <w:t xml:space="preserve"> posúva ich ohodnotenie na úroveň priemeru EÚ.</w:t>
      </w:r>
      <w:r w:rsidR="00F856B9" w:rsidRPr="004C54B9">
        <w:rPr>
          <w:rFonts w:ascii="Arial Narrow" w:hAnsi="Arial Narrow"/>
        </w:rPr>
        <w:t xml:space="preserve">  </w:t>
      </w:r>
    </w:p>
    <w:p w14:paraId="1977B54F" w14:textId="77777777" w:rsidR="00F856B9" w:rsidRPr="004C54B9" w:rsidRDefault="00F856B9" w:rsidP="00F856B9">
      <w:pPr>
        <w:tabs>
          <w:tab w:val="center" w:pos="4282"/>
        </w:tabs>
        <w:spacing w:after="0" w:line="240" w:lineRule="auto"/>
        <w:jc w:val="both"/>
        <w:rPr>
          <w:rFonts w:ascii="Arial Narrow" w:hAnsi="Arial Narrow"/>
          <w:b/>
          <w:i/>
          <w:highlight w:val="yellow"/>
        </w:rPr>
      </w:pPr>
    </w:p>
    <w:p w14:paraId="207348B4" w14:textId="77777777" w:rsidR="00F57624" w:rsidRPr="00F57624" w:rsidRDefault="00F57624" w:rsidP="00F57624">
      <w:pPr>
        <w:tabs>
          <w:tab w:val="center" w:pos="4282"/>
        </w:tabs>
        <w:spacing w:after="0" w:line="240" w:lineRule="auto"/>
        <w:jc w:val="both"/>
        <w:rPr>
          <w:rFonts w:ascii="Arial Narrow" w:hAnsi="Arial Narrow"/>
          <w:b/>
          <w:i/>
        </w:rPr>
      </w:pPr>
      <w:r w:rsidRPr="00F57624">
        <w:rPr>
          <w:rFonts w:ascii="Arial Narrow" w:hAnsi="Arial Narrow"/>
          <w:b/>
          <w:i/>
        </w:rPr>
        <w:t>Fiškálna politika</w:t>
      </w:r>
    </w:p>
    <w:p w14:paraId="01B8F34B" w14:textId="53A92790" w:rsidR="00F856B9" w:rsidRPr="00F57624" w:rsidRDefault="003B09C1" w:rsidP="003B09C1">
      <w:pPr>
        <w:tabs>
          <w:tab w:val="center" w:pos="4282"/>
        </w:tabs>
        <w:spacing w:after="0" w:line="240" w:lineRule="auto"/>
        <w:jc w:val="both"/>
        <w:rPr>
          <w:rFonts w:ascii="Arial Narrow" w:hAnsi="Arial Narrow" w:cs="ArialNarrow"/>
        </w:rPr>
      </w:pPr>
      <w:r w:rsidRPr="00AA09E1">
        <w:rPr>
          <w:rFonts w:ascii="Arial Narrow" w:hAnsi="Arial Narrow" w:cs="ArialNarrow"/>
          <w:b/>
        </w:rPr>
        <w:t>Hospodárenie verejnej správy v roku 2018 prekonalo ciele rozpočtu.</w:t>
      </w:r>
      <w:r w:rsidRPr="003B09C1">
        <w:rPr>
          <w:rFonts w:ascii="Arial Narrow" w:hAnsi="Arial Narrow" w:cs="ArialNarrow"/>
        </w:rPr>
        <w:t xml:space="preserve"> Od aktuálneho roku bude hospodárenie verejnej správy plne vyrovnané v celom horizonte</w:t>
      </w:r>
      <w:r>
        <w:rPr>
          <w:rFonts w:ascii="Arial Narrow" w:hAnsi="Arial Narrow" w:cs="ArialNarrow"/>
        </w:rPr>
        <w:t xml:space="preserve"> </w:t>
      </w:r>
      <w:r>
        <w:rPr>
          <w:rFonts w:ascii="Arial Narrow" w:hAnsi="Arial Narrow" w:cs="ArialNarrow"/>
          <w:i/>
        </w:rPr>
        <w:t xml:space="preserve">Programu </w:t>
      </w:r>
      <w:r w:rsidRPr="00DD56AF">
        <w:rPr>
          <w:rFonts w:ascii="Arial Narrow" w:hAnsi="Arial Narrow" w:cs="ArialNarrow"/>
          <w:i/>
        </w:rPr>
        <w:t>stability SR na roky 2019 až 2022</w:t>
      </w:r>
      <w:r w:rsidRPr="00DD56AF">
        <w:rPr>
          <w:rFonts w:ascii="Arial Narrow" w:hAnsi="Arial Narrow" w:cs="ArialNarrow"/>
        </w:rPr>
        <w:t>.</w:t>
      </w:r>
      <w:r>
        <w:rPr>
          <w:rFonts w:ascii="Arial Narrow" w:hAnsi="Arial Narrow" w:cs="ArialNarrow"/>
        </w:rPr>
        <w:t xml:space="preserve"> </w:t>
      </w:r>
      <w:r w:rsidRPr="003B09C1">
        <w:rPr>
          <w:rFonts w:ascii="Arial Narrow" w:hAnsi="Arial Narrow" w:cs="ArialNarrow"/>
        </w:rPr>
        <w:t xml:space="preserve">Zároveň bude naplnený aj strednodobý rozpočtový cieľ, ktorý zohľadňuje potrebnú rozpočtovú rezervu na fiškálne náklady starnutia populácie a na absorpciu bežných cyklických výkyvov ekonomiky. Pokračujúce zlepšovanie fiškálnej pozície </w:t>
      </w:r>
      <w:r w:rsidRPr="00AA09E1">
        <w:rPr>
          <w:rFonts w:ascii="Arial Narrow" w:hAnsi="Arial Narrow" w:cs="ArialNarrow"/>
        </w:rPr>
        <w:t xml:space="preserve">potvrdzuje kontinuálny pokles hrubého aj čistého zadlženia verejnej správy. Ku koncu roku 2018 dosiahol hrubý dlh verejnej správy 48,9 % HDP a po prvýkrát klesol pod najnižšie sankčné pásmo ústavného zákona o rozpočtovej zodpovednosti. Čistý dlh verejnej správy klesol ku koncu roka 2018 ešte výraznejšie, keď dosiahol výšku 43,0 % HDP. Hrubý dlh sa tak naďalej udrží pod sankčnými pásmami, ktoré sa medzi rokmi 2018 až 2027 každoročne sprísňujú o </w:t>
      </w:r>
      <w:r w:rsidR="00AA09E1">
        <w:rPr>
          <w:rFonts w:ascii="Arial Narrow" w:hAnsi="Arial Narrow" w:cs="ArialNarrow"/>
        </w:rPr>
        <w:t>jeden</w:t>
      </w:r>
      <w:r w:rsidRPr="00AA09E1">
        <w:rPr>
          <w:rFonts w:ascii="Arial Narrow" w:hAnsi="Arial Narrow" w:cs="ArialNarrow"/>
        </w:rPr>
        <w:t xml:space="preserve"> </w:t>
      </w:r>
      <w:proofErr w:type="spellStart"/>
      <w:r w:rsidRPr="00AA09E1">
        <w:rPr>
          <w:rFonts w:ascii="Arial Narrow" w:hAnsi="Arial Narrow" w:cs="ArialNarrow"/>
        </w:rPr>
        <w:t>p</w:t>
      </w:r>
      <w:r w:rsidR="00AA09E1">
        <w:rPr>
          <w:rFonts w:ascii="Arial Narrow" w:hAnsi="Arial Narrow" w:cs="ArialNarrow"/>
        </w:rPr>
        <w:t>.b</w:t>
      </w:r>
      <w:proofErr w:type="spellEnd"/>
      <w:r w:rsidR="00AA09E1">
        <w:rPr>
          <w:rFonts w:ascii="Arial Narrow" w:hAnsi="Arial Narrow" w:cs="ArialNarrow"/>
        </w:rPr>
        <w:t xml:space="preserve">. </w:t>
      </w:r>
      <w:r w:rsidRPr="00AA09E1">
        <w:rPr>
          <w:rFonts w:ascii="Arial Narrow" w:hAnsi="Arial Narrow" w:cs="ArialNarrow"/>
        </w:rPr>
        <w:t xml:space="preserve">HDP. Ku koncu 2022 dosiahne hrubý dlh 44,7 % HDP, </w:t>
      </w:r>
      <w:r w:rsidR="003D4CA2">
        <w:rPr>
          <w:rFonts w:ascii="Arial Narrow" w:hAnsi="Arial Narrow" w:cs="ArialNarrow"/>
        </w:rPr>
        <w:t xml:space="preserve">teda </w:t>
      </w:r>
      <w:r w:rsidRPr="00AA09E1">
        <w:rPr>
          <w:rFonts w:ascii="Arial Narrow" w:hAnsi="Arial Narrow" w:cs="ArialNarrow"/>
        </w:rPr>
        <w:t xml:space="preserve">0,3 </w:t>
      </w:r>
      <w:proofErr w:type="spellStart"/>
      <w:r w:rsidRPr="00AA09E1">
        <w:rPr>
          <w:rFonts w:ascii="Arial Narrow" w:hAnsi="Arial Narrow" w:cs="ArialNarrow"/>
        </w:rPr>
        <w:t>p.b</w:t>
      </w:r>
      <w:proofErr w:type="spellEnd"/>
      <w:r w:rsidRPr="00AA09E1">
        <w:rPr>
          <w:rFonts w:ascii="Arial Narrow" w:hAnsi="Arial Narrow" w:cs="ArialNarrow"/>
        </w:rPr>
        <w:t>. pod najnižším sankčným pásmom. Čistý dlh klesne k úrovni 37 % HDP</w:t>
      </w:r>
      <w:r w:rsidR="00AA09E1" w:rsidRPr="00AA09E1">
        <w:rPr>
          <w:rFonts w:ascii="Arial Narrow" w:hAnsi="Arial Narrow" w:cs="ArialNarrow"/>
        </w:rPr>
        <w:t xml:space="preserve"> (</w:t>
      </w:r>
      <w:r w:rsidR="00AA09E1" w:rsidRPr="00AA09E1">
        <w:rPr>
          <w:rFonts w:ascii="Arial Narrow" w:hAnsi="Arial Narrow" w:cs="ArialNarrow"/>
          <w:i/>
        </w:rPr>
        <w:t>Čísla budú zosúladené s finálnou verziou</w:t>
      </w:r>
      <w:r w:rsidR="00AA09E1" w:rsidRPr="00AA09E1">
        <w:rPr>
          <w:rFonts w:ascii="Arial Narrow" w:hAnsi="Arial Narrow" w:cs="ArialNarrow"/>
        </w:rPr>
        <w:t xml:space="preserve"> </w:t>
      </w:r>
      <w:r w:rsidR="00AA09E1" w:rsidRPr="00AA09E1">
        <w:rPr>
          <w:rFonts w:ascii="Arial Narrow" w:hAnsi="Arial Narrow" w:cs="ArialNarrow"/>
          <w:i/>
        </w:rPr>
        <w:t>Programu stability SR na roky 2019 až 2022</w:t>
      </w:r>
      <w:r w:rsidR="00AA09E1" w:rsidRPr="00AA09E1">
        <w:rPr>
          <w:rFonts w:ascii="Arial Narrow" w:hAnsi="Arial Narrow" w:cs="ArialNarrow"/>
        </w:rPr>
        <w:t>)</w:t>
      </w:r>
      <w:r w:rsidRPr="00AA09E1">
        <w:rPr>
          <w:rFonts w:ascii="Arial Narrow" w:hAnsi="Arial Narrow" w:cs="ArialNarrow"/>
        </w:rPr>
        <w:t>.</w:t>
      </w:r>
      <w:r w:rsidR="00AA09E1">
        <w:rPr>
          <w:rFonts w:ascii="Arial Narrow" w:hAnsi="Arial Narrow" w:cs="ArialNarrow"/>
        </w:rPr>
        <w:t xml:space="preserve"> </w:t>
      </w:r>
    </w:p>
    <w:p w14:paraId="2F5A25D1" w14:textId="77777777" w:rsidR="00F57624" w:rsidRPr="004C54B9" w:rsidRDefault="00F57624" w:rsidP="00F57624">
      <w:pPr>
        <w:tabs>
          <w:tab w:val="center" w:pos="4282"/>
        </w:tabs>
        <w:spacing w:after="0" w:line="240" w:lineRule="auto"/>
        <w:jc w:val="both"/>
        <w:rPr>
          <w:rFonts w:ascii="Arial Narrow" w:hAnsi="Arial Narrow"/>
        </w:rPr>
      </w:pPr>
    </w:p>
    <w:p w14:paraId="4F4F26FA" w14:textId="45D7F51D" w:rsidR="00F856B9" w:rsidRPr="006F6BFF" w:rsidRDefault="003F2218" w:rsidP="00AA09E1">
      <w:pPr>
        <w:autoSpaceDE w:val="0"/>
        <w:autoSpaceDN w:val="0"/>
        <w:adjustRightInd w:val="0"/>
        <w:spacing w:after="0" w:line="240" w:lineRule="auto"/>
        <w:jc w:val="both"/>
        <w:rPr>
          <w:rFonts w:ascii="Arial Narrow" w:hAnsi="Arial Narrow"/>
        </w:rPr>
      </w:pPr>
      <w:r>
        <w:rPr>
          <w:rFonts w:ascii="Arial Narrow" w:hAnsi="Arial Narrow" w:cs="Arial"/>
          <w:b/>
          <w:bCs/>
          <w:color w:val="000000"/>
        </w:rPr>
        <w:t>I</w:t>
      </w:r>
      <w:r w:rsidR="00F856B9" w:rsidRPr="006F6BFF">
        <w:rPr>
          <w:rFonts w:ascii="Arial Narrow" w:hAnsi="Arial Narrow" w:cs="Arial"/>
          <w:b/>
          <w:bCs/>
          <w:color w:val="000000"/>
        </w:rPr>
        <w:t>nštitucionálne usporiadani</w:t>
      </w:r>
      <w:r>
        <w:rPr>
          <w:rFonts w:ascii="Arial Narrow" w:hAnsi="Arial Narrow" w:cs="Arial"/>
          <w:b/>
          <w:bCs/>
          <w:color w:val="000000"/>
        </w:rPr>
        <w:t>e</w:t>
      </w:r>
      <w:r w:rsidR="00F856B9" w:rsidRPr="006F6BFF">
        <w:rPr>
          <w:rFonts w:ascii="Arial Narrow" w:hAnsi="Arial Narrow" w:cs="Arial"/>
          <w:b/>
          <w:bCs/>
          <w:color w:val="000000"/>
        </w:rPr>
        <w:t xml:space="preserve"> projektu </w:t>
      </w:r>
      <w:r w:rsidR="00F856B9" w:rsidRPr="006F6BFF">
        <w:rPr>
          <w:rFonts w:ascii="Arial Narrow" w:hAnsi="Arial Narrow" w:cs="Arial"/>
          <w:b/>
          <w:bCs/>
          <w:i/>
          <w:color w:val="000000"/>
        </w:rPr>
        <w:t>Hodnota za peniaze</w:t>
      </w:r>
      <w:r w:rsidR="00F856B9" w:rsidRPr="006F6BFF">
        <w:rPr>
          <w:rFonts w:ascii="Arial Narrow" w:hAnsi="Arial Narrow" w:cs="Arial"/>
          <w:b/>
          <w:bCs/>
          <w:color w:val="000000"/>
        </w:rPr>
        <w:t xml:space="preserve"> </w:t>
      </w:r>
      <w:r>
        <w:rPr>
          <w:rFonts w:ascii="Arial Narrow" w:hAnsi="Arial Narrow" w:cs="Arial"/>
          <w:b/>
          <w:bCs/>
          <w:color w:val="000000"/>
        </w:rPr>
        <w:t xml:space="preserve">bolo legislatívne ukotvené </w:t>
      </w:r>
      <w:r w:rsidR="00F856B9" w:rsidRPr="006F6BFF">
        <w:rPr>
          <w:rFonts w:ascii="Arial Narrow" w:hAnsi="Arial Narrow" w:cs="Arial"/>
          <w:b/>
          <w:bCs/>
          <w:color w:val="000000"/>
        </w:rPr>
        <w:t xml:space="preserve">novelou zákona o rozpočtových pravidlách schválenou vládou SR. </w:t>
      </w:r>
      <w:r w:rsidR="00F856B9" w:rsidRPr="006F6BFF">
        <w:rPr>
          <w:rFonts w:ascii="Arial Narrow" w:hAnsi="Arial Narrow" w:cs="Arial"/>
          <w:bCs/>
          <w:color w:val="000000"/>
        </w:rPr>
        <w:t>V budúcnosti bude mať</w:t>
      </w:r>
      <w:r w:rsidR="00F856B9" w:rsidRPr="006F6BFF">
        <w:rPr>
          <w:rFonts w:ascii="Arial Narrow" w:hAnsi="Arial Narrow" w:cs="Arial"/>
          <w:b/>
          <w:bCs/>
          <w:color w:val="000000"/>
        </w:rPr>
        <w:t xml:space="preserve"> </w:t>
      </w:r>
      <w:r w:rsidR="00F856B9" w:rsidRPr="006F6BFF">
        <w:rPr>
          <w:rFonts w:ascii="Arial Narrow" w:hAnsi="Arial Narrow" w:cs="Arial"/>
          <w:color w:val="000000"/>
        </w:rPr>
        <w:t>každá nasl</w:t>
      </w:r>
      <w:r w:rsidR="00AA09E1">
        <w:rPr>
          <w:rFonts w:ascii="Arial Narrow" w:hAnsi="Arial Narrow" w:cs="Arial"/>
          <w:color w:val="000000"/>
        </w:rPr>
        <w:t>edujúca vláda povinnosť počas štvor</w:t>
      </w:r>
      <w:r w:rsidR="00F856B9" w:rsidRPr="006F6BFF">
        <w:rPr>
          <w:rFonts w:ascii="Arial Narrow" w:hAnsi="Arial Narrow" w:cs="Arial"/>
          <w:color w:val="000000"/>
        </w:rPr>
        <w:t xml:space="preserve">ročného obdobia vykonať a zverejniť revízie výdavkov v objeme aspoň polovice výdavkov rozpočtu verejnej správy. Odpočet plnení </w:t>
      </w:r>
      <w:r w:rsidR="009C5B0D">
        <w:rPr>
          <w:rFonts w:ascii="Arial Narrow" w:hAnsi="Arial Narrow" w:cs="Arial"/>
          <w:color w:val="000000"/>
        </w:rPr>
        <w:t>opatrení</w:t>
      </w:r>
      <w:r w:rsidR="009C5B0D" w:rsidRPr="006F6BFF">
        <w:rPr>
          <w:rFonts w:ascii="Arial Narrow" w:hAnsi="Arial Narrow" w:cs="Arial"/>
          <w:color w:val="000000"/>
        </w:rPr>
        <w:t xml:space="preserve"> </w:t>
      </w:r>
      <w:r w:rsidR="00F856B9" w:rsidRPr="006F6BFF">
        <w:rPr>
          <w:rFonts w:ascii="Arial Narrow" w:hAnsi="Arial Narrow" w:cs="Arial"/>
          <w:color w:val="000000"/>
        </w:rPr>
        <w:t>revízií výdavkov (implementačná správa) sa stane povinnou súčasťou rozpočtovej dokumentácie. Zákonom dostáva ministerstvo financií povinnosť hodnotiť a zverejniť hodnotenia investičných projektov nad 40 mil. eur s DPH, 10 mil. eur s</w:t>
      </w:r>
      <w:r w:rsidR="00AA09E1">
        <w:rPr>
          <w:rFonts w:ascii="Arial Narrow" w:hAnsi="Arial Narrow" w:cs="Arial"/>
          <w:color w:val="000000"/>
        </w:rPr>
        <w:t xml:space="preserve"> DPH v prípade investícii v IT. </w:t>
      </w:r>
      <w:r w:rsidR="00AA09E1">
        <w:rPr>
          <w:rFonts w:ascii="Arial Narrow" w:hAnsi="Arial Narrow"/>
        </w:rPr>
        <w:t xml:space="preserve">Po </w:t>
      </w:r>
      <w:r w:rsidR="00AA09E1" w:rsidRPr="00500E63">
        <w:rPr>
          <w:rFonts w:ascii="Arial Narrow" w:hAnsi="Arial Narrow"/>
        </w:rPr>
        <w:t>novom bude subjekt verejnej správy</w:t>
      </w:r>
      <w:r w:rsidR="00AA09E1" w:rsidRPr="00500E63">
        <w:rPr>
          <w:rStyle w:val="Odkaznapoznmkupodiarou"/>
          <w:rFonts w:ascii="Arial Narrow" w:hAnsi="Arial Narrow"/>
        </w:rPr>
        <w:footnoteReference w:id="13"/>
      </w:r>
      <w:r w:rsidR="00AA09E1" w:rsidRPr="00500E63">
        <w:rPr>
          <w:rFonts w:ascii="Arial Narrow" w:hAnsi="Arial Narrow"/>
        </w:rPr>
        <w:t xml:space="preserve"> povinný vypracovať a zverejniť štúdiu</w:t>
      </w:r>
      <w:r w:rsidR="00AA09E1" w:rsidRPr="00500E63">
        <w:rPr>
          <w:rStyle w:val="Odkaznapoznmkupodiarou"/>
          <w:rFonts w:ascii="Arial Narrow" w:hAnsi="Arial Narrow"/>
        </w:rPr>
        <w:footnoteReference w:id="14"/>
      </w:r>
      <w:r w:rsidR="00AA09E1" w:rsidRPr="00500E63">
        <w:rPr>
          <w:rFonts w:ascii="Arial Narrow" w:hAnsi="Arial Narrow"/>
        </w:rPr>
        <w:t xml:space="preserve"> uskutočniteľnosti investície</w:t>
      </w:r>
      <w:r w:rsidR="00AA09E1" w:rsidRPr="00500E63">
        <w:rPr>
          <w:rStyle w:val="Odkaznapoznmkupodiarou"/>
          <w:rFonts w:ascii="Arial Narrow" w:hAnsi="Arial Narrow"/>
        </w:rPr>
        <w:footnoteReference w:id="15"/>
      </w:r>
      <w:r w:rsidR="00AA09E1" w:rsidRPr="00500E63">
        <w:rPr>
          <w:rFonts w:ascii="Arial Narrow" w:hAnsi="Arial Narrow"/>
        </w:rPr>
        <w:t xml:space="preserve"> a koncesie. Samotné hodnotenie štúdie uskutočniteľnosti bude vypracovávať a zverejňovať ministerstvo fi</w:t>
      </w:r>
      <w:r w:rsidR="00AA09E1">
        <w:rPr>
          <w:rFonts w:ascii="Arial Narrow" w:hAnsi="Arial Narrow"/>
        </w:rPr>
        <w:t xml:space="preserve">nancií (účinnosť od januára </w:t>
      </w:r>
      <w:r w:rsidR="00AA09E1" w:rsidRPr="00500E63">
        <w:rPr>
          <w:rFonts w:ascii="Arial Narrow" w:hAnsi="Arial Narrow"/>
        </w:rPr>
        <w:t>2020).</w:t>
      </w:r>
      <w:r w:rsidR="00AA09E1">
        <w:rPr>
          <w:rFonts w:ascii="Arial Narrow" w:hAnsi="Arial Narrow"/>
        </w:rPr>
        <w:t xml:space="preserve"> </w:t>
      </w:r>
      <w:r w:rsidR="009C5B0D">
        <w:rPr>
          <w:rFonts w:ascii="Arial Narrow" w:hAnsi="Arial Narrow" w:cs="Arial"/>
          <w:color w:val="000000"/>
        </w:rPr>
        <w:t xml:space="preserve">V roku 2018 bola Implementačná jednotka projektu </w:t>
      </w:r>
      <w:r w:rsidR="009C5B0D" w:rsidRPr="001A4BA3">
        <w:rPr>
          <w:rFonts w:ascii="Arial Narrow" w:hAnsi="Arial Narrow" w:cs="Arial"/>
          <w:i/>
          <w:color w:val="000000"/>
        </w:rPr>
        <w:t>Hodnota za peniaze</w:t>
      </w:r>
      <w:r w:rsidR="009C5B0D">
        <w:rPr>
          <w:rFonts w:ascii="Arial Narrow" w:hAnsi="Arial Narrow" w:cs="Arial"/>
          <w:color w:val="000000"/>
        </w:rPr>
        <w:t xml:space="preserve"> presunutá na Úrad vlády SR. </w:t>
      </w:r>
      <w:r w:rsidR="001A4BA3">
        <w:rPr>
          <w:rFonts w:ascii="Arial Narrow" w:hAnsi="Arial Narrow" w:cs="Arial"/>
          <w:color w:val="000000"/>
        </w:rPr>
        <w:t xml:space="preserve">Jej úlohou </w:t>
      </w:r>
      <w:r w:rsidR="009C5B0D">
        <w:rPr>
          <w:rFonts w:ascii="Arial Narrow" w:hAnsi="Arial Narrow" w:cs="Arial"/>
          <w:color w:val="000000"/>
        </w:rPr>
        <w:t xml:space="preserve">je odpočet opatrení revízie výdavkov, ako aj </w:t>
      </w:r>
      <w:proofErr w:type="spellStart"/>
      <w:r w:rsidR="009C5B0D">
        <w:rPr>
          <w:rFonts w:ascii="Arial Narrow" w:hAnsi="Arial Narrow" w:cs="Arial"/>
          <w:color w:val="000000"/>
        </w:rPr>
        <w:t>odblokovávanie</w:t>
      </w:r>
      <w:proofErr w:type="spellEnd"/>
      <w:r w:rsidR="009C5B0D">
        <w:rPr>
          <w:rFonts w:ascii="Arial Narrow" w:hAnsi="Arial Narrow" w:cs="Arial"/>
          <w:color w:val="000000"/>
        </w:rPr>
        <w:t xml:space="preserve"> procesov v prípade, že plnenie opatrení je v kompetencii viacerých rezortov a k ich realizácii nedochádza.</w:t>
      </w:r>
      <w:r w:rsidR="00950182">
        <w:rPr>
          <w:rFonts w:ascii="Arial Narrow" w:hAnsi="Arial Narrow" w:cs="Arial"/>
          <w:color w:val="000000"/>
        </w:rPr>
        <w:t xml:space="preserve"> </w:t>
      </w:r>
    </w:p>
    <w:p w14:paraId="6297949C" w14:textId="77777777" w:rsidR="00950182" w:rsidRDefault="00950182">
      <w:pPr>
        <w:spacing w:after="0" w:line="240" w:lineRule="auto"/>
        <w:rPr>
          <w:rFonts w:ascii="Arial Narrow" w:hAnsi="Arial Narrow"/>
          <w:b/>
          <w:i/>
        </w:rPr>
      </w:pPr>
      <w:r>
        <w:rPr>
          <w:rFonts w:ascii="Arial Narrow" w:hAnsi="Arial Narrow"/>
          <w:b/>
          <w:i/>
        </w:rPr>
        <w:br w:type="page"/>
      </w:r>
    </w:p>
    <w:p w14:paraId="2A971EE3" w14:textId="195EBD79" w:rsidR="00F856B9" w:rsidRPr="006F6BFF" w:rsidRDefault="00F856B9" w:rsidP="00F856B9">
      <w:pPr>
        <w:pStyle w:val="Odsekzoznamu"/>
        <w:spacing w:after="0" w:line="240" w:lineRule="auto"/>
        <w:ind w:left="0"/>
        <w:contextualSpacing w:val="0"/>
        <w:jc w:val="both"/>
        <w:rPr>
          <w:rFonts w:ascii="Arial Narrow" w:hAnsi="Arial Narrow"/>
          <w:b/>
          <w:i/>
        </w:rPr>
      </w:pPr>
      <w:r w:rsidRPr="006F6BFF">
        <w:rPr>
          <w:rFonts w:ascii="Arial Narrow" w:hAnsi="Arial Narrow"/>
          <w:b/>
          <w:i/>
        </w:rPr>
        <w:lastRenderedPageBreak/>
        <w:t>Zdravotníctvo</w:t>
      </w:r>
    </w:p>
    <w:p w14:paraId="0288AAAF" w14:textId="4EEF6B7B" w:rsidR="00F856B9" w:rsidRPr="006F6BFF" w:rsidRDefault="00F856B9" w:rsidP="00F856B9">
      <w:pPr>
        <w:spacing w:after="0" w:line="240" w:lineRule="auto"/>
        <w:jc w:val="both"/>
        <w:rPr>
          <w:rFonts w:ascii="Arial Narrow" w:eastAsia="Calibri" w:hAnsi="Arial Narrow"/>
          <w:lang w:eastAsia="en-US"/>
        </w:rPr>
      </w:pPr>
      <w:r w:rsidRPr="006F6BFF">
        <w:rPr>
          <w:rFonts w:ascii="Arial Narrow" w:eastAsia="Calibri" w:hAnsi="Arial Narrow"/>
          <w:b/>
          <w:lang w:eastAsia="en-US"/>
        </w:rPr>
        <w:t>V roku 2017 sa realizáciou opatrení revízie výdavkov na zdravotníctvo podarilo dosiahnuť úsporu 10</w:t>
      </w:r>
      <w:r w:rsidR="00A3314E">
        <w:rPr>
          <w:rFonts w:ascii="Arial Narrow" w:eastAsia="Calibri" w:hAnsi="Arial Narrow"/>
          <w:b/>
          <w:lang w:eastAsia="en-US"/>
        </w:rPr>
        <w:t>4</w:t>
      </w:r>
      <w:r w:rsidRPr="006F6BFF">
        <w:rPr>
          <w:rFonts w:ascii="Arial Narrow" w:eastAsia="Calibri" w:hAnsi="Arial Narrow"/>
          <w:b/>
          <w:lang w:eastAsia="en-US"/>
        </w:rPr>
        <w:t xml:space="preserve"> mil. eur ročne</w:t>
      </w:r>
      <w:r w:rsidRPr="005470FC">
        <w:rPr>
          <w:rStyle w:val="Odkaznapoznmkupodiarou"/>
          <w:rFonts w:ascii="Arial Narrow" w:eastAsia="Calibri" w:hAnsi="Arial Narrow"/>
          <w:lang w:eastAsia="en-US"/>
        </w:rPr>
        <w:footnoteReference w:id="16"/>
      </w:r>
      <w:r w:rsidRPr="006F6BFF">
        <w:rPr>
          <w:rFonts w:ascii="Arial Narrow" w:eastAsia="Calibri" w:hAnsi="Arial Narrow"/>
          <w:b/>
          <w:lang w:eastAsia="en-US"/>
        </w:rPr>
        <w:t xml:space="preserve"> </w:t>
      </w:r>
      <w:r w:rsidRPr="006F6BFF">
        <w:rPr>
          <w:rFonts w:ascii="Arial Narrow" w:eastAsia="Calibri" w:hAnsi="Arial Narrow"/>
          <w:lang w:eastAsia="en-US"/>
        </w:rPr>
        <w:t>bez zaznamenania akéhokoľvek negatívneho vplyvu na zdrav</w:t>
      </w:r>
      <w:r w:rsidR="005470FC">
        <w:rPr>
          <w:rFonts w:ascii="Arial Narrow" w:eastAsia="Calibri" w:hAnsi="Arial Narrow"/>
          <w:lang w:eastAsia="en-US"/>
        </w:rPr>
        <w:t xml:space="preserve">ie občanov. Išlo pritom najmä o </w:t>
      </w:r>
      <w:r w:rsidRPr="006F6BFF">
        <w:rPr>
          <w:rFonts w:ascii="Arial Narrow" w:eastAsia="Calibri" w:hAnsi="Arial Narrow"/>
          <w:lang w:eastAsia="en-US"/>
        </w:rPr>
        <w:t>opatrenia zamerané na znižovanie nadspotre</w:t>
      </w:r>
      <w:r w:rsidR="006F6BFF">
        <w:rPr>
          <w:rFonts w:ascii="Arial Narrow" w:eastAsia="Calibri" w:hAnsi="Arial Narrow"/>
          <w:lang w:eastAsia="en-US"/>
        </w:rPr>
        <w:t xml:space="preserve">by liekov, </w:t>
      </w:r>
      <w:proofErr w:type="spellStart"/>
      <w:r w:rsidRPr="006F6BFF">
        <w:rPr>
          <w:rFonts w:ascii="Arial Narrow" w:eastAsia="Calibri" w:hAnsi="Arial Narrow"/>
          <w:lang w:eastAsia="en-US"/>
        </w:rPr>
        <w:t>referencovanie</w:t>
      </w:r>
      <w:proofErr w:type="spellEnd"/>
      <w:r w:rsidRPr="006F6BFF">
        <w:rPr>
          <w:rFonts w:ascii="Arial Narrow" w:eastAsia="Calibri" w:hAnsi="Arial Narrow"/>
          <w:lang w:eastAsia="en-US"/>
        </w:rPr>
        <w:t xml:space="preserve"> cien špeciálneho zdravotníckeho materiálu voči </w:t>
      </w:r>
      <w:r w:rsidR="00A3314E">
        <w:rPr>
          <w:rFonts w:ascii="Arial Narrow" w:eastAsia="Calibri" w:hAnsi="Arial Narrow"/>
          <w:lang w:eastAsia="en-US"/>
        </w:rPr>
        <w:t>Českej republike</w:t>
      </w:r>
      <w:r w:rsidR="00A3314E" w:rsidRPr="006F6BFF">
        <w:rPr>
          <w:rFonts w:ascii="Arial Narrow" w:eastAsia="Calibri" w:hAnsi="Arial Narrow"/>
          <w:lang w:eastAsia="en-US"/>
        </w:rPr>
        <w:t xml:space="preserve"> </w:t>
      </w:r>
      <w:r w:rsidRPr="006F6BFF">
        <w:rPr>
          <w:rFonts w:ascii="Arial Narrow" w:eastAsia="Calibri" w:hAnsi="Arial Narrow"/>
          <w:lang w:eastAsia="en-US"/>
        </w:rPr>
        <w:t xml:space="preserve">a zlepšenie revíznych činností </w:t>
      </w:r>
      <w:r w:rsidR="009C5B0D">
        <w:rPr>
          <w:rFonts w:ascii="Arial Narrow" w:eastAsia="Calibri" w:hAnsi="Arial Narrow"/>
          <w:lang w:eastAsia="en-US"/>
        </w:rPr>
        <w:t>Všeobecnej zdravotnej poisťovne</w:t>
      </w:r>
      <w:r w:rsidRPr="006F6BFF">
        <w:rPr>
          <w:rFonts w:ascii="Arial Narrow" w:eastAsia="Calibri" w:hAnsi="Arial Narrow"/>
          <w:lang w:eastAsia="en-US"/>
        </w:rPr>
        <w:t xml:space="preserve">. Revízia výdavkov na zdravotníctvo od roku 2016 každoročne identifikuje úsporné opatrenia na uvoľnenie neefektívne vynakladaných zdrojov a hodnotové opatrenia, ktoré maximalizujú úžitok týchto peňazí. Opatrenia revízie sú </w:t>
      </w:r>
      <w:proofErr w:type="spellStart"/>
      <w:r w:rsidRPr="006F6BFF">
        <w:rPr>
          <w:rFonts w:ascii="Arial Narrow" w:eastAsia="Calibri" w:hAnsi="Arial Narrow"/>
          <w:lang w:eastAsia="en-US"/>
        </w:rPr>
        <w:t>odpočtovateľné</w:t>
      </w:r>
      <w:proofErr w:type="spellEnd"/>
      <w:r w:rsidRPr="006F6BFF">
        <w:rPr>
          <w:rFonts w:ascii="Arial Narrow" w:eastAsia="Calibri" w:hAnsi="Arial Narrow"/>
          <w:lang w:eastAsia="en-US"/>
        </w:rPr>
        <w:t xml:space="preserve"> a sú súčasťou rozpočtu zdravotníctva. </w:t>
      </w:r>
    </w:p>
    <w:p w14:paraId="5008A23D" w14:textId="77777777" w:rsidR="00F856B9" w:rsidRPr="006F6BFF" w:rsidRDefault="00F856B9" w:rsidP="00F856B9">
      <w:pPr>
        <w:spacing w:after="0" w:line="240" w:lineRule="auto"/>
        <w:jc w:val="both"/>
        <w:rPr>
          <w:rFonts w:ascii="Arial Narrow" w:eastAsia="Calibri" w:hAnsi="Arial Narrow"/>
          <w:lang w:eastAsia="en-US"/>
        </w:rPr>
      </w:pPr>
    </w:p>
    <w:p w14:paraId="7F674A77" w14:textId="577C14E6" w:rsidR="0043352C" w:rsidRPr="004C54B9" w:rsidRDefault="00A3314E" w:rsidP="00DA3EC9">
      <w:pPr>
        <w:spacing w:after="0" w:line="240" w:lineRule="auto"/>
        <w:jc w:val="both"/>
        <w:rPr>
          <w:rFonts w:ascii="Arial Narrow" w:eastAsia="Calibri" w:hAnsi="Arial Narrow"/>
          <w:lang w:eastAsia="en-US"/>
        </w:rPr>
      </w:pPr>
      <w:r>
        <w:rPr>
          <w:rFonts w:ascii="Arial Narrow" w:hAnsi="Arial Narrow"/>
          <w:b/>
        </w:rPr>
        <w:t>V</w:t>
      </w:r>
      <w:r w:rsidR="0074160A">
        <w:rPr>
          <w:rFonts w:ascii="Arial Narrow" w:hAnsi="Arial Narrow"/>
          <w:b/>
        </w:rPr>
        <w:t> prvom pol</w:t>
      </w:r>
      <w:r>
        <w:rPr>
          <w:rFonts w:ascii="Arial Narrow" w:hAnsi="Arial Narrow"/>
          <w:b/>
        </w:rPr>
        <w:t xml:space="preserve">roku </w:t>
      </w:r>
      <w:r w:rsidR="00F856B9" w:rsidRPr="006F6BFF">
        <w:rPr>
          <w:rFonts w:ascii="Arial Narrow" w:hAnsi="Arial Narrow"/>
          <w:b/>
        </w:rPr>
        <w:t xml:space="preserve">2018 sa zrealizovalo </w:t>
      </w:r>
      <w:r w:rsidR="0074160A">
        <w:rPr>
          <w:rFonts w:ascii="Arial Narrow" w:hAnsi="Arial Narrow"/>
          <w:b/>
        </w:rPr>
        <w:t>28</w:t>
      </w:r>
      <w:r w:rsidR="00F856B9" w:rsidRPr="006F6BFF">
        <w:rPr>
          <w:rFonts w:ascii="Arial Narrow" w:hAnsi="Arial Narrow"/>
          <w:b/>
        </w:rPr>
        <w:t xml:space="preserve"> z plánovaných 55 mil. eur úspor na výdavkoch hradených z</w:t>
      </w:r>
      <w:r w:rsidR="009C5B0D">
        <w:rPr>
          <w:rFonts w:ascii="Arial Narrow" w:hAnsi="Arial Narrow"/>
          <w:b/>
        </w:rPr>
        <w:t xml:space="preserve"> verejného</w:t>
      </w:r>
      <w:r w:rsidR="00F856B9" w:rsidRPr="006F6BFF">
        <w:rPr>
          <w:rFonts w:ascii="Arial Narrow" w:hAnsi="Arial Narrow"/>
          <w:b/>
        </w:rPr>
        <w:t xml:space="preserve"> zdravotného poistenia.</w:t>
      </w:r>
      <w:r w:rsidR="00F856B9" w:rsidRPr="006F6BFF">
        <w:rPr>
          <w:rFonts w:ascii="Arial Narrow" w:hAnsi="Arial Narrow"/>
        </w:rPr>
        <w:t xml:space="preserve"> Úspory na strane nemocníc sa vplyvom zákonom stanoveného automatického zvyšovania miezd nedarí plniť, a to napriek šetreniu z centrálneho obstarávania, ktoré vykonalo pre</w:t>
      </w:r>
      <w:r w:rsidR="00F856B9" w:rsidRPr="004C54B9">
        <w:rPr>
          <w:rFonts w:ascii="Arial Narrow" w:hAnsi="Arial Narrow"/>
        </w:rPr>
        <w:t xml:space="preserve"> nemocnice MZ SR. </w:t>
      </w:r>
      <w:r>
        <w:rPr>
          <w:rFonts w:ascii="Arial Narrow" w:hAnsi="Arial Narrow"/>
        </w:rPr>
        <w:t>Zároveň nemocnice vytvárajú dodatočné výdavky aj pri prevádzke, spotrebe liekov a špeciálneho zdravotníckeho materiálu.</w:t>
      </w:r>
      <w:r w:rsidR="00DD3863">
        <w:rPr>
          <w:rStyle w:val="Odkaznapoznmkupodiarou"/>
          <w:rFonts w:ascii="Arial Narrow" w:hAnsi="Arial Narrow"/>
        </w:rPr>
        <w:footnoteReference w:id="17"/>
      </w:r>
      <w:r>
        <w:rPr>
          <w:rFonts w:ascii="Arial Narrow" w:hAnsi="Arial Narrow"/>
        </w:rPr>
        <w:t xml:space="preserve"> </w:t>
      </w:r>
      <w:r w:rsidR="00F856B9" w:rsidRPr="004C54B9">
        <w:rPr>
          <w:rFonts w:ascii="Arial Narrow" w:hAnsi="Arial Narrow"/>
        </w:rPr>
        <w:t>So zreteľom týchto informácií vydalo MF SR spolu s MZ SR v novembri 2018 priebežnú správu druhej revízie výdavkov na zdravotníctvo.</w:t>
      </w:r>
    </w:p>
    <w:p w14:paraId="35376E85" w14:textId="3F8180D7" w:rsidR="00F856B9" w:rsidRPr="00CA1F56" w:rsidRDefault="00F856B9" w:rsidP="00F14AB4">
      <w:pPr>
        <w:spacing w:after="0" w:line="240" w:lineRule="auto"/>
        <w:jc w:val="both"/>
        <w:rPr>
          <w:rFonts w:ascii="Arial Narrow" w:hAnsi="Arial Narrow"/>
          <w:b/>
          <w:bCs/>
          <w:color w:val="2C9ADC"/>
        </w:rPr>
      </w:pPr>
    </w:p>
    <w:p w14:paraId="624AB48D" w14:textId="77777777" w:rsidR="00F856B9" w:rsidRPr="009C7372" w:rsidRDefault="00F856B9" w:rsidP="00F856B9">
      <w:pPr>
        <w:pStyle w:val="Popis"/>
        <w:rPr>
          <w:szCs w:val="20"/>
        </w:rPr>
      </w:pPr>
      <w:r w:rsidRPr="009C7372">
        <w:rPr>
          <w:szCs w:val="20"/>
          <w:lang w:eastAsia="zh-TW"/>
        </w:rPr>
        <w:t>Úsporné opatrenia MZ SR a ich plnenie</w:t>
      </w:r>
    </w:p>
    <w:tbl>
      <w:tblPr>
        <w:tblW w:w="5000" w:type="pct"/>
        <w:tblCellMar>
          <w:left w:w="70" w:type="dxa"/>
          <w:right w:w="70" w:type="dxa"/>
        </w:tblCellMar>
        <w:tblLook w:val="04A0" w:firstRow="1" w:lastRow="0" w:firstColumn="1" w:lastColumn="0" w:noHBand="0" w:noVBand="1"/>
      </w:tblPr>
      <w:tblGrid>
        <w:gridCol w:w="3543"/>
        <w:gridCol w:w="711"/>
        <w:gridCol w:w="992"/>
        <w:gridCol w:w="1136"/>
        <w:gridCol w:w="1113"/>
        <w:gridCol w:w="1069"/>
      </w:tblGrid>
      <w:tr w:rsidR="0074160A" w:rsidRPr="004C54B9" w14:paraId="175F2D26" w14:textId="77777777" w:rsidTr="00F341AC">
        <w:trPr>
          <w:trHeight w:val="454"/>
        </w:trPr>
        <w:tc>
          <w:tcPr>
            <w:tcW w:w="2069" w:type="pct"/>
            <w:tcBorders>
              <w:top w:val="single" w:sz="4" w:space="0" w:color="auto"/>
              <w:left w:val="nil"/>
              <w:bottom w:val="single" w:sz="4" w:space="0" w:color="auto"/>
              <w:right w:val="nil"/>
            </w:tcBorders>
            <w:shd w:val="clear" w:color="auto" w:fill="auto"/>
            <w:noWrap/>
            <w:vAlign w:val="center"/>
            <w:hideMark/>
          </w:tcPr>
          <w:p w14:paraId="66FD7384" w14:textId="77777777" w:rsidR="0074160A" w:rsidRPr="006F6BFF" w:rsidRDefault="0074160A" w:rsidP="0074160A">
            <w:pPr>
              <w:spacing w:after="0" w:line="240" w:lineRule="auto"/>
              <w:jc w:val="both"/>
              <w:rPr>
                <w:rFonts w:ascii="Arial Narrow" w:eastAsia="Calibri" w:hAnsi="Arial Narrow"/>
                <w:sz w:val="20"/>
                <w:szCs w:val="20"/>
                <w:lang w:eastAsia="en-US"/>
              </w:rPr>
            </w:pPr>
            <w:r w:rsidRPr="006F6BFF">
              <w:rPr>
                <w:rFonts w:ascii="Arial Narrow" w:eastAsia="Calibri" w:hAnsi="Arial Narrow"/>
                <w:sz w:val="20"/>
                <w:szCs w:val="20"/>
                <w:lang w:eastAsia="en-US"/>
              </w:rPr>
              <w:t>v </w:t>
            </w:r>
            <w:proofErr w:type="spellStart"/>
            <w:r w:rsidRPr="006F6BFF">
              <w:rPr>
                <w:rFonts w:ascii="Arial Narrow" w:eastAsia="Calibri" w:hAnsi="Arial Narrow"/>
                <w:sz w:val="20"/>
                <w:szCs w:val="20"/>
                <w:lang w:eastAsia="en-US"/>
              </w:rPr>
              <w:t>mil.eur</w:t>
            </w:r>
            <w:proofErr w:type="spellEnd"/>
          </w:p>
        </w:tc>
        <w:tc>
          <w:tcPr>
            <w:tcW w:w="415" w:type="pct"/>
            <w:tcBorders>
              <w:top w:val="single" w:sz="4" w:space="0" w:color="auto"/>
              <w:left w:val="nil"/>
              <w:bottom w:val="single" w:sz="4" w:space="0" w:color="auto"/>
              <w:right w:val="nil"/>
            </w:tcBorders>
            <w:shd w:val="clear" w:color="auto" w:fill="auto"/>
            <w:vAlign w:val="center"/>
            <w:hideMark/>
          </w:tcPr>
          <w:p w14:paraId="2445772E"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Plán</w:t>
            </w:r>
          </w:p>
          <w:p w14:paraId="17F9EC97"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2017</w:t>
            </w:r>
          </w:p>
        </w:tc>
        <w:tc>
          <w:tcPr>
            <w:tcW w:w="579" w:type="pct"/>
            <w:tcBorders>
              <w:top w:val="single" w:sz="4" w:space="0" w:color="auto"/>
              <w:left w:val="nil"/>
              <w:bottom w:val="single" w:sz="4" w:space="0" w:color="auto"/>
              <w:right w:val="nil"/>
            </w:tcBorders>
            <w:vAlign w:val="center"/>
          </w:tcPr>
          <w:p w14:paraId="69F61E44"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Plnenie k </w:t>
            </w:r>
          </w:p>
          <w:p w14:paraId="21F40680"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31.12.2017</w:t>
            </w:r>
          </w:p>
        </w:tc>
        <w:tc>
          <w:tcPr>
            <w:tcW w:w="663" w:type="pct"/>
            <w:tcBorders>
              <w:top w:val="single" w:sz="4" w:space="0" w:color="auto"/>
              <w:left w:val="nil"/>
              <w:bottom w:val="single" w:sz="4" w:space="0" w:color="auto"/>
              <w:right w:val="nil"/>
            </w:tcBorders>
            <w:shd w:val="clear" w:color="auto" w:fill="auto"/>
            <w:vAlign w:val="center"/>
            <w:hideMark/>
          </w:tcPr>
          <w:p w14:paraId="29AA1047"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Plán</w:t>
            </w:r>
          </w:p>
          <w:p w14:paraId="7C3F3AF9"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 xml:space="preserve">2018 </w:t>
            </w:r>
            <w:proofErr w:type="spellStart"/>
            <w:r w:rsidRPr="006F6BFF">
              <w:rPr>
                <w:rFonts w:ascii="Arial Narrow" w:eastAsia="Calibri" w:hAnsi="Arial Narrow"/>
                <w:b/>
                <w:sz w:val="20"/>
                <w:szCs w:val="20"/>
                <w:lang w:eastAsia="en-US"/>
              </w:rPr>
              <w:t>aktual</w:t>
            </w:r>
            <w:proofErr w:type="spellEnd"/>
            <w:r w:rsidRPr="006F6BFF">
              <w:rPr>
                <w:rFonts w:ascii="Arial Narrow" w:eastAsia="Calibri" w:hAnsi="Arial Narrow"/>
                <w:b/>
                <w:sz w:val="20"/>
                <w:szCs w:val="20"/>
                <w:lang w:eastAsia="en-US"/>
              </w:rPr>
              <w:t>.</w:t>
            </w:r>
            <w:r w:rsidRPr="005470FC">
              <w:rPr>
                <w:rFonts w:ascii="Arial Narrow" w:eastAsia="Calibri" w:hAnsi="Arial Narrow"/>
                <w:sz w:val="20"/>
                <w:szCs w:val="20"/>
                <w:vertAlign w:val="superscript"/>
                <w:lang w:eastAsia="en-US"/>
              </w:rPr>
              <w:footnoteReference w:id="18"/>
            </w:r>
          </w:p>
        </w:tc>
        <w:tc>
          <w:tcPr>
            <w:tcW w:w="650" w:type="pct"/>
            <w:tcBorders>
              <w:top w:val="single" w:sz="4" w:space="0" w:color="auto"/>
              <w:left w:val="nil"/>
              <w:bottom w:val="single" w:sz="4" w:space="0" w:color="auto"/>
              <w:right w:val="nil"/>
            </w:tcBorders>
            <w:shd w:val="clear" w:color="auto" w:fill="auto"/>
            <w:vAlign w:val="center"/>
            <w:hideMark/>
          </w:tcPr>
          <w:p w14:paraId="20C651BA" w14:textId="03659C60"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Plnenie k 30.6.2018</w:t>
            </w:r>
          </w:p>
        </w:tc>
        <w:tc>
          <w:tcPr>
            <w:tcW w:w="624" w:type="pct"/>
            <w:tcBorders>
              <w:top w:val="single" w:sz="4" w:space="0" w:color="auto"/>
              <w:left w:val="nil"/>
              <w:bottom w:val="single" w:sz="4" w:space="0" w:color="auto"/>
              <w:right w:val="nil"/>
            </w:tcBorders>
            <w:shd w:val="clear" w:color="auto" w:fill="auto"/>
            <w:vAlign w:val="center"/>
            <w:hideMark/>
          </w:tcPr>
          <w:p w14:paraId="733A1C5E"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Potenciálna úspora</w:t>
            </w:r>
          </w:p>
        </w:tc>
      </w:tr>
      <w:tr w:rsidR="0074160A" w:rsidRPr="004C54B9" w14:paraId="46E63B8D" w14:textId="77777777" w:rsidTr="00F341AC">
        <w:trPr>
          <w:trHeight w:val="197"/>
        </w:trPr>
        <w:tc>
          <w:tcPr>
            <w:tcW w:w="2069" w:type="pct"/>
            <w:tcBorders>
              <w:top w:val="nil"/>
              <w:left w:val="nil"/>
              <w:bottom w:val="nil"/>
              <w:right w:val="nil"/>
            </w:tcBorders>
            <w:shd w:val="clear" w:color="auto" w:fill="auto"/>
            <w:noWrap/>
            <w:vAlign w:val="center"/>
            <w:hideMark/>
          </w:tcPr>
          <w:p w14:paraId="3953CCF8" w14:textId="77777777" w:rsidR="0074160A" w:rsidRPr="006F6BFF" w:rsidRDefault="0074160A" w:rsidP="0074160A">
            <w:pPr>
              <w:spacing w:after="0" w:line="240" w:lineRule="auto"/>
              <w:jc w:val="both"/>
              <w:rPr>
                <w:rFonts w:ascii="Arial Narrow" w:eastAsia="Calibri" w:hAnsi="Arial Narrow"/>
                <w:b/>
                <w:sz w:val="20"/>
                <w:szCs w:val="20"/>
                <w:lang w:eastAsia="en-US"/>
              </w:rPr>
            </w:pPr>
            <w:r w:rsidRPr="006F6BFF">
              <w:rPr>
                <w:rFonts w:ascii="Arial Narrow" w:eastAsia="Calibri" w:hAnsi="Arial Narrow"/>
                <w:b/>
                <w:sz w:val="20"/>
                <w:szCs w:val="20"/>
                <w:lang w:eastAsia="en-US"/>
              </w:rPr>
              <w:t>Opatrenia znižujúce výdavky VZP</w:t>
            </w:r>
          </w:p>
        </w:tc>
        <w:tc>
          <w:tcPr>
            <w:tcW w:w="415" w:type="pct"/>
            <w:tcBorders>
              <w:top w:val="nil"/>
              <w:left w:val="nil"/>
              <w:bottom w:val="nil"/>
              <w:right w:val="nil"/>
            </w:tcBorders>
            <w:shd w:val="clear" w:color="auto" w:fill="auto"/>
            <w:noWrap/>
            <w:vAlign w:val="center"/>
            <w:hideMark/>
          </w:tcPr>
          <w:p w14:paraId="5EEB087B"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143</w:t>
            </w:r>
          </w:p>
        </w:tc>
        <w:tc>
          <w:tcPr>
            <w:tcW w:w="579" w:type="pct"/>
            <w:tcBorders>
              <w:top w:val="nil"/>
              <w:left w:val="nil"/>
              <w:bottom w:val="nil"/>
              <w:right w:val="nil"/>
            </w:tcBorders>
            <w:vAlign w:val="center"/>
          </w:tcPr>
          <w:p w14:paraId="79B12DF9"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hAnsi="Arial Narrow" w:cs="Arial"/>
                <w:b/>
                <w:bCs/>
                <w:color w:val="000000"/>
                <w:sz w:val="20"/>
                <w:szCs w:val="20"/>
                <w:lang w:eastAsia="zh-TW"/>
              </w:rPr>
              <w:t>108,1</w:t>
            </w:r>
          </w:p>
        </w:tc>
        <w:tc>
          <w:tcPr>
            <w:tcW w:w="663" w:type="pct"/>
            <w:tcBorders>
              <w:top w:val="nil"/>
              <w:left w:val="nil"/>
              <w:bottom w:val="nil"/>
              <w:right w:val="nil"/>
            </w:tcBorders>
            <w:shd w:val="clear" w:color="auto" w:fill="auto"/>
            <w:noWrap/>
            <w:vAlign w:val="center"/>
            <w:hideMark/>
          </w:tcPr>
          <w:p w14:paraId="1D3D9AC0"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55,3</w:t>
            </w:r>
          </w:p>
        </w:tc>
        <w:tc>
          <w:tcPr>
            <w:tcW w:w="650" w:type="pct"/>
            <w:tcBorders>
              <w:top w:val="nil"/>
              <w:left w:val="nil"/>
              <w:bottom w:val="nil"/>
              <w:right w:val="nil"/>
            </w:tcBorders>
            <w:shd w:val="clear" w:color="auto" w:fill="auto"/>
            <w:noWrap/>
            <w:vAlign w:val="center"/>
            <w:hideMark/>
          </w:tcPr>
          <w:p w14:paraId="5F6683CD" w14:textId="0BF7EA92"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27,5</w:t>
            </w:r>
          </w:p>
        </w:tc>
        <w:tc>
          <w:tcPr>
            <w:tcW w:w="624" w:type="pct"/>
            <w:tcBorders>
              <w:top w:val="nil"/>
              <w:left w:val="nil"/>
              <w:bottom w:val="nil"/>
              <w:right w:val="nil"/>
            </w:tcBorders>
            <w:shd w:val="clear" w:color="auto" w:fill="auto"/>
            <w:noWrap/>
            <w:vAlign w:val="center"/>
            <w:hideMark/>
          </w:tcPr>
          <w:p w14:paraId="7ADB3752"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268</w:t>
            </w:r>
          </w:p>
        </w:tc>
      </w:tr>
      <w:tr w:rsidR="0074160A" w:rsidRPr="004C54B9" w14:paraId="707BDC15" w14:textId="77777777" w:rsidTr="00F341AC">
        <w:trPr>
          <w:trHeight w:val="197"/>
        </w:trPr>
        <w:tc>
          <w:tcPr>
            <w:tcW w:w="2069" w:type="pct"/>
            <w:tcBorders>
              <w:top w:val="nil"/>
              <w:left w:val="nil"/>
              <w:bottom w:val="nil"/>
              <w:right w:val="nil"/>
            </w:tcBorders>
            <w:shd w:val="clear" w:color="auto" w:fill="auto"/>
            <w:vAlign w:val="center"/>
            <w:hideMark/>
          </w:tcPr>
          <w:p w14:paraId="09876652" w14:textId="77777777" w:rsidR="0074160A" w:rsidRPr="006F6BFF" w:rsidRDefault="0074160A" w:rsidP="0074160A">
            <w:pPr>
              <w:spacing w:after="0" w:line="240" w:lineRule="auto"/>
              <w:jc w:val="both"/>
              <w:rPr>
                <w:rFonts w:ascii="Arial Narrow" w:eastAsia="Calibri" w:hAnsi="Arial Narrow"/>
                <w:sz w:val="20"/>
                <w:szCs w:val="20"/>
                <w:lang w:eastAsia="en-US"/>
              </w:rPr>
            </w:pPr>
            <w:r w:rsidRPr="006F6BFF">
              <w:rPr>
                <w:rFonts w:ascii="Arial Narrow" w:eastAsia="Calibri" w:hAnsi="Arial Narrow"/>
                <w:sz w:val="20"/>
                <w:szCs w:val="20"/>
                <w:lang w:eastAsia="en-US"/>
              </w:rPr>
              <w:t>Nadspotreba liekov - zavedenie predpisových limitov pre ambulantných poskytovateľov</w:t>
            </w:r>
          </w:p>
        </w:tc>
        <w:tc>
          <w:tcPr>
            <w:tcW w:w="415" w:type="pct"/>
            <w:tcBorders>
              <w:top w:val="nil"/>
              <w:left w:val="nil"/>
              <w:bottom w:val="nil"/>
              <w:right w:val="nil"/>
            </w:tcBorders>
            <w:shd w:val="clear" w:color="auto" w:fill="auto"/>
            <w:noWrap/>
            <w:vAlign w:val="center"/>
            <w:hideMark/>
          </w:tcPr>
          <w:p w14:paraId="2A6CFFF4" w14:textId="77777777" w:rsidR="0074160A" w:rsidRPr="006F6BFF" w:rsidRDefault="0074160A" w:rsidP="0074160A">
            <w:pPr>
              <w:spacing w:after="0" w:line="240" w:lineRule="auto"/>
              <w:ind w:left="20" w:hanging="34"/>
              <w:jc w:val="center"/>
              <w:rPr>
                <w:rFonts w:ascii="Arial Narrow" w:eastAsia="Calibri" w:hAnsi="Arial Narrow"/>
                <w:sz w:val="20"/>
                <w:szCs w:val="20"/>
                <w:lang w:eastAsia="en-US"/>
              </w:rPr>
            </w:pPr>
            <w:r w:rsidRPr="006F6BFF">
              <w:rPr>
                <w:rFonts w:ascii="Arial Narrow" w:eastAsia="Calibri" w:hAnsi="Arial Narrow"/>
                <w:sz w:val="20"/>
                <w:szCs w:val="20"/>
                <w:lang w:eastAsia="en-US"/>
              </w:rPr>
              <w:t>20</w:t>
            </w:r>
          </w:p>
        </w:tc>
        <w:tc>
          <w:tcPr>
            <w:tcW w:w="579" w:type="pct"/>
            <w:tcBorders>
              <w:top w:val="nil"/>
              <w:left w:val="nil"/>
              <w:bottom w:val="nil"/>
              <w:right w:val="nil"/>
            </w:tcBorders>
            <w:vAlign w:val="center"/>
          </w:tcPr>
          <w:p w14:paraId="32A3F4E8"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hAnsi="Arial Narrow" w:cs="Arial"/>
                <w:color w:val="000000"/>
                <w:sz w:val="20"/>
                <w:szCs w:val="20"/>
                <w:lang w:eastAsia="zh-TW"/>
              </w:rPr>
              <w:t>22,2</w:t>
            </w:r>
          </w:p>
        </w:tc>
        <w:tc>
          <w:tcPr>
            <w:tcW w:w="663" w:type="pct"/>
            <w:tcBorders>
              <w:top w:val="nil"/>
              <w:left w:val="nil"/>
              <w:bottom w:val="nil"/>
              <w:right w:val="nil"/>
            </w:tcBorders>
            <w:shd w:val="clear" w:color="auto" w:fill="auto"/>
            <w:noWrap/>
            <w:vAlign w:val="center"/>
            <w:hideMark/>
          </w:tcPr>
          <w:p w14:paraId="56F723C6"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0</w:t>
            </w:r>
          </w:p>
        </w:tc>
        <w:tc>
          <w:tcPr>
            <w:tcW w:w="650" w:type="pct"/>
            <w:tcBorders>
              <w:top w:val="nil"/>
              <w:left w:val="nil"/>
              <w:bottom w:val="nil"/>
              <w:right w:val="nil"/>
            </w:tcBorders>
            <w:shd w:val="clear" w:color="auto" w:fill="auto"/>
            <w:noWrap/>
            <w:vAlign w:val="center"/>
          </w:tcPr>
          <w:p w14:paraId="6224454F" w14:textId="1B02E3C9"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11,0</w:t>
            </w:r>
          </w:p>
        </w:tc>
        <w:tc>
          <w:tcPr>
            <w:tcW w:w="624" w:type="pct"/>
            <w:tcBorders>
              <w:top w:val="nil"/>
              <w:left w:val="nil"/>
              <w:bottom w:val="nil"/>
              <w:right w:val="nil"/>
            </w:tcBorders>
            <w:shd w:val="clear" w:color="auto" w:fill="auto"/>
            <w:noWrap/>
            <w:vAlign w:val="center"/>
            <w:hideMark/>
          </w:tcPr>
          <w:p w14:paraId="2483D47F"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59</w:t>
            </w:r>
          </w:p>
        </w:tc>
      </w:tr>
      <w:tr w:rsidR="0074160A" w:rsidRPr="004C54B9" w14:paraId="33C98CF4" w14:textId="77777777" w:rsidTr="00F341AC">
        <w:trPr>
          <w:trHeight w:val="197"/>
        </w:trPr>
        <w:tc>
          <w:tcPr>
            <w:tcW w:w="2069" w:type="pct"/>
            <w:tcBorders>
              <w:top w:val="nil"/>
              <w:left w:val="nil"/>
              <w:bottom w:val="nil"/>
              <w:right w:val="nil"/>
            </w:tcBorders>
            <w:shd w:val="clear" w:color="auto" w:fill="auto"/>
            <w:vAlign w:val="center"/>
            <w:hideMark/>
          </w:tcPr>
          <w:p w14:paraId="5AB70A90" w14:textId="77777777" w:rsidR="0074160A" w:rsidRPr="006F6BFF" w:rsidRDefault="0074160A" w:rsidP="0074160A">
            <w:pPr>
              <w:spacing w:after="0" w:line="240" w:lineRule="auto"/>
              <w:jc w:val="both"/>
              <w:rPr>
                <w:rFonts w:ascii="Arial Narrow" w:eastAsia="Calibri" w:hAnsi="Arial Narrow"/>
                <w:sz w:val="20"/>
                <w:szCs w:val="20"/>
                <w:lang w:eastAsia="en-US"/>
              </w:rPr>
            </w:pPr>
            <w:r w:rsidRPr="006F6BFF">
              <w:rPr>
                <w:rFonts w:ascii="Arial Narrow" w:eastAsia="Calibri" w:hAnsi="Arial Narrow"/>
                <w:sz w:val="20"/>
                <w:szCs w:val="20"/>
                <w:lang w:eastAsia="en-US"/>
              </w:rPr>
              <w:t>Výnimky na lieky - zavedenie pravidiel pre preplácanie výnimiek</w:t>
            </w:r>
          </w:p>
        </w:tc>
        <w:tc>
          <w:tcPr>
            <w:tcW w:w="415" w:type="pct"/>
            <w:tcBorders>
              <w:top w:val="nil"/>
              <w:left w:val="nil"/>
              <w:bottom w:val="nil"/>
              <w:right w:val="nil"/>
            </w:tcBorders>
            <w:shd w:val="clear" w:color="auto" w:fill="auto"/>
            <w:noWrap/>
            <w:vAlign w:val="center"/>
            <w:hideMark/>
          </w:tcPr>
          <w:p w14:paraId="3B1D16BF" w14:textId="77777777" w:rsidR="0074160A" w:rsidRPr="006F6BFF" w:rsidRDefault="0074160A" w:rsidP="0074160A">
            <w:pPr>
              <w:spacing w:after="0" w:line="240" w:lineRule="auto"/>
              <w:ind w:left="20" w:hanging="34"/>
              <w:jc w:val="center"/>
              <w:rPr>
                <w:rFonts w:ascii="Arial Narrow" w:eastAsia="Calibri" w:hAnsi="Arial Narrow"/>
                <w:sz w:val="20"/>
                <w:szCs w:val="20"/>
                <w:lang w:eastAsia="en-US"/>
              </w:rPr>
            </w:pPr>
            <w:r w:rsidRPr="006F6BFF">
              <w:rPr>
                <w:rFonts w:ascii="Arial Narrow" w:eastAsia="Calibri" w:hAnsi="Arial Narrow"/>
                <w:sz w:val="20"/>
                <w:szCs w:val="20"/>
                <w:lang w:eastAsia="en-US"/>
              </w:rPr>
              <w:t>10</w:t>
            </w:r>
          </w:p>
        </w:tc>
        <w:tc>
          <w:tcPr>
            <w:tcW w:w="579" w:type="pct"/>
            <w:tcBorders>
              <w:top w:val="nil"/>
              <w:left w:val="nil"/>
              <w:bottom w:val="nil"/>
              <w:right w:val="nil"/>
            </w:tcBorders>
            <w:vAlign w:val="center"/>
          </w:tcPr>
          <w:p w14:paraId="65FE6E75"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hAnsi="Arial Narrow" w:cs="Arial"/>
                <w:color w:val="000000"/>
                <w:sz w:val="20"/>
                <w:szCs w:val="20"/>
                <w:lang w:eastAsia="zh-TW"/>
              </w:rPr>
              <w:t>1,7</w:t>
            </w:r>
          </w:p>
        </w:tc>
        <w:tc>
          <w:tcPr>
            <w:tcW w:w="663" w:type="pct"/>
            <w:tcBorders>
              <w:top w:val="nil"/>
              <w:left w:val="nil"/>
              <w:bottom w:val="nil"/>
              <w:right w:val="nil"/>
            </w:tcBorders>
            <w:shd w:val="clear" w:color="auto" w:fill="auto"/>
            <w:noWrap/>
            <w:vAlign w:val="center"/>
            <w:hideMark/>
          </w:tcPr>
          <w:p w14:paraId="6CE06CDF"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8,3</w:t>
            </w:r>
          </w:p>
        </w:tc>
        <w:tc>
          <w:tcPr>
            <w:tcW w:w="650" w:type="pct"/>
            <w:tcBorders>
              <w:top w:val="nil"/>
              <w:left w:val="nil"/>
              <w:bottom w:val="nil"/>
              <w:right w:val="nil"/>
            </w:tcBorders>
            <w:shd w:val="clear" w:color="auto" w:fill="auto"/>
            <w:noWrap/>
            <w:vAlign w:val="center"/>
          </w:tcPr>
          <w:p w14:paraId="78BD9634" w14:textId="0933D91F"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0,2</w:t>
            </w:r>
          </w:p>
        </w:tc>
        <w:tc>
          <w:tcPr>
            <w:tcW w:w="624" w:type="pct"/>
            <w:tcBorders>
              <w:top w:val="nil"/>
              <w:left w:val="nil"/>
              <w:bottom w:val="nil"/>
              <w:right w:val="nil"/>
            </w:tcBorders>
            <w:shd w:val="clear" w:color="auto" w:fill="auto"/>
            <w:noWrap/>
            <w:vAlign w:val="center"/>
            <w:hideMark/>
          </w:tcPr>
          <w:p w14:paraId="1C383803"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10</w:t>
            </w:r>
          </w:p>
        </w:tc>
      </w:tr>
      <w:tr w:rsidR="0074160A" w:rsidRPr="004C54B9" w14:paraId="14C7FF9D" w14:textId="77777777" w:rsidTr="00F341AC">
        <w:trPr>
          <w:trHeight w:val="197"/>
        </w:trPr>
        <w:tc>
          <w:tcPr>
            <w:tcW w:w="2069" w:type="pct"/>
            <w:tcBorders>
              <w:top w:val="nil"/>
              <w:left w:val="nil"/>
              <w:bottom w:val="nil"/>
              <w:right w:val="nil"/>
            </w:tcBorders>
            <w:shd w:val="clear" w:color="auto" w:fill="auto"/>
            <w:vAlign w:val="center"/>
            <w:hideMark/>
          </w:tcPr>
          <w:p w14:paraId="56313984" w14:textId="77777777" w:rsidR="0074160A" w:rsidRPr="006F6BFF" w:rsidRDefault="0074160A" w:rsidP="0074160A">
            <w:pPr>
              <w:spacing w:after="0" w:line="240" w:lineRule="auto"/>
              <w:jc w:val="both"/>
              <w:rPr>
                <w:rFonts w:ascii="Arial Narrow" w:eastAsia="Calibri" w:hAnsi="Arial Narrow"/>
                <w:sz w:val="20"/>
                <w:szCs w:val="20"/>
                <w:lang w:eastAsia="en-US"/>
              </w:rPr>
            </w:pPr>
            <w:r w:rsidRPr="006F6BFF">
              <w:rPr>
                <w:rFonts w:ascii="Arial Narrow" w:eastAsia="Calibri" w:hAnsi="Arial Narrow"/>
                <w:sz w:val="20"/>
                <w:szCs w:val="20"/>
                <w:lang w:eastAsia="en-US"/>
              </w:rPr>
              <w:t xml:space="preserve">Potenciálne nákladovo neefektívne lieky - centrálny nákup liekov ZP </w:t>
            </w:r>
          </w:p>
        </w:tc>
        <w:tc>
          <w:tcPr>
            <w:tcW w:w="415" w:type="pct"/>
            <w:tcBorders>
              <w:top w:val="nil"/>
              <w:left w:val="nil"/>
              <w:bottom w:val="nil"/>
              <w:right w:val="nil"/>
            </w:tcBorders>
            <w:shd w:val="clear" w:color="auto" w:fill="auto"/>
            <w:noWrap/>
            <w:vAlign w:val="center"/>
            <w:hideMark/>
          </w:tcPr>
          <w:p w14:paraId="397864BB" w14:textId="77777777" w:rsidR="0074160A" w:rsidRPr="006F6BFF" w:rsidRDefault="0074160A" w:rsidP="0074160A">
            <w:pPr>
              <w:spacing w:after="0" w:line="240" w:lineRule="auto"/>
              <w:ind w:left="20" w:hanging="34"/>
              <w:jc w:val="center"/>
              <w:rPr>
                <w:rFonts w:ascii="Arial Narrow" w:eastAsia="Calibri" w:hAnsi="Arial Narrow"/>
                <w:sz w:val="20"/>
                <w:szCs w:val="20"/>
                <w:lang w:eastAsia="en-US"/>
              </w:rPr>
            </w:pPr>
            <w:r w:rsidRPr="006F6BFF">
              <w:rPr>
                <w:rFonts w:ascii="Arial Narrow" w:eastAsia="Calibri" w:hAnsi="Arial Narrow"/>
                <w:sz w:val="20"/>
                <w:szCs w:val="20"/>
                <w:lang w:eastAsia="en-US"/>
              </w:rPr>
              <w:t>25</w:t>
            </w:r>
          </w:p>
        </w:tc>
        <w:tc>
          <w:tcPr>
            <w:tcW w:w="579" w:type="pct"/>
            <w:tcBorders>
              <w:top w:val="nil"/>
              <w:left w:val="nil"/>
              <w:bottom w:val="nil"/>
              <w:right w:val="nil"/>
            </w:tcBorders>
            <w:vAlign w:val="center"/>
          </w:tcPr>
          <w:p w14:paraId="5ABD235D"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hAnsi="Arial Narrow" w:cs="Arial"/>
                <w:color w:val="000000"/>
                <w:sz w:val="20"/>
                <w:szCs w:val="20"/>
                <w:lang w:eastAsia="zh-TW"/>
              </w:rPr>
              <w:t>-4,5</w:t>
            </w:r>
          </w:p>
        </w:tc>
        <w:tc>
          <w:tcPr>
            <w:tcW w:w="663" w:type="pct"/>
            <w:tcBorders>
              <w:top w:val="nil"/>
              <w:left w:val="nil"/>
              <w:bottom w:val="nil"/>
              <w:right w:val="nil"/>
            </w:tcBorders>
            <w:shd w:val="clear" w:color="auto" w:fill="auto"/>
            <w:noWrap/>
            <w:vAlign w:val="center"/>
            <w:hideMark/>
          </w:tcPr>
          <w:p w14:paraId="250280ED"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29,5</w:t>
            </w:r>
          </w:p>
        </w:tc>
        <w:tc>
          <w:tcPr>
            <w:tcW w:w="650" w:type="pct"/>
            <w:tcBorders>
              <w:top w:val="nil"/>
              <w:left w:val="nil"/>
              <w:bottom w:val="nil"/>
              <w:right w:val="nil"/>
            </w:tcBorders>
            <w:shd w:val="clear" w:color="auto" w:fill="auto"/>
            <w:noWrap/>
            <w:vAlign w:val="center"/>
          </w:tcPr>
          <w:p w14:paraId="6C18CB47" w14:textId="6CF1AC00"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3,2</w:t>
            </w:r>
          </w:p>
        </w:tc>
        <w:tc>
          <w:tcPr>
            <w:tcW w:w="624" w:type="pct"/>
            <w:tcBorders>
              <w:top w:val="nil"/>
              <w:left w:val="nil"/>
              <w:bottom w:val="nil"/>
              <w:right w:val="nil"/>
            </w:tcBorders>
            <w:shd w:val="clear" w:color="auto" w:fill="auto"/>
            <w:noWrap/>
            <w:vAlign w:val="center"/>
            <w:hideMark/>
          </w:tcPr>
          <w:p w14:paraId="0E3B5211"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42</w:t>
            </w:r>
          </w:p>
        </w:tc>
      </w:tr>
      <w:tr w:rsidR="0074160A" w:rsidRPr="004C54B9" w14:paraId="119EFD6A" w14:textId="77777777" w:rsidTr="00F341AC">
        <w:trPr>
          <w:trHeight w:val="197"/>
        </w:trPr>
        <w:tc>
          <w:tcPr>
            <w:tcW w:w="2069" w:type="pct"/>
            <w:tcBorders>
              <w:top w:val="nil"/>
              <w:left w:val="nil"/>
              <w:bottom w:val="nil"/>
              <w:right w:val="nil"/>
            </w:tcBorders>
            <w:shd w:val="clear" w:color="auto" w:fill="auto"/>
            <w:vAlign w:val="center"/>
            <w:hideMark/>
          </w:tcPr>
          <w:p w14:paraId="57A5EEAB" w14:textId="77777777" w:rsidR="0074160A" w:rsidRPr="006F6BFF" w:rsidRDefault="0074160A" w:rsidP="0074160A">
            <w:pPr>
              <w:spacing w:after="0" w:line="240" w:lineRule="auto"/>
              <w:jc w:val="both"/>
              <w:rPr>
                <w:rFonts w:ascii="Arial Narrow" w:eastAsia="Calibri" w:hAnsi="Arial Narrow"/>
                <w:sz w:val="20"/>
                <w:szCs w:val="20"/>
                <w:lang w:eastAsia="en-US"/>
              </w:rPr>
            </w:pPr>
            <w:r w:rsidRPr="006F6BFF">
              <w:rPr>
                <w:rFonts w:ascii="Arial Narrow" w:eastAsia="Calibri" w:hAnsi="Arial Narrow"/>
                <w:sz w:val="20"/>
                <w:szCs w:val="20"/>
                <w:lang w:eastAsia="en-US"/>
              </w:rPr>
              <w:t>Špeciálny zdravotnícky materiál - zníženie cien (</w:t>
            </w:r>
            <w:proofErr w:type="spellStart"/>
            <w:r w:rsidRPr="006F6BFF">
              <w:rPr>
                <w:rFonts w:ascii="Arial Narrow" w:eastAsia="Calibri" w:hAnsi="Arial Narrow"/>
                <w:sz w:val="20"/>
                <w:szCs w:val="20"/>
                <w:lang w:eastAsia="en-US"/>
              </w:rPr>
              <w:t>referencovanie</w:t>
            </w:r>
            <w:proofErr w:type="spellEnd"/>
            <w:r w:rsidRPr="006F6BFF">
              <w:rPr>
                <w:rFonts w:ascii="Arial Narrow" w:eastAsia="Calibri" w:hAnsi="Arial Narrow"/>
                <w:sz w:val="20"/>
                <w:szCs w:val="20"/>
                <w:lang w:eastAsia="en-US"/>
              </w:rPr>
              <w:t>)</w:t>
            </w:r>
          </w:p>
        </w:tc>
        <w:tc>
          <w:tcPr>
            <w:tcW w:w="415" w:type="pct"/>
            <w:tcBorders>
              <w:top w:val="nil"/>
              <w:left w:val="nil"/>
              <w:bottom w:val="nil"/>
              <w:right w:val="nil"/>
            </w:tcBorders>
            <w:shd w:val="clear" w:color="auto" w:fill="auto"/>
            <w:noWrap/>
            <w:vAlign w:val="center"/>
            <w:hideMark/>
          </w:tcPr>
          <w:p w14:paraId="13C1FEA6" w14:textId="77777777" w:rsidR="0074160A" w:rsidRPr="006F6BFF" w:rsidRDefault="0074160A" w:rsidP="0074160A">
            <w:pPr>
              <w:spacing w:after="0" w:line="240" w:lineRule="auto"/>
              <w:ind w:left="20" w:hanging="34"/>
              <w:jc w:val="center"/>
              <w:rPr>
                <w:rFonts w:ascii="Arial Narrow" w:eastAsia="Calibri" w:hAnsi="Arial Narrow"/>
                <w:sz w:val="20"/>
                <w:szCs w:val="20"/>
                <w:lang w:eastAsia="en-US"/>
              </w:rPr>
            </w:pPr>
            <w:r w:rsidRPr="006F6BFF">
              <w:rPr>
                <w:rFonts w:ascii="Arial Narrow" w:eastAsia="Calibri" w:hAnsi="Arial Narrow"/>
                <w:sz w:val="20"/>
                <w:szCs w:val="20"/>
                <w:lang w:eastAsia="en-US"/>
              </w:rPr>
              <w:t>35</w:t>
            </w:r>
          </w:p>
        </w:tc>
        <w:tc>
          <w:tcPr>
            <w:tcW w:w="579" w:type="pct"/>
            <w:tcBorders>
              <w:top w:val="nil"/>
              <w:left w:val="nil"/>
              <w:bottom w:val="nil"/>
              <w:right w:val="nil"/>
            </w:tcBorders>
            <w:vAlign w:val="center"/>
          </w:tcPr>
          <w:p w14:paraId="1452E8B2"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hAnsi="Arial Narrow" w:cs="Arial"/>
                <w:color w:val="000000"/>
                <w:sz w:val="20"/>
                <w:szCs w:val="20"/>
                <w:lang w:eastAsia="zh-TW"/>
              </w:rPr>
              <w:t>37,4</w:t>
            </w:r>
          </w:p>
        </w:tc>
        <w:tc>
          <w:tcPr>
            <w:tcW w:w="663" w:type="pct"/>
            <w:tcBorders>
              <w:top w:val="nil"/>
              <w:left w:val="nil"/>
              <w:bottom w:val="nil"/>
              <w:right w:val="nil"/>
            </w:tcBorders>
            <w:shd w:val="clear" w:color="auto" w:fill="auto"/>
            <w:noWrap/>
            <w:vAlign w:val="center"/>
            <w:hideMark/>
          </w:tcPr>
          <w:p w14:paraId="4BB5A598"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7,6</w:t>
            </w:r>
          </w:p>
        </w:tc>
        <w:tc>
          <w:tcPr>
            <w:tcW w:w="650" w:type="pct"/>
            <w:tcBorders>
              <w:top w:val="nil"/>
              <w:left w:val="nil"/>
              <w:bottom w:val="nil"/>
              <w:right w:val="nil"/>
            </w:tcBorders>
            <w:shd w:val="clear" w:color="auto" w:fill="auto"/>
            <w:noWrap/>
            <w:vAlign w:val="center"/>
          </w:tcPr>
          <w:p w14:paraId="129E8326" w14:textId="2433C38A"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N/A</w:t>
            </w:r>
          </w:p>
        </w:tc>
        <w:tc>
          <w:tcPr>
            <w:tcW w:w="624" w:type="pct"/>
            <w:tcBorders>
              <w:top w:val="nil"/>
              <w:left w:val="nil"/>
              <w:bottom w:val="nil"/>
              <w:right w:val="nil"/>
            </w:tcBorders>
            <w:shd w:val="clear" w:color="auto" w:fill="auto"/>
            <w:noWrap/>
            <w:vAlign w:val="center"/>
            <w:hideMark/>
          </w:tcPr>
          <w:p w14:paraId="661A14DB"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55</w:t>
            </w:r>
          </w:p>
        </w:tc>
      </w:tr>
      <w:tr w:rsidR="0074160A" w:rsidRPr="004C54B9" w14:paraId="35507B44" w14:textId="77777777" w:rsidTr="00F341AC">
        <w:trPr>
          <w:trHeight w:val="197"/>
        </w:trPr>
        <w:tc>
          <w:tcPr>
            <w:tcW w:w="2069" w:type="pct"/>
            <w:tcBorders>
              <w:top w:val="nil"/>
              <w:left w:val="nil"/>
              <w:bottom w:val="nil"/>
              <w:right w:val="nil"/>
            </w:tcBorders>
            <w:shd w:val="clear" w:color="auto" w:fill="auto"/>
            <w:vAlign w:val="center"/>
            <w:hideMark/>
          </w:tcPr>
          <w:p w14:paraId="1B6C758C" w14:textId="77777777" w:rsidR="0074160A" w:rsidRPr="006F6BFF" w:rsidRDefault="0074160A" w:rsidP="0074160A">
            <w:pPr>
              <w:spacing w:after="0" w:line="240" w:lineRule="auto"/>
              <w:jc w:val="both"/>
              <w:rPr>
                <w:rFonts w:ascii="Arial Narrow" w:eastAsia="Calibri" w:hAnsi="Arial Narrow"/>
                <w:sz w:val="20"/>
                <w:szCs w:val="20"/>
                <w:lang w:eastAsia="en-US"/>
              </w:rPr>
            </w:pPr>
            <w:r w:rsidRPr="006F6BFF">
              <w:rPr>
                <w:rFonts w:ascii="Arial Narrow" w:eastAsia="Calibri" w:hAnsi="Arial Narrow"/>
                <w:sz w:val="20"/>
                <w:szCs w:val="20"/>
                <w:lang w:eastAsia="en-US"/>
              </w:rPr>
              <w:t xml:space="preserve">Zdravotnícke pomôcky - </w:t>
            </w:r>
            <w:proofErr w:type="spellStart"/>
            <w:r w:rsidRPr="006F6BFF">
              <w:rPr>
                <w:rFonts w:ascii="Arial Narrow" w:eastAsia="Calibri" w:hAnsi="Arial Narrow"/>
                <w:sz w:val="20"/>
                <w:szCs w:val="20"/>
                <w:lang w:eastAsia="en-US"/>
              </w:rPr>
              <w:t>referencovanie</w:t>
            </w:r>
            <w:proofErr w:type="spellEnd"/>
            <w:r w:rsidRPr="006F6BFF">
              <w:rPr>
                <w:rFonts w:ascii="Arial Narrow" w:eastAsia="Calibri" w:hAnsi="Arial Narrow"/>
                <w:sz w:val="20"/>
                <w:szCs w:val="20"/>
                <w:lang w:eastAsia="en-US"/>
              </w:rPr>
              <w:t xml:space="preserve"> a revízne činnosti</w:t>
            </w:r>
          </w:p>
        </w:tc>
        <w:tc>
          <w:tcPr>
            <w:tcW w:w="415" w:type="pct"/>
            <w:tcBorders>
              <w:top w:val="nil"/>
              <w:left w:val="nil"/>
              <w:bottom w:val="nil"/>
              <w:right w:val="nil"/>
            </w:tcBorders>
            <w:shd w:val="clear" w:color="auto" w:fill="auto"/>
            <w:noWrap/>
            <w:vAlign w:val="center"/>
            <w:hideMark/>
          </w:tcPr>
          <w:p w14:paraId="2AE62B84" w14:textId="77777777" w:rsidR="0074160A" w:rsidRPr="006F6BFF" w:rsidRDefault="0074160A" w:rsidP="0074160A">
            <w:pPr>
              <w:spacing w:after="0" w:line="240" w:lineRule="auto"/>
              <w:ind w:left="20" w:hanging="34"/>
              <w:jc w:val="center"/>
              <w:rPr>
                <w:rFonts w:ascii="Arial Narrow" w:eastAsia="Calibri" w:hAnsi="Arial Narrow"/>
                <w:sz w:val="20"/>
                <w:szCs w:val="20"/>
                <w:lang w:eastAsia="en-US"/>
              </w:rPr>
            </w:pPr>
            <w:r w:rsidRPr="006F6BFF">
              <w:rPr>
                <w:rFonts w:ascii="Arial Narrow" w:eastAsia="Calibri" w:hAnsi="Arial Narrow"/>
                <w:sz w:val="20"/>
                <w:szCs w:val="20"/>
                <w:lang w:eastAsia="en-US"/>
              </w:rPr>
              <w:t>15</w:t>
            </w:r>
          </w:p>
        </w:tc>
        <w:tc>
          <w:tcPr>
            <w:tcW w:w="579" w:type="pct"/>
            <w:tcBorders>
              <w:top w:val="nil"/>
              <w:left w:val="nil"/>
              <w:bottom w:val="nil"/>
              <w:right w:val="nil"/>
            </w:tcBorders>
            <w:vAlign w:val="center"/>
          </w:tcPr>
          <w:p w14:paraId="5B202E82"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hAnsi="Arial Narrow" w:cs="Arial"/>
                <w:color w:val="000000"/>
                <w:sz w:val="20"/>
                <w:szCs w:val="20"/>
                <w:lang w:eastAsia="zh-TW"/>
              </w:rPr>
              <w:t>10,5</w:t>
            </w:r>
          </w:p>
        </w:tc>
        <w:tc>
          <w:tcPr>
            <w:tcW w:w="663" w:type="pct"/>
            <w:tcBorders>
              <w:top w:val="nil"/>
              <w:left w:val="nil"/>
              <w:bottom w:val="nil"/>
              <w:right w:val="nil"/>
            </w:tcBorders>
            <w:shd w:val="clear" w:color="auto" w:fill="auto"/>
            <w:noWrap/>
            <w:vAlign w:val="center"/>
            <w:hideMark/>
          </w:tcPr>
          <w:p w14:paraId="7CA51CF8"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4,5</w:t>
            </w:r>
          </w:p>
        </w:tc>
        <w:tc>
          <w:tcPr>
            <w:tcW w:w="650" w:type="pct"/>
            <w:tcBorders>
              <w:top w:val="nil"/>
              <w:left w:val="nil"/>
              <w:bottom w:val="nil"/>
              <w:right w:val="nil"/>
            </w:tcBorders>
            <w:shd w:val="clear" w:color="auto" w:fill="auto"/>
            <w:noWrap/>
            <w:vAlign w:val="center"/>
          </w:tcPr>
          <w:p w14:paraId="65555DF0" w14:textId="0E398856"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12,0</w:t>
            </w:r>
          </w:p>
        </w:tc>
        <w:tc>
          <w:tcPr>
            <w:tcW w:w="624" w:type="pct"/>
            <w:tcBorders>
              <w:top w:val="nil"/>
              <w:left w:val="nil"/>
              <w:bottom w:val="nil"/>
              <w:right w:val="nil"/>
            </w:tcBorders>
            <w:shd w:val="clear" w:color="auto" w:fill="auto"/>
            <w:noWrap/>
            <w:vAlign w:val="center"/>
            <w:hideMark/>
          </w:tcPr>
          <w:p w14:paraId="1701A62B"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15</w:t>
            </w:r>
          </w:p>
        </w:tc>
      </w:tr>
      <w:tr w:rsidR="0074160A" w:rsidRPr="004C54B9" w14:paraId="1D7CA4D1" w14:textId="77777777" w:rsidTr="00F341AC">
        <w:trPr>
          <w:trHeight w:val="208"/>
        </w:trPr>
        <w:tc>
          <w:tcPr>
            <w:tcW w:w="2069" w:type="pct"/>
            <w:tcBorders>
              <w:top w:val="nil"/>
              <w:left w:val="nil"/>
              <w:bottom w:val="nil"/>
              <w:right w:val="nil"/>
            </w:tcBorders>
            <w:shd w:val="clear" w:color="auto" w:fill="auto"/>
            <w:vAlign w:val="center"/>
            <w:hideMark/>
          </w:tcPr>
          <w:p w14:paraId="6B95A9A8" w14:textId="77777777" w:rsidR="0074160A" w:rsidRPr="006F6BFF" w:rsidRDefault="0074160A" w:rsidP="0074160A">
            <w:pPr>
              <w:spacing w:after="0" w:line="240" w:lineRule="auto"/>
              <w:jc w:val="both"/>
              <w:rPr>
                <w:rFonts w:ascii="Arial Narrow" w:eastAsia="Calibri" w:hAnsi="Arial Narrow"/>
                <w:sz w:val="20"/>
                <w:szCs w:val="20"/>
                <w:lang w:eastAsia="en-US"/>
              </w:rPr>
            </w:pPr>
            <w:r w:rsidRPr="006F6BFF">
              <w:rPr>
                <w:rFonts w:ascii="Arial Narrow" w:eastAsia="Calibri" w:hAnsi="Arial Narrow"/>
                <w:sz w:val="20"/>
                <w:szCs w:val="20"/>
                <w:lang w:eastAsia="en-US"/>
              </w:rPr>
              <w:t>SVLZ - zníženie jednotkových cien a limitov CT a MR vyšetrení</w:t>
            </w:r>
          </w:p>
        </w:tc>
        <w:tc>
          <w:tcPr>
            <w:tcW w:w="415" w:type="pct"/>
            <w:tcBorders>
              <w:top w:val="nil"/>
              <w:left w:val="nil"/>
              <w:bottom w:val="nil"/>
              <w:right w:val="nil"/>
            </w:tcBorders>
            <w:shd w:val="clear" w:color="auto" w:fill="auto"/>
            <w:noWrap/>
            <w:vAlign w:val="center"/>
            <w:hideMark/>
          </w:tcPr>
          <w:p w14:paraId="679A7695" w14:textId="77777777" w:rsidR="0074160A" w:rsidRPr="006F6BFF" w:rsidRDefault="0074160A" w:rsidP="0074160A">
            <w:pPr>
              <w:spacing w:after="0" w:line="240" w:lineRule="auto"/>
              <w:ind w:left="20" w:hanging="34"/>
              <w:jc w:val="center"/>
              <w:rPr>
                <w:rFonts w:ascii="Arial Narrow" w:eastAsia="Calibri" w:hAnsi="Arial Narrow"/>
                <w:sz w:val="20"/>
                <w:szCs w:val="20"/>
                <w:lang w:eastAsia="en-US"/>
              </w:rPr>
            </w:pPr>
            <w:r w:rsidRPr="006F6BFF">
              <w:rPr>
                <w:rFonts w:ascii="Arial Narrow" w:eastAsia="Calibri" w:hAnsi="Arial Narrow"/>
                <w:sz w:val="20"/>
                <w:szCs w:val="20"/>
                <w:lang w:eastAsia="en-US"/>
              </w:rPr>
              <w:t>10</w:t>
            </w:r>
          </w:p>
        </w:tc>
        <w:tc>
          <w:tcPr>
            <w:tcW w:w="579" w:type="pct"/>
            <w:tcBorders>
              <w:top w:val="nil"/>
              <w:left w:val="nil"/>
              <w:bottom w:val="nil"/>
              <w:right w:val="nil"/>
            </w:tcBorders>
            <w:vAlign w:val="center"/>
          </w:tcPr>
          <w:p w14:paraId="2BC42957"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hAnsi="Arial Narrow" w:cs="Arial"/>
                <w:color w:val="000000"/>
                <w:sz w:val="20"/>
                <w:szCs w:val="20"/>
                <w:lang w:eastAsia="zh-TW"/>
              </w:rPr>
              <w:t>11,2</w:t>
            </w:r>
          </w:p>
        </w:tc>
        <w:tc>
          <w:tcPr>
            <w:tcW w:w="663" w:type="pct"/>
            <w:tcBorders>
              <w:top w:val="nil"/>
              <w:left w:val="nil"/>
              <w:bottom w:val="nil"/>
              <w:right w:val="nil"/>
            </w:tcBorders>
            <w:shd w:val="clear" w:color="auto" w:fill="auto"/>
            <w:noWrap/>
            <w:vAlign w:val="center"/>
            <w:hideMark/>
          </w:tcPr>
          <w:p w14:paraId="1F72C812"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4,8</w:t>
            </w:r>
          </w:p>
        </w:tc>
        <w:tc>
          <w:tcPr>
            <w:tcW w:w="650" w:type="pct"/>
            <w:tcBorders>
              <w:top w:val="nil"/>
              <w:left w:val="nil"/>
              <w:bottom w:val="nil"/>
              <w:right w:val="nil"/>
            </w:tcBorders>
            <w:shd w:val="clear" w:color="auto" w:fill="auto"/>
            <w:noWrap/>
            <w:vAlign w:val="center"/>
          </w:tcPr>
          <w:p w14:paraId="11722FBC" w14:textId="5ACA7BD8"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-0,2</w:t>
            </w:r>
          </w:p>
        </w:tc>
        <w:tc>
          <w:tcPr>
            <w:tcW w:w="624" w:type="pct"/>
            <w:tcBorders>
              <w:top w:val="nil"/>
              <w:left w:val="nil"/>
              <w:bottom w:val="nil"/>
              <w:right w:val="nil"/>
            </w:tcBorders>
            <w:shd w:val="clear" w:color="auto" w:fill="auto"/>
            <w:noWrap/>
            <w:vAlign w:val="center"/>
            <w:hideMark/>
          </w:tcPr>
          <w:p w14:paraId="649E06ED"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25</w:t>
            </w:r>
          </w:p>
        </w:tc>
      </w:tr>
      <w:tr w:rsidR="0074160A" w:rsidRPr="004C54B9" w14:paraId="74AAFA90" w14:textId="77777777" w:rsidTr="00F341AC">
        <w:trPr>
          <w:trHeight w:val="197"/>
        </w:trPr>
        <w:tc>
          <w:tcPr>
            <w:tcW w:w="2069" w:type="pct"/>
            <w:tcBorders>
              <w:top w:val="nil"/>
              <w:left w:val="nil"/>
              <w:right w:val="nil"/>
            </w:tcBorders>
            <w:shd w:val="clear" w:color="auto" w:fill="auto"/>
            <w:vAlign w:val="center"/>
            <w:hideMark/>
          </w:tcPr>
          <w:p w14:paraId="51CB9CEC" w14:textId="77777777" w:rsidR="0074160A" w:rsidRPr="006F6BFF" w:rsidRDefault="0074160A" w:rsidP="0074160A">
            <w:pPr>
              <w:spacing w:after="0" w:line="240" w:lineRule="auto"/>
              <w:jc w:val="both"/>
              <w:rPr>
                <w:rFonts w:ascii="Arial Narrow" w:eastAsia="Calibri" w:hAnsi="Arial Narrow"/>
                <w:sz w:val="20"/>
                <w:szCs w:val="20"/>
                <w:lang w:eastAsia="en-US"/>
              </w:rPr>
            </w:pPr>
            <w:r w:rsidRPr="006F6BFF">
              <w:rPr>
                <w:rFonts w:ascii="Arial Narrow" w:eastAsia="Calibri" w:hAnsi="Arial Narrow"/>
                <w:sz w:val="20"/>
                <w:szCs w:val="20"/>
                <w:lang w:eastAsia="en-US"/>
              </w:rPr>
              <w:t>SVLZ - zavedenie limitov pre ambulantných poskytovateľov</w:t>
            </w:r>
          </w:p>
        </w:tc>
        <w:tc>
          <w:tcPr>
            <w:tcW w:w="415" w:type="pct"/>
            <w:tcBorders>
              <w:top w:val="nil"/>
              <w:left w:val="nil"/>
              <w:right w:val="nil"/>
            </w:tcBorders>
            <w:shd w:val="clear" w:color="auto" w:fill="auto"/>
            <w:noWrap/>
            <w:vAlign w:val="center"/>
            <w:hideMark/>
          </w:tcPr>
          <w:p w14:paraId="0B4FF004" w14:textId="77777777" w:rsidR="0074160A" w:rsidRPr="006F6BFF" w:rsidRDefault="0074160A" w:rsidP="0074160A">
            <w:pPr>
              <w:spacing w:after="0" w:line="240" w:lineRule="auto"/>
              <w:ind w:left="20" w:hanging="34"/>
              <w:jc w:val="center"/>
              <w:rPr>
                <w:rFonts w:ascii="Arial Narrow" w:eastAsia="Calibri" w:hAnsi="Arial Narrow"/>
                <w:sz w:val="20"/>
                <w:szCs w:val="20"/>
                <w:lang w:eastAsia="en-US"/>
              </w:rPr>
            </w:pPr>
            <w:r w:rsidRPr="006F6BFF">
              <w:rPr>
                <w:rFonts w:ascii="Arial Narrow" w:eastAsia="Calibri" w:hAnsi="Arial Narrow"/>
                <w:sz w:val="20"/>
                <w:szCs w:val="20"/>
                <w:lang w:eastAsia="en-US"/>
              </w:rPr>
              <w:t>3</w:t>
            </w:r>
          </w:p>
        </w:tc>
        <w:tc>
          <w:tcPr>
            <w:tcW w:w="579" w:type="pct"/>
            <w:tcBorders>
              <w:top w:val="nil"/>
              <w:left w:val="nil"/>
              <w:right w:val="nil"/>
            </w:tcBorders>
            <w:vAlign w:val="center"/>
          </w:tcPr>
          <w:p w14:paraId="14B77A9C"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hAnsi="Arial Narrow" w:cs="Arial"/>
                <w:color w:val="000000"/>
                <w:sz w:val="20"/>
                <w:szCs w:val="20"/>
                <w:lang w:eastAsia="zh-TW"/>
              </w:rPr>
              <w:t>2,4</w:t>
            </w:r>
          </w:p>
        </w:tc>
        <w:tc>
          <w:tcPr>
            <w:tcW w:w="663" w:type="pct"/>
            <w:tcBorders>
              <w:top w:val="nil"/>
              <w:left w:val="nil"/>
              <w:right w:val="nil"/>
            </w:tcBorders>
            <w:shd w:val="clear" w:color="auto" w:fill="auto"/>
            <w:noWrap/>
            <w:vAlign w:val="center"/>
            <w:hideMark/>
          </w:tcPr>
          <w:p w14:paraId="5DE76C24"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0,6</w:t>
            </w:r>
          </w:p>
        </w:tc>
        <w:tc>
          <w:tcPr>
            <w:tcW w:w="650" w:type="pct"/>
            <w:tcBorders>
              <w:top w:val="nil"/>
              <w:left w:val="nil"/>
              <w:right w:val="nil"/>
            </w:tcBorders>
            <w:shd w:val="clear" w:color="auto" w:fill="auto"/>
            <w:noWrap/>
            <w:vAlign w:val="center"/>
          </w:tcPr>
          <w:p w14:paraId="122C8722" w14:textId="3DD2FA06"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-0,9</w:t>
            </w:r>
          </w:p>
        </w:tc>
        <w:tc>
          <w:tcPr>
            <w:tcW w:w="624" w:type="pct"/>
            <w:tcBorders>
              <w:top w:val="nil"/>
              <w:left w:val="nil"/>
              <w:right w:val="nil"/>
            </w:tcBorders>
            <w:shd w:val="clear" w:color="auto" w:fill="auto"/>
            <w:noWrap/>
            <w:vAlign w:val="center"/>
            <w:hideMark/>
          </w:tcPr>
          <w:p w14:paraId="5148E5F6"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37</w:t>
            </w:r>
          </w:p>
        </w:tc>
      </w:tr>
      <w:tr w:rsidR="0074160A" w:rsidRPr="004C54B9" w14:paraId="661D0D3A" w14:textId="77777777" w:rsidTr="00F341AC">
        <w:trPr>
          <w:trHeight w:val="197"/>
        </w:trPr>
        <w:tc>
          <w:tcPr>
            <w:tcW w:w="2069" w:type="pct"/>
            <w:tcBorders>
              <w:top w:val="nil"/>
              <w:left w:val="nil"/>
              <w:bottom w:val="single" w:sz="4" w:space="0" w:color="auto"/>
              <w:right w:val="nil"/>
            </w:tcBorders>
            <w:shd w:val="clear" w:color="auto" w:fill="auto"/>
            <w:vAlign w:val="center"/>
            <w:hideMark/>
          </w:tcPr>
          <w:p w14:paraId="5E5B4B3D" w14:textId="77777777" w:rsidR="0074160A" w:rsidRPr="006F6BFF" w:rsidRDefault="0074160A" w:rsidP="0074160A">
            <w:pPr>
              <w:spacing w:after="0" w:line="240" w:lineRule="auto"/>
              <w:jc w:val="both"/>
              <w:rPr>
                <w:rFonts w:ascii="Arial Narrow" w:eastAsia="Calibri" w:hAnsi="Arial Narrow"/>
                <w:sz w:val="20"/>
                <w:szCs w:val="20"/>
                <w:lang w:eastAsia="en-US"/>
              </w:rPr>
            </w:pPr>
            <w:r w:rsidRPr="006F6BFF">
              <w:rPr>
                <w:rFonts w:ascii="Arial Narrow" w:eastAsia="Calibri" w:hAnsi="Arial Narrow"/>
                <w:sz w:val="20"/>
                <w:szCs w:val="20"/>
                <w:lang w:eastAsia="en-US"/>
              </w:rPr>
              <w:t xml:space="preserve">Zlepšenie revíznych činností </w:t>
            </w:r>
            <w:proofErr w:type="spellStart"/>
            <w:r w:rsidRPr="006F6BFF">
              <w:rPr>
                <w:rFonts w:ascii="Arial Narrow" w:eastAsia="Calibri" w:hAnsi="Arial Narrow"/>
                <w:sz w:val="20"/>
                <w:szCs w:val="20"/>
                <w:lang w:eastAsia="en-US"/>
              </w:rPr>
              <w:t>VšZP</w:t>
            </w:r>
            <w:proofErr w:type="spellEnd"/>
          </w:p>
        </w:tc>
        <w:tc>
          <w:tcPr>
            <w:tcW w:w="415" w:type="pct"/>
            <w:tcBorders>
              <w:top w:val="nil"/>
              <w:left w:val="nil"/>
              <w:bottom w:val="single" w:sz="4" w:space="0" w:color="auto"/>
              <w:right w:val="nil"/>
            </w:tcBorders>
            <w:shd w:val="clear" w:color="auto" w:fill="auto"/>
            <w:noWrap/>
            <w:vAlign w:val="center"/>
            <w:hideMark/>
          </w:tcPr>
          <w:p w14:paraId="6F6256C6" w14:textId="77777777" w:rsidR="0074160A" w:rsidRPr="006F6BFF" w:rsidRDefault="0074160A" w:rsidP="0074160A">
            <w:pPr>
              <w:spacing w:after="0" w:line="240" w:lineRule="auto"/>
              <w:ind w:left="20" w:hanging="34"/>
              <w:jc w:val="center"/>
              <w:rPr>
                <w:rFonts w:ascii="Arial Narrow" w:eastAsia="Calibri" w:hAnsi="Arial Narrow"/>
                <w:sz w:val="20"/>
                <w:szCs w:val="20"/>
                <w:lang w:eastAsia="en-US"/>
              </w:rPr>
            </w:pPr>
            <w:r w:rsidRPr="006F6BFF">
              <w:rPr>
                <w:rFonts w:ascii="Arial Narrow" w:eastAsia="Calibri" w:hAnsi="Arial Narrow"/>
                <w:sz w:val="20"/>
                <w:szCs w:val="20"/>
                <w:lang w:eastAsia="en-US"/>
              </w:rPr>
              <w:t>25</w:t>
            </w:r>
          </w:p>
        </w:tc>
        <w:tc>
          <w:tcPr>
            <w:tcW w:w="579" w:type="pct"/>
            <w:tcBorders>
              <w:top w:val="nil"/>
              <w:left w:val="nil"/>
              <w:bottom w:val="single" w:sz="4" w:space="0" w:color="auto"/>
              <w:right w:val="nil"/>
            </w:tcBorders>
            <w:vAlign w:val="center"/>
          </w:tcPr>
          <w:p w14:paraId="2AA7CE2F"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hAnsi="Arial Narrow" w:cs="Arial"/>
                <w:color w:val="000000"/>
                <w:sz w:val="20"/>
                <w:szCs w:val="20"/>
                <w:lang w:eastAsia="zh-TW"/>
              </w:rPr>
              <w:t>27,2</w:t>
            </w:r>
          </w:p>
        </w:tc>
        <w:tc>
          <w:tcPr>
            <w:tcW w:w="663" w:type="pct"/>
            <w:tcBorders>
              <w:top w:val="nil"/>
              <w:left w:val="nil"/>
              <w:bottom w:val="single" w:sz="4" w:space="0" w:color="auto"/>
              <w:right w:val="nil"/>
            </w:tcBorders>
            <w:shd w:val="clear" w:color="auto" w:fill="auto"/>
            <w:noWrap/>
            <w:vAlign w:val="center"/>
            <w:hideMark/>
          </w:tcPr>
          <w:p w14:paraId="029DBC6A"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0</w:t>
            </w:r>
          </w:p>
        </w:tc>
        <w:tc>
          <w:tcPr>
            <w:tcW w:w="650" w:type="pct"/>
            <w:tcBorders>
              <w:top w:val="nil"/>
              <w:left w:val="nil"/>
              <w:bottom w:val="single" w:sz="4" w:space="0" w:color="auto"/>
              <w:right w:val="nil"/>
            </w:tcBorders>
            <w:shd w:val="clear" w:color="auto" w:fill="auto"/>
            <w:noWrap/>
            <w:vAlign w:val="center"/>
          </w:tcPr>
          <w:p w14:paraId="7851F217" w14:textId="4C62DFE3" w:rsidR="0074160A" w:rsidRPr="006F6BFF" w:rsidRDefault="0074160A" w:rsidP="0074160A">
            <w:pPr>
              <w:spacing w:after="0" w:line="240" w:lineRule="auto"/>
              <w:jc w:val="center"/>
              <w:rPr>
                <w:rFonts w:ascii="Arial Narrow" w:eastAsia="Calibri" w:hAnsi="Arial Narrow"/>
                <w:sz w:val="20"/>
                <w:szCs w:val="20"/>
                <w:lang w:val="en-US" w:eastAsia="en-US"/>
              </w:rPr>
            </w:pPr>
            <w:r w:rsidRPr="006F6BFF">
              <w:rPr>
                <w:rFonts w:ascii="Arial Narrow" w:eastAsia="Calibri" w:hAnsi="Arial Narrow"/>
                <w:sz w:val="20"/>
                <w:szCs w:val="20"/>
                <w:lang w:val="en-US" w:eastAsia="en-US"/>
              </w:rPr>
              <w:t>2,2</w:t>
            </w:r>
          </w:p>
        </w:tc>
        <w:tc>
          <w:tcPr>
            <w:tcW w:w="624" w:type="pct"/>
            <w:tcBorders>
              <w:top w:val="nil"/>
              <w:left w:val="nil"/>
              <w:bottom w:val="single" w:sz="4" w:space="0" w:color="auto"/>
              <w:right w:val="nil"/>
            </w:tcBorders>
            <w:shd w:val="clear" w:color="auto" w:fill="auto"/>
            <w:noWrap/>
            <w:vAlign w:val="center"/>
            <w:hideMark/>
          </w:tcPr>
          <w:p w14:paraId="7AC1566A"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25</w:t>
            </w:r>
          </w:p>
        </w:tc>
      </w:tr>
      <w:tr w:rsidR="0074160A" w:rsidRPr="004C54B9" w14:paraId="7AE176AF" w14:textId="77777777" w:rsidTr="00F341AC">
        <w:trPr>
          <w:trHeight w:val="197"/>
        </w:trPr>
        <w:tc>
          <w:tcPr>
            <w:tcW w:w="2069" w:type="pct"/>
            <w:tcBorders>
              <w:top w:val="single" w:sz="4" w:space="0" w:color="auto"/>
              <w:left w:val="nil"/>
              <w:bottom w:val="nil"/>
              <w:right w:val="nil"/>
            </w:tcBorders>
            <w:shd w:val="clear" w:color="auto" w:fill="auto"/>
            <w:vAlign w:val="center"/>
            <w:hideMark/>
          </w:tcPr>
          <w:p w14:paraId="0391597E" w14:textId="77777777" w:rsidR="0074160A" w:rsidRPr="006F6BFF" w:rsidRDefault="0074160A" w:rsidP="0074160A">
            <w:pPr>
              <w:spacing w:after="0" w:line="240" w:lineRule="auto"/>
              <w:jc w:val="both"/>
              <w:rPr>
                <w:rFonts w:ascii="Arial Narrow" w:eastAsia="Calibri" w:hAnsi="Arial Narrow"/>
                <w:b/>
                <w:sz w:val="20"/>
                <w:szCs w:val="20"/>
                <w:lang w:eastAsia="en-US"/>
              </w:rPr>
            </w:pPr>
            <w:r w:rsidRPr="006F6BFF">
              <w:rPr>
                <w:rFonts w:ascii="Arial Narrow" w:eastAsia="Calibri" w:hAnsi="Arial Narrow"/>
                <w:b/>
                <w:sz w:val="20"/>
                <w:szCs w:val="20"/>
                <w:lang w:eastAsia="en-US"/>
              </w:rPr>
              <w:t>Opatrenia znižujúce výdavky nemocníc (podriadených organizácií MZ SR)</w:t>
            </w:r>
          </w:p>
        </w:tc>
        <w:tc>
          <w:tcPr>
            <w:tcW w:w="415" w:type="pct"/>
            <w:tcBorders>
              <w:top w:val="single" w:sz="4" w:space="0" w:color="auto"/>
              <w:left w:val="nil"/>
              <w:bottom w:val="nil"/>
              <w:right w:val="nil"/>
            </w:tcBorders>
            <w:shd w:val="clear" w:color="auto" w:fill="auto"/>
            <w:noWrap/>
            <w:vAlign w:val="center"/>
            <w:hideMark/>
          </w:tcPr>
          <w:p w14:paraId="7A22EE11"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31</w:t>
            </w:r>
          </w:p>
        </w:tc>
        <w:tc>
          <w:tcPr>
            <w:tcW w:w="579" w:type="pct"/>
            <w:tcBorders>
              <w:top w:val="single" w:sz="4" w:space="0" w:color="auto"/>
              <w:left w:val="nil"/>
              <w:bottom w:val="nil"/>
              <w:right w:val="nil"/>
            </w:tcBorders>
            <w:vAlign w:val="center"/>
          </w:tcPr>
          <w:p w14:paraId="29140454"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hAnsi="Arial Narrow" w:cs="Arial"/>
                <w:b/>
                <w:bCs/>
                <w:color w:val="000000"/>
                <w:sz w:val="20"/>
                <w:szCs w:val="20"/>
                <w:lang w:eastAsia="zh-TW"/>
              </w:rPr>
              <w:t>-4,1</w:t>
            </w:r>
          </w:p>
        </w:tc>
        <w:tc>
          <w:tcPr>
            <w:tcW w:w="663" w:type="pct"/>
            <w:tcBorders>
              <w:top w:val="single" w:sz="4" w:space="0" w:color="auto"/>
              <w:left w:val="nil"/>
              <w:bottom w:val="nil"/>
              <w:right w:val="nil"/>
            </w:tcBorders>
            <w:shd w:val="clear" w:color="auto" w:fill="auto"/>
            <w:noWrap/>
            <w:vAlign w:val="center"/>
            <w:hideMark/>
          </w:tcPr>
          <w:p w14:paraId="7FF6D19E"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47,7</w:t>
            </w:r>
          </w:p>
        </w:tc>
        <w:tc>
          <w:tcPr>
            <w:tcW w:w="650" w:type="pct"/>
            <w:tcBorders>
              <w:top w:val="single" w:sz="4" w:space="0" w:color="auto"/>
              <w:left w:val="nil"/>
              <w:bottom w:val="nil"/>
              <w:right w:val="nil"/>
            </w:tcBorders>
            <w:shd w:val="clear" w:color="auto" w:fill="auto"/>
            <w:noWrap/>
            <w:vAlign w:val="center"/>
          </w:tcPr>
          <w:p w14:paraId="3AD4A910" w14:textId="474656CE"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-23,8</w:t>
            </w:r>
          </w:p>
        </w:tc>
        <w:tc>
          <w:tcPr>
            <w:tcW w:w="624" w:type="pct"/>
            <w:tcBorders>
              <w:top w:val="single" w:sz="4" w:space="0" w:color="auto"/>
              <w:left w:val="nil"/>
              <w:bottom w:val="nil"/>
              <w:right w:val="nil"/>
            </w:tcBorders>
            <w:shd w:val="clear" w:color="auto" w:fill="auto"/>
            <w:noWrap/>
            <w:vAlign w:val="center"/>
            <w:hideMark/>
          </w:tcPr>
          <w:p w14:paraId="0B669EA9" w14:textId="77777777" w:rsidR="0074160A" w:rsidRPr="006F6BFF" w:rsidRDefault="0074160A" w:rsidP="0074160A">
            <w:pPr>
              <w:spacing w:after="0" w:line="240" w:lineRule="auto"/>
              <w:jc w:val="center"/>
              <w:rPr>
                <w:rFonts w:ascii="Arial Narrow" w:eastAsia="Calibri" w:hAnsi="Arial Narrow"/>
                <w:b/>
                <w:sz w:val="20"/>
                <w:szCs w:val="20"/>
                <w:lang w:eastAsia="en-US"/>
              </w:rPr>
            </w:pPr>
            <w:r w:rsidRPr="006F6BFF">
              <w:rPr>
                <w:rFonts w:ascii="Arial Narrow" w:eastAsia="Calibri" w:hAnsi="Arial Narrow"/>
                <w:b/>
                <w:sz w:val="20"/>
                <w:szCs w:val="20"/>
                <w:lang w:eastAsia="en-US"/>
              </w:rPr>
              <w:t>95</w:t>
            </w:r>
          </w:p>
        </w:tc>
      </w:tr>
      <w:tr w:rsidR="0074160A" w:rsidRPr="004C54B9" w14:paraId="56F86C46" w14:textId="77777777" w:rsidTr="00F341AC">
        <w:trPr>
          <w:trHeight w:val="208"/>
        </w:trPr>
        <w:tc>
          <w:tcPr>
            <w:tcW w:w="2069" w:type="pct"/>
            <w:tcBorders>
              <w:top w:val="nil"/>
              <w:left w:val="nil"/>
              <w:bottom w:val="nil"/>
              <w:right w:val="nil"/>
            </w:tcBorders>
            <w:shd w:val="clear" w:color="auto" w:fill="auto"/>
            <w:vAlign w:val="center"/>
            <w:hideMark/>
          </w:tcPr>
          <w:p w14:paraId="369307BE" w14:textId="77777777" w:rsidR="0074160A" w:rsidRPr="006F6BFF" w:rsidRDefault="0074160A" w:rsidP="0074160A">
            <w:pPr>
              <w:spacing w:after="0" w:line="240" w:lineRule="auto"/>
              <w:jc w:val="both"/>
              <w:rPr>
                <w:rFonts w:ascii="Arial Narrow" w:eastAsia="Calibri" w:hAnsi="Arial Narrow"/>
                <w:sz w:val="20"/>
                <w:szCs w:val="20"/>
                <w:lang w:eastAsia="en-US"/>
              </w:rPr>
            </w:pPr>
            <w:r w:rsidRPr="006F6BFF">
              <w:rPr>
                <w:rFonts w:ascii="Arial Narrow" w:eastAsia="Calibri" w:hAnsi="Arial Narrow"/>
                <w:sz w:val="20"/>
                <w:szCs w:val="20"/>
                <w:lang w:eastAsia="en-US"/>
              </w:rPr>
              <w:t>Optimalizácia prevádzkových nákladov</w:t>
            </w:r>
          </w:p>
        </w:tc>
        <w:tc>
          <w:tcPr>
            <w:tcW w:w="415" w:type="pct"/>
            <w:tcBorders>
              <w:top w:val="nil"/>
              <w:left w:val="nil"/>
              <w:bottom w:val="nil"/>
              <w:right w:val="nil"/>
            </w:tcBorders>
            <w:shd w:val="clear" w:color="auto" w:fill="auto"/>
            <w:noWrap/>
            <w:vAlign w:val="center"/>
            <w:hideMark/>
          </w:tcPr>
          <w:p w14:paraId="419CDAB7"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5</w:t>
            </w:r>
          </w:p>
        </w:tc>
        <w:tc>
          <w:tcPr>
            <w:tcW w:w="579" w:type="pct"/>
            <w:tcBorders>
              <w:top w:val="nil"/>
              <w:left w:val="nil"/>
              <w:bottom w:val="nil"/>
              <w:right w:val="nil"/>
            </w:tcBorders>
            <w:vAlign w:val="center"/>
          </w:tcPr>
          <w:p w14:paraId="397F7E64"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hAnsi="Arial Narrow" w:cs="Arial"/>
                <w:color w:val="000000"/>
                <w:sz w:val="20"/>
                <w:szCs w:val="20"/>
                <w:lang w:eastAsia="zh-TW"/>
              </w:rPr>
              <w:t>-3,1</w:t>
            </w:r>
          </w:p>
        </w:tc>
        <w:tc>
          <w:tcPr>
            <w:tcW w:w="663" w:type="pct"/>
            <w:tcBorders>
              <w:top w:val="nil"/>
              <w:left w:val="nil"/>
              <w:bottom w:val="nil"/>
              <w:right w:val="nil"/>
            </w:tcBorders>
            <w:shd w:val="clear" w:color="auto" w:fill="auto"/>
            <w:noWrap/>
            <w:vAlign w:val="center"/>
            <w:hideMark/>
          </w:tcPr>
          <w:p w14:paraId="6B2088FC"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8,1</w:t>
            </w:r>
          </w:p>
        </w:tc>
        <w:tc>
          <w:tcPr>
            <w:tcW w:w="650" w:type="pct"/>
            <w:tcBorders>
              <w:top w:val="nil"/>
              <w:left w:val="nil"/>
              <w:bottom w:val="nil"/>
              <w:right w:val="nil"/>
            </w:tcBorders>
            <w:shd w:val="clear" w:color="auto" w:fill="auto"/>
            <w:noWrap/>
            <w:vAlign w:val="center"/>
          </w:tcPr>
          <w:p w14:paraId="5A341066" w14:textId="03A5ECD2"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-3,6</w:t>
            </w:r>
          </w:p>
        </w:tc>
        <w:tc>
          <w:tcPr>
            <w:tcW w:w="624" w:type="pct"/>
            <w:tcBorders>
              <w:top w:val="nil"/>
              <w:left w:val="nil"/>
              <w:bottom w:val="nil"/>
              <w:right w:val="nil"/>
            </w:tcBorders>
            <w:shd w:val="clear" w:color="auto" w:fill="auto"/>
            <w:noWrap/>
            <w:vAlign w:val="center"/>
            <w:hideMark/>
          </w:tcPr>
          <w:p w14:paraId="1A6605C7"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10</w:t>
            </w:r>
          </w:p>
        </w:tc>
      </w:tr>
      <w:tr w:rsidR="0074160A" w:rsidRPr="004C54B9" w14:paraId="11B5C748" w14:textId="77777777" w:rsidTr="00F341AC">
        <w:trPr>
          <w:trHeight w:val="208"/>
        </w:trPr>
        <w:tc>
          <w:tcPr>
            <w:tcW w:w="2069" w:type="pct"/>
            <w:tcBorders>
              <w:top w:val="nil"/>
              <w:left w:val="nil"/>
              <w:bottom w:val="nil"/>
              <w:right w:val="nil"/>
            </w:tcBorders>
            <w:shd w:val="clear" w:color="auto" w:fill="auto"/>
            <w:vAlign w:val="center"/>
            <w:hideMark/>
          </w:tcPr>
          <w:p w14:paraId="135E9020" w14:textId="77777777" w:rsidR="0074160A" w:rsidRPr="006F6BFF" w:rsidRDefault="0074160A" w:rsidP="0074160A">
            <w:pPr>
              <w:spacing w:after="0" w:line="240" w:lineRule="auto"/>
              <w:jc w:val="both"/>
              <w:rPr>
                <w:rFonts w:ascii="Arial Narrow" w:eastAsia="Calibri" w:hAnsi="Arial Narrow"/>
                <w:sz w:val="20"/>
                <w:szCs w:val="20"/>
                <w:lang w:eastAsia="en-US"/>
              </w:rPr>
            </w:pPr>
            <w:r w:rsidRPr="006F6BFF">
              <w:rPr>
                <w:rFonts w:ascii="Arial Narrow" w:eastAsia="Calibri" w:hAnsi="Arial Narrow"/>
                <w:sz w:val="20"/>
                <w:szCs w:val="20"/>
                <w:lang w:eastAsia="en-US"/>
              </w:rPr>
              <w:t>Optimalizácia medicínskych procesov</w:t>
            </w:r>
          </w:p>
        </w:tc>
        <w:tc>
          <w:tcPr>
            <w:tcW w:w="415" w:type="pct"/>
            <w:tcBorders>
              <w:top w:val="nil"/>
              <w:left w:val="nil"/>
              <w:bottom w:val="nil"/>
              <w:right w:val="nil"/>
            </w:tcBorders>
            <w:shd w:val="clear" w:color="auto" w:fill="auto"/>
            <w:noWrap/>
            <w:vAlign w:val="center"/>
            <w:hideMark/>
          </w:tcPr>
          <w:p w14:paraId="2DCBD52C"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15</w:t>
            </w:r>
          </w:p>
        </w:tc>
        <w:tc>
          <w:tcPr>
            <w:tcW w:w="579" w:type="pct"/>
            <w:tcBorders>
              <w:top w:val="nil"/>
              <w:left w:val="nil"/>
              <w:bottom w:val="nil"/>
              <w:right w:val="nil"/>
            </w:tcBorders>
            <w:vAlign w:val="center"/>
          </w:tcPr>
          <w:p w14:paraId="7FBDBFA3"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hAnsi="Arial Narrow" w:cs="Arial"/>
                <w:color w:val="000000"/>
                <w:sz w:val="20"/>
                <w:szCs w:val="20"/>
                <w:lang w:eastAsia="zh-TW"/>
              </w:rPr>
              <w:t>-23,4</w:t>
            </w:r>
          </w:p>
        </w:tc>
        <w:tc>
          <w:tcPr>
            <w:tcW w:w="663" w:type="pct"/>
            <w:tcBorders>
              <w:top w:val="nil"/>
              <w:left w:val="nil"/>
              <w:bottom w:val="nil"/>
              <w:right w:val="nil"/>
            </w:tcBorders>
            <w:shd w:val="clear" w:color="auto" w:fill="auto"/>
            <w:noWrap/>
            <w:vAlign w:val="center"/>
            <w:hideMark/>
          </w:tcPr>
          <w:p w14:paraId="2D6DDB6F"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38.4</w:t>
            </w:r>
          </w:p>
        </w:tc>
        <w:tc>
          <w:tcPr>
            <w:tcW w:w="650" w:type="pct"/>
            <w:tcBorders>
              <w:top w:val="nil"/>
              <w:left w:val="nil"/>
              <w:bottom w:val="nil"/>
              <w:right w:val="nil"/>
            </w:tcBorders>
            <w:shd w:val="clear" w:color="auto" w:fill="auto"/>
            <w:noWrap/>
            <w:vAlign w:val="center"/>
          </w:tcPr>
          <w:p w14:paraId="6A87F7AE" w14:textId="765CBB6D"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-15,5</w:t>
            </w:r>
          </w:p>
        </w:tc>
        <w:tc>
          <w:tcPr>
            <w:tcW w:w="624" w:type="pct"/>
            <w:tcBorders>
              <w:top w:val="nil"/>
              <w:left w:val="nil"/>
              <w:bottom w:val="nil"/>
              <w:right w:val="nil"/>
            </w:tcBorders>
            <w:shd w:val="clear" w:color="auto" w:fill="auto"/>
            <w:noWrap/>
            <w:vAlign w:val="center"/>
            <w:hideMark/>
          </w:tcPr>
          <w:p w14:paraId="7D35BD8D"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74</w:t>
            </w:r>
          </w:p>
        </w:tc>
      </w:tr>
      <w:tr w:rsidR="0074160A" w:rsidRPr="004C54B9" w14:paraId="3D53CCBB" w14:textId="77777777" w:rsidTr="00F341AC">
        <w:trPr>
          <w:trHeight w:val="197"/>
        </w:trPr>
        <w:tc>
          <w:tcPr>
            <w:tcW w:w="2069" w:type="pct"/>
            <w:tcBorders>
              <w:top w:val="nil"/>
              <w:left w:val="nil"/>
              <w:bottom w:val="nil"/>
              <w:right w:val="nil"/>
            </w:tcBorders>
            <w:shd w:val="clear" w:color="auto" w:fill="auto"/>
            <w:vAlign w:val="center"/>
            <w:hideMark/>
          </w:tcPr>
          <w:p w14:paraId="05AACEC8" w14:textId="77777777" w:rsidR="0074160A" w:rsidRPr="006F6BFF" w:rsidRDefault="0074160A" w:rsidP="0074160A">
            <w:pPr>
              <w:spacing w:after="0" w:line="240" w:lineRule="auto"/>
              <w:jc w:val="both"/>
              <w:rPr>
                <w:rFonts w:ascii="Arial Narrow" w:eastAsia="Calibri" w:hAnsi="Arial Narrow"/>
                <w:sz w:val="20"/>
                <w:szCs w:val="20"/>
                <w:lang w:eastAsia="en-US"/>
              </w:rPr>
            </w:pPr>
            <w:r w:rsidRPr="006F6BFF">
              <w:rPr>
                <w:rFonts w:ascii="Arial Narrow" w:eastAsia="Calibri" w:hAnsi="Arial Narrow"/>
                <w:sz w:val="20"/>
                <w:szCs w:val="20"/>
                <w:lang w:eastAsia="en-US"/>
              </w:rPr>
              <w:t>Optimalizácia nákupu liekov a ŠZM</w:t>
            </w:r>
          </w:p>
        </w:tc>
        <w:tc>
          <w:tcPr>
            <w:tcW w:w="415" w:type="pct"/>
            <w:tcBorders>
              <w:top w:val="nil"/>
              <w:left w:val="nil"/>
              <w:bottom w:val="nil"/>
              <w:right w:val="nil"/>
            </w:tcBorders>
            <w:shd w:val="clear" w:color="auto" w:fill="auto"/>
            <w:noWrap/>
            <w:vAlign w:val="center"/>
            <w:hideMark/>
          </w:tcPr>
          <w:p w14:paraId="04CB75EC"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8</w:t>
            </w:r>
          </w:p>
        </w:tc>
        <w:tc>
          <w:tcPr>
            <w:tcW w:w="579" w:type="pct"/>
            <w:tcBorders>
              <w:top w:val="nil"/>
              <w:left w:val="nil"/>
              <w:bottom w:val="nil"/>
              <w:right w:val="nil"/>
            </w:tcBorders>
            <w:vAlign w:val="center"/>
          </w:tcPr>
          <w:p w14:paraId="0C77991B"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hAnsi="Arial Narrow" w:cs="Arial"/>
                <w:color w:val="000000"/>
                <w:sz w:val="20"/>
                <w:szCs w:val="20"/>
                <w:lang w:eastAsia="zh-TW"/>
              </w:rPr>
              <w:t>6,8</w:t>
            </w:r>
          </w:p>
        </w:tc>
        <w:tc>
          <w:tcPr>
            <w:tcW w:w="663" w:type="pct"/>
            <w:tcBorders>
              <w:top w:val="nil"/>
              <w:left w:val="nil"/>
              <w:bottom w:val="nil"/>
              <w:right w:val="nil"/>
            </w:tcBorders>
            <w:shd w:val="clear" w:color="auto" w:fill="auto"/>
            <w:noWrap/>
            <w:vAlign w:val="center"/>
            <w:hideMark/>
          </w:tcPr>
          <w:p w14:paraId="63396764"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1,2</w:t>
            </w:r>
          </w:p>
        </w:tc>
        <w:tc>
          <w:tcPr>
            <w:tcW w:w="650" w:type="pct"/>
            <w:tcBorders>
              <w:top w:val="nil"/>
              <w:left w:val="nil"/>
              <w:bottom w:val="nil"/>
              <w:right w:val="nil"/>
            </w:tcBorders>
            <w:shd w:val="clear" w:color="auto" w:fill="auto"/>
            <w:noWrap/>
            <w:vAlign w:val="center"/>
          </w:tcPr>
          <w:p w14:paraId="2C404537" w14:textId="3A74710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-5</w:t>
            </w:r>
          </w:p>
        </w:tc>
        <w:tc>
          <w:tcPr>
            <w:tcW w:w="624" w:type="pct"/>
            <w:tcBorders>
              <w:top w:val="nil"/>
              <w:left w:val="nil"/>
              <w:bottom w:val="nil"/>
              <w:right w:val="nil"/>
            </w:tcBorders>
            <w:shd w:val="clear" w:color="auto" w:fill="auto"/>
            <w:noWrap/>
            <w:vAlign w:val="center"/>
            <w:hideMark/>
          </w:tcPr>
          <w:p w14:paraId="38AC194F"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8</w:t>
            </w:r>
          </w:p>
        </w:tc>
      </w:tr>
      <w:tr w:rsidR="0074160A" w:rsidRPr="004C54B9" w14:paraId="425D9C8F" w14:textId="77777777" w:rsidTr="00F341AC">
        <w:trPr>
          <w:trHeight w:val="197"/>
        </w:trPr>
        <w:tc>
          <w:tcPr>
            <w:tcW w:w="2069" w:type="pct"/>
            <w:tcBorders>
              <w:top w:val="nil"/>
              <w:left w:val="nil"/>
              <w:bottom w:val="single" w:sz="4" w:space="0" w:color="auto"/>
              <w:right w:val="nil"/>
            </w:tcBorders>
            <w:shd w:val="clear" w:color="auto" w:fill="auto"/>
            <w:vAlign w:val="center"/>
            <w:hideMark/>
          </w:tcPr>
          <w:p w14:paraId="52E20463" w14:textId="77777777" w:rsidR="0074160A" w:rsidRPr="006F6BFF" w:rsidRDefault="0074160A" w:rsidP="0074160A">
            <w:pPr>
              <w:spacing w:after="0" w:line="240" w:lineRule="auto"/>
              <w:jc w:val="both"/>
              <w:rPr>
                <w:rFonts w:ascii="Arial Narrow" w:eastAsia="Calibri" w:hAnsi="Arial Narrow"/>
                <w:sz w:val="20"/>
                <w:szCs w:val="20"/>
                <w:lang w:eastAsia="en-US"/>
              </w:rPr>
            </w:pPr>
            <w:r w:rsidRPr="006F6BFF">
              <w:rPr>
                <w:rFonts w:ascii="Arial Narrow" w:eastAsia="Calibri" w:hAnsi="Arial Narrow"/>
                <w:sz w:val="20"/>
                <w:szCs w:val="20"/>
                <w:lang w:eastAsia="en-US"/>
              </w:rPr>
              <w:t>Hospodárne obstarávanie zdravotníckej techniky</w:t>
            </w:r>
          </w:p>
        </w:tc>
        <w:tc>
          <w:tcPr>
            <w:tcW w:w="415" w:type="pct"/>
            <w:tcBorders>
              <w:top w:val="nil"/>
              <w:left w:val="nil"/>
              <w:bottom w:val="single" w:sz="4" w:space="0" w:color="auto"/>
              <w:right w:val="nil"/>
            </w:tcBorders>
            <w:shd w:val="clear" w:color="auto" w:fill="auto"/>
            <w:noWrap/>
            <w:vAlign w:val="center"/>
            <w:hideMark/>
          </w:tcPr>
          <w:p w14:paraId="43CF3DBB"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3</w:t>
            </w:r>
          </w:p>
        </w:tc>
        <w:tc>
          <w:tcPr>
            <w:tcW w:w="579" w:type="pct"/>
            <w:tcBorders>
              <w:top w:val="nil"/>
              <w:left w:val="nil"/>
              <w:bottom w:val="single" w:sz="4" w:space="0" w:color="auto"/>
              <w:right w:val="nil"/>
            </w:tcBorders>
            <w:vAlign w:val="center"/>
          </w:tcPr>
          <w:p w14:paraId="007FFAC4"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hAnsi="Arial Narrow" w:cs="Arial"/>
                <w:color w:val="000000"/>
                <w:sz w:val="20"/>
                <w:szCs w:val="20"/>
                <w:lang w:eastAsia="zh-TW"/>
              </w:rPr>
              <w:t>15,6</w:t>
            </w:r>
          </w:p>
        </w:tc>
        <w:tc>
          <w:tcPr>
            <w:tcW w:w="663" w:type="pct"/>
            <w:tcBorders>
              <w:top w:val="nil"/>
              <w:left w:val="nil"/>
              <w:bottom w:val="single" w:sz="4" w:space="0" w:color="auto"/>
              <w:right w:val="nil"/>
            </w:tcBorders>
            <w:shd w:val="clear" w:color="auto" w:fill="auto"/>
            <w:noWrap/>
            <w:vAlign w:val="center"/>
            <w:hideMark/>
          </w:tcPr>
          <w:p w14:paraId="48C3DDC9"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0</w:t>
            </w:r>
          </w:p>
        </w:tc>
        <w:tc>
          <w:tcPr>
            <w:tcW w:w="650" w:type="pct"/>
            <w:tcBorders>
              <w:top w:val="nil"/>
              <w:left w:val="nil"/>
              <w:bottom w:val="single" w:sz="4" w:space="0" w:color="auto"/>
              <w:right w:val="nil"/>
            </w:tcBorders>
            <w:shd w:val="clear" w:color="auto" w:fill="auto"/>
            <w:noWrap/>
            <w:vAlign w:val="center"/>
          </w:tcPr>
          <w:p w14:paraId="1D2044C9" w14:textId="2C5F1A2E"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0,36</w:t>
            </w:r>
          </w:p>
        </w:tc>
        <w:tc>
          <w:tcPr>
            <w:tcW w:w="624" w:type="pct"/>
            <w:tcBorders>
              <w:top w:val="nil"/>
              <w:left w:val="nil"/>
              <w:bottom w:val="single" w:sz="4" w:space="0" w:color="auto"/>
              <w:right w:val="nil"/>
            </w:tcBorders>
            <w:shd w:val="clear" w:color="auto" w:fill="auto"/>
            <w:noWrap/>
            <w:vAlign w:val="center"/>
            <w:hideMark/>
          </w:tcPr>
          <w:p w14:paraId="79FB8D03" w14:textId="77777777" w:rsidR="0074160A" w:rsidRPr="006F6BFF" w:rsidRDefault="0074160A" w:rsidP="0074160A">
            <w:pPr>
              <w:spacing w:after="0" w:line="240" w:lineRule="auto"/>
              <w:jc w:val="center"/>
              <w:rPr>
                <w:rFonts w:ascii="Arial Narrow" w:eastAsia="Calibri" w:hAnsi="Arial Narrow"/>
                <w:sz w:val="20"/>
                <w:szCs w:val="20"/>
                <w:lang w:eastAsia="en-US"/>
              </w:rPr>
            </w:pPr>
            <w:r w:rsidRPr="006F6BFF">
              <w:rPr>
                <w:rFonts w:ascii="Arial Narrow" w:eastAsia="Calibri" w:hAnsi="Arial Narrow"/>
                <w:sz w:val="20"/>
                <w:szCs w:val="20"/>
                <w:lang w:eastAsia="en-US"/>
              </w:rPr>
              <w:t>3</w:t>
            </w:r>
          </w:p>
        </w:tc>
      </w:tr>
      <w:tr w:rsidR="00F856B9" w:rsidRPr="004C54B9" w14:paraId="26C93598" w14:textId="77777777" w:rsidTr="00763C24">
        <w:trPr>
          <w:trHeight w:val="197"/>
        </w:trPr>
        <w:tc>
          <w:tcPr>
            <w:tcW w:w="5000" w:type="pct"/>
            <w:gridSpan w:val="6"/>
            <w:tcBorders>
              <w:top w:val="single" w:sz="4" w:space="0" w:color="auto"/>
              <w:left w:val="nil"/>
              <w:right w:val="nil"/>
            </w:tcBorders>
            <w:shd w:val="clear" w:color="auto" w:fill="auto"/>
            <w:vAlign w:val="center"/>
          </w:tcPr>
          <w:p w14:paraId="1C4BE627" w14:textId="77777777" w:rsidR="00F856B9" w:rsidRPr="004C54B9" w:rsidRDefault="00F856B9" w:rsidP="00763C24">
            <w:pPr>
              <w:spacing w:after="0" w:line="240" w:lineRule="auto"/>
              <w:jc w:val="right"/>
              <w:rPr>
                <w:rFonts w:ascii="Arial Narrow" w:eastAsia="Calibri" w:hAnsi="Arial Narrow"/>
                <w:i/>
                <w:lang w:eastAsia="en-US"/>
              </w:rPr>
            </w:pPr>
            <w:r w:rsidRPr="006F6BFF">
              <w:rPr>
                <w:rFonts w:ascii="Arial Narrow" w:eastAsia="Calibri" w:hAnsi="Arial Narrow"/>
                <w:i/>
                <w:sz w:val="16"/>
                <w:lang w:eastAsia="en-US"/>
              </w:rPr>
              <w:t>Zdroj: IJ, MZ SR, dáta ZP</w:t>
            </w:r>
          </w:p>
        </w:tc>
      </w:tr>
    </w:tbl>
    <w:p w14:paraId="1019D061" w14:textId="77777777" w:rsidR="00F856B9" w:rsidRPr="004C54B9" w:rsidRDefault="00F856B9" w:rsidP="00F856B9">
      <w:pPr>
        <w:spacing w:after="0" w:line="240" w:lineRule="auto"/>
        <w:jc w:val="both"/>
        <w:rPr>
          <w:rFonts w:ascii="Arial Narrow" w:hAnsi="Arial Narrow"/>
          <w:highlight w:val="yellow"/>
        </w:rPr>
      </w:pPr>
    </w:p>
    <w:p w14:paraId="495BC9A4" w14:textId="77777777" w:rsidR="00F856B9" w:rsidRPr="004C54B9" w:rsidRDefault="00F856B9" w:rsidP="0062680A">
      <w:pPr>
        <w:spacing w:after="120" w:line="240" w:lineRule="auto"/>
        <w:jc w:val="both"/>
        <w:rPr>
          <w:rFonts w:ascii="Arial Narrow" w:hAnsi="Arial Narrow"/>
        </w:rPr>
      </w:pPr>
      <w:r w:rsidRPr="004C54B9">
        <w:rPr>
          <w:rFonts w:ascii="Arial Narrow" w:hAnsi="Arial Narrow"/>
        </w:rPr>
        <w:t>Dlhodobo sa realizuje viacero projektov, ktoré prispejú k vyššej efektívnosti a transparentnosti zdravotníctva:</w:t>
      </w:r>
    </w:p>
    <w:p w14:paraId="61537F74" w14:textId="14E1F7FC" w:rsidR="00F856B9" w:rsidRPr="004C54B9" w:rsidRDefault="00F856B9" w:rsidP="00BD46F1">
      <w:pPr>
        <w:pStyle w:val="Odsekzoznamu"/>
        <w:numPr>
          <w:ilvl w:val="0"/>
          <w:numId w:val="11"/>
        </w:numPr>
        <w:spacing w:after="120" w:line="240" w:lineRule="auto"/>
        <w:contextualSpacing w:val="0"/>
        <w:jc w:val="both"/>
        <w:rPr>
          <w:rFonts w:ascii="Arial Narrow" w:hAnsi="Arial Narrow"/>
        </w:rPr>
      </w:pPr>
      <w:r w:rsidRPr="004C54B9">
        <w:rPr>
          <w:rFonts w:ascii="Arial Narrow" w:hAnsi="Arial Narrow"/>
          <w:b/>
        </w:rPr>
        <w:t xml:space="preserve">Elektronizácia zdravotníctva a </w:t>
      </w:r>
      <w:r w:rsidR="00DD303D">
        <w:rPr>
          <w:rFonts w:ascii="Arial Narrow" w:hAnsi="Arial Narrow"/>
          <w:b/>
        </w:rPr>
        <w:t>e</w:t>
      </w:r>
      <w:r w:rsidRPr="004C54B9">
        <w:rPr>
          <w:rFonts w:ascii="Arial Narrow" w:hAnsi="Arial Narrow"/>
          <w:b/>
        </w:rPr>
        <w:t>lektronické služby zdravotníctva.</w:t>
      </w:r>
      <w:r w:rsidRPr="004C54B9">
        <w:rPr>
          <w:rFonts w:ascii="Arial Narrow" w:hAnsi="Arial Narrow"/>
        </w:rPr>
        <w:t xml:space="preserve"> Od začiatku roka 2018 je systém </w:t>
      </w:r>
      <w:proofErr w:type="spellStart"/>
      <w:r w:rsidRPr="006F6BFF">
        <w:rPr>
          <w:rFonts w:ascii="Arial Narrow" w:hAnsi="Arial Narrow"/>
          <w:i/>
        </w:rPr>
        <w:t>eHealth</w:t>
      </w:r>
      <w:proofErr w:type="spellEnd"/>
      <w:r w:rsidRPr="004C54B9">
        <w:rPr>
          <w:rFonts w:ascii="Arial Narrow" w:hAnsi="Arial Narrow"/>
        </w:rPr>
        <w:t xml:space="preserve"> v prevádzke pre predpisovanie liekov a zápis vykonaných vyšetrení. Ku koncu roka 2018 bolo pripojených </w:t>
      </w:r>
      <w:r w:rsidR="005470FC">
        <w:rPr>
          <w:rFonts w:ascii="Arial Narrow" w:hAnsi="Arial Narrow"/>
        </w:rPr>
        <w:t xml:space="preserve">62 % </w:t>
      </w:r>
      <w:r w:rsidRPr="004C54B9">
        <w:rPr>
          <w:rFonts w:ascii="Arial Narrow" w:hAnsi="Arial Narrow"/>
        </w:rPr>
        <w:t>poskytovateľov zdravotnej starostlivosti, 12</w:t>
      </w:r>
      <w:r w:rsidR="00A804AD">
        <w:rPr>
          <w:rFonts w:ascii="Arial Narrow" w:hAnsi="Arial Narrow"/>
        </w:rPr>
        <w:t xml:space="preserve"> %</w:t>
      </w:r>
      <w:r w:rsidRPr="004C54B9">
        <w:rPr>
          <w:rFonts w:ascii="Arial Narrow" w:hAnsi="Arial Narrow"/>
        </w:rPr>
        <w:t xml:space="preserve"> zdravotníckych pracovníkov predpisovalo elektronické recepty a</w:t>
      </w:r>
      <w:r w:rsidR="00A804AD">
        <w:rPr>
          <w:rFonts w:ascii="Arial Narrow" w:hAnsi="Arial Narrow"/>
        </w:rPr>
        <w:t> </w:t>
      </w:r>
      <w:r w:rsidRPr="004C54B9">
        <w:rPr>
          <w:rFonts w:ascii="Arial Narrow" w:hAnsi="Arial Narrow"/>
        </w:rPr>
        <w:t>10</w:t>
      </w:r>
      <w:r w:rsidR="00A804AD">
        <w:rPr>
          <w:rFonts w:ascii="Arial Narrow" w:hAnsi="Arial Narrow"/>
        </w:rPr>
        <w:t xml:space="preserve"> %</w:t>
      </w:r>
      <w:r w:rsidRPr="004C54B9">
        <w:rPr>
          <w:rFonts w:ascii="Arial Narrow" w:hAnsi="Arial Narrow"/>
        </w:rPr>
        <w:t xml:space="preserve"> pracovníkov zapisovalo do systému záznamy z vyšetrení.</w:t>
      </w:r>
      <w:r w:rsidR="00A804AD">
        <w:rPr>
          <w:rStyle w:val="Odkaznapoznmkupodiarou"/>
          <w:rFonts w:ascii="Arial Narrow" w:hAnsi="Arial Narrow"/>
        </w:rPr>
        <w:footnoteReference w:id="19"/>
      </w:r>
      <w:r w:rsidRPr="004C54B9">
        <w:rPr>
          <w:rFonts w:ascii="Arial Narrow" w:hAnsi="Arial Narrow"/>
        </w:rPr>
        <w:t xml:space="preserve"> </w:t>
      </w:r>
      <w:r w:rsidRPr="004C54B9">
        <w:rPr>
          <w:rFonts w:ascii="Arial Narrow" w:hAnsi="Arial Narrow"/>
        </w:rPr>
        <w:lastRenderedPageBreak/>
        <w:t xml:space="preserve">Funkčný rozvoj systému bude pokračovať (v roku 2018 boli zavedené napr. opakovaný e-recept, zmena spôsobu autorizácie pacienta, zmena domény </w:t>
      </w:r>
      <w:proofErr w:type="spellStart"/>
      <w:r w:rsidR="006F6BFF">
        <w:rPr>
          <w:rFonts w:ascii="Arial Narrow" w:hAnsi="Arial Narrow"/>
          <w:i/>
        </w:rPr>
        <w:t>eV</w:t>
      </w:r>
      <w:r w:rsidRPr="006F6BFF">
        <w:rPr>
          <w:rFonts w:ascii="Arial Narrow" w:hAnsi="Arial Narrow"/>
          <w:i/>
        </w:rPr>
        <w:t>yšetrenia</w:t>
      </w:r>
      <w:proofErr w:type="spellEnd"/>
      <w:r w:rsidRPr="004C54B9">
        <w:rPr>
          <w:rFonts w:ascii="Arial Narrow" w:hAnsi="Arial Narrow"/>
        </w:rPr>
        <w:t xml:space="preserve"> a</w:t>
      </w:r>
      <w:r w:rsidR="006F6BFF">
        <w:rPr>
          <w:rFonts w:ascii="Arial Narrow" w:hAnsi="Arial Narrow"/>
        </w:rPr>
        <w:t> </w:t>
      </w:r>
      <w:proofErr w:type="spellStart"/>
      <w:r w:rsidR="006F6BFF" w:rsidRPr="006F6BFF">
        <w:rPr>
          <w:rFonts w:ascii="Arial Narrow" w:hAnsi="Arial Narrow"/>
          <w:i/>
        </w:rPr>
        <w:t>eLaboratóriá</w:t>
      </w:r>
      <w:proofErr w:type="spellEnd"/>
      <w:r w:rsidRPr="004C54B9">
        <w:rPr>
          <w:rFonts w:ascii="Arial Narrow" w:hAnsi="Arial Narrow"/>
        </w:rPr>
        <w:t>).</w:t>
      </w:r>
    </w:p>
    <w:p w14:paraId="5B4D6E0A" w14:textId="5D404A03" w:rsidR="00F856B9" w:rsidRPr="004C54B9" w:rsidRDefault="00F856B9" w:rsidP="00F856B9">
      <w:pPr>
        <w:pStyle w:val="Odsekzoznamu"/>
        <w:numPr>
          <w:ilvl w:val="0"/>
          <w:numId w:val="11"/>
        </w:numPr>
        <w:spacing w:after="120" w:line="240" w:lineRule="auto"/>
        <w:contextualSpacing w:val="0"/>
        <w:jc w:val="both"/>
        <w:rPr>
          <w:rFonts w:ascii="Arial Narrow" w:hAnsi="Arial Narrow"/>
        </w:rPr>
      </w:pPr>
      <w:r w:rsidRPr="004C54B9">
        <w:rPr>
          <w:rFonts w:ascii="Arial Narrow" w:hAnsi="Arial Narrow"/>
        </w:rPr>
        <w:t xml:space="preserve">V roku 2017 bol spustený </w:t>
      </w:r>
      <w:r w:rsidRPr="004C54B9">
        <w:rPr>
          <w:rFonts w:ascii="Arial Narrow" w:hAnsi="Arial Narrow"/>
          <w:b/>
        </w:rPr>
        <w:t>úhradový mechanizmus za výkony nemocníc naviazaný na diagnostickú skupinu (DRG)</w:t>
      </w:r>
      <w:r w:rsidRPr="004C54B9">
        <w:rPr>
          <w:rFonts w:ascii="Arial Narrow" w:hAnsi="Arial Narrow"/>
        </w:rPr>
        <w:t>. Je používaný pre  vykazovanie výkonov, ale platby nemocniciam podľa neho zatiaľ nastavené nie sú. Ekonomické údaje v roku 2018 zaslalo 36 subjektov z celkového</w:t>
      </w:r>
      <w:r w:rsidR="005470FC">
        <w:rPr>
          <w:rFonts w:ascii="Arial Narrow" w:hAnsi="Arial Narrow"/>
        </w:rPr>
        <w:t xml:space="preserve"> počtu 86 zapojených do systému</w:t>
      </w:r>
      <w:r>
        <w:rPr>
          <w:rStyle w:val="Odkaznapoznmkupodiarou"/>
          <w:rFonts w:ascii="Arial Narrow" w:hAnsi="Arial Narrow"/>
        </w:rPr>
        <w:footnoteReference w:id="20"/>
      </w:r>
      <w:r w:rsidR="005470FC">
        <w:rPr>
          <w:rFonts w:ascii="Arial Narrow" w:hAnsi="Arial Narrow"/>
        </w:rPr>
        <w:t>.</w:t>
      </w:r>
      <w:r w:rsidRPr="004C54B9">
        <w:rPr>
          <w:rFonts w:ascii="Arial Narrow" w:hAnsi="Arial Narrow"/>
        </w:rPr>
        <w:t xml:space="preserve"> Od roku 2018 začal päťročný proces približovania individuálnych sadzieb jednotlivých nemocníc s plánovaným zjednotením do celoslovenskej referenčnej základnej sadzby v roku 2022. Proces postupuje podľa schváleného harmonogramu. V roku 2018 boli prvýkrát do systému doplnené ceny pripočítateľných položiek  k výkonom (napr. špeciálny zdravotnícky mater</w:t>
      </w:r>
      <w:r w:rsidR="005470FC">
        <w:rPr>
          <w:rFonts w:ascii="Arial Narrow" w:hAnsi="Arial Narrow"/>
        </w:rPr>
        <w:t xml:space="preserve">iál použitý pri operácii). </w:t>
      </w:r>
      <w:r w:rsidR="004A3D89">
        <w:rPr>
          <w:rFonts w:ascii="Arial Narrow" w:hAnsi="Arial Narrow"/>
        </w:rPr>
        <w:t xml:space="preserve">Funkcionalita </w:t>
      </w:r>
      <w:r w:rsidR="005470FC">
        <w:rPr>
          <w:rFonts w:ascii="Arial Narrow" w:hAnsi="Arial Narrow"/>
        </w:rPr>
        <w:t>DRG s</w:t>
      </w:r>
      <w:r w:rsidRPr="004C54B9">
        <w:rPr>
          <w:rFonts w:ascii="Arial Narrow" w:hAnsi="Arial Narrow"/>
        </w:rPr>
        <w:t>ystém</w:t>
      </w:r>
      <w:r w:rsidR="004A3D89">
        <w:rPr>
          <w:rFonts w:ascii="Arial Narrow" w:hAnsi="Arial Narrow"/>
        </w:rPr>
        <w:t>u</w:t>
      </w:r>
      <w:r w:rsidRPr="004C54B9">
        <w:rPr>
          <w:rFonts w:ascii="Arial Narrow" w:hAnsi="Arial Narrow"/>
        </w:rPr>
        <w:t xml:space="preserve"> je teda pre rok 2019 pripraven</w:t>
      </w:r>
      <w:r w:rsidR="004A3D89">
        <w:rPr>
          <w:rFonts w:ascii="Arial Narrow" w:hAnsi="Arial Narrow"/>
        </w:rPr>
        <w:t>á</w:t>
      </w:r>
      <w:r w:rsidRPr="004C54B9">
        <w:rPr>
          <w:rFonts w:ascii="Arial Narrow" w:hAnsi="Arial Narrow"/>
        </w:rPr>
        <w:t xml:space="preserve">. </w:t>
      </w:r>
    </w:p>
    <w:p w14:paraId="12E7196D" w14:textId="068A3DA8" w:rsidR="00642B43" w:rsidRDefault="00F856B9" w:rsidP="00F856B9">
      <w:pPr>
        <w:pStyle w:val="Odsekzoznamu"/>
        <w:numPr>
          <w:ilvl w:val="0"/>
          <w:numId w:val="11"/>
        </w:numPr>
        <w:spacing w:after="160" w:line="240" w:lineRule="auto"/>
        <w:ind w:left="357" w:hanging="357"/>
        <w:contextualSpacing w:val="0"/>
        <w:jc w:val="both"/>
        <w:rPr>
          <w:rFonts w:ascii="Arial Narrow" w:hAnsi="Arial Narrow"/>
        </w:rPr>
      </w:pPr>
      <w:r w:rsidRPr="004C54B9">
        <w:rPr>
          <w:rFonts w:ascii="Arial Narrow" w:hAnsi="Arial Narrow"/>
          <w:b/>
        </w:rPr>
        <w:t>Reforma ústavnej zdravotnej starostlivosti (stratifikácia siete nemocníc), spustená v roku 2018, výrazne zvýši kvalitu a zefektívni fungovanie nemocníc</w:t>
      </w:r>
      <w:r w:rsidRPr="004C54B9">
        <w:rPr>
          <w:rFonts w:ascii="Arial Narrow" w:hAnsi="Arial Narrow"/>
        </w:rPr>
        <w:t xml:space="preserve">. S počtom výkonov v rámci zariadenia rastie ich kvalita, preto po novom dostanú nemocnice povolenie poskytovať </w:t>
      </w:r>
      <w:r w:rsidR="0074160A">
        <w:rPr>
          <w:rFonts w:ascii="Arial Narrow" w:hAnsi="Arial Narrow"/>
        </w:rPr>
        <w:t>plánované výkony v danej špecializácii</w:t>
      </w:r>
      <w:r w:rsidRPr="004C54B9">
        <w:rPr>
          <w:rFonts w:ascii="Arial Narrow" w:hAnsi="Arial Narrow"/>
        </w:rPr>
        <w:t xml:space="preserve"> iba ak dosiahnu predpísaný minimálny počet výkonov. </w:t>
      </w:r>
    </w:p>
    <w:p w14:paraId="44835ADC" w14:textId="60A0E594" w:rsidR="00F856B9" w:rsidRPr="004C54B9" w:rsidRDefault="00642B43" w:rsidP="00F856B9">
      <w:pPr>
        <w:pStyle w:val="Odsekzoznamu"/>
        <w:numPr>
          <w:ilvl w:val="0"/>
          <w:numId w:val="11"/>
        </w:numPr>
        <w:spacing w:after="160" w:line="240" w:lineRule="auto"/>
        <w:ind w:left="357" w:hanging="357"/>
        <w:contextualSpacing w:val="0"/>
        <w:jc w:val="both"/>
        <w:rPr>
          <w:rFonts w:ascii="Arial Narrow" w:hAnsi="Arial Narrow"/>
        </w:rPr>
      </w:pPr>
      <w:r w:rsidRPr="00642B43">
        <w:rPr>
          <w:rFonts w:ascii="Arial Narrow" w:hAnsi="Arial Narrow"/>
          <w:b/>
        </w:rPr>
        <w:t>Prebiehajú rekonštrukcie budov a obnova technického vybavenia nemocníc.</w:t>
      </w:r>
      <w:r w:rsidRPr="00642B43">
        <w:rPr>
          <w:rFonts w:ascii="Arial Narrow" w:hAnsi="Arial Narrow"/>
        </w:rPr>
        <w:t xml:space="preserve"> V roku 2018 boli </w:t>
      </w:r>
      <w:r>
        <w:rPr>
          <w:rFonts w:ascii="Arial Narrow" w:hAnsi="Arial Narrow"/>
        </w:rPr>
        <w:t xml:space="preserve">zo štátneho rozpočtu </w:t>
      </w:r>
      <w:r w:rsidRPr="00642B43">
        <w:rPr>
          <w:rFonts w:ascii="Arial Narrow" w:hAnsi="Arial Narrow"/>
        </w:rPr>
        <w:t>nad rámec zdravotného poistenia financované rekonštrukcie budov nemocníc, urgentných príjmov a  nákupy modernej prístrojovej techniky a ďalšieho vybavenia nemocníc, v celkovej hodnote 62 mil. eur</w:t>
      </w:r>
      <w:r>
        <w:rPr>
          <w:rStyle w:val="Odkaznapoznmkupodiarou"/>
          <w:rFonts w:ascii="Arial Narrow" w:hAnsi="Arial Narrow"/>
        </w:rPr>
        <w:footnoteReference w:id="21"/>
      </w:r>
      <w:r w:rsidR="005470FC">
        <w:rPr>
          <w:rFonts w:ascii="Arial Narrow" w:hAnsi="Arial Narrow"/>
        </w:rPr>
        <w:t>.</w:t>
      </w:r>
    </w:p>
    <w:p w14:paraId="7E4192F8" w14:textId="361D99AF" w:rsidR="00F856B9" w:rsidRPr="004C54B9" w:rsidRDefault="00F856B9" w:rsidP="00F856B9">
      <w:pPr>
        <w:pStyle w:val="Odsekzoznamu"/>
        <w:numPr>
          <w:ilvl w:val="0"/>
          <w:numId w:val="11"/>
        </w:numPr>
        <w:spacing w:line="240" w:lineRule="auto"/>
        <w:jc w:val="both"/>
        <w:rPr>
          <w:rFonts w:ascii="Arial Narrow" w:hAnsi="Arial Narrow"/>
        </w:rPr>
      </w:pPr>
      <w:r w:rsidRPr="004C54B9">
        <w:rPr>
          <w:rFonts w:ascii="Arial Narrow" w:hAnsi="Arial Narrow"/>
          <w:b/>
        </w:rPr>
        <w:t>Platy zdravotných sestier boli od januára 2019 zvýšené o</w:t>
      </w:r>
      <w:r w:rsidR="00317A99">
        <w:rPr>
          <w:rFonts w:ascii="Arial Narrow" w:hAnsi="Arial Narrow"/>
          <w:b/>
        </w:rPr>
        <w:t> </w:t>
      </w:r>
      <w:r w:rsidRPr="004C54B9">
        <w:rPr>
          <w:rFonts w:ascii="Arial Narrow" w:hAnsi="Arial Narrow"/>
          <w:b/>
        </w:rPr>
        <w:t>10</w:t>
      </w:r>
      <w:r w:rsidR="00317A99">
        <w:rPr>
          <w:rFonts w:ascii="Arial Narrow" w:hAnsi="Arial Narrow"/>
          <w:b/>
        </w:rPr>
        <w:t xml:space="preserve"> </w:t>
      </w:r>
      <w:r w:rsidR="005470FC">
        <w:rPr>
          <w:rFonts w:ascii="Arial Narrow" w:hAnsi="Arial Narrow"/>
          <w:b/>
        </w:rPr>
        <w:t>% nad rámec platového automatu</w:t>
      </w:r>
      <w:r w:rsidRPr="005470FC">
        <w:rPr>
          <w:rStyle w:val="Odkaznapoznmkupodiarou"/>
          <w:rFonts w:ascii="Arial Narrow" w:hAnsi="Arial Narrow"/>
        </w:rPr>
        <w:footnoteReference w:id="22"/>
      </w:r>
      <w:r w:rsidR="005470FC" w:rsidRPr="00E1213D">
        <w:rPr>
          <w:rFonts w:ascii="Arial Narrow" w:hAnsi="Arial Narrow"/>
        </w:rPr>
        <w:t>.</w:t>
      </w:r>
      <w:r w:rsidRPr="004C54B9">
        <w:rPr>
          <w:rFonts w:ascii="Arial Narrow" w:hAnsi="Arial Narrow"/>
        </w:rPr>
        <w:t xml:space="preserve"> Zdravotné sestry tak budú zarábať 1,07 násobok priemerného platu, čím sa dostávajú takmer na priemer EÚ 28 (1,1 násobok). S 5,75</w:t>
      </w:r>
      <w:r w:rsidRPr="004C54B9">
        <w:rPr>
          <w:rStyle w:val="Odkaznapoznmkupodiarou"/>
          <w:rFonts w:ascii="Arial Narrow" w:hAnsi="Arial Narrow"/>
        </w:rPr>
        <w:footnoteReference w:id="23"/>
      </w:r>
      <w:r w:rsidRPr="004C54B9">
        <w:rPr>
          <w:rFonts w:ascii="Arial Narrow" w:hAnsi="Arial Narrow"/>
        </w:rPr>
        <w:t xml:space="preserve"> sestrami na 1000 obyvateľov Slovensko zaostáva za OECD krajinami. Zvýšenie platov pomáha riešiť nedostatok aj nepriaznivú vekovú štruktúru zdravotných sestier.</w:t>
      </w:r>
    </w:p>
    <w:p w14:paraId="64DEEFDB" w14:textId="6C2D13B7" w:rsidR="00154031" w:rsidRPr="004C54B9" w:rsidRDefault="00591D19" w:rsidP="00950182">
      <w:pPr>
        <w:spacing w:after="0" w:line="240" w:lineRule="auto"/>
        <w:rPr>
          <w:rFonts w:ascii="Arial Narrow" w:hAnsi="Arial Narrow"/>
        </w:rPr>
      </w:pPr>
      <w:r w:rsidRPr="004C54B9">
        <w:rPr>
          <w:rFonts w:ascii="Arial Narrow" w:hAnsi="Arial Narrow"/>
        </w:rPr>
        <w:br w:type="page"/>
      </w:r>
    </w:p>
    <w:p w14:paraId="57A49F71" w14:textId="77777777" w:rsidR="00682C07" w:rsidRPr="004C54B9" w:rsidRDefault="00894482" w:rsidP="004C54B9">
      <w:pPr>
        <w:pStyle w:val="Odsekzoznamu"/>
        <w:numPr>
          <w:ilvl w:val="0"/>
          <w:numId w:val="3"/>
        </w:numPr>
        <w:spacing w:after="0" w:line="240" w:lineRule="auto"/>
        <w:ind w:left="357" w:hanging="357"/>
        <w:jc w:val="both"/>
        <w:rPr>
          <w:rFonts w:ascii="Arial Narrow" w:hAnsi="Arial Narrow"/>
        </w:rPr>
      </w:pPr>
      <w:r w:rsidRPr="004C54B9">
        <w:rPr>
          <w:rFonts w:ascii="Arial Narrow" w:hAnsi="Arial Narrow"/>
          <w:b/>
        </w:rPr>
        <w:lastRenderedPageBreak/>
        <w:t xml:space="preserve">Dlhodobá nezamestnanosť a </w:t>
      </w:r>
      <w:r w:rsidR="00682C07" w:rsidRPr="004C54B9">
        <w:rPr>
          <w:rFonts w:ascii="Arial Narrow" w:hAnsi="Arial Narrow"/>
          <w:b/>
        </w:rPr>
        <w:t>zamestnanosť žien a</w:t>
      </w:r>
      <w:r w:rsidR="00A455A6" w:rsidRPr="004C54B9">
        <w:rPr>
          <w:rFonts w:ascii="Arial Narrow" w:hAnsi="Arial Narrow"/>
          <w:b/>
        </w:rPr>
        <w:t> </w:t>
      </w:r>
      <w:r w:rsidR="00682C07" w:rsidRPr="004C54B9">
        <w:rPr>
          <w:rFonts w:ascii="Arial Narrow" w:hAnsi="Arial Narrow"/>
          <w:b/>
        </w:rPr>
        <w:t>vzdelávanie</w:t>
      </w:r>
    </w:p>
    <w:p w14:paraId="618587B1" w14:textId="77777777" w:rsidR="00A455A6" w:rsidRPr="004C54B9" w:rsidRDefault="00A455A6" w:rsidP="004C54B9">
      <w:pPr>
        <w:pStyle w:val="Odsekzoznamu"/>
        <w:spacing w:after="0" w:line="240" w:lineRule="auto"/>
        <w:ind w:left="357"/>
        <w:jc w:val="both"/>
        <w:rPr>
          <w:rFonts w:ascii="Arial Narrow" w:hAnsi="Arial Narrow"/>
        </w:rPr>
      </w:pPr>
    </w:p>
    <w:p w14:paraId="5AB382BE" w14:textId="77777777" w:rsidR="00682C07" w:rsidRPr="004C54B9" w:rsidRDefault="00682C07" w:rsidP="004C54B9">
      <w:pPr>
        <w:spacing w:after="0" w:line="240" w:lineRule="auto"/>
        <w:jc w:val="both"/>
        <w:rPr>
          <w:rFonts w:ascii="Arial Narrow" w:hAnsi="Arial Narrow"/>
          <w:b/>
          <w:i/>
        </w:rPr>
      </w:pPr>
      <w:r w:rsidRPr="004C54B9">
        <w:rPr>
          <w:rFonts w:ascii="Arial Narrow" w:hAnsi="Arial Narrow"/>
          <w:b/>
          <w:i/>
          <w:lang w:eastAsia="en-US"/>
        </w:rPr>
        <w:t xml:space="preserve">Špecifické odporúčanie Rady: </w:t>
      </w:r>
      <w:r w:rsidR="003C79AC" w:rsidRPr="004C54B9">
        <w:rPr>
          <w:rFonts w:ascii="Arial Narrow" w:hAnsi="Arial Narrow"/>
          <w:b/>
          <w:i/>
        </w:rPr>
        <w:t xml:space="preserve">Posilniť aktivačné opatrenia a opatrenia na zvyšovanie kvalifikácie vrátane kvalitnej a cielenej odbornej prípravy a individualizovaných služieb pre znevýhodnené skupiny, a to najmä plnením akčného plánu pre dlhodobo nezamestnaných. Podporovať zamestnanosť žien, a to najmä rozšírením možností získať cenovo dostupnú a kvalitnú starostlivosť o deti. Zlepšiť kvalitu a </w:t>
      </w:r>
      <w:proofErr w:type="spellStart"/>
      <w:r w:rsidR="003C79AC" w:rsidRPr="004C54B9">
        <w:rPr>
          <w:rFonts w:ascii="Arial Narrow" w:hAnsi="Arial Narrow"/>
          <w:b/>
          <w:i/>
        </w:rPr>
        <w:t>inkluzívnosť</w:t>
      </w:r>
      <w:proofErr w:type="spellEnd"/>
      <w:r w:rsidR="003C79AC" w:rsidRPr="004C54B9">
        <w:rPr>
          <w:rFonts w:ascii="Arial Narrow" w:hAnsi="Arial Narrow"/>
          <w:b/>
          <w:i/>
        </w:rPr>
        <w:t xml:space="preserve"> vzdelávania, a to aj zvyšovaním účasti rómskych detí na hlavnom prúde vzdelávania už od raného detstva.</w:t>
      </w:r>
    </w:p>
    <w:p w14:paraId="33AB8D03" w14:textId="77777777" w:rsidR="008A1BFF" w:rsidRPr="004C54B9" w:rsidRDefault="008A1BFF" w:rsidP="004C54B9">
      <w:pPr>
        <w:spacing w:after="0" w:line="240" w:lineRule="auto"/>
        <w:jc w:val="both"/>
        <w:rPr>
          <w:rFonts w:ascii="Arial Narrow" w:hAnsi="Arial Narrow"/>
          <w:b/>
          <w:i/>
        </w:rPr>
      </w:pPr>
    </w:p>
    <w:p w14:paraId="574D8BB2" w14:textId="139CD831" w:rsidR="00566551" w:rsidRPr="004C54B9" w:rsidRDefault="00F871C0" w:rsidP="004C54B9">
      <w:pPr>
        <w:spacing w:after="0" w:line="240" w:lineRule="auto"/>
        <w:jc w:val="both"/>
        <w:rPr>
          <w:rFonts w:ascii="Arial Narrow" w:hAnsi="Arial Narrow" w:cs="Arial"/>
          <w:i/>
        </w:rPr>
      </w:pPr>
      <w:r>
        <w:rPr>
          <w:rFonts w:ascii="Arial Narrow" w:hAnsi="Arial Narrow" w:cs="Arial"/>
          <w:i/>
        </w:rPr>
        <w:t>Pokračuj</w:t>
      </w:r>
      <w:r w:rsidR="00083419">
        <w:rPr>
          <w:rFonts w:ascii="Arial Narrow" w:hAnsi="Arial Narrow" w:cs="Arial"/>
          <w:i/>
        </w:rPr>
        <w:t xml:space="preserve">ú projekty zvyšovania kvalifikácie nezamestnaných a </w:t>
      </w:r>
      <w:r>
        <w:rPr>
          <w:rFonts w:ascii="Arial Narrow" w:hAnsi="Arial Narrow" w:cs="Arial"/>
          <w:i/>
        </w:rPr>
        <w:t xml:space="preserve">implementácia akčného plánu </w:t>
      </w:r>
      <w:r w:rsidR="00083419">
        <w:rPr>
          <w:rFonts w:ascii="Arial Narrow" w:hAnsi="Arial Narrow" w:cs="Arial"/>
          <w:i/>
        </w:rPr>
        <w:t xml:space="preserve">na </w:t>
      </w:r>
      <w:r>
        <w:rPr>
          <w:rFonts w:ascii="Arial Narrow" w:hAnsi="Arial Narrow" w:cs="Arial"/>
          <w:i/>
        </w:rPr>
        <w:t>znižovanie dlhodobej nezamestnanosti</w:t>
      </w:r>
      <w:r w:rsidR="00083419">
        <w:rPr>
          <w:rFonts w:ascii="Arial Narrow" w:hAnsi="Arial Narrow" w:cs="Arial"/>
          <w:i/>
        </w:rPr>
        <w:t xml:space="preserve">, prostredníctvom ktorých boli podporené tisíce znevýhodnených uchádzačov o zamestnanie. </w:t>
      </w:r>
      <w:r w:rsidR="002B5824">
        <w:rPr>
          <w:rFonts w:ascii="Arial Narrow" w:hAnsi="Arial Narrow" w:cs="Arial"/>
          <w:i/>
        </w:rPr>
        <w:t xml:space="preserve">S cieľom </w:t>
      </w:r>
      <w:r w:rsidR="0017437B">
        <w:rPr>
          <w:rFonts w:ascii="Arial Narrow" w:hAnsi="Arial Narrow" w:cs="Arial"/>
          <w:i/>
        </w:rPr>
        <w:t>zlepšiť možnosti</w:t>
      </w:r>
      <w:r w:rsidR="002B5824">
        <w:rPr>
          <w:rFonts w:ascii="Arial Narrow" w:hAnsi="Arial Narrow" w:cs="Arial"/>
          <w:i/>
        </w:rPr>
        <w:t xml:space="preserve"> </w:t>
      </w:r>
      <w:r w:rsidR="002B5824" w:rsidRPr="002B5824">
        <w:rPr>
          <w:rFonts w:ascii="Arial Narrow" w:hAnsi="Arial Narrow" w:cs="Arial"/>
          <w:i/>
        </w:rPr>
        <w:t>zosúlaďovani</w:t>
      </w:r>
      <w:r w:rsidR="0017437B">
        <w:rPr>
          <w:rFonts w:ascii="Arial Narrow" w:hAnsi="Arial Narrow" w:cs="Arial"/>
          <w:i/>
        </w:rPr>
        <w:t>a</w:t>
      </w:r>
      <w:r w:rsidR="002B5824" w:rsidRPr="002B5824">
        <w:rPr>
          <w:rFonts w:ascii="Arial Narrow" w:hAnsi="Arial Narrow" w:cs="Arial"/>
          <w:i/>
        </w:rPr>
        <w:t xml:space="preserve"> rodinného a pracovného života </w:t>
      </w:r>
      <w:r w:rsidR="002B5824">
        <w:rPr>
          <w:rFonts w:ascii="Arial Narrow" w:hAnsi="Arial Narrow" w:cs="Arial"/>
          <w:i/>
        </w:rPr>
        <w:t>b</w:t>
      </w:r>
      <w:r>
        <w:rPr>
          <w:rFonts w:ascii="Arial Narrow" w:hAnsi="Arial Narrow" w:cs="Arial"/>
          <w:i/>
        </w:rPr>
        <w:t xml:space="preserve">oli pripravené podmienky na finančnú podporu zariadení starostlivosti </w:t>
      </w:r>
      <w:r w:rsidR="00E637E1">
        <w:rPr>
          <w:rFonts w:ascii="Arial Narrow" w:hAnsi="Arial Narrow" w:cs="Arial"/>
          <w:i/>
        </w:rPr>
        <w:t xml:space="preserve">o </w:t>
      </w:r>
      <w:r>
        <w:rPr>
          <w:rFonts w:ascii="Arial Narrow" w:hAnsi="Arial Narrow" w:cs="Arial"/>
          <w:i/>
        </w:rPr>
        <w:t>det</w:t>
      </w:r>
      <w:r w:rsidR="00E637E1">
        <w:rPr>
          <w:rFonts w:ascii="Arial Narrow" w:hAnsi="Arial Narrow" w:cs="Arial"/>
          <w:i/>
        </w:rPr>
        <w:t>i</w:t>
      </w:r>
      <w:r>
        <w:rPr>
          <w:rFonts w:ascii="Arial Narrow" w:hAnsi="Arial Narrow" w:cs="Arial"/>
          <w:i/>
        </w:rPr>
        <w:t xml:space="preserve"> do troch rokov</w:t>
      </w:r>
      <w:r w:rsidR="00911E42">
        <w:rPr>
          <w:rFonts w:ascii="Arial Narrow" w:hAnsi="Arial Narrow" w:cs="Arial"/>
          <w:i/>
        </w:rPr>
        <w:t xml:space="preserve">, </w:t>
      </w:r>
      <w:r w:rsidR="00911E42" w:rsidRPr="006D649C">
        <w:rPr>
          <w:rFonts w:ascii="Arial Narrow" w:hAnsi="Arial Narrow" w:cs="Arial"/>
          <w:i/>
        </w:rPr>
        <w:t>ako aj flexibilných foriem starostlivosti o deti a flexibilných foriem práce pre matky detí v predškolskom veku</w:t>
      </w:r>
      <w:r w:rsidR="00911E42">
        <w:rPr>
          <w:rFonts w:ascii="Arial Narrow" w:hAnsi="Arial Narrow" w:cs="Arial"/>
          <w:i/>
        </w:rPr>
        <w:t xml:space="preserve">. </w:t>
      </w:r>
      <w:r>
        <w:rPr>
          <w:rFonts w:ascii="Arial Narrow" w:hAnsi="Arial Narrow" w:cs="Arial"/>
          <w:i/>
        </w:rPr>
        <w:t xml:space="preserve">Implementovali sa projekty na zlepšenie sociálnej integrácie rómskej populácie. </w:t>
      </w:r>
      <w:r w:rsidR="00B802FA" w:rsidRPr="00B802FA">
        <w:rPr>
          <w:rFonts w:ascii="Arial Narrow" w:hAnsi="Arial Narrow" w:cs="Arial"/>
          <w:i/>
        </w:rPr>
        <w:t xml:space="preserve">Novoprijatá dlhodobá stratégia Národný program pre rozvoj výchovy a vzdelávania (NPRVV) obsahuje opatrenia, ktoré sú predmetom aj Národného programu reforiem. Medzi kľúčové opatrenia </w:t>
      </w:r>
      <w:r w:rsidR="00B802FA" w:rsidRPr="00BD46F1">
        <w:rPr>
          <w:rFonts w:ascii="Arial Narrow" w:hAnsi="Arial Narrow" w:cs="Arial"/>
          <w:i/>
        </w:rPr>
        <w:t xml:space="preserve">v prvom akčnom pláne patrí zvyšovanie tarifných platov učiteľov s cieľom zatraktívnenia tejto profesie. </w:t>
      </w:r>
      <w:r w:rsidR="00884748">
        <w:rPr>
          <w:rFonts w:ascii="Arial Narrow" w:hAnsi="Arial Narrow" w:cs="Arial"/>
          <w:i/>
        </w:rPr>
        <w:t>Návrh zákona o pedagogických a odborných zamestnancoch, ktorý podporuje</w:t>
      </w:r>
      <w:r w:rsidR="00B802FA" w:rsidRPr="0062680A">
        <w:rPr>
          <w:rFonts w:ascii="Arial Narrow" w:hAnsi="Arial Narrow" w:cs="Arial"/>
          <w:i/>
        </w:rPr>
        <w:t xml:space="preserve"> profesijn</w:t>
      </w:r>
      <w:r w:rsidR="00884748">
        <w:rPr>
          <w:rFonts w:ascii="Arial Narrow" w:hAnsi="Arial Narrow" w:cs="Arial"/>
          <w:i/>
        </w:rPr>
        <w:t>ý</w:t>
      </w:r>
      <w:r w:rsidR="00B802FA" w:rsidRPr="0062680A">
        <w:rPr>
          <w:rFonts w:ascii="Arial Narrow" w:hAnsi="Arial Narrow" w:cs="Arial"/>
          <w:i/>
        </w:rPr>
        <w:t xml:space="preserve"> rozvo</w:t>
      </w:r>
      <w:r w:rsidR="007D34CA">
        <w:rPr>
          <w:rFonts w:ascii="Arial Narrow" w:hAnsi="Arial Narrow" w:cs="Arial"/>
          <w:i/>
        </w:rPr>
        <w:t>j</w:t>
      </w:r>
      <w:r w:rsidR="00B802FA" w:rsidRPr="0062680A">
        <w:rPr>
          <w:rFonts w:ascii="Arial Narrow" w:hAnsi="Arial Narrow" w:cs="Arial"/>
          <w:i/>
        </w:rPr>
        <w:t xml:space="preserve"> učiteľov</w:t>
      </w:r>
      <w:r w:rsidR="00E92D30">
        <w:rPr>
          <w:rFonts w:ascii="Arial Narrow" w:hAnsi="Arial Narrow" w:cs="Arial"/>
          <w:i/>
        </w:rPr>
        <w:t xml:space="preserve"> je v legislatívnom procese</w:t>
      </w:r>
      <w:r w:rsidR="006F6BFF" w:rsidRPr="0062680A">
        <w:rPr>
          <w:rFonts w:ascii="Arial Narrow" w:hAnsi="Arial Narrow" w:cs="Arial"/>
          <w:i/>
        </w:rPr>
        <w:t>.</w:t>
      </w:r>
      <w:r w:rsidR="00B802FA" w:rsidRPr="0062680A">
        <w:rPr>
          <w:rFonts w:ascii="Arial Narrow" w:hAnsi="Arial Narrow" w:cs="Arial"/>
          <w:i/>
        </w:rPr>
        <w:t xml:space="preserve"> </w:t>
      </w:r>
      <w:r w:rsidR="00B802FA" w:rsidRPr="00BD46F1">
        <w:rPr>
          <w:rFonts w:ascii="Arial Narrow" w:hAnsi="Arial Narrow" w:cs="Arial"/>
          <w:i/>
        </w:rPr>
        <w:t xml:space="preserve">V oblasti vysokého školstva sa ukončil </w:t>
      </w:r>
      <w:r w:rsidR="0053061C">
        <w:rPr>
          <w:rFonts w:ascii="Arial Narrow" w:hAnsi="Arial Narrow" w:cs="Arial"/>
          <w:i/>
        </w:rPr>
        <w:t xml:space="preserve">legislatívny </w:t>
      </w:r>
      <w:r w:rsidR="00B802FA" w:rsidRPr="00BD46F1">
        <w:rPr>
          <w:rFonts w:ascii="Arial Narrow" w:hAnsi="Arial Narrow" w:cs="Arial"/>
          <w:i/>
        </w:rPr>
        <w:t>proces reformy</w:t>
      </w:r>
      <w:r w:rsidR="00B802FA" w:rsidRPr="00B802FA">
        <w:rPr>
          <w:rFonts w:ascii="Arial Narrow" w:hAnsi="Arial Narrow" w:cs="Arial"/>
          <w:i/>
        </w:rPr>
        <w:t xml:space="preserve"> akreditačného procesu, od ktorého sa očakáva zvýšená kvalita vysokoškolského vzdelávania. Pokračuje sa v</w:t>
      </w:r>
      <w:r w:rsidR="0053061C">
        <w:rPr>
          <w:rFonts w:ascii="Arial Narrow" w:hAnsi="Arial Narrow" w:cs="Arial"/>
          <w:i/>
        </w:rPr>
        <w:t xml:space="preserve"> projektoch</w:t>
      </w:r>
      <w:r w:rsidR="00B802FA" w:rsidRPr="00B802FA">
        <w:rPr>
          <w:rFonts w:ascii="Arial Narrow" w:hAnsi="Arial Narrow" w:cs="Arial"/>
          <w:i/>
        </w:rPr>
        <w:t xml:space="preserve"> podporujúcich </w:t>
      </w:r>
      <w:proofErr w:type="spellStart"/>
      <w:r w:rsidR="00B802FA" w:rsidRPr="00B802FA">
        <w:rPr>
          <w:rFonts w:ascii="Arial Narrow" w:hAnsi="Arial Narrow" w:cs="Arial"/>
          <w:i/>
        </w:rPr>
        <w:t>inkluzívne</w:t>
      </w:r>
      <w:proofErr w:type="spellEnd"/>
      <w:r w:rsidR="00B802FA" w:rsidRPr="00B802FA">
        <w:rPr>
          <w:rFonts w:ascii="Arial Narrow" w:hAnsi="Arial Narrow" w:cs="Arial"/>
          <w:i/>
        </w:rPr>
        <w:t xml:space="preserve"> vzdelávanie na základných školách.</w:t>
      </w:r>
    </w:p>
    <w:p w14:paraId="54F5232C" w14:textId="77777777" w:rsidR="00230B5D" w:rsidRPr="004C54B9" w:rsidRDefault="00230B5D" w:rsidP="004C54B9">
      <w:pPr>
        <w:spacing w:after="0" w:line="240" w:lineRule="auto"/>
        <w:jc w:val="both"/>
        <w:rPr>
          <w:rFonts w:ascii="Arial Narrow" w:hAnsi="Arial Narrow" w:cs="Arial"/>
          <w:i/>
        </w:rPr>
      </w:pPr>
    </w:p>
    <w:p w14:paraId="5B534452" w14:textId="77777777" w:rsidR="002B2192" w:rsidRPr="004C54B9" w:rsidRDefault="002B2192" w:rsidP="004C54B9">
      <w:pPr>
        <w:spacing w:after="0" w:line="240" w:lineRule="auto"/>
        <w:jc w:val="both"/>
        <w:rPr>
          <w:rFonts w:ascii="Arial Narrow" w:hAnsi="Arial Narrow" w:cs="Arial"/>
          <w:b/>
          <w:i/>
        </w:rPr>
      </w:pPr>
      <w:r w:rsidRPr="004C54B9">
        <w:rPr>
          <w:rFonts w:ascii="Arial Narrow" w:hAnsi="Arial Narrow" w:cs="Arial"/>
          <w:b/>
          <w:i/>
        </w:rPr>
        <w:t>Podpora znevýhodnených skupín na trhu práce</w:t>
      </w:r>
    </w:p>
    <w:p w14:paraId="2470E8DD" w14:textId="77777777" w:rsidR="00230B5D" w:rsidRPr="004C54B9" w:rsidRDefault="001E12FC" w:rsidP="004C54B9">
      <w:pPr>
        <w:spacing w:after="0" w:line="240" w:lineRule="auto"/>
        <w:jc w:val="both"/>
        <w:rPr>
          <w:rFonts w:ascii="Arial Narrow" w:hAnsi="Arial Narrow" w:cs="Arial"/>
        </w:rPr>
      </w:pPr>
      <w:r w:rsidRPr="004C54B9">
        <w:rPr>
          <w:rFonts w:ascii="Arial Narrow" w:hAnsi="Arial Narrow" w:cs="Arial"/>
          <w:b/>
        </w:rPr>
        <w:t xml:space="preserve">Prebieha implementácia </w:t>
      </w:r>
      <w:r w:rsidR="00230B5D" w:rsidRPr="004C54B9">
        <w:rPr>
          <w:rFonts w:ascii="Arial Narrow" w:hAnsi="Arial Narrow" w:cs="Arial"/>
          <w:b/>
        </w:rPr>
        <w:t>schváleného akčného plánu</w:t>
      </w:r>
      <w:r w:rsidR="00230B5D" w:rsidRPr="00F74F67">
        <w:rPr>
          <w:rStyle w:val="Odkaznapoznmkupodiarou"/>
          <w:rFonts w:ascii="Arial Narrow" w:hAnsi="Arial Narrow" w:cs="Arial"/>
        </w:rPr>
        <w:footnoteReference w:id="24"/>
      </w:r>
      <w:r w:rsidRPr="004C54B9">
        <w:rPr>
          <w:rFonts w:ascii="Arial Narrow" w:hAnsi="Arial Narrow" w:cs="Arial"/>
          <w:b/>
        </w:rPr>
        <w:t xml:space="preserve"> na podporu integrácie dlhodobo nezamestnaných uchádzačov o zamestnanie</w:t>
      </w:r>
      <w:r w:rsidRPr="004C54B9">
        <w:rPr>
          <w:rFonts w:ascii="Arial Narrow" w:hAnsi="Arial Narrow" w:cs="Arial"/>
        </w:rPr>
        <w:t xml:space="preserve"> (</w:t>
      </w:r>
      <w:proofErr w:type="spellStart"/>
      <w:r w:rsidRPr="004C54B9">
        <w:rPr>
          <w:rFonts w:ascii="Arial Narrow" w:hAnsi="Arial Narrow" w:cs="Arial"/>
        </w:rPr>
        <w:t>UoZ</w:t>
      </w:r>
      <w:proofErr w:type="spellEnd"/>
      <w:r w:rsidRPr="004C54B9">
        <w:rPr>
          <w:rFonts w:ascii="Arial Narrow" w:hAnsi="Arial Narrow" w:cs="Arial"/>
        </w:rPr>
        <w:t>)</w:t>
      </w:r>
      <w:r w:rsidR="00406517" w:rsidRPr="004C54B9">
        <w:rPr>
          <w:rFonts w:ascii="Arial Narrow" w:hAnsi="Arial Narrow" w:cs="Arial"/>
        </w:rPr>
        <w:t>:</w:t>
      </w:r>
    </w:p>
    <w:p w14:paraId="1AA22F6B" w14:textId="77777777" w:rsidR="00406517" w:rsidRPr="004C54B9" w:rsidRDefault="005F458E" w:rsidP="004C54B9">
      <w:pPr>
        <w:pStyle w:val="Odsekzoznamu"/>
        <w:numPr>
          <w:ilvl w:val="0"/>
          <w:numId w:val="38"/>
        </w:numPr>
        <w:spacing w:after="0" w:line="240" w:lineRule="auto"/>
        <w:jc w:val="both"/>
        <w:rPr>
          <w:rFonts w:ascii="Arial Narrow" w:hAnsi="Arial Narrow" w:cs="Arial"/>
        </w:rPr>
      </w:pPr>
      <w:r w:rsidRPr="004C54B9">
        <w:rPr>
          <w:rFonts w:ascii="Arial Narrow" w:hAnsi="Arial Narrow" w:cs="Arial"/>
        </w:rPr>
        <w:t xml:space="preserve">Do októbra </w:t>
      </w:r>
      <w:r w:rsidR="009C3A18" w:rsidRPr="004C54B9">
        <w:rPr>
          <w:rFonts w:ascii="Arial Narrow" w:hAnsi="Arial Narrow" w:cs="Arial"/>
        </w:rPr>
        <w:t>2018</w:t>
      </w:r>
      <w:r w:rsidRPr="004C54B9">
        <w:rPr>
          <w:rFonts w:ascii="Arial Narrow" w:hAnsi="Arial Narrow" w:cs="Arial"/>
        </w:rPr>
        <w:t xml:space="preserve"> pokračovala </w:t>
      </w:r>
      <w:r w:rsidR="00807BA7" w:rsidRPr="004C54B9">
        <w:rPr>
          <w:rFonts w:ascii="Arial Narrow" w:hAnsi="Arial Narrow" w:cs="Arial"/>
        </w:rPr>
        <w:t xml:space="preserve">podpora </w:t>
      </w:r>
      <w:r w:rsidR="009C3A18" w:rsidRPr="004C54B9">
        <w:rPr>
          <w:rFonts w:ascii="Arial Narrow" w:hAnsi="Arial Narrow" w:cs="Arial"/>
        </w:rPr>
        <w:t>v</w:t>
      </w:r>
      <w:r w:rsidRPr="004C54B9">
        <w:rPr>
          <w:rFonts w:ascii="Arial Narrow" w:hAnsi="Arial Narrow" w:cs="Arial"/>
        </w:rPr>
        <w:t xml:space="preserve"> </w:t>
      </w:r>
      <w:r w:rsidR="00406517" w:rsidRPr="004C54B9">
        <w:rPr>
          <w:rFonts w:ascii="Arial Narrow" w:hAnsi="Arial Narrow" w:cs="Arial"/>
        </w:rPr>
        <w:t>rámci projektu</w:t>
      </w:r>
      <w:r w:rsidRPr="004C54B9">
        <w:rPr>
          <w:rFonts w:ascii="Arial Narrow" w:hAnsi="Arial Narrow" w:cs="Arial"/>
        </w:rPr>
        <w:t xml:space="preserve"> </w:t>
      </w:r>
      <w:r w:rsidR="00406517" w:rsidRPr="004C54B9">
        <w:rPr>
          <w:rFonts w:ascii="Arial Narrow" w:hAnsi="Arial Narrow" w:cs="Arial"/>
          <w:i/>
        </w:rPr>
        <w:t>Cesta z</w:t>
      </w:r>
      <w:r w:rsidRPr="004C54B9">
        <w:rPr>
          <w:rFonts w:ascii="Arial Narrow" w:hAnsi="Arial Narrow" w:cs="Arial"/>
          <w:i/>
        </w:rPr>
        <w:t xml:space="preserve"> </w:t>
      </w:r>
      <w:r w:rsidR="00406517" w:rsidRPr="004C54B9">
        <w:rPr>
          <w:rFonts w:ascii="Arial Narrow" w:hAnsi="Arial Narrow" w:cs="Arial"/>
          <w:i/>
        </w:rPr>
        <w:t>kruhu nezames</w:t>
      </w:r>
      <w:r w:rsidRPr="004C54B9">
        <w:rPr>
          <w:rFonts w:ascii="Arial Narrow" w:hAnsi="Arial Narrow" w:cs="Arial"/>
          <w:i/>
        </w:rPr>
        <w:t xml:space="preserve">tnanosti </w:t>
      </w:r>
      <w:r w:rsidRPr="004C54B9">
        <w:rPr>
          <w:rFonts w:ascii="Arial Narrow" w:hAnsi="Arial Narrow" w:cs="Arial"/>
        </w:rPr>
        <w:t xml:space="preserve">formou finančných príspevkov </w:t>
      </w:r>
      <w:r w:rsidR="00205AB2" w:rsidRPr="004C54B9">
        <w:rPr>
          <w:rFonts w:ascii="Arial Narrow" w:hAnsi="Arial Narrow" w:cs="Arial"/>
        </w:rPr>
        <w:t xml:space="preserve">zamestnávateľom </w:t>
      </w:r>
      <w:r w:rsidRPr="004C54B9">
        <w:rPr>
          <w:rFonts w:ascii="Arial Narrow" w:hAnsi="Arial Narrow" w:cs="Arial"/>
        </w:rPr>
        <w:t xml:space="preserve">na vytvorené pracovné miesta a na pracovného tútora. </w:t>
      </w:r>
      <w:r w:rsidR="00745D10" w:rsidRPr="004C54B9">
        <w:rPr>
          <w:rFonts w:ascii="Arial Narrow" w:hAnsi="Arial Narrow" w:cs="Arial"/>
        </w:rPr>
        <w:t xml:space="preserve">Vytvorilo sa </w:t>
      </w:r>
      <w:r w:rsidR="001E12FC" w:rsidRPr="004C54B9">
        <w:rPr>
          <w:rFonts w:ascii="Arial Narrow" w:hAnsi="Arial Narrow" w:cs="Arial"/>
        </w:rPr>
        <w:t>vyše</w:t>
      </w:r>
      <w:r w:rsidR="00745D10" w:rsidRPr="004C54B9">
        <w:rPr>
          <w:rFonts w:ascii="Arial Narrow" w:hAnsi="Arial Narrow" w:cs="Arial"/>
        </w:rPr>
        <w:t xml:space="preserve"> 6</w:t>
      </w:r>
      <w:r w:rsidR="001E12FC" w:rsidRPr="004C54B9">
        <w:rPr>
          <w:rFonts w:ascii="Arial Narrow" w:hAnsi="Arial Narrow" w:cs="Arial"/>
        </w:rPr>
        <w:t xml:space="preserve"> tisíc </w:t>
      </w:r>
      <w:r w:rsidR="00745D10" w:rsidRPr="004C54B9">
        <w:rPr>
          <w:rFonts w:ascii="Arial Narrow" w:hAnsi="Arial Narrow" w:cs="Arial"/>
        </w:rPr>
        <w:t>pracovných miest.</w:t>
      </w:r>
    </w:p>
    <w:p w14:paraId="5B01DA23" w14:textId="77777777" w:rsidR="00406517" w:rsidRPr="004C54B9" w:rsidRDefault="00406517" w:rsidP="004C54B9">
      <w:pPr>
        <w:pStyle w:val="Odsekzoznamu"/>
        <w:numPr>
          <w:ilvl w:val="0"/>
          <w:numId w:val="38"/>
        </w:numPr>
        <w:spacing w:after="0" w:line="240" w:lineRule="auto"/>
        <w:jc w:val="both"/>
        <w:rPr>
          <w:rFonts w:ascii="Arial Narrow" w:hAnsi="Arial Narrow" w:cs="Arial"/>
        </w:rPr>
      </w:pPr>
      <w:r w:rsidRPr="004C54B9">
        <w:rPr>
          <w:rFonts w:ascii="Arial Narrow" w:hAnsi="Arial Narrow" w:cs="Arial"/>
        </w:rPr>
        <w:t xml:space="preserve">Projekt </w:t>
      </w:r>
      <w:r w:rsidR="00213A35" w:rsidRPr="004C54B9">
        <w:rPr>
          <w:rFonts w:ascii="Arial Narrow" w:hAnsi="Arial Narrow" w:cs="Arial"/>
          <w:i/>
        </w:rPr>
        <w:t>Šanca</w:t>
      </w:r>
      <w:r w:rsidR="005F458E" w:rsidRPr="004C54B9">
        <w:rPr>
          <w:rFonts w:ascii="Arial Narrow" w:hAnsi="Arial Narrow" w:cs="Arial"/>
          <w:i/>
        </w:rPr>
        <w:t xml:space="preserve"> na </w:t>
      </w:r>
      <w:r w:rsidRPr="004C54B9">
        <w:rPr>
          <w:rFonts w:ascii="Arial Narrow" w:hAnsi="Arial Narrow" w:cs="Arial"/>
          <w:i/>
        </w:rPr>
        <w:t>zamestnanie</w:t>
      </w:r>
      <w:r w:rsidR="005F458E" w:rsidRPr="004C54B9">
        <w:rPr>
          <w:rFonts w:ascii="Arial Narrow" w:hAnsi="Arial Narrow" w:cs="Arial"/>
        </w:rPr>
        <w:t xml:space="preserve"> do decembra 2018 finančne podporil zamestn</w:t>
      </w:r>
      <w:r w:rsidR="00745D10" w:rsidRPr="004C54B9">
        <w:rPr>
          <w:rFonts w:ascii="Arial Narrow" w:hAnsi="Arial Narrow" w:cs="Arial"/>
        </w:rPr>
        <w:t>ávateľov</w:t>
      </w:r>
      <w:r w:rsidR="00205AB2" w:rsidRPr="004C54B9">
        <w:rPr>
          <w:rFonts w:ascii="Arial Narrow" w:hAnsi="Arial Narrow" w:cs="Arial"/>
        </w:rPr>
        <w:t xml:space="preserve"> </w:t>
      </w:r>
      <w:r w:rsidR="00750C47" w:rsidRPr="004C54B9">
        <w:rPr>
          <w:rFonts w:ascii="Arial Narrow" w:hAnsi="Arial Narrow" w:cs="Arial"/>
        </w:rPr>
        <w:t>pri vytvorení pracovného miesta (</w:t>
      </w:r>
      <w:r w:rsidR="001E12FC" w:rsidRPr="004C54B9">
        <w:rPr>
          <w:rFonts w:ascii="Arial Narrow" w:hAnsi="Arial Narrow" w:cs="Arial"/>
        </w:rPr>
        <w:t>celkovo približne 12 tisíc</w:t>
      </w:r>
      <w:r w:rsidR="00750C47" w:rsidRPr="004C54B9">
        <w:rPr>
          <w:rFonts w:ascii="Arial Narrow" w:hAnsi="Arial Narrow" w:cs="Arial"/>
        </w:rPr>
        <w:t xml:space="preserve">) </w:t>
      </w:r>
      <w:r w:rsidR="00205AB2" w:rsidRPr="004C54B9">
        <w:rPr>
          <w:rFonts w:ascii="Arial Narrow" w:hAnsi="Arial Narrow" w:cs="Arial"/>
        </w:rPr>
        <w:t xml:space="preserve">najmä pre </w:t>
      </w:r>
      <w:r w:rsidR="005F458E" w:rsidRPr="004C54B9">
        <w:rPr>
          <w:rFonts w:ascii="Arial Narrow" w:hAnsi="Arial Narrow" w:cs="Arial"/>
        </w:rPr>
        <w:t>dlhodobo nezamestnaných vo vybraných oblasti</w:t>
      </w:r>
      <w:r w:rsidR="00213A35" w:rsidRPr="004C54B9">
        <w:rPr>
          <w:rFonts w:ascii="Arial Narrow" w:hAnsi="Arial Narrow" w:cs="Arial"/>
        </w:rPr>
        <w:t xml:space="preserve">ach </w:t>
      </w:r>
      <w:r w:rsidR="005F458E" w:rsidRPr="004C54B9">
        <w:rPr>
          <w:rFonts w:ascii="Arial Narrow" w:hAnsi="Arial Narrow" w:cs="Arial"/>
        </w:rPr>
        <w:t xml:space="preserve">verejného zamestnávania. </w:t>
      </w:r>
    </w:p>
    <w:p w14:paraId="711A4861" w14:textId="77777777" w:rsidR="00205AB2" w:rsidRDefault="00205AB2" w:rsidP="004C54B9">
      <w:pPr>
        <w:pStyle w:val="Odsekzoznamu"/>
        <w:numPr>
          <w:ilvl w:val="0"/>
          <w:numId w:val="38"/>
        </w:numPr>
        <w:spacing w:after="0" w:line="240" w:lineRule="auto"/>
        <w:jc w:val="both"/>
        <w:rPr>
          <w:rFonts w:ascii="Arial Narrow" w:hAnsi="Arial Narrow" w:cs="Arial"/>
        </w:rPr>
      </w:pPr>
      <w:r w:rsidRPr="004C54B9">
        <w:rPr>
          <w:rFonts w:ascii="Arial Narrow" w:hAnsi="Arial Narrow" w:cs="Arial"/>
        </w:rPr>
        <w:t xml:space="preserve">Projekt </w:t>
      </w:r>
      <w:r w:rsidRPr="004C54B9">
        <w:rPr>
          <w:rFonts w:ascii="Arial Narrow" w:hAnsi="Arial Narrow" w:cs="Arial"/>
          <w:i/>
        </w:rPr>
        <w:t xml:space="preserve">Cesta na trh práce </w:t>
      </w:r>
      <w:r w:rsidRPr="004C54B9">
        <w:rPr>
          <w:rFonts w:ascii="Arial Narrow" w:hAnsi="Arial Narrow" w:cs="Arial"/>
        </w:rPr>
        <w:t xml:space="preserve">špeciálne zameraný na najmenej rozvinuté okresy Slovenska podporuje vytváranie pracovných miest v súkromnom aj verejnom sektore. V rámci tohto projektu sa podporuje aj </w:t>
      </w:r>
      <w:proofErr w:type="spellStart"/>
      <w:r w:rsidRPr="004C54B9">
        <w:rPr>
          <w:rFonts w:ascii="Arial Narrow" w:hAnsi="Arial Narrow" w:cs="Arial"/>
        </w:rPr>
        <w:t>samozamestnávanie</w:t>
      </w:r>
      <w:proofErr w:type="spellEnd"/>
      <w:r w:rsidRPr="004C54B9">
        <w:rPr>
          <w:rFonts w:ascii="Arial Narrow" w:hAnsi="Arial Narrow" w:cs="Arial"/>
        </w:rPr>
        <w:t xml:space="preserve"> </w:t>
      </w:r>
      <w:proofErr w:type="spellStart"/>
      <w:r w:rsidRPr="004C54B9">
        <w:rPr>
          <w:rFonts w:ascii="Arial Narrow" w:hAnsi="Arial Narrow" w:cs="Arial"/>
        </w:rPr>
        <w:t>UoZ</w:t>
      </w:r>
      <w:proofErr w:type="spellEnd"/>
      <w:r w:rsidRPr="004C54B9">
        <w:rPr>
          <w:rFonts w:ascii="Arial Narrow" w:hAnsi="Arial Narrow" w:cs="Arial"/>
        </w:rPr>
        <w:t xml:space="preserve"> v poľnohospodárskej výrobe.</w:t>
      </w:r>
      <w:r w:rsidR="001E12FC" w:rsidRPr="004C54B9">
        <w:rPr>
          <w:rFonts w:ascii="Arial Narrow" w:hAnsi="Arial Narrow" w:cs="Arial"/>
        </w:rPr>
        <w:t xml:space="preserve"> Celkovo od 2017 bolo podporených vyše 8 tisíc pracovných miest.</w:t>
      </w:r>
    </w:p>
    <w:p w14:paraId="69F69114" w14:textId="4403EF89" w:rsidR="00E76198" w:rsidRDefault="00E76198" w:rsidP="00E76198">
      <w:pPr>
        <w:pStyle w:val="Odsekzoznamu"/>
        <w:numPr>
          <w:ilvl w:val="0"/>
          <w:numId w:val="38"/>
        </w:numPr>
        <w:spacing w:after="0" w:line="240" w:lineRule="auto"/>
        <w:jc w:val="both"/>
        <w:rPr>
          <w:rFonts w:ascii="Arial Narrow" w:hAnsi="Arial Narrow" w:cs="Arial"/>
        </w:rPr>
      </w:pPr>
      <w:r>
        <w:rPr>
          <w:rFonts w:ascii="Arial Narrow" w:hAnsi="Arial Narrow" w:cs="Arial"/>
        </w:rPr>
        <w:t xml:space="preserve">V rámci projektu </w:t>
      </w:r>
      <w:r>
        <w:rPr>
          <w:rFonts w:ascii="Arial Narrow" w:hAnsi="Arial Narrow" w:cs="Arial"/>
          <w:i/>
        </w:rPr>
        <w:t xml:space="preserve">Podpora </w:t>
      </w:r>
      <w:r w:rsidRPr="00C13482">
        <w:rPr>
          <w:rFonts w:ascii="Arial Narrow" w:hAnsi="Arial Narrow" w:cs="Arial"/>
          <w:i/>
        </w:rPr>
        <w:t>individualizovaného poradenstva pre dlhodobo nezamestnaných uchádzačov o zamestnanie</w:t>
      </w:r>
      <w:r>
        <w:rPr>
          <w:rFonts w:ascii="Arial Narrow" w:hAnsi="Arial Narrow" w:cs="Arial"/>
        </w:rPr>
        <w:t>:</w:t>
      </w:r>
    </w:p>
    <w:p w14:paraId="42825D9C" w14:textId="65F3EE5F" w:rsidR="00E76198" w:rsidRPr="00831613" w:rsidRDefault="00E76198" w:rsidP="00831613">
      <w:pPr>
        <w:pStyle w:val="Odsekzoznamu"/>
        <w:numPr>
          <w:ilvl w:val="0"/>
          <w:numId w:val="63"/>
        </w:numPr>
        <w:spacing w:after="0" w:line="240" w:lineRule="auto"/>
        <w:ind w:left="714" w:hanging="357"/>
        <w:jc w:val="both"/>
        <w:rPr>
          <w:rFonts w:ascii="Arial Narrow" w:hAnsi="Arial Narrow" w:cs="Arial"/>
          <w:color w:val="000000" w:themeColor="text1"/>
        </w:rPr>
      </w:pPr>
      <w:r w:rsidRPr="00831613">
        <w:rPr>
          <w:rFonts w:ascii="Arial Narrow" w:hAnsi="Arial Narrow" w:cs="Arial"/>
          <w:color w:val="000000" w:themeColor="text1"/>
        </w:rPr>
        <w:t xml:space="preserve">Začiatkom roka 2018 bolo na úrady práce postupne prijatých 129 odborných poradcov, ktorí poskytujú </w:t>
      </w:r>
      <w:r w:rsidRPr="00831613">
        <w:rPr>
          <w:rFonts w:ascii="Arial Narrow" w:hAnsi="Arial Narrow"/>
          <w:color w:val="000000" w:themeColor="text1"/>
        </w:rPr>
        <w:t xml:space="preserve">podporu </w:t>
      </w:r>
      <w:r w:rsidR="00FC4D8C">
        <w:rPr>
          <w:rFonts w:ascii="Arial Narrow" w:hAnsi="Arial Narrow"/>
          <w:color w:val="000000" w:themeColor="text1"/>
        </w:rPr>
        <w:t>najmä</w:t>
      </w:r>
      <w:r w:rsidRPr="00831613">
        <w:rPr>
          <w:rFonts w:ascii="Arial Narrow" w:hAnsi="Arial Narrow"/>
          <w:color w:val="000000" w:themeColor="text1"/>
        </w:rPr>
        <w:t xml:space="preserve"> ťažko umiestniteľným dlhodobo nezamestnaným </w:t>
      </w:r>
      <w:proofErr w:type="spellStart"/>
      <w:r w:rsidRPr="00831613">
        <w:rPr>
          <w:rFonts w:ascii="Arial Narrow" w:hAnsi="Arial Narrow"/>
          <w:color w:val="000000" w:themeColor="text1"/>
        </w:rPr>
        <w:t>UoZ</w:t>
      </w:r>
      <w:proofErr w:type="spellEnd"/>
      <w:r w:rsidRPr="00831613">
        <w:rPr>
          <w:rFonts w:ascii="Arial Narrow" w:hAnsi="Arial Narrow"/>
          <w:color w:val="000000" w:themeColor="text1"/>
        </w:rPr>
        <w:t xml:space="preserve"> pri nachádzaní pracovného uplatnenia. Prostredníctvom tohto poradenského programu </w:t>
      </w:r>
      <w:r w:rsidRPr="00831613">
        <w:rPr>
          <w:rFonts w:ascii="Arial Narrow" w:hAnsi="Arial Narrow" w:cs="Arial"/>
          <w:color w:val="000000" w:themeColor="text1"/>
        </w:rPr>
        <w:t xml:space="preserve">bolo podporených vyše 11 tisíc </w:t>
      </w:r>
      <w:proofErr w:type="spellStart"/>
      <w:r w:rsidRPr="00831613">
        <w:rPr>
          <w:rFonts w:ascii="Arial Narrow" w:hAnsi="Arial Narrow" w:cs="Arial"/>
          <w:color w:val="000000" w:themeColor="text1"/>
        </w:rPr>
        <w:t>UoZ</w:t>
      </w:r>
      <w:proofErr w:type="spellEnd"/>
      <w:r w:rsidRPr="00831613">
        <w:rPr>
          <w:rFonts w:ascii="Arial Narrow" w:hAnsi="Arial Narrow" w:cs="Arial"/>
          <w:color w:val="000000" w:themeColor="text1"/>
        </w:rPr>
        <w:t xml:space="preserve">. </w:t>
      </w:r>
    </w:p>
    <w:p w14:paraId="60249365" w14:textId="28ED8658" w:rsidR="00E76198" w:rsidRDefault="00E76198" w:rsidP="00831613">
      <w:pPr>
        <w:pStyle w:val="Odsekzoznamu"/>
        <w:numPr>
          <w:ilvl w:val="0"/>
          <w:numId w:val="63"/>
        </w:numPr>
        <w:spacing w:after="0" w:line="240" w:lineRule="auto"/>
        <w:ind w:left="714" w:hanging="357"/>
        <w:jc w:val="both"/>
        <w:rPr>
          <w:rFonts w:ascii="Arial Narrow" w:hAnsi="Arial Narrow" w:cs="Arial"/>
        </w:rPr>
      </w:pPr>
      <w:r>
        <w:rPr>
          <w:rFonts w:ascii="Arial Narrow" w:hAnsi="Arial Narrow" w:cs="Arial"/>
        </w:rPr>
        <w:t>K</w:t>
      </w:r>
      <w:r w:rsidRPr="00E76198">
        <w:rPr>
          <w:rFonts w:ascii="Arial Narrow" w:hAnsi="Arial Narrow" w:cs="Arial"/>
        </w:rPr>
        <w:t>on</w:t>
      </w:r>
      <w:r>
        <w:rPr>
          <w:rFonts w:ascii="Arial Narrow" w:hAnsi="Arial Narrow" w:cs="Arial"/>
        </w:rPr>
        <w:t>com roka</w:t>
      </w:r>
      <w:r w:rsidR="00AE5269">
        <w:rPr>
          <w:rFonts w:ascii="Arial Narrow" w:hAnsi="Arial Narrow" w:cs="Arial"/>
        </w:rPr>
        <w:t xml:space="preserve"> 2018 začala realizácia bilancie</w:t>
      </w:r>
      <w:r>
        <w:rPr>
          <w:rFonts w:ascii="Arial Narrow" w:hAnsi="Arial Narrow" w:cs="Arial"/>
        </w:rPr>
        <w:t xml:space="preserve"> kompetencií </w:t>
      </w:r>
      <w:r w:rsidRPr="00E76198">
        <w:rPr>
          <w:rFonts w:ascii="Arial Narrow" w:hAnsi="Arial Narrow" w:cs="Arial"/>
        </w:rPr>
        <w:t>prostr</w:t>
      </w:r>
      <w:r>
        <w:rPr>
          <w:rFonts w:ascii="Arial Narrow" w:hAnsi="Arial Narrow" w:cs="Arial"/>
        </w:rPr>
        <w:t xml:space="preserve">edníctvom externých dodávateľov. </w:t>
      </w:r>
      <w:r w:rsidRPr="00E76198">
        <w:rPr>
          <w:rFonts w:ascii="Arial Narrow" w:hAnsi="Arial Narrow" w:cs="Arial"/>
        </w:rPr>
        <w:t xml:space="preserve"> </w:t>
      </w:r>
      <w:r>
        <w:rPr>
          <w:rFonts w:ascii="Arial Narrow" w:hAnsi="Arial Narrow" w:cs="Arial"/>
        </w:rPr>
        <w:t xml:space="preserve">Táto </w:t>
      </w:r>
      <w:r w:rsidR="00FC4D8C">
        <w:rPr>
          <w:rFonts w:ascii="Arial Narrow" w:hAnsi="Arial Narrow" w:cs="Arial"/>
        </w:rPr>
        <w:t xml:space="preserve">poradenská </w:t>
      </w:r>
      <w:r>
        <w:rPr>
          <w:rFonts w:ascii="Arial Narrow" w:hAnsi="Arial Narrow" w:cs="Arial"/>
        </w:rPr>
        <w:t>podpora má</w:t>
      </w:r>
      <w:r w:rsidR="00FC4D8C">
        <w:rPr>
          <w:rFonts w:ascii="Arial Narrow" w:hAnsi="Arial Narrow" w:cs="Arial"/>
        </w:rPr>
        <w:t xml:space="preserve"> pomôcť dlhodobo nezamestnaným nájsť svoje uplatnenie </w:t>
      </w:r>
      <w:r w:rsidRPr="00E76198">
        <w:rPr>
          <w:rFonts w:ascii="Arial Narrow" w:hAnsi="Arial Narrow" w:cs="Arial"/>
        </w:rPr>
        <w:t>na trhu práce</w:t>
      </w:r>
      <w:r w:rsidR="00FC4D8C">
        <w:rPr>
          <w:rFonts w:ascii="Arial Narrow" w:hAnsi="Arial Narrow" w:cs="Arial"/>
        </w:rPr>
        <w:t xml:space="preserve">. </w:t>
      </w:r>
      <w:r>
        <w:rPr>
          <w:rFonts w:ascii="Arial Narrow" w:hAnsi="Arial Narrow" w:cs="Arial"/>
        </w:rPr>
        <w:t xml:space="preserve">Za krátky čas realizácie </w:t>
      </w:r>
      <w:r w:rsidRPr="00E76198">
        <w:rPr>
          <w:rFonts w:ascii="Arial Narrow" w:hAnsi="Arial Narrow" w:cs="Arial"/>
        </w:rPr>
        <w:t>bolo v roku 20</w:t>
      </w:r>
      <w:r>
        <w:rPr>
          <w:rFonts w:ascii="Arial Narrow" w:hAnsi="Arial Narrow" w:cs="Arial"/>
        </w:rPr>
        <w:t>18 pod</w:t>
      </w:r>
      <w:r w:rsidR="00FC4D8C">
        <w:rPr>
          <w:rFonts w:ascii="Arial Narrow" w:hAnsi="Arial Narrow" w:cs="Arial"/>
        </w:rPr>
        <w:t xml:space="preserve">porených iba vyše 300 </w:t>
      </w:r>
      <w:proofErr w:type="spellStart"/>
      <w:r w:rsidR="00FC4D8C">
        <w:rPr>
          <w:rFonts w:ascii="Arial Narrow" w:hAnsi="Arial Narrow" w:cs="Arial"/>
        </w:rPr>
        <w:t>UoZ</w:t>
      </w:r>
      <w:proofErr w:type="spellEnd"/>
      <w:r w:rsidR="00FC4D8C">
        <w:rPr>
          <w:rFonts w:ascii="Arial Narrow" w:hAnsi="Arial Narrow" w:cs="Arial"/>
        </w:rPr>
        <w:t>.</w:t>
      </w:r>
    </w:p>
    <w:p w14:paraId="6E337D7F" w14:textId="5BB34C88" w:rsidR="00E76198" w:rsidRPr="00F01FF3" w:rsidRDefault="00E76198" w:rsidP="00831613">
      <w:pPr>
        <w:pStyle w:val="Odsekzoznamu"/>
        <w:numPr>
          <w:ilvl w:val="0"/>
          <w:numId w:val="63"/>
        </w:numPr>
        <w:spacing w:after="0" w:line="240" w:lineRule="auto"/>
        <w:ind w:left="714" w:hanging="357"/>
        <w:jc w:val="both"/>
        <w:rPr>
          <w:rFonts w:ascii="Arial Narrow" w:hAnsi="Arial Narrow" w:cs="Arial"/>
          <w:color w:val="000000" w:themeColor="text1"/>
        </w:rPr>
      </w:pPr>
      <w:r w:rsidRPr="00DD56AF">
        <w:rPr>
          <w:rFonts w:ascii="Arial Narrow" w:hAnsi="Arial Narrow" w:cs="Arial"/>
          <w:color w:val="000000" w:themeColor="text1"/>
        </w:rPr>
        <w:t xml:space="preserve">Absolvovanie </w:t>
      </w:r>
      <w:r>
        <w:rPr>
          <w:rFonts w:ascii="Arial Narrow" w:hAnsi="Arial Narrow" w:cs="Arial"/>
          <w:color w:val="000000" w:themeColor="text1"/>
        </w:rPr>
        <w:t>oboch aktivít proj</w:t>
      </w:r>
      <w:r w:rsidR="00FC4D8C">
        <w:rPr>
          <w:rFonts w:ascii="Arial Narrow" w:hAnsi="Arial Narrow" w:cs="Arial"/>
          <w:color w:val="000000" w:themeColor="text1"/>
        </w:rPr>
        <w:t>ektu je</w:t>
      </w:r>
      <w:r w:rsidRPr="00DD56AF">
        <w:rPr>
          <w:rFonts w:ascii="Arial Narrow" w:hAnsi="Arial Narrow" w:cs="Arial"/>
          <w:color w:val="000000" w:themeColor="text1"/>
        </w:rPr>
        <w:t xml:space="preserve"> pri s</w:t>
      </w:r>
      <w:r w:rsidR="00FC4D8C">
        <w:rPr>
          <w:rFonts w:ascii="Arial Narrow" w:hAnsi="Arial Narrow" w:cs="Arial"/>
          <w:color w:val="000000" w:themeColor="text1"/>
        </w:rPr>
        <w:t xml:space="preserve">plnení stanovených podmienok </w:t>
      </w:r>
      <w:r w:rsidRPr="00DD56AF">
        <w:rPr>
          <w:rFonts w:ascii="Arial Narrow" w:hAnsi="Arial Narrow" w:cs="Arial"/>
          <w:color w:val="000000" w:themeColor="text1"/>
        </w:rPr>
        <w:t>podporené finančným príspevkom na krytie výdavkov spojených s účasťou (cestovné, stravné a pod.).</w:t>
      </w:r>
    </w:p>
    <w:p w14:paraId="51576A5D" w14:textId="45B2D493" w:rsidR="00406517" w:rsidRPr="00E76198" w:rsidRDefault="00205AB2" w:rsidP="00E76198">
      <w:pPr>
        <w:pStyle w:val="Odsekzoznamu"/>
        <w:numPr>
          <w:ilvl w:val="0"/>
          <w:numId w:val="38"/>
        </w:numPr>
        <w:spacing w:after="0" w:line="240" w:lineRule="auto"/>
        <w:jc w:val="both"/>
        <w:rPr>
          <w:rFonts w:ascii="Arial Narrow" w:hAnsi="Arial Narrow" w:cs="Arial"/>
        </w:rPr>
      </w:pPr>
      <w:r w:rsidRPr="004C54B9">
        <w:rPr>
          <w:rFonts w:ascii="Arial Narrow" w:hAnsi="Arial Narrow" w:cs="Arial"/>
        </w:rPr>
        <w:t xml:space="preserve">V rámci projektu </w:t>
      </w:r>
      <w:r w:rsidRPr="004C54B9">
        <w:rPr>
          <w:rFonts w:ascii="Arial Narrow" w:hAnsi="Arial Narrow" w:cs="Arial"/>
          <w:i/>
        </w:rPr>
        <w:t>Reštart</w:t>
      </w:r>
      <w:r w:rsidR="00E76198">
        <w:rPr>
          <w:rFonts w:ascii="Arial Narrow" w:hAnsi="Arial Narrow" w:cs="Arial"/>
          <w:i/>
        </w:rPr>
        <w:t xml:space="preserve"> – </w:t>
      </w:r>
      <w:r w:rsidR="00E76198" w:rsidRPr="00C50218">
        <w:rPr>
          <w:rFonts w:ascii="Arial Narrow" w:hAnsi="Arial Narrow" w:cs="Arial"/>
          <w:i/>
        </w:rPr>
        <w:t>Príležitosť pre dlhodobo nezamestnaných vrátiť sa na trh práce</w:t>
      </w:r>
      <w:r w:rsidR="00E76198">
        <w:rPr>
          <w:rFonts w:ascii="Arial Narrow" w:hAnsi="Arial Narrow" w:cs="Arial"/>
          <w:i/>
        </w:rPr>
        <w:t xml:space="preserve"> </w:t>
      </w:r>
      <w:r w:rsidRPr="00E76198">
        <w:rPr>
          <w:rFonts w:ascii="Arial Narrow" w:hAnsi="Arial Narrow" w:cs="Arial"/>
        </w:rPr>
        <w:t xml:space="preserve">sa poskytujú finančné motivácie dlhodobo nezamestnaným </w:t>
      </w:r>
      <w:proofErr w:type="spellStart"/>
      <w:r w:rsidRPr="00E76198">
        <w:rPr>
          <w:rFonts w:ascii="Arial Narrow" w:hAnsi="Arial Narrow" w:cs="Arial"/>
        </w:rPr>
        <w:t>UoZ</w:t>
      </w:r>
      <w:proofErr w:type="spellEnd"/>
      <w:r w:rsidRPr="00E76198">
        <w:rPr>
          <w:rFonts w:ascii="Arial Narrow" w:hAnsi="Arial Narrow" w:cs="Arial"/>
        </w:rPr>
        <w:t>, ktorí si po spolupráci s úradom práce nájdu zamestnanie alebo s</w:t>
      </w:r>
      <w:r w:rsidR="002B2192" w:rsidRPr="00E76198">
        <w:rPr>
          <w:rFonts w:ascii="Arial Narrow" w:hAnsi="Arial Narrow" w:cs="Arial"/>
        </w:rPr>
        <w:t>i prehĺbia praktické zručnosti pre trh práce.</w:t>
      </w:r>
    </w:p>
    <w:p w14:paraId="219852D2" w14:textId="77777777" w:rsidR="005F726C" w:rsidRPr="004C54B9" w:rsidRDefault="005F726C" w:rsidP="004C54B9">
      <w:pPr>
        <w:spacing w:after="0" w:line="240" w:lineRule="auto"/>
        <w:jc w:val="both"/>
        <w:rPr>
          <w:rFonts w:ascii="Arial Narrow" w:hAnsi="Arial Narrow" w:cs="Arial"/>
        </w:rPr>
      </w:pPr>
    </w:p>
    <w:p w14:paraId="6BADFE61" w14:textId="1E2E72A9" w:rsidR="006F6BFF" w:rsidRPr="004C54B9" w:rsidRDefault="001E12FC" w:rsidP="006F6BFF">
      <w:pPr>
        <w:spacing w:after="0" w:line="240" w:lineRule="auto"/>
        <w:jc w:val="both"/>
        <w:rPr>
          <w:rFonts w:ascii="Arial Narrow" w:hAnsi="Arial Narrow" w:cs="Arial"/>
        </w:rPr>
      </w:pPr>
      <w:r w:rsidRPr="004C54B9">
        <w:rPr>
          <w:rFonts w:ascii="Arial Narrow" w:hAnsi="Arial Narrow" w:cs="Arial"/>
          <w:b/>
        </w:rPr>
        <w:t>Pokračujú projekty na zvyšovanie kvalifikácie nezamestnaných</w:t>
      </w:r>
      <w:r w:rsidR="00A35330">
        <w:rPr>
          <w:rFonts w:ascii="Arial Narrow" w:hAnsi="Arial Narrow" w:cs="Arial"/>
          <w:b/>
        </w:rPr>
        <w:t xml:space="preserve"> zamerané primárne na znevýhodnen</w:t>
      </w:r>
      <w:r w:rsidR="00083419">
        <w:rPr>
          <w:rFonts w:ascii="Arial Narrow" w:hAnsi="Arial Narrow" w:cs="Arial"/>
          <w:b/>
        </w:rPr>
        <w:t>é skupiny uchádzačov o zamestnanie</w:t>
      </w:r>
      <w:r w:rsidRPr="004C54B9">
        <w:rPr>
          <w:rFonts w:ascii="Arial Narrow" w:hAnsi="Arial Narrow" w:cs="Arial"/>
        </w:rPr>
        <w:t xml:space="preserve">. </w:t>
      </w:r>
      <w:r w:rsidR="005F726C" w:rsidRPr="004C54B9">
        <w:rPr>
          <w:rFonts w:ascii="Arial Narrow" w:hAnsi="Arial Narrow" w:cs="Arial"/>
        </w:rPr>
        <w:t xml:space="preserve">Od začiatku 2018 prebieha </w:t>
      </w:r>
      <w:r w:rsidR="00EF6D89">
        <w:rPr>
          <w:rFonts w:ascii="Arial Narrow" w:hAnsi="Arial Narrow" w:cs="Arial"/>
        </w:rPr>
        <w:t xml:space="preserve">v rámci aktívnych </w:t>
      </w:r>
      <w:r w:rsidR="00EF6D89">
        <w:rPr>
          <w:rFonts w:ascii="Arial Narrow" w:hAnsi="Arial Narrow" w:cs="Arial"/>
        </w:rPr>
        <w:lastRenderedPageBreak/>
        <w:t xml:space="preserve">opatrení trhu práce (AOTP) </w:t>
      </w:r>
      <w:r w:rsidR="00E76198">
        <w:rPr>
          <w:rFonts w:ascii="Arial Narrow" w:hAnsi="Arial Narrow" w:cs="Arial"/>
        </w:rPr>
        <w:t xml:space="preserve">nový </w:t>
      </w:r>
      <w:r w:rsidR="005F726C" w:rsidRPr="004C54B9">
        <w:rPr>
          <w:rFonts w:ascii="Arial Narrow" w:hAnsi="Arial Narrow" w:cs="Arial"/>
        </w:rPr>
        <w:t>projekt formou vzdelávania a prípravy pre trh práce, rekvalifikácie, posilnením kľúčových kompetencií alebo vzdelávaním a prípravou pre trh práce z vlastnej iniciatívy.</w:t>
      </w:r>
      <w:r w:rsidR="00091CF2" w:rsidRPr="004C54B9">
        <w:rPr>
          <w:rFonts w:ascii="Arial Narrow" w:hAnsi="Arial Narrow" w:cs="Arial"/>
        </w:rPr>
        <w:t xml:space="preserve"> V priebehu roka bolo na aktivity zaradených takmer 10 tisíc </w:t>
      </w:r>
      <w:proofErr w:type="spellStart"/>
      <w:r w:rsidR="00091CF2" w:rsidRPr="004C54B9">
        <w:rPr>
          <w:rFonts w:ascii="Arial Narrow" w:hAnsi="Arial Narrow" w:cs="Arial"/>
        </w:rPr>
        <w:t>UoZ</w:t>
      </w:r>
      <w:proofErr w:type="spellEnd"/>
      <w:r w:rsidR="00091CF2" w:rsidRPr="004C54B9">
        <w:rPr>
          <w:rFonts w:ascii="Arial Narrow" w:hAnsi="Arial Narrow" w:cs="Arial"/>
        </w:rPr>
        <w:t>.</w:t>
      </w:r>
      <w:r w:rsidR="00E76198">
        <w:rPr>
          <w:rFonts w:ascii="Arial Narrow" w:hAnsi="Arial Narrow" w:cs="Arial"/>
        </w:rPr>
        <w:t xml:space="preserve"> Celkovo bolo v roku 2018 podobnými nástrojmi podporených viac ako 22 tisíc </w:t>
      </w:r>
      <w:proofErr w:type="spellStart"/>
      <w:r w:rsidR="00E76198">
        <w:rPr>
          <w:rFonts w:ascii="Arial Narrow" w:hAnsi="Arial Narrow" w:cs="Arial"/>
        </w:rPr>
        <w:t>UoZ</w:t>
      </w:r>
      <w:proofErr w:type="spellEnd"/>
      <w:r w:rsidR="00E76198">
        <w:rPr>
          <w:rFonts w:ascii="Arial Narrow" w:hAnsi="Arial Narrow" w:cs="Arial"/>
        </w:rPr>
        <w:t xml:space="preserve">. </w:t>
      </w:r>
      <w:r w:rsidR="00E90926">
        <w:rPr>
          <w:rFonts w:ascii="Arial Narrow" w:hAnsi="Arial Narrow" w:cs="Arial"/>
        </w:rPr>
        <w:t xml:space="preserve">Do konca roka 2018 bolo podporených 5 tisíc </w:t>
      </w:r>
      <w:proofErr w:type="spellStart"/>
      <w:r w:rsidR="00E90926">
        <w:rPr>
          <w:rFonts w:ascii="Arial Narrow" w:hAnsi="Arial Narrow" w:cs="Arial"/>
        </w:rPr>
        <w:t>UoZ</w:t>
      </w:r>
      <w:proofErr w:type="spellEnd"/>
      <w:r w:rsidR="00E90926">
        <w:rPr>
          <w:rFonts w:ascii="Arial Narrow" w:hAnsi="Arial Narrow" w:cs="Arial"/>
        </w:rPr>
        <w:t xml:space="preserve"> </w:t>
      </w:r>
      <w:r w:rsidR="00515A0B" w:rsidRPr="004C54B9">
        <w:rPr>
          <w:rFonts w:ascii="Arial Narrow" w:hAnsi="Arial Narrow" w:cs="Arial"/>
        </w:rPr>
        <w:t xml:space="preserve"> </w:t>
      </w:r>
      <w:r w:rsidR="00E90926">
        <w:rPr>
          <w:rFonts w:ascii="Arial Narrow" w:hAnsi="Arial Narrow" w:cs="Arial"/>
        </w:rPr>
        <w:t xml:space="preserve">cez </w:t>
      </w:r>
      <w:r w:rsidR="005D61DE" w:rsidRPr="004C54B9">
        <w:rPr>
          <w:rFonts w:ascii="Arial Narrow" w:hAnsi="Arial Narrow" w:cs="Arial"/>
        </w:rPr>
        <w:t>špecializovan</w:t>
      </w:r>
      <w:r w:rsidR="00E90926">
        <w:rPr>
          <w:rFonts w:ascii="Arial Narrow" w:hAnsi="Arial Narrow" w:cs="Arial"/>
        </w:rPr>
        <w:t>é</w:t>
      </w:r>
      <w:r w:rsidR="005D61DE" w:rsidRPr="004C54B9">
        <w:rPr>
          <w:rFonts w:ascii="Arial Narrow" w:hAnsi="Arial Narrow" w:cs="Arial"/>
        </w:rPr>
        <w:t xml:space="preserve"> </w:t>
      </w:r>
      <w:r w:rsidR="00515A0B" w:rsidRPr="004C54B9">
        <w:rPr>
          <w:rFonts w:ascii="Arial Narrow" w:hAnsi="Arial Narrow" w:cs="Arial"/>
        </w:rPr>
        <w:t xml:space="preserve">programy zamerané </w:t>
      </w:r>
      <w:r w:rsidR="00E90926">
        <w:rPr>
          <w:rFonts w:ascii="Arial Narrow" w:hAnsi="Arial Narrow" w:cs="Arial"/>
        </w:rPr>
        <w:t xml:space="preserve">na </w:t>
      </w:r>
      <w:r w:rsidR="005D61DE" w:rsidRPr="004C54B9">
        <w:rPr>
          <w:rFonts w:ascii="Arial Narrow" w:hAnsi="Arial Narrow" w:cs="Arial"/>
        </w:rPr>
        <w:t>odborné vzdelávanie</w:t>
      </w:r>
      <w:r w:rsidR="00515A0B" w:rsidRPr="004C54B9">
        <w:rPr>
          <w:rFonts w:ascii="Arial Narrow" w:hAnsi="Arial Narrow" w:cs="Arial"/>
        </w:rPr>
        <w:t xml:space="preserve"> v strojárenskej oblasti.</w:t>
      </w:r>
      <w:r w:rsidR="00EF6D89">
        <w:rPr>
          <w:rFonts w:ascii="Arial Narrow" w:hAnsi="Arial Narrow" w:cs="Arial"/>
        </w:rPr>
        <w:t xml:space="preserve"> </w:t>
      </w:r>
      <w:r w:rsidR="00DA3EC9">
        <w:rPr>
          <w:rFonts w:ascii="Arial Narrow" w:hAnsi="Arial Narrow" w:cs="Arial"/>
        </w:rPr>
        <w:t>Od decembra 2017 sa r</w:t>
      </w:r>
      <w:r w:rsidR="00DA3EC9" w:rsidRPr="008E72CC">
        <w:rPr>
          <w:rFonts w:ascii="Arial Narrow" w:hAnsi="Arial Narrow" w:cs="Arial"/>
        </w:rPr>
        <w:t xml:space="preserve">ealizuje </w:t>
      </w:r>
      <w:r w:rsidR="00DA3EC9">
        <w:rPr>
          <w:rFonts w:ascii="Arial Narrow" w:hAnsi="Arial Narrow" w:cs="Arial"/>
        </w:rPr>
        <w:t xml:space="preserve">výzva </w:t>
      </w:r>
      <w:r w:rsidR="00DA3EC9" w:rsidRPr="00DA3EC9">
        <w:rPr>
          <w:rFonts w:ascii="Arial Narrow" w:hAnsi="Arial Narrow" w:cs="Arial"/>
          <w:i/>
        </w:rPr>
        <w:t>Rozvoj sektorových zručností</w:t>
      </w:r>
      <w:r w:rsidR="00DA3EC9" w:rsidRPr="008E72CC">
        <w:rPr>
          <w:rFonts w:ascii="Arial Narrow" w:hAnsi="Arial Narrow" w:cs="Arial"/>
        </w:rPr>
        <w:t xml:space="preserve"> zameraná na odborné kurzy, školenia zamestnancov f</w:t>
      </w:r>
      <w:r w:rsidR="00DA3EC9">
        <w:rPr>
          <w:rFonts w:ascii="Arial Narrow" w:hAnsi="Arial Narrow" w:cs="Arial"/>
        </w:rPr>
        <w:t xml:space="preserve">ormou </w:t>
      </w:r>
      <w:proofErr w:type="spellStart"/>
      <w:r w:rsidR="00DA3EC9">
        <w:rPr>
          <w:rFonts w:ascii="Arial Narrow" w:hAnsi="Arial Narrow" w:cs="Arial"/>
        </w:rPr>
        <w:t>vnútrofiremných</w:t>
      </w:r>
      <w:proofErr w:type="spellEnd"/>
      <w:r w:rsidR="00DA3EC9">
        <w:rPr>
          <w:rFonts w:ascii="Arial Narrow" w:hAnsi="Arial Narrow" w:cs="Arial"/>
        </w:rPr>
        <w:t xml:space="preserve"> tréningov </w:t>
      </w:r>
      <w:r w:rsidR="00DA3EC9" w:rsidRPr="008E72CC">
        <w:rPr>
          <w:rFonts w:ascii="Arial Narrow" w:hAnsi="Arial Narrow" w:cs="Arial"/>
        </w:rPr>
        <w:t xml:space="preserve">(prijatých do pracovného pomeru aj z radov </w:t>
      </w:r>
      <w:proofErr w:type="spellStart"/>
      <w:r w:rsidR="00DA3EC9" w:rsidRPr="008E72CC">
        <w:rPr>
          <w:rFonts w:ascii="Arial Narrow" w:hAnsi="Arial Narrow" w:cs="Arial"/>
        </w:rPr>
        <w:t>UoZ</w:t>
      </w:r>
      <w:proofErr w:type="spellEnd"/>
      <w:r w:rsidR="00DA3EC9" w:rsidRPr="008E72CC">
        <w:rPr>
          <w:rFonts w:ascii="Arial Narrow" w:hAnsi="Arial Narrow" w:cs="Arial"/>
        </w:rPr>
        <w:t xml:space="preserve"> a znevýhodnených </w:t>
      </w:r>
      <w:proofErr w:type="spellStart"/>
      <w:r w:rsidR="00DA3EC9" w:rsidRPr="008E72CC">
        <w:rPr>
          <w:rFonts w:ascii="Arial Narrow" w:hAnsi="Arial Narrow" w:cs="Arial"/>
        </w:rPr>
        <w:t>UoZ</w:t>
      </w:r>
      <w:proofErr w:type="spellEnd"/>
      <w:r w:rsidR="00DA3EC9" w:rsidRPr="008E72CC">
        <w:rPr>
          <w:rFonts w:ascii="Arial Narrow" w:hAnsi="Arial Narrow" w:cs="Arial"/>
        </w:rPr>
        <w:t>)</w:t>
      </w:r>
      <w:r w:rsidR="00DA3EC9">
        <w:rPr>
          <w:rStyle w:val="Odkaznapoznmkupodiarou"/>
          <w:rFonts w:ascii="Arial Narrow" w:hAnsi="Arial Narrow" w:cs="Arial"/>
        </w:rPr>
        <w:footnoteReference w:id="25"/>
      </w:r>
      <w:r w:rsidR="00DA3EC9" w:rsidRPr="008E72CC">
        <w:rPr>
          <w:rFonts w:ascii="Arial Narrow" w:hAnsi="Arial Narrow" w:cs="Arial"/>
        </w:rPr>
        <w:t>.</w:t>
      </w:r>
      <w:r w:rsidR="00DA3EC9">
        <w:rPr>
          <w:rFonts w:ascii="Arial Narrow" w:hAnsi="Arial Narrow" w:cs="Arial"/>
        </w:rPr>
        <w:t xml:space="preserve"> </w:t>
      </w:r>
      <w:r w:rsidR="00E90926">
        <w:rPr>
          <w:rFonts w:ascii="Arial Narrow" w:hAnsi="Arial Narrow" w:cs="Arial"/>
        </w:rPr>
        <w:t>I</w:t>
      </w:r>
      <w:r w:rsidR="006F6BFF" w:rsidRPr="00E90926">
        <w:rPr>
          <w:rFonts w:ascii="Arial Narrow" w:hAnsi="Arial Narrow" w:cs="Arial"/>
        </w:rPr>
        <w:t>mplementujú sa projekty aj na</w:t>
      </w:r>
      <w:r w:rsidR="006F6BFF" w:rsidRPr="006F6BFF">
        <w:rPr>
          <w:rFonts w:ascii="Arial Narrow" w:hAnsi="Arial Narrow" w:cs="Arial"/>
        </w:rPr>
        <w:t xml:space="preserve"> </w:t>
      </w:r>
      <w:r w:rsidR="006F6BFF" w:rsidRPr="00E90926">
        <w:rPr>
          <w:rFonts w:ascii="Arial Narrow" w:hAnsi="Arial Narrow" w:cs="Arial"/>
        </w:rPr>
        <w:t>podporu zamestnávania iných znevýhodnených skupín na trhu práce</w:t>
      </w:r>
      <w:r w:rsidR="006F6BFF" w:rsidRPr="006F6BFF">
        <w:rPr>
          <w:rFonts w:ascii="Arial Narrow" w:hAnsi="Arial Narrow" w:cs="Arial"/>
        </w:rPr>
        <w:t xml:space="preserve"> – mladých </w:t>
      </w:r>
      <w:proofErr w:type="spellStart"/>
      <w:r w:rsidR="006F6BFF" w:rsidRPr="006F6BFF">
        <w:rPr>
          <w:rFonts w:ascii="Arial Narrow" w:hAnsi="Arial Narrow" w:cs="Arial"/>
        </w:rPr>
        <w:t>UoZ</w:t>
      </w:r>
      <w:proofErr w:type="spellEnd"/>
      <w:r w:rsidR="006F6BFF" w:rsidRPr="006F6BFF">
        <w:rPr>
          <w:rFonts w:ascii="Arial Narrow" w:hAnsi="Arial Narrow" w:cs="Arial"/>
        </w:rPr>
        <w:t xml:space="preserve"> formou absolventskej praxe, podpora zamestnávania </w:t>
      </w:r>
      <w:proofErr w:type="spellStart"/>
      <w:r w:rsidR="006F6BFF" w:rsidRPr="006F6BFF">
        <w:rPr>
          <w:rFonts w:ascii="Arial Narrow" w:hAnsi="Arial Narrow" w:cs="Arial"/>
        </w:rPr>
        <w:t>UoZ</w:t>
      </w:r>
      <w:proofErr w:type="spellEnd"/>
      <w:r w:rsidR="006F6BFF" w:rsidRPr="006F6BFF">
        <w:rPr>
          <w:rFonts w:ascii="Arial Narrow" w:hAnsi="Arial Narrow" w:cs="Arial"/>
        </w:rPr>
        <w:t xml:space="preserve"> nad 50 rokov a ľudí so zdravotným postihnutím.</w:t>
      </w:r>
      <w:r w:rsidR="006F6BFF" w:rsidRPr="004C54B9">
        <w:rPr>
          <w:rFonts w:ascii="Arial Narrow" w:hAnsi="Arial Narrow" w:cs="Arial"/>
        </w:rPr>
        <w:t xml:space="preserve"> </w:t>
      </w:r>
    </w:p>
    <w:p w14:paraId="0D04C302" w14:textId="77777777" w:rsidR="001E12FC" w:rsidRPr="004C54B9" w:rsidRDefault="001E12FC" w:rsidP="004C54B9">
      <w:pPr>
        <w:spacing w:after="0" w:line="240" w:lineRule="auto"/>
        <w:jc w:val="both"/>
        <w:rPr>
          <w:rFonts w:ascii="Arial Narrow" w:hAnsi="Arial Narrow" w:cs="Arial"/>
        </w:rPr>
      </w:pPr>
    </w:p>
    <w:p w14:paraId="0AB9C945" w14:textId="7891F340" w:rsidR="001E12FC" w:rsidRPr="004C54B9" w:rsidRDefault="001E12FC" w:rsidP="004C54B9">
      <w:pPr>
        <w:spacing w:after="0" w:line="240" w:lineRule="auto"/>
        <w:jc w:val="both"/>
        <w:rPr>
          <w:rFonts w:ascii="Arial Narrow" w:hAnsi="Arial Narrow" w:cs="Arial"/>
          <w:b/>
        </w:rPr>
      </w:pPr>
      <w:r w:rsidRPr="004C54B9">
        <w:rPr>
          <w:rFonts w:ascii="Arial Narrow" w:hAnsi="Arial Narrow" w:cs="Arial"/>
          <w:b/>
        </w:rPr>
        <w:t xml:space="preserve">Podpora sociálnej ekonomiky má pomôcť najťažšie </w:t>
      </w:r>
      <w:proofErr w:type="spellStart"/>
      <w:r w:rsidRPr="004C54B9">
        <w:rPr>
          <w:rFonts w:ascii="Arial Narrow" w:hAnsi="Arial Narrow" w:cs="Arial"/>
          <w:b/>
        </w:rPr>
        <w:t>zamestnateľným</w:t>
      </w:r>
      <w:proofErr w:type="spellEnd"/>
      <w:r w:rsidRPr="004C54B9">
        <w:rPr>
          <w:rFonts w:ascii="Arial Narrow" w:hAnsi="Arial Narrow" w:cs="Arial"/>
          <w:b/>
        </w:rPr>
        <w:t xml:space="preserve"> skupinám dostať sa na trh práce. </w:t>
      </w:r>
      <w:r w:rsidRPr="004C54B9">
        <w:rPr>
          <w:rFonts w:ascii="Arial Narrow" w:hAnsi="Arial Narrow" w:cs="Arial"/>
        </w:rPr>
        <w:t xml:space="preserve">Od decembra 2018 sa spustil projekt na podporu zamestnanosti znevýhodnených osôb formou poskytovania finančných príspevkov integračným sociálnym podnikom. Cieľovú skupinu predstavujú dlhodobo nezamestnaní, starší a nízko kvalifikovaní, ako aj občania so zdravotným postihnutím. Celková finančná alokácia </w:t>
      </w:r>
      <w:r w:rsidR="00911E42">
        <w:rPr>
          <w:rFonts w:ascii="Arial Narrow" w:hAnsi="Arial Narrow" w:cs="Arial"/>
        </w:rPr>
        <w:t xml:space="preserve">na túto novú formu AOTP </w:t>
      </w:r>
      <w:r w:rsidRPr="004C54B9">
        <w:rPr>
          <w:rFonts w:ascii="Arial Narrow" w:hAnsi="Arial Narrow" w:cs="Arial"/>
        </w:rPr>
        <w:t>predstavuje približne 50 mil. eur na oprávnené obdobie do októbra 2023.</w:t>
      </w:r>
    </w:p>
    <w:p w14:paraId="146B0F9F" w14:textId="77777777" w:rsidR="00AA29DE" w:rsidRPr="004C54B9" w:rsidRDefault="00AA29DE" w:rsidP="004C54B9">
      <w:pPr>
        <w:spacing w:after="0" w:line="240" w:lineRule="auto"/>
        <w:jc w:val="both"/>
        <w:rPr>
          <w:rFonts w:ascii="Arial Narrow" w:hAnsi="Arial Narrow" w:cs="Arial"/>
        </w:rPr>
      </w:pPr>
    </w:p>
    <w:p w14:paraId="6A42F909" w14:textId="77777777" w:rsidR="00AA29DE" w:rsidRPr="004C54B9" w:rsidRDefault="00AA29DE" w:rsidP="004C54B9">
      <w:pPr>
        <w:spacing w:after="0" w:line="240" w:lineRule="auto"/>
        <w:jc w:val="both"/>
        <w:rPr>
          <w:rFonts w:ascii="Arial Narrow" w:hAnsi="Arial Narrow" w:cs="Arial"/>
          <w:b/>
          <w:i/>
        </w:rPr>
      </w:pPr>
      <w:r w:rsidRPr="004C54B9">
        <w:rPr>
          <w:rFonts w:ascii="Arial Narrow" w:hAnsi="Arial Narrow" w:cs="Arial"/>
          <w:b/>
          <w:i/>
        </w:rPr>
        <w:t>Zosúlaďovanie rodinného a pracovného života</w:t>
      </w:r>
    </w:p>
    <w:p w14:paraId="2658C9E7" w14:textId="1F302436" w:rsidR="00F01889" w:rsidRPr="00BF0803" w:rsidRDefault="00515A0B" w:rsidP="00F01889">
      <w:pPr>
        <w:pStyle w:val="Default"/>
        <w:jc w:val="both"/>
        <w:rPr>
          <w:rFonts w:ascii="Arial Narrow" w:hAnsi="Arial Narrow"/>
          <w:sz w:val="22"/>
          <w:szCs w:val="22"/>
        </w:rPr>
      </w:pPr>
      <w:r w:rsidRPr="00F01889">
        <w:rPr>
          <w:rFonts w:ascii="Arial Narrow" w:hAnsi="Arial Narrow" w:cs="Arial"/>
          <w:b/>
          <w:sz w:val="22"/>
          <w:szCs w:val="22"/>
        </w:rPr>
        <w:t>Za účelom zosúlaďovania rodinného života a pracovného života</w:t>
      </w:r>
      <w:r w:rsidRPr="00F01889">
        <w:rPr>
          <w:rFonts w:ascii="Arial Narrow" w:hAnsi="Arial Narrow" w:cs="Arial"/>
          <w:sz w:val="22"/>
          <w:szCs w:val="22"/>
        </w:rPr>
        <w:t xml:space="preserve"> </w:t>
      </w:r>
      <w:r w:rsidRPr="00F01889">
        <w:rPr>
          <w:rFonts w:ascii="Arial Narrow" w:hAnsi="Arial Narrow" w:cs="Arial"/>
          <w:b/>
          <w:sz w:val="22"/>
          <w:szCs w:val="22"/>
        </w:rPr>
        <w:t>sa podporí rozvoj a dostupnosť zariadení</w:t>
      </w:r>
      <w:r w:rsidR="00AA29DE" w:rsidRPr="00F01889">
        <w:rPr>
          <w:rFonts w:ascii="Arial Narrow" w:hAnsi="Arial Narrow" w:cs="Arial"/>
          <w:b/>
          <w:sz w:val="22"/>
          <w:szCs w:val="22"/>
        </w:rPr>
        <w:t xml:space="preserve"> starostli</w:t>
      </w:r>
      <w:r w:rsidRPr="00F01889">
        <w:rPr>
          <w:rFonts w:ascii="Arial Narrow" w:hAnsi="Arial Narrow" w:cs="Arial"/>
          <w:b/>
          <w:sz w:val="22"/>
          <w:szCs w:val="22"/>
        </w:rPr>
        <w:t>vosti o deti do troch rokov</w:t>
      </w:r>
      <w:r w:rsidRPr="00F01889">
        <w:rPr>
          <w:rFonts w:ascii="Arial Narrow" w:hAnsi="Arial Narrow" w:cs="Arial"/>
          <w:sz w:val="22"/>
          <w:szCs w:val="22"/>
        </w:rPr>
        <w:t xml:space="preserve">. </w:t>
      </w:r>
      <w:r w:rsidR="0052592E" w:rsidRPr="00F01889">
        <w:rPr>
          <w:rFonts w:ascii="Arial Narrow" w:hAnsi="Arial Narrow" w:cs="Arial"/>
          <w:sz w:val="22"/>
          <w:szCs w:val="22"/>
        </w:rPr>
        <w:t xml:space="preserve">Po schválení tzv. jasličkového zákona v roku 2017, ktorý definuje legislatívny rámec pre činnosť zariadení starostlivosti o deti do troch rokov, sa pripravili podmienky finančnej podpory pre čerpanie finančných zdrojov z EÚ v programovom období na roky 2014 až 2020. </w:t>
      </w:r>
      <w:r w:rsidRPr="00F01889">
        <w:rPr>
          <w:rFonts w:ascii="Arial Narrow" w:hAnsi="Arial Narrow" w:cs="Arial"/>
          <w:sz w:val="22"/>
          <w:szCs w:val="22"/>
        </w:rPr>
        <w:t>V novembri 2018 b</w:t>
      </w:r>
      <w:r w:rsidR="00AA29DE" w:rsidRPr="00F01889">
        <w:rPr>
          <w:rFonts w:ascii="Arial Narrow" w:hAnsi="Arial Narrow" w:cs="Arial"/>
          <w:sz w:val="22"/>
          <w:szCs w:val="22"/>
        </w:rPr>
        <w:t>ola vyhlásená z IROP výzva na podporu a rozvoj služieb starostlivosti o deti do troch rokov veku dieťaťa na komunitnej úrovni s celkovou alokáciou 13,5 mil. eur.</w:t>
      </w:r>
      <w:r w:rsidR="00F01889" w:rsidRPr="00F01889">
        <w:rPr>
          <w:rFonts w:ascii="Arial Narrow" w:hAnsi="Arial Narrow" w:cs="Arial"/>
          <w:sz w:val="22"/>
          <w:szCs w:val="22"/>
        </w:rPr>
        <w:t xml:space="preserve"> </w:t>
      </w:r>
      <w:r w:rsidR="00911E42" w:rsidRPr="004E5C93">
        <w:rPr>
          <w:rFonts w:ascii="Arial Narrow" w:hAnsi="Arial Narrow" w:cs="Arial"/>
          <w:sz w:val="22"/>
          <w:szCs w:val="22"/>
        </w:rPr>
        <w:t>V rámci OP ĽZ boli podporené dopytovo orientované projekty na rozvoj flexibilných foriem starostlivosti o deti a rozšírenie flexibilných foriem práce pre matky malých detí.</w:t>
      </w:r>
      <w:r w:rsidR="00911E42">
        <w:rPr>
          <w:rFonts w:ascii="Arial Narrow" w:hAnsi="Arial Narrow" w:cs="Arial"/>
          <w:sz w:val="22"/>
          <w:szCs w:val="22"/>
        </w:rPr>
        <w:t xml:space="preserve"> </w:t>
      </w:r>
      <w:r w:rsidR="002974DB">
        <w:rPr>
          <w:rFonts w:ascii="Arial Narrow" w:hAnsi="Arial Narrow"/>
          <w:sz w:val="22"/>
          <w:szCs w:val="22"/>
        </w:rPr>
        <w:t xml:space="preserve">Podiel otcov </w:t>
      </w:r>
      <w:r w:rsidR="00911E42">
        <w:rPr>
          <w:rFonts w:ascii="Arial Narrow" w:hAnsi="Arial Narrow"/>
          <w:sz w:val="22"/>
          <w:szCs w:val="22"/>
        </w:rPr>
        <w:t>poberajúcich materské</w:t>
      </w:r>
      <w:r w:rsidR="002974DB">
        <w:rPr>
          <w:rFonts w:ascii="Arial Narrow" w:hAnsi="Arial Narrow"/>
          <w:sz w:val="22"/>
          <w:szCs w:val="22"/>
        </w:rPr>
        <w:t xml:space="preserve"> sa každoročné výrazne zvyšoval, oproti roku 2016 sa približne strojnásobil na 15 % z priemerného mesačného počtu poberateľov materskej. </w:t>
      </w:r>
      <w:r w:rsidR="00F01889" w:rsidRPr="00F01889">
        <w:rPr>
          <w:rFonts w:ascii="Arial Narrow" w:hAnsi="Arial Narrow"/>
          <w:sz w:val="22"/>
          <w:szCs w:val="22"/>
        </w:rPr>
        <w:t xml:space="preserve">Od roku 2019 môžu </w:t>
      </w:r>
      <w:r w:rsidR="002974DB">
        <w:rPr>
          <w:rFonts w:ascii="Arial Narrow" w:hAnsi="Arial Narrow"/>
          <w:sz w:val="22"/>
          <w:szCs w:val="22"/>
        </w:rPr>
        <w:t xml:space="preserve">navyše </w:t>
      </w:r>
      <w:r w:rsidR="00F01889" w:rsidRPr="00F01889">
        <w:rPr>
          <w:rFonts w:ascii="Arial Narrow" w:hAnsi="Arial Narrow"/>
          <w:sz w:val="22"/>
          <w:szCs w:val="22"/>
        </w:rPr>
        <w:t>dvaja rodičia čerpať matersk</w:t>
      </w:r>
      <w:r w:rsidR="00911E42">
        <w:rPr>
          <w:rFonts w:ascii="Arial Narrow" w:hAnsi="Arial Narrow"/>
          <w:sz w:val="22"/>
          <w:szCs w:val="22"/>
        </w:rPr>
        <w:t>é</w:t>
      </w:r>
      <w:r w:rsidR="00F01889" w:rsidRPr="00F01889">
        <w:rPr>
          <w:rFonts w:ascii="Arial Narrow" w:hAnsi="Arial Narrow"/>
          <w:sz w:val="22"/>
          <w:szCs w:val="22"/>
        </w:rPr>
        <w:t xml:space="preserve"> </w:t>
      </w:r>
      <w:r w:rsidR="00F01889" w:rsidRPr="00BF0803">
        <w:rPr>
          <w:rFonts w:ascii="Arial Narrow" w:hAnsi="Arial Narrow"/>
          <w:sz w:val="22"/>
          <w:szCs w:val="22"/>
        </w:rPr>
        <w:t>súbežne</w:t>
      </w:r>
      <w:r w:rsidR="001E057C">
        <w:rPr>
          <w:rFonts w:ascii="Arial Narrow" w:hAnsi="Arial Narrow"/>
          <w:sz w:val="22"/>
          <w:szCs w:val="22"/>
        </w:rPr>
        <w:t xml:space="preserve"> v</w:t>
      </w:r>
      <w:r w:rsidR="0053061C">
        <w:rPr>
          <w:rFonts w:ascii="Arial Narrow" w:hAnsi="Arial Narrow"/>
          <w:sz w:val="22"/>
          <w:szCs w:val="22"/>
        </w:rPr>
        <w:t> </w:t>
      </w:r>
      <w:r w:rsidR="001E057C">
        <w:rPr>
          <w:rFonts w:ascii="Arial Narrow" w:hAnsi="Arial Narrow"/>
          <w:sz w:val="22"/>
          <w:szCs w:val="22"/>
        </w:rPr>
        <w:t>prípade</w:t>
      </w:r>
      <w:r w:rsidR="0053061C">
        <w:rPr>
          <w:rFonts w:ascii="Arial Narrow" w:hAnsi="Arial Narrow"/>
          <w:sz w:val="22"/>
          <w:szCs w:val="22"/>
        </w:rPr>
        <w:t>,</w:t>
      </w:r>
      <w:r w:rsidR="001E057C">
        <w:rPr>
          <w:rFonts w:ascii="Arial Narrow" w:hAnsi="Arial Narrow"/>
          <w:sz w:val="22"/>
          <w:szCs w:val="22"/>
        </w:rPr>
        <w:t xml:space="preserve"> že majú viac ako jedno dieťa vo veku do troch rokov</w:t>
      </w:r>
      <w:r w:rsidR="00F01889" w:rsidRPr="00BF0803">
        <w:rPr>
          <w:rFonts w:ascii="Arial Narrow" w:hAnsi="Arial Narrow"/>
          <w:sz w:val="22"/>
          <w:szCs w:val="22"/>
        </w:rPr>
        <w:t>.</w:t>
      </w:r>
      <w:r w:rsidR="001E057C">
        <w:rPr>
          <w:rStyle w:val="Odkaznapoznmkupodiarou"/>
          <w:rFonts w:ascii="Arial Narrow" w:hAnsi="Arial Narrow"/>
          <w:sz w:val="22"/>
          <w:szCs w:val="22"/>
        </w:rPr>
        <w:footnoteReference w:id="26"/>
      </w:r>
      <w:r w:rsidR="00F01889" w:rsidRPr="00BF0803">
        <w:rPr>
          <w:rFonts w:ascii="Arial Narrow" w:hAnsi="Arial Narrow"/>
          <w:sz w:val="22"/>
          <w:szCs w:val="22"/>
        </w:rPr>
        <w:t xml:space="preserve"> </w:t>
      </w:r>
    </w:p>
    <w:p w14:paraId="37467185" w14:textId="77777777" w:rsidR="00AA29DE" w:rsidRPr="004C54B9" w:rsidRDefault="00470370" w:rsidP="00F01889">
      <w:pPr>
        <w:spacing w:after="0" w:line="240" w:lineRule="auto"/>
        <w:jc w:val="both"/>
        <w:rPr>
          <w:rFonts w:ascii="Arial Narrow" w:hAnsi="Arial Narrow" w:cs="Arial"/>
          <w:i/>
          <w:lang w:val="en-US"/>
        </w:rPr>
      </w:pPr>
      <w:r>
        <w:rPr>
          <w:rFonts w:ascii="Arial Narrow" w:hAnsi="Arial Narrow" w:cs="Arial"/>
        </w:rPr>
        <w:t xml:space="preserve">  </w:t>
      </w:r>
    </w:p>
    <w:p w14:paraId="247DC38D" w14:textId="77777777" w:rsidR="00F871C0" w:rsidRPr="00F871C0" w:rsidRDefault="00F871C0" w:rsidP="00F871C0">
      <w:pPr>
        <w:spacing w:after="0" w:line="240" w:lineRule="auto"/>
        <w:rPr>
          <w:rFonts w:ascii="Arial Narrow" w:hAnsi="Arial Narrow" w:cs="Arial"/>
          <w:b/>
          <w:i/>
          <w:color w:val="000000"/>
        </w:rPr>
      </w:pPr>
      <w:r w:rsidRPr="00F871C0">
        <w:rPr>
          <w:rFonts w:ascii="Arial Narrow" w:hAnsi="Arial Narrow" w:cs="Arial"/>
          <w:b/>
          <w:i/>
          <w:color w:val="000000"/>
        </w:rPr>
        <w:t>Integrácia sociálne vylúčených a marginalizovaných rómskych komunít</w:t>
      </w:r>
    </w:p>
    <w:p w14:paraId="07C3AF99" w14:textId="23CA5126" w:rsidR="00B802FA" w:rsidRPr="00B802FA" w:rsidRDefault="00B802FA" w:rsidP="00B802FA">
      <w:pPr>
        <w:spacing w:after="0" w:line="240" w:lineRule="auto"/>
        <w:jc w:val="both"/>
        <w:rPr>
          <w:rFonts w:ascii="Arial Narrow" w:hAnsi="Arial Narrow" w:cs="Arial"/>
          <w:b/>
          <w:color w:val="000000"/>
        </w:rPr>
      </w:pPr>
      <w:r w:rsidRPr="00B802FA">
        <w:rPr>
          <w:rFonts w:ascii="Arial Narrow" w:hAnsi="Arial Narrow" w:cs="Arial"/>
          <w:b/>
          <w:color w:val="000000"/>
        </w:rPr>
        <w:t>Implementujú sa viaceré p</w:t>
      </w:r>
      <w:r w:rsidR="00CE424E">
        <w:rPr>
          <w:rFonts w:ascii="Arial Narrow" w:hAnsi="Arial Narrow" w:cs="Arial"/>
          <w:b/>
          <w:color w:val="000000"/>
        </w:rPr>
        <w:t xml:space="preserve">rojekty a opatrenia na podporu </w:t>
      </w:r>
      <w:r w:rsidRPr="00B802FA">
        <w:rPr>
          <w:rFonts w:ascii="Arial Narrow" w:hAnsi="Arial Narrow" w:cs="Arial"/>
          <w:b/>
          <w:color w:val="000000"/>
        </w:rPr>
        <w:t xml:space="preserve">inklúzie detí zo sociálne znevýhodneného prostredia. </w:t>
      </w:r>
      <w:r w:rsidRPr="00B802FA">
        <w:rPr>
          <w:rFonts w:ascii="Arial Narrow" w:hAnsi="Arial Narrow" w:cs="Arial"/>
          <w:color w:val="000000"/>
        </w:rPr>
        <w:t xml:space="preserve">Pokračuje sa v realizácii projektu </w:t>
      </w:r>
      <w:r w:rsidR="00F74F67">
        <w:rPr>
          <w:rFonts w:ascii="Arial Narrow" w:hAnsi="Arial Narrow" w:cs="Arial"/>
          <w:i/>
          <w:color w:val="000000"/>
        </w:rPr>
        <w:t xml:space="preserve">Škola otvorená všetkým </w:t>
      </w:r>
      <w:r w:rsidRPr="00B802FA">
        <w:rPr>
          <w:rFonts w:ascii="Arial Narrow" w:hAnsi="Arial Narrow" w:cs="Arial"/>
          <w:color w:val="000000"/>
        </w:rPr>
        <w:t xml:space="preserve"> s alokáciou takmer 30 mil. eur z EÚ zdrojov, ktorý podporuje implementáciu modelu </w:t>
      </w:r>
      <w:proofErr w:type="spellStart"/>
      <w:r w:rsidRPr="00B802FA">
        <w:rPr>
          <w:rFonts w:ascii="Arial Narrow" w:hAnsi="Arial Narrow" w:cs="Arial"/>
          <w:color w:val="000000"/>
        </w:rPr>
        <w:t>inkluzívneho</w:t>
      </w:r>
      <w:proofErr w:type="spellEnd"/>
      <w:r w:rsidRPr="00B802FA">
        <w:rPr>
          <w:rFonts w:ascii="Arial Narrow" w:hAnsi="Arial Narrow" w:cs="Arial"/>
          <w:color w:val="000000"/>
        </w:rPr>
        <w:t xml:space="preserve"> vzdelávania detí so špeciálnymi potrebami v MŠ a ZŠ a neformálne vzdelávanie detí z MRK. K januáru 2019 bolo podporených 19 106 žiakov ZŠ, 5 353 detí MŠ a 2 027 pedagogických a odborných zamestnancov zvyšujúcich si odborné kompetencie v celkovo 130 zákla</w:t>
      </w:r>
      <w:r w:rsidR="006F6BFF">
        <w:rPr>
          <w:rFonts w:ascii="Arial Narrow" w:hAnsi="Arial Narrow" w:cs="Arial"/>
          <w:color w:val="000000"/>
        </w:rPr>
        <w:t xml:space="preserve">dných a </w:t>
      </w:r>
      <w:r w:rsidRPr="00B802FA">
        <w:rPr>
          <w:rFonts w:ascii="Arial Narrow" w:hAnsi="Arial Narrow" w:cs="Arial"/>
          <w:color w:val="000000"/>
        </w:rPr>
        <w:t>50 materských školách. V rám</w:t>
      </w:r>
      <w:r w:rsidR="00F74F67">
        <w:rPr>
          <w:rFonts w:ascii="Arial Narrow" w:hAnsi="Arial Narrow" w:cs="Arial"/>
          <w:color w:val="000000"/>
        </w:rPr>
        <w:t xml:space="preserve">ci dopytovo orientovanej výzvy </w:t>
      </w:r>
      <w:r w:rsidRPr="00B802FA">
        <w:rPr>
          <w:rFonts w:ascii="Arial Narrow" w:hAnsi="Arial Narrow" w:cs="Arial"/>
          <w:i/>
          <w:color w:val="000000"/>
        </w:rPr>
        <w:t>V základnej škole úspešnejší</w:t>
      </w:r>
      <w:r w:rsidR="00F74F67">
        <w:rPr>
          <w:rFonts w:ascii="Arial Narrow" w:hAnsi="Arial Narrow" w:cs="Arial"/>
          <w:color w:val="000000"/>
        </w:rPr>
        <w:t xml:space="preserve"> </w:t>
      </w:r>
      <w:r w:rsidRPr="00B802FA">
        <w:rPr>
          <w:rFonts w:ascii="Arial Narrow" w:hAnsi="Arial Narrow" w:cs="Arial"/>
          <w:color w:val="000000"/>
        </w:rPr>
        <w:t xml:space="preserve">z decembra 2016 s alokáciou 50 mil. eur z EÚ zdrojov takisto zameranej na zvýšenie </w:t>
      </w:r>
      <w:proofErr w:type="spellStart"/>
      <w:r w:rsidRPr="00B802FA">
        <w:rPr>
          <w:rFonts w:ascii="Arial Narrow" w:hAnsi="Arial Narrow" w:cs="Arial"/>
          <w:color w:val="000000"/>
        </w:rPr>
        <w:t>inkluzívnosti</w:t>
      </w:r>
      <w:proofErr w:type="spellEnd"/>
      <w:r w:rsidRPr="00B802FA">
        <w:rPr>
          <w:rFonts w:ascii="Arial Narrow" w:hAnsi="Arial Narrow" w:cs="Arial"/>
          <w:color w:val="000000"/>
        </w:rPr>
        <w:t xml:space="preserve"> vzdelávania sa finančne podporuje tvorba nových pracovných miest pre </w:t>
      </w:r>
      <w:r w:rsidR="007B7C04" w:rsidRPr="00B7619E">
        <w:rPr>
          <w:rFonts w:ascii="Arial Narrow" w:hAnsi="Arial Narrow" w:cs="Arial"/>
          <w:color w:val="000000"/>
        </w:rPr>
        <w:t xml:space="preserve">pedagogických asistentov </w:t>
      </w:r>
      <w:r w:rsidRPr="00B802FA">
        <w:rPr>
          <w:rFonts w:ascii="Arial Narrow" w:hAnsi="Arial Narrow" w:cs="Arial"/>
          <w:color w:val="000000"/>
        </w:rPr>
        <w:t xml:space="preserve">a odborných zamestnancov </w:t>
      </w:r>
      <w:proofErr w:type="spellStart"/>
      <w:r w:rsidRPr="00B802FA">
        <w:rPr>
          <w:rFonts w:ascii="Arial Narrow" w:hAnsi="Arial Narrow" w:cs="Arial"/>
          <w:color w:val="000000"/>
        </w:rPr>
        <w:t>inkluzívneho</w:t>
      </w:r>
      <w:proofErr w:type="spellEnd"/>
      <w:r w:rsidRPr="00B802FA">
        <w:rPr>
          <w:rFonts w:ascii="Arial Narrow" w:hAnsi="Arial Narrow" w:cs="Arial"/>
          <w:color w:val="000000"/>
        </w:rPr>
        <w:t xml:space="preserve"> tímu, ako napríklad špeciálny a sociálny pedagóg. K januáru 2019 bolo celkovo uzatvorených 474 zmlúv vo výške 47 mil. Pokračovaním </w:t>
      </w:r>
      <w:r w:rsidR="009612BE">
        <w:rPr>
          <w:rFonts w:ascii="Arial Narrow" w:hAnsi="Arial Narrow" w:cs="Arial"/>
          <w:color w:val="000000"/>
        </w:rPr>
        <w:t xml:space="preserve">tejto výzvy je výzva </w:t>
      </w:r>
      <w:r w:rsidRPr="00B802FA">
        <w:rPr>
          <w:rFonts w:ascii="Arial Narrow" w:hAnsi="Arial Narrow" w:cs="Arial"/>
          <w:i/>
          <w:color w:val="000000"/>
        </w:rPr>
        <w:t>V základnej škole úspešnejší II</w:t>
      </w:r>
      <w:r w:rsidRPr="00B802FA">
        <w:rPr>
          <w:rFonts w:ascii="Arial Narrow" w:hAnsi="Arial Narrow" w:cs="Arial"/>
          <w:color w:val="000000"/>
        </w:rPr>
        <w:t xml:space="preserve"> vyhlásená v novembri 2018 s alokáciou 9,5 mil. </w:t>
      </w:r>
      <w:r w:rsidR="00AE5269">
        <w:rPr>
          <w:rFonts w:ascii="Arial Narrow" w:hAnsi="Arial Narrow" w:cs="Arial"/>
          <w:color w:val="000000"/>
        </w:rPr>
        <w:t>eur</w:t>
      </w:r>
      <w:r w:rsidRPr="00B802FA">
        <w:rPr>
          <w:rFonts w:ascii="Arial Narrow" w:hAnsi="Arial Narrow" w:cs="Arial"/>
          <w:color w:val="000000"/>
        </w:rPr>
        <w:t xml:space="preserve">. K podpore detí a žiakov zo znevýhodneného prostredia prispieva aj schválenie </w:t>
      </w:r>
      <w:r w:rsidR="00BF0803">
        <w:rPr>
          <w:rFonts w:ascii="Arial Narrow" w:hAnsi="Arial Narrow" w:cs="Arial"/>
          <w:color w:val="000000"/>
        </w:rPr>
        <w:t>„</w:t>
      </w:r>
      <w:r w:rsidRPr="00B802FA">
        <w:rPr>
          <w:rFonts w:ascii="Arial Narrow" w:hAnsi="Arial Narrow" w:cs="Arial"/>
          <w:color w:val="000000"/>
        </w:rPr>
        <w:t>obedov</w:t>
      </w:r>
      <w:r w:rsidR="00BF0803">
        <w:rPr>
          <w:rFonts w:ascii="Arial Narrow" w:hAnsi="Arial Narrow" w:cs="Arial"/>
          <w:color w:val="000000"/>
        </w:rPr>
        <w:t xml:space="preserve"> </w:t>
      </w:r>
      <w:r w:rsidRPr="00B802FA">
        <w:rPr>
          <w:rFonts w:ascii="Arial Narrow" w:hAnsi="Arial Narrow" w:cs="Arial"/>
          <w:color w:val="000000"/>
        </w:rPr>
        <w:t>zadarmo“, dotácie pre podporu výchovy k stravovacím návykom pre deti posledného ročníka MŠ od januára 2019 a žiakov základných škôl od septembra 2019.</w:t>
      </w:r>
    </w:p>
    <w:p w14:paraId="79343CF9" w14:textId="77777777" w:rsidR="00F871C0" w:rsidRPr="00F871C0" w:rsidRDefault="00F871C0" w:rsidP="00F871C0">
      <w:pPr>
        <w:spacing w:after="0" w:line="240" w:lineRule="auto"/>
        <w:jc w:val="both"/>
        <w:rPr>
          <w:rFonts w:ascii="Arial Narrow" w:hAnsi="Arial Narrow" w:cs="Arial"/>
          <w:b/>
          <w:color w:val="000000"/>
        </w:rPr>
      </w:pPr>
    </w:p>
    <w:p w14:paraId="641405BB" w14:textId="3F0200B3" w:rsidR="007118B5" w:rsidRPr="00F871C0" w:rsidRDefault="007118B5" w:rsidP="004C54B9">
      <w:pPr>
        <w:spacing w:after="0" w:line="240" w:lineRule="auto"/>
        <w:jc w:val="both"/>
        <w:rPr>
          <w:rFonts w:ascii="Arial Narrow" w:hAnsi="Arial Narrow" w:cs="Arial"/>
          <w:b/>
          <w:color w:val="000000"/>
        </w:rPr>
      </w:pPr>
      <w:r w:rsidRPr="00F871C0">
        <w:rPr>
          <w:rFonts w:ascii="Arial Narrow" w:hAnsi="Arial Narrow" w:cs="Arial"/>
          <w:b/>
          <w:color w:val="000000"/>
        </w:rPr>
        <w:t>Pokračujú projekty na podporu inklúzie vylúčených komunít formou poskytovania vybraných sociálnych služieb a terénnej sociálnej práce.</w:t>
      </w:r>
      <w:r w:rsidRPr="00F871C0">
        <w:rPr>
          <w:rFonts w:ascii="Arial Narrow" w:hAnsi="Arial Narrow" w:cs="Arial"/>
          <w:color w:val="000000"/>
        </w:rPr>
        <w:t xml:space="preserve"> K októbru 2018 bolo vo výkone 93 poskytovateľov v komunitnom centre, </w:t>
      </w:r>
      <w:proofErr w:type="spellStart"/>
      <w:r w:rsidRPr="00F871C0">
        <w:rPr>
          <w:rFonts w:ascii="Arial Narrow" w:hAnsi="Arial Narrow" w:cs="Arial"/>
          <w:color w:val="000000"/>
        </w:rPr>
        <w:t>nízkoprahovom</w:t>
      </w:r>
      <w:proofErr w:type="spellEnd"/>
      <w:r w:rsidRPr="00F871C0">
        <w:rPr>
          <w:rFonts w:ascii="Arial Narrow" w:hAnsi="Arial Narrow" w:cs="Arial"/>
          <w:color w:val="000000"/>
        </w:rPr>
        <w:t xml:space="preserve"> dennom centre alebo </w:t>
      </w:r>
      <w:proofErr w:type="spellStart"/>
      <w:r w:rsidRPr="00F871C0">
        <w:rPr>
          <w:rFonts w:ascii="Arial Narrow" w:hAnsi="Arial Narrow" w:cs="Arial"/>
          <w:color w:val="000000"/>
        </w:rPr>
        <w:t>nízkoprahovej</w:t>
      </w:r>
      <w:proofErr w:type="spellEnd"/>
      <w:r w:rsidRPr="00F871C0">
        <w:rPr>
          <w:rFonts w:ascii="Arial Narrow" w:hAnsi="Arial Narrow" w:cs="Arial"/>
          <w:color w:val="000000"/>
        </w:rPr>
        <w:t xml:space="preserve"> sociálnej službe pre deti a rodinu. Počet klientov zúčastnených na pravidelných aktivitách </w:t>
      </w:r>
      <w:r w:rsidR="00E10D0E" w:rsidRPr="00F871C0">
        <w:rPr>
          <w:rFonts w:ascii="Arial Narrow" w:hAnsi="Arial Narrow" w:cs="Arial"/>
          <w:color w:val="000000"/>
        </w:rPr>
        <w:t xml:space="preserve">dosiahol takmer </w:t>
      </w:r>
      <w:r w:rsidR="005E0829" w:rsidRPr="00F871C0">
        <w:rPr>
          <w:rFonts w:ascii="Arial Narrow" w:hAnsi="Arial Narrow" w:cs="Arial"/>
          <w:color w:val="000000"/>
        </w:rPr>
        <w:t>37 tisíc</w:t>
      </w:r>
      <w:r w:rsidRPr="00F871C0">
        <w:rPr>
          <w:rFonts w:ascii="Arial Narrow" w:hAnsi="Arial Narrow" w:cs="Arial"/>
          <w:color w:val="000000"/>
        </w:rPr>
        <w:t>.</w:t>
      </w:r>
      <w:r w:rsidR="0024192A" w:rsidRPr="00F871C0">
        <w:rPr>
          <w:rFonts w:ascii="Arial Narrow" w:hAnsi="Arial Narrow" w:cs="Arial"/>
          <w:color w:val="000000"/>
        </w:rPr>
        <w:t xml:space="preserve"> </w:t>
      </w:r>
      <w:r w:rsidR="00E95889">
        <w:rPr>
          <w:rFonts w:ascii="Arial Narrow" w:hAnsi="Arial Narrow" w:cs="Arial"/>
          <w:color w:val="000000"/>
        </w:rPr>
        <w:t>O</w:t>
      </w:r>
      <w:r w:rsidRPr="00F871C0">
        <w:rPr>
          <w:rFonts w:ascii="Arial Narrow" w:hAnsi="Arial Narrow" w:cs="Arial"/>
          <w:color w:val="000000"/>
        </w:rPr>
        <w:t xml:space="preserve">d októbra 2015 do septembra 2019 sa implementuje projekt </w:t>
      </w:r>
      <w:r w:rsidRPr="00F871C0">
        <w:rPr>
          <w:rFonts w:ascii="Arial Narrow" w:hAnsi="Arial Narrow" w:cs="Arial"/>
          <w:i/>
          <w:color w:val="000000"/>
        </w:rPr>
        <w:t>Terénna sociálna práca v obciach I.</w:t>
      </w:r>
      <w:r w:rsidRPr="00F871C0">
        <w:rPr>
          <w:rFonts w:ascii="Arial Narrow" w:hAnsi="Arial Narrow" w:cs="Arial"/>
          <w:color w:val="000000"/>
        </w:rPr>
        <w:t xml:space="preserve"> vo všetkých krajoch</w:t>
      </w:r>
      <w:r w:rsidR="005E0829" w:rsidRPr="00F871C0">
        <w:rPr>
          <w:rFonts w:ascii="Arial Narrow" w:hAnsi="Arial Narrow" w:cs="Arial"/>
          <w:color w:val="000000"/>
        </w:rPr>
        <w:t xml:space="preserve"> Slovenska</w:t>
      </w:r>
      <w:r w:rsidRPr="00F871C0">
        <w:rPr>
          <w:rFonts w:ascii="Arial Narrow" w:hAnsi="Arial Narrow" w:cs="Arial"/>
          <w:color w:val="000000"/>
        </w:rPr>
        <w:t xml:space="preserve"> </w:t>
      </w:r>
      <w:r w:rsidRPr="00F871C0">
        <w:rPr>
          <w:rFonts w:ascii="Arial Narrow" w:hAnsi="Arial Narrow" w:cs="Arial"/>
          <w:color w:val="000000"/>
        </w:rPr>
        <w:lastRenderedPageBreak/>
        <w:t>s celkovou výškou finan</w:t>
      </w:r>
      <w:r w:rsidR="00E95889">
        <w:rPr>
          <w:rFonts w:ascii="Arial Narrow" w:hAnsi="Arial Narrow" w:cs="Arial"/>
          <w:color w:val="000000"/>
        </w:rPr>
        <w:t xml:space="preserve">čnej alokácie 29,3 mil. eur. </w:t>
      </w:r>
      <w:r w:rsidRPr="00F871C0">
        <w:rPr>
          <w:rFonts w:ascii="Arial Narrow" w:hAnsi="Arial Narrow" w:cs="Arial"/>
          <w:color w:val="000000"/>
        </w:rPr>
        <w:t>Projekt je zameraný na pomoc osobám, ktoré žijú v riziku chudoby, sú ohrozené sociálnym vylúčením alebo sú sociálne vylúčené. V súčasnosti je zapojených 233 subjektov (224 obcí a 9 mimovládnych organizácii) a 523 pracovn</w:t>
      </w:r>
      <w:r w:rsidR="005E0829" w:rsidRPr="00F871C0">
        <w:rPr>
          <w:rFonts w:ascii="Arial Narrow" w:hAnsi="Arial Narrow" w:cs="Arial"/>
          <w:color w:val="000000"/>
        </w:rPr>
        <w:t xml:space="preserve">íkov terénnej sociálnej práce. </w:t>
      </w:r>
    </w:p>
    <w:p w14:paraId="6F2CB8B6" w14:textId="77777777" w:rsidR="0024192A" w:rsidRPr="00F871C0" w:rsidRDefault="0024192A" w:rsidP="004C54B9">
      <w:pPr>
        <w:spacing w:after="0" w:line="240" w:lineRule="auto"/>
        <w:jc w:val="both"/>
        <w:rPr>
          <w:rFonts w:ascii="Arial Narrow" w:hAnsi="Arial Narrow" w:cs="Arial"/>
          <w:color w:val="000000"/>
        </w:rPr>
      </w:pPr>
    </w:p>
    <w:p w14:paraId="21B71FE5" w14:textId="5A436FDD" w:rsidR="00917517" w:rsidRPr="00F871C0" w:rsidRDefault="0024192A" w:rsidP="004C54B9">
      <w:pPr>
        <w:spacing w:after="0" w:line="240" w:lineRule="auto"/>
        <w:jc w:val="both"/>
        <w:rPr>
          <w:rFonts w:ascii="Arial Narrow" w:hAnsi="Arial Narrow" w:cs="Arial"/>
          <w:color w:val="000000"/>
        </w:rPr>
      </w:pPr>
      <w:r w:rsidRPr="00F871C0">
        <w:rPr>
          <w:rFonts w:ascii="Arial Narrow" w:hAnsi="Arial Narrow" w:cs="Arial"/>
          <w:b/>
          <w:color w:val="000000"/>
        </w:rPr>
        <w:t>Pokračuje implementácia viacerých projektov na zvýšenie zamestnanosti, vzdelanosti a zlepšenie životných podmienok obyvateľov z marginalizovaných rómskych komunít</w:t>
      </w:r>
      <w:r w:rsidRPr="00F871C0">
        <w:rPr>
          <w:rFonts w:ascii="Arial Narrow" w:hAnsi="Arial Narrow" w:cs="Arial"/>
          <w:color w:val="000000"/>
        </w:rPr>
        <w:t xml:space="preserve">. </w:t>
      </w:r>
      <w:r w:rsidR="00511CA2" w:rsidRPr="00F871C0">
        <w:rPr>
          <w:rFonts w:ascii="Arial Narrow" w:hAnsi="Arial Narrow" w:cs="Arial"/>
          <w:color w:val="000000"/>
        </w:rPr>
        <w:t>Terénna sociálna práca a komunitné centrá sa podporujú aj v obciach s prítomnosťou MRK. Terénna sociálna práca prebieha v </w:t>
      </w:r>
      <w:r w:rsidR="00B94E25" w:rsidRPr="00F871C0">
        <w:rPr>
          <w:rFonts w:ascii="Arial Narrow" w:hAnsi="Arial Narrow" w:cs="Arial"/>
          <w:color w:val="000000"/>
        </w:rPr>
        <w:t>1</w:t>
      </w:r>
      <w:r w:rsidR="00B94E25">
        <w:rPr>
          <w:rFonts w:ascii="Arial Narrow" w:hAnsi="Arial Narrow" w:cs="Arial"/>
          <w:color w:val="000000"/>
        </w:rPr>
        <w:t>39</w:t>
      </w:r>
      <w:r w:rsidR="00B94E25" w:rsidRPr="00F871C0">
        <w:rPr>
          <w:rFonts w:ascii="Arial Narrow" w:hAnsi="Arial Narrow" w:cs="Arial"/>
          <w:color w:val="000000"/>
        </w:rPr>
        <w:t xml:space="preserve"> </w:t>
      </w:r>
      <w:r w:rsidR="00511CA2" w:rsidRPr="00F871C0">
        <w:rPr>
          <w:rFonts w:ascii="Arial Narrow" w:hAnsi="Arial Narrow" w:cs="Arial"/>
          <w:color w:val="000000"/>
        </w:rPr>
        <w:t>obciach a do projektu komunitných centier je zapojených 5</w:t>
      </w:r>
      <w:r w:rsidR="00B94E25">
        <w:rPr>
          <w:rFonts w:ascii="Arial Narrow" w:hAnsi="Arial Narrow" w:cs="Arial"/>
          <w:color w:val="000000"/>
        </w:rPr>
        <w:t>2</w:t>
      </w:r>
      <w:r w:rsidR="00511CA2" w:rsidRPr="00F871C0">
        <w:rPr>
          <w:rFonts w:ascii="Arial Narrow" w:hAnsi="Arial Narrow" w:cs="Arial"/>
          <w:color w:val="000000"/>
        </w:rPr>
        <w:t xml:space="preserve"> poskytovateľov sociálnych služieb. Do podpory </w:t>
      </w:r>
      <w:proofErr w:type="spellStart"/>
      <w:r w:rsidR="00511CA2" w:rsidRPr="00F871C0">
        <w:rPr>
          <w:rFonts w:ascii="Arial Narrow" w:hAnsi="Arial Narrow" w:cs="Arial"/>
          <w:color w:val="000000"/>
        </w:rPr>
        <w:t>predprimárneho</w:t>
      </w:r>
      <w:proofErr w:type="spellEnd"/>
      <w:r w:rsidR="00511CA2" w:rsidRPr="00F871C0">
        <w:rPr>
          <w:rFonts w:ascii="Arial Narrow" w:hAnsi="Arial Narrow" w:cs="Arial"/>
          <w:color w:val="000000"/>
        </w:rPr>
        <w:t xml:space="preserve"> vzdelávania detí z MRK sa v priebehu roka 2018 zapojilo 80 obcí</w:t>
      </w:r>
      <w:r w:rsidR="00B94E25">
        <w:rPr>
          <w:rFonts w:ascii="Arial Narrow" w:hAnsi="Arial Narrow" w:cs="Arial"/>
          <w:color w:val="000000"/>
        </w:rPr>
        <w:t>, v súčasnosti je už zapojených 103 obcí</w:t>
      </w:r>
      <w:r w:rsidR="00511CA2" w:rsidRPr="00F871C0">
        <w:rPr>
          <w:rFonts w:ascii="Arial Narrow" w:hAnsi="Arial Narrow" w:cs="Arial"/>
          <w:color w:val="000000"/>
        </w:rPr>
        <w:t>. Cieľom projektu je vyšším počtom detí z MRK navštevujúcich materské školy zabezpečiť zvyšovanie vzdelanostnej úrovne populácie z MRK</w:t>
      </w:r>
      <w:r w:rsidR="00B94E25">
        <w:rPr>
          <w:rStyle w:val="Odkaznapoznmkupodiarou"/>
          <w:rFonts w:ascii="Arial Narrow" w:hAnsi="Arial Narrow" w:cs="Arial"/>
          <w:color w:val="000000"/>
        </w:rPr>
        <w:footnoteReference w:id="27"/>
      </w:r>
      <w:r w:rsidR="00511CA2" w:rsidRPr="00F871C0">
        <w:rPr>
          <w:rFonts w:ascii="Arial Narrow" w:hAnsi="Arial Narrow" w:cs="Arial"/>
          <w:color w:val="000000"/>
        </w:rPr>
        <w:t>.</w:t>
      </w:r>
      <w:r w:rsidRPr="00F871C0">
        <w:rPr>
          <w:rFonts w:ascii="Arial Narrow" w:hAnsi="Arial Narrow" w:cs="Arial"/>
          <w:color w:val="000000"/>
        </w:rPr>
        <w:t xml:space="preserve"> Za účelom zlepšenia životných podmienok v osídleniach MRK prebieha projekt podpory </w:t>
      </w:r>
      <w:proofErr w:type="spellStart"/>
      <w:r w:rsidRPr="00F871C0">
        <w:rPr>
          <w:rFonts w:ascii="Arial Narrow" w:hAnsi="Arial Narrow" w:cs="Arial"/>
          <w:color w:val="000000"/>
        </w:rPr>
        <w:t>vysporiadavania</w:t>
      </w:r>
      <w:proofErr w:type="spellEnd"/>
      <w:r w:rsidRPr="00F871C0">
        <w:rPr>
          <w:rFonts w:ascii="Arial Narrow" w:hAnsi="Arial Narrow" w:cs="Arial"/>
          <w:color w:val="000000"/>
        </w:rPr>
        <w:t xml:space="preserve"> pozemkov v obciach s prítomnosťou MRK. Aktuálne je zapojených </w:t>
      </w:r>
      <w:r w:rsidR="00B94E25" w:rsidRPr="00F871C0">
        <w:rPr>
          <w:rFonts w:ascii="Arial Narrow" w:hAnsi="Arial Narrow" w:cs="Arial"/>
          <w:color w:val="000000"/>
        </w:rPr>
        <w:t>14</w:t>
      </w:r>
      <w:r w:rsidR="00B94E25">
        <w:rPr>
          <w:rFonts w:ascii="Arial Narrow" w:hAnsi="Arial Narrow" w:cs="Arial"/>
          <w:color w:val="000000"/>
        </w:rPr>
        <w:t>3</w:t>
      </w:r>
      <w:r w:rsidR="00B94E25" w:rsidRPr="00F871C0">
        <w:rPr>
          <w:rFonts w:ascii="Arial Narrow" w:hAnsi="Arial Narrow" w:cs="Arial"/>
          <w:color w:val="000000"/>
        </w:rPr>
        <w:t xml:space="preserve"> </w:t>
      </w:r>
      <w:r w:rsidRPr="00F871C0">
        <w:rPr>
          <w:rFonts w:ascii="Arial Narrow" w:hAnsi="Arial Narrow" w:cs="Arial"/>
          <w:color w:val="000000"/>
        </w:rPr>
        <w:t>obcí.</w:t>
      </w:r>
      <w:r w:rsidR="000B50A7">
        <w:rPr>
          <w:rFonts w:ascii="Arial Narrow" w:hAnsi="Arial Narrow" w:cs="Arial"/>
          <w:color w:val="000000"/>
        </w:rPr>
        <w:t xml:space="preserve"> </w:t>
      </w:r>
      <w:r w:rsidR="000B50A7" w:rsidRPr="000B50A7">
        <w:rPr>
          <w:rFonts w:ascii="Arial Narrow" w:hAnsi="Arial Narrow" w:cs="Arial"/>
          <w:color w:val="000000"/>
        </w:rPr>
        <w:t xml:space="preserve">K januáru 2019 sa prostredníctvom projektov </w:t>
      </w:r>
      <w:r w:rsidR="000B50A7" w:rsidRPr="000B50A7">
        <w:rPr>
          <w:rFonts w:ascii="Arial Narrow" w:hAnsi="Arial Narrow" w:cs="Arial"/>
          <w:i/>
          <w:color w:val="000000"/>
        </w:rPr>
        <w:t>Zdravé komunity</w:t>
      </w:r>
      <w:r w:rsidR="000B50A7" w:rsidRPr="000B50A7">
        <w:rPr>
          <w:rFonts w:ascii="Arial Narrow" w:hAnsi="Arial Narrow" w:cs="Arial"/>
          <w:color w:val="000000"/>
        </w:rPr>
        <w:t xml:space="preserve"> </w:t>
      </w:r>
      <w:r w:rsidR="00E95889">
        <w:rPr>
          <w:rFonts w:ascii="Arial Narrow" w:hAnsi="Arial Narrow" w:cs="Arial"/>
          <w:color w:val="000000"/>
        </w:rPr>
        <w:t xml:space="preserve">pod organizáciou </w:t>
      </w:r>
      <w:r w:rsidR="00E95889" w:rsidRPr="000B50A7">
        <w:rPr>
          <w:rFonts w:ascii="Arial Narrow" w:hAnsi="Arial Narrow" w:cs="Arial"/>
          <w:i/>
          <w:color w:val="000000"/>
        </w:rPr>
        <w:t>Zdravé regióny</w:t>
      </w:r>
      <w:r w:rsidR="00E95889" w:rsidRPr="000B50A7">
        <w:rPr>
          <w:rFonts w:ascii="Arial Narrow" w:hAnsi="Arial Narrow" w:cs="Arial"/>
          <w:color w:val="000000"/>
        </w:rPr>
        <w:t xml:space="preserve"> </w:t>
      </w:r>
      <w:r w:rsidR="000B50A7" w:rsidRPr="000B50A7">
        <w:rPr>
          <w:rFonts w:ascii="Arial Narrow" w:hAnsi="Arial Narrow" w:cs="Arial"/>
          <w:color w:val="000000"/>
        </w:rPr>
        <w:t xml:space="preserve">zamestnalo celkom 261 asistentov osvety zdravia s pôsobením v 271 obciach vo všetkých krajoch Slovenska. Cieľom </w:t>
      </w:r>
      <w:r w:rsidR="00E95889">
        <w:rPr>
          <w:rFonts w:ascii="Arial Narrow" w:hAnsi="Arial Narrow" w:cs="Arial"/>
          <w:color w:val="000000"/>
        </w:rPr>
        <w:t xml:space="preserve">projektov je </w:t>
      </w:r>
      <w:r w:rsidR="000B50A7" w:rsidRPr="000B50A7">
        <w:rPr>
          <w:rFonts w:ascii="Arial Narrow" w:hAnsi="Arial Narrow" w:cs="Arial"/>
          <w:color w:val="000000"/>
        </w:rPr>
        <w:t xml:space="preserve">znižovanie rozdielov v zdraví a súčasne </w:t>
      </w:r>
      <w:r w:rsidR="00E95889">
        <w:rPr>
          <w:rFonts w:ascii="Arial Narrow" w:hAnsi="Arial Narrow" w:cs="Arial"/>
          <w:color w:val="000000"/>
        </w:rPr>
        <w:t xml:space="preserve">priniesť </w:t>
      </w:r>
      <w:r w:rsidR="000B50A7" w:rsidRPr="000B50A7">
        <w:rPr>
          <w:rFonts w:ascii="Arial Narrow" w:hAnsi="Arial Narrow" w:cs="Arial"/>
          <w:color w:val="000000"/>
        </w:rPr>
        <w:t>zlepšenie v oblasti prístupu k zdravotným službám</w:t>
      </w:r>
      <w:r w:rsidR="00E95889">
        <w:rPr>
          <w:rFonts w:ascii="Arial Narrow" w:hAnsi="Arial Narrow" w:cs="Arial"/>
          <w:color w:val="000000"/>
        </w:rPr>
        <w:t xml:space="preserve"> pre ľudí z MRK.</w:t>
      </w:r>
    </w:p>
    <w:p w14:paraId="094F5EC0" w14:textId="77777777" w:rsidR="00F871C0" w:rsidRPr="004C54B9" w:rsidRDefault="00F871C0" w:rsidP="004C54B9">
      <w:pPr>
        <w:spacing w:after="0" w:line="240" w:lineRule="auto"/>
        <w:rPr>
          <w:rFonts w:ascii="Arial Narrow" w:hAnsi="Arial Narrow" w:cs="Arial"/>
        </w:rPr>
      </w:pPr>
    </w:p>
    <w:p w14:paraId="44F294F6" w14:textId="77777777" w:rsidR="00B802FA" w:rsidRPr="00B802FA" w:rsidRDefault="00B802FA" w:rsidP="00B802FA">
      <w:pPr>
        <w:spacing w:after="0" w:line="240" w:lineRule="auto"/>
        <w:rPr>
          <w:rFonts w:ascii="Arial Narrow" w:hAnsi="Arial Narrow" w:cs="Arial"/>
          <w:b/>
          <w:i/>
          <w:color w:val="000000"/>
        </w:rPr>
      </w:pPr>
      <w:r w:rsidRPr="00B802FA">
        <w:rPr>
          <w:rFonts w:ascii="Arial Narrow" w:hAnsi="Arial Narrow" w:cs="Arial"/>
          <w:b/>
          <w:i/>
          <w:color w:val="000000"/>
        </w:rPr>
        <w:t>Vyššia kvalita a lepšia podpora učiteľov</w:t>
      </w:r>
    </w:p>
    <w:p w14:paraId="29497776" w14:textId="694FA97D" w:rsidR="00B802FA" w:rsidRPr="00B802FA" w:rsidRDefault="00B802FA" w:rsidP="00B802FA">
      <w:pPr>
        <w:spacing w:after="0" w:line="240" w:lineRule="auto"/>
        <w:jc w:val="both"/>
        <w:rPr>
          <w:rFonts w:ascii="Arial Narrow" w:hAnsi="Arial Narrow" w:cs="Arial"/>
        </w:rPr>
      </w:pPr>
      <w:r w:rsidRPr="00B802FA">
        <w:rPr>
          <w:rFonts w:ascii="Arial Narrow" w:hAnsi="Arial Narrow" w:cs="Arial"/>
          <w:b/>
        </w:rPr>
        <w:t xml:space="preserve">Pokračuje sa v opatreniach podporujúcich </w:t>
      </w:r>
      <w:r w:rsidR="00370B3D">
        <w:rPr>
          <w:rFonts w:ascii="Arial Narrow" w:hAnsi="Arial Narrow" w:cs="Arial"/>
          <w:b/>
        </w:rPr>
        <w:t xml:space="preserve">lepšie finančné ohodnotenie učiteľov a </w:t>
      </w:r>
      <w:r w:rsidRPr="00B802FA">
        <w:rPr>
          <w:rFonts w:ascii="Arial Narrow" w:hAnsi="Arial Narrow" w:cs="Arial"/>
          <w:b/>
        </w:rPr>
        <w:t xml:space="preserve">vyššiu kvalitu vo vzdelávaní. </w:t>
      </w:r>
      <w:r w:rsidRPr="00B802FA">
        <w:rPr>
          <w:rFonts w:ascii="Arial Narrow" w:hAnsi="Arial Narrow" w:cs="Arial"/>
        </w:rPr>
        <w:t>Pedagogickým a odborným zamestnancom v regionálnom školstve sa zvýšili platové tarify o 10 % od januára 2019</w:t>
      </w:r>
      <w:r w:rsidRPr="00B802FA">
        <w:rPr>
          <w:rFonts w:ascii="Arial Narrow" w:hAnsi="Arial Narrow" w:cs="Arial"/>
          <w:vertAlign w:val="superscript"/>
        </w:rPr>
        <w:footnoteReference w:id="28"/>
      </w:r>
      <w:r w:rsidR="00AE5269">
        <w:rPr>
          <w:rFonts w:ascii="Arial Narrow" w:hAnsi="Arial Narrow" w:cs="Arial"/>
        </w:rPr>
        <w:t xml:space="preserve">. Ďalšie </w:t>
      </w:r>
      <w:r w:rsidRPr="00B802FA">
        <w:rPr>
          <w:rFonts w:ascii="Arial Narrow" w:hAnsi="Arial Narrow" w:cs="Arial"/>
        </w:rPr>
        <w:t xml:space="preserve">zvyšovanie </w:t>
      </w:r>
      <w:r w:rsidR="00AE5269">
        <w:rPr>
          <w:rFonts w:ascii="Arial Narrow" w:hAnsi="Arial Narrow" w:cs="Arial"/>
        </w:rPr>
        <w:t xml:space="preserve">o 10 % </w:t>
      </w:r>
      <w:r w:rsidRPr="00B802FA">
        <w:rPr>
          <w:rFonts w:ascii="Arial Narrow" w:hAnsi="Arial Narrow" w:cs="Arial"/>
        </w:rPr>
        <w:t xml:space="preserve">sa bude realizovať od januára 2020. Nad rámec plošného zvyšovania </w:t>
      </w:r>
      <w:r w:rsidR="007D34CA">
        <w:rPr>
          <w:rFonts w:ascii="Arial Narrow" w:hAnsi="Arial Narrow" w:cs="Arial"/>
        </w:rPr>
        <w:t>počíta rozpočet na rok 2019 s</w:t>
      </w:r>
      <w:r w:rsidR="0031219A">
        <w:rPr>
          <w:rFonts w:ascii="Arial Narrow" w:hAnsi="Arial Narrow" w:cs="Arial"/>
        </w:rPr>
        <w:t xml:space="preserve"> </w:t>
      </w:r>
      <w:r w:rsidR="007D34CA" w:rsidRPr="00B802FA">
        <w:rPr>
          <w:rFonts w:ascii="Arial Narrow" w:hAnsi="Arial Narrow" w:cs="Arial"/>
        </w:rPr>
        <w:t>navýšen</w:t>
      </w:r>
      <w:r w:rsidR="007D34CA">
        <w:rPr>
          <w:rFonts w:ascii="Arial Narrow" w:hAnsi="Arial Narrow" w:cs="Arial"/>
        </w:rPr>
        <w:t>ím</w:t>
      </w:r>
      <w:r w:rsidR="007D34CA" w:rsidRPr="00B802FA">
        <w:rPr>
          <w:rFonts w:ascii="Arial Narrow" w:hAnsi="Arial Narrow" w:cs="Arial"/>
        </w:rPr>
        <w:t xml:space="preserve"> </w:t>
      </w:r>
      <w:r w:rsidRPr="00B802FA">
        <w:rPr>
          <w:rFonts w:ascii="Arial Narrow" w:hAnsi="Arial Narrow" w:cs="Arial"/>
        </w:rPr>
        <w:t>tarifných platov začínajúcich učiteľov</w:t>
      </w:r>
      <w:r w:rsidRPr="005C3EDF">
        <w:rPr>
          <w:rFonts w:ascii="Arial Narrow" w:hAnsi="Arial Narrow" w:cs="Arial"/>
        </w:rPr>
        <w:t xml:space="preserve"> </w:t>
      </w:r>
      <w:r w:rsidR="007D34CA" w:rsidRPr="005C3EDF">
        <w:rPr>
          <w:rFonts w:ascii="Arial Narrow" w:hAnsi="Arial Narrow" w:cs="Arial"/>
        </w:rPr>
        <w:t xml:space="preserve">od začiatku nového školského roka </w:t>
      </w:r>
      <w:r w:rsidRPr="00B802FA">
        <w:rPr>
          <w:rFonts w:ascii="Arial Narrow" w:hAnsi="Arial Narrow" w:cs="Arial"/>
        </w:rPr>
        <w:t xml:space="preserve">s cieľom zvýšiť atraktivitu učiteľskej profesie. </w:t>
      </w:r>
      <w:r w:rsidR="007B7C04" w:rsidRPr="00B7619E">
        <w:rPr>
          <w:rFonts w:ascii="Arial Narrow" w:hAnsi="Arial Narrow" w:cs="Arial"/>
        </w:rPr>
        <w:t>K zvýšeniu kvality a podpory učiteľského povolania pripravilo ministerstvo školstva návrh  nového zákona o pedagogických a odborných zamestnancoch, ktorý schválila vláda v januári 2019</w:t>
      </w:r>
      <w:r w:rsidR="007B7C04" w:rsidRPr="00B7619E">
        <w:rPr>
          <w:rStyle w:val="Odkaznapoznmkupodiarou"/>
          <w:rFonts w:ascii="Arial Narrow" w:hAnsi="Arial Narrow" w:cs="Arial"/>
        </w:rPr>
        <w:footnoteReference w:id="29"/>
      </w:r>
      <w:r w:rsidR="00AE5269">
        <w:rPr>
          <w:rFonts w:ascii="Arial Narrow" w:hAnsi="Arial Narrow" w:cs="Arial"/>
        </w:rPr>
        <w:t>.</w:t>
      </w:r>
      <w:r w:rsidRPr="00B802FA">
        <w:rPr>
          <w:rFonts w:ascii="Arial Narrow" w:hAnsi="Arial Narrow" w:cs="Arial"/>
        </w:rPr>
        <w:t xml:space="preserve"> Zákon ustanovuje nový mechanizmus atestačného konania, ktorý zlepšuje väzbu medzi kvalitou a odmeňovaním spojeným s vyšším </w:t>
      </w:r>
      <w:proofErr w:type="spellStart"/>
      <w:r w:rsidRPr="00B802FA">
        <w:rPr>
          <w:rFonts w:ascii="Arial Narrow" w:hAnsi="Arial Narrow" w:cs="Arial"/>
        </w:rPr>
        <w:t>kariérovým</w:t>
      </w:r>
      <w:proofErr w:type="spellEnd"/>
      <w:r w:rsidRPr="00B802FA">
        <w:rPr>
          <w:rFonts w:ascii="Arial Narrow" w:hAnsi="Arial Narrow" w:cs="Arial"/>
        </w:rPr>
        <w:t xml:space="preserve"> stupňom. Ustanovuje sa mechanizmus kontroly kvality vzdelávania v profesijnom rozvoji učiteľov na základe výsledkov poskytovateľov. </w:t>
      </w:r>
    </w:p>
    <w:p w14:paraId="0278B865" w14:textId="77777777" w:rsidR="00B802FA" w:rsidRPr="00B802FA" w:rsidRDefault="00B802FA" w:rsidP="00B802FA">
      <w:pPr>
        <w:autoSpaceDE w:val="0"/>
        <w:autoSpaceDN w:val="0"/>
        <w:adjustRightInd w:val="0"/>
        <w:spacing w:after="0" w:line="240" w:lineRule="auto"/>
        <w:jc w:val="both"/>
        <w:rPr>
          <w:rFonts w:ascii="Arial Narrow" w:hAnsi="Arial Narrow" w:cs="Arial"/>
          <w:color w:val="000000"/>
        </w:rPr>
      </w:pPr>
    </w:p>
    <w:p w14:paraId="6C46BBF4" w14:textId="77777777" w:rsidR="00B802FA" w:rsidRPr="00B802FA" w:rsidRDefault="00B802FA" w:rsidP="00B802FA">
      <w:pPr>
        <w:spacing w:after="0" w:line="240" w:lineRule="auto"/>
        <w:rPr>
          <w:rFonts w:ascii="Arial Narrow" w:hAnsi="Arial Narrow" w:cs="Arial"/>
          <w:b/>
          <w:i/>
          <w:color w:val="000000"/>
        </w:rPr>
      </w:pPr>
      <w:r w:rsidRPr="00B802FA">
        <w:rPr>
          <w:rFonts w:ascii="Arial Narrow" w:hAnsi="Arial Narrow" w:cs="Arial"/>
          <w:b/>
          <w:i/>
          <w:color w:val="000000"/>
        </w:rPr>
        <w:t>Prepojenie vzdelávania a potrieb trhu práce</w:t>
      </w:r>
    </w:p>
    <w:p w14:paraId="70A5617F" w14:textId="02BDC294" w:rsidR="00B802FA" w:rsidRPr="00B802FA" w:rsidRDefault="00370B3D" w:rsidP="00B802FA">
      <w:pPr>
        <w:spacing w:after="0" w:line="240" w:lineRule="auto"/>
        <w:jc w:val="both"/>
        <w:rPr>
          <w:rFonts w:ascii="Arial Narrow" w:hAnsi="Arial Narrow" w:cs="Arial"/>
        </w:rPr>
      </w:pPr>
      <w:r>
        <w:rPr>
          <w:rFonts w:ascii="Arial Narrow" w:hAnsi="Arial Narrow" w:cs="Arial"/>
          <w:b/>
        </w:rPr>
        <w:t>N</w:t>
      </w:r>
      <w:r w:rsidRPr="00B802FA">
        <w:rPr>
          <w:rFonts w:ascii="Arial Narrow" w:hAnsi="Arial Narrow" w:cs="Arial"/>
          <w:b/>
        </w:rPr>
        <w:t>ovel</w:t>
      </w:r>
      <w:r>
        <w:rPr>
          <w:rFonts w:ascii="Arial Narrow" w:hAnsi="Arial Narrow" w:cs="Arial"/>
          <w:b/>
        </w:rPr>
        <w:t>a</w:t>
      </w:r>
      <w:r w:rsidRPr="00B802FA">
        <w:rPr>
          <w:rFonts w:ascii="Arial Narrow" w:hAnsi="Arial Narrow" w:cs="Arial"/>
          <w:b/>
        </w:rPr>
        <w:t xml:space="preserve"> o odbornom vzdelávaní a príprave</w:t>
      </w:r>
      <w:r w:rsidRPr="00B802FA">
        <w:rPr>
          <w:rFonts w:ascii="Arial Narrow" w:hAnsi="Arial Narrow" w:cs="Arial"/>
        </w:rPr>
        <w:t xml:space="preserve"> </w:t>
      </w:r>
      <w:r>
        <w:rPr>
          <w:rFonts w:ascii="Arial Narrow" w:hAnsi="Arial Narrow" w:cs="Arial"/>
          <w:b/>
        </w:rPr>
        <w:t>posilnila m</w:t>
      </w:r>
      <w:r w:rsidR="00B802FA" w:rsidRPr="00B802FA">
        <w:rPr>
          <w:rFonts w:ascii="Arial Narrow" w:hAnsi="Arial Narrow" w:cs="Arial"/>
          <w:b/>
        </w:rPr>
        <w:t xml:space="preserve">otivácie </w:t>
      </w:r>
      <w:r>
        <w:rPr>
          <w:rFonts w:ascii="Arial Narrow" w:hAnsi="Arial Narrow" w:cs="Arial"/>
          <w:b/>
        </w:rPr>
        <w:t xml:space="preserve">na zapojenie sa do systému </w:t>
      </w:r>
      <w:r w:rsidRPr="00B802FA">
        <w:rPr>
          <w:rFonts w:ascii="Arial Narrow" w:hAnsi="Arial Narrow" w:cs="Arial"/>
          <w:b/>
        </w:rPr>
        <w:t>duálne</w:t>
      </w:r>
      <w:r>
        <w:rPr>
          <w:rFonts w:ascii="Arial Narrow" w:hAnsi="Arial Narrow" w:cs="Arial"/>
          <w:b/>
        </w:rPr>
        <w:t>ho</w:t>
      </w:r>
      <w:r w:rsidRPr="00B802FA">
        <w:rPr>
          <w:rFonts w:ascii="Arial Narrow" w:hAnsi="Arial Narrow" w:cs="Arial"/>
          <w:b/>
        </w:rPr>
        <w:t xml:space="preserve"> vzdelávani</w:t>
      </w:r>
      <w:r>
        <w:rPr>
          <w:rFonts w:ascii="Arial Narrow" w:hAnsi="Arial Narrow" w:cs="Arial"/>
          <w:b/>
        </w:rPr>
        <w:t>a</w:t>
      </w:r>
      <w:r w:rsidR="00B802FA" w:rsidRPr="00BF0803">
        <w:rPr>
          <w:rFonts w:ascii="Arial Narrow" w:hAnsi="Arial Narrow" w:cs="Arial"/>
          <w:vertAlign w:val="superscript"/>
        </w:rPr>
        <w:footnoteReference w:id="30"/>
      </w:r>
      <w:r w:rsidR="00B802FA" w:rsidRPr="00BF0803">
        <w:rPr>
          <w:rFonts w:ascii="Arial Narrow" w:hAnsi="Arial Narrow" w:cs="Arial"/>
        </w:rPr>
        <w:t>.</w:t>
      </w:r>
      <w:r w:rsidR="00B802FA" w:rsidRPr="00B802FA">
        <w:rPr>
          <w:rFonts w:ascii="Arial Narrow" w:hAnsi="Arial Narrow" w:cs="Arial"/>
        </w:rPr>
        <w:t xml:space="preserve"> Podporil sa vstup malých a stredných podnikov do systému duálneho vzdelávania prostredníctvom poskytovania príspevku na kompenzáciu časti nákladov na duálne vzdelávanie. Zjednodušil sa administratívny postup pri overovaní spôsobilosti zamestnávateľov poskytovať praktické vyučovanie a zaviedla sa možnosť absolvovať praktické vyučovanie mimo vlastných kapacít zamestnávateľa alebo vytvoriť pracovisko praktického vyučovania aj viacerými zamestnávateľmi naraz. Odstránilo sa krátenie normatívu na praktické vyučovanie pre stredné školy, čo bolo jednou z </w:t>
      </w:r>
      <w:r w:rsidR="00AE5269">
        <w:rPr>
          <w:rFonts w:ascii="Arial Narrow" w:hAnsi="Arial Narrow" w:cs="Arial"/>
        </w:rPr>
        <w:t>hlavných bariér pre ich účasť v</w:t>
      </w:r>
      <w:r w:rsidR="00B802FA" w:rsidRPr="00B802FA">
        <w:rPr>
          <w:rFonts w:ascii="Arial Narrow" w:hAnsi="Arial Narrow" w:cs="Arial"/>
        </w:rPr>
        <w:t xml:space="preserve"> systéme. Na potreby trhu práce reaguje aj nová regulácia počtu žiakov stredných škôl, pričom sa definovali záväzné kritériá pre určovanie najvyššieho počtu žiakov prvých ročníkov pre jednotlivé študijné a učebné odbo</w:t>
      </w:r>
      <w:r w:rsidR="00AE5269">
        <w:rPr>
          <w:rFonts w:ascii="Arial Narrow" w:hAnsi="Arial Narrow" w:cs="Arial"/>
        </w:rPr>
        <w:t>ry v rámci samosprávnych krajov</w:t>
      </w:r>
      <w:r w:rsidR="00B802FA" w:rsidRPr="00B802FA">
        <w:rPr>
          <w:rFonts w:ascii="Arial Narrow" w:hAnsi="Arial Narrow" w:cs="Arial"/>
        </w:rPr>
        <w:t>.</w:t>
      </w:r>
    </w:p>
    <w:p w14:paraId="139A3E99" w14:textId="77777777" w:rsidR="00B802FA" w:rsidRPr="00B802FA" w:rsidRDefault="00B802FA" w:rsidP="00B802FA">
      <w:pPr>
        <w:spacing w:after="0" w:line="240" w:lineRule="auto"/>
        <w:jc w:val="both"/>
        <w:rPr>
          <w:rFonts w:ascii="Arial Narrow" w:hAnsi="Arial Narrow" w:cs="Arial"/>
        </w:rPr>
      </w:pPr>
    </w:p>
    <w:p w14:paraId="1F6037FE" w14:textId="77777777" w:rsidR="00B802FA" w:rsidRPr="00B94E25" w:rsidRDefault="00B802FA" w:rsidP="00B802FA">
      <w:pPr>
        <w:spacing w:after="0" w:line="240" w:lineRule="auto"/>
        <w:jc w:val="both"/>
        <w:rPr>
          <w:rFonts w:ascii="Arial Narrow" w:hAnsi="Arial Narrow" w:cs="Arial"/>
          <w:b/>
          <w:i/>
          <w:color w:val="000000"/>
        </w:rPr>
      </w:pPr>
      <w:r w:rsidRPr="00B94E25">
        <w:rPr>
          <w:rFonts w:ascii="Arial Narrow" w:hAnsi="Arial Narrow" w:cs="Arial"/>
          <w:b/>
          <w:i/>
          <w:color w:val="000000"/>
        </w:rPr>
        <w:t>V</w:t>
      </w:r>
      <w:r w:rsidR="00124089" w:rsidRPr="00B94E25">
        <w:rPr>
          <w:rFonts w:ascii="Arial Narrow" w:hAnsi="Arial Narrow" w:cs="Arial"/>
          <w:b/>
          <w:i/>
          <w:color w:val="000000"/>
        </w:rPr>
        <w:t>ysoké školstvo,</w:t>
      </w:r>
      <w:r w:rsidRPr="00B94E25">
        <w:rPr>
          <w:rFonts w:ascii="Arial Narrow" w:hAnsi="Arial Narrow" w:cs="Arial"/>
          <w:b/>
          <w:i/>
          <w:color w:val="000000"/>
        </w:rPr>
        <w:t> ved</w:t>
      </w:r>
      <w:r w:rsidR="00124089" w:rsidRPr="00B94E25">
        <w:rPr>
          <w:rFonts w:ascii="Arial Narrow" w:hAnsi="Arial Narrow" w:cs="Arial"/>
          <w:b/>
          <w:i/>
          <w:color w:val="000000"/>
        </w:rPr>
        <w:t>a</w:t>
      </w:r>
      <w:r w:rsidRPr="00B94E25">
        <w:rPr>
          <w:rFonts w:ascii="Arial Narrow" w:hAnsi="Arial Narrow" w:cs="Arial"/>
          <w:b/>
          <w:i/>
          <w:color w:val="000000"/>
        </w:rPr>
        <w:t xml:space="preserve"> a výskum</w:t>
      </w:r>
    </w:p>
    <w:p w14:paraId="4950DEE5" w14:textId="105F65CE" w:rsidR="00B802FA" w:rsidRPr="00B802FA" w:rsidRDefault="00124089" w:rsidP="00B802FA">
      <w:pPr>
        <w:spacing w:after="0" w:line="240" w:lineRule="auto"/>
        <w:jc w:val="both"/>
        <w:rPr>
          <w:rFonts w:ascii="Arial Narrow" w:hAnsi="Arial Narrow" w:cs="Arial"/>
        </w:rPr>
      </w:pPr>
      <w:r>
        <w:rPr>
          <w:rFonts w:ascii="Arial Narrow" w:hAnsi="Arial Narrow" w:cs="Arial"/>
          <w:b/>
          <w:color w:val="000000"/>
        </w:rPr>
        <w:t>O</w:t>
      </w:r>
      <w:r w:rsidR="00B802FA" w:rsidRPr="00BF0803">
        <w:rPr>
          <w:rFonts w:ascii="Arial Narrow" w:hAnsi="Arial Narrow" w:cs="Arial"/>
          <w:b/>
          <w:color w:val="000000"/>
        </w:rPr>
        <w:t>p</w:t>
      </w:r>
      <w:r w:rsidR="00B802FA" w:rsidRPr="00B802FA">
        <w:rPr>
          <w:rFonts w:ascii="Arial Narrow" w:hAnsi="Arial Narrow" w:cs="Arial"/>
          <w:b/>
          <w:color w:val="000000"/>
        </w:rPr>
        <w:t>atrenia sa sústreďujú na systémové zmeny v zabezpečovaní kvality výstupov</w:t>
      </w:r>
      <w:r w:rsidR="00B802FA" w:rsidRPr="00B802FA">
        <w:rPr>
          <w:rFonts w:ascii="Arial Narrow" w:hAnsi="Arial Narrow" w:cs="Arial"/>
          <w:color w:val="000000"/>
        </w:rPr>
        <w:t>. S účinnosťou od  novembra 2018 sa legislatí</w:t>
      </w:r>
      <w:r w:rsidR="00F74ED5">
        <w:rPr>
          <w:rFonts w:ascii="Arial Narrow" w:hAnsi="Arial Narrow" w:cs="Arial"/>
          <w:color w:val="000000"/>
        </w:rPr>
        <w:t xml:space="preserve">vne upravilo zriadenie </w:t>
      </w:r>
      <w:r w:rsidR="007B7C04">
        <w:rPr>
          <w:rFonts w:ascii="Arial Narrow" w:hAnsi="Arial Narrow" w:cs="Arial"/>
          <w:color w:val="000000"/>
        </w:rPr>
        <w:t xml:space="preserve">nezávislej </w:t>
      </w:r>
      <w:r w:rsidR="00B802FA" w:rsidRPr="00B802FA">
        <w:rPr>
          <w:rFonts w:ascii="Arial Narrow" w:hAnsi="Arial Narrow" w:cs="Arial"/>
          <w:color w:val="000000"/>
        </w:rPr>
        <w:t xml:space="preserve">Slovenskej akreditačnej agentúry pre vysoké školstvo </w:t>
      </w:r>
      <w:r w:rsidR="007B7C04" w:rsidRPr="00B7619E">
        <w:rPr>
          <w:rFonts w:ascii="Arial Narrow" w:hAnsi="Arial Narrow" w:cs="Arial"/>
          <w:color w:val="000000"/>
        </w:rPr>
        <w:t xml:space="preserve">s cieľom naplniť  európske štandardy </w:t>
      </w:r>
      <w:r w:rsidR="00B802FA" w:rsidRPr="00B802FA">
        <w:rPr>
          <w:rFonts w:ascii="Arial Narrow" w:hAnsi="Arial Narrow" w:cs="Arial"/>
          <w:color w:val="000000"/>
        </w:rPr>
        <w:t>pre zabezpečenie kvality</w:t>
      </w:r>
      <w:r w:rsidR="00B802FA" w:rsidRPr="00B802FA">
        <w:rPr>
          <w:rFonts w:ascii="Arial Narrow" w:hAnsi="Arial Narrow" w:cs="Arial"/>
        </w:rPr>
        <w:t xml:space="preserve"> vzdelávania. </w:t>
      </w:r>
      <w:r w:rsidR="00B802FA" w:rsidRPr="00B802FA">
        <w:rPr>
          <w:rFonts w:ascii="Arial Narrow" w:hAnsi="Arial Narrow" w:cs="Arial"/>
          <w:color w:val="000000"/>
        </w:rPr>
        <w:t>Podobne ako u pedagog</w:t>
      </w:r>
      <w:r w:rsidR="00AE5269">
        <w:rPr>
          <w:rFonts w:ascii="Arial Narrow" w:hAnsi="Arial Narrow" w:cs="Arial"/>
          <w:color w:val="000000"/>
        </w:rPr>
        <w:t xml:space="preserve">ických a odborných zamestnancov </w:t>
      </w:r>
      <w:r w:rsidR="00B802FA" w:rsidRPr="00B802FA">
        <w:rPr>
          <w:rFonts w:ascii="Arial Narrow" w:hAnsi="Arial Narrow" w:cs="Arial"/>
          <w:color w:val="000000"/>
        </w:rPr>
        <w:t>v regionálnom školstve sa navyšujú plošne tarifné platy vysokoškolským učiteľom,</w:t>
      </w:r>
      <w:r w:rsidR="00B802FA" w:rsidRPr="00B802FA">
        <w:rPr>
          <w:rFonts w:ascii="Arial Narrow" w:hAnsi="Arial Narrow"/>
        </w:rPr>
        <w:t> </w:t>
      </w:r>
      <w:r w:rsidR="00B802FA" w:rsidRPr="00B802FA">
        <w:rPr>
          <w:rFonts w:ascii="Arial Narrow" w:hAnsi="Arial Narrow" w:cs="Arial"/>
          <w:color w:val="000000"/>
        </w:rPr>
        <w:t>výskumným a vývojovým pracovníkom</w:t>
      </w:r>
      <w:r w:rsidR="007D34CA">
        <w:rPr>
          <w:rFonts w:ascii="Arial Narrow" w:hAnsi="Arial Narrow" w:cs="Arial"/>
          <w:color w:val="000000"/>
        </w:rPr>
        <w:t xml:space="preserve">. Aj v tomto prípade rozpočet na rok 2019 počíta s navýšením tarifných platov na začiatku kariéry </w:t>
      </w:r>
      <w:r w:rsidR="00AE5269">
        <w:rPr>
          <w:rFonts w:ascii="Arial Narrow" w:hAnsi="Arial Narrow" w:cs="Arial"/>
          <w:color w:val="000000"/>
        </w:rPr>
        <w:t xml:space="preserve">plánovaným od septembra 2019. </w:t>
      </w:r>
      <w:r w:rsidR="00B802FA" w:rsidRPr="00B802FA">
        <w:rPr>
          <w:rFonts w:ascii="Arial Narrow" w:hAnsi="Arial Narrow" w:cs="Arial"/>
        </w:rPr>
        <w:t>Medziročne sa navýšil objem finančných prostriedkov v grantových sc</w:t>
      </w:r>
      <w:r w:rsidR="005D5FE8">
        <w:rPr>
          <w:rFonts w:ascii="Arial Narrow" w:hAnsi="Arial Narrow" w:cs="Arial"/>
        </w:rPr>
        <w:t xml:space="preserve">hémach pre vedu a výskum VEGA, </w:t>
      </w:r>
      <w:r w:rsidR="00B802FA" w:rsidRPr="00B802FA">
        <w:rPr>
          <w:rFonts w:ascii="Arial Narrow" w:hAnsi="Arial Narrow" w:cs="Arial"/>
        </w:rPr>
        <w:t>KEGA</w:t>
      </w:r>
      <w:r w:rsidR="005D5FE8">
        <w:rPr>
          <w:rFonts w:ascii="Arial Narrow" w:hAnsi="Arial Narrow" w:cs="Arial"/>
        </w:rPr>
        <w:t xml:space="preserve"> a APVV</w:t>
      </w:r>
      <w:r w:rsidR="00B802FA" w:rsidRPr="00B802FA">
        <w:rPr>
          <w:rFonts w:ascii="Arial Narrow" w:hAnsi="Arial Narrow" w:cs="Arial"/>
        </w:rPr>
        <w:t>, čo prispeje k podpore súťaživosti  pri alokácii prostriedkov na vedu a výskum.</w:t>
      </w:r>
    </w:p>
    <w:p w14:paraId="18E95C57" w14:textId="77777777" w:rsidR="00682C07" w:rsidRPr="004C54B9" w:rsidRDefault="00682C07" w:rsidP="004C54B9">
      <w:pPr>
        <w:pStyle w:val="Odsekzoznamu"/>
        <w:numPr>
          <w:ilvl w:val="0"/>
          <w:numId w:val="3"/>
        </w:numPr>
        <w:spacing w:after="0" w:line="240" w:lineRule="auto"/>
        <w:ind w:left="425" w:hanging="425"/>
        <w:jc w:val="both"/>
        <w:rPr>
          <w:rFonts w:ascii="Arial Narrow" w:hAnsi="Arial Narrow"/>
          <w:b/>
          <w:i/>
          <w:lang w:eastAsia="en-US"/>
        </w:rPr>
      </w:pPr>
      <w:r w:rsidRPr="004C54B9">
        <w:rPr>
          <w:rFonts w:ascii="Arial Narrow" w:hAnsi="Arial Narrow"/>
          <w:b/>
        </w:rPr>
        <w:lastRenderedPageBreak/>
        <w:t>Efektívnosť a transparentnosť verejnej správy, podnikateľské prostredie</w:t>
      </w:r>
    </w:p>
    <w:p w14:paraId="4B8832BF" w14:textId="77777777" w:rsidR="00682C07" w:rsidRPr="004C54B9" w:rsidRDefault="00682C07" w:rsidP="004C54B9">
      <w:pPr>
        <w:spacing w:after="0" w:line="240" w:lineRule="auto"/>
        <w:jc w:val="both"/>
        <w:rPr>
          <w:rFonts w:ascii="Arial Narrow" w:hAnsi="Arial Narrow"/>
          <w:b/>
        </w:rPr>
      </w:pPr>
    </w:p>
    <w:p w14:paraId="430FAB9E" w14:textId="77777777" w:rsidR="007E2F71" w:rsidRPr="004C54B9" w:rsidRDefault="007E2F71" w:rsidP="007E2F71">
      <w:pPr>
        <w:spacing w:after="240" w:line="240" w:lineRule="auto"/>
        <w:jc w:val="both"/>
        <w:rPr>
          <w:rFonts w:ascii="Arial Narrow" w:hAnsi="Arial Narrow"/>
          <w:b/>
          <w:i/>
        </w:rPr>
      </w:pPr>
      <w:r w:rsidRPr="004C54B9">
        <w:rPr>
          <w:rFonts w:ascii="Arial Narrow" w:hAnsi="Arial Narrow"/>
          <w:b/>
          <w:i/>
          <w:lang w:eastAsia="en-US"/>
        </w:rPr>
        <w:t xml:space="preserve">Špecifické odporúčanie Rady: </w:t>
      </w:r>
      <w:r w:rsidRPr="004C54B9">
        <w:rPr>
          <w:rFonts w:ascii="Arial Narrow" w:hAnsi="Arial Narrow"/>
          <w:b/>
          <w:i/>
        </w:rPr>
        <w:t>Zvýšiť vo verejnom obstarávaní uplatňovanie kritérií kvality a nákladov životného cyklu. Potlačiť korupciu aj tým, že sa zabezpečí presadzovanie platných právnych predpisov a zlepší sa zodpovedanie sa zo strany polície a prokuratúry. Zvýšiť účinnosť justičného systému najmä zaistením nezávislosti menovania sudcov. Zmenšiť rozdrobenosť systému verejného výskumu a povzbudzovať inovácie – aj v malých a stredných podnikoch.</w:t>
      </w:r>
    </w:p>
    <w:p w14:paraId="4B37AB42" w14:textId="0749A1EE" w:rsidR="007E2F71" w:rsidRPr="004C54B9" w:rsidRDefault="007E2F71" w:rsidP="007E2F71">
      <w:pPr>
        <w:spacing w:after="0" w:line="240" w:lineRule="auto"/>
        <w:jc w:val="both"/>
        <w:rPr>
          <w:rFonts w:ascii="Arial Narrow" w:hAnsi="Arial Narrow"/>
          <w:i/>
          <w:color w:val="000000" w:themeColor="text1"/>
        </w:rPr>
      </w:pPr>
      <w:r w:rsidRPr="004C54B9">
        <w:rPr>
          <w:rFonts w:ascii="Arial Narrow" w:hAnsi="Arial Narrow"/>
          <w:i/>
          <w:color w:val="000000" w:themeColor="text1"/>
        </w:rPr>
        <w:t xml:space="preserve">V roku 2018 bol </w:t>
      </w:r>
      <w:r w:rsidR="007A14A9">
        <w:rPr>
          <w:rFonts w:ascii="Arial Narrow" w:hAnsi="Arial Narrow"/>
          <w:i/>
          <w:color w:val="000000" w:themeColor="text1"/>
        </w:rPr>
        <w:t xml:space="preserve">na základe </w:t>
      </w:r>
      <w:r w:rsidR="007A14A9">
        <w:rPr>
          <w:rFonts w:ascii="Arial Narrow" w:hAnsi="Arial Narrow"/>
          <w:i/>
        </w:rPr>
        <w:t>Správy</w:t>
      </w:r>
      <w:r w:rsidR="007A14A9" w:rsidRPr="00D8060D">
        <w:rPr>
          <w:rFonts w:ascii="Arial Narrow" w:hAnsi="Arial Narrow"/>
          <w:i/>
        </w:rPr>
        <w:t xml:space="preserve"> k stave justície</w:t>
      </w:r>
      <w:r w:rsidR="007A14A9" w:rsidRPr="00D8060D">
        <w:rPr>
          <w:rFonts w:ascii="Arial Narrow" w:hAnsi="Arial Narrow"/>
        </w:rPr>
        <w:t xml:space="preserve"> </w:t>
      </w:r>
      <w:r w:rsidR="007A14A9">
        <w:rPr>
          <w:rFonts w:ascii="Arial Narrow" w:hAnsi="Arial Narrow"/>
          <w:i/>
          <w:color w:val="000000" w:themeColor="text1"/>
        </w:rPr>
        <w:t>vy</w:t>
      </w:r>
      <w:r w:rsidRPr="004C54B9">
        <w:rPr>
          <w:rFonts w:ascii="Arial Narrow" w:hAnsi="Arial Narrow"/>
          <w:i/>
          <w:color w:val="000000" w:themeColor="text1"/>
        </w:rPr>
        <w:t xml:space="preserve">pracovaný akčný plán </w:t>
      </w:r>
      <w:r w:rsidR="007A14A9">
        <w:rPr>
          <w:rFonts w:ascii="Arial Narrow" w:hAnsi="Arial Narrow"/>
          <w:i/>
          <w:color w:val="000000" w:themeColor="text1"/>
        </w:rPr>
        <w:t xml:space="preserve">s návrhom opatrení zameraných na efektívnosť súdov. </w:t>
      </w:r>
      <w:r>
        <w:rPr>
          <w:rFonts w:ascii="Arial Narrow" w:hAnsi="Arial Narrow"/>
          <w:i/>
          <w:color w:val="000000" w:themeColor="text1"/>
        </w:rPr>
        <w:t>Od roku 2018 sa v oblasti verejného obstarávania zavádza plná elektronizácia proceso</w:t>
      </w:r>
      <w:r w:rsidR="007A14A9">
        <w:rPr>
          <w:rFonts w:ascii="Arial Narrow" w:hAnsi="Arial Narrow"/>
          <w:i/>
          <w:color w:val="000000" w:themeColor="text1"/>
        </w:rPr>
        <w:t>v. N</w:t>
      </w:r>
      <w:r>
        <w:rPr>
          <w:rFonts w:ascii="Arial Narrow" w:hAnsi="Arial Narrow"/>
          <w:i/>
          <w:color w:val="000000" w:themeColor="text1"/>
        </w:rPr>
        <w:t xml:space="preserve">ovelou zákona o verejnom obstarávaní sa zefektívňujú a zjednodušujú postupy pri zadávaní zákaziek. </w:t>
      </w:r>
    </w:p>
    <w:p w14:paraId="31B1DB2B" w14:textId="77777777" w:rsidR="007E2F71" w:rsidRPr="004C54B9" w:rsidRDefault="007E2F71" w:rsidP="007E2F71">
      <w:pPr>
        <w:spacing w:after="0" w:line="240" w:lineRule="auto"/>
        <w:jc w:val="both"/>
        <w:rPr>
          <w:rFonts w:ascii="Arial Narrow" w:hAnsi="Arial Narrow"/>
          <w:i/>
          <w:color w:val="000000" w:themeColor="text1"/>
        </w:rPr>
      </w:pPr>
    </w:p>
    <w:p w14:paraId="0F31D272" w14:textId="77777777" w:rsidR="007E2F71" w:rsidRPr="004C54B9" w:rsidRDefault="007E2F71" w:rsidP="007E2F71">
      <w:pPr>
        <w:spacing w:after="0" w:line="240" w:lineRule="auto"/>
        <w:jc w:val="both"/>
        <w:rPr>
          <w:rFonts w:ascii="Arial Narrow" w:hAnsi="Arial Narrow"/>
          <w:b/>
          <w:i/>
          <w:color w:val="000000" w:themeColor="text1"/>
        </w:rPr>
      </w:pPr>
      <w:r w:rsidRPr="004C54B9">
        <w:rPr>
          <w:rFonts w:ascii="Arial Narrow" w:hAnsi="Arial Narrow"/>
          <w:b/>
          <w:i/>
          <w:color w:val="000000" w:themeColor="text1"/>
        </w:rPr>
        <w:t>Súdnictvo</w:t>
      </w:r>
    </w:p>
    <w:p w14:paraId="05632061" w14:textId="20B3BCDB" w:rsidR="007E2F71" w:rsidRPr="00381019" w:rsidRDefault="00381019" w:rsidP="00381019">
      <w:pPr>
        <w:spacing w:after="0" w:line="240" w:lineRule="auto"/>
        <w:jc w:val="both"/>
      </w:pPr>
      <w:r>
        <w:rPr>
          <w:rFonts w:ascii="Arial Narrow" w:hAnsi="Arial Narrow"/>
          <w:b/>
          <w:color w:val="000000" w:themeColor="text1"/>
        </w:rPr>
        <w:t xml:space="preserve">Na </w:t>
      </w:r>
      <w:r w:rsidRPr="00381019">
        <w:rPr>
          <w:rFonts w:ascii="Arial Narrow" w:hAnsi="Arial Narrow"/>
          <w:b/>
          <w:color w:val="000000" w:themeColor="text1"/>
        </w:rPr>
        <w:t xml:space="preserve">základe </w:t>
      </w:r>
      <w:r w:rsidRPr="00381019">
        <w:rPr>
          <w:rFonts w:ascii="Arial Narrow" w:hAnsi="Arial Narrow"/>
          <w:b/>
          <w:i/>
        </w:rPr>
        <w:t>Správy k stave justície</w:t>
      </w:r>
      <w:r w:rsidRPr="00381019">
        <w:rPr>
          <w:rFonts w:ascii="Arial Narrow" w:hAnsi="Arial Narrow"/>
          <w:b/>
        </w:rPr>
        <w:t xml:space="preserve"> </w:t>
      </w:r>
      <w:r w:rsidR="005B400F">
        <w:rPr>
          <w:rFonts w:ascii="Arial Narrow" w:hAnsi="Arial Narrow"/>
          <w:b/>
        </w:rPr>
        <w:t xml:space="preserve">bol </w:t>
      </w:r>
      <w:r w:rsidRPr="00381019">
        <w:rPr>
          <w:rFonts w:ascii="Arial Narrow" w:hAnsi="Arial Narrow"/>
          <w:b/>
          <w:color w:val="000000" w:themeColor="text1"/>
        </w:rPr>
        <w:t>vypracovaný akčný plán s návrhom opatrení zameraných na efektívnosť súdov.</w:t>
      </w:r>
      <w:r>
        <w:t xml:space="preserve"> </w:t>
      </w:r>
      <w:r w:rsidR="007E2F71" w:rsidRPr="00D8060D">
        <w:rPr>
          <w:rFonts w:ascii="Arial Narrow" w:hAnsi="Arial Narrow"/>
        </w:rPr>
        <w:t xml:space="preserve">V novembri 2017 bola publikovaná </w:t>
      </w:r>
      <w:r w:rsidR="007E2F71" w:rsidRPr="00D8060D">
        <w:rPr>
          <w:rFonts w:ascii="Arial Narrow" w:hAnsi="Arial Narrow"/>
          <w:i/>
        </w:rPr>
        <w:t>Správa k stave justície</w:t>
      </w:r>
      <w:r w:rsidR="007E2F71" w:rsidRPr="00D8060D">
        <w:rPr>
          <w:rFonts w:ascii="Arial Narrow" w:hAnsi="Arial Narrow"/>
        </w:rPr>
        <w:t xml:space="preserve"> vypracovaná Európskou komisiou </w:t>
      </w:r>
      <w:r w:rsidR="007E2F71">
        <w:rPr>
          <w:rFonts w:ascii="Arial Narrow" w:hAnsi="Arial Narrow"/>
        </w:rPr>
        <w:t xml:space="preserve">pre efektívnosť súdnictva </w:t>
      </w:r>
      <w:r w:rsidR="007E2F71" w:rsidRPr="00D8060D">
        <w:rPr>
          <w:rFonts w:ascii="Arial Narrow" w:hAnsi="Arial Narrow"/>
        </w:rPr>
        <w:t>CEPEJ</w:t>
      </w:r>
      <w:r w:rsidR="007E2F71" w:rsidRPr="004C54B9">
        <w:rPr>
          <w:rStyle w:val="Odkaznapoznmkupodiarou"/>
          <w:rFonts w:ascii="Arial Narrow" w:hAnsi="Arial Narrow"/>
        </w:rPr>
        <w:footnoteReference w:id="31"/>
      </w:r>
      <w:r>
        <w:rPr>
          <w:rFonts w:ascii="Arial Narrow" w:hAnsi="Arial Narrow"/>
        </w:rPr>
        <w:t>.</w:t>
      </w:r>
      <w:r w:rsidR="007E2F71" w:rsidRPr="004C54B9">
        <w:rPr>
          <w:rFonts w:ascii="Arial Narrow" w:hAnsi="Arial Narrow"/>
        </w:rPr>
        <w:t xml:space="preserve"> </w:t>
      </w:r>
      <w:r w:rsidR="007E2F71" w:rsidRPr="00D8060D">
        <w:rPr>
          <w:rFonts w:ascii="Arial Narrow" w:hAnsi="Arial Narrow"/>
          <w:i/>
        </w:rPr>
        <w:t xml:space="preserve">Akčný plán implementácie nových </w:t>
      </w:r>
      <w:r w:rsidR="007E2F71" w:rsidRPr="00AD11D6">
        <w:rPr>
          <w:rFonts w:ascii="Arial Narrow" w:hAnsi="Arial Narrow"/>
          <w:i/>
        </w:rPr>
        <w:t>opatrení pre súdy</w:t>
      </w:r>
      <w:r w:rsidR="007E2F71" w:rsidRPr="004C54B9">
        <w:rPr>
          <w:rFonts w:ascii="Arial Narrow" w:hAnsi="Arial Narrow"/>
        </w:rPr>
        <w:t xml:space="preserve"> bol spracovaný na základe správy CEPEJ v septembri 2018, kedy bol aj predložený ako jeden z výstupov projektu </w:t>
      </w:r>
      <w:r w:rsidR="007E2F71" w:rsidRPr="0062680A">
        <w:rPr>
          <w:rFonts w:ascii="Arial Narrow" w:hAnsi="Arial Narrow"/>
          <w:i/>
        </w:rPr>
        <w:t>AUDIT</w:t>
      </w:r>
      <w:r w:rsidR="007E2F71" w:rsidRPr="004C54B9">
        <w:rPr>
          <w:rFonts w:ascii="Arial Narrow" w:hAnsi="Arial Narrow"/>
        </w:rPr>
        <w:t xml:space="preserve"> na </w:t>
      </w:r>
      <w:r w:rsidR="005B400F">
        <w:rPr>
          <w:rFonts w:ascii="Arial Narrow" w:hAnsi="Arial Narrow"/>
        </w:rPr>
        <w:t>r</w:t>
      </w:r>
      <w:r w:rsidR="007E2F71" w:rsidRPr="004C54B9">
        <w:rPr>
          <w:rFonts w:ascii="Arial Narrow" w:hAnsi="Arial Narrow"/>
        </w:rPr>
        <w:t>iadiaci orgán (MV SR). Akčný plán vychádza zo siedmych prioritných tém, na ktoré sa rezort spravodlivosti zameral a rieši aktuálny stav rozpracovaných tém a predpokladaný ďalší postup s časovým harmonogramom</w:t>
      </w:r>
      <w:r w:rsidR="007A14A9">
        <w:rPr>
          <w:rFonts w:ascii="Arial Narrow" w:hAnsi="Arial Narrow"/>
        </w:rPr>
        <w:t>. M</w:t>
      </w:r>
      <w:r w:rsidR="007E2F71" w:rsidRPr="004C54B9">
        <w:rPr>
          <w:rFonts w:ascii="Arial Narrow" w:hAnsi="Arial Narrow"/>
        </w:rPr>
        <w:t>edzi kľúčové témy patrí vypracovanie súdnej mapy a návrhu špecializácie súdov a</w:t>
      </w:r>
      <w:r w:rsidR="007A14A9">
        <w:rPr>
          <w:rFonts w:ascii="Arial Narrow" w:hAnsi="Arial Narrow"/>
        </w:rPr>
        <w:t> </w:t>
      </w:r>
      <w:r w:rsidR="007E2F71" w:rsidRPr="004C54B9">
        <w:rPr>
          <w:rFonts w:ascii="Arial Narrow" w:hAnsi="Arial Narrow"/>
        </w:rPr>
        <w:t>sudcov</w:t>
      </w:r>
      <w:r w:rsidR="007A14A9">
        <w:rPr>
          <w:rFonts w:ascii="Arial Narrow" w:hAnsi="Arial Narrow"/>
        </w:rPr>
        <w:t xml:space="preserve">, </w:t>
      </w:r>
      <w:r w:rsidR="007E2F71" w:rsidRPr="004C54B9">
        <w:rPr>
          <w:rFonts w:ascii="Arial Narrow" w:hAnsi="Arial Narrow"/>
        </w:rPr>
        <w:t>či riešenie starých exekúcií.</w:t>
      </w:r>
    </w:p>
    <w:p w14:paraId="46DDEF39" w14:textId="77777777" w:rsidR="007E2F71" w:rsidRPr="004C54B9" w:rsidRDefault="007E2F71" w:rsidP="007E2F71">
      <w:pPr>
        <w:spacing w:after="0" w:line="240" w:lineRule="auto"/>
        <w:jc w:val="both"/>
        <w:rPr>
          <w:rFonts w:ascii="Arial Narrow" w:hAnsi="Arial Narrow"/>
        </w:rPr>
      </w:pPr>
    </w:p>
    <w:p w14:paraId="4B2F2A35" w14:textId="77777777" w:rsidR="007E2F71" w:rsidRPr="004C54B9" w:rsidRDefault="007E2F71" w:rsidP="007E2F71">
      <w:pPr>
        <w:spacing w:after="0" w:line="240" w:lineRule="auto"/>
        <w:jc w:val="both"/>
        <w:rPr>
          <w:rFonts w:ascii="Arial Narrow" w:hAnsi="Arial Narrow"/>
          <w:b/>
          <w:i/>
          <w:color w:val="000000" w:themeColor="text1"/>
        </w:rPr>
      </w:pPr>
      <w:r w:rsidRPr="004C54B9">
        <w:rPr>
          <w:rFonts w:ascii="Arial Narrow" w:hAnsi="Arial Narrow"/>
          <w:b/>
          <w:i/>
          <w:color w:val="000000" w:themeColor="text1"/>
        </w:rPr>
        <w:t>Verejné obstarávanie</w:t>
      </w:r>
    </w:p>
    <w:p w14:paraId="6B731E8D" w14:textId="28A420C9" w:rsidR="007E2F71" w:rsidRDefault="007E2F71" w:rsidP="007E2F71">
      <w:pPr>
        <w:spacing w:after="0" w:line="240" w:lineRule="auto"/>
        <w:jc w:val="both"/>
        <w:rPr>
          <w:rFonts w:ascii="Arial Narrow" w:hAnsi="Arial Narrow"/>
          <w:color w:val="000000" w:themeColor="text1"/>
        </w:rPr>
      </w:pPr>
      <w:r w:rsidRPr="004C54B9">
        <w:rPr>
          <w:rFonts w:ascii="Arial Narrow" w:hAnsi="Arial Narrow"/>
          <w:b/>
          <w:color w:val="000000" w:themeColor="text1"/>
        </w:rPr>
        <w:t xml:space="preserve">Plná elektronizácia, účinná od októbra 2018, prináša zrýchlenie procesov a zvýšenie efektívnosti verejného obstarávania. </w:t>
      </w:r>
      <w:r w:rsidRPr="004C54B9">
        <w:rPr>
          <w:rFonts w:ascii="Arial Narrow" w:hAnsi="Arial Narrow"/>
          <w:color w:val="000000" w:themeColor="text1"/>
        </w:rPr>
        <w:t>V roku 2018 bola tiež schválená veľká novela zákona o verejnom obstarávaní, ktorej cieľom je zefektívniť a zjednodušiť postupy verejného obstarávania</w:t>
      </w:r>
      <w:r w:rsidRPr="00F74ED5">
        <w:rPr>
          <w:rFonts w:ascii="Arial Narrow" w:hAnsi="Arial Narrow"/>
          <w:color w:val="000000" w:themeColor="text1"/>
        </w:rPr>
        <w:t>.</w:t>
      </w:r>
      <w:r w:rsidR="00F74ED5" w:rsidRPr="00F74ED5">
        <w:rPr>
          <w:rFonts w:ascii="Arial Narrow" w:hAnsi="Arial Narrow" w:cs="Arial"/>
          <w:color w:val="282828"/>
        </w:rPr>
        <w:t xml:space="preserve"> </w:t>
      </w:r>
      <w:r w:rsidRPr="00F74ED5">
        <w:rPr>
          <w:rFonts w:ascii="Arial Narrow" w:hAnsi="Arial Narrow"/>
          <w:color w:val="000000" w:themeColor="text1"/>
        </w:rPr>
        <w:t>S</w:t>
      </w:r>
      <w:r w:rsidRPr="004C54B9">
        <w:rPr>
          <w:rFonts w:ascii="Arial Narrow" w:hAnsi="Arial Narrow"/>
          <w:color w:val="000000" w:themeColor="text1"/>
        </w:rPr>
        <w:t>presňuje postup zadávania zákaziek s nízkou hodnotou, zavádza sa nové jednoduchšie zadávanie podlimitných zákaziek, umožňuje fakultatívne zriadenie komisie na vyhodnocovanie ponúk</w:t>
      </w:r>
      <w:r>
        <w:rPr>
          <w:rFonts w:ascii="Arial Narrow" w:hAnsi="Arial Narrow"/>
          <w:color w:val="000000" w:themeColor="text1"/>
        </w:rPr>
        <w:t>,</w:t>
      </w:r>
      <w:r w:rsidRPr="004C54B9">
        <w:rPr>
          <w:rFonts w:ascii="Arial Narrow" w:hAnsi="Arial Narrow"/>
          <w:color w:val="000000" w:themeColor="text1"/>
        </w:rPr>
        <w:t xml:space="preserve"> či predloženie jednoduchého čestného vyhlásenia ako predbežnej náhrady dokladov o splnení podmienok účasti.</w:t>
      </w:r>
    </w:p>
    <w:p w14:paraId="3A67E542" w14:textId="77777777" w:rsidR="00290A78" w:rsidRDefault="00290A78" w:rsidP="007E2F71">
      <w:pPr>
        <w:spacing w:after="0" w:line="240" w:lineRule="auto"/>
        <w:jc w:val="both"/>
        <w:rPr>
          <w:rFonts w:ascii="Arial Narrow" w:hAnsi="Arial Narrow"/>
          <w:color w:val="000000" w:themeColor="text1"/>
        </w:rPr>
      </w:pPr>
    </w:p>
    <w:p w14:paraId="3ED2ED51" w14:textId="77777777" w:rsidR="00290A78" w:rsidRPr="004C54B9" w:rsidRDefault="00290A78" w:rsidP="00290A78">
      <w:pPr>
        <w:spacing w:after="0" w:line="240" w:lineRule="auto"/>
        <w:jc w:val="both"/>
        <w:rPr>
          <w:rFonts w:ascii="Arial Narrow" w:hAnsi="Arial Narrow"/>
          <w:b/>
          <w:i/>
        </w:rPr>
      </w:pPr>
      <w:r w:rsidRPr="004C54B9">
        <w:rPr>
          <w:rFonts w:ascii="Arial Narrow" w:hAnsi="Arial Narrow"/>
          <w:b/>
          <w:i/>
        </w:rPr>
        <w:t>Podpora výskumu, vývoja a inovácií</w:t>
      </w:r>
    </w:p>
    <w:p w14:paraId="3CE71C2F" w14:textId="4AE334CC" w:rsidR="00290A78" w:rsidRPr="00290A78" w:rsidRDefault="00370B3D" w:rsidP="00290A78">
      <w:pPr>
        <w:pStyle w:val="Default"/>
        <w:jc w:val="both"/>
        <w:rPr>
          <w:rFonts w:ascii="Arial Narrow" w:hAnsi="Arial Narrow"/>
          <w:color w:val="auto"/>
          <w:sz w:val="22"/>
          <w:szCs w:val="22"/>
        </w:rPr>
      </w:pPr>
      <w:r>
        <w:rPr>
          <w:rFonts w:ascii="Arial Narrow" w:hAnsi="Arial Narrow"/>
          <w:b/>
          <w:sz w:val="22"/>
          <w:szCs w:val="22"/>
        </w:rPr>
        <w:t xml:space="preserve">Podporila sa medzinárodná spolupráce v oblasti </w:t>
      </w:r>
      <w:r w:rsidR="008D5CBF">
        <w:rPr>
          <w:rFonts w:ascii="Arial Narrow" w:hAnsi="Arial Narrow"/>
          <w:b/>
          <w:sz w:val="22"/>
          <w:szCs w:val="22"/>
        </w:rPr>
        <w:t xml:space="preserve">podnikového </w:t>
      </w:r>
      <w:r>
        <w:rPr>
          <w:rFonts w:ascii="Arial Narrow" w:hAnsi="Arial Narrow"/>
          <w:b/>
          <w:sz w:val="22"/>
          <w:szCs w:val="22"/>
        </w:rPr>
        <w:t>v</w:t>
      </w:r>
      <w:r w:rsidR="00290A78" w:rsidRPr="00290A78">
        <w:rPr>
          <w:rFonts w:ascii="Arial Narrow" w:hAnsi="Arial Narrow"/>
          <w:b/>
          <w:sz w:val="22"/>
          <w:szCs w:val="22"/>
        </w:rPr>
        <w:t>ýskum</w:t>
      </w:r>
      <w:r>
        <w:rPr>
          <w:rFonts w:ascii="Arial Narrow" w:hAnsi="Arial Narrow"/>
          <w:b/>
          <w:sz w:val="22"/>
          <w:szCs w:val="22"/>
        </w:rPr>
        <w:t>u</w:t>
      </w:r>
      <w:r w:rsidR="00290A78" w:rsidRPr="00290A78">
        <w:rPr>
          <w:rFonts w:ascii="Arial Narrow" w:hAnsi="Arial Narrow"/>
          <w:b/>
          <w:sz w:val="22"/>
          <w:szCs w:val="22"/>
        </w:rPr>
        <w:t xml:space="preserve"> a vývoj</w:t>
      </w:r>
      <w:r>
        <w:rPr>
          <w:rFonts w:ascii="Arial Narrow" w:hAnsi="Arial Narrow"/>
          <w:b/>
          <w:sz w:val="22"/>
          <w:szCs w:val="22"/>
        </w:rPr>
        <w:t>a.</w:t>
      </w:r>
      <w:r w:rsidR="00290A78">
        <w:rPr>
          <w:rFonts w:ascii="Arial Narrow" w:hAnsi="Arial Narrow"/>
          <w:sz w:val="22"/>
          <w:szCs w:val="22"/>
        </w:rPr>
        <w:t xml:space="preserve"> </w:t>
      </w:r>
      <w:r w:rsidR="00F74ED5">
        <w:rPr>
          <w:rFonts w:ascii="Arial Narrow" w:hAnsi="Arial Narrow"/>
          <w:sz w:val="22"/>
          <w:szCs w:val="22"/>
        </w:rPr>
        <w:t xml:space="preserve">Vláda </w:t>
      </w:r>
      <w:r w:rsidR="00290A78" w:rsidRPr="00290A78">
        <w:rPr>
          <w:rFonts w:ascii="Arial Narrow" w:hAnsi="Arial Narrow"/>
          <w:sz w:val="22"/>
          <w:szCs w:val="22"/>
        </w:rPr>
        <w:t xml:space="preserve">v novembri 2018 schválila návrh </w:t>
      </w:r>
      <w:r w:rsidR="00290A78" w:rsidRPr="00124DD6">
        <w:rPr>
          <w:rFonts w:ascii="Arial Narrow" w:hAnsi="Arial Narrow"/>
          <w:sz w:val="22"/>
          <w:szCs w:val="22"/>
        </w:rPr>
        <w:t>inštitucionálneho zabezpečenia slovenskej inovačnej diplomacie</w:t>
      </w:r>
      <w:r w:rsidR="00290A78" w:rsidRPr="00290A78">
        <w:rPr>
          <w:rFonts w:ascii="Arial Narrow" w:hAnsi="Arial Narrow"/>
          <w:sz w:val="22"/>
          <w:szCs w:val="22"/>
        </w:rPr>
        <w:t xml:space="preserve">, ktorého súčasťou je aj </w:t>
      </w:r>
      <w:r>
        <w:rPr>
          <w:rFonts w:ascii="Arial Narrow" w:hAnsi="Arial Narrow"/>
          <w:sz w:val="22"/>
          <w:szCs w:val="22"/>
        </w:rPr>
        <w:t>financovanie</w:t>
      </w:r>
      <w:r w:rsidR="00290A78" w:rsidRPr="00290A78">
        <w:rPr>
          <w:rFonts w:ascii="Arial Narrow" w:hAnsi="Arial Narrow"/>
          <w:sz w:val="22"/>
          <w:szCs w:val="22"/>
        </w:rPr>
        <w:t xml:space="preserve"> na podporu vývoja a inovácií slovenských produktov a služieb a ich prienik na globálne trhy. Slovensko tak bude mať prvých štyroch inovačných</w:t>
      </w:r>
      <w:r w:rsidR="000E1C59">
        <w:rPr>
          <w:rFonts w:ascii="Arial Narrow" w:hAnsi="Arial Narrow"/>
          <w:sz w:val="22"/>
          <w:szCs w:val="22"/>
        </w:rPr>
        <w:t xml:space="preserve"> diplomatov v histórii </w:t>
      </w:r>
      <w:r w:rsidR="00290A78" w:rsidRPr="00290A78">
        <w:rPr>
          <w:rFonts w:ascii="Arial Narrow" w:hAnsi="Arial Narrow"/>
          <w:sz w:val="22"/>
          <w:szCs w:val="22"/>
        </w:rPr>
        <w:t xml:space="preserve">v štyroch krajinách sveta s najväčším inovačným potenciálom: vo Fínsku, v USA, Izraeli a Číne. Rada vlády SR pre vedu techniku a inovácie na svojich rokovaniach prijala </w:t>
      </w:r>
      <w:r w:rsidR="00290A78" w:rsidRPr="00124DD6">
        <w:rPr>
          <w:rFonts w:ascii="Arial Narrow" w:hAnsi="Arial Narrow"/>
          <w:sz w:val="22"/>
          <w:szCs w:val="22"/>
        </w:rPr>
        <w:t>opatrenia  na  posilnenie  systému riadenia</w:t>
      </w:r>
      <w:r w:rsidR="00290A78" w:rsidRPr="00290A78">
        <w:rPr>
          <w:rFonts w:ascii="Arial Narrow" w:hAnsi="Arial Narrow"/>
          <w:sz w:val="22"/>
          <w:szCs w:val="22"/>
        </w:rPr>
        <w:t xml:space="preserve"> implementácie </w:t>
      </w:r>
      <w:r w:rsidR="00290A78" w:rsidRPr="0062680A">
        <w:rPr>
          <w:rFonts w:ascii="Arial Narrow" w:hAnsi="Arial Narrow"/>
          <w:i/>
          <w:sz w:val="22"/>
          <w:szCs w:val="22"/>
        </w:rPr>
        <w:t>Stratégie výskumu a inovácií pre inteligentnú špecializáciu SR</w:t>
      </w:r>
      <w:r w:rsidR="00290A78" w:rsidRPr="00290A78">
        <w:rPr>
          <w:rFonts w:ascii="Arial Narrow" w:hAnsi="Arial Narrow"/>
          <w:sz w:val="22"/>
          <w:szCs w:val="22"/>
        </w:rPr>
        <w:t xml:space="preserve"> (RIS3). </w:t>
      </w:r>
      <w:r w:rsidR="00D816F9" w:rsidRPr="006B31C1">
        <w:rPr>
          <w:rFonts w:ascii="Arial Narrow" w:hAnsi="Arial Narrow"/>
          <w:sz w:val="22"/>
          <w:szCs w:val="22"/>
        </w:rPr>
        <w:t>Zrealizovaný bol EDP proces</w:t>
      </w:r>
      <w:r w:rsidR="000E1C59">
        <w:rPr>
          <w:rStyle w:val="Odkaznapoznmkupodiarou"/>
          <w:rFonts w:ascii="Arial Narrow" w:hAnsi="Arial Narrow"/>
          <w:sz w:val="22"/>
          <w:szCs w:val="22"/>
        </w:rPr>
        <w:footnoteReference w:id="32"/>
      </w:r>
      <w:r w:rsidR="000E1C59">
        <w:rPr>
          <w:rFonts w:ascii="Arial Narrow" w:hAnsi="Arial Narrow"/>
          <w:sz w:val="22"/>
          <w:szCs w:val="22"/>
        </w:rPr>
        <w:t xml:space="preserve"> </w:t>
      </w:r>
      <w:r w:rsidR="00D816F9" w:rsidRPr="006B31C1">
        <w:rPr>
          <w:rFonts w:ascii="Arial Narrow" w:hAnsi="Arial Narrow"/>
          <w:sz w:val="22"/>
          <w:szCs w:val="22"/>
        </w:rPr>
        <w:t>v piatich doménach RIS3: Dopravné prostriedky pre 21. storočie, Priemysel pre 21. storočie, Digitálne Slovensko a kreatívny priemysel, Zdravie obyvateľstva a zdravotnícke technológie, Zdravé potraviny a životné prostredie.</w:t>
      </w:r>
      <w:r w:rsidR="000E1C59">
        <w:rPr>
          <w:rFonts w:ascii="Arial Narrow" w:hAnsi="Arial Narrow"/>
          <w:sz w:val="22"/>
          <w:szCs w:val="22"/>
        </w:rPr>
        <w:t xml:space="preserve"> V </w:t>
      </w:r>
      <w:r w:rsidR="00290A78" w:rsidRPr="00290A78">
        <w:rPr>
          <w:rFonts w:ascii="Arial Narrow" w:hAnsi="Arial Narrow"/>
          <w:color w:val="auto"/>
          <w:sz w:val="22"/>
          <w:szCs w:val="22"/>
        </w:rPr>
        <w:t>roku 2</w:t>
      </w:r>
      <w:r w:rsidR="000E1C59">
        <w:rPr>
          <w:rFonts w:ascii="Arial Narrow" w:hAnsi="Arial Narrow"/>
          <w:color w:val="auto"/>
          <w:sz w:val="22"/>
          <w:szCs w:val="22"/>
        </w:rPr>
        <w:t xml:space="preserve">018 začali prípravné práce na </w:t>
      </w:r>
      <w:r w:rsidR="00290A78" w:rsidRPr="00124DD6">
        <w:rPr>
          <w:rFonts w:ascii="Arial Narrow" w:hAnsi="Arial Narrow"/>
          <w:color w:val="auto"/>
          <w:sz w:val="22"/>
          <w:szCs w:val="22"/>
        </w:rPr>
        <w:t>aktualizácii RIS3</w:t>
      </w:r>
      <w:r w:rsidR="000E1C59">
        <w:rPr>
          <w:rFonts w:ascii="Arial Narrow" w:hAnsi="Arial Narrow"/>
          <w:color w:val="auto"/>
          <w:sz w:val="22"/>
          <w:szCs w:val="22"/>
        </w:rPr>
        <w:t xml:space="preserve"> </w:t>
      </w:r>
      <w:r w:rsidR="000E1C59" w:rsidRPr="00290A78">
        <w:rPr>
          <w:rFonts w:ascii="Arial Narrow" w:hAnsi="Arial Narrow"/>
          <w:color w:val="auto"/>
          <w:sz w:val="22"/>
          <w:szCs w:val="22"/>
        </w:rPr>
        <w:t xml:space="preserve">v  spolupráci </w:t>
      </w:r>
      <w:r w:rsidR="000E1C59">
        <w:rPr>
          <w:rFonts w:ascii="Arial Narrow" w:hAnsi="Arial Narrow"/>
          <w:color w:val="auto"/>
          <w:sz w:val="22"/>
          <w:szCs w:val="22"/>
        </w:rPr>
        <w:t>s</w:t>
      </w:r>
      <w:r w:rsidR="00F01FF3">
        <w:rPr>
          <w:rFonts w:ascii="Arial Narrow" w:hAnsi="Arial Narrow"/>
          <w:color w:val="auto"/>
          <w:sz w:val="22"/>
          <w:szCs w:val="22"/>
        </w:rPr>
        <w:t> EK</w:t>
      </w:r>
      <w:r w:rsidR="00F01FF3">
        <w:rPr>
          <w:rStyle w:val="Odkaznapoznmkupodiarou"/>
          <w:rFonts w:ascii="Arial Narrow" w:hAnsi="Arial Narrow"/>
          <w:color w:val="auto"/>
          <w:sz w:val="22"/>
          <w:szCs w:val="22"/>
        </w:rPr>
        <w:footnoteReference w:id="33"/>
      </w:r>
      <w:r w:rsidR="00F01FF3">
        <w:rPr>
          <w:rFonts w:ascii="Arial Narrow" w:hAnsi="Arial Narrow"/>
          <w:color w:val="auto"/>
          <w:sz w:val="22"/>
          <w:szCs w:val="22"/>
        </w:rPr>
        <w:t xml:space="preserve"> </w:t>
      </w:r>
      <w:r w:rsidR="000E1C59">
        <w:rPr>
          <w:rFonts w:ascii="Arial Narrow" w:hAnsi="Arial Narrow"/>
          <w:color w:val="auto"/>
          <w:sz w:val="22"/>
          <w:szCs w:val="22"/>
        </w:rPr>
        <w:t xml:space="preserve">s plánom schválenia  v roku 2020. </w:t>
      </w:r>
      <w:r w:rsidR="00290A78" w:rsidRPr="00290A78">
        <w:rPr>
          <w:rFonts w:ascii="Arial Narrow" w:hAnsi="Arial Narrow"/>
          <w:color w:val="auto"/>
          <w:sz w:val="22"/>
          <w:szCs w:val="22"/>
        </w:rPr>
        <w:t>Stratégia bude reagovať na urgentnú potrebu zvýšiť účinnosť národného systému výskumu, vývoja a inovácií v kontexte digitálnej transformácie</w:t>
      </w:r>
      <w:r w:rsidR="00D816F9">
        <w:rPr>
          <w:rFonts w:ascii="Arial Narrow" w:hAnsi="Arial Narrow"/>
          <w:color w:val="auto"/>
          <w:sz w:val="22"/>
          <w:szCs w:val="22"/>
        </w:rPr>
        <w:t xml:space="preserve">, </w:t>
      </w:r>
      <w:r w:rsidR="00D816F9" w:rsidRPr="00CD14EE">
        <w:rPr>
          <w:rFonts w:ascii="Arial Narrow" w:hAnsi="Arial Narrow"/>
          <w:bCs/>
          <w:sz w:val="22"/>
          <w:szCs w:val="22"/>
        </w:rPr>
        <w:t>aby pri zachovaní zásad trvalo udržateľného rozvoja prispieval k zlepšeniu konkurencieschopnosti hospodárstva</w:t>
      </w:r>
      <w:r w:rsidR="00290A78" w:rsidRPr="00290A78">
        <w:rPr>
          <w:rFonts w:ascii="Arial Narrow" w:hAnsi="Arial Narrow"/>
          <w:color w:val="auto"/>
          <w:sz w:val="22"/>
          <w:szCs w:val="22"/>
        </w:rPr>
        <w:t xml:space="preserve"> </w:t>
      </w:r>
    </w:p>
    <w:p w14:paraId="1EAE8AF3" w14:textId="6532E19D" w:rsidR="007E2F71" w:rsidRPr="004C54B9" w:rsidRDefault="00E637E1" w:rsidP="007E2F71">
      <w:pPr>
        <w:pStyle w:val="Odsekzoznamu"/>
        <w:numPr>
          <w:ilvl w:val="0"/>
          <w:numId w:val="3"/>
        </w:numPr>
        <w:spacing w:after="0" w:line="240" w:lineRule="auto"/>
        <w:ind w:left="357" w:hanging="357"/>
        <w:jc w:val="both"/>
        <w:rPr>
          <w:rFonts w:ascii="Arial Narrow" w:hAnsi="Arial Narrow"/>
          <w:b/>
        </w:rPr>
      </w:pPr>
      <w:r>
        <w:rPr>
          <w:rFonts w:ascii="Arial Narrow" w:hAnsi="Arial Narrow"/>
        </w:rPr>
        <w:br w:type="page"/>
      </w:r>
      <w:r w:rsidR="007E2F71" w:rsidRPr="004C54B9">
        <w:rPr>
          <w:rFonts w:ascii="Arial Narrow" w:hAnsi="Arial Narrow"/>
          <w:b/>
        </w:rPr>
        <w:lastRenderedPageBreak/>
        <w:t>Najvýznamnejšie zmeny v ostatných oblastiach</w:t>
      </w:r>
    </w:p>
    <w:p w14:paraId="29154E5E" w14:textId="77777777" w:rsidR="007E2F71" w:rsidRPr="004C54B9" w:rsidRDefault="007E2F71" w:rsidP="007E2F71">
      <w:pPr>
        <w:spacing w:after="0" w:line="240" w:lineRule="auto"/>
        <w:jc w:val="both"/>
        <w:rPr>
          <w:rFonts w:ascii="Arial Narrow" w:hAnsi="Arial Narrow"/>
          <w:b/>
          <w:i/>
        </w:rPr>
      </w:pPr>
    </w:p>
    <w:p w14:paraId="316C2791" w14:textId="77777777" w:rsidR="007E2F71" w:rsidRPr="004C54B9" w:rsidRDefault="007E2F71" w:rsidP="007E2F71">
      <w:pPr>
        <w:spacing w:after="0" w:line="240" w:lineRule="auto"/>
        <w:jc w:val="both"/>
        <w:rPr>
          <w:rFonts w:ascii="Arial Narrow" w:hAnsi="Arial Narrow"/>
          <w:b/>
          <w:i/>
        </w:rPr>
      </w:pPr>
      <w:r w:rsidRPr="004C54B9">
        <w:rPr>
          <w:rFonts w:ascii="Arial Narrow" w:hAnsi="Arial Narrow"/>
          <w:b/>
          <w:i/>
        </w:rPr>
        <w:t>Výber daní a cla</w:t>
      </w:r>
    </w:p>
    <w:p w14:paraId="1D36C117" w14:textId="4A18F461" w:rsidR="007E2F71" w:rsidRDefault="007E2F71" w:rsidP="007E2F71">
      <w:pPr>
        <w:spacing w:after="0" w:line="240" w:lineRule="auto"/>
        <w:jc w:val="both"/>
        <w:rPr>
          <w:rFonts w:ascii="Arial Narrow" w:hAnsi="Arial Narrow"/>
        </w:rPr>
      </w:pPr>
      <w:r w:rsidRPr="004C54B9">
        <w:rPr>
          <w:rFonts w:ascii="Arial Narrow" w:hAnsi="Arial Narrow"/>
          <w:b/>
        </w:rPr>
        <w:t>Pokračovala implementácia opatrení na boj proti daňovým únikom.</w:t>
      </w:r>
      <w:r w:rsidRPr="004C54B9">
        <w:rPr>
          <w:rFonts w:ascii="Arial Narrow" w:hAnsi="Arial Narrow"/>
        </w:rPr>
        <w:t xml:space="preserve"> </w:t>
      </w:r>
      <w:r w:rsidRPr="00290A78">
        <w:rPr>
          <w:rFonts w:ascii="Arial Narrow" w:hAnsi="Arial Narrow"/>
        </w:rPr>
        <w:t xml:space="preserve">V oblasti zvýšeného výberu spotrebných daní bol úspešne ukončený legislatívny proces pre označovanie minerálneho oleja značkovačom (tzv. </w:t>
      </w:r>
      <w:proofErr w:type="spellStart"/>
      <w:r w:rsidRPr="006C3979">
        <w:rPr>
          <w:rFonts w:ascii="Arial Narrow" w:hAnsi="Arial Narrow"/>
          <w:i/>
        </w:rPr>
        <w:t>nanomarker</w:t>
      </w:r>
      <w:proofErr w:type="spellEnd"/>
      <w:r w:rsidRPr="00290A78">
        <w:rPr>
          <w:rFonts w:ascii="Arial Narrow" w:hAnsi="Arial Narrow"/>
        </w:rPr>
        <w:t>)</w:t>
      </w:r>
      <w:r w:rsidRPr="00290A78">
        <w:rPr>
          <w:rStyle w:val="Odkaznapoznmkupodiarou"/>
          <w:rFonts w:ascii="Arial Narrow" w:hAnsi="Arial Narrow"/>
        </w:rPr>
        <w:footnoteReference w:id="34"/>
      </w:r>
      <w:r w:rsidRPr="00290A78">
        <w:rPr>
          <w:rFonts w:ascii="Arial Narrow" w:hAnsi="Arial Narrow"/>
        </w:rPr>
        <w:t>. Cieľom navrhovanej právnej úpravy je zabrániť daňovým únikom na spotrebnej dani z </w:t>
      </w:r>
      <w:r w:rsidR="00290A78" w:rsidRPr="00290A78">
        <w:rPr>
          <w:rFonts w:ascii="Arial Narrow" w:hAnsi="Arial Narrow"/>
        </w:rPr>
        <w:t xml:space="preserve">minerálnych olejov. </w:t>
      </w:r>
      <w:r w:rsidRPr="00290A78">
        <w:rPr>
          <w:rFonts w:ascii="Arial Narrow" w:hAnsi="Arial Narrow"/>
        </w:rPr>
        <w:t>Koncom roka 2018 bol</w:t>
      </w:r>
      <w:r w:rsidR="00640D81">
        <w:rPr>
          <w:rFonts w:ascii="Arial Narrow" w:hAnsi="Arial Narrow"/>
        </w:rPr>
        <w:t>o</w:t>
      </w:r>
      <w:r w:rsidRPr="00290A78">
        <w:rPr>
          <w:rFonts w:ascii="Arial Narrow" w:hAnsi="Arial Narrow"/>
        </w:rPr>
        <w:t xml:space="preserve"> </w:t>
      </w:r>
      <w:r w:rsidR="00640D81">
        <w:rPr>
          <w:rFonts w:ascii="Arial Narrow" w:hAnsi="Arial Narrow"/>
        </w:rPr>
        <w:t>spustené používanie</w:t>
      </w:r>
      <w:r w:rsidRPr="00290A78">
        <w:rPr>
          <w:rFonts w:ascii="Arial Narrow" w:hAnsi="Arial Narrow"/>
        </w:rPr>
        <w:t xml:space="preserve"> indexu daňovej spoľahlivosti. Viac ako 294 tis</w:t>
      </w:r>
      <w:r w:rsidR="00396238">
        <w:rPr>
          <w:rFonts w:ascii="Arial Narrow" w:hAnsi="Arial Narrow"/>
        </w:rPr>
        <w:t>íc</w:t>
      </w:r>
      <w:r w:rsidRPr="00290A78">
        <w:rPr>
          <w:rFonts w:ascii="Arial Narrow" w:hAnsi="Arial Narrow"/>
        </w:rPr>
        <w:t xml:space="preserve"> daňovým subjektom bolo v priebehu decembra 2018 odoslané prvé oznámenie o osobitných daňových režimoch. </w:t>
      </w:r>
      <w:r w:rsidR="002721F5" w:rsidRPr="002721F5">
        <w:rPr>
          <w:rFonts w:ascii="Arial Narrow" w:hAnsi="Arial Narrow"/>
        </w:rPr>
        <w:t>V decembri 2018 bola prijatá p</w:t>
      </w:r>
      <w:r w:rsidR="002721F5">
        <w:rPr>
          <w:rFonts w:ascii="Arial Narrow" w:hAnsi="Arial Narrow"/>
        </w:rPr>
        <w:t>rávna úprava, ktorá upravuje on</w:t>
      </w:r>
      <w:r w:rsidR="002721F5" w:rsidRPr="002721F5">
        <w:rPr>
          <w:rFonts w:ascii="Arial Narrow" w:hAnsi="Arial Narrow"/>
        </w:rPr>
        <w:t xml:space="preserve">line prepojenie elektronických registračných pokladníc so systémami finančnej správy (tzv. </w:t>
      </w:r>
      <w:proofErr w:type="spellStart"/>
      <w:r w:rsidR="002721F5" w:rsidRPr="002721F5">
        <w:rPr>
          <w:rFonts w:ascii="Arial Narrow" w:hAnsi="Arial Narrow"/>
          <w:i/>
        </w:rPr>
        <w:t>eKasa</w:t>
      </w:r>
      <w:proofErr w:type="spellEnd"/>
      <w:r w:rsidR="002721F5" w:rsidRPr="002721F5">
        <w:rPr>
          <w:rFonts w:ascii="Arial Narrow" w:hAnsi="Arial Narrow"/>
        </w:rPr>
        <w:t>).</w:t>
      </w:r>
      <w:r w:rsidRPr="00290A78">
        <w:rPr>
          <w:rFonts w:ascii="Arial Narrow" w:hAnsi="Arial Narrow"/>
        </w:rPr>
        <w:t xml:space="preserve"> </w:t>
      </w:r>
      <w:r w:rsidR="00E637E1">
        <w:rPr>
          <w:rFonts w:ascii="Arial Narrow" w:hAnsi="Arial Narrow"/>
        </w:rPr>
        <w:t xml:space="preserve">V roku 2019 sa na systém </w:t>
      </w:r>
      <w:proofErr w:type="spellStart"/>
      <w:r w:rsidR="00E637E1" w:rsidRPr="00E637E1">
        <w:rPr>
          <w:rFonts w:ascii="Arial Narrow" w:hAnsi="Arial Narrow"/>
          <w:i/>
        </w:rPr>
        <w:t>eKasa</w:t>
      </w:r>
      <w:proofErr w:type="spellEnd"/>
      <w:r w:rsidR="00E637E1">
        <w:rPr>
          <w:rFonts w:ascii="Arial Narrow" w:hAnsi="Arial Narrow"/>
        </w:rPr>
        <w:t xml:space="preserve"> postupne napoja všetci podnikatelia</w:t>
      </w:r>
      <w:r w:rsidR="00E637E1" w:rsidRPr="00290A78">
        <w:rPr>
          <w:rFonts w:ascii="Arial Narrow" w:hAnsi="Arial Narrow"/>
        </w:rPr>
        <w:t>.</w:t>
      </w:r>
      <w:r w:rsidR="00E637E1">
        <w:rPr>
          <w:rFonts w:ascii="Arial Narrow" w:hAnsi="Arial Narrow"/>
        </w:rPr>
        <w:t xml:space="preserve"> Okrem toho</w:t>
      </w:r>
      <w:r w:rsidRPr="00290A78">
        <w:rPr>
          <w:rFonts w:ascii="Arial Narrow" w:hAnsi="Arial Narrow"/>
        </w:rPr>
        <w:t xml:space="preserve"> </w:t>
      </w:r>
      <w:r w:rsidR="00D01E95">
        <w:rPr>
          <w:rFonts w:ascii="Arial Narrow" w:hAnsi="Arial Narrow"/>
        </w:rPr>
        <w:t xml:space="preserve">Finančné riaditeľstvo </w:t>
      </w:r>
      <w:r w:rsidRPr="00290A78">
        <w:rPr>
          <w:rFonts w:ascii="Arial Narrow" w:hAnsi="Arial Narrow"/>
        </w:rPr>
        <w:t>SR</w:t>
      </w:r>
      <w:r w:rsidR="0080767F">
        <w:rPr>
          <w:rFonts w:ascii="Arial Narrow" w:hAnsi="Arial Narrow"/>
        </w:rPr>
        <w:t xml:space="preserve"> (FR SR)</w:t>
      </w:r>
      <w:r w:rsidRPr="00290A78">
        <w:rPr>
          <w:rFonts w:ascii="Arial Narrow" w:hAnsi="Arial Narrow"/>
        </w:rPr>
        <w:t xml:space="preserve"> </w:t>
      </w:r>
      <w:r w:rsidR="00E637E1">
        <w:rPr>
          <w:rFonts w:ascii="Arial Narrow" w:hAnsi="Arial Narrow"/>
        </w:rPr>
        <w:t xml:space="preserve">pokračovalo </w:t>
      </w:r>
      <w:r w:rsidRPr="00290A78">
        <w:rPr>
          <w:rFonts w:ascii="Arial Narrow" w:hAnsi="Arial Narrow"/>
        </w:rPr>
        <w:t>v aktivitách súvisiacich s dobudovaním analytických kapacít.</w:t>
      </w:r>
    </w:p>
    <w:p w14:paraId="589A59E8" w14:textId="77777777" w:rsidR="00857A58" w:rsidRDefault="00857A58" w:rsidP="007E2F71">
      <w:pPr>
        <w:spacing w:after="0" w:line="240" w:lineRule="auto"/>
        <w:jc w:val="both"/>
        <w:rPr>
          <w:rFonts w:ascii="Arial Narrow" w:hAnsi="Arial Narrow"/>
        </w:rPr>
      </w:pPr>
    </w:p>
    <w:p w14:paraId="34780F38" w14:textId="077DF306" w:rsidR="00857A58" w:rsidRPr="004E592F" w:rsidRDefault="00857A58" w:rsidP="004E592F">
      <w:pPr>
        <w:tabs>
          <w:tab w:val="center" w:pos="4282"/>
        </w:tabs>
        <w:spacing w:after="0" w:line="240" w:lineRule="auto"/>
        <w:jc w:val="both"/>
        <w:rPr>
          <w:rFonts w:ascii="Arial Narrow" w:hAnsi="Arial Narrow" w:cs="Arial Narrow"/>
        </w:rPr>
      </w:pPr>
      <w:r w:rsidRPr="006F6BFF">
        <w:rPr>
          <w:rFonts w:ascii="Arial Narrow" w:hAnsi="Arial Narrow" w:cs="Arial Narrow"/>
          <w:b/>
        </w:rPr>
        <w:t>V októbri 2018 bola prijatá legislatíva, ktor</w:t>
      </w:r>
      <w:r w:rsidR="008A7ED7">
        <w:rPr>
          <w:rFonts w:ascii="Arial Narrow" w:hAnsi="Arial Narrow" w:cs="Arial Narrow"/>
          <w:b/>
        </w:rPr>
        <w:t>ou</w:t>
      </w:r>
      <w:r w:rsidRPr="006F6BFF">
        <w:rPr>
          <w:rFonts w:ascii="Arial Narrow" w:hAnsi="Arial Narrow" w:cs="Arial Narrow"/>
          <w:b/>
        </w:rPr>
        <w:t xml:space="preserve"> </w:t>
      </w:r>
      <w:r w:rsidR="008A7ED7">
        <w:rPr>
          <w:rFonts w:ascii="Arial Narrow" w:hAnsi="Arial Narrow" w:cs="Arial Narrow"/>
          <w:b/>
        </w:rPr>
        <w:t xml:space="preserve">sa </w:t>
      </w:r>
      <w:r w:rsidRPr="006F6BFF">
        <w:rPr>
          <w:rFonts w:ascii="Arial Narrow" w:hAnsi="Arial Narrow" w:cs="Arial Narrow"/>
          <w:b/>
        </w:rPr>
        <w:t xml:space="preserve">zavádza ročné zúčtovanie </w:t>
      </w:r>
      <w:r w:rsidR="008A7ED7">
        <w:rPr>
          <w:rFonts w:ascii="Arial Narrow" w:hAnsi="Arial Narrow" w:cs="Arial Narrow"/>
          <w:b/>
        </w:rPr>
        <w:t xml:space="preserve">v </w:t>
      </w:r>
      <w:r w:rsidRPr="006F6BFF">
        <w:rPr>
          <w:rFonts w:ascii="Arial Narrow" w:hAnsi="Arial Narrow" w:cs="Arial Narrow"/>
          <w:b/>
        </w:rPr>
        <w:t>sociáln</w:t>
      </w:r>
      <w:r w:rsidR="008A7ED7">
        <w:rPr>
          <w:rFonts w:ascii="Arial Narrow" w:hAnsi="Arial Narrow" w:cs="Arial Narrow"/>
          <w:b/>
        </w:rPr>
        <w:t>om</w:t>
      </w:r>
      <w:r w:rsidRPr="006F6BFF">
        <w:rPr>
          <w:rFonts w:ascii="Arial Narrow" w:hAnsi="Arial Narrow" w:cs="Arial Narrow"/>
          <w:b/>
        </w:rPr>
        <w:t xml:space="preserve"> poisten</w:t>
      </w:r>
      <w:r w:rsidR="008A7ED7">
        <w:rPr>
          <w:rFonts w:ascii="Arial Narrow" w:hAnsi="Arial Narrow" w:cs="Arial Narrow"/>
          <w:b/>
        </w:rPr>
        <w:t>í</w:t>
      </w:r>
      <w:r w:rsidRPr="006F6BFF">
        <w:rPr>
          <w:rFonts w:ascii="Arial Narrow" w:hAnsi="Arial Narrow" w:cs="Arial Narrow"/>
        </w:rPr>
        <w:t xml:space="preserve">. Aktuálne prebieha implementácia legislatívy na strane Sociálnej poisťovne, ktorá bude pre spustenie ročného zúčtovania do praxe kľúčová. Poistné na sociálne poistenie sa začne platiť preddavkovo za obdobie od januára 2022 a ročné zúčtovanie sa prvýkrát vykoná v roku 2023 za rok 2022. Okrem spravodlivejšieho </w:t>
      </w:r>
      <w:r w:rsidR="004A3D89">
        <w:rPr>
          <w:rFonts w:ascii="Arial Narrow" w:hAnsi="Arial Narrow" w:cs="Arial Narrow"/>
        </w:rPr>
        <w:t>nastavenia odvodového zaťaženia</w:t>
      </w:r>
      <w:r w:rsidR="004A3D89" w:rsidRPr="006F6BFF">
        <w:rPr>
          <w:rFonts w:ascii="Arial Narrow" w:hAnsi="Arial Narrow" w:cs="Arial Narrow"/>
        </w:rPr>
        <w:t xml:space="preserve"> </w:t>
      </w:r>
      <w:r w:rsidRPr="006F6BFF">
        <w:rPr>
          <w:rFonts w:ascii="Arial Narrow" w:hAnsi="Arial Narrow" w:cs="Arial Narrow"/>
        </w:rPr>
        <w:t xml:space="preserve">príjmov zo zárobkovej činnosti prinesie ročné zúčtovanie </w:t>
      </w:r>
      <w:r w:rsidR="008A7ED7">
        <w:rPr>
          <w:rFonts w:ascii="Arial Narrow" w:hAnsi="Arial Narrow" w:cs="Arial Narrow"/>
        </w:rPr>
        <w:t>v sociálnom poistení do verejného rozpočtu</w:t>
      </w:r>
      <w:r w:rsidR="00E10C3E">
        <w:rPr>
          <w:rFonts w:ascii="Arial Narrow" w:hAnsi="Arial Narrow" w:cs="Arial Narrow"/>
        </w:rPr>
        <w:t xml:space="preserve"> približne</w:t>
      </w:r>
      <w:r w:rsidR="008A7ED7" w:rsidRPr="006F6BFF">
        <w:rPr>
          <w:rFonts w:ascii="Arial Narrow" w:hAnsi="Arial Narrow" w:cs="Arial Narrow"/>
        </w:rPr>
        <w:t xml:space="preserve"> </w:t>
      </w:r>
      <w:r w:rsidRPr="006F6BFF">
        <w:rPr>
          <w:rFonts w:ascii="Arial Narrow" w:hAnsi="Arial Narrow" w:cs="Arial Narrow"/>
        </w:rPr>
        <w:t>5</w:t>
      </w:r>
      <w:r w:rsidR="00E10C3E">
        <w:rPr>
          <w:rFonts w:ascii="Arial Narrow" w:hAnsi="Arial Narrow" w:cs="Arial Narrow"/>
        </w:rPr>
        <w:t>3</w:t>
      </w:r>
      <w:r w:rsidRPr="006F6BFF">
        <w:rPr>
          <w:rFonts w:ascii="Arial Narrow" w:hAnsi="Arial Narrow" w:cs="Arial Narrow"/>
        </w:rPr>
        <w:t xml:space="preserve"> mil. eur</w:t>
      </w:r>
      <w:r w:rsidR="004E592F">
        <w:rPr>
          <w:rFonts w:ascii="Arial Narrow" w:hAnsi="Arial Narrow" w:cs="Arial Narrow"/>
        </w:rPr>
        <w:t xml:space="preserve">. </w:t>
      </w:r>
      <w:r w:rsidRPr="00396238">
        <w:rPr>
          <w:rFonts w:ascii="Arial Narrow" w:hAnsi="Arial Narrow" w:cs="Arial Narrow"/>
        </w:rPr>
        <w:t xml:space="preserve"> </w:t>
      </w:r>
    </w:p>
    <w:p w14:paraId="7CECAD6F" w14:textId="77777777" w:rsidR="00857A58" w:rsidRPr="00290A78" w:rsidRDefault="00857A58" w:rsidP="007E2F71">
      <w:pPr>
        <w:spacing w:after="0" w:line="240" w:lineRule="auto"/>
        <w:jc w:val="both"/>
        <w:rPr>
          <w:rFonts w:ascii="Arial Narrow" w:hAnsi="Arial Narrow"/>
        </w:rPr>
      </w:pPr>
    </w:p>
    <w:p w14:paraId="3DCBAF3E" w14:textId="77777777" w:rsidR="007E2F71" w:rsidRPr="004C54B9" w:rsidRDefault="007E2F71" w:rsidP="007E2F71">
      <w:pPr>
        <w:spacing w:after="0" w:line="240" w:lineRule="auto"/>
        <w:jc w:val="both"/>
        <w:rPr>
          <w:rFonts w:ascii="Arial Narrow" w:hAnsi="Arial Narrow"/>
          <w:b/>
          <w:i/>
          <w:color w:val="000000" w:themeColor="text1"/>
        </w:rPr>
      </w:pPr>
      <w:r w:rsidRPr="004C54B9">
        <w:rPr>
          <w:rFonts w:ascii="Arial Narrow" w:hAnsi="Arial Narrow"/>
          <w:b/>
          <w:i/>
          <w:color w:val="000000" w:themeColor="text1"/>
        </w:rPr>
        <w:t>Podpora pracovnej mobility</w:t>
      </w:r>
    </w:p>
    <w:p w14:paraId="4A0EBF61" w14:textId="75FFB399" w:rsidR="004E18D3" w:rsidRDefault="007E2F71" w:rsidP="007E2F71">
      <w:pPr>
        <w:spacing w:after="0" w:line="240" w:lineRule="auto"/>
        <w:jc w:val="both"/>
        <w:rPr>
          <w:rFonts w:ascii="Arial Narrow" w:hAnsi="Arial Narrow"/>
          <w:color w:val="000000" w:themeColor="text1"/>
        </w:rPr>
      </w:pPr>
      <w:r w:rsidRPr="004C54B9">
        <w:rPr>
          <w:rFonts w:ascii="Arial Narrow" w:hAnsi="Arial Narrow"/>
          <w:b/>
          <w:color w:val="000000" w:themeColor="text1"/>
        </w:rPr>
        <w:t>Riešenie nedostatku pracovných síl je podporované aj uľahčením zamestnávania pracovníkov z tretích krajín.</w:t>
      </w:r>
      <w:r w:rsidRPr="004C54B9">
        <w:rPr>
          <w:rFonts w:ascii="Arial Narrow" w:hAnsi="Arial Narrow"/>
          <w:color w:val="000000" w:themeColor="text1"/>
        </w:rPr>
        <w:t xml:space="preserve"> </w:t>
      </w:r>
      <w:r w:rsidR="002974DB">
        <w:rPr>
          <w:rFonts w:ascii="Arial Narrow" w:hAnsi="Arial Narrow"/>
          <w:color w:val="000000" w:themeColor="text1"/>
        </w:rPr>
        <w:t xml:space="preserve">V roku 2018 bola až tretina </w:t>
      </w:r>
      <w:r w:rsidR="00DC4979">
        <w:rPr>
          <w:rFonts w:ascii="Arial Narrow" w:hAnsi="Arial Narrow"/>
          <w:color w:val="000000" w:themeColor="text1"/>
        </w:rPr>
        <w:t>nových</w:t>
      </w:r>
      <w:r w:rsidR="002974DB">
        <w:rPr>
          <w:rFonts w:ascii="Arial Narrow" w:hAnsi="Arial Narrow"/>
          <w:color w:val="000000" w:themeColor="text1"/>
        </w:rPr>
        <w:t xml:space="preserve"> miest obsadená pracovníkmi z tretích krajín. </w:t>
      </w:r>
      <w:r w:rsidRPr="004C54B9">
        <w:rPr>
          <w:rFonts w:ascii="Arial Narrow" w:hAnsi="Arial Narrow"/>
          <w:color w:val="000000" w:themeColor="text1"/>
        </w:rPr>
        <w:t xml:space="preserve">V rámci novely zákona o službách zamestnanosti sa od mája 2018 zjednodušujú podmienky zamestnávania štátnych príslušníkov tretích krajín vo vybraných profesiách, kde je preukázaný nedostatok kvalifikovanej pracovnej sily a v okresoch s priemernou mierou evidovanej nezamestnanosti nižšou ako 5 %. Pripravila sa </w:t>
      </w:r>
      <w:r w:rsidRPr="00640D81">
        <w:rPr>
          <w:rFonts w:ascii="Arial Narrow" w:hAnsi="Arial Narrow"/>
          <w:i/>
          <w:color w:val="000000" w:themeColor="text1"/>
        </w:rPr>
        <w:t>Stratégia pracovnej mobility cudzincov v SR</w:t>
      </w:r>
      <w:r w:rsidRPr="004C54B9">
        <w:rPr>
          <w:rFonts w:ascii="Arial Narrow" w:hAnsi="Arial Narrow"/>
          <w:color w:val="000000" w:themeColor="text1"/>
        </w:rPr>
        <w:t>, ktorá navrhuje opatrenia najmä na znižovanie administratívnych bariér pri zamestnávaní pracovníkov z tretích krajín.</w:t>
      </w:r>
      <w:r w:rsidR="00396238">
        <w:rPr>
          <w:rFonts w:ascii="Arial Narrow" w:hAnsi="Arial Narrow"/>
          <w:color w:val="000000" w:themeColor="text1"/>
        </w:rPr>
        <w:t xml:space="preserve"> Prvú schválenú zmenu z konca roka 2018 predstavuje skrátenie vybavovania povolení na sezónne zamestnania a prechodný pobyt pri zamestnaní s nedostatkom pracovnej sily alebo v technologickom centre. </w:t>
      </w:r>
    </w:p>
    <w:p w14:paraId="32D0CE9F" w14:textId="77777777" w:rsidR="004E18D3" w:rsidRDefault="004E18D3" w:rsidP="007E2F71">
      <w:pPr>
        <w:spacing w:after="0" w:line="240" w:lineRule="auto"/>
        <w:jc w:val="both"/>
        <w:rPr>
          <w:rFonts w:ascii="Arial Narrow" w:hAnsi="Arial Narrow"/>
          <w:color w:val="000000" w:themeColor="text1"/>
        </w:rPr>
      </w:pPr>
    </w:p>
    <w:p w14:paraId="0F937033" w14:textId="77777777" w:rsidR="004E18D3" w:rsidRPr="004C54B9" w:rsidRDefault="004E18D3" w:rsidP="004E18D3">
      <w:pPr>
        <w:spacing w:after="0" w:line="240" w:lineRule="auto"/>
        <w:rPr>
          <w:rFonts w:ascii="Arial Narrow" w:hAnsi="Arial Narrow"/>
          <w:b/>
          <w:i/>
        </w:rPr>
      </w:pPr>
      <w:r w:rsidRPr="004C54B9">
        <w:rPr>
          <w:rFonts w:ascii="Arial Narrow" w:hAnsi="Arial Narrow"/>
          <w:b/>
          <w:i/>
        </w:rPr>
        <w:t>Zvyšovanie motivácie osôb v hmotnej núdzi</w:t>
      </w:r>
    </w:p>
    <w:p w14:paraId="2643FE1D" w14:textId="28355AB8" w:rsidR="004E18D3" w:rsidRPr="0062680A" w:rsidRDefault="004E18D3" w:rsidP="004E18D3">
      <w:pPr>
        <w:spacing w:after="0" w:line="240" w:lineRule="auto"/>
        <w:jc w:val="both"/>
        <w:rPr>
          <w:rFonts w:ascii="Arial Narrow" w:hAnsi="Arial Narrow"/>
          <w:i/>
        </w:rPr>
      </w:pPr>
      <w:r w:rsidRPr="00640D81">
        <w:rPr>
          <w:rFonts w:ascii="Arial Narrow" w:hAnsi="Arial Narrow"/>
          <w:b/>
        </w:rPr>
        <w:t xml:space="preserve">V rámci </w:t>
      </w:r>
      <w:r w:rsidR="004E592F">
        <w:rPr>
          <w:rFonts w:ascii="Arial Narrow" w:hAnsi="Arial Narrow"/>
          <w:b/>
        </w:rPr>
        <w:t xml:space="preserve">systému pomoci v hmotnej núdzi </w:t>
      </w:r>
      <w:r w:rsidR="004E592F" w:rsidRPr="00640D81">
        <w:rPr>
          <w:rFonts w:ascii="Arial Narrow" w:hAnsi="Arial Narrow"/>
          <w:b/>
        </w:rPr>
        <w:t xml:space="preserve"> sa zvyšuj</w:t>
      </w:r>
      <w:r w:rsidR="004E592F">
        <w:rPr>
          <w:rFonts w:ascii="Arial Narrow" w:hAnsi="Arial Narrow"/>
          <w:b/>
        </w:rPr>
        <w:t>e motivácia uplatniť sa na trhu práce a výška súm pomoci v hmotnej núdzi</w:t>
      </w:r>
      <w:r w:rsidR="004E592F" w:rsidRPr="00640D81">
        <w:rPr>
          <w:rFonts w:ascii="Arial Narrow" w:hAnsi="Arial Narrow"/>
          <w:b/>
        </w:rPr>
        <w:t>.</w:t>
      </w:r>
      <w:r w:rsidRPr="00640D81">
        <w:rPr>
          <w:rFonts w:ascii="Arial Narrow" w:hAnsi="Arial Narrow"/>
          <w:b/>
        </w:rPr>
        <w:t xml:space="preserve"> </w:t>
      </w:r>
      <w:r w:rsidRPr="00484218">
        <w:rPr>
          <w:rFonts w:ascii="Arial Narrow" w:hAnsi="Arial Narrow"/>
        </w:rPr>
        <w:t>S</w:t>
      </w:r>
      <w:r w:rsidRPr="0075516A">
        <w:rPr>
          <w:rFonts w:ascii="Arial Narrow" w:hAnsi="Arial Narrow"/>
        </w:rPr>
        <w:t xml:space="preserve"> účinnosťou od apríla 2019 sa zvyšuje suma</w:t>
      </w:r>
      <w:r w:rsidRPr="00632EEF">
        <w:rPr>
          <w:rFonts w:ascii="Arial Narrow" w:hAnsi="Arial Narrow"/>
        </w:rPr>
        <w:t xml:space="preserve"> aktivačného príspevku pre</w:t>
      </w:r>
      <w:r w:rsidRPr="004E18D3">
        <w:rPr>
          <w:rFonts w:ascii="Arial Narrow" w:hAnsi="Arial Narrow"/>
        </w:rPr>
        <w:t xml:space="preserve"> osoby v hmotnej núdzi, ktoré si nájdu zamestnanie</w:t>
      </w:r>
      <w:r w:rsidR="004E592F">
        <w:rPr>
          <w:rFonts w:ascii="Arial Narrow" w:hAnsi="Arial Narrow"/>
        </w:rPr>
        <w:t xml:space="preserve"> s mesačnou mzdou minimálne na úrovni minimálnej mzdy</w:t>
      </w:r>
      <w:r w:rsidRPr="004E18D3">
        <w:rPr>
          <w:rFonts w:ascii="Arial Narrow" w:hAnsi="Arial Narrow"/>
        </w:rPr>
        <w:t>.</w:t>
      </w:r>
      <w:r w:rsidRPr="00484218">
        <w:rPr>
          <w:rFonts w:ascii="Arial Narrow" w:hAnsi="Arial Narrow"/>
        </w:rPr>
        <w:t xml:space="preserve"> </w:t>
      </w:r>
      <w:r w:rsidR="004E592F">
        <w:rPr>
          <w:rFonts w:ascii="Arial Narrow" w:hAnsi="Arial Narrow"/>
        </w:rPr>
        <w:t xml:space="preserve">V záujme zvýšenia motivácie dlhodobo nezamestnaných alebo dlhodobo neaktívnych osôb v systéme pomoci v hmotnej núdzi zamestnať sa, obdobie poskytovania osobitného príspevku sa predlžuje z 12 na 18 mesiacov. </w:t>
      </w:r>
      <w:r w:rsidRPr="0075516A">
        <w:rPr>
          <w:rFonts w:ascii="Arial Narrow" w:hAnsi="Arial Narrow"/>
        </w:rPr>
        <w:t>Zároveň sa</w:t>
      </w:r>
      <w:r w:rsidRPr="00632EEF">
        <w:rPr>
          <w:rFonts w:ascii="Arial Narrow" w:hAnsi="Arial Narrow"/>
        </w:rPr>
        <w:t xml:space="preserve"> zvyšuj</w:t>
      </w:r>
      <w:r w:rsidRPr="004E18D3">
        <w:rPr>
          <w:rFonts w:ascii="Arial Narrow" w:hAnsi="Arial Narrow"/>
        </w:rPr>
        <w:t xml:space="preserve">ú aj </w:t>
      </w:r>
      <w:r w:rsidRPr="0062680A">
        <w:rPr>
          <w:rFonts w:ascii="Arial Narrow" w:hAnsi="Arial Narrow"/>
        </w:rPr>
        <w:t>sumy pomoci v hmotnej núdzi</w:t>
      </w:r>
      <w:r w:rsidR="0059236D">
        <w:rPr>
          <w:rFonts w:ascii="Arial Narrow" w:hAnsi="Arial Narrow"/>
        </w:rPr>
        <w:t xml:space="preserve"> </w:t>
      </w:r>
      <w:r w:rsidR="00BC4533">
        <w:rPr>
          <w:rFonts w:ascii="Arial Narrow" w:hAnsi="Arial Narrow"/>
        </w:rPr>
        <w:t xml:space="preserve">o 5 % </w:t>
      </w:r>
      <w:r w:rsidRPr="00484218">
        <w:rPr>
          <w:rFonts w:ascii="Arial Narrow" w:hAnsi="Arial Narrow"/>
        </w:rPr>
        <w:t>(dávk</w:t>
      </w:r>
      <w:r w:rsidR="004E592F">
        <w:rPr>
          <w:rFonts w:ascii="Arial Narrow" w:hAnsi="Arial Narrow"/>
        </w:rPr>
        <w:t>a</w:t>
      </w:r>
      <w:r w:rsidRPr="00484218">
        <w:rPr>
          <w:rFonts w:ascii="Arial Narrow" w:hAnsi="Arial Narrow"/>
        </w:rPr>
        <w:t xml:space="preserve"> v hmotnej núdzi, aktivačn</w:t>
      </w:r>
      <w:r w:rsidR="004E592F">
        <w:rPr>
          <w:rFonts w:ascii="Arial Narrow" w:hAnsi="Arial Narrow"/>
        </w:rPr>
        <w:t>ý</w:t>
      </w:r>
      <w:r w:rsidRPr="00484218">
        <w:rPr>
          <w:rFonts w:ascii="Arial Narrow" w:hAnsi="Arial Narrow"/>
        </w:rPr>
        <w:t xml:space="preserve"> príspev</w:t>
      </w:r>
      <w:r w:rsidR="004E592F">
        <w:rPr>
          <w:rFonts w:ascii="Arial Narrow" w:hAnsi="Arial Narrow"/>
        </w:rPr>
        <w:t>ok</w:t>
      </w:r>
      <w:r w:rsidRPr="00484218">
        <w:rPr>
          <w:rFonts w:ascii="Arial Narrow" w:hAnsi="Arial Narrow"/>
        </w:rPr>
        <w:t>, ochrann</w:t>
      </w:r>
      <w:r w:rsidR="004E592F">
        <w:rPr>
          <w:rFonts w:ascii="Arial Narrow" w:hAnsi="Arial Narrow"/>
        </w:rPr>
        <w:t>ý</w:t>
      </w:r>
      <w:r w:rsidRPr="00484218">
        <w:rPr>
          <w:rFonts w:ascii="Arial Narrow" w:hAnsi="Arial Narrow"/>
        </w:rPr>
        <w:t xml:space="preserve"> pr</w:t>
      </w:r>
      <w:r w:rsidRPr="0075516A">
        <w:rPr>
          <w:rFonts w:ascii="Arial Narrow" w:hAnsi="Arial Narrow"/>
        </w:rPr>
        <w:t>íspev</w:t>
      </w:r>
      <w:r w:rsidR="004E592F">
        <w:rPr>
          <w:rFonts w:ascii="Arial Narrow" w:hAnsi="Arial Narrow"/>
        </w:rPr>
        <w:t>ok</w:t>
      </w:r>
      <w:r w:rsidRPr="0075516A">
        <w:rPr>
          <w:rFonts w:ascii="Arial Narrow" w:hAnsi="Arial Narrow"/>
        </w:rPr>
        <w:t xml:space="preserve"> a príspev</w:t>
      </w:r>
      <w:r w:rsidR="004E592F">
        <w:rPr>
          <w:rFonts w:ascii="Arial Narrow" w:hAnsi="Arial Narrow"/>
        </w:rPr>
        <w:t>ok</w:t>
      </w:r>
      <w:r w:rsidRPr="0075516A">
        <w:rPr>
          <w:rFonts w:ascii="Arial Narrow" w:hAnsi="Arial Narrow"/>
        </w:rPr>
        <w:t xml:space="preserve"> na nezaopatrené di</w:t>
      </w:r>
      <w:r w:rsidR="0059236D">
        <w:rPr>
          <w:rFonts w:ascii="Arial Narrow" w:hAnsi="Arial Narrow"/>
        </w:rPr>
        <w:t>eťa)</w:t>
      </w:r>
      <w:r w:rsidRPr="00632EEF">
        <w:rPr>
          <w:rFonts w:ascii="Arial Narrow" w:hAnsi="Arial Narrow"/>
        </w:rPr>
        <w:t>.</w:t>
      </w:r>
      <w:r w:rsidR="0052262F">
        <w:rPr>
          <w:rFonts w:ascii="Arial Narrow" w:hAnsi="Arial Narrow"/>
        </w:rPr>
        <w:t xml:space="preserve"> </w:t>
      </w:r>
      <w:r w:rsidR="004E592F" w:rsidRPr="0052262F">
        <w:rPr>
          <w:rFonts w:ascii="Arial Narrow" w:hAnsi="Arial Narrow"/>
        </w:rPr>
        <w:t>Zavádza sa tiež mechanizmus pravidelnej úpravy súm pomoci v hmotnej núdzi vždy od začiatku kalendárneho roka v nadväznosti na úpravu súm životného minime v predchádzajúcom kalendárnom roku.</w:t>
      </w:r>
    </w:p>
    <w:p w14:paraId="1978711C" w14:textId="77777777" w:rsidR="007E2F71" w:rsidRPr="004C54B9" w:rsidRDefault="007E2F71" w:rsidP="007E2F71">
      <w:pPr>
        <w:spacing w:after="0" w:line="240" w:lineRule="auto"/>
        <w:jc w:val="both"/>
        <w:rPr>
          <w:rFonts w:ascii="Arial Narrow" w:hAnsi="Arial Narrow"/>
        </w:rPr>
      </w:pPr>
    </w:p>
    <w:p w14:paraId="3C97F918" w14:textId="77777777" w:rsidR="007E2F71" w:rsidRPr="004C54B9" w:rsidRDefault="007E2F71" w:rsidP="007E2F71">
      <w:pPr>
        <w:spacing w:after="0" w:line="240" w:lineRule="auto"/>
        <w:jc w:val="both"/>
        <w:rPr>
          <w:rFonts w:ascii="Arial Narrow" w:hAnsi="Arial Narrow"/>
          <w:b/>
          <w:i/>
        </w:rPr>
      </w:pPr>
      <w:r w:rsidRPr="004C54B9">
        <w:rPr>
          <w:rFonts w:ascii="Arial Narrow" w:hAnsi="Arial Narrow"/>
          <w:b/>
          <w:i/>
        </w:rPr>
        <w:t>Podnikateľské prostredie</w:t>
      </w:r>
    </w:p>
    <w:p w14:paraId="2D3BD0DB" w14:textId="04E6B17C" w:rsidR="007E2F71" w:rsidRPr="00290A78" w:rsidRDefault="007E2F71" w:rsidP="007E2F71">
      <w:pPr>
        <w:spacing w:after="0" w:line="240" w:lineRule="auto"/>
        <w:jc w:val="both"/>
        <w:rPr>
          <w:rFonts w:ascii="Arial Narrow" w:hAnsi="Arial Narrow"/>
        </w:rPr>
      </w:pPr>
      <w:r w:rsidRPr="004C54B9">
        <w:rPr>
          <w:rFonts w:ascii="Arial Narrow" w:hAnsi="Arial Narrow"/>
          <w:b/>
        </w:rPr>
        <w:t xml:space="preserve">Boli schválené ďalšie akčné plány na znižovanie regulačného zaťaženia podnikateľov. </w:t>
      </w:r>
      <w:r w:rsidRPr="00290A78">
        <w:rPr>
          <w:rFonts w:ascii="Arial Narrow" w:hAnsi="Arial Narrow"/>
        </w:rPr>
        <w:t xml:space="preserve">V máji 2018 bol vládou SR schválený druhý </w:t>
      </w:r>
      <w:proofErr w:type="spellStart"/>
      <w:r w:rsidRPr="00290A78">
        <w:rPr>
          <w:rFonts w:ascii="Arial Narrow" w:hAnsi="Arial Narrow"/>
        </w:rPr>
        <w:t>antibyrokratický</w:t>
      </w:r>
      <w:proofErr w:type="spellEnd"/>
      <w:r w:rsidRPr="00290A78">
        <w:rPr>
          <w:rFonts w:ascii="Arial Narrow" w:hAnsi="Arial Narrow"/>
        </w:rPr>
        <w:t xml:space="preserve"> podnikateľský balíček, ktorý obsahuje 23 opatrení, s cieľom napríklad uľahčiť rodinné podnikanie alebo zjednodušiť proces posudzovania vplyvov na životné prostredie. Súčasťou balíčka sú návrhy na realizáciu analýz, ktoré budú neskôr </w:t>
      </w:r>
      <w:r w:rsidR="00BC4533">
        <w:rPr>
          <w:rFonts w:ascii="Arial Narrow" w:hAnsi="Arial Narrow"/>
        </w:rPr>
        <w:t>podkladom na nové opatrenia</w:t>
      </w:r>
      <w:r w:rsidRPr="00290A78">
        <w:rPr>
          <w:rStyle w:val="Odkaznapoznmkupodiarou"/>
          <w:rFonts w:ascii="Arial Narrow" w:hAnsi="Arial Narrow"/>
        </w:rPr>
        <w:footnoteReference w:id="35"/>
      </w:r>
      <w:r w:rsidR="00BC4533">
        <w:rPr>
          <w:rFonts w:ascii="Arial Narrow" w:hAnsi="Arial Narrow"/>
        </w:rPr>
        <w:t>.</w:t>
      </w:r>
      <w:r w:rsidRPr="00290A78">
        <w:rPr>
          <w:rFonts w:ascii="Arial Narrow" w:hAnsi="Arial Narrow"/>
        </w:rPr>
        <w:t xml:space="preserve"> Novela zákona o DPH s účinnosťou od januára 2019 výrazným spôsobom odbúrava administratívnu ako aj finančnú záťaž budúcich platiteľov dane. Na základe analýzy finančnej správy došlo napríklad k vypusteniu povinnosti skladať zábezpeku na daň pri registrácii za platiteľa DPH.</w:t>
      </w:r>
    </w:p>
    <w:p w14:paraId="6AC831CE" w14:textId="77777777" w:rsidR="007E2F71" w:rsidRPr="004C54B9" w:rsidRDefault="007E2F71" w:rsidP="007E2F71">
      <w:pPr>
        <w:spacing w:after="0" w:line="240" w:lineRule="auto"/>
        <w:jc w:val="both"/>
        <w:rPr>
          <w:rFonts w:ascii="Arial Narrow" w:hAnsi="Arial Narrow"/>
          <w:b/>
        </w:rPr>
      </w:pPr>
    </w:p>
    <w:p w14:paraId="1D2B9A48" w14:textId="18FAB94F" w:rsidR="007E2F71" w:rsidRDefault="007E2F71" w:rsidP="007E2F71">
      <w:pPr>
        <w:spacing w:after="0" w:line="240" w:lineRule="auto"/>
        <w:jc w:val="both"/>
        <w:rPr>
          <w:rFonts w:ascii="Arial Narrow" w:hAnsi="Arial Narrow"/>
        </w:rPr>
      </w:pPr>
      <w:r>
        <w:rPr>
          <w:rFonts w:ascii="Arial Narrow" w:hAnsi="Arial Narrow"/>
          <w:b/>
        </w:rPr>
        <w:lastRenderedPageBreak/>
        <w:t>V nadväznosti na predchádzajúce opatrenia bol</w:t>
      </w:r>
      <w:r w:rsidR="00631303">
        <w:rPr>
          <w:rFonts w:ascii="Arial Narrow" w:hAnsi="Arial Narrow"/>
          <w:b/>
        </w:rPr>
        <w:t xml:space="preserve"> vo februári 2019</w:t>
      </w:r>
      <w:r>
        <w:rPr>
          <w:rFonts w:ascii="Arial Narrow" w:hAnsi="Arial Narrow"/>
          <w:b/>
        </w:rPr>
        <w:t xml:space="preserve"> schválený aj t</w:t>
      </w:r>
      <w:r w:rsidRPr="004C54B9">
        <w:rPr>
          <w:rFonts w:ascii="Arial Narrow" w:hAnsi="Arial Narrow"/>
          <w:b/>
        </w:rPr>
        <w:t xml:space="preserve">retí </w:t>
      </w:r>
      <w:proofErr w:type="spellStart"/>
      <w:r w:rsidRPr="004C54B9">
        <w:rPr>
          <w:rFonts w:ascii="Arial Narrow" w:hAnsi="Arial Narrow"/>
          <w:b/>
        </w:rPr>
        <w:t>antibyrokratický</w:t>
      </w:r>
      <w:proofErr w:type="spellEnd"/>
      <w:r w:rsidRPr="004C54B9">
        <w:rPr>
          <w:rFonts w:ascii="Arial Narrow" w:hAnsi="Arial Narrow"/>
          <w:b/>
        </w:rPr>
        <w:t xml:space="preserve"> podnikateľský balíček</w:t>
      </w:r>
      <w:r>
        <w:rPr>
          <w:rFonts w:ascii="Arial Narrow" w:hAnsi="Arial Narrow"/>
        </w:rPr>
        <w:t>.</w:t>
      </w:r>
      <w:r w:rsidRPr="004C54B9">
        <w:rPr>
          <w:rFonts w:ascii="Arial Narrow" w:hAnsi="Arial Narrow"/>
        </w:rPr>
        <w:t xml:space="preserve"> </w:t>
      </w:r>
      <w:r>
        <w:rPr>
          <w:rFonts w:ascii="Arial Narrow" w:hAnsi="Arial Narrow"/>
        </w:rPr>
        <w:t>O</w:t>
      </w:r>
      <w:r w:rsidRPr="004C54B9">
        <w:rPr>
          <w:rFonts w:ascii="Arial Narrow" w:hAnsi="Arial Narrow"/>
        </w:rPr>
        <w:t>bsahuje 37 opatrení zameraných hlavne na zjednodušenie procesu otvárania prevádzok a sprehľadnenie ich kontroly. Jeho prijatím sa znížia a sprehľadnia povinnosti podnikateľov vo vzťahu napríklad  k regionálnym úradom verejného zdravotníctva, Slovenskej obchodnej inšpekcii alebo k stavebným úradom. Znížia sa tiež niektoré povinnosti podnikateľov vo vzťahu k daňovým úradom a ďalším inštitúciám.</w:t>
      </w:r>
    </w:p>
    <w:p w14:paraId="51181081" w14:textId="77777777" w:rsidR="009C7372" w:rsidRPr="004C54B9" w:rsidRDefault="009C7372" w:rsidP="007E2F71">
      <w:pPr>
        <w:spacing w:after="0" w:line="240" w:lineRule="auto"/>
        <w:jc w:val="both"/>
        <w:rPr>
          <w:rFonts w:ascii="Arial Narrow" w:hAnsi="Arial Narrow"/>
        </w:rPr>
      </w:pPr>
    </w:p>
    <w:p w14:paraId="716DBA60" w14:textId="21E60AC1" w:rsidR="007E2F71" w:rsidRDefault="007E2F71" w:rsidP="007E2F71">
      <w:pPr>
        <w:spacing w:after="0" w:line="240" w:lineRule="auto"/>
        <w:jc w:val="both"/>
        <w:rPr>
          <w:rFonts w:ascii="Arial Narrow" w:hAnsi="Arial Narrow"/>
        </w:rPr>
      </w:pPr>
      <w:r w:rsidRPr="004C54B9">
        <w:rPr>
          <w:rFonts w:ascii="Arial Narrow" w:hAnsi="Arial Narrow"/>
          <w:b/>
        </w:rPr>
        <w:t xml:space="preserve">Začiatkom roka 2018 vláda SR prijala </w:t>
      </w:r>
      <w:r w:rsidRPr="004C54B9">
        <w:rPr>
          <w:rFonts w:ascii="Arial Narrow" w:hAnsi="Arial Narrow"/>
          <w:b/>
          <w:i/>
        </w:rPr>
        <w:t xml:space="preserve">Stratégiu lepšej regulácie </w:t>
      </w:r>
      <w:r w:rsidR="00831613">
        <w:rPr>
          <w:rFonts w:ascii="Arial Narrow" w:hAnsi="Arial Narrow"/>
          <w:b/>
          <w:i/>
        </w:rPr>
        <w:t>–</w:t>
      </w:r>
      <w:r w:rsidRPr="004C54B9">
        <w:rPr>
          <w:rFonts w:ascii="Arial Narrow" w:hAnsi="Arial Narrow"/>
          <w:b/>
          <w:i/>
        </w:rPr>
        <w:t xml:space="preserve"> RIA 2020</w:t>
      </w:r>
      <w:r w:rsidRPr="004C54B9">
        <w:rPr>
          <w:rFonts w:ascii="Arial Narrow" w:hAnsi="Arial Narrow"/>
          <w:b/>
        </w:rPr>
        <w:t xml:space="preserve"> na zvyšovanie kvality zákonov a odbúranie nadbytočnej regulácie</w:t>
      </w:r>
      <w:r w:rsidRPr="004C54B9">
        <w:rPr>
          <w:rStyle w:val="Odkaznakomentr"/>
          <w:rFonts w:ascii="Arial Narrow" w:hAnsi="Arial Narrow"/>
          <w:sz w:val="22"/>
          <w:szCs w:val="22"/>
        </w:rPr>
        <w:t>.</w:t>
      </w:r>
      <w:r w:rsidRPr="004C54B9">
        <w:rPr>
          <w:rFonts w:ascii="Arial Narrow" w:hAnsi="Arial Narrow"/>
        </w:rPr>
        <w:t xml:space="preserve"> </w:t>
      </w:r>
      <w:r w:rsidRPr="00290A78">
        <w:rPr>
          <w:rFonts w:ascii="Arial Narrow" w:hAnsi="Arial Narrow"/>
        </w:rPr>
        <w:t xml:space="preserve">Strategický materiál obsahuje sériu nástrojov, analýzy a opatrenia týkajúce sa odstraňovania a predchádzania </w:t>
      </w:r>
      <w:proofErr w:type="spellStart"/>
      <w:r w:rsidRPr="00BC4533">
        <w:rPr>
          <w:rFonts w:ascii="Arial Narrow" w:hAnsi="Arial Narrow"/>
          <w:i/>
        </w:rPr>
        <w:t>goldplatingu</w:t>
      </w:r>
      <w:proofErr w:type="spellEnd"/>
      <w:r w:rsidRPr="00290A78">
        <w:rPr>
          <w:rFonts w:ascii="Arial Narrow" w:hAnsi="Arial Narrow"/>
        </w:rPr>
        <w:t xml:space="preserve">, nahliadania na regulácie a ich tvorbu </w:t>
      </w:r>
      <w:proofErr w:type="spellStart"/>
      <w:r w:rsidRPr="00290A78">
        <w:rPr>
          <w:rFonts w:ascii="Arial Narrow" w:hAnsi="Arial Narrow"/>
        </w:rPr>
        <w:t>behaviorálnymi</w:t>
      </w:r>
      <w:proofErr w:type="spellEnd"/>
      <w:r w:rsidRPr="00290A78">
        <w:rPr>
          <w:rFonts w:ascii="Arial Narrow" w:hAnsi="Arial Narrow"/>
        </w:rPr>
        <w:t xml:space="preserve"> prístupmi či odskúšanie metódy </w:t>
      </w:r>
      <w:proofErr w:type="spellStart"/>
      <w:r w:rsidRPr="00290A78">
        <w:rPr>
          <w:rFonts w:ascii="Arial Narrow" w:hAnsi="Arial Narrow"/>
          <w:i/>
        </w:rPr>
        <w:t>one</w:t>
      </w:r>
      <w:proofErr w:type="spellEnd"/>
      <w:r w:rsidRPr="00290A78">
        <w:rPr>
          <w:rFonts w:ascii="Arial Narrow" w:hAnsi="Arial Narrow"/>
          <w:i/>
        </w:rPr>
        <w:t xml:space="preserve">-in </w:t>
      </w:r>
      <w:proofErr w:type="spellStart"/>
      <w:r w:rsidRPr="00290A78">
        <w:rPr>
          <w:rFonts w:ascii="Arial Narrow" w:hAnsi="Arial Narrow"/>
          <w:i/>
        </w:rPr>
        <w:t>one-out</w:t>
      </w:r>
      <w:proofErr w:type="spellEnd"/>
      <w:r w:rsidRPr="00290A78">
        <w:rPr>
          <w:rFonts w:ascii="Arial Narrow" w:hAnsi="Arial Narrow"/>
        </w:rPr>
        <w:t xml:space="preserve"> (za každú novú reguláciu by malo dôjsť k odstráneniu inej). Cieľom je dbať na dôsledné posudzovanie vplyvu zákonov na podnikateľov a vytvárať tlak na znižovanie priamych nákladov vyvolaných</w:t>
      </w:r>
      <w:r w:rsidRPr="004C54B9">
        <w:rPr>
          <w:rFonts w:ascii="Arial Narrow" w:hAnsi="Arial Narrow"/>
        </w:rPr>
        <w:t xml:space="preserve"> legislatívou.</w:t>
      </w:r>
    </w:p>
    <w:p w14:paraId="0333942D" w14:textId="77777777" w:rsidR="00152C7D" w:rsidRDefault="00152C7D" w:rsidP="007E2F71">
      <w:pPr>
        <w:spacing w:after="0" w:line="240" w:lineRule="auto"/>
        <w:jc w:val="both"/>
        <w:rPr>
          <w:rFonts w:ascii="Arial Narrow" w:hAnsi="Arial Narrow"/>
        </w:rPr>
      </w:pPr>
    </w:p>
    <w:p w14:paraId="57F3AF42" w14:textId="77777777" w:rsidR="00152C7D" w:rsidRDefault="00152C7D" w:rsidP="00152C7D">
      <w:pPr>
        <w:spacing w:after="0" w:line="240" w:lineRule="auto"/>
        <w:jc w:val="both"/>
        <w:rPr>
          <w:rFonts w:ascii="Arial Narrow" w:hAnsi="Arial Narrow"/>
          <w:b/>
          <w:i/>
        </w:rPr>
      </w:pPr>
      <w:r w:rsidRPr="00F14AB4">
        <w:rPr>
          <w:rFonts w:ascii="Arial Narrow" w:hAnsi="Arial Narrow"/>
          <w:b/>
          <w:i/>
        </w:rPr>
        <w:t>Analytické kapacity</w:t>
      </w:r>
    </w:p>
    <w:p w14:paraId="3A974BDF" w14:textId="66942C86" w:rsidR="00152C7D" w:rsidRPr="00F14AB4" w:rsidRDefault="00152C7D" w:rsidP="00152C7D">
      <w:pPr>
        <w:spacing w:after="0" w:line="240" w:lineRule="auto"/>
        <w:jc w:val="both"/>
        <w:rPr>
          <w:rFonts w:ascii="Arial Narrow" w:hAnsi="Arial Narrow"/>
        </w:rPr>
      </w:pPr>
      <w:r w:rsidRPr="000E1C59">
        <w:rPr>
          <w:rFonts w:ascii="Arial Narrow" w:hAnsi="Arial Narrow"/>
          <w:b/>
        </w:rPr>
        <w:t>Posilnili sa kapacity štátnej správy</w:t>
      </w:r>
      <w:r>
        <w:rPr>
          <w:rFonts w:ascii="Arial Narrow" w:hAnsi="Arial Narrow"/>
          <w:b/>
        </w:rPr>
        <w:t xml:space="preserve">. </w:t>
      </w:r>
      <w:r>
        <w:rPr>
          <w:rFonts w:ascii="Arial Narrow" w:hAnsi="Arial Narrow"/>
        </w:rPr>
        <w:t>Naďalej prebiehala podpora v rámci o</w:t>
      </w:r>
      <w:r w:rsidRPr="00F14AB4">
        <w:rPr>
          <w:rFonts w:ascii="Arial Narrow" w:hAnsi="Arial Narrow"/>
        </w:rPr>
        <w:t xml:space="preserve">peračného programu </w:t>
      </w:r>
      <w:r w:rsidRPr="00F14AB4">
        <w:rPr>
          <w:rFonts w:ascii="Arial Narrow" w:hAnsi="Arial Narrow"/>
          <w:i/>
        </w:rPr>
        <w:t>Efektívna verejná správa</w:t>
      </w:r>
      <w:r>
        <w:rPr>
          <w:rFonts w:ascii="Arial Narrow" w:hAnsi="Arial Narrow"/>
        </w:rPr>
        <w:t xml:space="preserve"> </w:t>
      </w:r>
      <w:r w:rsidRPr="00F14AB4">
        <w:rPr>
          <w:rFonts w:ascii="Arial Narrow" w:hAnsi="Arial Narrow"/>
        </w:rPr>
        <w:t xml:space="preserve">prostredníctvom projektov </w:t>
      </w:r>
      <w:r w:rsidRPr="00F14AB4">
        <w:rPr>
          <w:rFonts w:ascii="Arial Narrow" w:hAnsi="Arial Narrow"/>
          <w:i/>
        </w:rPr>
        <w:t>Hodnotenie efektívnosti verejných výdavkov</w:t>
      </w:r>
      <w:r w:rsidRPr="00F14AB4">
        <w:rPr>
          <w:rFonts w:ascii="Arial Narrow" w:hAnsi="Arial Narrow"/>
        </w:rPr>
        <w:t xml:space="preserve"> (revízia výdavkov) a </w:t>
      </w:r>
      <w:r w:rsidRPr="00F14AB4">
        <w:rPr>
          <w:rFonts w:ascii="Arial Narrow" w:hAnsi="Arial Narrow"/>
          <w:i/>
        </w:rPr>
        <w:t>Budovanie a rozvoj kapacít analytických útvarov na vybraných ústredných orgánoch štátnej správy</w:t>
      </w:r>
      <w:r w:rsidRPr="00F14AB4">
        <w:rPr>
          <w:rFonts w:ascii="Arial Narrow" w:hAnsi="Arial Narrow"/>
        </w:rPr>
        <w:t>. Personálne sa posilňovali existujúce analytické útvary a v priebehu roka 2018 vznikli aj nové analytické útvary n</w:t>
      </w:r>
      <w:r>
        <w:rPr>
          <w:rFonts w:ascii="Arial Narrow" w:hAnsi="Arial Narrow"/>
        </w:rPr>
        <w:t xml:space="preserve">a rezorte obrany, </w:t>
      </w:r>
      <w:r w:rsidRPr="00F14AB4">
        <w:rPr>
          <w:rFonts w:ascii="Arial Narrow" w:hAnsi="Arial Narrow"/>
        </w:rPr>
        <w:t>na rezorte pôdohospodárstva a t</w:t>
      </w:r>
      <w:r>
        <w:rPr>
          <w:rFonts w:ascii="Arial Narrow" w:hAnsi="Arial Narrow"/>
        </w:rPr>
        <w:t xml:space="preserve">iež na </w:t>
      </w:r>
      <w:r w:rsidR="00EE676F">
        <w:rPr>
          <w:rFonts w:ascii="Arial Narrow" w:hAnsi="Arial Narrow"/>
        </w:rPr>
        <w:t>ÚPVII</w:t>
      </w:r>
      <w:r w:rsidRPr="00F14AB4">
        <w:rPr>
          <w:rFonts w:ascii="Arial Narrow" w:hAnsi="Arial Narrow"/>
        </w:rPr>
        <w:t>.</w:t>
      </w:r>
    </w:p>
    <w:p w14:paraId="1993FB86" w14:textId="77777777" w:rsidR="007D6A3E" w:rsidRPr="004C54B9" w:rsidRDefault="007D6A3E" w:rsidP="007E2F71">
      <w:pPr>
        <w:spacing w:after="0" w:line="240" w:lineRule="auto"/>
        <w:jc w:val="both"/>
        <w:rPr>
          <w:rFonts w:ascii="Arial Narrow" w:hAnsi="Arial Narrow"/>
        </w:rPr>
      </w:pPr>
    </w:p>
    <w:p w14:paraId="5D2506E4" w14:textId="77777777" w:rsidR="007E2F71" w:rsidRPr="004C54B9" w:rsidRDefault="007E2F71" w:rsidP="007E2F71">
      <w:pPr>
        <w:autoSpaceDE w:val="0"/>
        <w:autoSpaceDN w:val="0"/>
        <w:adjustRightInd w:val="0"/>
        <w:spacing w:after="0" w:line="240" w:lineRule="auto"/>
        <w:jc w:val="both"/>
        <w:rPr>
          <w:rFonts w:ascii="Arial Narrow" w:hAnsi="Arial Narrow"/>
          <w:b/>
          <w:i/>
        </w:rPr>
      </w:pPr>
      <w:r w:rsidRPr="004C54B9">
        <w:rPr>
          <w:rFonts w:ascii="Arial Narrow" w:hAnsi="Arial Narrow"/>
          <w:b/>
          <w:i/>
        </w:rPr>
        <w:t>IT a dopravná infraštruktúra</w:t>
      </w:r>
    </w:p>
    <w:p w14:paraId="7086300B" w14:textId="113753A6" w:rsidR="007E2F71" w:rsidRPr="004C54B9" w:rsidRDefault="007E2F71" w:rsidP="007E2F71">
      <w:pPr>
        <w:spacing w:after="0" w:line="240" w:lineRule="auto"/>
        <w:jc w:val="both"/>
        <w:rPr>
          <w:rFonts w:ascii="Arial Narrow" w:hAnsi="Arial Narrow"/>
          <w:b/>
        </w:rPr>
      </w:pPr>
      <w:r w:rsidRPr="004C54B9">
        <w:rPr>
          <w:rFonts w:ascii="Arial Narrow" w:hAnsi="Arial Narrow"/>
          <w:b/>
        </w:rPr>
        <w:t>Projekty informatizácie verejnej správy prispejú k zníženi</w:t>
      </w:r>
      <w:r w:rsidR="000A1368">
        <w:rPr>
          <w:rFonts w:ascii="Arial Narrow" w:hAnsi="Arial Narrow"/>
          <w:b/>
        </w:rPr>
        <w:t>u</w:t>
      </w:r>
      <w:r w:rsidRPr="004C54B9">
        <w:rPr>
          <w:rFonts w:ascii="Arial Narrow" w:hAnsi="Arial Narrow"/>
          <w:b/>
        </w:rPr>
        <w:t xml:space="preserve"> administratívnej záťaže v kontakte občanov</w:t>
      </w:r>
      <w:r w:rsidR="00D816F9">
        <w:rPr>
          <w:rFonts w:ascii="Arial Narrow" w:hAnsi="Arial Narrow"/>
          <w:b/>
        </w:rPr>
        <w:t xml:space="preserve"> a podnikateľov </w:t>
      </w:r>
      <w:r w:rsidRPr="004C54B9">
        <w:rPr>
          <w:rFonts w:ascii="Arial Narrow" w:hAnsi="Arial Narrow"/>
          <w:b/>
        </w:rPr>
        <w:t xml:space="preserve">so štátom. </w:t>
      </w:r>
      <w:r w:rsidRPr="004C54B9">
        <w:rPr>
          <w:rFonts w:ascii="Arial Narrow" w:hAnsi="Arial Narrow"/>
        </w:rPr>
        <w:t xml:space="preserve">V roku 2018 vstúpil do platnosti zákon o niektorých opatreniach na znižovanie administratívnej záťaže využívaním informačných systémov verejnej správy a o zmene a doplnení niektorých zákonov (zákon proti byrokracii). Cieľom je zavedenie princípu </w:t>
      </w:r>
      <w:r w:rsidRPr="004C54B9">
        <w:rPr>
          <w:rFonts w:ascii="Arial Narrow" w:hAnsi="Arial Narrow"/>
          <w:i/>
        </w:rPr>
        <w:t>jedenkrát a dosť</w:t>
      </w:r>
      <w:r w:rsidRPr="004C54B9">
        <w:rPr>
          <w:rFonts w:ascii="Arial Narrow" w:hAnsi="Arial Narrow"/>
        </w:rPr>
        <w:t>, teda zrušenie povinnosti predkladať orgánom verejnej moci listinné výpisy, ktoré si orgány verejnej moci vedia preveriť. Ide o výpisy z listu vlastníctva, z obchodného registra, zo živnostenského registra a výpisy z registra trestov.</w:t>
      </w:r>
    </w:p>
    <w:p w14:paraId="66EE0051" w14:textId="77777777" w:rsidR="007E2F71" w:rsidRPr="004C54B9" w:rsidRDefault="007E2F71" w:rsidP="007E2F71">
      <w:pPr>
        <w:spacing w:after="0" w:line="240" w:lineRule="auto"/>
        <w:jc w:val="both"/>
        <w:rPr>
          <w:rFonts w:ascii="Arial Narrow" w:hAnsi="Arial Narrow"/>
        </w:rPr>
      </w:pPr>
    </w:p>
    <w:p w14:paraId="538F1A09" w14:textId="1E1AEC86" w:rsidR="007E2F71" w:rsidRPr="00290A78" w:rsidRDefault="007E2F71" w:rsidP="007E2F71">
      <w:pPr>
        <w:spacing w:after="0" w:line="240" w:lineRule="auto"/>
        <w:jc w:val="both"/>
        <w:rPr>
          <w:rFonts w:ascii="Arial Narrow" w:hAnsi="Arial Narrow"/>
        </w:rPr>
      </w:pPr>
      <w:r w:rsidRPr="004C54B9">
        <w:rPr>
          <w:rFonts w:ascii="Arial Narrow" w:hAnsi="Arial Narrow"/>
          <w:b/>
        </w:rPr>
        <w:t>Podľa nových pravidiel hodnotenia ekonomickej efektívnosti IT investícií bolo posúdených 14 projektov v hodnote 268 mil. eur.</w:t>
      </w:r>
      <w:r w:rsidRPr="004C54B9" w:rsidDel="00782C36">
        <w:rPr>
          <w:rFonts w:ascii="Arial Narrow" w:hAnsi="Arial Narrow"/>
          <w:b/>
        </w:rPr>
        <w:t xml:space="preserve"> </w:t>
      </w:r>
      <w:r w:rsidRPr="00290A78">
        <w:rPr>
          <w:rFonts w:ascii="Arial Narrow" w:hAnsi="Arial Narrow"/>
        </w:rPr>
        <w:t xml:space="preserve">Nový metodický pokyn pripravený </w:t>
      </w:r>
      <w:r w:rsidR="00EE676F">
        <w:rPr>
          <w:rFonts w:ascii="Arial Narrow" w:hAnsi="Arial Narrow"/>
        </w:rPr>
        <w:t>ÚPVII</w:t>
      </w:r>
      <w:r w:rsidRPr="00290A78">
        <w:rPr>
          <w:rFonts w:ascii="Arial Narrow" w:hAnsi="Arial Narrow"/>
        </w:rPr>
        <w:t xml:space="preserve"> spolu s MF SR spresňuje pravidlá pre analýzy prínosov a nákladov projektov. Expertné odhady prínosov sú nahradené kvantifikáciou na základe skutočných meraní, čím sa znižuje miera neistoty pri výbere projektov. V oblasti nákladov nové pravidlá kladú dôraz na prevádzkovú efektívnosť, uplatňovanie zliav z cenníkových cien a od júna 2019 na povinné vykonávanie predbežných trhových konzultácií. Výdavky  na nákup informačných technológií nad 1 mil. eur podliehajú kontrole a  IT systémy s nákladmi nad 1 mil. eur sú  v rozpočte uvádzané samostatne. Pre investičné projekty s nákladmi nad 5 mil. eur je potrebné spracovať štúdiu uskutočniteľnosti.</w:t>
      </w:r>
    </w:p>
    <w:p w14:paraId="4E151A02" w14:textId="77777777" w:rsidR="004D21D5" w:rsidRPr="004C54B9" w:rsidRDefault="004D21D5" w:rsidP="004D21D5">
      <w:pPr>
        <w:spacing w:after="0" w:line="240" w:lineRule="auto"/>
        <w:jc w:val="both"/>
        <w:rPr>
          <w:rFonts w:ascii="Arial Narrow" w:hAnsi="Arial Narrow"/>
        </w:rPr>
      </w:pPr>
    </w:p>
    <w:p w14:paraId="1A93ABC0" w14:textId="2BFAE2DF" w:rsidR="004D21D5" w:rsidRPr="004C54B9" w:rsidRDefault="004D21D5" w:rsidP="004D21D5">
      <w:pPr>
        <w:spacing w:after="0" w:line="240" w:lineRule="auto"/>
        <w:jc w:val="both"/>
        <w:rPr>
          <w:rFonts w:ascii="Arial Narrow" w:hAnsi="Arial Narrow"/>
        </w:rPr>
      </w:pPr>
      <w:r w:rsidRPr="004C54B9">
        <w:rPr>
          <w:rFonts w:ascii="Arial Narrow" w:hAnsi="Arial Narrow"/>
          <w:b/>
          <w:color w:val="000000"/>
        </w:rPr>
        <w:t xml:space="preserve">V roku 2018 v rámci projektu </w:t>
      </w:r>
      <w:r w:rsidRPr="004C54B9">
        <w:rPr>
          <w:rFonts w:ascii="Arial Narrow" w:hAnsi="Arial Narrow"/>
          <w:b/>
          <w:i/>
          <w:iCs/>
          <w:color w:val="000000"/>
        </w:rPr>
        <w:t xml:space="preserve">Hodnota za peniaze </w:t>
      </w:r>
      <w:r w:rsidRPr="004C54B9">
        <w:rPr>
          <w:rFonts w:ascii="Arial Narrow" w:hAnsi="Arial Narrow"/>
          <w:b/>
          <w:iCs/>
          <w:color w:val="000000"/>
        </w:rPr>
        <w:t>pokračovalo plnenie opatrení</w:t>
      </w:r>
      <w:r w:rsidRPr="004C54B9">
        <w:rPr>
          <w:rFonts w:ascii="Arial Narrow" w:hAnsi="Arial Narrow"/>
          <w:b/>
          <w:i/>
          <w:iCs/>
          <w:color w:val="000000"/>
        </w:rPr>
        <w:t xml:space="preserve"> </w:t>
      </w:r>
      <w:r w:rsidRPr="004C54B9">
        <w:rPr>
          <w:rFonts w:ascii="Arial Narrow" w:hAnsi="Arial Narrow"/>
          <w:b/>
          <w:bCs/>
          <w:color w:val="000000"/>
        </w:rPr>
        <w:t>revízie výdavkov na dopravu</w:t>
      </w:r>
      <w:r w:rsidRPr="004C54B9">
        <w:rPr>
          <w:rFonts w:ascii="Arial Narrow" w:hAnsi="Arial Narrow"/>
          <w:b/>
          <w:color w:val="000000"/>
        </w:rPr>
        <w:t>.</w:t>
      </w:r>
      <w:r w:rsidRPr="004C54B9">
        <w:rPr>
          <w:rFonts w:ascii="Arial Narrow" w:hAnsi="Arial Narrow"/>
          <w:color w:val="000000"/>
        </w:rPr>
        <w:t xml:space="preserve"> </w:t>
      </w:r>
      <w:r w:rsidRPr="004C54B9">
        <w:rPr>
          <w:rFonts w:ascii="Arial Narrow" w:hAnsi="Arial Narrow"/>
          <w:bCs/>
        </w:rPr>
        <w:t>MDV SR implementuje celkovo 31 opatrení, pričom za prvý polrok 2018 boli záväzky MDV SR naplnené na 74 %</w:t>
      </w:r>
      <w:r w:rsidRPr="004C54B9">
        <w:rPr>
          <w:rStyle w:val="Odkaznapoznmkupodiarou"/>
          <w:rFonts w:ascii="Arial Narrow" w:hAnsi="Arial Narrow"/>
          <w:bCs/>
        </w:rPr>
        <w:footnoteReference w:id="36"/>
      </w:r>
      <w:r w:rsidRPr="004C54B9">
        <w:rPr>
          <w:rFonts w:ascii="Arial Narrow" w:hAnsi="Arial Narrow"/>
          <w:bCs/>
        </w:rPr>
        <w:t>. V</w:t>
      </w:r>
      <w:r>
        <w:rPr>
          <w:rFonts w:ascii="Arial Narrow" w:hAnsi="Arial Narrow"/>
          <w:bCs/>
        </w:rPr>
        <w:t xml:space="preserve"> tomto </w:t>
      </w:r>
      <w:r w:rsidRPr="004C54B9">
        <w:rPr>
          <w:rFonts w:ascii="Arial Narrow" w:hAnsi="Arial Narrow"/>
          <w:bCs/>
        </w:rPr>
        <w:t xml:space="preserve">roku došlo najmä </w:t>
      </w:r>
      <w:r>
        <w:rPr>
          <w:rFonts w:ascii="Arial Narrow" w:hAnsi="Arial Narrow"/>
          <w:bCs/>
        </w:rPr>
        <w:t xml:space="preserve">k </w:t>
      </w:r>
      <w:r w:rsidRPr="004C54B9">
        <w:rPr>
          <w:rFonts w:ascii="Arial Narrow" w:hAnsi="Arial Narrow"/>
        </w:rPr>
        <w:t>aktualizácii metodiky hodnotenia projektov (CBA)</w:t>
      </w:r>
      <w:r>
        <w:rPr>
          <w:rFonts w:ascii="Arial Narrow" w:hAnsi="Arial Narrow"/>
        </w:rPr>
        <w:t xml:space="preserve"> a</w:t>
      </w:r>
      <w:r w:rsidR="005B400F">
        <w:rPr>
          <w:rFonts w:ascii="Arial Narrow" w:hAnsi="Arial Narrow"/>
        </w:rPr>
        <w:t> </w:t>
      </w:r>
      <w:r>
        <w:rPr>
          <w:rFonts w:ascii="Arial Narrow" w:hAnsi="Arial Narrow"/>
        </w:rPr>
        <w:t>zásadnému</w:t>
      </w:r>
      <w:r w:rsidR="005B400F">
        <w:rPr>
          <w:rFonts w:ascii="Arial Narrow" w:hAnsi="Arial Narrow"/>
        </w:rPr>
        <w:t xml:space="preserve"> </w:t>
      </w:r>
      <w:r w:rsidRPr="004C54B9">
        <w:rPr>
          <w:rFonts w:ascii="Arial Narrow" w:hAnsi="Arial Narrow"/>
        </w:rPr>
        <w:t xml:space="preserve">rozšíreniu </w:t>
      </w:r>
      <w:r>
        <w:rPr>
          <w:rFonts w:ascii="Arial Narrow" w:hAnsi="Arial Narrow"/>
        </w:rPr>
        <w:t xml:space="preserve">rozsahu </w:t>
      </w:r>
      <w:r w:rsidRPr="004C54B9">
        <w:rPr>
          <w:rFonts w:ascii="Arial Narrow" w:hAnsi="Arial Narrow"/>
        </w:rPr>
        <w:t>zverejňovaných dát</w:t>
      </w:r>
      <w:r>
        <w:rPr>
          <w:rFonts w:ascii="Arial Narrow" w:hAnsi="Arial Narrow"/>
        </w:rPr>
        <w:t xml:space="preserve"> </w:t>
      </w:r>
      <w:proofErr w:type="spellStart"/>
      <w:r>
        <w:rPr>
          <w:rFonts w:ascii="Arial Narrow" w:hAnsi="Arial Narrow"/>
        </w:rPr>
        <w:t>zazmluvnených</w:t>
      </w:r>
      <w:proofErr w:type="spellEnd"/>
      <w:r>
        <w:rPr>
          <w:rFonts w:ascii="Arial Narrow" w:hAnsi="Arial Narrow"/>
        </w:rPr>
        <w:t xml:space="preserve"> projektov Operačného programu Integrovaná infraštruktúra 2014 - 2020</w:t>
      </w:r>
      <w:r w:rsidRPr="004C54B9">
        <w:rPr>
          <w:rFonts w:ascii="Arial Narrow" w:hAnsi="Arial Narrow"/>
        </w:rPr>
        <w:t xml:space="preserve">. V spolupráci s MF SR a JASPERS došlo k vypracovaniu metodiky </w:t>
      </w:r>
      <w:proofErr w:type="spellStart"/>
      <w:r w:rsidRPr="004C54B9">
        <w:rPr>
          <w:rFonts w:ascii="Arial Narrow" w:hAnsi="Arial Narrow"/>
        </w:rPr>
        <w:t>multimodálneho</w:t>
      </w:r>
      <w:proofErr w:type="spellEnd"/>
      <w:r w:rsidRPr="004C54B9">
        <w:rPr>
          <w:rFonts w:ascii="Arial Narrow" w:hAnsi="Arial Narrow"/>
        </w:rPr>
        <w:t xml:space="preserve"> posudzovania dopravných stavieb s využitím </w:t>
      </w:r>
      <w:r w:rsidRPr="004C54B9">
        <w:rPr>
          <w:rFonts w:ascii="Arial Narrow" w:hAnsi="Arial Narrow"/>
          <w:bCs/>
          <w:color w:val="000000"/>
        </w:rPr>
        <w:t xml:space="preserve">Dopravného modelu SR. </w:t>
      </w:r>
      <w:r w:rsidRPr="004C54B9">
        <w:rPr>
          <w:rFonts w:ascii="Arial Narrow" w:hAnsi="Arial Narrow"/>
          <w:color w:val="000000"/>
        </w:rPr>
        <w:t xml:space="preserve">V </w:t>
      </w:r>
      <w:r w:rsidRPr="004C54B9">
        <w:rPr>
          <w:rFonts w:ascii="Arial Narrow" w:hAnsi="Arial Narrow"/>
        </w:rPr>
        <w:t>spolupráci s MF SR došlo k vypracovaniu metodiky a minimálnych štandardov dopravného modelovania</w:t>
      </w:r>
      <w:r>
        <w:rPr>
          <w:rStyle w:val="Odkaznapoznmkupodiarou"/>
          <w:rFonts w:ascii="Arial Narrow" w:hAnsi="Arial Narrow"/>
        </w:rPr>
        <w:footnoteReference w:id="37"/>
      </w:r>
      <w:r w:rsidRPr="004C54B9">
        <w:rPr>
          <w:rFonts w:ascii="Arial Narrow" w:hAnsi="Arial Narrow"/>
        </w:rPr>
        <w:t xml:space="preserve">, </w:t>
      </w:r>
      <w:r w:rsidRPr="00B21CB5">
        <w:rPr>
          <w:rFonts w:ascii="Arial Narrow" w:hAnsi="Arial Narrow"/>
        </w:rPr>
        <w:t>ktorý</w:t>
      </w:r>
      <w:r>
        <w:rPr>
          <w:rFonts w:ascii="Arial Narrow" w:hAnsi="Arial Narrow"/>
        </w:rPr>
        <w:t>ch</w:t>
      </w:r>
      <w:r w:rsidRPr="00B21CB5">
        <w:rPr>
          <w:rFonts w:ascii="Arial Narrow" w:hAnsi="Arial Narrow"/>
        </w:rPr>
        <w:t xml:space="preserve"> </w:t>
      </w:r>
      <w:r>
        <w:rPr>
          <w:rFonts w:ascii="Arial Narrow" w:hAnsi="Arial Narrow"/>
        </w:rPr>
        <w:t xml:space="preserve">cieľom </w:t>
      </w:r>
      <w:r w:rsidRPr="00B21CB5">
        <w:rPr>
          <w:rFonts w:ascii="Arial Narrow" w:hAnsi="Arial Narrow"/>
        </w:rPr>
        <w:t xml:space="preserve">je zjednotiť spôsob spracovania dopravných prognóz pre podobné typy </w:t>
      </w:r>
      <w:r>
        <w:rPr>
          <w:rFonts w:ascii="Arial Narrow" w:hAnsi="Arial Narrow"/>
        </w:rPr>
        <w:t xml:space="preserve">investičných alebo prevádzkových </w:t>
      </w:r>
      <w:r w:rsidRPr="00B21CB5">
        <w:rPr>
          <w:rFonts w:ascii="Arial Narrow" w:hAnsi="Arial Narrow"/>
        </w:rPr>
        <w:t>opatrení</w:t>
      </w:r>
      <w:r w:rsidRPr="004C54B9">
        <w:rPr>
          <w:rFonts w:ascii="Arial Narrow" w:hAnsi="Arial Narrow"/>
        </w:rPr>
        <w:t xml:space="preserve"> </w:t>
      </w:r>
      <w:r>
        <w:rPr>
          <w:rFonts w:ascii="Arial Narrow" w:hAnsi="Arial Narrow"/>
        </w:rPr>
        <w:t xml:space="preserve">a </w:t>
      </w:r>
      <w:r w:rsidRPr="004C54B9">
        <w:rPr>
          <w:rFonts w:ascii="Arial Narrow" w:hAnsi="Arial Narrow"/>
        </w:rPr>
        <w:t xml:space="preserve">ktoré slúžia napr. pre posudzovanie efektivity dopravných projektov. V rámci projektu </w:t>
      </w:r>
      <w:r w:rsidRPr="004C54B9">
        <w:rPr>
          <w:rFonts w:ascii="Arial Narrow" w:hAnsi="Arial Narrow"/>
          <w:i/>
        </w:rPr>
        <w:t>Hodnota za peniaze</w:t>
      </w:r>
      <w:r w:rsidRPr="004C54B9">
        <w:rPr>
          <w:rFonts w:ascii="Arial Narrow" w:hAnsi="Arial Narrow"/>
        </w:rPr>
        <w:t xml:space="preserve"> sa dosiahli čiastočné výsledky v rámci spracovania štúdie realizovateľnosti železničného uzla Bratislava.</w:t>
      </w:r>
    </w:p>
    <w:p w14:paraId="0F599BCB" w14:textId="77777777" w:rsidR="007E2F71" w:rsidRPr="004C54B9" w:rsidRDefault="007E2F71" w:rsidP="007E2F71">
      <w:pPr>
        <w:spacing w:after="0" w:line="240" w:lineRule="auto"/>
        <w:jc w:val="both"/>
        <w:rPr>
          <w:rFonts w:ascii="Arial Narrow" w:hAnsi="Arial Narrow"/>
        </w:rPr>
      </w:pPr>
    </w:p>
    <w:p w14:paraId="0C16DF5A" w14:textId="77777777" w:rsidR="001F1004" w:rsidRDefault="001F1004">
      <w:pPr>
        <w:spacing w:after="0" w:line="240" w:lineRule="auto"/>
        <w:rPr>
          <w:rFonts w:ascii="Arial Narrow" w:hAnsi="Arial Narrow" w:cstheme="minorHAnsi"/>
          <w:b/>
          <w:i/>
          <w:lang w:eastAsia="cs-CZ"/>
        </w:rPr>
      </w:pPr>
      <w:r>
        <w:rPr>
          <w:rFonts w:ascii="Arial Narrow" w:hAnsi="Arial Narrow" w:cstheme="minorHAnsi"/>
          <w:b/>
          <w:i/>
          <w:lang w:eastAsia="cs-CZ"/>
        </w:rPr>
        <w:br w:type="page"/>
      </w:r>
    </w:p>
    <w:p w14:paraId="7BBA7CE8" w14:textId="4A1B158F" w:rsidR="007E2F71" w:rsidRPr="004C54B9" w:rsidRDefault="007E2F71" w:rsidP="007E2F71">
      <w:pPr>
        <w:pStyle w:val="Default"/>
        <w:jc w:val="both"/>
        <w:rPr>
          <w:rFonts w:ascii="Arial Narrow" w:hAnsi="Arial Narrow" w:cstheme="minorHAnsi"/>
          <w:b/>
          <w:i/>
          <w:color w:val="auto"/>
          <w:sz w:val="22"/>
          <w:szCs w:val="22"/>
          <w:lang w:eastAsia="cs-CZ"/>
        </w:rPr>
      </w:pPr>
      <w:r w:rsidRPr="004C54B9">
        <w:rPr>
          <w:rFonts w:ascii="Arial Narrow" w:hAnsi="Arial Narrow" w:cstheme="minorHAnsi"/>
          <w:b/>
          <w:i/>
          <w:color w:val="auto"/>
          <w:sz w:val="22"/>
          <w:szCs w:val="22"/>
          <w:lang w:eastAsia="cs-CZ"/>
        </w:rPr>
        <w:lastRenderedPageBreak/>
        <w:t xml:space="preserve">Transformácia regiónu horná Nitra </w:t>
      </w:r>
    </w:p>
    <w:p w14:paraId="3C56B908" w14:textId="6BF0B9DB" w:rsidR="007E2F71" w:rsidRPr="004C54B9" w:rsidRDefault="007E2F71" w:rsidP="007E2F71">
      <w:pPr>
        <w:pStyle w:val="Default"/>
        <w:jc w:val="both"/>
        <w:rPr>
          <w:rFonts w:ascii="Arial Narrow" w:hAnsi="Arial Narrow" w:cstheme="minorHAnsi"/>
          <w:color w:val="auto"/>
          <w:sz w:val="22"/>
          <w:szCs w:val="22"/>
          <w:lang w:eastAsia="cs-CZ"/>
        </w:rPr>
      </w:pPr>
      <w:r>
        <w:rPr>
          <w:rFonts w:ascii="Arial Narrow" w:hAnsi="Arial Narrow" w:cstheme="minorHAnsi"/>
          <w:b/>
          <w:color w:val="auto"/>
          <w:sz w:val="22"/>
          <w:szCs w:val="22"/>
          <w:lang w:eastAsia="cs-CZ"/>
        </w:rPr>
        <w:t xml:space="preserve">Na problematiku transformácie regiónu horná Nitra po ukončení podpory ťažby hnedého uhlia reaguje </w:t>
      </w:r>
      <w:r w:rsidRPr="0062680A">
        <w:rPr>
          <w:rFonts w:ascii="Arial Narrow" w:hAnsi="Arial Narrow" w:cstheme="minorHAnsi"/>
          <w:b/>
          <w:i/>
          <w:color w:val="auto"/>
          <w:sz w:val="22"/>
          <w:szCs w:val="22"/>
          <w:lang w:eastAsia="cs-CZ"/>
        </w:rPr>
        <w:t>Návrh problematiky transformácie regiónu horná Nitra</w:t>
      </w:r>
      <w:r w:rsidR="000A1368" w:rsidRPr="008368E0">
        <w:rPr>
          <w:rStyle w:val="Odkaznapoznmkupodiarou"/>
          <w:rFonts w:ascii="Arial Narrow" w:hAnsi="Arial Narrow" w:cstheme="minorHAnsi"/>
          <w:color w:val="auto"/>
          <w:sz w:val="22"/>
          <w:szCs w:val="22"/>
          <w:lang w:eastAsia="cs-CZ"/>
        </w:rPr>
        <w:footnoteReference w:id="38"/>
      </w:r>
      <w:r w:rsidR="001C037D" w:rsidRPr="008368E0">
        <w:rPr>
          <w:rFonts w:ascii="Arial Narrow" w:hAnsi="Arial Narrow" w:cstheme="minorHAnsi"/>
          <w:color w:val="auto"/>
          <w:sz w:val="22"/>
          <w:szCs w:val="22"/>
          <w:lang w:eastAsia="cs-CZ"/>
        </w:rPr>
        <w:t>.</w:t>
      </w:r>
      <w:r w:rsidRPr="008368E0">
        <w:rPr>
          <w:rFonts w:ascii="Arial Narrow" w:hAnsi="Arial Narrow" w:cstheme="minorHAnsi"/>
          <w:color w:val="auto"/>
          <w:sz w:val="22"/>
          <w:szCs w:val="22"/>
          <w:lang w:eastAsia="cs-CZ"/>
        </w:rPr>
        <w:t xml:space="preserve"> </w:t>
      </w:r>
      <w:r w:rsidR="00EE676F">
        <w:rPr>
          <w:rFonts w:ascii="Arial Narrow" w:hAnsi="Arial Narrow" w:cstheme="minorHAnsi"/>
          <w:color w:val="auto"/>
          <w:sz w:val="22"/>
          <w:szCs w:val="22"/>
          <w:lang w:eastAsia="cs-CZ"/>
        </w:rPr>
        <w:t>ÚPVII</w:t>
      </w:r>
      <w:r w:rsidRPr="004C54B9">
        <w:rPr>
          <w:rFonts w:ascii="Arial Narrow" w:hAnsi="Arial Narrow" w:cstheme="minorHAnsi"/>
          <w:color w:val="auto"/>
          <w:sz w:val="22"/>
          <w:szCs w:val="22"/>
          <w:lang w:eastAsia="cs-CZ"/>
        </w:rPr>
        <w:t xml:space="preserve"> v spolupráci s </w:t>
      </w:r>
      <w:r w:rsidR="00D816F9">
        <w:rPr>
          <w:rFonts w:ascii="Arial Narrow" w:hAnsi="Arial Narrow" w:cstheme="minorHAnsi"/>
          <w:color w:val="auto"/>
          <w:sz w:val="22"/>
          <w:szCs w:val="22"/>
          <w:lang w:eastAsia="cs-CZ"/>
        </w:rPr>
        <w:t>MH SR a relevantnými rezort</w:t>
      </w:r>
      <w:r w:rsidR="005B400F">
        <w:rPr>
          <w:rFonts w:ascii="Arial Narrow" w:hAnsi="Arial Narrow" w:cstheme="minorHAnsi"/>
          <w:color w:val="auto"/>
          <w:sz w:val="22"/>
          <w:szCs w:val="22"/>
          <w:lang w:eastAsia="cs-CZ"/>
        </w:rPr>
        <w:t>a</w:t>
      </w:r>
      <w:r w:rsidR="00D816F9">
        <w:rPr>
          <w:rFonts w:ascii="Arial Narrow" w:hAnsi="Arial Narrow" w:cstheme="minorHAnsi"/>
          <w:color w:val="auto"/>
          <w:sz w:val="22"/>
          <w:szCs w:val="22"/>
          <w:lang w:eastAsia="cs-CZ"/>
        </w:rPr>
        <w:t>mi</w:t>
      </w:r>
      <w:r w:rsidR="00D816F9">
        <w:rPr>
          <w:rStyle w:val="Odkaznapoznmkupodiarou"/>
          <w:rFonts w:ascii="Arial Narrow" w:hAnsi="Arial Narrow" w:cstheme="minorHAnsi"/>
          <w:color w:val="auto"/>
          <w:sz w:val="22"/>
          <w:szCs w:val="22"/>
          <w:lang w:eastAsia="cs-CZ"/>
        </w:rPr>
        <w:footnoteReference w:id="39"/>
      </w:r>
      <w:r w:rsidR="00D816F9" w:rsidRPr="004C54B9">
        <w:rPr>
          <w:rFonts w:ascii="Arial Narrow" w:hAnsi="Arial Narrow" w:cstheme="minorHAnsi"/>
          <w:color w:val="auto"/>
          <w:sz w:val="22"/>
          <w:szCs w:val="22"/>
          <w:lang w:eastAsia="cs-CZ"/>
        </w:rPr>
        <w:t xml:space="preserve"> </w:t>
      </w:r>
      <w:r w:rsidRPr="004C54B9">
        <w:rPr>
          <w:rFonts w:ascii="Arial Narrow" w:hAnsi="Arial Narrow" w:cstheme="minorHAnsi"/>
          <w:color w:val="auto"/>
          <w:sz w:val="22"/>
          <w:szCs w:val="22"/>
          <w:lang w:eastAsia="cs-CZ"/>
        </w:rPr>
        <w:t xml:space="preserve">predstaví komplexný plán postupného útlmu štátnej podpory ťažby hnedého uhlia. </w:t>
      </w:r>
      <w:r w:rsidR="0052262F">
        <w:rPr>
          <w:rFonts w:ascii="Arial Narrow" w:hAnsi="Arial Narrow" w:cstheme="minorHAnsi"/>
          <w:color w:val="auto"/>
          <w:sz w:val="22"/>
          <w:szCs w:val="22"/>
          <w:lang w:eastAsia="cs-CZ"/>
        </w:rPr>
        <w:t xml:space="preserve">V rámci </w:t>
      </w:r>
      <w:r w:rsidR="0052262F" w:rsidRPr="0052262F">
        <w:rPr>
          <w:rFonts w:ascii="Arial Narrow" w:hAnsi="Arial Narrow" w:cstheme="minorHAnsi"/>
          <w:color w:val="auto"/>
          <w:sz w:val="22"/>
          <w:szCs w:val="22"/>
          <w:lang w:eastAsia="cs-CZ"/>
        </w:rPr>
        <w:t xml:space="preserve">implementácie </w:t>
      </w:r>
      <w:r w:rsidR="0052262F" w:rsidRPr="0052262F">
        <w:rPr>
          <w:rFonts w:ascii="Arial Narrow" w:hAnsi="Arial Narrow" w:cstheme="minorHAnsi"/>
          <w:i/>
          <w:color w:val="auto"/>
          <w:sz w:val="22"/>
          <w:szCs w:val="22"/>
          <w:lang w:eastAsia="cs-CZ"/>
        </w:rPr>
        <w:t>Iniciatívy EÚ pre uhoľné regióny v</w:t>
      </w:r>
      <w:r w:rsidR="0052262F">
        <w:rPr>
          <w:rFonts w:ascii="Arial Narrow" w:hAnsi="Arial Narrow" w:cstheme="minorHAnsi"/>
          <w:i/>
          <w:color w:val="auto"/>
          <w:sz w:val="22"/>
          <w:szCs w:val="22"/>
          <w:lang w:eastAsia="cs-CZ"/>
        </w:rPr>
        <w:t> </w:t>
      </w:r>
      <w:r w:rsidR="0052262F" w:rsidRPr="0052262F">
        <w:rPr>
          <w:rFonts w:ascii="Arial Narrow" w:hAnsi="Arial Narrow" w:cstheme="minorHAnsi"/>
          <w:i/>
          <w:color w:val="auto"/>
          <w:sz w:val="22"/>
          <w:szCs w:val="22"/>
          <w:lang w:eastAsia="cs-CZ"/>
        </w:rPr>
        <w:t>transformáci</w:t>
      </w:r>
      <w:r w:rsidR="0052262F">
        <w:rPr>
          <w:rFonts w:ascii="Arial Narrow" w:hAnsi="Arial Narrow" w:cstheme="minorHAnsi"/>
          <w:i/>
          <w:color w:val="auto"/>
          <w:sz w:val="22"/>
          <w:szCs w:val="22"/>
          <w:lang w:eastAsia="cs-CZ"/>
        </w:rPr>
        <w:t xml:space="preserve">i </w:t>
      </w:r>
      <w:r w:rsidR="0052262F">
        <w:rPr>
          <w:rFonts w:ascii="Arial Narrow" w:hAnsi="Arial Narrow" w:cstheme="minorHAnsi"/>
          <w:color w:val="auto"/>
          <w:sz w:val="22"/>
          <w:szCs w:val="22"/>
          <w:lang w:eastAsia="cs-CZ"/>
        </w:rPr>
        <w:t xml:space="preserve">má v priebehu roka 2019 vzniknúť akčný plán. </w:t>
      </w:r>
      <w:r w:rsidR="0052262F" w:rsidRPr="0052262F">
        <w:rPr>
          <w:rFonts w:ascii="Arial Narrow" w:hAnsi="Arial Narrow" w:cstheme="minorHAnsi"/>
          <w:color w:val="auto"/>
          <w:sz w:val="22"/>
          <w:szCs w:val="22"/>
          <w:lang w:eastAsia="cs-CZ"/>
        </w:rPr>
        <w:t>Hlavným cieľom je transformovať víziu o ekonomickej budúcnosti regiónu s postupným útlmom ťažby uhlia do konkrétnych projektov v iných oblastiach. Od februára 2019 prebieha zber projektových zámerov.</w:t>
      </w:r>
      <w:r w:rsidR="005B400F">
        <w:rPr>
          <w:rFonts w:ascii="Arial Narrow" w:hAnsi="Arial Narrow" w:cstheme="minorHAnsi"/>
          <w:i/>
          <w:color w:val="auto"/>
          <w:sz w:val="22"/>
          <w:szCs w:val="22"/>
          <w:lang w:eastAsia="cs-CZ"/>
        </w:rPr>
        <w:t xml:space="preserve"> </w:t>
      </w:r>
      <w:r w:rsidRPr="004C54B9">
        <w:rPr>
          <w:rFonts w:ascii="Arial Narrow" w:hAnsi="Arial Narrow" w:cstheme="minorHAnsi"/>
          <w:color w:val="auto"/>
          <w:sz w:val="22"/>
          <w:szCs w:val="22"/>
          <w:lang w:eastAsia="cs-CZ"/>
        </w:rPr>
        <w:t>Spolu s transformáciou regiónu Horná Nitra má byť zaistená aj energetická bezpečnosť dobudovaním trafostanice Bystričany.</w:t>
      </w:r>
    </w:p>
    <w:p w14:paraId="66053F58" w14:textId="77777777" w:rsidR="007E2F71" w:rsidRPr="001C037D" w:rsidRDefault="007E2F71" w:rsidP="007E2F71">
      <w:pPr>
        <w:spacing w:after="0" w:line="240" w:lineRule="auto"/>
        <w:jc w:val="both"/>
        <w:rPr>
          <w:rFonts w:ascii="Arial Narrow" w:hAnsi="Arial Narrow"/>
          <w:sz w:val="20"/>
        </w:rPr>
      </w:pPr>
    </w:p>
    <w:p w14:paraId="725C1232" w14:textId="77777777" w:rsidR="007E2F71" w:rsidRPr="004C54B9" w:rsidRDefault="007E2F71" w:rsidP="007E2F71">
      <w:pPr>
        <w:spacing w:after="0" w:line="240" w:lineRule="auto"/>
        <w:jc w:val="both"/>
        <w:rPr>
          <w:rFonts w:ascii="Arial Narrow" w:hAnsi="Arial Narrow" w:cs="Arial Narrow"/>
          <w:b/>
          <w:i/>
        </w:rPr>
      </w:pPr>
      <w:bookmarkStart w:id="7" w:name="_Toc386005378"/>
      <w:r w:rsidRPr="004C54B9">
        <w:rPr>
          <w:rFonts w:ascii="Arial Narrow" w:hAnsi="Arial Narrow"/>
          <w:b/>
          <w:i/>
        </w:rPr>
        <w:t>Environmentálna udržateľnosť a energetika</w:t>
      </w:r>
      <w:bookmarkEnd w:id="7"/>
    </w:p>
    <w:p w14:paraId="79C9B8FF" w14:textId="256E3D80" w:rsidR="001D6024" w:rsidRPr="00E53C9B" w:rsidRDefault="007E2F71" w:rsidP="00E53C9B">
      <w:pPr>
        <w:spacing w:after="0" w:line="240" w:lineRule="auto"/>
        <w:jc w:val="both"/>
        <w:rPr>
          <w:rFonts w:ascii="Arial Narrow" w:hAnsi="Arial Narrow"/>
          <w:lang w:eastAsia="cs-CZ"/>
        </w:rPr>
      </w:pPr>
      <w:r w:rsidRPr="004C54B9">
        <w:rPr>
          <w:rFonts w:ascii="Arial Narrow" w:hAnsi="Arial Narrow"/>
          <w:b/>
          <w:lang w:eastAsia="cs-CZ"/>
        </w:rPr>
        <w:t xml:space="preserve">Opatrenia rezortu životného prostredia </w:t>
      </w:r>
      <w:r>
        <w:rPr>
          <w:rFonts w:ascii="Arial Narrow" w:hAnsi="Arial Narrow"/>
          <w:b/>
          <w:lang w:eastAsia="cs-CZ"/>
        </w:rPr>
        <w:t>prijaté v roku 2018 sa zameriavajú</w:t>
      </w:r>
      <w:r w:rsidRPr="004C54B9">
        <w:rPr>
          <w:rFonts w:ascii="Arial Narrow" w:hAnsi="Arial Narrow"/>
          <w:b/>
          <w:lang w:eastAsia="cs-CZ"/>
        </w:rPr>
        <w:t xml:space="preserve"> </w:t>
      </w:r>
      <w:r>
        <w:rPr>
          <w:rFonts w:ascii="Arial Narrow" w:hAnsi="Arial Narrow"/>
          <w:b/>
          <w:lang w:eastAsia="cs-CZ"/>
        </w:rPr>
        <w:t xml:space="preserve">primárne na potrebu zlepšenia </w:t>
      </w:r>
      <w:r w:rsidRPr="004C54B9">
        <w:rPr>
          <w:rFonts w:ascii="Arial Narrow" w:hAnsi="Arial Narrow"/>
          <w:b/>
          <w:lang w:eastAsia="cs-CZ"/>
        </w:rPr>
        <w:t>kvalit</w:t>
      </w:r>
      <w:r>
        <w:rPr>
          <w:rFonts w:ascii="Arial Narrow" w:hAnsi="Arial Narrow"/>
          <w:b/>
          <w:lang w:eastAsia="cs-CZ"/>
        </w:rPr>
        <w:t>y</w:t>
      </w:r>
      <w:r w:rsidRPr="004C54B9">
        <w:rPr>
          <w:rFonts w:ascii="Arial Narrow" w:hAnsi="Arial Narrow"/>
          <w:b/>
          <w:lang w:eastAsia="cs-CZ"/>
        </w:rPr>
        <w:t xml:space="preserve"> ovzdušia a odpadové</w:t>
      </w:r>
      <w:r>
        <w:rPr>
          <w:rFonts w:ascii="Arial Narrow" w:hAnsi="Arial Narrow"/>
          <w:b/>
          <w:lang w:eastAsia="cs-CZ"/>
        </w:rPr>
        <w:t>ho</w:t>
      </w:r>
      <w:r w:rsidRPr="004C54B9">
        <w:rPr>
          <w:rFonts w:ascii="Arial Narrow" w:hAnsi="Arial Narrow"/>
          <w:b/>
          <w:lang w:eastAsia="cs-CZ"/>
        </w:rPr>
        <w:t xml:space="preserve"> hospodárstv</w:t>
      </w:r>
      <w:r>
        <w:rPr>
          <w:rFonts w:ascii="Arial Narrow" w:hAnsi="Arial Narrow"/>
          <w:b/>
          <w:lang w:eastAsia="cs-CZ"/>
        </w:rPr>
        <w:t>a</w:t>
      </w:r>
      <w:r w:rsidRPr="004C54B9">
        <w:rPr>
          <w:rFonts w:ascii="Arial Narrow" w:hAnsi="Arial Narrow"/>
          <w:b/>
          <w:lang w:eastAsia="cs-CZ"/>
        </w:rPr>
        <w:t>.</w:t>
      </w:r>
      <w:r w:rsidRPr="004C54B9">
        <w:rPr>
          <w:rFonts w:ascii="Arial Narrow" w:hAnsi="Arial Narrow"/>
          <w:lang w:eastAsia="cs-CZ"/>
        </w:rPr>
        <w:t xml:space="preserve"> </w:t>
      </w:r>
      <w:r w:rsidRPr="00290A78">
        <w:rPr>
          <w:rFonts w:ascii="Arial Narrow" w:hAnsi="Arial Narrow"/>
          <w:lang w:eastAsia="cs-CZ"/>
        </w:rPr>
        <w:t xml:space="preserve">S účinnosťou od januára 2019 bol novelizovaný zákon o poplatkoch za uloženie odpadov. Cieľom zvýšenia poplatkov je </w:t>
      </w:r>
      <w:r w:rsidRPr="00290A78">
        <w:rPr>
          <w:rFonts w:ascii="Arial Narrow" w:hAnsi="Arial Narrow"/>
        </w:rPr>
        <w:t>prispieť na Slovensku k nižšej miere skládkovania a zároveň vyššej recyklácii</w:t>
      </w:r>
      <w:r w:rsidR="00290A78" w:rsidRPr="00290A78">
        <w:rPr>
          <w:rFonts w:ascii="Arial Narrow" w:hAnsi="Arial Narrow"/>
        </w:rPr>
        <w:t xml:space="preserve">. </w:t>
      </w:r>
      <w:r w:rsidR="0024043A">
        <w:rPr>
          <w:rFonts w:ascii="Arial Narrow" w:hAnsi="Arial Narrow"/>
          <w:lang w:eastAsia="cs-CZ"/>
        </w:rPr>
        <w:t>Aktualizovala sa</w:t>
      </w:r>
      <w:r w:rsidRPr="00290A78">
        <w:rPr>
          <w:rFonts w:ascii="Arial Narrow" w:hAnsi="Arial Narrow"/>
          <w:lang w:eastAsia="cs-CZ"/>
        </w:rPr>
        <w:t xml:space="preserve"> </w:t>
      </w:r>
      <w:r w:rsidR="00BC4533">
        <w:rPr>
          <w:rFonts w:ascii="Arial Narrow" w:hAnsi="Arial Narrow"/>
          <w:i/>
          <w:lang w:eastAsia="cs-CZ"/>
        </w:rPr>
        <w:t>Stratégia</w:t>
      </w:r>
      <w:r w:rsidRPr="00290A78">
        <w:rPr>
          <w:rFonts w:ascii="Arial Narrow" w:hAnsi="Arial Narrow"/>
          <w:i/>
          <w:lang w:eastAsia="cs-CZ"/>
        </w:rPr>
        <w:t xml:space="preserve"> adaptácie SR na zmenu klímy,</w:t>
      </w:r>
      <w:r w:rsidRPr="00290A78">
        <w:rPr>
          <w:rFonts w:ascii="Arial Narrow" w:hAnsi="Arial Narrow"/>
          <w:lang w:eastAsia="cs-CZ"/>
        </w:rPr>
        <w:t xml:space="preserve"> ktorá sa snaží prepojiť scenáre a možné dôsledky zmeny klímy s návrhmi vhodných adaptačných opatrení.</w:t>
      </w:r>
      <w:r w:rsidRPr="00290A78">
        <w:rPr>
          <w:rFonts w:ascii="Arial Narrow" w:hAnsi="Arial Narrow"/>
          <w:i/>
        </w:rPr>
        <w:t xml:space="preserve"> </w:t>
      </w:r>
      <w:r w:rsidRPr="00290A78">
        <w:rPr>
          <w:rFonts w:ascii="Arial Narrow" w:hAnsi="Arial Narrow"/>
        </w:rPr>
        <w:t>Zároveň bol schválený aj</w:t>
      </w:r>
      <w:r w:rsidRPr="00290A78">
        <w:rPr>
          <w:rFonts w:ascii="Arial Narrow" w:hAnsi="Arial Narrow"/>
          <w:i/>
        </w:rPr>
        <w:t xml:space="preserve"> Akčný plán na riešenie dôsledkov sucha a nedostatku vody</w:t>
      </w:r>
      <w:r w:rsidRPr="00290A78">
        <w:rPr>
          <w:rFonts w:ascii="Arial Narrow" w:hAnsi="Arial Narrow"/>
        </w:rPr>
        <w:t>, ktorého ambíciou je predchádzať suchu preventívnymi opatreniami a eliminovať tak negatívne dôsledky zmeny klímy.</w:t>
      </w:r>
      <w:r w:rsidR="001C037D">
        <w:rPr>
          <w:rFonts w:ascii="Arial Narrow" w:hAnsi="Arial Narrow"/>
        </w:rPr>
        <w:t xml:space="preserve"> S cieľom </w:t>
      </w:r>
      <w:r w:rsidR="001C037D" w:rsidRPr="00290A78">
        <w:rPr>
          <w:rFonts w:ascii="Arial Narrow" w:hAnsi="Arial Narrow"/>
          <w:iCs/>
          <w:lang w:eastAsia="cs-CZ"/>
        </w:rPr>
        <w:t>zvyšovať úroveň environmentálnej výchovy na Slovensku</w:t>
      </w:r>
      <w:r w:rsidR="005B400F">
        <w:rPr>
          <w:rFonts w:ascii="Arial Narrow" w:hAnsi="Arial Narrow"/>
          <w:iCs/>
          <w:lang w:eastAsia="cs-CZ"/>
        </w:rPr>
        <w:t xml:space="preserve"> podporil</w:t>
      </w:r>
      <w:r w:rsidR="005B400F">
        <w:rPr>
          <w:rFonts w:ascii="Arial Narrow" w:hAnsi="Arial Narrow"/>
          <w:i/>
          <w:lang w:eastAsia="cs-CZ"/>
        </w:rPr>
        <w:t xml:space="preserve"> </w:t>
      </w:r>
      <w:r w:rsidRPr="00290A78">
        <w:rPr>
          <w:rFonts w:ascii="Arial Narrow" w:hAnsi="Arial Narrow"/>
          <w:i/>
          <w:lang w:eastAsia="cs-CZ"/>
        </w:rPr>
        <w:t>Zelen</w:t>
      </w:r>
      <w:r w:rsidR="0024043A">
        <w:rPr>
          <w:rFonts w:ascii="Arial Narrow" w:hAnsi="Arial Narrow"/>
          <w:i/>
          <w:lang w:eastAsia="cs-CZ"/>
        </w:rPr>
        <w:t>ý</w:t>
      </w:r>
      <w:r w:rsidRPr="00290A78">
        <w:rPr>
          <w:rFonts w:ascii="Arial Narrow" w:hAnsi="Arial Narrow"/>
          <w:i/>
          <w:lang w:eastAsia="cs-CZ"/>
        </w:rPr>
        <w:t xml:space="preserve"> vzdelávac</w:t>
      </w:r>
      <w:r w:rsidR="0024043A">
        <w:rPr>
          <w:rFonts w:ascii="Arial Narrow" w:hAnsi="Arial Narrow"/>
          <w:i/>
          <w:lang w:eastAsia="cs-CZ"/>
        </w:rPr>
        <w:t>í</w:t>
      </w:r>
      <w:r w:rsidR="005B400F">
        <w:rPr>
          <w:rFonts w:ascii="Arial Narrow" w:hAnsi="Arial Narrow"/>
          <w:i/>
          <w:lang w:eastAsia="cs-CZ"/>
        </w:rPr>
        <w:t xml:space="preserve"> fond </w:t>
      </w:r>
      <w:r w:rsidRPr="00290A78">
        <w:rPr>
          <w:rFonts w:ascii="Arial Narrow" w:hAnsi="Arial Narrow"/>
          <w:lang w:eastAsia="cs-CZ"/>
        </w:rPr>
        <w:t>25 projektov</w:t>
      </w:r>
      <w:r w:rsidRPr="00290A78">
        <w:rPr>
          <w:rStyle w:val="Odkaznapoznmkupodiarou"/>
          <w:rFonts w:ascii="Arial Narrow" w:hAnsi="Arial Narrow"/>
          <w:lang w:eastAsia="cs-CZ"/>
        </w:rPr>
        <w:footnoteReference w:id="40"/>
      </w:r>
      <w:r w:rsidRPr="00290A78">
        <w:rPr>
          <w:rFonts w:ascii="Arial Narrow" w:hAnsi="Arial Narrow"/>
          <w:lang w:eastAsia="cs-CZ"/>
        </w:rPr>
        <w:t xml:space="preserve"> a vyhlásený bol už aj druhý ročník.</w:t>
      </w:r>
      <w:r w:rsidR="00186C4D">
        <w:rPr>
          <w:rFonts w:ascii="Arial Narrow" w:hAnsi="Arial Narrow" w:cs="Arial"/>
        </w:rPr>
        <w:br w:type="page"/>
      </w:r>
    </w:p>
    <w:p w14:paraId="2B869EC6" w14:textId="77777777" w:rsidR="004239D2" w:rsidRPr="00F57624" w:rsidRDefault="004239D2" w:rsidP="004239D2">
      <w:pPr>
        <w:pStyle w:val="Nadpis1"/>
        <w:numPr>
          <w:ilvl w:val="0"/>
          <w:numId w:val="1"/>
        </w:numPr>
        <w:spacing w:line="240" w:lineRule="auto"/>
        <w:rPr>
          <w:rFonts w:ascii="Arial Narrow" w:hAnsi="Arial Narrow"/>
          <w:sz w:val="32"/>
          <w:szCs w:val="32"/>
        </w:rPr>
      </w:pPr>
      <w:bookmarkStart w:id="8" w:name="_Toc4766832"/>
      <w:bookmarkStart w:id="9" w:name="_Toc386005361"/>
      <w:bookmarkStart w:id="10" w:name="_Toc480749802"/>
      <w:r>
        <w:rPr>
          <w:rFonts w:ascii="Arial Narrow" w:hAnsi="Arial Narrow"/>
          <w:color w:val="auto"/>
          <w:sz w:val="32"/>
          <w:szCs w:val="32"/>
        </w:rPr>
        <w:lastRenderedPageBreak/>
        <w:t>Makroekonomický rámec a strednodobá prognóza</w:t>
      </w:r>
      <w:bookmarkEnd w:id="8"/>
    </w:p>
    <w:bookmarkEnd w:id="9"/>
    <w:bookmarkEnd w:id="10"/>
    <w:p w14:paraId="6685DCDB" w14:textId="77777777" w:rsidR="007D2366" w:rsidRPr="004C54B9" w:rsidRDefault="007D2366" w:rsidP="004C54B9">
      <w:pPr>
        <w:spacing w:after="0" w:line="240" w:lineRule="auto"/>
        <w:rPr>
          <w:rFonts w:ascii="Arial Narrow" w:hAnsi="Arial Narrow"/>
        </w:rPr>
      </w:pPr>
    </w:p>
    <w:p w14:paraId="3876AFFA" w14:textId="77777777" w:rsidR="00E241C1" w:rsidRPr="004C54B9" w:rsidRDefault="00E241C1" w:rsidP="004C54B9">
      <w:pPr>
        <w:spacing w:after="0" w:line="240" w:lineRule="auto"/>
        <w:jc w:val="both"/>
        <w:rPr>
          <w:rFonts w:ascii="Arial Narrow" w:hAnsi="Arial Narrow"/>
          <w:color w:val="000000"/>
        </w:rPr>
      </w:pPr>
      <w:r w:rsidRPr="004C54B9">
        <w:rPr>
          <w:rFonts w:ascii="Arial Narrow" w:hAnsi="Arial Narrow"/>
          <w:color w:val="000000"/>
        </w:rPr>
        <w:t xml:space="preserve">Makroekonomickú a fiškálnu stabilitu považuje vláda SR za základný predpoklad zdravého vývoja ekonomiky a rastu kvality života. Nasledujúca kapitola obsahuje základný makroekonomický výhľad. </w:t>
      </w:r>
    </w:p>
    <w:p w14:paraId="3C49CB4F" w14:textId="77777777" w:rsidR="00E241C1" w:rsidRPr="004C54B9" w:rsidRDefault="00E241C1" w:rsidP="004C54B9">
      <w:pPr>
        <w:spacing w:after="0" w:line="240" w:lineRule="auto"/>
        <w:jc w:val="both"/>
        <w:rPr>
          <w:rFonts w:ascii="Arial Narrow" w:hAnsi="Arial Narrow"/>
          <w:color w:val="000000"/>
        </w:rPr>
      </w:pPr>
    </w:p>
    <w:p w14:paraId="76096618" w14:textId="77777777" w:rsidR="004239D2" w:rsidRPr="004C54B9" w:rsidRDefault="004239D2" w:rsidP="004239D2">
      <w:pPr>
        <w:spacing w:after="0" w:line="240" w:lineRule="auto"/>
        <w:jc w:val="both"/>
        <w:rPr>
          <w:rFonts w:ascii="Arial Narrow" w:hAnsi="Arial Narrow"/>
          <w:b/>
          <w:i/>
          <w:color w:val="000000"/>
        </w:rPr>
      </w:pPr>
      <w:r w:rsidRPr="004C54B9">
        <w:rPr>
          <w:rFonts w:ascii="Arial Narrow" w:hAnsi="Arial Narrow"/>
          <w:b/>
          <w:i/>
          <w:color w:val="000000"/>
        </w:rPr>
        <w:t>Rast ekonomiky bude podporený najmä domácim dopytom</w:t>
      </w:r>
    </w:p>
    <w:p w14:paraId="619EA319" w14:textId="54AC73A4" w:rsidR="004239D2" w:rsidRPr="004C54B9" w:rsidRDefault="00F7421E" w:rsidP="00F7421E">
      <w:pPr>
        <w:widowControl w:val="0"/>
        <w:spacing w:after="0" w:line="240" w:lineRule="auto"/>
        <w:jc w:val="both"/>
        <w:rPr>
          <w:rFonts w:ascii="Arial Narrow" w:eastAsia="NeueHaasGroteskText W02" w:hAnsi="Arial Narrow" w:cs="NeueHaasGroteskText W02"/>
        </w:rPr>
      </w:pPr>
      <w:r w:rsidRPr="00F7421E">
        <w:rPr>
          <w:rFonts w:ascii="Arial Narrow" w:eastAsia="NeueHaasGroteskText W02" w:hAnsi="Arial Narrow" w:cs="NeueHaasGroteskText W02"/>
          <w:b/>
        </w:rPr>
        <w:t>Slovenská ekonomika dosiahla v roku 2018 svoj cyklický vrchol na úrovni 4,</w:t>
      </w:r>
      <w:r w:rsidR="004E5393">
        <w:rPr>
          <w:rFonts w:ascii="Arial Narrow" w:eastAsia="NeueHaasGroteskText W02" w:hAnsi="Arial Narrow" w:cs="NeueHaasGroteskText W02"/>
          <w:b/>
        </w:rPr>
        <w:t>1</w:t>
      </w:r>
      <w:r w:rsidR="00925947">
        <w:rPr>
          <w:rFonts w:ascii="Arial Narrow" w:eastAsia="NeueHaasGroteskText W02" w:hAnsi="Arial Narrow" w:cs="NeueHaasGroteskText W02"/>
          <w:b/>
        </w:rPr>
        <w:t xml:space="preserve"> </w:t>
      </w:r>
      <w:r w:rsidRPr="00F7421E">
        <w:rPr>
          <w:rFonts w:ascii="Arial Narrow" w:eastAsia="NeueHaasGroteskText W02" w:hAnsi="Arial Narrow" w:cs="NeueHaasGroteskText W02"/>
          <w:b/>
        </w:rPr>
        <w:t>% a v</w:t>
      </w:r>
      <w:r>
        <w:rPr>
          <w:rFonts w:ascii="Arial Narrow" w:eastAsia="NeueHaasGroteskText W02" w:hAnsi="Arial Narrow" w:cs="NeueHaasGroteskText W02"/>
          <w:b/>
        </w:rPr>
        <w:t> </w:t>
      </w:r>
      <w:r w:rsidRPr="00F7421E">
        <w:rPr>
          <w:rFonts w:ascii="Arial Narrow" w:eastAsia="NeueHaasGroteskText W02" w:hAnsi="Arial Narrow" w:cs="NeueHaasGroteskText W02"/>
          <w:b/>
        </w:rPr>
        <w:t>tomto</w:t>
      </w:r>
      <w:r>
        <w:rPr>
          <w:rFonts w:ascii="Arial Narrow" w:eastAsia="NeueHaasGroteskText W02" w:hAnsi="Arial Narrow" w:cs="NeueHaasGroteskText W02"/>
          <w:b/>
        </w:rPr>
        <w:t xml:space="preserve"> </w:t>
      </w:r>
      <w:r w:rsidRPr="00F7421E">
        <w:rPr>
          <w:rFonts w:ascii="Arial Narrow" w:eastAsia="NeueHaasGroteskText W02" w:hAnsi="Arial Narrow" w:cs="NeueHaasGroteskText W02"/>
          <w:b/>
        </w:rPr>
        <w:t>roku bude rásť o 4 %.</w:t>
      </w:r>
      <w:r w:rsidRPr="00F7421E" w:rsidDel="00F7421E">
        <w:rPr>
          <w:rFonts w:ascii="Arial Narrow" w:eastAsia="NeueHaasGroteskText W02" w:hAnsi="Arial Narrow" w:cs="NeueHaasGroteskText W02"/>
          <w:b/>
        </w:rPr>
        <w:t xml:space="preserve"> </w:t>
      </w:r>
      <w:r w:rsidR="004239D2" w:rsidRPr="004C54B9">
        <w:rPr>
          <w:rFonts w:ascii="Arial Narrow" w:eastAsia="NeueHaasGroteskText W02" w:hAnsi="Arial Narrow" w:cs="NeueHaasGroteskText W02"/>
        </w:rPr>
        <w:t>Nepriaznivý vývoj zahraničného dopytu sa odzrkadlí aj na exportnej výkonnosti slovenskej ekonomiky, ktorú však čiastočne podporí pokračujúci nábeh výroby vo</w:t>
      </w:r>
      <w:r w:rsidR="00BA04BC">
        <w:rPr>
          <w:rFonts w:ascii="Arial Narrow" w:eastAsia="NeueHaasGroteskText W02" w:hAnsi="Arial Narrow" w:cs="NeueHaasGroteskText W02"/>
        </w:rPr>
        <w:t xml:space="preserve"> Volkswagene (</w:t>
      </w:r>
      <w:r w:rsidR="004239D2" w:rsidRPr="004C54B9">
        <w:rPr>
          <w:rFonts w:ascii="Arial Narrow" w:eastAsia="NeueHaasGroteskText W02" w:hAnsi="Arial Narrow" w:cs="NeueHaasGroteskText W02"/>
        </w:rPr>
        <w:t>VW</w:t>
      </w:r>
      <w:r w:rsidR="00BA04BC">
        <w:rPr>
          <w:rFonts w:ascii="Arial Narrow" w:eastAsia="NeueHaasGroteskText W02" w:hAnsi="Arial Narrow" w:cs="NeueHaasGroteskText W02"/>
        </w:rPr>
        <w:t>)</w:t>
      </w:r>
      <w:r w:rsidR="004239D2" w:rsidRPr="004C54B9">
        <w:rPr>
          <w:rFonts w:ascii="Arial Narrow" w:eastAsia="NeueHaasGroteskText W02" w:hAnsi="Arial Narrow" w:cs="NeueHaasGroteskText W02"/>
        </w:rPr>
        <w:t xml:space="preserve"> a</w:t>
      </w:r>
      <w:r w:rsidR="00BA04BC">
        <w:rPr>
          <w:rFonts w:ascii="Arial Narrow" w:eastAsia="NeueHaasGroteskText W02" w:hAnsi="Arial Narrow" w:cs="NeueHaasGroteskText W02"/>
        </w:rPr>
        <w:t> </w:t>
      </w:r>
      <w:proofErr w:type="spellStart"/>
      <w:r w:rsidR="00BA04BC">
        <w:rPr>
          <w:rFonts w:ascii="Arial Narrow" w:eastAsia="NeueHaasGroteskText W02" w:hAnsi="Arial Narrow" w:cs="NeueHaasGroteskText W02"/>
        </w:rPr>
        <w:t>Jaguar</w:t>
      </w:r>
      <w:proofErr w:type="spellEnd"/>
      <w:r w:rsidR="00BA04BC">
        <w:rPr>
          <w:rFonts w:ascii="Arial Narrow" w:eastAsia="NeueHaasGroteskText W02" w:hAnsi="Arial Narrow" w:cs="NeueHaasGroteskText W02"/>
        </w:rPr>
        <w:t xml:space="preserve"> </w:t>
      </w:r>
      <w:proofErr w:type="spellStart"/>
      <w:r w:rsidR="00BA04BC">
        <w:rPr>
          <w:rFonts w:ascii="Arial Narrow" w:eastAsia="NeueHaasGroteskText W02" w:hAnsi="Arial Narrow" w:cs="NeueHaasGroteskText W02"/>
        </w:rPr>
        <w:t>Land</w:t>
      </w:r>
      <w:proofErr w:type="spellEnd"/>
      <w:r w:rsidR="00BA04BC">
        <w:rPr>
          <w:rFonts w:ascii="Arial Narrow" w:eastAsia="NeueHaasGroteskText W02" w:hAnsi="Arial Narrow" w:cs="NeueHaasGroteskText W02"/>
        </w:rPr>
        <w:t xml:space="preserve"> </w:t>
      </w:r>
      <w:proofErr w:type="spellStart"/>
      <w:r w:rsidR="00BA04BC">
        <w:rPr>
          <w:rFonts w:ascii="Arial Narrow" w:eastAsia="NeueHaasGroteskText W02" w:hAnsi="Arial Narrow" w:cs="NeueHaasGroteskText W02"/>
        </w:rPr>
        <w:t>Rover</w:t>
      </w:r>
      <w:proofErr w:type="spellEnd"/>
      <w:r w:rsidR="00BA04BC">
        <w:rPr>
          <w:rFonts w:ascii="Arial Narrow" w:eastAsia="NeueHaasGroteskText W02" w:hAnsi="Arial Narrow" w:cs="NeueHaasGroteskText W02"/>
        </w:rPr>
        <w:t xml:space="preserve"> (</w:t>
      </w:r>
      <w:r w:rsidR="004239D2" w:rsidRPr="004C54B9">
        <w:rPr>
          <w:rFonts w:ascii="Arial Narrow" w:eastAsia="NeueHaasGroteskText W02" w:hAnsi="Arial Narrow" w:cs="NeueHaasGroteskText W02"/>
        </w:rPr>
        <w:t>JLR</w:t>
      </w:r>
      <w:r w:rsidR="00BA04BC">
        <w:rPr>
          <w:rFonts w:ascii="Arial Narrow" w:eastAsia="NeueHaasGroteskText W02" w:hAnsi="Arial Narrow" w:cs="NeueHaasGroteskText W02"/>
        </w:rPr>
        <w:t>)</w:t>
      </w:r>
      <w:r w:rsidR="004239D2" w:rsidRPr="004C54B9">
        <w:rPr>
          <w:rFonts w:ascii="Arial Narrow" w:eastAsia="NeueHaasGroteskText W02" w:hAnsi="Arial Narrow" w:cs="NeueHaasGroteskText W02"/>
        </w:rPr>
        <w:t>. Aktuálny vývoj tak pripomína obdobie rokov 2012 a 2013, keď nová produkcia vo VW podržala export aj napriek spomaleniu v EÚ. Tohtoročný rast podporí najmä spotreba domácností, ktorá si vďaka zvyšovaniu miezd a sociálnym opatreniam udrží dynamiku porovnateľnú s predchádzajúcimi rokmi. Nepriaznivý vývoj zahraničného prostredia, kumulujúce sa riziká a aj bázický efekt spôsobia spomalenie tvorby investícií.</w:t>
      </w:r>
    </w:p>
    <w:p w14:paraId="1DE3E401" w14:textId="77777777" w:rsidR="004239D2" w:rsidRPr="004C54B9" w:rsidRDefault="004239D2" w:rsidP="004239D2">
      <w:pPr>
        <w:widowControl w:val="0"/>
        <w:spacing w:after="0" w:line="240" w:lineRule="auto"/>
        <w:jc w:val="both"/>
        <w:rPr>
          <w:rFonts w:ascii="Arial Narrow" w:eastAsia="NeueHaasGroteskText W02" w:hAnsi="Arial Narrow" w:cs="NeueHaasGroteskText W02"/>
        </w:rPr>
      </w:pPr>
    </w:p>
    <w:p w14:paraId="4AAEBFBF" w14:textId="3370F427" w:rsidR="004239D2" w:rsidRPr="004C54B9" w:rsidRDefault="00DA2E00" w:rsidP="004239D2">
      <w:pPr>
        <w:widowControl w:val="0"/>
        <w:spacing w:after="0" w:line="240" w:lineRule="auto"/>
        <w:jc w:val="both"/>
        <w:rPr>
          <w:rFonts w:ascii="Arial Narrow" w:eastAsia="NeueHaasGroteskText W02" w:hAnsi="Arial Narrow" w:cs="NeueHaasGroteskText W02"/>
        </w:rPr>
      </w:pPr>
      <w:r>
        <w:rPr>
          <w:rFonts w:ascii="Arial Narrow" w:eastAsia="NeueHaasGroteskText W02" w:hAnsi="Arial Narrow" w:cs="NeueHaasGroteskText W02"/>
          <w:b/>
        </w:rPr>
        <w:t>V nasledujúcom roku</w:t>
      </w:r>
      <w:r w:rsidR="004239D2" w:rsidRPr="00E33066">
        <w:rPr>
          <w:rFonts w:ascii="Arial Narrow" w:eastAsia="NeueHaasGroteskText W02" w:hAnsi="Arial Narrow" w:cs="NeueHaasGroteskText W02"/>
          <w:b/>
        </w:rPr>
        <w:t xml:space="preserve"> stúpne slovenská ekonomika o 3,7 % a rovnako aj jej potenciál.</w:t>
      </w:r>
      <w:r w:rsidR="005E7DD0">
        <w:rPr>
          <w:rFonts w:ascii="Arial Narrow" w:eastAsia="NeueHaasGroteskText W02" w:hAnsi="Arial Narrow" w:cs="NeueHaasGroteskText W02"/>
        </w:rPr>
        <w:t xml:space="preserve"> </w:t>
      </w:r>
      <w:r w:rsidR="004239D2" w:rsidRPr="004C54B9">
        <w:rPr>
          <w:rFonts w:ascii="Arial Narrow" w:eastAsia="NeueHaasGroteskText W02" w:hAnsi="Arial Narrow" w:cs="NeueHaasGroteskText W02"/>
        </w:rPr>
        <w:t xml:space="preserve">Produkčná medzera sa tak zastabilizuje tesne nad úrovňou 1 % potenciálneho HDP a nebude sa ďalej otvárať. Výkon ekonomiky sa bude opierať o domácu spotrebu a export, čo je klasický obraz slovenskej ekonomiky v posledných rokoch. Export bude ešte stále </w:t>
      </w:r>
      <w:proofErr w:type="spellStart"/>
      <w:r w:rsidR="004239D2" w:rsidRPr="004C54B9">
        <w:rPr>
          <w:rFonts w:ascii="Arial Narrow" w:eastAsia="NeueHaasGroteskText W02" w:hAnsi="Arial Narrow" w:cs="NeueHaasGroteskText W02"/>
        </w:rPr>
        <w:t>benefitovať</w:t>
      </w:r>
      <w:proofErr w:type="spellEnd"/>
      <w:r w:rsidR="004239D2" w:rsidRPr="004C54B9">
        <w:rPr>
          <w:rFonts w:ascii="Arial Narrow" w:eastAsia="NeueHaasGroteskText W02" w:hAnsi="Arial Narrow" w:cs="NeueHaasGroteskText W02"/>
        </w:rPr>
        <w:t xml:space="preserve"> z novej výroby v JLR, kde sa očakáva štart produkcie druhého modelu. Zvyšovanie miezd, najmä vo verejnom sektore, podporí spotrebu domácností a investície sa čiastočne zotavia po predchádzajúcom prepade. Počnúc rokom 2021 sa ekonomika začne približovať svojmu dlhodobému potenciálu a zvoľní. Export bude opäť najdôležitejším ťahúňom, keď by mal JLR dosiahnuť plnú produkciu. Kvôli nižšej dynamike miezd sa očakáva aj spomalenie spotreby domácností. Investície môžu mierne zrýchľovať s blížiacim sa záverom tretieho programovacieho obdobia. Výraznejšia tvorba verejných investícií financovaných z fondov EÚ sa však očakáva až v nasledujúcom roku.</w:t>
      </w:r>
    </w:p>
    <w:p w14:paraId="2CFEE3DF" w14:textId="77777777" w:rsidR="004239D2" w:rsidRPr="004C54B9" w:rsidRDefault="004239D2" w:rsidP="004239D2">
      <w:pPr>
        <w:widowControl w:val="0"/>
        <w:spacing w:after="0" w:line="240" w:lineRule="auto"/>
        <w:jc w:val="both"/>
        <w:rPr>
          <w:rFonts w:ascii="Arial Narrow" w:eastAsia="NeueHaasGroteskText W02" w:hAnsi="Arial Narrow" w:cs="NeueHaasGroteskText W02"/>
        </w:rPr>
      </w:pPr>
    </w:p>
    <w:p w14:paraId="4978A18D" w14:textId="10310F7C" w:rsidR="004239D2" w:rsidRPr="004C54B9" w:rsidRDefault="004239D2" w:rsidP="004239D2">
      <w:pPr>
        <w:widowControl w:val="0"/>
        <w:spacing w:after="0" w:line="240" w:lineRule="auto"/>
        <w:jc w:val="both"/>
        <w:rPr>
          <w:rFonts w:ascii="Arial Narrow" w:eastAsia="NeueHaasGroteskText W02" w:hAnsi="Arial Narrow" w:cs="NeueHaasGroteskText W02"/>
        </w:rPr>
      </w:pPr>
      <w:r w:rsidRPr="00E33066">
        <w:rPr>
          <w:rFonts w:ascii="Arial Narrow" w:eastAsia="NeueHaasGroteskText W02" w:hAnsi="Arial Narrow" w:cs="NeueHaasGroteskText W02"/>
          <w:b/>
        </w:rPr>
        <w:t>Trh práce v  roku 2019 mierne zvoľní a zamestnanosť sa zvýši o 1,1 %.</w:t>
      </w:r>
      <w:r w:rsidRPr="004C54B9">
        <w:rPr>
          <w:rFonts w:ascii="Arial Narrow" w:eastAsia="NeueHaasGroteskText W02" w:hAnsi="Arial Narrow" w:cs="NeueHaasGroteskText W02"/>
        </w:rPr>
        <w:t xml:space="preserve"> V ekonomike vznikne takmer 30 tisíc nových pracovných miest, polovica v sek</w:t>
      </w:r>
      <w:r w:rsidR="005E7DD0">
        <w:rPr>
          <w:rFonts w:ascii="Arial Narrow" w:eastAsia="NeueHaasGroteskText W02" w:hAnsi="Arial Narrow" w:cs="NeueHaasGroteskText W02"/>
        </w:rPr>
        <w:t>tore trhových služieb. Aktívne obyvateľstvo</w:t>
      </w:r>
      <w:r w:rsidRPr="004C54B9">
        <w:rPr>
          <w:rFonts w:ascii="Arial Narrow" w:eastAsia="NeueHaasGroteskText W02" w:hAnsi="Arial Narrow" w:cs="NeueHaasGroteskText W02"/>
        </w:rPr>
        <w:t xml:space="preserve"> mierne ubudne, no na druhej strane ubudne aj počet pracujúcich Slovákov v zahraničí. Zároveň bude pokračovať trend prítoku pracovníkov zo zahraničia.</w:t>
      </w:r>
      <w:r w:rsidR="00BA04BC">
        <w:rPr>
          <w:rFonts w:ascii="Arial Narrow" w:eastAsia="NeueHaasGroteskText W02" w:hAnsi="Arial Narrow" w:cs="NeueHaasGroteskText W02"/>
        </w:rPr>
        <w:t xml:space="preserve"> Tých bolo podľa ÚPSV</w:t>
      </w:r>
      <w:r w:rsidRPr="004C54B9">
        <w:rPr>
          <w:rFonts w:ascii="Arial Narrow" w:eastAsia="NeueHaasGroteskText W02" w:hAnsi="Arial Narrow" w:cs="NeueHaasGroteskText W02"/>
        </w:rPr>
        <w:t>R na konci uplynulého roka takmer 70 tisíc a pomohli zvýšiť rast zamestnanosti až o tretinu. V tomto roku proces ich najímania uľahčí skrátenie administratívnych úkonov pri vybavovaní pracovného povolenia. Spomalenie ekonomickej aktivity spolu so stagnáciou ekonomicky aktívneho obyvateľstva v nasledovných rokoch zmierni dynamiku zamestnanosti smerom k 0,5 % na konci horizontu prognózy. Miera nezamestnanosti klesne v tomto roku na 6 %</w:t>
      </w:r>
      <w:r w:rsidR="0034055A">
        <w:rPr>
          <w:rStyle w:val="Odkaznapoznmkupodiarou"/>
          <w:rFonts w:ascii="Arial Narrow" w:eastAsia="NeueHaasGroteskText W02" w:hAnsi="Arial Narrow" w:cs="NeueHaasGroteskText W02"/>
        </w:rPr>
        <w:footnoteReference w:id="41"/>
      </w:r>
      <w:r w:rsidRPr="004C54B9">
        <w:rPr>
          <w:rFonts w:ascii="Arial Narrow" w:eastAsia="NeueHaasGroteskText W02" w:hAnsi="Arial Narrow" w:cs="NeueHaasGroteskText W02"/>
        </w:rPr>
        <w:t>. Mierne zvyšovanie miery participácie na trhu práce bude pokračovať aj vďaka neskorším odchodom do dôchodku a znižovaniu počtu Slovákov odchádzajúcich do zahraničia. Pokračujúci nárast zamestnanosti pomôže znížiť počet ľudí bez práce v každom roku prognózovaného horizontu. V roku 2022 klesne miera nezamestnanosti k 5,3 %.</w:t>
      </w:r>
    </w:p>
    <w:p w14:paraId="33DA7943" w14:textId="77777777" w:rsidR="004239D2" w:rsidRPr="004C54B9" w:rsidRDefault="004239D2" w:rsidP="004239D2">
      <w:pPr>
        <w:widowControl w:val="0"/>
        <w:spacing w:after="0" w:line="240" w:lineRule="auto"/>
        <w:jc w:val="both"/>
        <w:rPr>
          <w:rFonts w:ascii="Arial Narrow" w:eastAsia="NeueHaasGroteskText W02" w:hAnsi="Arial Narrow" w:cs="NeueHaasGroteskText W02"/>
        </w:rPr>
      </w:pPr>
    </w:p>
    <w:p w14:paraId="1F573FB0" w14:textId="452BCDBB" w:rsidR="004239D2" w:rsidRPr="004C54B9" w:rsidRDefault="00DA2E00" w:rsidP="005E7DD0">
      <w:pPr>
        <w:widowControl w:val="0"/>
        <w:spacing w:after="0" w:line="240" w:lineRule="auto"/>
        <w:jc w:val="both"/>
        <w:rPr>
          <w:rFonts w:ascii="Arial Narrow" w:hAnsi="Arial Narrow"/>
          <w:color w:val="000000"/>
        </w:rPr>
      </w:pPr>
      <w:r>
        <w:rPr>
          <w:rFonts w:ascii="Arial Narrow" w:eastAsia="NeueHaasGroteskText W02" w:hAnsi="Arial Narrow" w:cs="NeueHaasGroteskText W02"/>
          <w:b/>
        </w:rPr>
        <w:t>Očakáva sa, že c</w:t>
      </w:r>
      <w:r w:rsidR="004239D2" w:rsidRPr="00E33066">
        <w:rPr>
          <w:rFonts w:ascii="Arial Narrow" w:eastAsia="NeueHaasGroteskText W02" w:hAnsi="Arial Narrow" w:cs="NeueHaasGroteskText W02"/>
          <w:b/>
        </w:rPr>
        <w:t>eny v</w:t>
      </w:r>
      <w:r>
        <w:rPr>
          <w:rFonts w:ascii="Arial Narrow" w:eastAsia="NeueHaasGroteskText W02" w:hAnsi="Arial Narrow" w:cs="NeueHaasGroteskText W02"/>
          <w:b/>
        </w:rPr>
        <w:t xml:space="preserve"> tomto </w:t>
      </w:r>
      <w:r w:rsidR="004239D2" w:rsidRPr="00E33066">
        <w:rPr>
          <w:rFonts w:ascii="Arial Narrow" w:eastAsia="NeueHaasGroteskText W02" w:hAnsi="Arial Narrow" w:cs="NeueHaasGroteskText W02"/>
          <w:b/>
        </w:rPr>
        <w:t>roku stúpnu o 2,6 %</w:t>
      </w:r>
      <w:r>
        <w:rPr>
          <w:rFonts w:ascii="Arial Narrow" w:eastAsia="NeueHaasGroteskText W02" w:hAnsi="Arial Narrow" w:cs="NeueHaasGroteskText W02"/>
          <w:b/>
        </w:rPr>
        <w:t>,</w:t>
      </w:r>
      <w:r w:rsidR="004239D2" w:rsidRPr="00E33066">
        <w:rPr>
          <w:rFonts w:ascii="Arial Narrow" w:eastAsia="NeueHaasGroteskText W02" w:hAnsi="Arial Narrow" w:cs="NeueHaasGroteskText W02"/>
          <w:b/>
        </w:rPr>
        <w:t xml:space="preserve"> potiahn</w:t>
      </w:r>
      <w:r>
        <w:rPr>
          <w:rFonts w:ascii="Arial Narrow" w:eastAsia="NeueHaasGroteskText W02" w:hAnsi="Arial Narrow" w:cs="NeueHaasGroteskText W02"/>
          <w:b/>
        </w:rPr>
        <w:t>u</w:t>
      </w:r>
      <w:r w:rsidR="004239D2" w:rsidRPr="00E33066">
        <w:rPr>
          <w:rFonts w:ascii="Arial Narrow" w:eastAsia="NeueHaasGroteskText W02" w:hAnsi="Arial Narrow" w:cs="NeueHaasGroteskText W02"/>
          <w:b/>
        </w:rPr>
        <w:t xml:space="preserve"> ich najmä vyššie platy a ovplyvní ich aj legislatíva</w:t>
      </w:r>
      <w:r w:rsidR="004239D2" w:rsidRPr="004C54B9">
        <w:rPr>
          <w:rFonts w:ascii="Arial Narrow" w:eastAsia="NeueHaasGroteskText W02" w:hAnsi="Arial Narrow" w:cs="NeueHaasGroteskText W02"/>
        </w:rPr>
        <w:t xml:space="preserve">. Prehrievanie trhu práce tlačí nahor rast cien služieb, ktoré budú aj v  roku 2019 hlavným motorom inflačného vývoja. Tento rok však ceny ovplyvnia aj legislatívne zmeny (spolu do 0,3 </w:t>
      </w:r>
      <w:proofErr w:type="spellStart"/>
      <w:r w:rsidR="004239D2" w:rsidRPr="004C54B9">
        <w:rPr>
          <w:rFonts w:ascii="Arial Narrow" w:eastAsia="NeueHaasGroteskText W02" w:hAnsi="Arial Narrow" w:cs="NeueHaasGroteskText W02"/>
        </w:rPr>
        <w:t>p.b</w:t>
      </w:r>
      <w:proofErr w:type="spellEnd"/>
      <w:r w:rsidR="004239D2" w:rsidRPr="004C54B9">
        <w:rPr>
          <w:rFonts w:ascii="Arial Narrow" w:eastAsia="NeueHaasGroteskText W02" w:hAnsi="Arial Narrow" w:cs="NeueHaasGroteskText W02"/>
        </w:rPr>
        <w:t xml:space="preserve">.). Jedná sa najmä o zavedenie odvodu reťazcov a rast spotrebnej dane z tabaku účinný od roku 2017. Opačným smerom budú pôsobiť obedy zdarma najmä v materských školách a ceny sa marginálne znížia aj pre nižšiu sadzbu DPH z ubytovania. Rast cien potravín bude v prvej polovici roka ovplyvnený bázickým efektom, ktorý bude tlmiť vplyv odvodu z reťazcov. Regulované ceny stúpnu najmä pre zvýšenie cien energií, nadol ich však stiahne vyššie uvedené zavedenie obedov zdarma. Ceny pohonných hmôt klesnú v reakcii na klesajúcu cenu ropy. Ceny obchodovateľných tovarov vzrastú zrkadlovo s cenovým vývojom v zahraničí. V ďalších rokoch bude inflácia miernejšia. Ceny energií by mali po počiatočnom miernom náraste začať postupne mierne klesať na základe vývoja cien energetických komodít na svetových trhoch a vývoja </w:t>
      </w:r>
      <w:proofErr w:type="spellStart"/>
      <w:r w:rsidR="004239D2" w:rsidRPr="004C54B9">
        <w:rPr>
          <w:rFonts w:ascii="Arial Narrow" w:eastAsia="NeueHaasGroteskText W02" w:hAnsi="Arial Narrow" w:cs="NeueHaasGroteskText W02"/>
        </w:rPr>
        <w:t>future</w:t>
      </w:r>
      <w:proofErr w:type="spellEnd"/>
      <w:r w:rsidR="004239D2" w:rsidRPr="004C54B9">
        <w:rPr>
          <w:rFonts w:ascii="Arial Narrow" w:eastAsia="NeueHaasGroteskText W02" w:hAnsi="Arial Narrow" w:cs="NeueHaasGroteskText W02"/>
        </w:rPr>
        <w:t xml:space="preserve"> kontraktov. V roku 2020  ovplyvnia infláciu  aj obedy zdarma na základných školách. Rast cien služieb bude odrážať pokračujúce prehrievanie trhu práce a s ním spojený mzdový vývoj. Dynamika cien služieb udrží celkovú infláciu na strednodobom horizonte na úrovni 2,4 %.</w:t>
      </w:r>
    </w:p>
    <w:tbl>
      <w:tblPr>
        <w:tblpPr w:leftFromText="141" w:rightFromText="141" w:vertAnchor="text" w:horzAnchor="margin" w:tblpXSpec="center" w:tblpY="10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182"/>
        <w:gridCol w:w="222"/>
        <w:gridCol w:w="4160"/>
      </w:tblGrid>
      <w:tr w:rsidR="004239D2" w:rsidRPr="004C54B9" w14:paraId="0F54A427" w14:textId="77777777" w:rsidTr="005B2D64">
        <w:trPr>
          <w:trHeight w:val="126"/>
        </w:trPr>
        <w:tc>
          <w:tcPr>
            <w:tcW w:w="4182" w:type="dxa"/>
            <w:tcBorders>
              <w:top w:val="nil"/>
              <w:left w:val="nil"/>
              <w:bottom w:val="single" w:sz="4" w:space="0" w:color="auto"/>
              <w:right w:val="nil"/>
            </w:tcBorders>
            <w:vAlign w:val="bottom"/>
          </w:tcPr>
          <w:p w14:paraId="71331727" w14:textId="12919E95" w:rsidR="004239D2" w:rsidRPr="00FB5149" w:rsidRDefault="00F6057C" w:rsidP="005B2D64">
            <w:pPr>
              <w:pStyle w:val="Popis"/>
              <w:rPr>
                <w:rFonts w:cs="Arial"/>
                <w:szCs w:val="22"/>
              </w:rPr>
            </w:pPr>
            <w:bookmarkStart w:id="11" w:name="_Toc4625952"/>
            <w:r w:rsidRPr="00F6057C">
              <w:rPr>
                <w:szCs w:val="22"/>
              </w:rPr>
              <w:lastRenderedPageBreak/>
              <w:t xml:space="preserve">Graf </w:t>
            </w:r>
            <w:r w:rsidRPr="00F6057C">
              <w:rPr>
                <w:szCs w:val="22"/>
              </w:rPr>
              <w:fldChar w:fldCharType="begin"/>
            </w:r>
            <w:r w:rsidRPr="00F6057C">
              <w:rPr>
                <w:szCs w:val="22"/>
              </w:rPr>
              <w:instrText xml:space="preserve"> SEQ Graf \* ARABIC </w:instrText>
            </w:r>
            <w:r w:rsidRPr="00F6057C">
              <w:rPr>
                <w:szCs w:val="22"/>
              </w:rPr>
              <w:fldChar w:fldCharType="separate"/>
            </w:r>
            <w:r w:rsidR="0020148F">
              <w:rPr>
                <w:noProof/>
                <w:szCs w:val="22"/>
              </w:rPr>
              <w:t>3</w:t>
            </w:r>
            <w:r w:rsidRPr="00F6057C">
              <w:rPr>
                <w:szCs w:val="22"/>
              </w:rPr>
              <w:fldChar w:fldCharType="end"/>
            </w:r>
            <w:r w:rsidR="004239D2" w:rsidRPr="00FB5149">
              <w:rPr>
                <w:szCs w:val="22"/>
              </w:rPr>
              <w:t xml:space="preserve">: </w:t>
            </w:r>
            <w:r w:rsidR="004239D2" w:rsidRPr="00FB5149">
              <w:rPr>
                <w:rFonts w:cs="Arial"/>
                <w:szCs w:val="22"/>
              </w:rPr>
              <w:t>Príspevky k rastu HDP na Slovensku, 2011 – 2021 (v p. b.)</w:t>
            </w:r>
            <w:bookmarkEnd w:id="11"/>
          </w:p>
        </w:tc>
        <w:tc>
          <w:tcPr>
            <w:tcW w:w="222" w:type="dxa"/>
            <w:tcBorders>
              <w:top w:val="nil"/>
              <w:left w:val="nil"/>
              <w:bottom w:val="nil"/>
              <w:right w:val="nil"/>
            </w:tcBorders>
            <w:vAlign w:val="bottom"/>
          </w:tcPr>
          <w:p w14:paraId="500C39AA" w14:textId="77777777" w:rsidR="004239D2" w:rsidRPr="00FB5149" w:rsidRDefault="004239D2" w:rsidP="005B2D64">
            <w:pPr>
              <w:spacing w:after="0" w:line="240" w:lineRule="auto"/>
              <w:rPr>
                <w:rFonts w:ascii="Arial Narrow" w:hAnsi="Arial Narrow" w:cs="Arial"/>
                <w:b/>
                <w:sz w:val="20"/>
              </w:rPr>
            </w:pPr>
          </w:p>
        </w:tc>
        <w:tc>
          <w:tcPr>
            <w:tcW w:w="4160" w:type="dxa"/>
            <w:tcBorders>
              <w:top w:val="nil"/>
              <w:left w:val="nil"/>
              <w:bottom w:val="single" w:sz="4" w:space="0" w:color="auto"/>
              <w:right w:val="nil"/>
            </w:tcBorders>
            <w:vAlign w:val="bottom"/>
          </w:tcPr>
          <w:p w14:paraId="000D0A66" w14:textId="64EEDB59" w:rsidR="004239D2" w:rsidRPr="00FB5149" w:rsidRDefault="00F6057C" w:rsidP="005B2D64">
            <w:pPr>
              <w:pStyle w:val="Popis"/>
              <w:rPr>
                <w:szCs w:val="22"/>
              </w:rPr>
            </w:pPr>
            <w:bookmarkStart w:id="12" w:name="_Toc4625953"/>
            <w:r w:rsidRPr="00F6057C">
              <w:rPr>
                <w:szCs w:val="22"/>
              </w:rPr>
              <w:t xml:space="preserve">Graf </w:t>
            </w:r>
            <w:r w:rsidRPr="00F6057C">
              <w:rPr>
                <w:szCs w:val="22"/>
              </w:rPr>
              <w:fldChar w:fldCharType="begin"/>
            </w:r>
            <w:r w:rsidRPr="00F6057C">
              <w:rPr>
                <w:szCs w:val="22"/>
              </w:rPr>
              <w:instrText xml:space="preserve"> SEQ Graf \* ARABIC </w:instrText>
            </w:r>
            <w:r w:rsidRPr="00F6057C">
              <w:rPr>
                <w:szCs w:val="22"/>
              </w:rPr>
              <w:fldChar w:fldCharType="separate"/>
            </w:r>
            <w:r w:rsidR="0020148F">
              <w:rPr>
                <w:noProof/>
                <w:szCs w:val="22"/>
              </w:rPr>
              <w:t>4</w:t>
            </w:r>
            <w:r w:rsidRPr="00F6057C">
              <w:rPr>
                <w:szCs w:val="22"/>
              </w:rPr>
              <w:fldChar w:fldCharType="end"/>
            </w:r>
            <w:r w:rsidR="004239D2" w:rsidRPr="00FB5149">
              <w:rPr>
                <w:szCs w:val="22"/>
              </w:rPr>
              <w:t xml:space="preserve">: </w:t>
            </w:r>
            <w:r w:rsidR="004239D2" w:rsidRPr="00FB5149">
              <w:rPr>
                <w:rFonts w:cs="Arial"/>
                <w:szCs w:val="22"/>
              </w:rPr>
              <w:t>Štruktúra spotrebiteľskej inflácie – medziročné príspevky zložiek CPI (v p. b.)</w:t>
            </w:r>
            <w:bookmarkEnd w:id="12"/>
          </w:p>
        </w:tc>
      </w:tr>
      <w:tr w:rsidR="004239D2" w:rsidRPr="004C54B9" w14:paraId="77F1B702" w14:textId="77777777" w:rsidTr="00032CDB">
        <w:trPr>
          <w:trHeight w:val="944"/>
        </w:trPr>
        <w:tc>
          <w:tcPr>
            <w:tcW w:w="4182" w:type="dxa"/>
            <w:tcBorders>
              <w:top w:val="single" w:sz="4" w:space="0" w:color="auto"/>
              <w:left w:val="nil"/>
              <w:bottom w:val="single" w:sz="4" w:space="0" w:color="auto"/>
              <w:right w:val="nil"/>
            </w:tcBorders>
            <w:vAlign w:val="center"/>
          </w:tcPr>
          <w:p w14:paraId="3D2A2F61" w14:textId="52B2C116" w:rsidR="004239D2" w:rsidRPr="004C54B9" w:rsidRDefault="00032CDB" w:rsidP="005B2D64">
            <w:pPr>
              <w:spacing w:after="0" w:line="240" w:lineRule="auto"/>
              <w:jc w:val="center"/>
              <w:rPr>
                <w:rFonts w:ascii="Arial Narrow" w:hAnsi="Arial Narrow" w:cs="Arial"/>
                <w:b/>
              </w:rPr>
            </w:pPr>
            <w:r>
              <w:rPr>
                <w:noProof/>
                <w:lang w:val="en-GB" w:eastAsia="en-GB"/>
              </w:rPr>
              <w:drawing>
                <wp:inline distT="0" distB="0" distL="0" distR="0" wp14:anchorId="5BEC28C1" wp14:editId="10A619FC">
                  <wp:extent cx="2527300" cy="2188210"/>
                  <wp:effectExtent l="0" t="0" r="6350" b="254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22" w:type="dxa"/>
            <w:tcBorders>
              <w:top w:val="nil"/>
              <w:left w:val="nil"/>
              <w:bottom w:val="nil"/>
              <w:right w:val="nil"/>
            </w:tcBorders>
            <w:vAlign w:val="center"/>
          </w:tcPr>
          <w:p w14:paraId="1668811D" w14:textId="77777777" w:rsidR="004239D2" w:rsidRPr="004C54B9" w:rsidRDefault="004239D2" w:rsidP="005B2D64">
            <w:pPr>
              <w:spacing w:after="0" w:line="240" w:lineRule="auto"/>
              <w:jc w:val="center"/>
              <w:rPr>
                <w:rFonts w:ascii="Arial Narrow" w:hAnsi="Arial Narrow" w:cs="Arial"/>
                <w:b/>
              </w:rPr>
            </w:pPr>
          </w:p>
        </w:tc>
        <w:tc>
          <w:tcPr>
            <w:tcW w:w="4160" w:type="dxa"/>
            <w:tcBorders>
              <w:top w:val="single" w:sz="4" w:space="0" w:color="auto"/>
              <w:left w:val="nil"/>
              <w:bottom w:val="single" w:sz="4" w:space="0" w:color="auto"/>
              <w:right w:val="nil"/>
            </w:tcBorders>
            <w:vAlign w:val="center"/>
          </w:tcPr>
          <w:p w14:paraId="422DF3E0" w14:textId="77777777" w:rsidR="004239D2" w:rsidRPr="004C54B9" w:rsidRDefault="004239D2" w:rsidP="005B2D64">
            <w:pPr>
              <w:spacing w:after="0" w:line="240" w:lineRule="auto"/>
              <w:jc w:val="center"/>
              <w:rPr>
                <w:rFonts w:ascii="Arial Narrow" w:hAnsi="Arial Narrow" w:cs="Arial"/>
                <w:b/>
              </w:rPr>
            </w:pPr>
            <w:r w:rsidRPr="004C54B9">
              <w:rPr>
                <w:rFonts w:ascii="Arial Narrow" w:hAnsi="Arial Narrow"/>
                <w:noProof/>
                <w:lang w:val="en-GB" w:eastAsia="en-GB"/>
              </w:rPr>
              <w:drawing>
                <wp:inline distT="0" distB="0" distL="0" distR="0" wp14:anchorId="55D4F9D2" wp14:editId="226D3A85">
                  <wp:extent cx="2552700" cy="2209800"/>
                  <wp:effectExtent l="0" t="0" r="0" b="0"/>
                  <wp:docPr id="226" name="Graf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239D2" w:rsidRPr="004C54B9" w14:paraId="5A7D99FF" w14:textId="77777777" w:rsidTr="005B2D64">
        <w:trPr>
          <w:trHeight w:val="120"/>
        </w:trPr>
        <w:tc>
          <w:tcPr>
            <w:tcW w:w="4182" w:type="dxa"/>
            <w:tcBorders>
              <w:top w:val="single" w:sz="4" w:space="0" w:color="auto"/>
              <w:left w:val="nil"/>
              <w:bottom w:val="nil"/>
              <w:right w:val="nil"/>
            </w:tcBorders>
            <w:vAlign w:val="center"/>
          </w:tcPr>
          <w:p w14:paraId="0F06B161" w14:textId="77777777" w:rsidR="004239D2" w:rsidRPr="00FB5149" w:rsidRDefault="004239D2" w:rsidP="005B2D64">
            <w:pPr>
              <w:spacing w:after="0" w:line="240" w:lineRule="auto"/>
              <w:jc w:val="right"/>
              <w:rPr>
                <w:rFonts w:ascii="Arial Narrow" w:hAnsi="Arial Narrow" w:cs="Arial"/>
                <w:sz w:val="16"/>
              </w:rPr>
            </w:pPr>
            <w:r w:rsidRPr="00FB5149">
              <w:rPr>
                <w:rFonts w:ascii="Arial Narrow" w:hAnsi="Arial Narrow" w:cs="Arial Narrow"/>
                <w:i/>
                <w:iCs/>
                <w:color w:val="000000"/>
                <w:sz w:val="16"/>
              </w:rPr>
              <w:t xml:space="preserve">Zdroj: ŠÚ SR, MF SR </w:t>
            </w:r>
          </w:p>
        </w:tc>
        <w:tc>
          <w:tcPr>
            <w:tcW w:w="222" w:type="dxa"/>
            <w:tcBorders>
              <w:top w:val="nil"/>
              <w:left w:val="nil"/>
              <w:bottom w:val="nil"/>
              <w:right w:val="nil"/>
            </w:tcBorders>
            <w:vAlign w:val="center"/>
          </w:tcPr>
          <w:p w14:paraId="0ECF8E37" w14:textId="77777777" w:rsidR="004239D2" w:rsidRPr="00FB5149" w:rsidRDefault="004239D2" w:rsidP="005B2D64">
            <w:pPr>
              <w:spacing w:after="0" w:line="240" w:lineRule="auto"/>
              <w:jc w:val="center"/>
              <w:rPr>
                <w:rFonts w:ascii="Arial Narrow" w:hAnsi="Arial Narrow" w:cs="Arial"/>
                <w:sz w:val="16"/>
              </w:rPr>
            </w:pPr>
          </w:p>
        </w:tc>
        <w:tc>
          <w:tcPr>
            <w:tcW w:w="4160" w:type="dxa"/>
            <w:tcBorders>
              <w:top w:val="single" w:sz="4" w:space="0" w:color="auto"/>
              <w:left w:val="nil"/>
              <w:bottom w:val="nil"/>
              <w:right w:val="nil"/>
            </w:tcBorders>
            <w:vAlign w:val="center"/>
          </w:tcPr>
          <w:p w14:paraId="4B8F7B64" w14:textId="77777777" w:rsidR="004239D2" w:rsidRPr="00FB5149" w:rsidRDefault="004239D2" w:rsidP="005B2D64">
            <w:pPr>
              <w:spacing w:after="0" w:line="240" w:lineRule="auto"/>
              <w:jc w:val="right"/>
              <w:rPr>
                <w:rFonts w:ascii="Arial Narrow" w:hAnsi="Arial Narrow" w:cs="Arial"/>
                <w:sz w:val="16"/>
              </w:rPr>
            </w:pPr>
            <w:r w:rsidRPr="00FB5149">
              <w:rPr>
                <w:rFonts w:ascii="Arial Narrow" w:hAnsi="Arial Narrow" w:cs="Arial Narrow"/>
                <w:i/>
                <w:iCs/>
                <w:color w:val="000000"/>
                <w:sz w:val="16"/>
              </w:rPr>
              <w:t xml:space="preserve">Zdroj: ŠÚ SR </w:t>
            </w:r>
          </w:p>
        </w:tc>
      </w:tr>
    </w:tbl>
    <w:p w14:paraId="1F89B058" w14:textId="77777777" w:rsidR="004239D2" w:rsidRPr="004C54B9" w:rsidRDefault="004239D2" w:rsidP="004239D2">
      <w:pPr>
        <w:spacing w:after="0" w:line="240" w:lineRule="auto"/>
        <w:jc w:val="both"/>
        <w:rPr>
          <w:rFonts w:ascii="Arial Narrow" w:hAnsi="Arial Narrow"/>
          <w:color w:val="000000"/>
        </w:rPr>
      </w:pPr>
    </w:p>
    <w:p w14:paraId="003ED83E" w14:textId="0FB5BB1A" w:rsidR="004239D2" w:rsidRPr="004C54B9" w:rsidRDefault="004239D2" w:rsidP="004239D2">
      <w:pPr>
        <w:spacing w:after="0" w:line="240" w:lineRule="auto"/>
        <w:jc w:val="both"/>
        <w:rPr>
          <w:rFonts w:ascii="Arial Narrow" w:hAnsi="Arial Narrow"/>
          <w:b/>
          <w:i/>
          <w:color w:val="000000"/>
        </w:rPr>
      </w:pPr>
      <w:r w:rsidRPr="004C54B9">
        <w:rPr>
          <w:rFonts w:ascii="Arial Narrow" w:hAnsi="Arial Narrow"/>
          <w:b/>
          <w:i/>
          <w:color w:val="000000"/>
        </w:rPr>
        <w:t xml:space="preserve">Rast </w:t>
      </w:r>
      <w:r w:rsidR="004E5393">
        <w:rPr>
          <w:rFonts w:ascii="Arial Narrow" w:hAnsi="Arial Narrow"/>
          <w:b/>
          <w:i/>
          <w:color w:val="000000"/>
        </w:rPr>
        <w:t xml:space="preserve">v minulom roku </w:t>
      </w:r>
      <w:r w:rsidRPr="004C54B9">
        <w:rPr>
          <w:rFonts w:ascii="Arial Narrow" w:hAnsi="Arial Narrow"/>
          <w:b/>
          <w:i/>
          <w:color w:val="000000"/>
        </w:rPr>
        <w:t>ťaha</w:t>
      </w:r>
      <w:r w:rsidR="004E5393">
        <w:rPr>
          <w:rFonts w:ascii="Arial Narrow" w:hAnsi="Arial Narrow"/>
          <w:b/>
          <w:i/>
          <w:color w:val="000000"/>
        </w:rPr>
        <w:t xml:space="preserve">li najmä investície </w:t>
      </w:r>
      <w:r w:rsidRPr="004C54B9">
        <w:rPr>
          <w:rFonts w:ascii="Arial Narrow" w:hAnsi="Arial Narrow"/>
          <w:b/>
          <w:i/>
          <w:color w:val="000000"/>
        </w:rPr>
        <w:t xml:space="preserve">a spotreba domácností </w:t>
      </w:r>
    </w:p>
    <w:p w14:paraId="05FA85D0" w14:textId="19624189" w:rsidR="004239D2" w:rsidRPr="004C54B9" w:rsidRDefault="004239D2" w:rsidP="004239D2">
      <w:pPr>
        <w:spacing w:after="0" w:line="240" w:lineRule="auto"/>
        <w:jc w:val="both"/>
        <w:rPr>
          <w:rFonts w:ascii="Arial Narrow" w:hAnsi="Arial Narrow"/>
          <w:color w:val="000000"/>
        </w:rPr>
      </w:pPr>
      <w:r w:rsidRPr="000E26B9">
        <w:rPr>
          <w:rFonts w:ascii="Arial Narrow" w:hAnsi="Arial Narrow"/>
          <w:b/>
          <w:color w:val="000000" w:themeColor="text1"/>
        </w:rPr>
        <w:t xml:space="preserve">Slovenská ekonomika vlani vzrástla o </w:t>
      </w:r>
      <w:r w:rsidR="004E5393" w:rsidRPr="000E26B9">
        <w:rPr>
          <w:rFonts w:ascii="Arial Narrow" w:hAnsi="Arial Narrow"/>
          <w:b/>
          <w:color w:val="000000" w:themeColor="text1"/>
        </w:rPr>
        <w:t>4,1</w:t>
      </w:r>
      <w:r w:rsidRPr="000E26B9">
        <w:rPr>
          <w:rFonts w:ascii="Arial Narrow" w:hAnsi="Arial Narrow"/>
          <w:b/>
          <w:color w:val="000000" w:themeColor="text1"/>
        </w:rPr>
        <w:t xml:space="preserve"> %.</w:t>
      </w:r>
      <w:r w:rsidRPr="000E26B9">
        <w:rPr>
          <w:rFonts w:ascii="Arial Narrow" w:hAnsi="Arial Narrow"/>
          <w:color w:val="000000" w:themeColor="text1"/>
        </w:rPr>
        <w:t xml:space="preserve"> </w:t>
      </w:r>
      <w:r w:rsidR="004E5393" w:rsidRPr="000E26B9">
        <w:rPr>
          <w:rFonts w:ascii="Arial Narrow" w:eastAsia="NeueHaasGroteskText W02" w:hAnsi="Arial Narrow" w:cs="Arial"/>
          <w:color w:val="000000" w:themeColor="text1"/>
        </w:rPr>
        <w:t xml:space="preserve">Najväčší príspevok k rastu zaznamenali investície a spotreba domácností. Investície výrazne podporili najmä </w:t>
      </w:r>
      <w:r w:rsidR="00BA04BC">
        <w:rPr>
          <w:rFonts w:ascii="Arial Narrow" w:eastAsia="NeueHaasGroteskText W02" w:hAnsi="Arial Narrow" w:cs="Arial"/>
          <w:color w:val="000000" w:themeColor="text1"/>
        </w:rPr>
        <w:t xml:space="preserve">JLR </w:t>
      </w:r>
      <w:r w:rsidR="004E5393" w:rsidRPr="000E26B9">
        <w:rPr>
          <w:rFonts w:ascii="Arial Narrow" w:eastAsia="NeueHaasGroteskText W02" w:hAnsi="Arial Narrow" w:cs="Arial"/>
          <w:color w:val="000000" w:themeColor="text1"/>
        </w:rPr>
        <w:t xml:space="preserve">a samosprávy. Spotreba domácností sa oprela o zvyšujúcu sa mzdovú bázu, pričom ostatné zložky disponibilného príjmu domácností rástli len pozvoľne. Export v druhom polroku rástol najmä vďaka automobilovému priemyslu, keď výraznejšie stúpla nová produkcia vo </w:t>
      </w:r>
      <w:r w:rsidR="00BA04BC">
        <w:rPr>
          <w:rFonts w:ascii="Arial Narrow" w:eastAsia="NeueHaasGroteskText W02" w:hAnsi="Arial Narrow" w:cs="Arial"/>
          <w:color w:val="000000" w:themeColor="text1"/>
        </w:rPr>
        <w:t xml:space="preserve">VW. </w:t>
      </w:r>
      <w:r w:rsidR="004E5393" w:rsidRPr="000E26B9">
        <w:rPr>
          <w:rFonts w:ascii="Arial Narrow" w:eastAsia="NeueHaasGroteskText W02" w:hAnsi="Arial Narrow" w:cs="Arial"/>
          <w:color w:val="000000" w:themeColor="text1"/>
        </w:rPr>
        <w:t>Nová produkcia v JLR začala nabiehať iba postupne. Celoročnú produkciu autom</w:t>
      </w:r>
      <w:r w:rsidR="00B01608">
        <w:rPr>
          <w:rFonts w:ascii="Arial Narrow" w:eastAsia="NeueHaasGroteskText W02" w:hAnsi="Arial Narrow" w:cs="Arial"/>
          <w:color w:val="000000" w:themeColor="text1"/>
        </w:rPr>
        <w:t>obilov na Slovensku na úrovni 1,</w:t>
      </w:r>
      <w:r w:rsidR="004E5393" w:rsidRPr="000E26B9">
        <w:rPr>
          <w:rFonts w:ascii="Arial Narrow" w:eastAsia="NeueHaasGroteskText W02" w:hAnsi="Arial Narrow" w:cs="Arial"/>
          <w:color w:val="000000" w:themeColor="text1"/>
        </w:rPr>
        <w:t>08</w:t>
      </w:r>
      <w:r w:rsidR="00925947">
        <w:rPr>
          <w:rFonts w:ascii="Arial Narrow" w:eastAsia="NeueHaasGroteskText W02" w:hAnsi="Arial Narrow" w:cs="Arial"/>
          <w:color w:val="000000" w:themeColor="text1"/>
        </w:rPr>
        <w:t xml:space="preserve"> mil. kusov </w:t>
      </w:r>
      <w:r w:rsidR="004E5393" w:rsidRPr="000E26B9">
        <w:rPr>
          <w:rFonts w:ascii="Arial Narrow" w:eastAsia="NeueHaasGroteskText W02" w:hAnsi="Arial Narrow" w:cs="Arial"/>
          <w:color w:val="000000" w:themeColor="text1"/>
        </w:rPr>
        <w:t>tak JLR ovplyvnila zatiaľ iba minimálne.</w:t>
      </w:r>
    </w:p>
    <w:p w14:paraId="76EC3462" w14:textId="77777777" w:rsidR="004239D2" w:rsidRPr="004C54B9" w:rsidRDefault="004239D2" w:rsidP="004239D2">
      <w:pPr>
        <w:spacing w:after="0" w:line="240" w:lineRule="auto"/>
        <w:jc w:val="both"/>
        <w:rPr>
          <w:rFonts w:ascii="Arial Narrow" w:hAnsi="Arial Narrow"/>
          <w:color w:val="000000"/>
        </w:rPr>
      </w:pPr>
    </w:p>
    <w:p w14:paraId="6DC1E8D7" w14:textId="29688316" w:rsidR="005273DB" w:rsidRDefault="00563CDC" w:rsidP="000E26B9">
      <w:pPr>
        <w:pStyle w:val="Odsek"/>
        <w:rPr>
          <w:b/>
          <w:bCs/>
        </w:rPr>
      </w:pPr>
      <w:r w:rsidRPr="00563CDC">
        <w:rPr>
          <w:b/>
        </w:rPr>
        <w:t xml:space="preserve">Trh práce </w:t>
      </w:r>
      <w:r w:rsidRPr="008D5135">
        <w:rPr>
          <w:b/>
        </w:rPr>
        <w:t xml:space="preserve">expandoval aj v roku 2018. </w:t>
      </w:r>
      <w:r w:rsidRPr="008D5135">
        <w:t xml:space="preserve">Zamestnanosť sa zvýšila o takmer 50 tisíc osôb a presiahla úroveň 2,4 milióna ľudí. </w:t>
      </w:r>
      <w:r w:rsidR="004239D2" w:rsidRPr="000E26B9">
        <w:rPr>
          <w:color w:val="000000"/>
        </w:rPr>
        <w:t>Zvýšenie počtu pracujúcich o</w:t>
      </w:r>
      <w:r w:rsidRPr="000E26B9">
        <w:rPr>
          <w:color w:val="000000"/>
        </w:rPr>
        <w:t> 2 %</w:t>
      </w:r>
      <w:r w:rsidR="004239D2" w:rsidRPr="000E26B9">
        <w:rPr>
          <w:rStyle w:val="Odkaznapoznmkupodiarou"/>
          <w:color w:val="000000"/>
        </w:rPr>
        <w:footnoteReference w:id="42"/>
      </w:r>
      <w:r w:rsidR="004239D2" w:rsidRPr="000E26B9">
        <w:rPr>
          <w:color w:val="000000"/>
        </w:rPr>
        <w:t xml:space="preserve"> viedlo k poklesu miery nezamestnanosti (podľa metodiky VZPS)</w:t>
      </w:r>
      <w:r w:rsidR="004239D2" w:rsidRPr="000E26B9">
        <w:rPr>
          <w:rStyle w:val="Odkaznapoznmkupodiarou"/>
          <w:color w:val="000000"/>
        </w:rPr>
        <w:footnoteReference w:id="43"/>
      </w:r>
      <w:r w:rsidR="004239D2" w:rsidRPr="000E26B9">
        <w:rPr>
          <w:color w:val="000000"/>
        </w:rPr>
        <w:t xml:space="preserve"> na </w:t>
      </w:r>
      <w:r w:rsidRPr="000E26B9">
        <w:rPr>
          <w:color w:val="000000"/>
        </w:rPr>
        <w:t>nové minimum na úrov</w:t>
      </w:r>
      <w:r w:rsidR="005952C3">
        <w:rPr>
          <w:color w:val="000000"/>
        </w:rPr>
        <w:t>eň 6,6</w:t>
      </w:r>
      <w:bookmarkStart w:id="13" w:name="_GoBack"/>
      <w:bookmarkEnd w:id="13"/>
      <w:r w:rsidR="004239D2" w:rsidRPr="000E26B9">
        <w:rPr>
          <w:color w:val="000000"/>
        </w:rPr>
        <w:t xml:space="preserve"> %</w:t>
      </w:r>
      <w:r w:rsidR="004239D2" w:rsidRPr="000E26B9">
        <w:rPr>
          <w:rStyle w:val="Odkaznapoznmkupodiarou"/>
          <w:color w:val="000000"/>
        </w:rPr>
        <w:footnoteReference w:id="44"/>
      </w:r>
      <w:r w:rsidR="004239D2" w:rsidRPr="000E26B9">
        <w:rPr>
          <w:color w:val="000000"/>
        </w:rPr>
        <w:t xml:space="preserve">. </w:t>
      </w:r>
      <w:r w:rsidRPr="00563CDC">
        <w:t>Polovica nových pracovných miest vznikla v sektore služieb s prevažujúcim príspevkom z nižšie-kvalifikovaných odvetví ako obchod, doprava a skladovanie. Najrýchlejšia tvorb</w:t>
      </w:r>
      <w:r w:rsidRPr="008D5135">
        <w:t xml:space="preserve">a pracovných miest bola v stavebníctve, kde rástla zamestnanosť najviac od krízy. </w:t>
      </w:r>
      <w:r w:rsidR="004239D2" w:rsidRPr="000E26B9">
        <w:rPr>
          <w:color w:val="000000"/>
        </w:rPr>
        <w:t>Rekordne rástol počet cudzincov pracujúcich na Slovensku (nárast o 1</w:t>
      </w:r>
      <w:r w:rsidRPr="000E26B9">
        <w:rPr>
          <w:color w:val="000000"/>
        </w:rPr>
        <w:t>6</w:t>
      </w:r>
      <w:r w:rsidR="004239D2" w:rsidRPr="000E26B9">
        <w:rPr>
          <w:color w:val="000000"/>
        </w:rPr>
        <w:t xml:space="preserve"> tisíc), ktorí obsadili každé </w:t>
      </w:r>
      <w:r w:rsidRPr="000E26B9">
        <w:rPr>
          <w:color w:val="000000"/>
        </w:rPr>
        <w:t xml:space="preserve">tretie </w:t>
      </w:r>
      <w:r w:rsidR="004239D2" w:rsidRPr="000E26B9">
        <w:rPr>
          <w:color w:val="000000"/>
        </w:rPr>
        <w:t>novovytvorené pracovné miesto</w:t>
      </w:r>
      <w:r w:rsidR="00C5262C">
        <w:rPr>
          <w:color w:val="000000"/>
        </w:rPr>
        <w:t>.</w:t>
      </w:r>
      <w:r w:rsidRPr="00563CDC">
        <w:rPr>
          <w:b/>
          <w:bCs/>
        </w:rPr>
        <w:t xml:space="preserve"> </w:t>
      </w:r>
    </w:p>
    <w:p w14:paraId="1C4F01B0" w14:textId="3FE7BFC3" w:rsidR="004239D2" w:rsidRPr="00563CDC" w:rsidRDefault="00563CDC" w:rsidP="000E26B9">
      <w:pPr>
        <w:pStyle w:val="Odsek"/>
        <w:rPr>
          <w:color w:val="000000"/>
        </w:rPr>
      </w:pPr>
      <w:r w:rsidRPr="008D5135">
        <w:rPr>
          <w:b/>
          <w:bCs/>
        </w:rPr>
        <w:t xml:space="preserve">Nominálna </w:t>
      </w:r>
      <w:r w:rsidR="005273DB">
        <w:rPr>
          <w:b/>
          <w:bCs/>
        </w:rPr>
        <w:t xml:space="preserve">priemerná </w:t>
      </w:r>
      <w:r w:rsidR="005E7DD0">
        <w:rPr>
          <w:b/>
          <w:bCs/>
        </w:rPr>
        <w:t>mzda presiahla hranicu 1 000 eur</w:t>
      </w:r>
      <w:r w:rsidRPr="008D5135">
        <w:rPr>
          <w:b/>
          <w:bCs/>
        </w:rPr>
        <w:t xml:space="preserve">. </w:t>
      </w:r>
      <w:r w:rsidRPr="008D5135">
        <w:rPr>
          <w:bCs/>
        </w:rPr>
        <w:t xml:space="preserve">Rast miezd akceleroval nad 6 %, čo je najviac od krízy. </w:t>
      </w:r>
      <w:r w:rsidRPr="004A39EB">
        <w:t xml:space="preserve">Zrýchlenie inflácie nezastavilo akceleráciu reálnych miezd. Tie vlani stúpli o 3,6 %. </w:t>
      </w:r>
    </w:p>
    <w:p w14:paraId="1E008086" w14:textId="77777777" w:rsidR="004239D2" w:rsidRPr="004C54B9" w:rsidRDefault="004239D2" w:rsidP="004239D2">
      <w:pPr>
        <w:spacing w:after="0" w:line="240" w:lineRule="auto"/>
        <w:jc w:val="both"/>
        <w:rPr>
          <w:rFonts w:ascii="Arial Narrow" w:hAnsi="Arial Narrow"/>
          <w:color w:val="000000"/>
        </w:rPr>
      </w:pPr>
      <w:r w:rsidRPr="00E33066">
        <w:rPr>
          <w:rFonts w:ascii="Arial Narrow" w:hAnsi="Arial Narrow"/>
          <w:b/>
          <w:color w:val="000000"/>
        </w:rPr>
        <w:t>Inflácia v  roku 2018 zrýchlila najmä kvôli vyšším cenám potravín.</w:t>
      </w:r>
      <w:r w:rsidRPr="004C54B9">
        <w:rPr>
          <w:rFonts w:ascii="Arial Narrow" w:hAnsi="Arial Narrow"/>
          <w:color w:val="000000"/>
        </w:rPr>
        <w:t xml:space="preserve"> Celoročne stúpli ceny merané indexom CPI o 2,5 % (rovnako aj HICP</w:t>
      </w:r>
      <w:r w:rsidRPr="004C54B9">
        <w:rPr>
          <w:rStyle w:val="Odkaznapoznmkupodiarou"/>
          <w:rFonts w:ascii="Arial Narrow" w:hAnsi="Arial Narrow"/>
          <w:color w:val="000000"/>
        </w:rPr>
        <w:footnoteReference w:id="45"/>
      </w:r>
      <w:r w:rsidRPr="004C54B9">
        <w:rPr>
          <w:rFonts w:ascii="Arial Narrow" w:hAnsi="Arial Narrow"/>
          <w:color w:val="000000"/>
        </w:rPr>
        <w:t>). K vyššej inflácii tlačil predovšetkým rast cien služieb reagujúci na rastúce mzdy</w:t>
      </w:r>
      <w:r>
        <w:rPr>
          <w:rFonts w:ascii="Arial Narrow" w:hAnsi="Arial Narrow"/>
          <w:color w:val="000000"/>
        </w:rPr>
        <w:t>.</w:t>
      </w:r>
      <w:r w:rsidRPr="004C54B9">
        <w:rPr>
          <w:rFonts w:ascii="Arial Narrow" w:hAnsi="Arial Narrow"/>
          <w:color w:val="000000"/>
        </w:rPr>
        <w:t xml:space="preserve">  Pokračoval aj silný rast cien potravín</w:t>
      </w:r>
      <w:r>
        <w:rPr>
          <w:rFonts w:ascii="Arial Narrow" w:hAnsi="Arial Narrow"/>
          <w:color w:val="000000"/>
        </w:rPr>
        <w:t>,</w:t>
      </w:r>
      <w:r w:rsidRPr="004C54B9">
        <w:rPr>
          <w:rFonts w:ascii="Arial Narrow" w:hAnsi="Arial Narrow"/>
          <w:color w:val="000000"/>
        </w:rPr>
        <w:t xml:space="preserve"> významne </w:t>
      </w:r>
      <w:r>
        <w:rPr>
          <w:rFonts w:ascii="Arial Narrow" w:hAnsi="Arial Narrow"/>
          <w:color w:val="000000"/>
        </w:rPr>
        <w:t xml:space="preserve">tiež </w:t>
      </w:r>
      <w:r w:rsidRPr="004C54B9">
        <w:rPr>
          <w:rFonts w:ascii="Arial Narrow" w:hAnsi="Arial Narrow"/>
          <w:color w:val="000000"/>
        </w:rPr>
        <w:t>stúpli ceny pohonných hmôt. Zrýchlil aj rast cien obchodovateľných tovarov v reakcii na oživenie inflácie v zahraničí. K rastu prispelo aj zvýšenie regulovaných cien energií od začiatku roka.</w:t>
      </w:r>
    </w:p>
    <w:p w14:paraId="144F6861" w14:textId="77777777" w:rsidR="007D2366" w:rsidRPr="004C54B9" w:rsidRDefault="007D2366" w:rsidP="004C54B9">
      <w:pPr>
        <w:spacing w:after="0" w:line="240" w:lineRule="auto"/>
        <w:jc w:val="both"/>
        <w:rPr>
          <w:rFonts w:ascii="Arial Narrow" w:eastAsia="NeueHaasGroteskText W02" w:hAnsi="Arial Narrow" w:cs="NeueHaasGroteskText W02"/>
        </w:rPr>
      </w:pPr>
    </w:p>
    <w:tbl>
      <w:tblPr>
        <w:tblpPr w:leftFromText="142" w:rightFromText="142" w:vertAnchor="text" w:horzAnchor="margin" w:tblpXSpec="center" w:tblpY="1"/>
        <w:tblOverlap w:val="never"/>
        <w:tblW w:w="8607" w:type="dxa"/>
        <w:tblBorders>
          <w:insideH w:val="single" w:sz="4" w:space="0" w:color="auto"/>
          <w:insideV w:val="single" w:sz="4" w:space="0" w:color="auto"/>
        </w:tblBorders>
        <w:shd w:val="clear" w:color="auto" w:fill="AAD3F2"/>
        <w:tblLayout w:type="fixed"/>
        <w:tblLook w:val="01E0" w:firstRow="1" w:lastRow="1" w:firstColumn="1" w:lastColumn="1" w:noHBand="0" w:noVBand="0"/>
      </w:tblPr>
      <w:tblGrid>
        <w:gridCol w:w="8607"/>
      </w:tblGrid>
      <w:tr w:rsidR="006659DC" w:rsidRPr="006C144F" w14:paraId="2AF20022" w14:textId="77777777" w:rsidTr="00AB20C2">
        <w:trPr>
          <w:trHeight w:val="11903"/>
        </w:trPr>
        <w:tc>
          <w:tcPr>
            <w:tcW w:w="8222" w:type="dxa"/>
            <w:shd w:val="clear" w:color="auto" w:fill="AAD3F2"/>
            <w:vAlign w:val="center"/>
          </w:tcPr>
          <w:p w14:paraId="45640098" w14:textId="2616B8EA" w:rsidR="006659DC" w:rsidRPr="008E5BC0" w:rsidRDefault="007C219D" w:rsidP="007C219D">
            <w:pPr>
              <w:spacing w:before="120" w:line="240" w:lineRule="auto"/>
              <w:ind w:right="1015"/>
              <w:jc w:val="both"/>
              <w:rPr>
                <w:rFonts w:ascii="Arial Narrow" w:eastAsia="NeueHaasGroteskText W02" w:hAnsi="Arial Narrow" w:cs="Arial"/>
                <w:b/>
                <w:bCs/>
                <w:color w:val="000000" w:themeColor="text1"/>
                <w:szCs w:val="18"/>
                <w:u w:color="2C9ADC"/>
              </w:rPr>
            </w:pPr>
            <w:r>
              <w:rPr>
                <w:rFonts w:ascii="Arial Narrow" w:eastAsia="NeueHaasGroteskText W02" w:hAnsi="Arial Narrow" w:cs="Arial"/>
                <w:b/>
                <w:bCs/>
                <w:color w:val="000000" w:themeColor="text1"/>
                <w:szCs w:val="18"/>
                <w:u w:color="2C9ADC"/>
              </w:rPr>
              <w:lastRenderedPageBreak/>
              <w:t>Box 1</w:t>
            </w:r>
            <w:r w:rsidR="006659DC" w:rsidRPr="008E5BC0">
              <w:rPr>
                <w:rFonts w:ascii="Arial Narrow" w:eastAsia="NeueHaasGroteskText W02" w:hAnsi="Arial Narrow" w:cs="Arial"/>
                <w:b/>
                <w:bCs/>
                <w:color w:val="000000" w:themeColor="text1"/>
                <w:szCs w:val="18"/>
                <w:u w:color="2C9ADC"/>
              </w:rPr>
              <w:t xml:space="preserve">: Očakávaný vplyv </w:t>
            </w:r>
            <w:proofErr w:type="spellStart"/>
            <w:r w:rsidR="006659DC" w:rsidRPr="008E5BC0">
              <w:rPr>
                <w:rFonts w:ascii="Arial Narrow" w:eastAsia="NeueHaasGroteskText W02" w:hAnsi="Arial Narrow" w:cs="Arial"/>
                <w:b/>
                <w:bCs/>
                <w:color w:val="000000" w:themeColor="text1"/>
                <w:szCs w:val="18"/>
                <w:u w:color="2C9ADC"/>
              </w:rPr>
              <w:t>Brexitu</w:t>
            </w:r>
            <w:proofErr w:type="spellEnd"/>
            <w:r w:rsidR="006659DC" w:rsidRPr="008E5BC0">
              <w:rPr>
                <w:rFonts w:ascii="Arial Narrow" w:eastAsia="NeueHaasGroteskText W02" w:hAnsi="Arial Narrow" w:cs="Arial"/>
                <w:b/>
                <w:bCs/>
                <w:color w:val="000000" w:themeColor="text1"/>
                <w:szCs w:val="18"/>
                <w:u w:color="2C9ADC"/>
              </w:rPr>
              <w:t xml:space="preserve"> na slovenskú ekonomiku</w:t>
            </w:r>
          </w:p>
          <w:p w14:paraId="28779944" w14:textId="22756E8A" w:rsidR="006659DC" w:rsidRPr="008E5BC0" w:rsidRDefault="006659DC" w:rsidP="002E4E13">
            <w:pPr>
              <w:widowControl w:val="0"/>
              <w:tabs>
                <w:tab w:val="right" w:pos="9531"/>
              </w:tabs>
              <w:spacing w:after="0" w:line="240" w:lineRule="auto"/>
              <w:ind w:right="34"/>
              <w:jc w:val="both"/>
              <w:rPr>
                <w:rFonts w:ascii="Arial Narrow" w:eastAsia="NeueHaasGroteskText W02" w:hAnsi="Arial Narrow" w:cs="Arial"/>
                <w:szCs w:val="20"/>
              </w:rPr>
            </w:pPr>
            <w:r w:rsidRPr="008E5BC0">
              <w:rPr>
                <w:rFonts w:ascii="Arial Narrow" w:eastAsia="NeueHaasGroteskText W02" w:hAnsi="Arial Narrow" w:cs="Arial"/>
                <w:b/>
                <w:szCs w:val="20"/>
              </w:rPr>
              <w:t xml:space="preserve">Tvrdý </w:t>
            </w:r>
            <w:proofErr w:type="spellStart"/>
            <w:r w:rsidRPr="008E5BC0">
              <w:rPr>
                <w:rFonts w:ascii="Arial Narrow" w:eastAsia="NeueHaasGroteskText W02" w:hAnsi="Arial Narrow" w:cs="Arial"/>
                <w:b/>
                <w:szCs w:val="20"/>
              </w:rPr>
              <w:t>Brexit</w:t>
            </w:r>
            <w:proofErr w:type="spellEnd"/>
            <w:r w:rsidRPr="008E5BC0">
              <w:rPr>
                <w:rFonts w:ascii="Arial Narrow" w:eastAsia="NeueHaasGroteskText W02" w:hAnsi="Arial Narrow" w:cs="Arial"/>
                <w:b/>
                <w:szCs w:val="20"/>
              </w:rPr>
              <w:t xml:space="preserve"> spomalí slovenskú ekonomiku, podľa odhadu IFP, v dlhom horizonte o 0,7 až 1,4 % HDP.</w:t>
            </w:r>
            <w:r w:rsidRPr="008E5BC0">
              <w:rPr>
                <w:rFonts w:ascii="Arial Narrow" w:eastAsia="NeueHaasGroteskText W02" w:hAnsi="Arial Narrow" w:cs="Arial"/>
                <w:szCs w:val="20"/>
              </w:rPr>
              <w:t xml:space="preserve"> V prípade tzv. mäkkého </w:t>
            </w:r>
            <w:proofErr w:type="spellStart"/>
            <w:r w:rsidRPr="008E5BC0">
              <w:rPr>
                <w:rFonts w:ascii="Arial Narrow" w:eastAsia="NeueHaasGroteskText W02" w:hAnsi="Arial Narrow" w:cs="Arial"/>
                <w:szCs w:val="20"/>
              </w:rPr>
              <w:t>Brexitu</w:t>
            </w:r>
            <w:proofErr w:type="spellEnd"/>
            <w:r w:rsidRPr="008E5BC0">
              <w:rPr>
                <w:rFonts w:ascii="Arial Narrow" w:eastAsia="NeueHaasGroteskText W02" w:hAnsi="Arial Narrow" w:cs="Arial"/>
                <w:szCs w:val="20"/>
              </w:rPr>
              <w:t xml:space="preserve"> možno očakávať negatívne efekty vo výške 0,4 až 0,9 % HDP. Ide o kumulatívne vplyvy v dlhšom časovom horizonte, ktoré vychádzajú z priamych i nepriamych obchodných väzieb. Tento odhad neuvažuje s negatívnymi vplyvmi zaznamenanými už v  rokoch 2016 až 2018 v reakcii na výsledky hlasovania v referende.  Hoci Slovensko je malá otvorená ekonomika s vyššou </w:t>
            </w:r>
            <w:proofErr w:type="spellStart"/>
            <w:r w:rsidRPr="008E5BC0">
              <w:rPr>
                <w:rFonts w:ascii="Arial Narrow" w:eastAsia="NeueHaasGroteskText W02" w:hAnsi="Arial Narrow" w:cs="Arial"/>
                <w:szCs w:val="20"/>
              </w:rPr>
              <w:t>volatilitou</w:t>
            </w:r>
            <w:proofErr w:type="spellEnd"/>
            <w:r w:rsidR="00BA04BC">
              <w:rPr>
                <w:rFonts w:ascii="Arial Narrow" w:eastAsia="NeueHaasGroteskText W02" w:hAnsi="Arial Narrow" w:cs="Arial"/>
                <w:szCs w:val="20"/>
              </w:rPr>
              <w:t xml:space="preserve"> HDP, ekonomická previazanosť s </w:t>
            </w:r>
            <w:r w:rsidRPr="008E5BC0">
              <w:rPr>
                <w:rFonts w:ascii="Arial Narrow" w:eastAsia="NeueHaasGroteskText W02" w:hAnsi="Arial Narrow" w:cs="Arial"/>
                <w:szCs w:val="20"/>
              </w:rPr>
              <w:t xml:space="preserve">Veľkou Britániou je relatívne nízka v dôsledku vyššej vzájomnej fyzickej vzdialenosti krajín. Ekonomika spomalí najmä kvôli poklesu priamych exportov zo Slovenska do </w:t>
            </w:r>
            <w:r w:rsidR="00BA04BC">
              <w:rPr>
                <w:rFonts w:ascii="Arial Narrow" w:eastAsia="NeueHaasGroteskText W02" w:hAnsi="Arial Narrow" w:cs="Arial"/>
                <w:szCs w:val="20"/>
              </w:rPr>
              <w:t xml:space="preserve">Veľkej </w:t>
            </w:r>
            <w:r w:rsidRPr="008E5BC0">
              <w:rPr>
                <w:rFonts w:ascii="Arial Narrow" w:eastAsia="NeueHaasGroteskText W02" w:hAnsi="Arial Narrow" w:cs="Arial"/>
                <w:szCs w:val="20"/>
              </w:rPr>
              <w:t xml:space="preserve">Británie, relatívne malý príspevok predstavujú nepriame exporty cez našich obchodných partnerov a výpadok produkcie </w:t>
            </w:r>
            <w:r w:rsidR="00BA04BC">
              <w:rPr>
                <w:rFonts w:ascii="Arial Narrow" w:eastAsia="NeueHaasGroteskText W02" w:hAnsi="Arial Narrow" w:cs="Arial"/>
                <w:szCs w:val="20"/>
              </w:rPr>
              <w:t>JLR</w:t>
            </w:r>
            <w:r w:rsidRPr="008E5BC0">
              <w:rPr>
                <w:rStyle w:val="Odkaznapoznmkupodiarou"/>
                <w:rFonts w:ascii="Arial Narrow" w:eastAsia="NeueHaasGroteskText W02" w:hAnsi="Arial Narrow" w:cs="Arial"/>
                <w:szCs w:val="20"/>
              </w:rPr>
              <w:footnoteReference w:id="46"/>
            </w:r>
            <w:r w:rsidRPr="008E5BC0">
              <w:rPr>
                <w:rFonts w:ascii="Arial Narrow" w:eastAsia="NeueHaasGroteskText W02" w:hAnsi="Arial Narrow" w:cs="Arial"/>
                <w:szCs w:val="20"/>
              </w:rPr>
              <w:t xml:space="preserve">.  </w:t>
            </w:r>
          </w:p>
          <w:p w14:paraId="0F3F9B93" w14:textId="77777777" w:rsidR="006659DC" w:rsidRPr="008E5BC0" w:rsidRDefault="006659DC" w:rsidP="002E4E13">
            <w:pPr>
              <w:widowControl w:val="0"/>
              <w:tabs>
                <w:tab w:val="right" w:pos="9531"/>
              </w:tabs>
              <w:spacing w:after="0" w:line="240" w:lineRule="auto"/>
              <w:ind w:right="34"/>
              <w:jc w:val="both"/>
              <w:rPr>
                <w:rFonts w:ascii="Arial Narrow" w:eastAsia="NeueHaasGroteskText W02" w:hAnsi="Arial Narrow" w:cs="Arial"/>
                <w:szCs w:val="20"/>
              </w:rPr>
            </w:pPr>
            <w:r w:rsidRPr="008E5BC0">
              <w:rPr>
                <w:rFonts w:ascii="Arial Narrow" w:eastAsia="NeueHaasGroteskText W02" w:hAnsi="Arial Narrow" w:cs="Arial"/>
                <w:szCs w:val="20"/>
              </w:rPr>
              <w:t xml:space="preserve">  </w:t>
            </w:r>
          </w:p>
          <w:p w14:paraId="16401006" w14:textId="77777777" w:rsidR="006659DC" w:rsidRPr="008E5BC0" w:rsidRDefault="006659DC" w:rsidP="002E4E13">
            <w:pPr>
              <w:widowControl w:val="0"/>
              <w:tabs>
                <w:tab w:val="right" w:pos="9531"/>
              </w:tabs>
              <w:spacing w:after="0" w:line="240" w:lineRule="auto"/>
              <w:ind w:right="34"/>
              <w:jc w:val="both"/>
              <w:rPr>
                <w:rFonts w:ascii="Arial Narrow" w:eastAsia="NeueHaasGroteskText W02" w:hAnsi="Arial Narrow" w:cs="Arial"/>
                <w:szCs w:val="20"/>
              </w:rPr>
            </w:pPr>
            <w:r w:rsidRPr="008E5BC0">
              <w:rPr>
                <w:rFonts w:ascii="Arial Narrow" w:eastAsia="NeueHaasGroteskText W02" w:hAnsi="Arial Narrow" w:cs="Arial"/>
                <w:b/>
                <w:szCs w:val="20"/>
              </w:rPr>
              <w:t xml:space="preserve">Odhady medzinárodných inštitúcií predpovedajú v prípade tvrdého </w:t>
            </w:r>
            <w:proofErr w:type="spellStart"/>
            <w:r w:rsidRPr="008E5BC0">
              <w:rPr>
                <w:rFonts w:ascii="Arial Narrow" w:eastAsia="NeueHaasGroteskText W02" w:hAnsi="Arial Narrow" w:cs="Arial"/>
                <w:b/>
                <w:szCs w:val="20"/>
              </w:rPr>
              <w:t>Brexitu</w:t>
            </w:r>
            <w:proofErr w:type="spellEnd"/>
            <w:r w:rsidRPr="008E5BC0">
              <w:rPr>
                <w:rFonts w:ascii="Arial Narrow" w:eastAsia="NeueHaasGroteskText W02" w:hAnsi="Arial Narrow" w:cs="Arial"/>
                <w:b/>
                <w:szCs w:val="20"/>
              </w:rPr>
              <w:t xml:space="preserve"> pokles hospodárskeho výkonu Slovenska v rozmedzí 0,3 až 1,9 % HDP a  v prípade mäkkého </w:t>
            </w:r>
            <w:proofErr w:type="spellStart"/>
            <w:r w:rsidRPr="008E5BC0">
              <w:rPr>
                <w:rFonts w:ascii="Arial Narrow" w:eastAsia="NeueHaasGroteskText W02" w:hAnsi="Arial Narrow" w:cs="Arial"/>
                <w:b/>
                <w:szCs w:val="20"/>
              </w:rPr>
              <w:t>Brexitu</w:t>
            </w:r>
            <w:proofErr w:type="spellEnd"/>
            <w:r w:rsidRPr="008E5BC0">
              <w:rPr>
                <w:rFonts w:ascii="Arial Narrow" w:eastAsia="NeueHaasGroteskText W02" w:hAnsi="Arial Narrow" w:cs="Arial"/>
                <w:b/>
                <w:szCs w:val="20"/>
              </w:rPr>
              <w:t xml:space="preserve"> od 0,1 do 0,6 % HDP.</w:t>
            </w:r>
            <w:r w:rsidRPr="008E5BC0">
              <w:rPr>
                <w:rFonts w:ascii="Arial Narrow" w:eastAsia="NeueHaasGroteskText W02" w:hAnsi="Arial Narrow" w:cs="Arial"/>
                <w:szCs w:val="20"/>
              </w:rPr>
              <w:t xml:space="preserve"> Veľká neistota ohľadom odhadov je výsledkom predovšetkým rôznych odhadov importných elasticít (</w:t>
            </w:r>
            <w:r w:rsidRPr="008E5BC0">
              <w:rPr>
                <w:rFonts w:ascii="Arial Narrow" w:hAnsi="Arial Narrow" w:cs="Arial"/>
              </w:rPr>
              <w:t>ε</w:t>
            </w:r>
            <w:r w:rsidRPr="008E5BC0">
              <w:rPr>
                <w:rFonts w:ascii="Arial Narrow" w:eastAsia="NeueHaasGroteskText W02" w:hAnsi="Arial Narrow" w:cs="Arial"/>
                <w:szCs w:val="20"/>
              </w:rPr>
              <w:t xml:space="preserve">) v reakcii na zmenu colných sadzieb, na výške ktorých nie je v odbornej literatúre konsenzus. Zdrojom veľkej variability odhadov je aj použitie rôznych modelov a predpokladov ohľadom reakcie Britskej libry a nepredvídateľnej reakcie </w:t>
            </w:r>
            <w:proofErr w:type="spellStart"/>
            <w:r w:rsidRPr="008E5BC0">
              <w:rPr>
                <w:rFonts w:ascii="Arial Narrow" w:eastAsia="NeueHaasGroteskText W02" w:hAnsi="Arial Narrow" w:cs="Arial"/>
                <w:szCs w:val="20"/>
              </w:rPr>
              <w:t>sentimentu</w:t>
            </w:r>
            <w:proofErr w:type="spellEnd"/>
            <w:r w:rsidRPr="008E5BC0">
              <w:rPr>
                <w:rFonts w:ascii="Arial Narrow" w:eastAsia="NeueHaasGroteskText W02" w:hAnsi="Arial Narrow" w:cs="Arial"/>
                <w:szCs w:val="20"/>
              </w:rPr>
              <w:t xml:space="preserve"> na trhoch. </w:t>
            </w:r>
          </w:p>
          <w:p w14:paraId="32B383CE" w14:textId="77777777" w:rsidR="006659DC" w:rsidRPr="008E5BC0" w:rsidRDefault="006659DC" w:rsidP="002E4E13">
            <w:pPr>
              <w:widowControl w:val="0"/>
              <w:tabs>
                <w:tab w:val="right" w:pos="9531"/>
              </w:tabs>
              <w:spacing w:after="0" w:line="240" w:lineRule="auto"/>
              <w:ind w:right="34"/>
              <w:jc w:val="both"/>
              <w:rPr>
                <w:rFonts w:ascii="Arial Narrow" w:eastAsia="NeueHaasGroteskText W02" w:hAnsi="Arial Narrow" w:cs="Arial"/>
                <w:szCs w:val="20"/>
              </w:rPr>
            </w:pPr>
          </w:p>
          <w:p w14:paraId="0D4B325E" w14:textId="1E1946C1" w:rsidR="006659DC" w:rsidRPr="00E32F06" w:rsidRDefault="006659DC" w:rsidP="002E4E13">
            <w:pPr>
              <w:widowControl w:val="0"/>
              <w:tabs>
                <w:tab w:val="right" w:pos="9531"/>
              </w:tabs>
              <w:spacing w:after="0" w:line="240" w:lineRule="auto"/>
              <w:ind w:right="34"/>
              <w:jc w:val="both"/>
              <w:rPr>
                <w:rFonts w:ascii="Arial Narrow" w:eastAsia="NeueHaasGroteskText W02" w:hAnsi="Arial Narrow" w:cs="Arial"/>
                <w:szCs w:val="20"/>
              </w:rPr>
            </w:pPr>
            <w:r w:rsidRPr="008E5BC0">
              <w:rPr>
                <w:rFonts w:ascii="Arial Narrow" w:eastAsia="NeueHaasGroteskText W02" w:hAnsi="Arial Narrow" w:cs="Arial"/>
                <w:szCs w:val="20"/>
              </w:rPr>
              <w:t xml:space="preserve">Ekonomika celej eurozóny by bola podľa odbornej literatúry zasiahnutá tvrdým </w:t>
            </w:r>
            <w:proofErr w:type="spellStart"/>
            <w:r w:rsidRPr="008E5BC0">
              <w:rPr>
                <w:rFonts w:ascii="Arial Narrow" w:eastAsia="NeueHaasGroteskText W02" w:hAnsi="Arial Narrow" w:cs="Arial"/>
                <w:szCs w:val="20"/>
              </w:rPr>
              <w:t>Brexitom</w:t>
            </w:r>
            <w:proofErr w:type="spellEnd"/>
            <w:r w:rsidRPr="008E5BC0">
              <w:rPr>
                <w:rFonts w:ascii="Arial Narrow" w:eastAsia="NeueHaasGroteskText W02" w:hAnsi="Arial Narrow" w:cs="Arial"/>
                <w:szCs w:val="20"/>
              </w:rPr>
              <w:t xml:space="preserve"> vo výške 0,3 až 1,5 % HDP (IMF 2018), čo je podobný </w:t>
            </w:r>
            <w:r w:rsidR="00E32F06">
              <w:rPr>
                <w:rFonts w:ascii="Arial Narrow" w:eastAsia="NeueHaasGroteskText W02" w:hAnsi="Arial Narrow" w:cs="Arial"/>
                <w:szCs w:val="20"/>
              </w:rPr>
              <w:t>rozsah ako v prípade Slovenska.</w:t>
            </w:r>
          </w:p>
          <w:p w14:paraId="2B721FFF" w14:textId="77777777" w:rsidR="00B603F6" w:rsidRDefault="00B603F6" w:rsidP="002E4E13">
            <w:pPr>
              <w:widowControl w:val="0"/>
              <w:tabs>
                <w:tab w:val="right" w:pos="9531"/>
              </w:tabs>
              <w:spacing w:after="0" w:line="240" w:lineRule="auto"/>
              <w:ind w:right="34"/>
              <w:jc w:val="both"/>
              <w:rPr>
                <w:rFonts w:ascii="Arial Narrow" w:eastAsia="NeueHaasGroteskText W02" w:hAnsi="Arial Narrow" w:cs="Arial"/>
                <w:sz w:val="20"/>
                <w:szCs w:val="20"/>
              </w:rPr>
            </w:pPr>
          </w:p>
          <w:tbl>
            <w:tblPr>
              <w:tblW w:w="8501" w:type="dxa"/>
              <w:jc w:val="center"/>
              <w:tblLayout w:type="fixed"/>
              <w:tblLook w:val="04A0" w:firstRow="1" w:lastRow="0" w:firstColumn="1" w:lastColumn="0" w:noHBand="0" w:noVBand="1"/>
            </w:tblPr>
            <w:tblGrid>
              <w:gridCol w:w="3372"/>
              <w:gridCol w:w="1264"/>
              <w:gridCol w:w="1265"/>
              <w:gridCol w:w="1264"/>
              <w:gridCol w:w="1336"/>
            </w:tblGrid>
            <w:tr w:rsidR="00B603F6" w:rsidRPr="00B603F6" w14:paraId="42753C02" w14:textId="77777777" w:rsidTr="00E32F06">
              <w:trPr>
                <w:trHeight w:val="238"/>
                <w:jc w:val="center"/>
              </w:trPr>
              <w:tc>
                <w:tcPr>
                  <w:tcW w:w="8501" w:type="dxa"/>
                  <w:gridSpan w:val="5"/>
                  <w:tcBorders>
                    <w:left w:val="nil"/>
                    <w:bottom w:val="single" w:sz="4" w:space="0" w:color="auto"/>
                    <w:right w:val="nil"/>
                  </w:tcBorders>
                  <w:shd w:val="clear" w:color="auto" w:fill="auto"/>
                  <w:noWrap/>
                  <w:vAlign w:val="center"/>
                </w:tcPr>
                <w:p w14:paraId="39746C8D" w14:textId="3ACFB9DF" w:rsidR="00B603F6" w:rsidRPr="00B603F6" w:rsidRDefault="00B603F6" w:rsidP="005952C3">
                  <w:pPr>
                    <w:framePr w:hSpace="142" w:wrap="around" w:vAnchor="text" w:hAnchor="margin" w:xAlign="center" w:y="1"/>
                    <w:spacing w:after="0" w:line="240" w:lineRule="auto"/>
                    <w:suppressOverlap/>
                    <w:rPr>
                      <w:rFonts w:ascii="Arial Narrow" w:hAnsi="Arial Narrow" w:cs="Arial"/>
                      <w:color w:val="000000" w:themeColor="text1"/>
                      <w:sz w:val="20"/>
                      <w:szCs w:val="20"/>
                      <w:lang w:eastAsia="en-GB"/>
                    </w:rPr>
                  </w:pPr>
                  <w:r w:rsidRPr="00B603F6">
                    <w:rPr>
                      <w:rFonts w:ascii="Arial Narrow" w:eastAsia="NeueHaasGroteskText W02" w:hAnsi="Arial Narrow" w:cs="Arial"/>
                      <w:b/>
                      <w:bCs/>
                      <w:color w:val="000000" w:themeColor="text1"/>
                      <w:sz w:val="20"/>
                      <w:szCs w:val="18"/>
                      <w:u w:color="2C9ADC"/>
                    </w:rPr>
                    <w:t xml:space="preserve">Vplyv </w:t>
                  </w:r>
                  <w:proofErr w:type="spellStart"/>
                  <w:r w:rsidRPr="00B603F6">
                    <w:rPr>
                      <w:rFonts w:ascii="Arial Narrow" w:eastAsia="NeueHaasGroteskText W02" w:hAnsi="Arial Narrow" w:cs="Arial"/>
                      <w:b/>
                      <w:bCs/>
                      <w:color w:val="000000" w:themeColor="text1"/>
                      <w:sz w:val="20"/>
                      <w:szCs w:val="18"/>
                      <w:u w:color="2C9ADC"/>
                    </w:rPr>
                    <w:t>Brexitu</w:t>
                  </w:r>
                  <w:proofErr w:type="spellEnd"/>
                  <w:r w:rsidRPr="00B603F6">
                    <w:rPr>
                      <w:rFonts w:ascii="Arial Narrow" w:eastAsia="NeueHaasGroteskText W02" w:hAnsi="Arial Narrow" w:cs="Arial"/>
                      <w:b/>
                      <w:bCs/>
                      <w:color w:val="000000" w:themeColor="text1"/>
                      <w:sz w:val="20"/>
                      <w:szCs w:val="18"/>
                      <w:u w:color="2C9ADC"/>
                    </w:rPr>
                    <w:t xml:space="preserve"> na ekonomiku Slovenska (v % HDP)</w:t>
                  </w:r>
                </w:p>
              </w:tc>
            </w:tr>
            <w:tr w:rsidR="00E32F06" w:rsidRPr="00B603F6" w14:paraId="003CB465" w14:textId="77777777" w:rsidTr="00E32F06">
              <w:trPr>
                <w:trHeight w:val="402"/>
                <w:jc w:val="center"/>
              </w:trPr>
              <w:tc>
                <w:tcPr>
                  <w:tcW w:w="3372" w:type="dxa"/>
                  <w:tcBorders>
                    <w:top w:val="single" w:sz="4" w:space="0" w:color="auto"/>
                    <w:left w:val="nil"/>
                    <w:bottom w:val="single" w:sz="4" w:space="0" w:color="auto"/>
                    <w:right w:val="nil"/>
                  </w:tcBorders>
                  <w:shd w:val="clear" w:color="auto" w:fill="auto"/>
                  <w:noWrap/>
                  <w:vAlign w:val="center"/>
                  <w:hideMark/>
                </w:tcPr>
                <w:p w14:paraId="777D0D44" w14:textId="77777777" w:rsidR="00B603F6" w:rsidRPr="00B603F6" w:rsidRDefault="00B603F6" w:rsidP="005952C3">
                  <w:pPr>
                    <w:framePr w:hSpace="142" w:wrap="around" w:vAnchor="text" w:hAnchor="margin" w:xAlign="center" w:y="1"/>
                    <w:spacing w:after="0" w:line="240" w:lineRule="auto"/>
                    <w:suppressOverlap/>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 </w:t>
                  </w:r>
                </w:p>
              </w:tc>
              <w:tc>
                <w:tcPr>
                  <w:tcW w:w="2529" w:type="dxa"/>
                  <w:gridSpan w:val="2"/>
                  <w:tcBorders>
                    <w:top w:val="single" w:sz="4" w:space="0" w:color="auto"/>
                    <w:left w:val="nil"/>
                    <w:bottom w:val="single" w:sz="4" w:space="0" w:color="auto"/>
                    <w:right w:val="nil"/>
                  </w:tcBorders>
                  <w:shd w:val="clear" w:color="auto" w:fill="auto"/>
                  <w:vAlign w:val="center"/>
                  <w:hideMark/>
                </w:tcPr>
                <w:p w14:paraId="1372D920"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 xml:space="preserve">Tvrdý </w:t>
                  </w:r>
                  <w:proofErr w:type="spellStart"/>
                  <w:r w:rsidRPr="00B603F6">
                    <w:rPr>
                      <w:rFonts w:ascii="Arial Narrow" w:hAnsi="Arial Narrow" w:cs="Arial"/>
                      <w:color w:val="000000"/>
                      <w:sz w:val="20"/>
                      <w:szCs w:val="20"/>
                      <w:lang w:eastAsia="en-GB"/>
                    </w:rPr>
                    <w:t>Brexit</w:t>
                  </w:r>
                  <w:proofErr w:type="spellEnd"/>
                  <w:r w:rsidRPr="00B603F6">
                    <w:rPr>
                      <w:rFonts w:ascii="Arial Narrow" w:hAnsi="Arial Narrow" w:cs="Arial"/>
                      <w:color w:val="000000"/>
                      <w:sz w:val="20"/>
                      <w:szCs w:val="20"/>
                      <w:lang w:eastAsia="en-GB"/>
                    </w:rPr>
                    <w:t xml:space="preserve"> (pravidlá WTO)</w:t>
                  </w:r>
                </w:p>
              </w:tc>
              <w:tc>
                <w:tcPr>
                  <w:tcW w:w="2599" w:type="dxa"/>
                  <w:gridSpan w:val="2"/>
                  <w:tcBorders>
                    <w:top w:val="single" w:sz="4" w:space="0" w:color="auto"/>
                    <w:left w:val="nil"/>
                    <w:bottom w:val="single" w:sz="4" w:space="0" w:color="auto"/>
                    <w:right w:val="nil"/>
                  </w:tcBorders>
                  <w:shd w:val="clear" w:color="auto" w:fill="auto"/>
                  <w:vAlign w:val="center"/>
                  <w:hideMark/>
                </w:tcPr>
                <w:p w14:paraId="380057FF"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 xml:space="preserve">Mäkký </w:t>
                  </w:r>
                  <w:proofErr w:type="spellStart"/>
                  <w:r w:rsidRPr="00B603F6">
                    <w:rPr>
                      <w:rFonts w:ascii="Arial Narrow" w:hAnsi="Arial Narrow" w:cs="Arial"/>
                      <w:color w:val="000000"/>
                      <w:sz w:val="20"/>
                      <w:szCs w:val="20"/>
                      <w:lang w:eastAsia="en-GB"/>
                    </w:rPr>
                    <w:t>Brexit</w:t>
                  </w:r>
                  <w:proofErr w:type="spellEnd"/>
                  <w:r w:rsidRPr="00B603F6">
                    <w:rPr>
                      <w:rFonts w:ascii="Arial Narrow" w:hAnsi="Arial Narrow" w:cs="Arial"/>
                      <w:color w:val="000000"/>
                      <w:sz w:val="20"/>
                      <w:szCs w:val="20"/>
                      <w:lang w:eastAsia="en-GB"/>
                    </w:rPr>
                    <w:t xml:space="preserve"> (zóna voľného obchodu)</w:t>
                  </w:r>
                </w:p>
              </w:tc>
            </w:tr>
            <w:tr w:rsidR="00E32F06" w:rsidRPr="00B603F6" w14:paraId="7B56608B" w14:textId="77777777" w:rsidTr="00E32F06">
              <w:trPr>
                <w:trHeight w:val="235"/>
                <w:jc w:val="center"/>
              </w:trPr>
              <w:tc>
                <w:tcPr>
                  <w:tcW w:w="3372" w:type="dxa"/>
                  <w:tcBorders>
                    <w:top w:val="nil"/>
                    <w:left w:val="nil"/>
                    <w:bottom w:val="nil"/>
                    <w:right w:val="nil"/>
                  </w:tcBorders>
                  <w:shd w:val="clear" w:color="auto" w:fill="auto"/>
                  <w:noWrap/>
                  <w:vAlign w:val="center"/>
                  <w:hideMark/>
                </w:tcPr>
                <w:p w14:paraId="33E1499A"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p>
              </w:tc>
              <w:tc>
                <w:tcPr>
                  <w:tcW w:w="1264" w:type="dxa"/>
                  <w:tcBorders>
                    <w:top w:val="nil"/>
                    <w:left w:val="nil"/>
                    <w:bottom w:val="nil"/>
                    <w:right w:val="nil"/>
                  </w:tcBorders>
                  <w:shd w:val="clear" w:color="auto" w:fill="auto"/>
                  <w:vAlign w:val="center"/>
                  <w:hideMark/>
                </w:tcPr>
                <w:p w14:paraId="64D17AA7"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 xml:space="preserve">    ε = 2,3</w:t>
                  </w:r>
                </w:p>
              </w:tc>
              <w:tc>
                <w:tcPr>
                  <w:tcW w:w="1264" w:type="dxa"/>
                  <w:tcBorders>
                    <w:top w:val="nil"/>
                    <w:left w:val="nil"/>
                    <w:bottom w:val="nil"/>
                    <w:right w:val="nil"/>
                  </w:tcBorders>
                  <w:shd w:val="clear" w:color="auto" w:fill="auto"/>
                  <w:vAlign w:val="center"/>
                  <w:hideMark/>
                </w:tcPr>
                <w:p w14:paraId="535B3B7F"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ε = 5</w:t>
                  </w:r>
                </w:p>
              </w:tc>
              <w:tc>
                <w:tcPr>
                  <w:tcW w:w="1264" w:type="dxa"/>
                  <w:tcBorders>
                    <w:top w:val="nil"/>
                    <w:left w:val="nil"/>
                    <w:bottom w:val="nil"/>
                    <w:right w:val="nil"/>
                  </w:tcBorders>
                  <w:shd w:val="clear" w:color="auto" w:fill="auto"/>
                  <w:vAlign w:val="center"/>
                  <w:hideMark/>
                </w:tcPr>
                <w:p w14:paraId="6E066760"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ε = 2,3</w:t>
                  </w:r>
                </w:p>
              </w:tc>
              <w:tc>
                <w:tcPr>
                  <w:tcW w:w="1334" w:type="dxa"/>
                  <w:tcBorders>
                    <w:top w:val="nil"/>
                    <w:left w:val="nil"/>
                    <w:bottom w:val="nil"/>
                    <w:right w:val="nil"/>
                  </w:tcBorders>
                  <w:shd w:val="clear" w:color="auto" w:fill="auto"/>
                  <w:vAlign w:val="center"/>
                  <w:hideMark/>
                </w:tcPr>
                <w:p w14:paraId="06B8D1D4"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ε = 5</w:t>
                  </w:r>
                </w:p>
              </w:tc>
            </w:tr>
            <w:tr w:rsidR="00E32F06" w:rsidRPr="00B603F6" w14:paraId="50D8A73A" w14:textId="77777777" w:rsidTr="00E32F06">
              <w:trPr>
                <w:trHeight w:val="235"/>
                <w:jc w:val="center"/>
              </w:trPr>
              <w:tc>
                <w:tcPr>
                  <w:tcW w:w="3372" w:type="dxa"/>
                  <w:tcBorders>
                    <w:top w:val="nil"/>
                    <w:left w:val="nil"/>
                    <w:bottom w:val="nil"/>
                    <w:right w:val="nil"/>
                  </w:tcBorders>
                  <w:shd w:val="clear" w:color="auto" w:fill="auto"/>
                  <w:noWrap/>
                  <w:vAlign w:val="center"/>
                  <w:hideMark/>
                </w:tcPr>
                <w:p w14:paraId="3BC2ACFB" w14:textId="77777777" w:rsidR="00B603F6" w:rsidRPr="00B603F6" w:rsidRDefault="00B603F6" w:rsidP="005952C3">
                  <w:pPr>
                    <w:framePr w:hSpace="142" w:wrap="around" w:vAnchor="text" w:hAnchor="margin" w:xAlign="center" w:y="1"/>
                    <w:spacing w:after="0" w:line="240" w:lineRule="auto"/>
                    <w:suppressOverlap/>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 xml:space="preserve">Priame export </w:t>
                  </w:r>
                </w:p>
              </w:tc>
              <w:tc>
                <w:tcPr>
                  <w:tcW w:w="1264" w:type="dxa"/>
                  <w:tcBorders>
                    <w:top w:val="nil"/>
                    <w:left w:val="nil"/>
                    <w:bottom w:val="nil"/>
                    <w:right w:val="nil"/>
                  </w:tcBorders>
                  <w:shd w:val="clear" w:color="auto" w:fill="auto"/>
                  <w:noWrap/>
                  <w:vAlign w:val="center"/>
                  <w:hideMark/>
                </w:tcPr>
                <w:p w14:paraId="3672F605"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0,56</w:t>
                  </w:r>
                </w:p>
              </w:tc>
              <w:tc>
                <w:tcPr>
                  <w:tcW w:w="1264" w:type="dxa"/>
                  <w:tcBorders>
                    <w:top w:val="nil"/>
                    <w:left w:val="nil"/>
                    <w:bottom w:val="nil"/>
                    <w:right w:val="nil"/>
                  </w:tcBorders>
                  <w:shd w:val="clear" w:color="auto" w:fill="auto"/>
                  <w:noWrap/>
                  <w:vAlign w:val="center"/>
                  <w:hideMark/>
                </w:tcPr>
                <w:p w14:paraId="7354F9AD"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1,21</w:t>
                  </w:r>
                </w:p>
              </w:tc>
              <w:tc>
                <w:tcPr>
                  <w:tcW w:w="1264" w:type="dxa"/>
                  <w:tcBorders>
                    <w:top w:val="nil"/>
                    <w:left w:val="nil"/>
                    <w:bottom w:val="nil"/>
                    <w:right w:val="nil"/>
                  </w:tcBorders>
                  <w:shd w:val="clear" w:color="auto" w:fill="auto"/>
                  <w:noWrap/>
                  <w:vAlign w:val="center"/>
                  <w:hideMark/>
                </w:tcPr>
                <w:p w14:paraId="1DFB5637"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0,34</w:t>
                  </w:r>
                </w:p>
              </w:tc>
              <w:tc>
                <w:tcPr>
                  <w:tcW w:w="1334" w:type="dxa"/>
                  <w:tcBorders>
                    <w:top w:val="nil"/>
                    <w:left w:val="nil"/>
                    <w:bottom w:val="nil"/>
                    <w:right w:val="nil"/>
                  </w:tcBorders>
                  <w:shd w:val="clear" w:color="auto" w:fill="auto"/>
                  <w:noWrap/>
                  <w:vAlign w:val="center"/>
                  <w:hideMark/>
                </w:tcPr>
                <w:p w14:paraId="4E2732E7"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0,74</w:t>
                  </w:r>
                </w:p>
              </w:tc>
            </w:tr>
            <w:tr w:rsidR="00E32F06" w:rsidRPr="00B603F6" w14:paraId="4F1D3F8A" w14:textId="77777777" w:rsidTr="00E32F06">
              <w:trPr>
                <w:trHeight w:val="235"/>
                <w:jc w:val="center"/>
              </w:trPr>
              <w:tc>
                <w:tcPr>
                  <w:tcW w:w="3372" w:type="dxa"/>
                  <w:tcBorders>
                    <w:top w:val="nil"/>
                    <w:left w:val="nil"/>
                    <w:bottom w:val="nil"/>
                    <w:right w:val="nil"/>
                  </w:tcBorders>
                  <w:shd w:val="clear" w:color="auto" w:fill="auto"/>
                  <w:noWrap/>
                  <w:vAlign w:val="center"/>
                  <w:hideMark/>
                </w:tcPr>
                <w:p w14:paraId="229437B6" w14:textId="77777777" w:rsidR="00B603F6" w:rsidRPr="00B603F6" w:rsidRDefault="00B603F6" w:rsidP="005952C3">
                  <w:pPr>
                    <w:framePr w:hSpace="142" w:wrap="around" w:vAnchor="text" w:hAnchor="margin" w:xAlign="center" w:y="1"/>
                    <w:spacing w:after="0" w:line="240" w:lineRule="auto"/>
                    <w:suppressOverlap/>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Nepriame exporty</w:t>
                  </w:r>
                </w:p>
              </w:tc>
              <w:tc>
                <w:tcPr>
                  <w:tcW w:w="1264" w:type="dxa"/>
                  <w:tcBorders>
                    <w:top w:val="nil"/>
                    <w:left w:val="nil"/>
                    <w:bottom w:val="nil"/>
                    <w:right w:val="nil"/>
                  </w:tcBorders>
                  <w:shd w:val="clear" w:color="auto" w:fill="auto"/>
                  <w:noWrap/>
                  <w:vAlign w:val="center"/>
                  <w:hideMark/>
                </w:tcPr>
                <w:p w14:paraId="2B29FA37"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0,04</w:t>
                  </w:r>
                </w:p>
              </w:tc>
              <w:tc>
                <w:tcPr>
                  <w:tcW w:w="1264" w:type="dxa"/>
                  <w:tcBorders>
                    <w:top w:val="nil"/>
                    <w:left w:val="nil"/>
                    <w:bottom w:val="nil"/>
                    <w:right w:val="nil"/>
                  </w:tcBorders>
                  <w:shd w:val="clear" w:color="auto" w:fill="auto"/>
                  <w:noWrap/>
                  <w:vAlign w:val="center"/>
                  <w:hideMark/>
                </w:tcPr>
                <w:p w14:paraId="0470D332"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0,09</w:t>
                  </w:r>
                </w:p>
              </w:tc>
              <w:tc>
                <w:tcPr>
                  <w:tcW w:w="1264" w:type="dxa"/>
                  <w:tcBorders>
                    <w:top w:val="nil"/>
                    <w:left w:val="nil"/>
                    <w:bottom w:val="nil"/>
                    <w:right w:val="nil"/>
                  </w:tcBorders>
                  <w:shd w:val="clear" w:color="auto" w:fill="auto"/>
                  <w:noWrap/>
                  <w:vAlign w:val="center"/>
                  <w:hideMark/>
                </w:tcPr>
                <w:p w14:paraId="7762D604"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0,02</w:t>
                  </w:r>
                </w:p>
              </w:tc>
              <w:tc>
                <w:tcPr>
                  <w:tcW w:w="1334" w:type="dxa"/>
                  <w:tcBorders>
                    <w:top w:val="nil"/>
                    <w:left w:val="nil"/>
                    <w:bottom w:val="nil"/>
                    <w:right w:val="nil"/>
                  </w:tcBorders>
                  <w:shd w:val="clear" w:color="auto" w:fill="auto"/>
                  <w:noWrap/>
                  <w:vAlign w:val="center"/>
                  <w:hideMark/>
                </w:tcPr>
                <w:p w14:paraId="25B941C7"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0,05</w:t>
                  </w:r>
                </w:p>
              </w:tc>
            </w:tr>
            <w:tr w:rsidR="00E32F06" w:rsidRPr="00B603F6" w14:paraId="3D6798AB" w14:textId="77777777" w:rsidTr="00E32F06">
              <w:trPr>
                <w:trHeight w:val="235"/>
                <w:jc w:val="center"/>
              </w:trPr>
              <w:tc>
                <w:tcPr>
                  <w:tcW w:w="3372" w:type="dxa"/>
                  <w:tcBorders>
                    <w:top w:val="nil"/>
                    <w:left w:val="nil"/>
                    <w:bottom w:val="nil"/>
                    <w:right w:val="nil"/>
                  </w:tcBorders>
                  <w:shd w:val="clear" w:color="auto" w:fill="auto"/>
                  <w:noWrap/>
                  <w:vAlign w:val="center"/>
                  <w:hideMark/>
                </w:tcPr>
                <w:p w14:paraId="301B7F94" w14:textId="77777777" w:rsidR="00B603F6" w:rsidRPr="00B603F6" w:rsidRDefault="00B603F6" w:rsidP="005952C3">
                  <w:pPr>
                    <w:framePr w:hSpace="142" w:wrap="around" w:vAnchor="text" w:hAnchor="margin" w:xAlign="center" w:y="1"/>
                    <w:spacing w:after="0" w:line="240" w:lineRule="auto"/>
                    <w:suppressOverlap/>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JLR</w:t>
                  </w:r>
                </w:p>
              </w:tc>
              <w:tc>
                <w:tcPr>
                  <w:tcW w:w="1264" w:type="dxa"/>
                  <w:tcBorders>
                    <w:top w:val="nil"/>
                    <w:left w:val="nil"/>
                    <w:bottom w:val="nil"/>
                    <w:right w:val="nil"/>
                  </w:tcBorders>
                  <w:shd w:val="clear" w:color="auto" w:fill="auto"/>
                  <w:noWrap/>
                  <w:vAlign w:val="center"/>
                  <w:hideMark/>
                </w:tcPr>
                <w:p w14:paraId="29FA2091"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0,06</w:t>
                  </w:r>
                </w:p>
              </w:tc>
              <w:tc>
                <w:tcPr>
                  <w:tcW w:w="1264" w:type="dxa"/>
                  <w:tcBorders>
                    <w:top w:val="nil"/>
                    <w:left w:val="nil"/>
                    <w:bottom w:val="nil"/>
                    <w:right w:val="nil"/>
                  </w:tcBorders>
                  <w:shd w:val="clear" w:color="auto" w:fill="auto"/>
                  <w:noWrap/>
                  <w:vAlign w:val="center"/>
                  <w:hideMark/>
                </w:tcPr>
                <w:p w14:paraId="7BC01F4F"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0,14</w:t>
                  </w:r>
                </w:p>
              </w:tc>
              <w:tc>
                <w:tcPr>
                  <w:tcW w:w="1264" w:type="dxa"/>
                  <w:tcBorders>
                    <w:top w:val="nil"/>
                    <w:left w:val="nil"/>
                    <w:bottom w:val="nil"/>
                    <w:right w:val="nil"/>
                  </w:tcBorders>
                  <w:shd w:val="clear" w:color="auto" w:fill="auto"/>
                  <w:noWrap/>
                  <w:vAlign w:val="center"/>
                  <w:hideMark/>
                </w:tcPr>
                <w:p w14:paraId="147E023A"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0,04</w:t>
                  </w:r>
                </w:p>
              </w:tc>
              <w:tc>
                <w:tcPr>
                  <w:tcW w:w="1334" w:type="dxa"/>
                  <w:tcBorders>
                    <w:top w:val="nil"/>
                    <w:left w:val="nil"/>
                    <w:bottom w:val="nil"/>
                    <w:right w:val="nil"/>
                  </w:tcBorders>
                  <w:shd w:val="clear" w:color="auto" w:fill="auto"/>
                  <w:noWrap/>
                  <w:vAlign w:val="center"/>
                  <w:hideMark/>
                </w:tcPr>
                <w:p w14:paraId="41282D88"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color w:val="000000"/>
                      <w:sz w:val="20"/>
                      <w:szCs w:val="20"/>
                      <w:lang w:val="en-GB" w:eastAsia="en-GB"/>
                    </w:rPr>
                  </w:pPr>
                  <w:r w:rsidRPr="00B603F6">
                    <w:rPr>
                      <w:rFonts w:ascii="Arial Narrow" w:hAnsi="Arial Narrow" w:cs="Arial"/>
                      <w:color w:val="000000"/>
                      <w:sz w:val="20"/>
                      <w:szCs w:val="20"/>
                      <w:lang w:eastAsia="en-GB"/>
                    </w:rPr>
                    <w:t>0,08</w:t>
                  </w:r>
                </w:p>
              </w:tc>
            </w:tr>
            <w:tr w:rsidR="00E32F06" w:rsidRPr="00B603F6" w14:paraId="69E6FB82" w14:textId="77777777" w:rsidTr="00E32F06">
              <w:trPr>
                <w:trHeight w:val="235"/>
                <w:jc w:val="center"/>
              </w:trPr>
              <w:tc>
                <w:tcPr>
                  <w:tcW w:w="3372" w:type="dxa"/>
                  <w:tcBorders>
                    <w:top w:val="nil"/>
                    <w:left w:val="nil"/>
                    <w:bottom w:val="nil"/>
                    <w:right w:val="nil"/>
                  </w:tcBorders>
                  <w:shd w:val="clear" w:color="auto" w:fill="auto"/>
                  <w:noWrap/>
                  <w:vAlign w:val="center"/>
                  <w:hideMark/>
                </w:tcPr>
                <w:p w14:paraId="4A589EEE" w14:textId="77777777" w:rsidR="00B603F6" w:rsidRPr="00B603F6" w:rsidRDefault="00B603F6" w:rsidP="005952C3">
                  <w:pPr>
                    <w:framePr w:hSpace="142" w:wrap="around" w:vAnchor="text" w:hAnchor="margin" w:xAlign="center" w:y="1"/>
                    <w:spacing w:after="0" w:line="240" w:lineRule="auto"/>
                    <w:suppressOverlap/>
                    <w:rPr>
                      <w:rFonts w:ascii="Arial Narrow" w:hAnsi="Arial Narrow"/>
                      <w:b/>
                      <w:bCs/>
                      <w:color w:val="000000"/>
                      <w:sz w:val="20"/>
                      <w:szCs w:val="20"/>
                      <w:lang w:val="en-GB" w:eastAsia="en-GB"/>
                    </w:rPr>
                  </w:pPr>
                  <w:r w:rsidRPr="00B603F6">
                    <w:rPr>
                      <w:rFonts w:ascii="Arial Narrow" w:hAnsi="Arial Narrow" w:cs="Arial"/>
                      <w:b/>
                      <w:bCs/>
                      <w:color w:val="000000"/>
                      <w:sz w:val="20"/>
                      <w:szCs w:val="20"/>
                      <w:lang w:eastAsia="en-GB"/>
                    </w:rPr>
                    <w:t>Spolu vplyv podľa IFP</w:t>
                  </w:r>
                </w:p>
              </w:tc>
              <w:tc>
                <w:tcPr>
                  <w:tcW w:w="1264" w:type="dxa"/>
                  <w:tcBorders>
                    <w:top w:val="nil"/>
                    <w:left w:val="nil"/>
                    <w:bottom w:val="nil"/>
                    <w:right w:val="nil"/>
                  </w:tcBorders>
                  <w:shd w:val="clear" w:color="auto" w:fill="auto"/>
                  <w:noWrap/>
                  <w:vAlign w:val="center"/>
                  <w:hideMark/>
                </w:tcPr>
                <w:p w14:paraId="44D5DCE3"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b/>
                      <w:bCs/>
                      <w:color w:val="000000"/>
                      <w:sz w:val="20"/>
                      <w:szCs w:val="20"/>
                      <w:lang w:val="en-GB" w:eastAsia="en-GB"/>
                    </w:rPr>
                  </w:pPr>
                  <w:r w:rsidRPr="00B603F6">
                    <w:rPr>
                      <w:rFonts w:ascii="Arial Narrow" w:hAnsi="Arial Narrow" w:cs="Arial"/>
                      <w:b/>
                      <w:bCs/>
                      <w:color w:val="000000"/>
                      <w:sz w:val="20"/>
                      <w:szCs w:val="20"/>
                      <w:lang w:eastAsia="en-GB"/>
                    </w:rPr>
                    <w:t>0,7</w:t>
                  </w:r>
                </w:p>
              </w:tc>
              <w:tc>
                <w:tcPr>
                  <w:tcW w:w="1264" w:type="dxa"/>
                  <w:tcBorders>
                    <w:top w:val="nil"/>
                    <w:left w:val="nil"/>
                    <w:bottom w:val="nil"/>
                    <w:right w:val="nil"/>
                  </w:tcBorders>
                  <w:shd w:val="clear" w:color="auto" w:fill="auto"/>
                  <w:noWrap/>
                  <w:vAlign w:val="center"/>
                  <w:hideMark/>
                </w:tcPr>
                <w:p w14:paraId="5B87D4CB"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b/>
                      <w:bCs/>
                      <w:color w:val="000000"/>
                      <w:sz w:val="20"/>
                      <w:szCs w:val="20"/>
                      <w:lang w:val="en-GB" w:eastAsia="en-GB"/>
                    </w:rPr>
                  </w:pPr>
                  <w:r w:rsidRPr="00B603F6">
                    <w:rPr>
                      <w:rFonts w:ascii="Arial Narrow" w:hAnsi="Arial Narrow" w:cs="Arial"/>
                      <w:b/>
                      <w:bCs/>
                      <w:color w:val="000000"/>
                      <w:sz w:val="20"/>
                      <w:szCs w:val="20"/>
                      <w:lang w:eastAsia="en-GB"/>
                    </w:rPr>
                    <w:t>1,4</w:t>
                  </w:r>
                </w:p>
              </w:tc>
              <w:tc>
                <w:tcPr>
                  <w:tcW w:w="1264" w:type="dxa"/>
                  <w:tcBorders>
                    <w:top w:val="nil"/>
                    <w:left w:val="nil"/>
                    <w:bottom w:val="nil"/>
                    <w:right w:val="nil"/>
                  </w:tcBorders>
                  <w:shd w:val="clear" w:color="auto" w:fill="auto"/>
                  <w:noWrap/>
                  <w:vAlign w:val="center"/>
                  <w:hideMark/>
                </w:tcPr>
                <w:p w14:paraId="04FB51E8"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b/>
                      <w:bCs/>
                      <w:color w:val="000000"/>
                      <w:sz w:val="20"/>
                      <w:szCs w:val="20"/>
                      <w:lang w:val="en-GB" w:eastAsia="en-GB"/>
                    </w:rPr>
                  </w:pPr>
                  <w:r w:rsidRPr="00B603F6">
                    <w:rPr>
                      <w:rFonts w:ascii="Arial Narrow" w:hAnsi="Arial Narrow" w:cs="Arial"/>
                      <w:b/>
                      <w:bCs/>
                      <w:color w:val="000000"/>
                      <w:sz w:val="20"/>
                      <w:szCs w:val="20"/>
                      <w:lang w:eastAsia="en-GB"/>
                    </w:rPr>
                    <w:t>0,4</w:t>
                  </w:r>
                </w:p>
              </w:tc>
              <w:tc>
                <w:tcPr>
                  <w:tcW w:w="1334" w:type="dxa"/>
                  <w:tcBorders>
                    <w:top w:val="nil"/>
                    <w:left w:val="nil"/>
                    <w:bottom w:val="nil"/>
                    <w:right w:val="nil"/>
                  </w:tcBorders>
                  <w:shd w:val="clear" w:color="auto" w:fill="auto"/>
                  <w:noWrap/>
                  <w:vAlign w:val="center"/>
                  <w:hideMark/>
                </w:tcPr>
                <w:p w14:paraId="3881E2CF"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b/>
                      <w:bCs/>
                      <w:color w:val="000000"/>
                      <w:sz w:val="20"/>
                      <w:szCs w:val="20"/>
                      <w:lang w:val="en-GB" w:eastAsia="en-GB"/>
                    </w:rPr>
                  </w:pPr>
                  <w:r w:rsidRPr="00B603F6">
                    <w:rPr>
                      <w:rFonts w:ascii="Arial Narrow" w:hAnsi="Arial Narrow" w:cs="Arial"/>
                      <w:b/>
                      <w:bCs/>
                      <w:color w:val="000000"/>
                      <w:sz w:val="20"/>
                      <w:szCs w:val="20"/>
                      <w:lang w:eastAsia="en-GB"/>
                    </w:rPr>
                    <w:t>0,9</w:t>
                  </w:r>
                </w:p>
              </w:tc>
            </w:tr>
            <w:tr w:rsidR="00B603F6" w:rsidRPr="00B603F6" w14:paraId="65985652" w14:textId="77777777" w:rsidTr="00E32F06">
              <w:trPr>
                <w:trHeight w:val="235"/>
                <w:jc w:val="center"/>
              </w:trPr>
              <w:tc>
                <w:tcPr>
                  <w:tcW w:w="3372" w:type="dxa"/>
                  <w:tcBorders>
                    <w:top w:val="nil"/>
                    <w:left w:val="nil"/>
                    <w:bottom w:val="single" w:sz="4" w:space="0" w:color="auto"/>
                    <w:right w:val="nil"/>
                  </w:tcBorders>
                  <w:shd w:val="clear" w:color="auto" w:fill="auto"/>
                  <w:noWrap/>
                  <w:vAlign w:val="center"/>
                  <w:hideMark/>
                </w:tcPr>
                <w:p w14:paraId="5D4BA209" w14:textId="77777777" w:rsidR="00B603F6" w:rsidRPr="00B603F6" w:rsidRDefault="00B603F6" w:rsidP="005952C3">
                  <w:pPr>
                    <w:framePr w:hSpace="142" w:wrap="around" w:vAnchor="text" w:hAnchor="margin" w:xAlign="center" w:y="1"/>
                    <w:spacing w:after="0" w:line="240" w:lineRule="auto"/>
                    <w:suppressOverlap/>
                    <w:rPr>
                      <w:rFonts w:ascii="Arial Narrow" w:hAnsi="Arial Narrow"/>
                      <w:b/>
                      <w:bCs/>
                      <w:color w:val="000000"/>
                      <w:sz w:val="20"/>
                      <w:szCs w:val="20"/>
                      <w:lang w:val="en-GB" w:eastAsia="en-GB"/>
                    </w:rPr>
                  </w:pPr>
                  <w:r w:rsidRPr="00B603F6">
                    <w:rPr>
                      <w:rFonts w:ascii="Arial Narrow" w:hAnsi="Arial Narrow" w:cs="Arial"/>
                      <w:b/>
                      <w:bCs/>
                      <w:color w:val="000000"/>
                      <w:sz w:val="20"/>
                      <w:szCs w:val="20"/>
                      <w:lang w:eastAsia="en-GB"/>
                    </w:rPr>
                    <w:t>Spolu vplyv podľa iných inštitúcií</w:t>
                  </w:r>
                </w:p>
              </w:tc>
              <w:tc>
                <w:tcPr>
                  <w:tcW w:w="1264" w:type="dxa"/>
                  <w:tcBorders>
                    <w:top w:val="nil"/>
                    <w:left w:val="nil"/>
                    <w:bottom w:val="single" w:sz="4" w:space="0" w:color="auto"/>
                    <w:right w:val="nil"/>
                  </w:tcBorders>
                  <w:shd w:val="clear" w:color="auto" w:fill="auto"/>
                  <w:noWrap/>
                  <w:vAlign w:val="center"/>
                  <w:hideMark/>
                </w:tcPr>
                <w:p w14:paraId="39941E1E"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b/>
                      <w:bCs/>
                      <w:color w:val="000000"/>
                      <w:sz w:val="20"/>
                      <w:szCs w:val="20"/>
                      <w:lang w:val="en-GB" w:eastAsia="en-GB"/>
                    </w:rPr>
                  </w:pPr>
                  <w:r w:rsidRPr="00B603F6">
                    <w:rPr>
                      <w:rFonts w:ascii="Arial Narrow" w:hAnsi="Arial Narrow" w:cs="Arial"/>
                      <w:b/>
                      <w:bCs/>
                      <w:color w:val="000000"/>
                      <w:sz w:val="20"/>
                      <w:szCs w:val="20"/>
                      <w:lang w:eastAsia="en-GB"/>
                    </w:rPr>
                    <w:t>0,3</w:t>
                  </w:r>
                </w:p>
              </w:tc>
              <w:tc>
                <w:tcPr>
                  <w:tcW w:w="1264" w:type="dxa"/>
                  <w:tcBorders>
                    <w:top w:val="nil"/>
                    <w:left w:val="nil"/>
                    <w:bottom w:val="single" w:sz="4" w:space="0" w:color="auto"/>
                    <w:right w:val="nil"/>
                  </w:tcBorders>
                  <w:shd w:val="clear" w:color="auto" w:fill="auto"/>
                  <w:noWrap/>
                  <w:vAlign w:val="center"/>
                  <w:hideMark/>
                </w:tcPr>
                <w:p w14:paraId="02543F7E"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b/>
                      <w:bCs/>
                      <w:color w:val="000000"/>
                      <w:sz w:val="20"/>
                      <w:szCs w:val="20"/>
                      <w:lang w:val="en-GB" w:eastAsia="en-GB"/>
                    </w:rPr>
                  </w:pPr>
                  <w:r w:rsidRPr="00B603F6">
                    <w:rPr>
                      <w:rFonts w:ascii="Arial Narrow" w:hAnsi="Arial Narrow" w:cs="Arial"/>
                      <w:b/>
                      <w:bCs/>
                      <w:color w:val="000000"/>
                      <w:sz w:val="20"/>
                      <w:szCs w:val="20"/>
                      <w:lang w:eastAsia="en-GB"/>
                    </w:rPr>
                    <w:t>1,9</w:t>
                  </w:r>
                </w:p>
              </w:tc>
              <w:tc>
                <w:tcPr>
                  <w:tcW w:w="1264" w:type="dxa"/>
                  <w:tcBorders>
                    <w:top w:val="nil"/>
                    <w:left w:val="nil"/>
                    <w:bottom w:val="single" w:sz="4" w:space="0" w:color="auto"/>
                    <w:right w:val="nil"/>
                  </w:tcBorders>
                  <w:shd w:val="clear" w:color="auto" w:fill="auto"/>
                  <w:noWrap/>
                  <w:vAlign w:val="center"/>
                  <w:hideMark/>
                </w:tcPr>
                <w:p w14:paraId="75146909"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b/>
                      <w:bCs/>
                      <w:color w:val="000000"/>
                      <w:sz w:val="20"/>
                      <w:szCs w:val="20"/>
                      <w:lang w:val="en-GB" w:eastAsia="en-GB"/>
                    </w:rPr>
                  </w:pPr>
                  <w:r w:rsidRPr="00B603F6">
                    <w:rPr>
                      <w:rFonts w:ascii="Arial Narrow" w:hAnsi="Arial Narrow" w:cs="Arial"/>
                      <w:b/>
                      <w:bCs/>
                      <w:color w:val="000000"/>
                      <w:sz w:val="20"/>
                      <w:szCs w:val="20"/>
                      <w:lang w:eastAsia="en-GB"/>
                    </w:rPr>
                    <w:t>0,1</w:t>
                  </w:r>
                </w:p>
              </w:tc>
              <w:tc>
                <w:tcPr>
                  <w:tcW w:w="1334" w:type="dxa"/>
                  <w:tcBorders>
                    <w:top w:val="nil"/>
                    <w:left w:val="nil"/>
                    <w:bottom w:val="single" w:sz="4" w:space="0" w:color="auto"/>
                    <w:right w:val="nil"/>
                  </w:tcBorders>
                  <w:shd w:val="clear" w:color="auto" w:fill="auto"/>
                  <w:noWrap/>
                  <w:vAlign w:val="center"/>
                  <w:hideMark/>
                </w:tcPr>
                <w:p w14:paraId="2B0E7B2E" w14:textId="77777777" w:rsidR="00B603F6" w:rsidRPr="00B603F6" w:rsidRDefault="00B603F6" w:rsidP="005952C3">
                  <w:pPr>
                    <w:framePr w:hSpace="142" w:wrap="around" w:vAnchor="text" w:hAnchor="margin" w:xAlign="center" w:y="1"/>
                    <w:spacing w:after="0" w:line="240" w:lineRule="auto"/>
                    <w:suppressOverlap/>
                    <w:jc w:val="center"/>
                    <w:rPr>
                      <w:rFonts w:ascii="Arial Narrow" w:hAnsi="Arial Narrow"/>
                      <w:b/>
                      <w:bCs/>
                      <w:color w:val="000000"/>
                      <w:sz w:val="20"/>
                      <w:szCs w:val="20"/>
                      <w:lang w:val="en-GB" w:eastAsia="en-GB"/>
                    </w:rPr>
                  </w:pPr>
                  <w:r w:rsidRPr="00B603F6">
                    <w:rPr>
                      <w:rFonts w:ascii="Arial Narrow" w:hAnsi="Arial Narrow" w:cs="Arial"/>
                      <w:b/>
                      <w:bCs/>
                      <w:color w:val="000000"/>
                      <w:sz w:val="20"/>
                      <w:szCs w:val="20"/>
                      <w:lang w:eastAsia="en-GB"/>
                    </w:rPr>
                    <w:t>0,6</w:t>
                  </w:r>
                </w:p>
              </w:tc>
            </w:tr>
            <w:tr w:rsidR="00B603F6" w:rsidRPr="00B603F6" w14:paraId="1E6EB5E5" w14:textId="77777777" w:rsidTr="00E32F06">
              <w:trPr>
                <w:trHeight w:val="235"/>
                <w:jc w:val="center"/>
              </w:trPr>
              <w:tc>
                <w:tcPr>
                  <w:tcW w:w="8501" w:type="dxa"/>
                  <w:gridSpan w:val="5"/>
                  <w:tcBorders>
                    <w:top w:val="single" w:sz="4" w:space="0" w:color="auto"/>
                    <w:left w:val="nil"/>
                    <w:right w:val="nil"/>
                  </w:tcBorders>
                  <w:shd w:val="clear" w:color="auto" w:fill="auto"/>
                  <w:noWrap/>
                  <w:vAlign w:val="center"/>
                </w:tcPr>
                <w:p w14:paraId="650C2830" w14:textId="23C3BE01" w:rsidR="00B603F6" w:rsidRPr="00B603F6" w:rsidRDefault="00B603F6" w:rsidP="005952C3">
                  <w:pPr>
                    <w:framePr w:hSpace="142" w:wrap="around" w:vAnchor="text" w:hAnchor="margin" w:xAlign="center" w:y="1"/>
                    <w:widowControl w:val="0"/>
                    <w:tabs>
                      <w:tab w:val="right" w:pos="9531"/>
                    </w:tabs>
                    <w:spacing w:after="0" w:line="240" w:lineRule="auto"/>
                    <w:ind w:right="34"/>
                    <w:suppressOverlap/>
                    <w:jc w:val="right"/>
                    <w:rPr>
                      <w:rFonts w:ascii="Arial Narrow" w:eastAsia="NeueHaasGroteskText W02" w:hAnsi="Arial Narrow" w:cs="Arial"/>
                    </w:rPr>
                  </w:pPr>
                  <w:r w:rsidRPr="008E5BC0">
                    <w:rPr>
                      <w:rFonts w:ascii="Arial Narrow" w:eastAsia="NeueHaasGroteskText W02" w:hAnsi="Arial Narrow" w:cs="Arial"/>
                      <w:i/>
                      <w:sz w:val="16"/>
                      <w:szCs w:val="20"/>
                    </w:rPr>
                    <w:t xml:space="preserve">Zdroj: IFP, </w:t>
                  </w:r>
                  <w:hyperlink r:id="rId15" w:history="1">
                    <w:r w:rsidRPr="008E5BC0">
                      <w:rPr>
                        <w:rStyle w:val="Hypertextovprepojenie"/>
                        <w:rFonts w:ascii="Arial Narrow" w:eastAsia="NeueHaasGroteskText W02" w:hAnsi="Arial Narrow" w:cs="Arial"/>
                        <w:i/>
                        <w:sz w:val="16"/>
                        <w:szCs w:val="20"/>
                      </w:rPr>
                      <w:t>IMF (2018),</w:t>
                    </w:r>
                  </w:hyperlink>
                  <w:r w:rsidRPr="008E5BC0">
                    <w:rPr>
                      <w:rFonts w:ascii="Arial Narrow" w:eastAsia="NeueHaasGroteskText W02" w:hAnsi="Arial Narrow" w:cs="Arial"/>
                      <w:i/>
                      <w:sz w:val="16"/>
                      <w:szCs w:val="20"/>
                    </w:rPr>
                    <w:t xml:space="preserve"> </w:t>
                  </w:r>
                  <w:hyperlink r:id="rId16" w:history="1">
                    <w:proofErr w:type="spellStart"/>
                    <w:r w:rsidRPr="008E5BC0">
                      <w:rPr>
                        <w:rStyle w:val="Hypertextovprepojenie"/>
                        <w:rFonts w:ascii="Arial Narrow" w:eastAsia="NeueHaasGroteskText W02" w:hAnsi="Arial Narrow" w:cs="Arial"/>
                        <w:i/>
                        <w:sz w:val="16"/>
                        <w:szCs w:val="20"/>
                      </w:rPr>
                      <w:t>Vandenbussche</w:t>
                    </w:r>
                    <w:proofErr w:type="spellEnd"/>
                    <w:r w:rsidRPr="008E5BC0">
                      <w:rPr>
                        <w:rStyle w:val="Hypertextovprepojenie"/>
                        <w:rFonts w:ascii="Arial Narrow" w:eastAsia="NeueHaasGroteskText W02" w:hAnsi="Arial Narrow" w:cs="Arial"/>
                        <w:i/>
                        <w:sz w:val="16"/>
                        <w:szCs w:val="20"/>
                      </w:rPr>
                      <w:t xml:space="preserve"> et al. (2017)</w:t>
                    </w:r>
                  </w:hyperlink>
                </w:p>
              </w:tc>
            </w:tr>
          </w:tbl>
          <w:p w14:paraId="495BC042" w14:textId="77777777" w:rsidR="00B603F6" w:rsidRPr="008E5BC0" w:rsidRDefault="00B603F6" w:rsidP="002E4E13">
            <w:pPr>
              <w:widowControl w:val="0"/>
              <w:tabs>
                <w:tab w:val="right" w:pos="9531"/>
              </w:tabs>
              <w:spacing w:after="0" w:line="240" w:lineRule="auto"/>
              <w:ind w:right="34"/>
              <w:jc w:val="both"/>
              <w:rPr>
                <w:rFonts w:ascii="Arial Narrow" w:eastAsia="NeueHaasGroteskText W02" w:hAnsi="Arial Narrow" w:cs="Arial"/>
                <w:sz w:val="20"/>
                <w:szCs w:val="20"/>
              </w:rPr>
            </w:pPr>
          </w:p>
          <w:p w14:paraId="18D7F3A0" w14:textId="3E23F42E" w:rsidR="006659DC" w:rsidRDefault="006659DC" w:rsidP="002E4E13">
            <w:pPr>
              <w:widowControl w:val="0"/>
              <w:tabs>
                <w:tab w:val="right" w:pos="9531"/>
              </w:tabs>
              <w:spacing w:after="0" w:line="240" w:lineRule="auto"/>
              <w:ind w:right="34"/>
              <w:jc w:val="both"/>
              <w:rPr>
                <w:rFonts w:ascii="Arial Narrow" w:eastAsia="NeueHaasGroteskText W02" w:hAnsi="Arial Narrow" w:cs="Arial"/>
              </w:rPr>
            </w:pPr>
            <w:r w:rsidRPr="008E5BC0">
              <w:rPr>
                <w:rFonts w:ascii="Arial Narrow" w:eastAsia="NeueHaasGroteskText W02" w:hAnsi="Arial Narrow" w:cs="Arial"/>
                <w:b/>
              </w:rPr>
              <w:t>Odhadnutý dlhodobý vplyv je nutné rozložiť</w:t>
            </w:r>
            <w:r w:rsidR="004E1500">
              <w:rPr>
                <w:rFonts w:ascii="Arial Narrow" w:eastAsia="NeueHaasGroteskText W02" w:hAnsi="Arial Narrow" w:cs="Arial"/>
                <w:b/>
              </w:rPr>
              <w:t xml:space="preserve"> na dlhšie obdobie, spravidla 5 až </w:t>
            </w:r>
            <w:r w:rsidRPr="008E5BC0">
              <w:rPr>
                <w:rFonts w:ascii="Arial Narrow" w:eastAsia="NeueHaasGroteskText W02" w:hAnsi="Arial Narrow" w:cs="Arial"/>
                <w:b/>
              </w:rPr>
              <w:t>10 rokov.</w:t>
            </w:r>
            <w:r w:rsidRPr="008E5BC0">
              <w:rPr>
                <w:rFonts w:ascii="Arial Narrow" w:eastAsia="NeueHaasGroteskText W02" w:hAnsi="Arial Narrow" w:cs="Arial"/>
              </w:rPr>
              <w:t xml:space="preserve"> Tento dlhodobý vplyv možno označiť ako efekt na potenciál ekonomiky. V prípade tvrdého </w:t>
            </w:r>
            <w:proofErr w:type="spellStart"/>
            <w:r w:rsidRPr="008E5BC0">
              <w:rPr>
                <w:rFonts w:ascii="Arial Narrow" w:eastAsia="NeueHaasGroteskText W02" w:hAnsi="Arial Narrow" w:cs="Arial"/>
              </w:rPr>
              <w:t>Brexitu</w:t>
            </w:r>
            <w:proofErr w:type="spellEnd"/>
            <w:r w:rsidRPr="008E5BC0">
              <w:rPr>
                <w:rFonts w:ascii="Arial Narrow" w:eastAsia="NeueHaasGroteskText W02" w:hAnsi="Arial Narrow" w:cs="Arial"/>
              </w:rPr>
              <w:t xml:space="preserve"> však predpokladáme, že pokles výkonu ekonomiky bude výraznejší v prvých dvoch rokoch a následne bude dochádzať k postupnému </w:t>
            </w:r>
            <w:r w:rsidR="00B603F6">
              <w:rPr>
                <w:rFonts w:ascii="Arial Narrow" w:eastAsia="NeueHaasGroteskText W02" w:hAnsi="Arial Narrow" w:cs="Arial"/>
              </w:rPr>
              <w:t>znižovaniu straty</w:t>
            </w:r>
            <w:r w:rsidRPr="008E5BC0">
              <w:rPr>
                <w:rFonts w:ascii="Arial Narrow" w:eastAsia="NeueHaasGroteskText W02" w:hAnsi="Arial Narrow" w:cs="Arial"/>
              </w:rPr>
              <w:t>.</w:t>
            </w:r>
          </w:p>
          <w:p w14:paraId="2FAA12CC" w14:textId="77777777" w:rsidR="006659DC" w:rsidRPr="008E5BC0" w:rsidRDefault="006659DC" w:rsidP="002E4E13">
            <w:pPr>
              <w:widowControl w:val="0"/>
              <w:tabs>
                <w:tab w:val="right" w:pos="9531"/>
              </w:tabs>
              <w:spacing w:after="0" w:line="240" w:lineRule="auto"/>
              <w:ind w:right="34"/>
              <w:jc w:val="both"/>
              <w:rPr>
                <w:rFonts w:ascii="Arial Narrow" w:eastAsia="NeueHaasGroteskText W02" w:hAnsi="Arial Narrow" w:cs="Arial"/>
              </w:rPr>
            </w:pPr>
          </w:p>
          <w:p w14:paraId="2A9FF580" w14:textId="4109D490" w:rsidR="006659DC" w:rsidRPr="008E5BC0" w:rsidRDefault="006659DC" w:rsidP="002E4E13">
            <w:pPr>
              <w:widowControl w:val="0"/>
              <w:tabs>
                <w:tab w:val="right" w:pos="9531"/>
              </w:tabs>
              <w:spacing w:after="0" w:line="240" w:lineRule="auto"/>
              <w:ind w:right="34"/>
              <w:jc w:val="both"/>
              <w:rPr>
                <w:rFonts w:ascii="Arial Narrow" w:hAnsi="Arial Narrow" w:cs="Arial"/>
                <w:b/>
                <w:bCs/>
              </w:rPr>
            </w:pPr>
            <w:r w:rsidRPr="008E5BC0">
              <w:rPr>
                <w:rFonts w:ascii="Arial Narrow" w:eastAsia="NeueHaasGroteskText W02" w:hAnsi="Arial Narrow" w:cs="Arial"/>
                <w:b/>
              </w:rPr>
              <w:t>Pokles výkonu ekonomiky by mal negatívne vplyvy aj na rozpočet verejnej správy,</w:t>
            </w:r>
            <w:r w:rsidR="00B603F6">
              <w:rPr>
                <w:rFonts w:ascii="Arial Narrow" w:eastAsia="NeueHaasGroteskText W02" w:hAnsi="Arial Narrow" w:cs="Arial"/>
                <w:b/>
              </w:rPr>
              <w:t xml:space="preserve"> nakoľko vedie k nižším daňovo-</w:t>
            </w:r>
            <w:r w:rsidRPr="008E5BC0">
              <w:rPr>
                <w:rFonts w:ascii="Arial Narrow" w:eastAsia="NeueHaasGroteskText W02" w:hAnsi="Arial Narrow" w:cs="Arial"/>
                <w:b/>
              </w:rPr>
              <w:t xml:space="preserve">odvodovým príjmom. </w:t>
            </w:r>
            <w:r w:rsidRPr="008E5BC0">
              <w:rPr>
                <w:rFonts w:ascii="Arial Narrow" w:hAnsi="Arial Narrow" w:cs="Arial"/>
                <w:b/>
                <w:bCs/>
              </w:rPr>
              <w:t>Štrukturálny výpadok príjmov dosiahne v dlhom horizonte 0,2 až 0,5 % HDP.</w:t>
            </w:r>
          </w:p>
          <w:p w14:paraId="5599FDB9" w14:textId="77777777" w:rsidR="006659DC" w:rsidRPr="008E5BC0" w:rsidRDefault="006659DC" w:rsidP="002E4E13">
            <w:pPr>
              <w:widowControl w:val="0"/>
              <w:tabs>
                <w:tab w:val="right" w:pos="9531"/>
              </w:tabs>
              <w:spacing w:after="0" w:line="240" w:lineRule="auto"/>
              <w:ind w:right="34"/>
              <w:jc w:val="both"/>
              <w:rPr>
                <w:rFonts w:ascii="Arial Narrow" w:hAnsi="Arial Narrow" w:cs="Arial"/>
                <w:b/>
                <w:bCs/>
              </w:rPr>
            </w:pPr>
          </w:p>
          <w:p w14:paraId="4ABC111C" w14:textId="4CE6726D" w:rsidR="006659DC" w:rsidRDefault="006659DC" w:rsidP="002E4E13">
            <w:pPr>
              <w:widowControl w:val="0"/>
              <w:tabs>
                <w:tab w:val="right" w:pos="9531"/>
              </w:tabs>
              <w:spacing w:after="0" w:line="240" w:lineRule="auto"/>
              <w:ind w:right="34"/>
              <w:jc w:val="both"/>
              <w:rPr>
                <w:rFonts w:ascii="Arial Narrow" w:hAnsi="Arial Narrow" w:cs="Arial"/>
                <w:bCs/>
              </w:rPr>
            </w:pPr>
            <w:r w:rsidRPr="008E5BC0">
              <w:rPr>
                <w:rFonts w:ascii="Arial Narrow" w:hAnsi="Arial Narrow" w:cs="Arial"/>
                <w:b/>
                <w:bCs/>
              </w:rPr>
              <w:t xml:space="preserve">Forma </w:t>
            </w:r>
            <w:proofErr w:type="spellStart"/>
            <w:r w:rsidRPr="008E5BC0">
              <w:rPr>
                <w:rFonts w:ascii="Arial Narrow" w:hAnsi="Arial Narrow" w:cs="Arial"/>
                <w:b/>
                <w:bCs/>
              </w:rPr>
              <w:t>Brexitu</w:t>
            </w:r>
            <w:proofErr w:type="spellEnd"/>
            <w:r w:rsidRPr="008E5BC0">
              <w:rPr>
                <w:rFonts w:ascii="Arial Narrow" w:hAnsi="Arial Narrow" w:cs="Arial"/>
                <w:b/>
                <w:bCs/>
              </w:rPr>
              <w:t xml:space="preserve"> (soft </w:t>
            </w:r>
            <w:proofErr w:type="spellStart"/>
            <w:r w:rsidRPr="008E5BC0">
              <w:rPr>
                <w:rFonts w:ascii="Arial Narrow" w:hAnsi="Arial Narrow" w:cs="Arial"/>
                <w:b/>
                <w:bCs/>
              </w:rPr>
              <w:t>vs</w:t>
            </w:r>
            <w:proofErr w:type="spellEnd"/>
            <w:r w:rsidRPr="008E5BC0">
              <w:rPr>
                <w:rFonts w:ascii="Arial Narrow" w:hAnsi="Arial Narrow" w:cs="Arial"/>
                <w:b/>
                <w:bCs/>
              </w:rPr>
              <w:t xml:space="preserve">. </w:t>
            </w:r>
            <w:proofErr w:type="spellStart"/>
            <w:r w:rsidRPr="008E5BC0">
              <w:rPr>
                <w:rFonts w:ascii="Arial Narrow" w:hAnsi="Arial Narrow" w:cs="Arial"/>
                <w:b/>
                <w:bCs/>
              </w:rPr>
              <w:t>hard</w:t>
            </w:r>
            <w:proofErr w:type="spellEnd"/>
            <w:r w:rsidRPr="008E5BC0">
              <w:rPr>
                <w:rFonts w:ascii="Arial Narrow" w:hAnsi="Arial Narrow" w:cs="Arial"/>
                <w:b/>
                <w:bCs/>
              </w:rPr>
              <w:t xml:space="preserve">) má iba minimálny vplyv na diskusiu k rozpočtu EÚ po roku 2020. </w:t>
            </w:r>
            <w:r w:rsidRPr="008E5BC0">
              <w:rPr>
                <w:rFonts w:ascii="Arial Narrow" w:hAnsi="Arial Narrow" w:cs="Arial"/>
                <w:bCs/>
              </w:rPr>
              <w:t>Samotný návrh EK k Viacročnému</w:t>
            </w:r>
            <w:r w:rsidR="00C95809">
              <w:rPr>
                <w:rFonts w:ascii="Arial Narrow" w:hAnsi="Arial Narrow" w:cs="Arial"/>
                <w:bCs/>
              </w:rPr>
              <w:t xml:space="preserve"> finančnému rámcu EÚ pre roky 2021 až 2027 </w:t>
            </w:r>
            <w:r w:rsidRPr="008E5BC0">
              <w:rPr>
                <w:rFonts w:ascii="Arial Narrow" w:hAnsi="Arial Narrow" w:cs="Arial"/>
                <w:bCs/>
              </w:rPr>
              <w:t>už totiž počíta iba s 27 štátmi (členské štáty ten</w:t>
            </w:r>
            <w:r w:rsidR="00E32FEB">
              <w:rPr>
                <w:rFonts w:ascii="Arial Narrow" w:hAnsi="Arial Narrow" w:cs="Arial"/>
                <w:bCs/>
              </w:rPr>
              <w:t>to postup EK nespochybňujú)</w:t>
            </w:r>
            <w:r w:rsidRPr="008E5BC0">
              <w:rPr>
                <w:rStyle w:val="Odkaznapoznmkupodiarou"/>
                <w:rFonts w:ascii="Arial Narrow" w:hAnsi="Arial Narrow" w:cs="Arial"/>
                <w:bCs/>
              </w:rPr>
              <w:footnoteReference w:id="47"/>
            </w:r>
            <w:r w:rsidR="00E32FEB">
              <w:rPr>
                <w:rFonts w:ascii="Arial Narrow" w:hAnsi="Arial Narrow" w:cs="Arial"/>
                <w:bCs/>
              </w:rPr>
              <w:t>.</w:t>
            </w:r>
            <w:r w:rsidRPr="008E5BC0">
              <w:rPr>
                <w:rFonts w:ascii="Arial Narrow" w:hAnsi="Arial Narrow"/>
              </w:rPr>
              <w:t xml:space="preserve">  V prípade </w:t>
            </w:r>
            <w:r w:rsidR="00BA04BC">
              <w:rPr>
                <w:rFonts w:ascii="Arial Narrow" w:hAnsi="Arial Narrow" w:cs="Arial"/>
                <w:bCs/>
              </w:rPr>
              <w:t xml:space="preserve">vystúpenia Veľkej Británie z </w:t>
            </w:r>
            <w:r w:rsidRPr="008E5BC0">
              <w:rPr>
                <w:rFonts w:ascii="Arial Narrow" w:hAnsi="Arial Narrow" w:cs="Arial"/>
                <w:bCs/>
              </w:rPr>
              <w:t>EÚ bez dohody vzrastú požiadavky na navýšenie odvodov SR do rozpo</w:t>
            </w:r>
            <w:r w:rsidR="00E32FEB">
              <w:rPr>
                <w:rFonts w:ascii="Arial Narrow" w:hAnsi="Arial Narrow" w:cs="Arial"/>
                <w:bCs/>
              </w:rPr>
              <w:t xml:space="preserve">čtu EÚ o dodatočných 47 mil. eur v roku 2019 a o 70 mil. eur </w:t>
            </w:r>
            <w:r w:rsidRPr="008E5BC0">
              <w:rPr>
                <w:rFonts w:ascii="Arial Narrow" w:hAnsi="Arial Narrow" w:cs="Arial"/>
                <w:bCs/>
              </w:rPr>
              <w:t>v roku 2020.</w:t>
            </w:r>
          </w:p>
          <w:p w14:paraId="0FA79453" w14:textId="77777777" w:rsidR="00E32F06" w:rsidRPr="006C144F" w:rsidRDefault="00E32F06" w:rsidP="002E4E13">
            <w:pPr>
              <w:widowControl w:val="0"/>
              <w:tabs>
                <w:tab w:val="right" w:pos="9531"/>
              </w:tabs>
              <w:spacing w:after="0" w:line="240" w:lineRule="auto"/>
              <w:ind w:right="34"/>
              <w:jc w:val="both"/>
              <w:rPr>
                <w:rFonts w:ascii="Arial" w:hAnsi="Arial" w:cs="Arial"/>
                <w:sz w:val="20"/>
                <w:szCs w:val="20"/>
              </w:rPr>
            </w:pPr>
          </w:p>
        </w:tc>
      </w:tr>
    </w:tbl>
    <w:p w14:paraId="20FBD2DF" w14:textId="77777777" w:rsidR="007D2366" w:rsidRPr="004C54B9" w:rsidRDefault="007D2366" w:rsidP="004C54B9">
      <w:pPr>
        <w:spacing w:after="0" w:line="240" w:lineRule="auto"/>
        <w:jc w:val="both"/>
        <w:rPr>
          <w:rFonts w:ascii="Arial Narrow" w:hAnsi="Arial Narrow"/>
          <w:color w:val="000000"/>
        </w:rPr>
      </w:pPr>
      <w:r w:rsidRPr="004C54B9">
        <w:rPr>
          <w:rFonts w:ascii="Arial Narrow" w:hAnsi="Arial Narrow"/>
          <w:color w:val="000000"/>
        </w:rPr>
        <w:br w:type="page"/>
      </w:r>
    </w:p>
    <w:p w14:paraId="77D58987" w14:textId="77777777" w:rsidR="007D2366" w:rsidRPr="00FB5149" w:rsidRDefault="007D2366" w:rsidP="004C54B9">
      <w:pPr>
        <w:pStyle w:val="Nadpis1"/>
        <w:numPr>
          <w:ilvl w:val="0"/>
          <w:numId w:val="1"/>
        </w:numPr>
        <w:spacing w:line="240" w:lineRule="auto"/>
        <w:rPr>
          <w:rFonts w:ascii="Arial Narrow" w:hAnsi="Arial Narrow"/>
          <w:color w:val="auto"/>
          <w:sz w:val="32"/>
          <w:szCs w:val="32"/>
        </w:rPr>
      </w:pPr>
      <w:bookmarkStart w:id="14" w:name="_Toc480749803"/>
      <w:bookmarkStart w:id="15" w:name="_Toc4766833"/>
      <w:r w:rsidRPr="00FB5149">
        <w:rPr>
          <w:rFonts w:ascii="Arial Narrow" w:hAnsi="Arial Narrow"/>
          <w:color w:val="auto"/>
          <w:sz w:val="32"/>
          <w:szCs w:val="32"/>
        </w:rPr>
        <w:lastRenderedPageBreak/>
        <w:t>Plánované opatrenia v štrukturálnych témach</w:t>
      </w:r>
      <w:bookmarkEnd w:id="14"/>
      <w:bookmarkEnd w:id="15"/>
    </w:p>
    <w:p w14:paraId="5609FC0C" w14:textId="77777777" w:rsidR="007D2366" w:rsidRPr="004C54B9" w:rsidRDefault="007D2366" w:rsidP="004C54B9">
      <w:pPr>
        <w:spacing w:after="0" w:line="240" w:lineRule="auto"/>
        <w:jc w:val="both"/>
        <w:rPr>
          <w:rFonts w:ascii="Arial Narrow" w:hAnsi="Arial Narrow"/>
        </w:rPr>
      </w:pPr>
    </w:p>
    <w:p w14:paraId="581749E0" w14:textId="77777777" w:rsidR="007D2366" w:rsidRPr="004C54B9" w:rsidRDefault="007D2366" w:rsidP="004C54B9">
      <w:pPr>
        <w:spacing w:after="0" w:line="240" w:lineRule="auto"/>
        <w:jc w:val="both"/>
        <w:rPr>
          <w:rFonts w:ascii="Arial Narrow" w:hAnsi="Arial Narrow"/>
        </w:rPr>
      </w:pPr>
      <w:r w:rsidRPr="004C54B9">
        <w:rPr>
          <w:rFonts w:ascii="Arial Narrow" w:hAnsi="Arial Narrow"/>
        </w:rPr>
        <w:t xml:space="preserve">Táto kapitola popisuje opatrenia, ktoré sa vláda SR zaväzuje plniť v nasledujúcom období. Opatrenia sa týkajú oblastí ekonomiky, sociálnej agendy a verejnej správy. Nasledujúca tabuľka zhŕňa najdôležitejšie z plánovaných opatrení, ktoré reagujú na jednotlivé špecifické odporúčania Rady (CSR). </w:t>
      </w:r>
    </w:p>
    <w:p w14:paraId="1079F756" w14:textId="77777777" w:rsidR="007D2366" w:rsidRPr="004C54B9" w:rsidRDefault="007D2366" w:rsidP="004C54B9">
      <w:pPr>
        <w:spacing w:after="0" w:line="240" w:lineRule="auto"/>
        <w:jc w:val="both"/>
        <w:rPr>
          <w:rFonts w:ascii="Arial Narrow" w:hAnsi="Arial Narrow"/>
        </w:rPr>
      </w:pPr>
    </w:p>
    <w:p w14:paraId="62DC0125" w14:textId="77777777" w:rsidR="00076D72" w:rsidRPr="004C54B9" w:rsidRDefault="00076D72" w:rsidP="00076D72">
      <w:pPr>
        <w:spacing w:after="0" w:line="240" w:lineRule="auto"/>
        <w:rPr>
          <w:rFonts w:ascii="Arial Narrow" w:hAnsi="Arial Narrow"/>
          <w:b/>
          <w:bCs/>
          <w:color w:val="2C9ADC"/>
        </w:rPr>
      </w:pPr>
      <w:r w:rsidRPr="00FB5149">
        <w:rPr>
          <w:rFonts w:ascii="Arial Narrow" w:hAnsi="Arial Narrow"/>
          <w:b/>
          <w:bCs/>
          <w:color w:val="2C9ADC"/>
          <w:sz w:val="20"/>
        </w:rPr>
        <w:t>Najdôležitejšie plánované opatrenia NPR v štruktúre podľa CSR</w:t>
      </w:r>
    </w:p>
    <w:tbl>
      <w:tblPr>
        <w:tblW w:w="8607" w:type="dxa"/>
        <w:jc w:val="center"/>
        <w:tblCellMar>
          <w:left w:w="70" w:type="dxa"/>
          <w:right w:w="70" w:type="dxa"/>
        </w:tblCellMar>
        <w:tblLook w:val="04A0" w:firstRow="1" w:lastRow="0" w:firstColumn="1" w:lastColumn="0" w:noHBand="0" w:noVBand="1"/>
      </w:tblPr>
      <w:tblGrid>
        <w:gridCol w:w="1099"/>
        <w:gridCol w:w="4571"/>
        <w:gridCol w:w="1456"/>
        <w:gridCol w:w="8"/>
        <w:gridCol w:w="1473"/>
      </w:tblGrid>
      <w:tr w:rsidR="007D2366" w:rsidRPr="004C54B9" w14:paraId="282E7C4B" w14:textId="77777777" w:rsidTr="00577523">
        <w:trPr>
          <w:trHeight w:val="765"/>
          <w:jc w:val="center"/>
        </w:trPr>
        <w:tc>
          <w:tcPr>
            <w:tcW w:w="1099" w:type="dxa"/>
            <w:tcBorders>
              <w:top w:val="single" w:sz="4" w:space="0" w:color="auto"/>
              <w:left w:val="nil"/>
              <w:bottom w:val="single" w:sz="4" w:space="0" w:color="auto"/>
              <w:right w:val="nil"/>
            </w:tcBorders>
            <w:shd w:val="clear" w:color="auto" w:fill="auto"/>
            <w:vAlign w:val="center"/>
            <w:hideMark/>
          </w:tcPr>
          <w:p w14:paraId="04150EAD" w14:textId="77777777" w:rsidR="007D2366" w:rsidRPr="00FB5149" w:rsidRDefault="007D2366" w:rsidP="004C54B9">
            <w:pPr>
              <w:spacing w:after="0" w:line="240" w:lineRule="auto"/>
              <w:jc w:val="center"/>
              <w:rPr>
                <w:rFonts w:ascii="Arial Narrow" w:hAnsi="Arial Narrow"/>
                <w:b/>
                <w:bCs/>
                <w:sz w:val="20"/>
              </w:rPr>
            </w:pPr>
            <w:r w:rsidRPr="00FB5149">
              <w:rPr>
                <w:rFonts w:ascii="Arial Narrow" w:hAnsi="Arial Narrow"/>
                <w:b/>
                <w:bCs/>
                <w:sz w:val="20"/>
              </w:rPr>
              <w:t>CSR</w:t>
            </w:r>
          </w:p>
        </w:tc>
        <w:tc>
          <w:tcPr>
            <w:tcW w:w="4571" w:type="dxa"/>
            <w:tcBorders>
              <w:top w:val="single" w:sz="4" w:space="0" w:color="auto"/>
              <w:left w:val="nil"/>
              <w:bottom w:val="single" w:sz="4" w:space="0" w:color="auto"/>
              <w:right w:val="nil"/>
            </w:tcBorders>
            <w:shd w:val="clear" w:color="auto" w:fill="auto"/>
            <w:vAlign w:val="center"/>
            <w:hideMark/>
          </w:tcPr>
          <w:p w14:paraId="36E0A7F0" w14:textId="77777777" w:rsidR="007D2366" w:rsidRPr="00FB5149" w:rsidRDefault="007D2366" w:rsidP="004C54B9">
            <w:pPr>
              <w:spacing w:after="0" w:line="240" w:lineRule="auto"/>
              <w:rPr>
                <w:rFonts w:ascii="Arial Narrow" w:hAnsi="Arial Narrow"/>
                <w:b/>
                <w:bCs/>
                <w:sz w:val="20"/>
              </w:rPr>
            </w:pPr>
            <w:r w:rsidRPr="00FB5149">
              <w:rPr>
                <w:rFonts w:ascii="Arial Narrow" w:hAnsi="Arial Narrow"/>
                <w:b/>
                <w:bCs/>
                <w:sz w:val="20"/>
              </w:rPr>
              <w:t>Názov úlohy</w:t>
            </w:r>
          </w:p>
        </w:tc>
        <w:tc>
          <w:tcPr>
            <w:tcW w:w="1456" w:type="dxa"/>
            <w:tcBorders>
              <w:top w:val="single" w:sz="4" w:space="0" w:color="auto"/>
              <w:left w:val="nil"/>
              <w:bottom w:val="single" w:sz="4" w:space="0" w:color="auto"/>
              <w:right w:val="nil"/>
            </w:tcBorders>
            <w:shd w:val="clear" w:color="auto" w:fill="auto"/>
            <w:vAlign w:val="center"/>
            <w:hideMark/>
          </w:tcPr>
          <w:p w14:paraId="639778A7" w14:textId="77777777" w:rsidR="007D2366" w:rsidRPr="00FB5149" w:rsidRDefault="007D2366" w:rsidP="004C54B9">
            <w:pPr>
              <w:spacing w:after="0" w:line="240" w:lineRule="auto"/>
              <w:jc w:val="center"/>
              <w:rPr>
                <w:rFonts w:ascii="Arial Narrow" w:hAnsi="Arial Narrow"/>
                <w:b/>
                <w:bCs/>
                <w:sz w:val="20"/>
              </w:rPr>
            </w:pPr>
            <w:r w:rsidRPr="00FB5149">
              <w:rPr>
                <w:rFonts w:ascii="Arial Narrow" w:hAnsi="Arial Narrow"/>
                <w:b/>
                <w:bCs/>
                <w:sz w:val="20"/>
              </w:rPr>
              <w:t>Termín</w:t>
            </w:r>
          </w:p>
        </w:tc>
        <w:tc>
          <w:tcPr>
            <w:tcW w:w="1481" w:type="dxa"/>
            <w:gridSpan w:val="2"/>
            <w:tcBorders>
              <w:top w:val="single" w:sz="4" w:space="0" w:color="auto"/>
              <w:left w:val="nil"/>
              <w:bottom w:val="single" w:sz="4" w:space="0" w:color="auto"/>
              <w:right w:val="nil"/>
            </w:tcBorders>
            <w:shd w:val="clear" w:color="auto" w:fill="auto"/>
            <w:vAlign w:val="center"/>
            <w:hideMark/>
          </w:tcPr>
          <w:p w14:paraId="44FC9009" w14:textId="77777777" w:rsidR="007D2366" w:rsidRPr="00FB5149" w:rsidRDefault="007D2366" w:rsidP="004C54B9">
            <w:pPr>
              <w:spacing w:after="0" w:line="240" w:lineRule="auto"/>
              <w:jc w:val="center"/>
              <w:rPr>
                <w:rFonts w:ascii="Arial Narrow" w:hAnsi="Arial Narrow"/>
                <w:b/>
                <w:bCs/>
                <w:sz w:val="20"/>
              </w:rPr>
            </w:pPr>
            <w:r w:rsidRPr="00FB5149">
              <w:rPr>
                <w:rFonts w:ascii="Arial Narrow" w:hAnsi="Arial Narrow"/>
                <w:b/>
                <w:bCs/>
                <w:sz w:val="20"/>
              </w:rPr>
              <w:t>Gestor</w:t>
            </w:r>
          </w:p>
        </w:tc>
      </w:tr>
      <w:tr w:rsidR="00B57006" w:rsidRPr="0037389A" w14:paraId="29D528FB" w14:textId="77777777" w:rsidTr="00577523">
        <w:trPr>
          <w:trHeight w:val="489"/>
          <w:jc w:val="center"/>
        </w:trPr>
        <w:tc>
          <w:tcPr>
            <w:tcW w:w="1099" w:type="dxa"/>
            <w:tcBorders>
              <w:top w:val="dotted" w:sz="4" w:space="0" w:color="auto"/>
              <w:left w:val="nil"/>
              <w:right w:val="nil"/>
            </w:tcBorders>
            <w:shd w:val="clear" w:color="auto" w:fill="auto"/>
            <w:noWrap/>
            <w:vAlign w:val="center"/>
          </w:tcPr>
          <w:p w14:paraId="2A566F7A" w14:textId="7191E59F" w:rsidR="00B57006" w:rsidRPr="0037389A" w:rsidRDefault="00B57006" w:rsidP="004C54B9">
            <w:pPr>
              <w:spacing w:after="0" w:line="240" w:lineRule="auto"/>
              <w:jc w:val="center"/>
              <w:rPr>
                <w:rFonts w:ascii="Arial Narrow" w:hAnsi="Arial Narrow"/>
                <w:color w:val="000000"/>
                <w:sz w:val="18"/>
                <w:szCs w:val="18"/>
              </w:rPr>
            </w:pPr>
            <w:r>
              <w:rPr>
                <w:rFonts w:ascii="Arial Narrow" w:hAnsi="Arial Narrow"/>
                <w:color w:val="000000"/>
                <w:sz w:val="18"/>
                <w:szCs w:val="18"/>
              </w:rPr>
              <w:t>1</w:t>
            </w:r>
          </w:p>
        </w:tc>
        <w:tc>
          <w:tcPr>
            <w:tcW w:w="4571" w:type="dxa"/>
            <w:tcBorders>
              <w:top w:val="dotted" w:sz="4" w:space="0" w:color="auto"/>
              <w:left w:val="nil"/>
              <w:right w:val="nil"/>
            </w:tcBorders>
            <w:shd w:val="clear" w:color="auto" w:fill="auto"/>
            <w:vAlign w:val="center"/>
          </w:tcPr>
          <w:p w14:paraId="50FF67AC" w14:textId="26F8FDBA" w:rsidR="00B57006" w:rsidRPr="0037389A" w:rsidRDefault="00B57006" w:rsidP="004C54B9">
            <w:pPr>
              <w:spacing w:after="0" w:line="240" w:lineRule="auto"/>
              <w:rPr>
                <w:rFonts w:ascii="Arial Narrow" w:hAnsi="Arial Narrow"/>
                <w:color w:val="000000"/>
                <w:sz w:val="18"/>
                <w:szCs w:val="18"/>
              </w:rPr>
            </w:pPr>
            <w:r w:rsidRPr="00B57006">
              <w:rPr>
                <w:rFonts w:ascii="Arial Narrow" w:hAnsi="Arial Narrow"/>
                <w:color w:val="000000"/>
                <w:sz w:val="18"/>
                <w:szCs w:val="18"/>
              </w:rPr>
              <w:t>Zavedenie predvolenej sporiacej stratégie pre sporiteľov v II. pilieri</w:t>
            </w:r>
          </w:p>
        </w:tc>
        <w:tc>
          <w:tcPr>
            <w:tcW w:w="1464" w:type="dxa"/>
            <w:gridSpan w:val="2"/>
            <w:tcBorders>
              <w:top w:val="dotted" w:sz="4" w:space="0" w:color="auto"/>
              <w:left w:val="nil"/>
              <w:right w:val="nil"/>
            </w:tcBorders>
            <w:shd w:val="clear" w:color="auto" w:fill="auto"/>
            <w:vAlign w:val="center"/>
          </w:tcPr>
          <w:p w14:paraId="71390ED8" w14:textId="3BF6D515" w:rsidR="00B57006" w:rsidRPr="0037389A" w:rsidRDefault="00757EF4" w:rsidP="004C54B9">
            <w:pPr>
              <w:spacing w:after="0" w:line="240" w:lineRule="auto"/>
              <w:jc w:val="center"/>
              <w:rPr>
                <w:rFonts w:ascii="Arial Narrow" w:hAnsi="Arial Narrow"/>
                <w:color w:val="000000"/>
                <w:sz w:val="18"/>
                <w:szCs w:val="18"/>
              </w:rPr>
            </w:pPr>
            <w:r>
              <w:rPr>
                <w:rFonts w:ascii="Arial Narrow" w:hAnsi="Arial Narrow"/>
                <w:color w:val="000000"/>
                <w:sz w:val="18"/>
                <w:szCs w:val="18"/>
              </w:rPr>
              <w:t>31.12.2020</w:t>
            </w:r>
          </w:p>
        </w:tc>
        <w:tc>
          <w:tcPr>
            <w:tcW w:w="1473" w:type="dxa"/>
            <w:tcBorders>
              <w:top w:val="dotted" w:sz="4" w:space="0" w:color="auto"/>
              <w:left w:val="nil"/>
              <w:right w:val="nil"/>
            </w:tcBorders>
            <w:shd w:val="clear" w:color="auto" w:fill="auto"/>
            <w:vAlign w:val="center"/>
          </w:tcPr>
          <w:p w14:paraId="34FB5ABF" w14:textId="312A2466" w:rsidR="00B57006" w:rsidRPr="0037389A" w:rsidRDefault="00B57006" w:rsidP="004C54B9">
            <w:pPr>
              <w:spacing w:after="0" w:line="240" w:lineRule="auto"/>
              <w:jc w:val="center"/>
              <w:rPr>
                <w:rFonts w:ascii="Arial Narrow" w:hAnsi="Arial Narrow"/>
                <w:color w:val="000000"/>
                <w:sz w:val="18"/>
                <w:szCs w:val="18"/>
              </w:rPr>
            </w:pPr>
            <w:r>
              <w:rPr>
                <w:rFonts w:ascii="Arial Narrow" w:hAnsi="Arial Narrow"/>
                <w:color w:val="000000"/>
                <w:sz w:val="18"/>
                <w:szCs w:val="18"/>
              </w:rPr>
              <w:t>MPSVR SR</w:t>
            </w:r>
          </w:p>
        </w:tc>
      </w:tr>
      <w:tr w:rsidR="007D2366" w:rsidRPr="0037389A" w14:paraId="35621D71" w14:textId="77777777" w:rsidTr="00577523">
        <w:trPr>
          <w:trHeight w:val="489"/>
          <w:jc w:val="center"/>
        </w:trPr>
        <w:tc>
          <w:tcPr>
            <w:tcW w:w="1099" w:type="dxa"/>
            <w:tcBorders>
              <w:left w:val="nil"/>
              <w:bottom w:val="single" w:sz="4" w:space="0" w:color="auto"/>
              <w:right w:val="nil"/>
            </w:tcBorders>
            <w:shd w:val="clear" w:color="auto" w:fill="auto"/>
            <w:noWrap/>
            <w:vAlign w:val="center"/>
          </w:tcPr>
          <w:p w14:paraId="1A63069D"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1</w:t>
            </w:r>
          </w:p>
        </w:tc>
        <w:tc>
          <w:tcPr>
            <w:tcW w:w="4571" w:type="dxa"/>
            <w:tcBorders>
              <w:left w:val="nil"/>
              <w:bottom w:val="single" w:sz="4" w:space="0" w:color="auto"/>
              <w:right w:val="nil"/>
            </w:tcBorders>
            <w:shd w:val="clear" w:color="auto" w:fill="auto"/>
            <w:vAlign w:val="center"/>
          </w:tcPr>
          <w:p w14:paraId="640185CE" w14:textId="77777777" w:rsidR="007D2366" w:rsidRPr="0037389A" w:rsidRDefault="007D2366" w:rsidP="004C54B9">
            <w:pPr>
              <w:spacing w:after="0" w:line="240" w:lineRule="auto"/>
              <w:rPr>
                <w:rFonts w:ascii="Arial Narrow" w:hAnsi="Arial Narrow"/>
                <w:color w:val="000000"/>
                <w:sz w:val="18"/>
                <w:szCs w:val="18"/>
              </w:rPr>
            </w:pPr>
            <w:r w:rsidRPr="0037389A">
              <w:rPr>
                <w:rFonts w:ascii="Arial Narrow" w:hAnsi="Arial Narrow"/>
                <w:color w:val="000000"/>
                <w:sz w:val="18"/>
                <w:szCs w:val="18"/>
              </w:rPr>
              <w:t>Implementácia výsledkov revízie výdavkov na zdravotníctvo</w:t>
            </w:r>
          </w:p>
        </w:tc>
        <w:tc>
          <w:tcPr>
            <w:tcW w:w="1464" w:type="dxa"/>
            <w:gridSpan w:val="2"/>
            <w:tcBorders>
              <w:left w:val="nil"/>
              <w:bottom w:val="single" w:sz="4" w:space="0" w:color="auto"/>
              <w:right w:val="nil"/>
            </w:tcBorders>
            <w:shd w:val="clear" w:color="auto" w:fill="auto"/>
            <w:vAlign w:val="center"/>
          </w:tcPr>
          <w:p w14:paraId="297728B2"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31.12.</w:t>
            </w:r>
            <w:r w:rsidR="0037389A" w:rsidRPr="0037389A">
              <w:rPr>
                <w:rFonts w:ascii="Arial Narrow" w:hAnsi="Arial Narrow"/>
                <w:color w:val="000000"/>
                <w:sz w:val="18"/>
                <w:szCs w:val="18"/>
              </w:rPr>
              <w:t>2019</w:t>
            </w:r>
          </w:p>
        </w:tc>
        <w:tc>
          <w:tcPr>
            <w:tcW w:w="1473" w:type="dxa"/>
            <w:tcBorders>
              <w:left w:val="nil"/>
              <w:bottom w:val="single" w:sz="4" w:space="0" w:color="auto"/>
              <w:right w:val="nil"/>
            </w:tcBorders>
            <w:shd w:val="clear" w:color="auto" w:fill="auto"/>
            <w:vAlign w:val="center"/>
          </w:tcPr>
          <w:p w14:paraId="5B610DFA"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MZ SR</w:t>
            </w:r>
          </w:p>
        </w:tc>
      </w:tr>
      <w:tr w:rsidR="007D2366" w:rsidRPr="0037389A" w14:paraId="6B8A01C2" w14:textId="77777777" w:rsidTr="00577523">
        <w:trPr>
          <w:trHeight w:val="427"/>
          <w:jc w:val="center"/>
        </w:trPr>
        <w:tc>
          <w:tcPr>
            <w:tcW w:w="1099" w:type="dxa"/>
            <w:tcBorders>
              <w:top w:val="dotted" w:sz="4" w:space="0" w:color="auto"/>
              <w:left w:val="nil"/>
              <w:bottom w:val="dotted" w:sz="4" w:space="0" w:color="auto"/>
              <w:right w:val="nil"/>
            </w:tcBorders>
            <w:shd w:val="clear" w:color="auto" w:fill="auto"/>
            <w:noWrap/>
            <w:vAlign w:val="center"/>
            <w:hideMark/>
          </w:tcPr>
          <w:p w14:paraId="101047ED"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2</w:t>
            </w:r>
          </w:p>
        </w:tc>
        <w:tc>
          <w:tcPr>
            <w:tcW w:w="4571" w:type="dxa"/>
            <w:tcBorders>
              <w:top w:val="dotted" w:sz="4" w:space="0" w:color="auto"/>
              <w:left w:val="nil"/>
              <w:bottom w:val="dotted" w:sz="4" w:space="0" w:color="auto"/>
              <w:right w:val="nil"/>
            </w:tcBorders>
            <w:shd w:val="clear" w:color="auto" w:fill="auto"/>
            <w:vAlign w:val="center"/>
            <w:hideMark/>
          </w:tcPr>
          <w:p w14:paraId="5BA41AB3" w14:textId="5E2AAC7D" w:rsidR="007D2366" w:rsidRPr="0037389A" w:rsidRDefault="00A8444C" w:rsidP="004C54B9">
            <w:pPr>
              <w:spacing w:after="0" w:line="240" w:lineRule="auto"/>
              <w:rPr>
                <w:rFonts w:ascii="Arial Narrow" w:hAnsi="Arial Narrow"/>
                <w:color w:val="000000"/>
                <w:sz w:val="18"/>
                <w:szCs w:val="18"/>
              </w:rPr>
            </w:pPr>
            <w:r w:rsidRPr="0037389A">
              <w:rPr>
                <w:rFonts w:ascii="Arial Narrow" w:hAnsi="Arial Narrow"/>
                <w:color w:val="000000"/>
                <w:sz w:val="18"/>
                <w:szCs w:val="18"/>
              </w:rPr>
              <w:t>S</w:t>
            </w:r>
            <w:r w:rsidR="007D2366" w:rsidRPr="0037389A">
              <w:rPr>
                <w:rFonts w:ascii="Arial Narrow" w:hAnsi="Arial Narrow"/>
                <w:color w:val="000000"/>
                <w:sz w:val="18"/>
                <w:szCs w:val="18"/>
              </w:rPr>
              <w:t>lužb</w:t>
            </w:r>
            <w:r w:rsidRPr="0037389A">
              <w:rPr>
                <w:rFonts w:ascii="Arial Narrow" w:hAnsi="Arial Narrow"/>
                <w:color w:val="000000"/>
                <w:sz w:val="18"/>
                <w:szCs w:val="18"/>
              </w:rPr>
              <w:t>y</w:t>
            </w:r>
            <w:r w:rsidR="0074649E">
              <w:rPr>
                <w:rFonts w:ascii="Arial Narrow" w:hAnsi="Arial Narrow"/>
                <w:color w:val="000000"/>
                <w:sz w:val="18"/>
                <w:szCs w:val="18"/>
              </w:rPr>
              <w:t xml:space="preserve"> zamestnanosti a AO</w:t>
            </w:r>
            <w:r w:rsidR="007D2366" w:rsidRPr="0037389A">
              <w:rPr>
                <w:rFonts w:ascii="Arial Narrow" w:hAnsi="Arial Narrow"/>
                <w:color w:val="000000"/>
                <w:sz w:val="18"/>
                <w:szCs w:val="18"/>
              </w:rPr>
              <w:t>TP</w:t>
            </w:r>
            <w:r w:rsidRPr="0037389A">
              <w:rPr>
                <w:rFonts w:ascii="Arial Narrow" w:hAnsi="Arial Narrow"/>
                <w:color w:val="000000"/>
                <w:sz w:val="18"/>
                <w:szCs w:val="18"/>
              </w:rPr>
              <w:t xml:space="preserve"> so zameraním na znevýhodnené skupiny</w:t>
            </w:r>
          </w:p>
        </w:tc>
        <w:tc>
          <w:tcPr>
            <w:tcW w:w="1456" w:type="dxa"/>
            <w:tcBorders>
              <w:top w:val="single" w:sz="4" w:space="0" w:color="auto"/>
              <w:left w:val="nil"/>
              <w:bottom w:val="dotted" w:sz="4" w:space="0" w:color="auto"/>
              <w:right w:val="nil"/>
            </w:tcBorders>
            <w:shd w:val="clear" w:color="auto" w:fill="auto"/>
            <w:noWrap/>
            <w:vAlign w:val="center"/>
            <w:hideMark/>
          </w:tcPr>
          <w:p w14:paraId="41A1296E"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31.12.</w:t>
            </w:r>
            <w:r w:rsidR="0037389A" w:rsidRPr="0037389A">
              <w:rPr>
                <w:rFonts w:ascii="Arial Narrow" w:hAnsi="Arial Narrow"/>
                <w:color w:val="000000"/>
                <w:sz w:val="18"/>
                <w:szCs w:val="18"/>
              </w:rPr>
              <w:t>2019</w:t>
            </w:r>
          </w:p>
        </w:tc>
        <w:tc>
          <w:tcPr>
            <w:tcW w:w="1481" w:type="dxa"/>
            <w:gridSpan w:val="2"/>
            <w:tcBorders>
              <w:top w:val="single" w:sz="4" w:space="0" w:color="auto"/>
              <w:left w:val="nil"/>
              <w:bottom w:val="dotted" w:sz="4" w:space="0" w:color="auto"/>
              <w:right w:val="nil"/>
            </w:tcBorders>
            <w:shd w:val="clear" w:color="auto" w:fill="auto"/>
            <w:vAlign w:val="center"/>
            <w:hideMark/>
          </w:tcPr>
          <w:p w14:paraId="5EBF4A15"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MPSVR SR</w:t>
            </w:r>
          </w:p>
        </w:tc>
      </w:tr>
      <w:tr w:rsidR="007D2366" w:rsidRPr="0037389A" w14:paraId="4C9CC5FA" w14:textId="77777777" w:rsidTr="00577523">
        <w:trPr>
          <w:trHeight w:val="498"/>
          <w:jc w:val="center"/>
        </w:trPr>
        <w:tc>
          <w:tcPr>
            <w:tcW w:w="1099" w:type="dxa"/>
            <w:tcBorders>
              <w:top w:val="nil"/>
              <w:left w:val="nil"/>
              <w:bottom w:val="dotted" w:sz="4" w:space="0" w:color="auto"/>
              <w:right w:val="nil"/>
            </w:tcBorders>
            <w:shd w:val="clear" w:color="auto" w:fill="auto"/>
            <w:noWrap/>
            <w:vAlign w:val="center"/>
            <w:hideMark/>
          </w:tcPr>
          <w:p w14:paraId="28727287"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2</w:t>
            </w:r>
          </w:p>
        </w:tc>
        <w:tc>
          <w:tcPr>
            <w:tcW w:w="4571" w:type="dxa"/>
            <w:tcBorders>
              <w:top w:val="nil"/>
              <w:left w:val="nil"/>
              <w:bottom w:val="dotted" w:sz="4" w:space="0" w:color="auto"/>
              <w:right w:val="nil"/>
            </w:tcBorders>
            <w:shd w:val="clear" w:color="auto" w:fill="auto"/>
            <w:vAlign w:val="center"/>
            <w:hideMark/>
          </w:tcPr>
          <w:p w14:paraId="49A0730B" w14:textId="77777777" w:rsidR="007D2366" w:rsidRPr="0037389A" w:rsidRDefault="002D43D4" w:rsidP="004C54B9">
            <w:pPr>
              <w:spacing w:after="0" w:line="240" w:lineRule="auto"/>
              <w:rPr>
                <w:rFonts w:ascii="Arial Narrow" w:hAnsi="Arial Narrow"/>
                <w:color w:val="000000"/>
                <w:sz w:val="18"/>
                <w:szCs w:val="18"/>
              </w:rPr>
            </w:pPr>
            <w:r w:rsidRPr="0037389A">
              <w:rPr>
                <w:rFonts w:ascii="Arial Narrow" w:hAnsi="Arial Narrow"/>
                <w:color w:val="000000"/>
                <w:sz w:val="18"/>
                <w:szCs w:val="18"/>
              </w:rPr>
              <w:t>R</w:t>
            </w:r>
            <w:r w:rsidR="007D2366" w:rsidRPr="0037389A">
              <w:rPr>
                <w:rFonts w:ascii="Arial Narrow" w:hAnsi="Arial Narrow"/>
                <w:color w:val="000000"/>
                <w:sz w:val="18"/>
                <w:szCs w:val="18"/>
              </w:rPr>
              <w:t>ozvoj služieb starostlivosti o deti do troch rokov</w:t>
            </w:r>
          </w:p>
        </w:tc>
        <w:tc>
          <w:tcPr>
            <w:tcW w:w="1456" w:type="dxa"/>
            <w:tcBorders>
              <w:top w:val="nil"/>
              <w:left w:val="nil"/>
              <w:bottom w:val="dotted" w:sz="4" w:space="0" w:color="auto"/>
              <w:right w:val="nil"/>
            </w:tcBorders>
            <w:shd w:val="clear" w:color="auto" w:fill="auto"/>
            <w:noWrap/>
            <w:vAlign w:val="center"/>
            <w:hideMark/>
          </w:tcPr>
          <w:p w14:paraId="2B6A4A35"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31.12.</w:t>
            </w:r>
            <w:r w:rsidR="0037389A" w:rsidRPr="0037389A">
              <w:rPr>
                <w:rFonts w:ascii="Arial Narrow" w:hAnsi="Arial Narrow"/>
                <w:color w:val="000000"/>
                <w:sz w:val="18"/>
                <w:szCs w:val="18"/>
              </w:rPr>
              <w:t>2019</w:t>
            </w:r>
          </w:p>
        </w:tc>
        <w:tc>
          <w:tcPr>
            <w:tcW w:w="1481" w:type="dxa"/>
            <w:gridSpan w:val="2"/>
            <w:tcBorders>
              <w:top w:val="nil"/>
              <w:left w:val="nil"/>
              <w:bottom w:val="dotted" w:sz="4" w:space="0" w:color="auto"/>
              <w:right w:val="nil"/>
            </w:tcBorders>
            <w:shd w:val="clear" w:color="auto" w:fill="auto"/>
            <w:vAlign w:val="center"/>
            <w:hideMark/>
          </w:tcPr>
          <w:p w14:paraId="27ADAB99"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MPSVR SR, MPRV SR</w:t>
            </w:r>
          </w:p>
        </w:tc>
      </w:tr>
      <w:tr w:rsidR="007D2366" w:rsidRPr="0037389A" w14:paraId="18456C81" w14:textId="77777777" w:rsidTr="00577523">
        <w:trPr>
          <w:trHeight w:val="647"/>
          <w:jc w:val="center"/>
        </w:trPr>
        <w:tc>
          <w:tcPr>
            <w:tcW w:w="1099" w:type="dxa"/>
            <w:tcBorders>
              <w:top w:val="nil"/>
              <w:left w:val="nil"/>
              <w:bottom w:val="dotted" w:sz="4" w:space="0" w:color="auto"/>
              <w:right w:val="nil"/>
            </w:tcBorders>
            <w:shd w:val="clear" w:color="auto" w:fill="auto"/>
            <w:noWrap/>
            <w:vAlign w:val="center"/>
          </w:tcPr>
          <w:p w14:paraId="3563E6E8"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2</w:t>
            </w:r>
          </w:p>
        </w:tc>
        <w:tc>
          <w:tcPr>
            <w:tcW w:w="4571" w:type="dxa"/>
            <w:tcBorders>
              <w:top w:val="nil"/>
              <w:left w:val="nil"/>
              <w:bottom w:val="dotted" w:sz="4" w:space="0" w:color="auto"/>
              <w:right w:val="nil"/>
            </w:tcBorders>
            <w:shd w:val="clear" w:color="auto" w:fill="auto"/>
            <w:vAlign w:val="center"/>
          </w:tcPr>
          <w:p w14:paraId="549E1903" w14:textId="77777777" w:rsidR="007D2366" w:rsidRPr="0037389A" w:rsidRDefault="007D2366" w:rsidP="004C54B9">
            <w:pPr>
              <w:spacing w:after="0" w:line="240" w:lineRule="auto"/>
              <w:rPr>
                <w:rFonts w:ascii="Arial Narrow" w:hAnsi="Arial Narrow"/>
                <w:color w:val="000000"/>
                <w:sz w:val="18"/>
                <w:szCs w:val="18"/>
              </w:rPr>
            </w:pPr>
            <w:r w:rsidRPr="0037389A">
              <w:rPr>
                <w:rFonts w:ascii="Arial Narrow" w:hAnsi="Arial Narrow"/>
                <w:color w:val="000000"/>
                <w:sz w:val="18"/>
                <w:szCs w:val="18"/>
              </w:rPr>
              <w:t>Integrácia marginalizovaných rómskych komunít (vzdelávanie, trh práce</w:t>
            </w:r>
            <w:r w:rsidR="00A94D26" w:rsidRPr="0037389A">
              <w:rPr>
                <w:rFonts w:ascii="Arial Narrow" w:hAnsi="Arial Narrow"/>
                <w:color w:val="000000"/>
                <w:sz w:val="18"/>
                <w:szCs w:val="18"/>
              </w:rPr>
              <w:t xml:space="preserve">, </w:t>
            </w:r>
            <w:r w:rsidRPr="0037389A">
              <w:rPr>
                <w:rFonts w:ascii="Arial Narrow" w:hAnsi="Arial Narrow"/>
                <w:color w:val="000000"/>
                <w:sz w:val="18"/>
                <w:szCs w:val="18"/>
              </w:rPr>
              <w:t>sociálna inklúzia</w:t>
            </w:r>
            <w:r w:rsidR="00A94D26" w:rsidRPr="0037389A">
              <w:rPr>
                <w:rFonts w:ascii="Arial Narrow" w:hAnsi="Arial Narrow"/>
                <w:color w:val="000000"/>
                <w:sz w:val="18"/>
                <w:szCs w:val="18"/>
              </w:rPr>
              <w:t xml:space="preserve"> a iné oblasti</w:t>
            </w:r>
            <w:r w:rsidRPr="0037389A">
              <w:rPr>
                <w:rFonts w:ascii="Arial Narrow" w:hAnsi="Arial Narrow"/>
                <w:color w:val="000000"/>
                <w:sz w:val="18"/>
                <w:szCs w:val="18"/>
              </w:rPr>
              <w:t>)</w:t>
            </w:r>
          </w:p>
        </w:tc>
        <w:tc>
          <w:tcPr>
            <w:tcW w:w="1456" w:type="dxa"/>
            <w:tcBorders>
              <w:top w:val="nil"/>
              <w:left w:val="nil"/>
              <w:bottom w:val="dotted" w:sz="4" w:space="0" w:color="auto"/>
              <w:right w:val="nil"/>
            </w:tcBorders>
            <w:shd w:val="clear" w:color="auto" w:fill="auto"/>
            <w:noWrap/>
            <w:vAlign w:val="center"/>
          </w:tcPr>
          <w:p w14:paraId="503273E9" w14:textId="77777777" w:rsidR="007D2366" w:rsidRPr="0037389A" w:rsidRDefault="007A35D4"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31.12.</w:t>
            </w:r>
            <w:r w:rsidR="0037389A" w:rsidRPr="0037389A">
              <w:rPr>
                <w:rFonts w:ascii="Arial Narrow" w:hAnsi="Arial Narrow"/>
                <w:color w:val="000000"/>
                <w:sz w:val="18"/>
                <w:szCs w:val="18"/>
              </w:rPr>
              <w:t>2019</w:t>
            </w:r>
          </w:p>
        </w:tc>
        <w:tc>
          <w:tcPr>
            <w:tcW w:w="1481" w:type="dxa"/>
            <w:gridSpan w:val="2"/>
            <w:tcBorders>
              <w:top w:val="nil"/>
              <w:left w:val="nil"/>
              <w:bottom w:val="dotted" w:sz="4" w:space="0" w:color="auto"/>
              <w:right w:val="nil"/>
            </w:tcBorders>
            <w:shd w:val="clear" w:color="auto" w:fill="auto"/>
            <w:vAlign w:val="center"/>
          </w:tcPr>
          <w:p w14:paraId="3A959A18"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MPSVR SR, MŠVVŠ SR, MV SR, ÚSVRK</w:t>
            </w:r>
          </w:p>
        </w:tc>
      </w:tr>
      <w:tr w:rsidR="007D2366" w:rsidRPr="0037389A" w14:paraId="6DFCC58C" w14:textId="77777777" w:rsidTr="00577523">
        <w:trPr>
          <w:trHeight w:val="429"/>
          <w:jc w:val="center"/>
        </w:trPr>
        <w:tc>
          <w:tcPr>
            <w:tcW w:w="1099" w:type="dxa"/>
            <w:tcBorders>
              <w:top w:val="nil"/>
              <w:left w:val="nil"/>
              <w:bottom w:val="dotted" w:sz="4" w:space="0" w:color="auto"/>
              <w:right w:val="nil"/>
            </w:tcBorders>
            <w:shd w:val="clear" w:color="auto" w:fill="auto"/>
            <w:noWrap/>
            <w:vAlign w:val="center"/>
          </w:tcPr>
          <w:p w14:paraId="3A6045EA"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2</w:t>
            </w:r>
          </w:p>
        </w:tc>
        <w:tc>
          <w:tcPr>
            <w:tcW w:w="4571" w:type="dxa"/>
            <w:tcBorders>
              <w:top w:val="nil"/>
              <w:left w:val="nil"/>
              <w:bottom w:val="dotted" w:sz="4" w:space="0" w:color="auto"/>
              <w:right w:val="nil"/>
            </w:tcBorders>
            <w:shd w:val="clear" w:color="auto" w:fill="auto"/>
            <w:vAlign w:val="center"/>
          </w:tcPr>
          <w:p w14:paraId="1A66EC90" w14:textId="77777777" w:rsidR="007D2366" w:rsidRPr="0037389A" w:rsidRDefault="00876610" w:rsidP="004C54B9">
            <w:pPr>
              <w:spacing w:after="0" w:line="240" w:lineRule="auto"/>
              <w:rPr>
                <w:rFonts w:ascii="Arial Narrow" w:hAnsi="Arial Narrow"/>
                <w:color w:val="000000"/>
                <w:sz w:val="18"/>
                <w:szCs w:val="18"/>
              </w:rPr>
            </w:pPr>
            <w:r w:rsidRPr="0037389A">
              <w:rPr>
                <w:rFonts w:ascii="Arial Narrow" w:hAnsi="Arial Narrow"/>
                <w:color w:val="000000"/>
                <w:sz w:val="18"/>
                <w:szCs w:val="18"/>
              </w:rPr>
              <w:t>Vyššia kvalita a lepšia podpora učiteľov</w:t>
            </w:r>
          </w:p>
        </w:tc>
        <w:tc>
          <w:tcPr>
            <w:tcW w:w="1456" w:type="dxa"/>
            <w:tcBorders>
              <w:top w:val="nil"/>
              <w:left w:val="nil"/>
              <w:bottom w:val="dotted" w:sz="4" w:space="0" w:color="auto"/>
              <w:right w:val="nil"/>
            </w:tcBorders>
            <w:shd w:val="clear" w:color="auto" w:fill="auto"/>
            <w:noWrap/>
            <w:vAlign w:val="center"/>
          </w:tcPr>
          <w:p w14:paraId="798E1FE2" w14:textId="77777777" w:rsidR="007D2366" w:rsidRPr="0037389A" w:rsidRDefault="007A35D4"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31.12.</w:t>
            </w:r>
            <w:r w:rsidR="0037389A" w:rsidRPr="0037389A">
              <w:rPr>
                <w:rFonts w:ascii="Arial Narrow" w:hAnsi="Arial Narrow"/>
                <w:color w:val="000000"/>
                <w:sz w:val="18"/>
                <w:szCs w:val="18"/>
              </w:rPr>
              <w:t>2019</w:t>
            </w:r>
          </w:p>
        </w:tc>
        <w:tc>
          <w:tcPr>
            <w:tcW w:w="1481" w:type="dxa"/>
            <w:gridSpan w:val="2"/>
            <w:tcBorders>
              <w:top w:val="nil"/>
              <w:left w:val="nil"/>
              <w:bottom w:val="dotted" w:sz="4" w:space="0" w:color="auto"/>
              <w:right w:val="nil"/>
            </w:tcBorders>
            <w:shd w:val="clear" w:color="auto" w:fill="auto"/>
            <w:vAlign w:val="center"/>
          </w:tcPr>
          <w:p w14:paraId="5C6A1D8E"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MŠVVŠ SR</w:t>
            </w:r>
          </w:p>
        </w:tc>
      </w:tr>
      <w:tr w:rsidR="007D2366" w:rsidRPr="0037389A" w14:paraId="212423CA" w14:textId="77777777" w:rsidTr="00577523">
        <w:trPr>
          <w:trHeight w:val="429"/>
          <w:jc w:val="center"/>
        </w:trPr>
        <w:tc>
          <w:tcPr>
            <w:tcW w:w="1099" w:type="dxa"/>
            <w:tcBorders>
              <w:top w:val="nil"/>
              <w:left w:val="nil"/>
              <w:bottom w:val="dotted" w:sz="4" w:space="0" w:color="auto"/>
              <w:right w:val="nil"/>
            </w:tcBorders>
            <w:shd w:val="clear" w:color="auto" w:fill="auto"/>
            <w:noWrap/>
            <w:vAlign w:val="center"/>
          </w:tcPr>
          <w:p w14:paraId="15337A75"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2</w:t>
            </w:r>
          </w:p>
        </w:tc>
        <w:tc>
          <w:tcPr>
            <w:tcW w:w="4571" w:type="dxa"/>
            <w:tcBorders>
              <w:top w:val="nil"/>
              <w:left w:val="nil"/>
              <w:bottom w:val="dotted" w:sz="4" w:space="0" w:color="auto"/>
              <w:right w:val="nil"/>
            </w:tcBorders>
            <w:shd w:val="clear" w:color="auto" w:fill="auto"/>
            <w:vAlign w:val="center"/>
          </w:tcPr>
          <w:p w14:paraId="72ED91E0" w14:textId="29515FF6" w:rsidR="007D2366" w:rsidRPr="0037389A" w:rsidRDefault="00876610" w:rsidP="0012660B">
            <w:pPr>
              <w:spacing w:after="0" w:line="240" w:lineRule="auto"/>
              <w:rPr>
                <w:rFonts w:ascii="Arial Narrow" w:hAnsi="Arial Narrow"/>
                <w:color w:val="000000"/>
                <w:sz w:val="18"/>
                <w:szCs w:val="18"/>
              </w:rPr>
            </w:pPr>
            <w:r w:rsidRPr="0037389A">
              <w:rPr>
                <w:rFonts w:ascii="Arial Narrow" w:hAnsi="Arial Narrow"/>
                <w:color w:val="000000"/>
                <w:sz w:val="18"/>
                <w:szCs w:val="18"/>
              </w:rPr>
              <w:t>Prepojenie vzdelávania a potrieb trhu práce</w:t>
            </w:r>
          </w:p>
        </w:tc>
        <w:tc>
          <w:tcPr>
            <w:tcW w:w="1456" w:type="dxa"/>
            <w:tcBorders>
              <w:top w:val="nil"/>
              <w:left w:val="nil"/>
              <w:bottom w:val="dotted" w:sz="4" w:space="0" w:color="auto"/>
              <w:right w:val="nil"/>
            </w:tcBorders>
            <w:shd w:val="clear" w:color="auto" w:fill="auto"/>
            <w:noWrap/>
            <w:vAlign w:val="center"/>
          </w:tcPr>
          <w:p w14:paraId="1F022122" w14:textId="77777777" w:rsidR="007D2366" w:rsidRPr="0037389A" w:rsidRDefault="007A35D4"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31.12.</w:t>
            </w:r>
            <w:r w:rsidR="0037389A" w:rsidRPr="0037389A">
              <w:rPr>
                <w:rFonts w:ascii="Arial Narrow" w:hAnsi="Arial Narrow"/>
                <w:color w:val="000000"/>
                <w:sz w:val="18"/>
                <w:szCs w:val="18"/>
              </w:rPr>
              <w:t>2019</w:t>
            </w:r>
          </w:p>
        </w:tc>
        <w:tc>
          <w:tcPr>
            <w:tcW w:w="1481" w:type="dxa"/>
            <w:gridSpan w:val="2"/>
            <w:tcBorders>
              <w:top w:val="nil"/>
              <w:left w:val="nil"/>
              <w:bottom w:val="dotted" w:sz="4" w:space="0" w:color="auto"/>
              <w:right w:val="nil"/>
            </w:tcBorders>
            <w:shd w:val="clear" w:color="auto" w:fill="auto"/>
            <w:vAlign w:val="center"/>
          </w:tcPr>
          <w:p w14:paraId="2FBDD86A"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MŠVVŠ SR</w:t>
            </w:r>
          </w:p>
        </w:tc>
      </w:tr>
      <w:tr w:rsidR="007D2366" w:rsidRPr="0037389A" w14:paraId="52FA7D5F" w14:textId="77777777" w:rsidTr="00577523">
        <w:trPr>
          <w:trHeight w:val="429"/>
          <w:jc w:val="center"/>
        </w:trPr>
        <w:tc>
          <w:tcPr>
            <w:tcW w:w="1099" w:type="dxa"/>
            <w:tcBorders>
              <w:top w:val="nil"/>
              <w:left w:val="nil"/>
              <w:bottom w:val="dotted" w:sz="4" w:space="0" w:color="auto"/>
              <w:right w:val="nil"/>
            </w:tcBorders>
            <w:shd w:val="clear" w:color="auto" w:fill="auto"/>
            <w:noWrap/>
            <w:vAlign w:val="center"/>
          </w:tcPr>
          <w:p w14:paraId="027DC897" w14:textId="77777777" w:rsidR="007D2366" w:rsidRPr="007568C4" w:rsidRDefault="007D2366" w:rsidP="004C54B9">
            <w:pPr>
              <w:spacing w:after="0" w:line="240" w:lineRule="auto"/>
              <w:jc w:val="center"/>
              <w:rPr>
                <w:rFonts w:ascii="Arial Narrow" w:hAnsi="Arial Narrow"/>
                <w:color w:val="000000" w:themeColor="text1"/>
                <w:sz w:val="18"/>
                <w:szCs w:val="18"/>
              </w:rPr>
            </w:pPr>
            <w:r w:rsidRPr="007568C4">
              <w:rPr>
                <w:rFonts w:ascii="Arial Narrow" w:hAnsi="Arial Narrow"/>
                <w:color w:val="000000" w:themeColor="text1"/>
                <w:sz w:val="18"/>
                <w:szCs w:val="18"/>
              </w:rPr>
              <w:t>2</w:t>
            </w:r>
          </w:p>
        </w:tc>
        <w:tc>
          <w:tcPr>
            <w:tcW w:w="4571" w:type="dxa"/>
            <w:tcBorders>
              <w:top w:val="nil"/>
              <w:left w:val="nil"/>
              <w:bottom w:val="dotted" w:sz="4" w:space="0" w:color="auto"/>
              <w:right w:val="nil"/>
            </w:tcBorders>
            <w:shd w:val="clear" w:color="auto" w:fill="auto"/>
            <w:vAlign w:val="center"/>
          </w:tcPr>
          <w:p w14:paraId="2E84F1EB" w14:textId="45A1E821" w:rsidR="007D2366" w:rsidRPr="007568C4" w:rsidRDefault="007568C4" w:rsidP="0012660B">
            <w:pPr>
              <w:spacing w:after="0" w:line="240" w:lineRule="auto"/>
              <w:rPr>
                <w:rFonts w:ascii="Arial Narrow" w:hAnsi="Arial Narrow"/>
                <w:color w:val="000000" w:themeColor="text1"/>
                <w:sz w:val="18"/>
                <w:szCs w:val="18"/>
              </w:rPr>
            </w:pPr>
            <w:r w:rsidRPr="007568C4">
              <w:rPr>
                <w:rFonts w:ascii="Arial Narrow" w:hAnsi="Arial Narrow"/>
                <w:color w:val="000000" w:themeColor="text1"/>
                <w:sz w:val="18"/>
                <w:szCs w:val="18"/>
              </w:rPr>
              <w:t>Dokončenie procesu prípravy pre fungovanie Slovenskej akreditačnej komisie a príprava metodiky pre periodické hodnotenie tvorivej činnosti vysokých škôl</w:t>
            </w:r>
          </w:p>
        </w:tc>
        <w:tc>
          <w:tcPr>
            <w:tcW w:w="1456" w:type="dxa"/>
            <w:tcBorders>
              <w:top w:val="nil"/>
              <w:left w:val="nil"/>
              <w:bottom w:val="dotted" w:sz="4" w:space="0" w:color="auto"/>
              <w:right w:val="nil"/>
            </w:tcBorders>
            <w:shd w:val="clear" w:color="auto" w:fill="auto"/>
            <w:noWrap/>
            <w:vAlign w:val="center"/>
          </w:tcPr>
          <w:p w14:paraId="3D418C88"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31.12.</w:t>
            </w:r>
            <w:r w:rsidR="0037389A" w:rsidRPr="0037389A">
              <w:rPr>
                <w:rFonts w:ascii="Arial Narrow" w:hAnsi="Arial Narrow"/>
                <w:color w:val="000000"/>
                <w:sz w:val="18"/>
                <w:szCs w:val="18"/>
              </w:rPr>
              <w:t>2019</w:t>
            </w:r>
          </w:p>
        </w:tc>
        <w:tc>
          <w:tcPr>
            <w:tcW w:w="1481" w:type="dxa"/>
            <w:gridSpan w:val="2"/>
            <w:tcBorders>
              <w:top w:val="nil"/>
              <w:left w:val="nil"/>
              <w:bottom w:val="dotted" w:sz="4" w:space="0" w:color="auto"/>
              <w:right w:val="nil"/>
            </w:tcBorders>
            <w:shd w:val="clear" w:color="auto" w:fill="auto"/>
            <w:vAlign w:val="center"/>
          </w:tcPr>
          <w:p w14:paraId="16B904D1"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MŠVVŠ SR</w:t>
            </w:r>
          </w:p>
        </w:tc>
      </w:tr>
      <w:tr w:rsidR="007D2366" w:rsidRPr="0037389A" w14:paraId="2520AB2F" w14:textId="77777777" w:rsidTr="00577523">
        <w:trPr>
          <w:trHeight w:val="408"/>
          <w:jc w:val="center"/>
        </w:trPr>
        <w:tc>
          <w:tcPr>
            <w:tcW w:w="1099" w:type="dxa"/>
            <w:tcBorders>
              <w:top w:val="dotted" w:sz="4" w:space="0" w:color="auto"/>
              <w:left w:val="nil"/>
              <w:bottom w:val="single" w:sz="4" w:space="0" w:color="auto"/>
              <w:right w:val="nil"/>
            </w:tcBorders>
            <w:shd w:val="clear" w:color="auto" w:fill="auto"/>
            <w:noWrap/>
            <w:vAlign w:val="center"/>
          </w:tcPr>
          <w:p w14:paraId="6EA88F3C" w14:textId="77777777" w:rsidR="007D2366" w:rsidRPr="007568C4" w:rsidRDefault="007D2366" w:rsidP="004C54B9">
            <w:pPr>
              <w:spacing w:after="0" w:line="240" w:lineRule="auto"/>
              <w:jc w:val="center"/>
              <w:rPr>
                <w:rFonts w:ascii="Arial Narrow" w:hAnsi="Arial Narrow"/>
                <w:color w:val="000000" w:themeColor="text1"/>
                <w:sz w:val="18"/>
                <w:szCs w:val="18"/>
              </w:rPr>
            </w:pPr>
            <w:r w:rsidRPr="007568C4">
              <w:rPr>
                <w:rFonts w:ascii="Arial Narrow" w:hAnsi="Arial Narrow"/>
                <w:color w:val="000000" w:themeColor="text1"/>
                <w:sz w:val="18"/>
                <w:szCs w:val="18"/>
              </w:rPr>
              <w:t>2</w:t>
            </w:r>
          </w:p>
        </w:tc>
        <w:tc>
          <w:tcPr>
            <w:tcW w:w="4571" w:type="dxa"/>
            <w:tcBorders>
              <w:top w:val="dotted" w:sz="4" w:space="0" w:color="auto"/>
              <w:left w:val="nil"/>
              <w:bottom w:val="single" w:sz="4" w:space="0" w:color="auto"/>
              <w:right w:val="nil"/>
            </w:tcBorders>
            <w:shd w:val="clear" w:color="auto" w:fill="auto"/>
            <w:vAlign w:val="center"/>
          </w:tcPr>
          <w:p w14:paraId="538BD5F3" w14:textId="2C82EF2B" w:rsidR="007D2366" w:rsidRPr="007568C4" w:rsidRDefault="007568C4" w:rsidP="0037389A">
            <w:pPr>
              <w:spacing w:after="0" w:line="240" w:lineRule="auto"/>
              <w:rPr>
                <w:rFonts w:ascii="Arial Narrow" w:hAnsi="Arial Narrow"/>
                <w:color w:val="000000" w:themeColor="text1"/>
                <w:sz w:val="18"/>
                <w:szCs w:val="18"/>
              </w:rPr>
            </w:pPr>
            <w:r w:rsidRPr="007568C4">
              <w:rPr>
                <w:rFonts w:ascii="Arial Narrow" w:hAnsi="Arial Narrow"/>
                <w:color w:val="000000" w:themeColor="text1"/>
                <w:sz w:val="18"/>
                <w:szCs w:val="18"/>
              </w:rPr>
              <w:t>Zvýšenie podielu grantového financovania vedy a výskumu na VŠ</w:t>
            </w:r>
          </w:p>
        </w:tc>
        <w:tc>
          <w:tcPr>
            <w:tcW w:w="1456" w:type="dxa"/>
            <w:tcBorders>
              <w:top w:val="dotted" w:sz="4" w:space="0" w:color="auto"/>
              <w:left w:val="nil"/>
              <w:bottom w:val="single" w:sz="4" w:space="0" w:color="auto"/>
              <w:right w:val="nil"/>
            </w:tcBorders>
            <w:shd w:val="clear" w:color="auto" w:fill="auto"/>
            <w:noWrap/>
            <w:vAlign w:val="center"/>
          </w:tcPr>
          <w:p w14:paraId="369BAD82" w14:textId="77777777" w:rsidR="007D2366" w:rsidRPr="0037389A" w:rsidRDefault="007A35D4"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31.12.</w:t>
            </w:r>
            <w:r w:rsidR="0037389A" w:rsidRPr="0037389A">
              <w:rPr>
                <w:rFonts w:ascii="Arial Narrow" w:hAnsi="Arial Narrow"/>
                <w:color w:val="000000"/>
                <w:sz w:val="18"/>
                <w:szCs w:val="18"/>
              </w:rPr>
              <w:t>2019</w:t>
            </w:r>
          </w:p>
        </w:tc>
        <w:tc>
          <w:tcPr>
            <w:tcW w:w="1481" w:type="dxa"/>
            <w:gridSpan w:val="2"/>
            <w:tcBorders>
              <w:top w:val="dotted" w:sz="4" w:space="0" w:color="auto"/>
              <w:left w:val="nil"/>
              <w:bottom w:val="single" w:sz="4" w:space="0" w:color="auto"/>
              <w:right w:val="nil"/>
            </w:tcBorders>
            <w:shd w:val="clear" w:color="auto" w:fill="auto"/>
            <w:vAlign w:val="center"/>
          </w:tcPr>
          <w:p w14:paraId="0D5C3317" w14:textId="3068C0AE" w:rsidR="007D2366" w:rsidRPr="0037389A" w:rsidRDefault="007568C4" w:rsidP="004C54B9">
            <w:pPr>
              <w:spacing w:after="0" w:line="240" w:lineRule="auto"/>
              <w:jc w:val="center"/>
              <w:rPr>
                <w:rFonts w:ascii="Arial Narrow" w:hAnsi="Arial Narrow"/>
                <w:color w:val="000000"/>
                <w:sz w:val="18"/>
                <w:szCs w:val="18"/>
              </w:rPr>
            </w:pPr>
            <w:r>
              <w:rPr>
                <w:rFonts w:ascii="Arial Narrow" w:hAnsi="Arial Narrow"/>
                <w:color w:val="000000"/>
                <w:sz w:val="18"/>
                <w:szCs w:val="18"/>
              </w:rPr>
              <w:t>MŠ</w:t>
            </w:r>
            <w:r w:rsidR="007D2366" w:rsidRPr="0037389A">
              <w:rPr>
                <w:rFonts w:ascii="Arial Narrow" w:hAnsi="Arial Narrow"/>
                <w:color w:val="000000"/>
                <w:sz w:val="18"/>
                <w:szCs w:val="18"/>
              </w:rPr>
              <w:t>VVŠ SR</w:t>
            </w:r>
          </w:p>
        </w:tc>
      </w:tr>
      <w:tr w:rsidR="007A35D4" w:rsidRPr="0037389A" w14:paraId="7ECB0C24" w14:textId="77777777" w:rsidTr="00577523">
        <w:trPr>
          <w:trHeight w:val="422"/>
          <w:jc w:val="center"/>
        </w:trPr>
        <w:tc>
          <w:tcPr>
            <w:tcW w:w="1099" w:type="dxa"/>
            <w:tcBorders>
              <w:top w:val="single" w:sz="4" w:space="0" w:color="auto"/>
              <w:left w:val="nil"/>
              <w:bottom w:val="dotted" w:sz="4" w:space="0" w:color="auto"/>
              <w:right w:val="nil"/>
            </w:tcBorders>
            <w:shd w:val="clear" w:color="auto" w:fill="auto"/>
            <w:noWrap/>
            <w:vAlign w:val="center"/>
          </w:tcPr>
          <w:p w14:paraId="7153FBE5" w14:textId="77777777" w:rsidR="007A35D4" w:rsidRPr="0037389A" w:rsidRDefault="007A35D4"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w:t>
            </w:r>
          </w:p>
        </w:tc>
        <w:tc>
          <w:tcPr>
            <w:tcW w:w="4571" w:type="dxa"/>
            <w:tcBorders>
              <w:top w:val="single" w:sz="4" w:space="0" w:color="auto"/>
              <w:left w:val="nil"/>
              <w:bottom w:val="dotted" w:sz="4" w:space="0" w:color="auto"/>
              <w:right w:val="nil"/>
            </w:tcBorders>
            <w:shd w:val="clear" w:color="auto" w:fill="auto"/>
            <w:vAlign w:val="center"/>
          </w:tcPr>
          <w:p w14:paraId="3DF36785" w14:textId="77777777" w:rsidR="007A35D4" w:rsidRPr="0037389A" w:rsidRDefault="0037389A" w:rsidP="0037389A">
            <w:pPr>
              <w:spacing w:after="0" w:line="240" w:lineRule="auto"/>
              <w:rPr>
                <w:rFonts w:ascii="Arial Narrow" w:hAnsi="Arial Narrow"/>
                <w:color w:val="000000"/>
                <w:sz w:val="18"/>
                <w:szCs w:val="18"/>
              </w:rPr>
            </w:pPr>
            <w:r w:rsidRPr="0037389A">
              <w:rPr>
                <w:rFonts w:ascii="Arial Narrow" w:hAnsi="Arial Narrow"/>
                <w:color w:val="000000"/>
                <w:sz w:val="18"/>
                <w:szCs w:val="18"/>
              </w:rPr>
              <w:t>Implementácia opatrení z balíčkov</w:t>
            </w:r>
            <w:r w:rsidR="007A35D4" w:rsidRPr="0037389A">
              <w:rPr>
                <w:rFonts w:ascii="Arial Narrow" w:hAnsi="Arial Narrow"/>
                <w:color w:val="000000"/>
                <w:sz w:val="18"/>
                <w:szCs w:val="18"/>
              </w:rPr>
              <w:t xml:space="preserve"> na znižovanie administratívnej a regulačnej záťaže podnikateľského prostredia</w:t>
            </w:r>
          </w:p>
        </w:tc>
        <w:tc>
          <w:tcPr>
            <w:tcW w:w="1456" w:type="dxa"/>
            <w:tcBorders>
              <w:top w:val="single" w:sz="4" w:space="0" w:color="auto"/>
              <w:left w:val="nil"/>
              <w:bottom w:val="dotted" w:sz="4" w:space="0" w:color="auto"/>
              <w:right w:val="nil"/>
            </w:tcBorders>
            <w:shd w:val="clear" w:color="auto" w:fill="auto"/>
            <w:noWrap/>
            <w:vAlign w:val="center"/>
          </w:tcPr>
          <w:p w14:paraId="3DD71F60" w14:textId="77777777" w:rsidR="007A35D4" w:rsidRPr="0037389A" w:rsidRDefault="007A35D4"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31.12.</w:t>
            </w:r>
            <w:r w:rsidR="0037389A" w:rsidRPr="0037389A">
              <w:rPr>
                <w:rFonts w:ascii="Arial Narrow" w:hAnsi="Arial Narrow"/>
                <w:color w:val="000000"/>
                <w:sz w:val="18"/>
                <w:szCs w:val="18"/>
              </w:rPr>
              <w:t>2019</w:t>
            </w:r>
          </w:p>
        </w:tc>
        <w:tc>
          <w:tcPr>
            <w:tcW w:w="1481" w:type="dxa"/>
            <w:gridSpan w:val="2"/>
            <w:tcBorders>
              <w:top w:val="single" w:sz="4" w:space="0" w:color="auto"/>
              <w:left w:val="nil"/>
              <w:bottom w:val="dotted" w:sz="4" w:space="0" w:color="auto"/>
              <w:right w:val="nil"/>
            </w:tcBorders>
            <w:shd w:val="clear" w:color="auto" w:fill="auto"/>
            <w:vAlign w:val="center"/>
          </w:tcPr>
          <w:p w14:paraId="00DB7959" w14:textId="77777777" w:rsidR="007A35D4" w:rsidRPr="0037389A" w:rsidRDefault="007A35D4"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MH SR</w:t>
            </w:r>
          </w:p>
        </w:tc>
      </w:tr>
      <w:tr w:rsidR="003545DE" w:rsidRPr="0037389A" w14:paraId="651EA349" w14:textId="77777777" w:rsidTr="00577523">
        <w:trPr>
          <w:trHeight w:val="422"/>
          <w:jc w:val="center"/>
        </w:trPr>
        <w:tc>
          <w:tcPr>
            <w:tcW w:w="1099" w:type="dxa"/>
            <w:tcBorders>
              <w:top w:val="dotted" w:sz="4" w:space="0" w:color="auto"/>
              <w:left w:val="nil"/>
              <w:bottom w:val="dotted" w:sz="4" w:space="0" w:color="auto"/>
              <w:right w:val="nil"/>
            </w:tcBorders>
            <w:shd w:val="clear" w:color="auto" w:fill="auto"/>
            <w:noWrap/>
            <w:vAlign w:val="center"/>
          </w:tcPr>
          <w:p w14:paraId="4E9DC5DA" w14:textId="77777777" w:rsidR="003545DE" w:rsidRPr="0037389A" w:rsidRDefault="003545DE"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w:t>
            </w:r>
          </w:p>
        </w:tc>
        <w:tc>
          <w:tcPr>
            <w:tcW w:w="4571" w:type="dxa"/>
            <w:tcBorders>
              <w:top w:val="dotted" w:sz="4" w:space="0" w:color="auto"/>
              <w:left w:val="nil"/>
              <w:bottom w:val="dotted" w:sz="4" w:space="0" w:color="auto"/>
              <w:right w:val="nil"/>
            </w:tcBorders>
            <w:shd w:val="clear" w:color="auto" w:fill="auto"/>
            <w:vAlign w:val="center"/>
          </w:tcPr>
          <w:p w14:paraId="15BC1C7B" w14:textId="77777777" w:rsidR="003545DE" w:rsidRPr="0037389A" w:rsidRDefault="0037389A" w:rsidP="0037389A">
            <w:pPr>
              <w:spacing w:after="0" w:line="240" w:lineRule="auto"/>
              <w:rPr>
                <w:rFonts w:ascii="Arial Narrow" w:hAnsi="Arial Narrow"/>
                <w:color w:val="000000"/>
                <w:sz w:val="18"/>
                <w:szCs w:val="18"/>
              </w:rPr>
            </w:pPr>
            <w:r w:rsidRPr="0037389A">
              <w:rPr>
                <w:rFonts w:ascii="Arial Narrow" w:hAnsi="Arial Narrow"/>
                <w:color w:val="000000"/>
                <w:sz w:val="18"/>
                <w:szCs w:val="18"/>
              </w:rPr>
              <w:t xml:space="preserve">Implementácia </w:t>
            </w:r>
            <w:r w:rsidR="003545DE" w:rsidRPr="0037389A">
              <w:rPr>
                <w:rFonts w:ascii="Arial Narrow" w:hAnsi="Arial Narrow"/>
                <w:i/>
                <w:color w:val="000000"/>
                <w:sz w:val="18"/>
                <w:szCs w:val="18"/>
              </w:rPr>
              <w:t>Akčn</w:t>
            </w:r>
            <w:r w:rsidRPr="0037389A">
              <w:rPr>
                <w:rFonts w:ascii="Arial Narrow" w:hAnsi="Arial Narrow"/>
                <w:i/>
                <w:color w:val="000000"/>
                <w:sz w:val="18"/>
                <w:szCs w:val="18"/>
              </w:rPr>
              <w:t>ého</w:t>
            </w:r>
            <w:r w:rsidR="003545DE" w:rsidRPr="0037389A">
              <w:rPr>
                <w:rFonts w:ascii="Arial Narrow" w:hAnsi="Arial Narrow"/>
                <w:i/>
                <w:color w:val="000000"/>
                <w:sz w:val="18"/>
                <w:szCs w:val="18"/>
              </w:rPr>
              <w:t xml:space="preserve"> plán</w:t>
            </w:r>
            <w:r w:rsidRPr="0037389A">
              <w:rPr>
                <w:rFonts w:ascii="Arial Narrow" w:hAnsi="Arial Narrow"/>
                <w:i/>
                <w:color w:val="000000"/>
                <w:sz w:val="18"/>
                <w:szCs w:val="18"/>
              </w:rPr>
              <w:t>u nových opatrení pre súdy</w:t>
            </w:r>
            <w:r w:rsidR="003545DE" w:rsidRPr="0037389A">
              <w:rPr>
                <w:rFonts w:ascii="Arial Narrow" w:hAnsi="Arial Narrow"/>
                <w:color w:val="000000"/>
                <w:sz w:val="18"/>
                <w:szCs w:val="18"/>
              </w:rPr>
              <w:t xml:space="preserve"> </w:t>
            </w:r>
            <w:r w:rsidRPr="0037389A">
              <w:rPr>
                <w:rFonts w:ascii="Arial Narrow" w:hAnsi="Arial Narrow"/>
                <w:color w:val="000000"/>
                <w:sz w:val="18"/>
                <w:szCs w:val="18"/>
              </w:rPr>
              <w:t>na základe</w:t>
            </w:r>
            <w:r w:rsidR="003545DE" w:rsidRPr="0037389A">
              <w:rPr>
                <w:rFonts w:ascii="Arial Narrow" w:hAnsi="Arial Narrow"/>
                <w:color w:val="000000"/>
                <w:sz w:val="18"/>
                <w:szCs w:val="18"/>
              </w:rPr>
              <w:t xml:space="preserve"> Správy k stave justície (CEPEJ 2017)</w:t>
            </w:r>
          </w:p>
        </w:tc>
        <w:tc>
          <w:tcPr>
            <w:tcW w:w="1456" w:type="dxa"/>
            <w:tcBorders>
              <w:top w:val="dotted" w:sz="4" w:space="0" w:color="auto"/>
              <w:left w:val="nil"/>
              <w:bottom w:val="dotted" w:sz="4" w:space="0" w:color="auto"/>
              <w:right w:val="nil"/>
            </w:tcBorders>
            <w:shd w:val="clear" w:color="auto" w:fill="auto"/>
            <w:noWrap/>
            <w:vAlign w:val="center"/>
          </w:tcPr>
          <w:p w14:paraId="6C9D5DD1" w14:textId="77777777" w:rsidR="003545DE" w:rsidRPr="0037389A" w:rsidRDefault="003545DE"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31.12.</w:t>
            </w:r>
            <w:r w:rsidR="0037389A" w:rsidRPr="0037389A">
              <w:rPr>
                <w:rFonts w:ascii="Arial Narrow" w:hAnsi="Arial Narrow"/>
                <w:color w:val="000000"/>
                <w:sz w:val="18"/>
                <w:szCs w:val="18"/>
              </w:rPr>
              <w:t>2019</w:t>
            </w:r>
          </w:p>
        </w:tc>
        <w:tc>
          <w:tcPr>
            <w:tcW w:w="1481" w:type="dxa"/>
            <w:gridSpan w:val="2"/>
            <w:tcBorders>
              <w:top w:val="dotted" w:sz="4" w:space="0" w:color="auto"/>
              <w:left w:val="nil"/>
              <w:bottom w:val="dotted" w:sz="4" w:space="0" w:color="auto"/>
              <w:right w:val="nil"/>
            </w:tcBorders>
            <w:shd w:val="clear" w:color="auto" w:fill="auto"/>
            <w:vAlign w:val="center"/>
          </w:tcPr>
          <w:p w14:paraId="6C251189" w14:textId="77777777" w:rsidR="003545DE" w:rsidRPr="0037389A" w:rsidRDefault="003545DE"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MS SR</w:t>
            </w:r>
          </w:p>
        </w:tc>
      </w:tr>
      <w:tr w:rsidR="00DA1C9E" w:rsidRPr="0037389A" w14:paraId="0A4984FA" w14:textId="77777777" w:rsidTr="00577523">
        <w:trPr>
          <w:trHeight w:val="422"/>
          <w:jc w:val="center"/>
        </w:trPr>
        <w:tc>
          <w:tcPr>
            <w:tcW w:w="1099" w:type="dxa"/>
            <w:tcBorders>
              <w:top w:val="dotted" w:sz="4" w:space="0" w:color="auto"/>
              <w:left w:val="nil"/>
              <w:bottom w:val="dotted" w:sz="4" w:space="0" w:color="auto"/>
              <w:right w:val="nil"/>
            </w:tcBorders>
            <w:shd w:val="clear" w:color="auto" w:fill="auto"/>
            <w:noWrap/>
            <w:vAlign w:val="center"/>
          </w:tcPr>
          <w:p w14:paraId="636B24B9" w14:textId="77777777" w:rsidR="00DA1C9E" w:rsidRPr="0037389A" w:rsidRDefault="00DA1C9E"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w:t>
            </w:r>
          </w:p>
        </w:tc>
        <w:tc>
          <w:tcPr>
            <w:tcW w:w="4571" w:type="dxa"/>
            <w:tcBorders>
              <w:top w:val="dotted" w:sz="4" w:space="0" w:color="auto"/>
              <w:left w:val="nil"/>
              <w:bottom w:val="dotted" w:sz="4" w:space="0" w:color="auto"/>
              <w:right w:val="nil"/>
            </w:tcBorders>
            <w:shd w:val="clear" w:color="auto" w:fill="auto"/>
            <w:vAlign w:val="center"/>
          </w:tcPr>
          <w:p w14:paraId="206CBB0E" w14:textId="77777777" w:rsidR="00DA1C9E" w:rsidRPr="0037389A" w:rsidRDefault="00DA1C9E" w:rsidP="004C54B9">
            <w:pPr>
              <w:spacing w:after="0" w:line="240" w:lineRule="auto"/>
              <w:rPr>
                <w:rFonts w:ascii="Arial Narrow" w:hAnsi="Arial Narrow"/>
                <w:color w:val="000000"/>
                <w:sz w:val="18"/>
                <w:szCs w:val="18"/>
              </w:rPr>
            </w:pPr>
            <w:r w:rsidRPr="0037389A">
              <w:rPr>
                <w:rFonts w:ascii="Arial Narrow" w:hAnsi="Arial Narrow"/>
                <w:color w:val="000000"/>
                <w:sz w:val="18"/>
                <w:szCs w:val="18"/>
              </w:rPr>
              <w:t xml:space="preserve">Riešenie </w:t>
            </w:r>
            <w:r w:rsidR="00132156" w:rsidRPr="0037389A">
              <w:rPr>
                <w:rFonts w:ascii="Arial Narrow" w:hAnsi="Arial Narrow"/>
                <w:color w:val="000000"/>
                <w:sz w:val="18"/>
                <w:szCs w:val="18"/>
              </w:rPr>
              <w:t xml:space="preserve">súdnych </w:t>
            </w:r>
            <w:r w:rsidRPr="0037389A">
              <w:rPr>
                <w:rFonts w:ascii="Arial Narrow" w:hAnsi="Arial Narrow"/>
                <w:color w:val="000000"/>
                <w:sz w:val="18"/>
                <w:szCs w:val="18"/>
              </w:rPr>
              <w:t xml:space="preserve">exekúcii </w:t>
            </w:r>
          </w:p>
        </w:tc>
        <w:tc>
          <w:tcPr>
            <w:tcW w:w="1456" w:type="dxa"/>
            <w:tcBorders>
              <w:top w:val="dotted" w:sz="4" w:space="0" w:color="auto"/>
              <w:left w:val="nil"/>
              <w:bottom w:val="dotted" w:sz="4" w:space="0" w:color="auto"/>
              <w:right w:val="nil"/>
            </w:tcBorders>
            <w:shd w:val="clear" w:color="auto" w:fill="auto"/>
            <w:noWrap/>
            <w:vAlign w:val="center"/>
          </w:tcPr>
          <w:p w14:paraId="0650C681" w14:textId="77777777" w:rsidR="00DA1C9E" w:rsidRPr="0037389A" w:rsidRDefault="00DA1C9E"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31.12.</w:t>
            </w:r>
            <w:r w:rsidR="0037389A" w:rsidRPr="0037389A">
              <w:rPr>
                <w:rFonts w:ascii="Arial Narrow" w:hAnsi="Arial Narrow"/>
                <w:color w:val="000000"/>
                <w:sz w:val="18"/>
                <w:szCs w:val="18"/>
              </w:rPr>
              <w:t>2019</w:t>
            </w:r>
          </w:p>
        </w:tc>
        <w:tc>
          <w:tcPr>
            <w:tcW w:w="1481" w:type="dxa"/>
            <w:gridSpan w:val="2"/>
            <w:tcBorders>
              <w:top w:val="dotted" w:sz="4" w:space="0" w:color="auto"/>
              <w:left w:val="nil"/>
              <w:bottom w:val="dotted" w:sz="4" w:space="0" w:color="auto"/>
              <w:right w:val="nil"/>
            </w:tcBorders>
            <w:shd w:val="clear" w:color="auto" w:fill="auto"/>
            <w:vAlign w:val="center"/>
          </w:tcPr>
          <w:p w14:paraId="63DC021A" w14:textId="77777777" w:rsidR="00DA1C9E" w:rsidRPr="0037389A" w:rsidRDefault="00DA1C9E"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MS SR</w:t>
            </w:r>
          </w:p>
        </w:tc>
      </w:tr>
      <w:tr w:rsidR="007568C4" w:rsidRPr="0037389A" w14:paraId="0CCC0C3F" w14:textId="77777777" w:rsidTr="00577523">
        <w:trPr>
          <w:trHeight w:val="422"/>
          <w:jc w:val="center"/>
        </w:trPr>
        <w:tc>
          <w:tcPr>
            <w:tcW w:w="1099" w:type="dxa"/>
            <w:tcBorders>
              <w:top w:val="dotted" w:sz="4" w:space="0" w:color="auto"/>
              <w:left w:val="nil"/>
              <w:bottom w:val="dotted" w:sz="4" w:space="0" w:color="auto"/>
              <w:right w:val="nil"/>
            </w:tcBorders>
            <w:shd w:val="clear" w:color="auto" w:fill="auto"/>
            <w:noWrap/>
            <w:vAlign w:val="center"/>
          </w:tcPr>
          <w:p w14:paraId="1E851DD9" w14:textId="0AFE9426" w:rsidR="007568C4" w:rsidRPr="0037389A" w:rsidRDefault="007568C4" w:rsidP="004C54B9">
            <w:pPr>
              <w:spacing w:after="0" w:line="240" w:lineRule="auto"/>
              <w:jc w:val="center"/>
              <w:rPr>
                <w:rFonts w:ascii="Arial Narrow" w:hAnsi="Arial Narrow"/>
                <w:color w:val="000000"/>
                <w:sz w:val="18"/>
                <w:szCs w:val="18"/>
              </w:rPr>
            </w:pPr>
            <w:r>
              <w:rPr>
                <w:rFonts w:ascii="Arial Narrow" w:hAnsi="Arial Narrow"/>
                <w:color w:val="000000"/>
                <w:sz w:val="18"/>
                <w:szCs w:val="18"/>
              </w:rPr>
              <w:t>3</w:t>
            </w:r>
          </w:p>
        </w:tc>
        <w:tc>
          <w:tcPr>
            <w:tcW w:w="4571" w:type="dxa"/>
            <w:tcBorders>
              <w:top w:val="dotted" w:sz="4" w:space="0" w:color="auto"/>
              <w:left w:val="nil"/>
              <w:bottom w:val="dotted" w:sz="4" w:space="0" w:color="auto"/>
              <w:right w:val="nil"/>
            </w:tcBorders>
            <w:shd w:val="clear" w:color="auto" w:fill="auto"/>
            <w:vAlign w:val="center"/>
          </w:tcPr>
          <w:p w14:paraId="73D6C221" w14:textId="50F2256B" w:rsidR="007568C4" w:rsidRPr="0037389A" w:rsidRDefault="00BB57DC" w:rsidP="004C54B9">
            <w:pPr>
              <w:spacing w:after="0" w:line="240" w:lineRule="auto"/>
              <w:rPr>
                <w:rFonts w:ascii="Arial Narrow" w:hAnsi="Arial Narrow"/>
                <w:color w:val="000000"/>
                <w:sz w:val="18"/>
                <w:szCs w:val="18"/>
              </w:rPr>
            </w:pPr>
            <w:r>
              <w:rPr>
                <w:rFonts w:ascii="Arial Narrow" w:hAnsi="Arial Narrow"/>
                <w:color w:val="000000"/>
                <w:sz w:val="18"/>
                <w:szCs w:val="18"/>
              </w:rPr>
              <w:t>A</w:t>
            </w:r>
            <w:r w:rsidRPr="00BB57DC">
              <w:rPr>
                <w:rFonts w:ascii="Arial Narrow" w:hAnsi="Arial Narrow"/>
                <w:color w:val="000000"/>
                <w:sz w:val="18"/>
                <w:szCs w:val="18"/>
              </w:rPr>
              <w:t>kčný plán na posilnenie boja proti korupcii a podvodom</w:t>
            </w:r>
          </w:p>
        </w:tc>
        <w:tc>
          <w:tcPr>
            <w:tcW w:w="1456" w:type="dxa"/>
            <w:tcBorders>
              <w:top w:val="dotted" w:sz="4" w:space="0" w:color="auto"/>
              <w:left w:val="nil"/>
              <w:bottom w:val="dotted" w:sz="4" w:space="0" w:color="auto"/>
              <w:right w:val="nil"/>
            </w:tcBorders>
            <w:shd w:val="clear" w:color="auto" w:fill="auto"/>
            <w:noWrap/>
            <w:vAlign w:val="center"/>
          </w:tcPr>
          <w:p w14:paraId="10E263F4" w14:textId="0A273F89" w:rsidR="007568C4" w:rsidRPr="0037389A" w:rsidRDefault="00BB57DC"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31.12.2019</w:t>
            </w:r>
          </w:p>
        </w:tc>
        <w:tc>
          <w:tcPr>
            <w:tcW w:w="1481" w:type="dxa"/>
            <w:gridSpan w:val="2"/>
            <w:tcBorders>
              <w:top w:val="dotted" w:sz="4" w:space="0" w:color="auto"/>
              <w:left w:val="nil"/>
              <w:bottom w:val="dotted" w:sz="4" w:space="0" w:color="auto"/>
              <w:right w:val="nil"/>
            </w:tcBorders>
            <w:shd w:val="clear" w:color="auto" w:fill="auto"/>
            <w:vAlign w:val="center"/>
          </w:tcPr>
          <w:p w14:paraId="582133C6" w14:textId="43F020AD" w:rsidR="007568C4" w:rsidRPr="0037389A" w:rsidRDefault="00EE676F" w:rsidP="004C54B9">
            <w:pPr>
              <w:spacing w:after="0" w:line="240" w:lineRule="auto"/>
              <w:jc w:val="center"/>
              <w:rPr>
                <w:rFonts w:ascii="Arial Narrow" w:hAnsi="Arial Narrow"/>
                <w:color w:val="000000"/>
                <w:sz w:val="18"/>
                <w:szCs w:val="18"/>
              </w:rPr>
            </w:pPr>
            <w:r>
              <w:rPr>
                <w:rFonts w:ascii="Arial Narrow" w:hAnsi="Arial Narrow"/>
                <w:color w:val="000000"/>
                <w:sz w:val="18"/>
                <w:szCs w:val="18"/>
              </w:rPr>
              <w:t>ÚPVII</w:t>
            </w:r>
          </w:p>
        </w:tc>
      </w:tr>
      <w:tr w:rsidR="007D2366" w:rsidRPr="0037389A" w14:paraId="6F619EFD" w14:textId="77777777" w:rsidTr="00577523">
        <w:trPr>
          <w:trHeight w:val="422"/>
          <w:jc w:val="center"/>
        </w:trPr>
        <w:tc>
          <w:tcPr>
            <w:tcW w:w="1099" w:type="dxa"/>
            <w:tcBorders>
              <w:top w:val="dotted" w:sz="4" w:space="0" w:color="auto"/>
              <w:left w:val="nil"/>
              <w:bottom w:val="single" w:sz="4" w:space="0" w:color="auto"/>
              <w:right w:val="nil"/>
            </w:tcBorders>
            <w:shd w:val="clear" w:color="auto" w:fill="auto"/>
            <w:noWrap/>
            <w:vAlign w:val="center"/>
          </w:tcPr>
          <w:p w14:paraId="417F2304" w14:textId="77777777" w:rsidR="007D2366" w:rsidRPr="0037389A" w:rsidRDefault="007D2366"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w:t>
            </w:r>
          </w:p>
        </w:tc>
        <w:tc>
          <w:tcPr>
            <w:tcW w:w="4571" w:type="dxa"/>
            <w:tcBorders>
              <w:top w:val="dotted" w:sz="4" w:space="0" w:color="auto"/>
              <w:left w:val="nil"/>
              <w:bottom w:val="single" w:sz="4" w:space="0" w:color="auto"/>
              <w:right w:val="nil"/>
            </w:tcBorders>
            <w:shd w:val="clear" w:color="auto" w:fill="auto"/>
            <w:vAlign w:val="center"/>
          </w:tcPr>
          <w:p w14:paraId="456F3322" w14:textId="77777777" w:rsidR="007D2366" w:rsidRPr="0037389A" w:rsidRDefault="007D2366" w:rsidP="004C54B9">
            <w:pPr>
              <w:spacing w:after="0" w:line="240" w:lineRule="auto"/>
              <w:rPr>
                <w:rFonts w:ascii="Arial Narrow" w:hAnsi="Arial Narrow"/>
                <w:color w:val="000000"/>
                <w:sz w:val="18"/>
                <w:szCs w:val="18"/>
              </w:rPr>
            </w:pPr>
            <w:r w:rsidRPr="0037389A">
              <w:rPr>
                <w:rFonts w:ascii="Arial Narrow" w:hAnsi="Arial Narrow"/>
                <w:color w:val="000000"/>
                <w:sz w:val="18"/>
                <w:szCs w:val="18"/>
              </w:rPr>
              <w:t>Elektronizácia verejnej správy</w:t>
            </w:r>
          </w:p>
        </w:tc>
        <w:tc>
          <w:tcPr>
            <w:tcW w:w="1456" w:type="dxa"/>
            <w:tcBorders>
              <w:top w:val="dotted" w:sz="4" w:space="0" w:color="auto"/>
              <w:left w:val="nil"/>
              <w:bottom w:val="single" w:sz="4" w:space="0" w:color="auto"/>
              <w:right w:val="nil"/>
            </w:tcBorders>
            <w:shd w:val="clear" w:color="auto" w:fill="auto"/>
            <w:noWrap/>
            <w:vAlign w:val="center"/>
          </w:tcPr>
          <w:p w14:paraId="560981A8" w14:textId="77777777" w:rsidR="007D2366" w:rsidRPr="0037389A" w:rsidRDefault="007A35D4" w:rsidP="004C54B9">
            <w:pPr>
              <w:spacing w:after="0" w:line="240" w:lineRule="auto"/>
              <w:jc w:val="center"/>
              <w:rPr>
                <w:rFonts w:ascii="Arial Narrow" w:hAnsi="Arial Narrow"/>
                <w:color w:val="000000"/>
                <w:sz w:val="18"/>
                <w:szCs w:val="18"/>
              </w:rPr>
            </w:pPr>
            <w:r w:rsidRPr="0037389A">
              <w:rPr>
                <w:rFonts w:ascii="Arial Narrow" w:hAnsi="Arial Narrow"/>
                <w:color w:val="000000"/>
                <w:sz w:val="18"/>
                <w:szCs w:val="18"/>
              </w:rPr>
              <w:t>31.12.</w:t>
            </w:r>
            <w:r w:rsidR="0037389A" w:rsidRPr="0037389A">
              <w:rPr>
                <w:rFonts w:ascii="Arial Narrow" w:hAnsi="Arial Narrow"/>
                <w:color w:val="000000"/>
                <w:sz w:val="18"/>
                <w:szCs w:val="18"/>
              </w:rPr>
              <w:t>2019</w:t>
            </w:r>
          </w:p>
        </w:tc>
        <w:tc>
          <w:tcPr>
            <w:tcW w:w="1481" w:type="dxa"/>
            <w:gridSpan w:val="2"/>
            <w:tcBorders>
              <w:top w:val="dotted" w:sz="4" w:space="0" w:color="auto"/>
              <w:left w:val="nil"/>
              <w:bottom w:val="single" w:sz="4" w:space="0" w:color="auto"/>
              <w:right w:val="nil"/>
            </w:tcBorders>
            <w:shd w:val="clear" w:color="auto" w:fill="auto"/>
            <w:vAlign w:val="center"/>
          </w:tcPr>
          <w:p w14:paraId="45BFEFDC" w14:textId="3B7F0071" w:rsidR="007D2366" w:rsidRPr="0037389A" w:rsidRDefault="00EE676F" w:rsidP="00C95809">
            <w:pPr>
              <w:spacing w:after="0" w:line="240" w:lineRule="auto"/>
              <w:jc w:val="center"/>
              <w:rPr>
                <w:rFonts w:ascii="Arial Narrow" w:hAnsi="Arial Narrow"/>
                <w:color w:val="000000"/>
                <w:sz w:val="18"/>
                <w:szCs w:val="18"/>
              </w:rPr>
            </w:pPr>
            <w:r>
              <w:rPr>
                <w:rFonts w:ascii="Arial Narrow" w:hAnsi="Arial Narrow"/>
                <w:color w:val="000000"/>
                <w:sz w:val="18"/>
                <w:szCs w:val="18"/>
              </w:rPr>
              <w:t>ÚPVII</w:t>
            </w:r>
            <w:r w:rsidR="00C95809">
              <w:rPr>
                <w:rFonts w:ascii="Arial Narrow" w:hAnsi="Arial Narrow"/>
                <w:color w:val="000000"/>
                <w:sz w:val="18"/>
                <w:szCs w:val="18"/>
              </w:rPr>
              <w:t xml:space="preserve">, </w:t>
            </w:r>
            <w:r w:rsidR="0077729A">
              <w:rPr>
                <w:rFonts w:ascii="Arial Narrow" w:hAnsi="Arial Narrow"/>
                <w:sz w:val="18"/>
                <w:szCs w:val="18"/>
              </w:rPr>
              <w:t>MF SR</w:t>
            </w:r>
          </w:p>
        </w:tc>
      </w:tr>
    </w:tbl>
    <w:p w14:paraId="0F1D4879" w14:textId="77777777" w:rsidR="007D2366" w:rsidRPr="004C54B9" w:rsidRDefault="007D2366" w:rsidP="004C54B9">
      <w:pPr>
        <w:spacing w:after="0" w:line="240" w:lineRule="auto"/>
        <w:jc w:val="both"/>
        <w:rPr>
          <w:rFonts w:ascii="Arial Narrow" w:hAnsi="Arial Narrow"/>
        </w:rPr>
      </w:pPr>
    </w:p>
    <w:p w14:paraId="71720778" w14:textId="77777777" w:rsidR="007D2366" w:rsidRPr="004C54B9" w:rsidRDefault="007D2366" w:rsidP="004C54B9">
      <w:pPr>
        <w:spacing w:after="0" w:line="240" w:lineRule="auto"/>
        <w:jc w:val="both"/>
        <w:rPr>
          <w:rFonts w:ascii="Arial Narrow" w:hAnsi="Arial Narrow"/>
        </w:rPr>
      </w:pPr>
    </w:p>
    <w:p w14:paraId="3E958BAB" w14:textId="77777777" w:rsidR="007D2366" w:rsidRPr="004C54B9" w:rsidRDefault="007D2366" w:rsidP="004C54B9">
      <w:pPr>
        <w:spacing w:after="0" w:line="240" w:lineRule="auto"/>
        <w:jc w:val="both"/>
        <w:rPr>
          <w:rFonts w:ascii="Arial Narrow" w:hAnsi="Arial Narrow"/>
        </w:rPr>
      </w:pPr>
      <w:r w:rsidRPr="004C54B9">
        <w:rPr>
          <w:rFonts w:ascii="Arial Narrow" w:hAnsi="Arial Narrow"/>
        </w:rPr>
        <w:br w:type="page"/>
      </w:r>
    </w:p>
    <w:p w14:paraId="0A1BE961" w14:textId="77777777" w:rsidR="007D2366" w:rsidRPr="00FB5149" w:rsidRDefault="007D2366" w:rsidP="004C54B9">
      <w:pPr>
        <w:pStyle w:val="Nadpis2"/>
        <w:numPr>
          <w:ilvl w:val="1"/>
          <w:numId w:val="1"/>
        </w:numPr>
        <w:spacing w:after="240" w:line="240" w:lineRule="auto"/>
        <w:jc w:val="both"/>
        <w:rPr>
          <w:rFonts w:ascii="Arial Narrow" w:hAnsi="Arial Narrow"/>
          <w:color w:val="2C9ADC"/>
          <w:sz w:val="32"/>
          <w:szCs w:val="22"/>
        </w:rPr>
      </w:pPr>
      <w:bookmarkStart w:id="16" w:name="_Toc480749804"/>
      <w:bookmarkStart w:id="17" w:name="_Toc4766834"/>
      <w:r w:rsidRPr="00FB5149">
        <w:rPr>
          <w:rFonts w:ascii="Arial Narrow" w:hAnsi="Arial Narrow"/>
          <w:color w:val="2C9ADC"/>
          <w:sz w:val="32"/>
          <w:szCs w:val="22"/>
        </w:rPr>
        <w:lastRenderedPageBreak/>
        <w:t>Fiškálna politika a verejné financie</w:t>
      </w:r>
      <w:bookmarkEnd w:id="16"/>
      <w:bookmarkEnd w:id="17"/>
    </w:p>
    <w:p w14:paraId="50863E0D" w14:textId="77777777" w:rsidR="00E41831" w:rsidRPr="00E41831" w:rsidRDefault="00E41831" w:rsidP="00E41831">
      <w:pPr>
        <w:spacing w:after="0" w:line="240" w:lineRule="auto"/>
        <w:jc w:val="both"/>
        <w:rPr>
          <w:rFonts w:ascii="Arial Narrow" w:hAnsi="Arial Narrow"/>
          <w:i/>
          <w:highlight w:val="yellow"/>
        </w:rPr>
      </w:pPr>
      <w:r w:rsidRPr="00E41831">
        <w:rPr>
          <w:rFonts w:ascii="Arial Narrow" w:hAnsi="Arial Narrow"/>
          <w:i/>
        </w:rPr>
        <w:t xml:space="preserve">V uplynulom období sa podarilo významne zvýšiť efektívnosť výberu daní, najmä pri DPH. Od roku 2019 sa implementujú nové opatrenia na boj proti daňovým únikom. </w:t>
      </w:r>
      <w:r w:rsidRPr="00E41831">
        <w:rPr>
          <w:rFonts w:ascii="Arial Narrow" w:hAnsi="Arial Narrow"/>
          <w:i/>
          <w:color w:val="000000" w:themeColor="text1"/>
        </w:rPr>
        <w:t xml:space="preserve">Do konca volebného obdobia sa pripravia viaceré varianty stanovenia výdavkových stropov na nadchádzajúce volebné obdobie. Legislatívne sa </w:t>
      </w:r>
      <w:proofErr w:type="spellStart"/>
      <w:r w:rsidRPr="00E41831">
        <w:rPr>
          <w:rFonts w:ascii="Arial Narrow" w:hAnsi="Arial Narrow"/>
          <w:i/>
          <w:color w:val="000000" w:themeColor="text1"/>
        </w:rPr>
        <w:t>ukotvuje</w:t>
      </w:r>
      <w:proofErr w:type="spellEnd"/>
      <w:r w:rsidRPr="00E41831">
        <w:rPr>
          <w:rFonts w:ascii="Arial Narrow" w:hAnsi="Arial Narrow"/>
          <w:i/>
          <w:color w:val="000000" w:themeColor="text1"/>
        </w:rPr>
        <w:t xml:space="preserve"> projekt Hodnoty za peniaze v rozpočtovej praxi s účinnosťou viacerých zmien od roku 2020. </w:t>
      </w:r>
      <w:r w:rsidRPr="00E41831">
        <w:rPr>
          <w:rFonts w:ascii="Arial Narrow" w:hAnsi="Arial Narrow"/>
          <w:i/>
        </w:rPr>
        <w:t xml:space="preserve">Od roku 2019 sa rozširuje rozsah povinne rozpočtovaných výdavkov a príjmov pre samosprávy. </w:t>
      </w:r>
    </w:p>
    <w:p w14:paraId="6EF53885" w14:textId="77777777" w:rsidR="00E41831" w:rsidRPr="004C54B9" w:rsidRDefault="00E41831" w:rsidP="004C54B9">
      <w:pPr>
        <w:spacing w:after="0" w:line="240" w:lineRule="auto"/>
        <w:jc w:val="both"/>
        <w:rPr>
          <w:rFonts w:ascii="Arial Narrow" w:hAnsi="Arial Narrow"/>
          <w:highlight w:val="yellow"/>
          <w:lang w:eastAsia="en-US"/>
        </w:rPr>
      </w:pPr>
    </w:p>
    <w:tbl>
      <w:tblPr>
        <w:tblW w:w="8610" w:type="dxa"/>
        <w:jc w:val="center"/>
        <w:tblCellMar>
          <w:left w:w="70" w:type="dxa"/>
          <w:right w:w="70" w:type="dxa"/>
        </w:tblCellMar>
        <w:tblLook w:val="04A0" w:firstRow="1" w:lastRow="0" w:firstColumn="1" w:lastColumn="0" w:noHBand="0" w:noVBand="1"/>
      </w:tblPr>
      <w:tblGrid>
        <w:gridCol w:w="2515"/>
        <w:gridCol w:w="540"/>
        <w:gridCol w:w="505"/>
        <w:gridCol w:w="505"/>
        <w:gridCol w:w="505"/>
        <w:gridCol w:w="505"/>
        <w:gridCol w:w="505"/>
        <w:gridCol w:w="505"/>
        <w:gridCol w:w="505"/>
        <w:gridCol w:w="505"/>
        <w:gridCol w:w="505"/>
        <w:gridCol w:w="505"/>
        <w:gridCol w:w="505"/>
      </w:tblGrid>
      <w:tr w:rsidR="00E41831" w:rsidRPr="004C54B9" w14:paraId="48916EFF" w14:textId="77777777" w:rsidTr="00E41831">
        <w:trPr>
          <w:trHeight w:val="253"/>
          <w:jc w:val="center"/>
        </w:trPr>
        <w:tc>
          <w:tcPr>
            <w:tcW w:w="8610" w:type="dxa"/>
            <w:gridSpan w:val="13"/>
            <w:tcBorders>
              <w:top w:val="nil"/>
              <w:left w:val="nil"/>
              <w:bottom w:val="single" w:sz="4" w:space="0" w:color="auto"/>
              <w:right w:val="nil"/>
            </w:tcBorders>
          </w:tcPr>
          <w:p w14:paraId="218D6611" w14:textId="4D0908E7" w:rsidR="00E41831" w:rsidRPr="00FB5149" w:rsidRDefault="00E41831" w:rsidP="004C54B9">
            <w:pPr>
              <w:spacing w:after="0" w:line="240" w:lineRule="auto"/>
              <w:rPr>
                <w:rFonts w:ascii="Arial Narrow" w:hAnsi="Arial Narrow"/>
                <w:b/>
                <w:bCs/>
                <w:sz w:val="20"/>
                <w:szCs w:val="20"/>
                <w:highlight w:val="yellow"/>
              </w:rPr>
            </w:pPr>
            <w:r w:rsidRPr="00EE6DBB">
              <w:rPr>
                <w:rFonts w:ascii="Arial Narrow" w:hAnsi="Arial Narrow"/>
                <w:b/>
                <w:bCs/>
                <w:color w:val="2C9ADC"/>
                <w:sz w:val="20"/>
                <w:szCs w:val="20"/>
              </w:rPr>
              <w:t>Výsledkové indikátory pre fiškálnu politiku a verejné financie</w:t>
            </w:r>
          </w:p>
        </w:tc>
      </w:tr>
      <w:tr w:rsidR="00E41831" w:rsidRPr="004C54B9" w14:paraId="352C407D" w14:textId="77777777" w:rsidTr="00E41831">
        <w:trPr>
          <w:trHeight w:val="334"/>
          <w:jc w:val="center"/>
        </w:trPr>
        <w:tc>
          <w:tcPr>
            <w:tcW w:w="2515" w:type="dxa"/>
            <w:tcBorders>
              <w:top w:val="nil"/>
              <w:left w:val="nil"/>
              <w:bottom w:val="single" w:sz="4" w:space="0" w:color="auto"/>
              <w:right w:val="nil"/>
            </w:tcBorders>
            <w:shd w:val="clear" w:color="auto" w:fill="auto"/>
            <w:noWrap/>
            <w:vAlign w:val="center"/>
            <w:hideMark/>
          </w:tcPr>
          <w:p w14:paraId="0C7A261A" w14:textId="77777777" w:rsidR="00E41831" w:rsidRPr="00E41831" w:rsidRDefault="00E41831" w:rsidP="004C54B9">
            <w:pPr>
              <w:spacing w:after="0" w:line="240" w:lineRule="auto"/>
              <w:rPr>
                <w:rFonts w:ascii="Arial Narrow" w:hAnsi="Arial Narrow"/>
                <w:b/>
                <w:bCs/>
                <w:sz w:val="20"/>
                <w:szCs w:val="20"/>
              </w:rPr>
            </w:pPr>
            <w:r w:rsidRPr="00E41831">
              <w:rPr>
                <w:rFonts w:ascii="Arial Narrow" w:hAnsi="Arial Narrow"/>
                <w:b/>
                <w:bCs/>
                <w:sz w:val="20"/>
                <w:szCs w:val="20"/>
              </w:rPr>
              <w:t> </w:t>
            </w:r>
          </w:p>
        </w:tc>
        <w:tc>
          <w:tcPr>
            <w:tcW w:w="540" w:type="dxa"/>
            <w:tcBorders>
              <w:top w:val="nil"/>
              <w:left w:val="nil"/>
              <w:bottom w:val="single" w:sz="4" w:space="0" w:color="auto"/>
              <w:right w:val="nil"/>
            </w:tcBorders>
            <w:shd w:val="clear" w:color="auto" w:fill="auto"/>
            <w:noWrap/>
            <w:vAlign w:val="center"/>
            <w:hideMark/>
          </w:tcPr>
          <w:p w14:paraId="45146858" w14:textId="77777777" w:rsidR="00E41831" w:rsidRPr="00E41831" w:rsidRDefault="00E41831" w:rsidP="004C54B9">
            <w:pPr>
              <w:spacing w:after="0" w:line="240" w:lineRule="auto"/>
              <w:rPr>
                <w:rFonts w:ascii="Arial Narrow" w:hAnsi="Arial Narrow"/>
                <w:b/>
                <w:bCs/>
                <w:sz w:val="20"/>
                <w:szCs w:val="20"/>
              </w:rPr>
            </w:pPr>
            <w:r w:rsidRPr="00E41831">
              <w:rPr>
                <w:rFonts w:ascii="Arial Narrow" w:hAnsi="Arial Narrow"/>
                <w:b/>
                <w:bCs/>
                <w:sz w:val="20"/>
                <w:szCs w:val="20"/>
              </w:rPr>
              <w:t> </w:t>
            </w:r>
          </w:p>
        </w:tc>
        <w:tc>
          <w:tcPr>
            <w:tcW w:w="505" w:type="dxa"/>
            <w:tcBorders>
              <w:top w:val="nil"/>
              <w:left w:val="nil"/>
              <w:bottom w:val="single" w:sz="4" w:space="0" w:color="auto"/>
              <w:right w:val="nil"/>
            </w:tcBorders>
            <w:shd w:val="clear" w:color="auto" w:fill="auto"/>
            <w:noWrap/>
            <w:vAlign w:val="center"/>
          </w:tcPr>
          <w:p w14:paraId="38237418" w14:textId="77777777" w:rsidR="00E41831" w:rsidRPr="00E41831" w:rsidRDefault="00E41831" w:rsidP="00E41831">
            <w:pPr>
              <w:spacing w:after="0" w:line="240" w:lineRule="auto"/>
              <w:jc w:val="center"/>
              <w:rPr>
                <w:rFonts w:ascii="Arial Narrow" w:hAnsi="Arial Narrow"/>
                <w:b/>
                <w:bCs/>
                <w:sz w:val="20"/>
                <w:szCs w:val="20"/>
              </w:rPr>
            </w:pPr>
            <w:r w:rsidRPr="00E41831">
              <w:rPr>
                <w:rFonts w:ascii="Arial Narrow" w:hAnsi="Arial Narrow"/>
                <w:b/>
                <w:bCs/>
                <w:sz w:val="20"/>
                <w:szCs w:val="20"/>
              </w:rPr>
              <w:t>2009</w:t>
            </w:r>
          </w:p>
        </w:tc>
        <w:tc>
          <w:tcPr>
            <w:tcW w:w="505" w:type="dxa"/>
            <w:tcBorders>
              <w:top w:val="nil"/>
              <w:left w:val="nil"/>
              <w:bottom w:val="single" w:sz="4" w:space="0" w:color="auto"/>
              <w:right w:val="nil"/>
            </w:tcBorders>
            <w:shd w:val="clear" w:color="auto" w:fill="auto"/>
            <w:noWrap/>
            <w:vAlign w:val="center"/>
          </w:tcPr>
          <w:p w14:paraId="43299210" w14:textId="77777777" w:rsidR="00E41831" w:rsidRPr="00E41831" w:rsidRDefault="00E41831" w:rsidP="00E41831">
            <w:pPr>
              <w:spacing w:after="0" w:line="240" w:lineRule="auto"/>
              <w:jc w:val="center"/>
              <w:rPr>
                <w:rFonts w:ascii="Arial Narrow" w:hAnsi="Arial Narrow"/>
                <w:b/>
                <w:bCs/>
                <w:sz w:val="20"/>
                <w:szCs w:val="20"/>
              </w:rPr>
            </w:pPr>
            <w:r w:rsidRPr="00E41831">
              <w:rPr>
                <w:rFonts w:ascii="Arial Narrow" w:hAnsi="Arial Narrow"/>
                <w:b/>
                <w:bCs/>
                <w:sz w:val="20"/>
                <w:szCs w:val="20"/>
              </w:rPr>
              <w:t>2010</w:t>
            </w:r>
          </w:p>
        </w:tc>
        <w:tc>
          <w:tcPr>
            <w:tcW w:w="505" w:type="dxa"/>
            <w:tcBorders>
              <w:top w:val="nil"/>
              <w:left w:val="nil"/>
              <w:bottom w:val="single" w:sz="4" w:space="0" w:color="auto"/>
              <w:right w:val="nil"/>
            </w:tcBorders>
            <w:shd w:val="clear" w:color="auto" w:fill="auto"/>
            <w:noWrap/>
            <w:vAlign w:val="center"/>
          </w:tcPr>
          <w:p w14:paraId="2CD54562" w14:textId="77777777" w:rsidR="00E41831" w:rsidRPr="00E41831" w:rsidRDefault="00E41831" w:rsidP="00E41831">
            <w:pPr>
              <w:spacing w:after="0" w:line="240" w:lineRule="auto"/>
              <w:jc w:val="center"/>
              <w:rPr>
                <w:rFonts w:ascii="Arial Narrow" w:hAnsi="Arial Narrow"/>
                <w:b/>
                <w:bCs/>
                <w:sz w:val="20"/>
                <w:szCs w:val="20"/>
              </w:rPr>
            </w:pPr>
            <w:r w:rsidRPr="00E41831">
              <w:rPr>
                <w:rFonts w:ascii="Arial Narrow" w:hAnsi="Arial Narrow"/>
                <w:b/>
                <w:bCs/>
                <w:sz w:val="20"/>
                <w:szCs w:val="20"/>
              </w:rPr>
              <w:t>2011</w:t>
            </w:r>
          </w:p>
        </w:tc>
        <w:tc>
          <w:tcPr>
            <w:tcW w:w="505" w:type="dxa"/>
            <w:tcBorders>
              <w:top w:val="nil"/>
              <w:left w:val="nil"/>
              <w:bottom w:val="single" w:sz="4" w:space="0" w:color="auto"/>
              <w:right w:val="nil"/>
            </w:tcBorders>
            <w:shd w:val="clear" w:color="auto" w:fill="auto"/>
            <w:noWrap/>
            <w:vAlign w:val="center"/>
          </w:tcPr>
          <w:p w14:paraId="0CD384B7" w14:textId="77777777" w:rsidR="00E41831" w:rsidRPr="00E41831" w:rsidRDefault="00E41831" w:rsidP="00E41831">
            <w:pPr>
              <w:spacing w:after="0" w:line="240" w:lineRule="auto"/>
              <w:jc w:val="center"/>
              <w:rPr>
                <w:rFonts w:ascii="Arial Narrow" w:hAnsi="Arial Narrow"/>
                <w:b/>
                <w:bCs/>
                <w:sz w:val="20"/>
                <w:szCs w:val="20"/>
              </w:rPr>
            </w:pPr>
            <w:r w:rsidRPr="00E41831">
              <w:rPr>
                <w:rFonts w:ascii="Arial Narrow" w:hAnsi="Arial Narrow"/>
                <w:b/>
                <w:bCs/>
                <w:sz w:val="20"/>
                <w:szCs w:val="20"/>
              </w:rPr>
              <w:t>2012</w:t>
            </w:r>
          </w:p>
        </w:tc>
        <w:tc>
          <w:tcPr>
            <w:tcW w:w="505" w:type="dxa"/>
            <w:tcBorders>
              <w:top w:val="nil"/>
              <w:left w:val="nil"/>
              <w:bottom w:val="single" w:sz="4" w:space="0" w:color="auto"/>
              <w:right w:val="nil"/>
            </w:tcBorders>
            <w:shd w:val="clear" w:color="auto" w:fill="auto"/>
            <w:noWrap/>
            <w:vAlign w:val="center"/>
          </w:tcPr>
          <w:p w14:paraId="2997183B" w14:textId="77777777" w:rsidR="00E41831" w:rsidRPr="00E41831" w:rsidRDefault="00E41831" w:rsidP="00E41831">
            <w:pPr>
              <w:spacing w:after="0" w:line="240" w:lineRule="auto"/>
              <w:jc w:val="center"/>
              <w:rPr>
                <w:rFonts w:ascii="Arial Narrow" w:hAnsi="Arial Narrow"/>
                <w:b/>
                <w:bCs/>
                <w:sz w:val="20"/>
                <w:szCs w:val="20"/>
              </w:rPr>
            </w:pPr>
            <w:r w:rsidRPr="00E41831">
              <w:rPr>
                <w:rFonts w:ascii="Arial Narrow" w:hAnsi="Arial Narrow"/>
                <w:b/>
                <w:bCs/>
                <w:sz w:val="20"/>
                <w:szCs w:val="20"/>
              </w:rPr>
              <w:t>2013</w:t>
            </w:r>
          </w:p>
        </w:tc>
        <w:tc>
          <w:tcPr>
            <w:tcW w:w="505" w:type="dxa"/>
            <w:tcBorders>
              <w:top w:val="nil"/>
              <w:left w:val="nil"/>
              <w:bottom w:val="single" w:sz="4" w:space="0" w:color="auto"/>
              <w:right w:val="nil"/>
            </w:tcBorders>
            <w:shd w:val="clear" w:color="auto" w:fill="auto"/>
            <w:noWrap/>
            <w:vAlign w:val="center"/>
          </w:tcPr>
          <w:p w14:paraId="2489484E" w14:textId="77777777" w:rsidR="00E41831" w:rsidRPr="00E41831" w:rsidRDefault="00E41831" w:rsidP="00E41831">
            <w:pPr>
              <w:spacing w:after="0" w:line="240" w:lineRule="auto"/>
              <w:jc w:val="center"/>
              <w:rPr>
                <w:rFonts w:ascii="Arial Narrow" w:hAnsi="Arial Narrow"/>
                <w:b/>
                <w:bCs/>
                <w:sz w:val="20"/>
                <w:szCs w:val="20"/>
              </w:rPr>
            </w:pPr>
            <w:r w:rsidRPr="00E41831">
              <w:rPr>
                <w:rFonts w:ascii="Arial Narrow" w:hAnsi="Arial Narrow"/>
                <w:b/>
                <w:bCs/>
                <w:sz w:val="20"/>
                <w:szCs w:val="20"/>
              </w:rPr>
              <w:t>2014</w:t>
            </w:r>
          </w:p>
        </w:tc>
        <w:tc>
          <w:tcPr>
            <w:tcW w:w="505" w:type="dxa"/>
            <w:tcBorders>
              <w:top w:val="nil"/>
              <w:left w:val="nil"/>
              <w:bottom w:val="single" w:sz="4" w:space="0" w:color="auto"/>
              <w:right w:val="nil"/>
            </w:tcBorders>
            <w:shd w:val="clear" w:color="auto" w:fill="auto"/>
            <w:noWrap/>
            <w:vAlign w:val="center"/>
          </w:tcPr>
          <w:p w14:paraId="41A7AD01" w14:textId="77777777" w:rsidR="00E41831" w:rsidRPr="00E41831" w:rsidRDefault="00E41831" w:rsidP="00E41831">
            <w:pPr>
              <w:spacing w:after="0" w:line="240" w:lineRule="auto"/>
              <w:jc w:val="center"/>
              <w:rPr>
                <w:rFonts w:ascii="Arial Narrow" w:hAnsi="Arial Narrow"/>
                <w:b/>
                <w:bCs/>
                <w:sz w:val="20"/>
                <w:szCs w:val="20"/>
              </w:rPr>
            </w:pPr>
            <w:r w:rsidRPr="00E41831">
              <w:rPr>
                <w:rFonts w:ascii="Arial Narrow" w:hAnsi="Arial Narrow"/>
                <w:b/>
                <w:bCs/>
                <w:sz w:val="20"/>
                <w:szCs w:val="20"/>
              </w:rPr>
              <w:t>2015</w:t>
            </w:r>
          </w:p>
        </w:tc>
        <w:tc>
          <w:tcPr>
            <w:tcW w:w="505" w:type="dxa"/>
            <w:tcBorders>
              <w:top w:val="nil"/>
              <w:left w:val="nil"/>
              <w:bottom w:val="single" w:sz="4" w:space="0" w:color="auto"/>
              <w:right w:val="nil"/>
            </w:tcBorders>
            <w:vAlign w:val="center"/>
          </w:tcPr>
          <w:p w14:paraId="58A4E2F1" w14:textId="77777777" w:rsidR="00E41831" w:rsidRPr="00E41831" w:rsidRDefault="00E41831" w:rsidP="00E41831">
            <w:pPr>
              <w:spacing w:after="0" w:line="240" w:lineRule="auto"/>
              <w:jc w:val="center"/>
              <w:rPr>
                <w:rFonts w:ascii="Arial Narrow" w:hAnsi="Arial Narrow"/>
                <w:b/>
                <w:bCs/>
                <w:sz w:val="20"/>
                <w:szCs w:val="20"/>
              </w:rPr>
            </w:pPr>
            <w:r w:rsidRPr="00E41831">
              <w:rPr>
                <w:rFonts w:ascii="Arial Narrow" w:hAnsi="Arial Narrow"/>
                <w:b/>
                <w:bCs/>
                <w:sz w:val="20"/>
                <w:szCs w:val="20"/>
              </w:rPr>
              <w:t>2016</w:t>
            </w:r>
          </w:p>
        </w:tc>
        <w:tc>
          <w:tcPr>
            <w:tcW w:w="505" w:type="dxa"/>
            <w:tcBorders>
              <w:top w:val="nil"/>
              <w:left w:val="nil"/>
              <w:bottom w:val="single" w:sz="4" w:space="0" w:color="auto"/>
              <w:right w:val="nil"/>
            </w:tcBorders>
            <w:vAlign w:val="center"/>
          </w:tcPr>
          <w:p w14:paraId="50B3521F" w14:textId="5D2CA3CB" w:rsidR="00E41831" w:rsidRPr="00E41831" w:rsidRDefault="00E41831" w:rsidP="00E41831">
            <w:pPr>
              <w:spacing w:after="0" w:line="240" w:lineRule="auto"/>
              <w:jc w:val="center"/>
              <w:rPr>
                <w:rFonts w:ascii="Arial Narrow" w:hAnsi="Arial Narrow"/>
                <w:b/>
                <w:bCs/>
                <w:sz w:val="20"/>
                <w:szCs w:val="20"/>
              </w:rPr>
            </w:pPr>
            <w:r w:rsidRPr="00E41831">
              <w:rPr>
                <w:rFonts w:ascii="Arial Narrow" w:hAnsi="Arial Narrow"/>
                <w:b/>
                <w:bCs/>
                <w:sz w:val="20"/>
                <w:szCs w:val="20"/>
              </w:rPr>
              <w:t>2017</w:t>
            </w:r>
          </w:p>
        </w:tc>
        <w:tc>
          <w:tcPr>
            <w:tcW w:w="505" w:type="dxa"/>
            <w:tcBorders>
              <w:top w:val="nil"/>
              <w:left w:val="nil"/>
              <w:bottom w:val="single" w:sz="4" w:space="0" w:color="auto"/>
              <w:right w:val="nil"/>
            </w:tcBorders>
            <w:vAlign w:val="center"/>
          </w:tcPr>
          <w:p w14:paraId="5CD27063" w14:textId="598356B5" w:rsidR="00E41831" w:rsidRPr="00E41831" w:rsidRDefault="00E41831" w:rsidP="00E41831">
            <w:pPr>
              <w:spacing w:after="0" w:line="240" w:lineRule="auto"/>
              <w:jc w:val="center"/>
              <w:rPr>
                <w:rFonts w:ascii="Arial Narrow" w:hAnsi="Arial Narrow"/>
                <w:b/>
                <w:bCs/>
                <w:sz w:val="20"/>
                <w:szCs w:val="20"/>
              </w:rPr>
            </w:pPr>
            <w:r w:rsidRPr="00E41831">
              <w:rPr>
                <w:rFonts w:ascii="Arial Narrow" w:hAnsi="Arial Narrow"/>
                <w:b/>
                <w:bCs/>
                <w:sz w:val="20"/>
                <w:szCs w:val="20"/>
              </w:rPr>
              <w:t>2018</w:t>
            </w:r>
          </w:p>
        </w:tc>
        <w:tc>
          <w:tcPr>
            <w:tcW w:w="505" w:type="dxa"/>
            <w:tcBorders>
              <w:top w:val="nil"/>
              <w:left w:val="nil"/>
              <w:bottom w:val="single" w:sz="4" w:space="0" w:color="auto"/>
              <w:right w:val="nil"/>
            </w:tcBorders>
            <w:shd w:val="clear" w:color="auto" w:fill="auto"/>
            <w:noWrap/>
            <w:vAlign w:val="center"/>
          </w:tcPr>
          <w:p w14:paraId="48A320C0" w14:textId="28EE662C" w:rsidR="00E41831" w:rsidRPr="00E41831" w:rsidRDefault="00E41831" w:rsidP="00E41831">
            <w:pPr>
              <w:spacing w:after="0" w:line="240" w:lineRule="auto"/>
              <w:jc w:val="center"/>
              <w:rPr>
                <w:rFonts w:ascii="Arial Narrow" w:hAnsi="Arial Narrow"/>
                <w:b/>
                <w:bCs/>
                <w:sz w:val="20"/>
                <w:szCs w:val="20"/>
              </w:rPr>
            </w:pPr>
            <w:r w:rsidRPr="00E41831">
              <w:rPr>
                <w:rFonts w:ascii="Arial Narrow" w:hAnsi="Arial Narrow"/>
                <w:b/>
                <w:bCs/>
                <w:sz w:val="20"/>
                <w:szCs w:val="20"/>
              </w:rPr>
              <w:t>Cieľ 2020</w:t>
            </w:r>
          </w:p>
        </w:tc>
      </w:tr>
      <w:tr w:rsidR="00E41831" w:rsidRPr="004C54B9" w14:paraId="126C94E7" w14:textId="77777777" w:rsidTr="00E41831">
        <w:trPr>
          <w:trHeight w:val="205"/>
          <w:jc w:val="center"/>
        </w:trPr>
        <w:tc>
          <w:tcPr>
            <w:tcW w:w="2515" w:type="dxa"/>
            <w:tcBorders>
              <w:top w:val="nil"/>
              <w:left w:val="nil"/>
              <w:bottom w:val="nil"/>
              <w:right w:val="nil"/>
            </w:tcBorders>
            <w:shd w:val="clear" w:color="auto" w:fill="auto"/>
            <w:noWrap/>
            <w:vAlign w:val="center"/>
            <w:hideMark/>
          </w:tcPr>
          <w:p w14:paraId="7DB2D3F9" w14:textId="77777777" w:rsidR="00E41831" w:rsidRPr="00E41831" w:rsidRDefault="00E41831" w:rsidP="00E41831">
            <w:pPr>
              <w:spacing w:after="0" w:line="240" w:lineRule="auto"/>
              <w:rPr>
                <w:rFonts w:ascii="Arial Narrow" w:hAnsi="Arial Narrow"/>
                <w:b/>
                <w:bCs/>
                <w:color w:val="000000"/>
                <w:sz w:val="20"/>
                <w:szCs w:val="20"/>
              </w:rPr>
            </w:pPr>
            <w:r w:rsidRPr="00E41831">
              <w:rPr>
                <w:rFonts w:ascii="Arial Narrow" w:hAnsi="Arial Narrow"/>
                <w:b/>
                <w:bCs/>
                <w:color w:val="000000"/>
                <w:sz w:val="20"/>
                <w:szCs w:val="20"/>
              </w:rPr>
              <w:t>Ukazovateľ dlhodobej udržateľnosti (GAP)</w:t>
            </w:r>
            <w:r w:rsidRPr="00E41831">
              <w:rPr>
                <w:rStyle w:val="Odkaznapoznmkupodiarou"/>
                <w:rFonts w:ascii="Arial Narrow" w:hAnsi="Arial Narrow"/>
                <w:b/>
                <w:bCs/>
                <w:color w:val="000000"/>
                <w:sz w:val="20"/>
                <w:szCs w:val="20"/>
              </w:rPr>
              <w:footnoteReference w:id="48"/>
            </w:r>
          </w:p>
        </w:tc>
        <w:tc>
          <w:tcPr>
            <w:tcW w:w="540" w:type="dxa"/>
            <w:tcBorders>
              <w:top w:val="nil"/>
              <w:left w:val="nil"/>
              <w:bottom w:val="nil"/>
              <w:right w:val="nil"/>
            </w:tcBorders>
            <w:shd w:val="clear" w:color="auto" w:fill="auto"/>
            <w:noWrap/>
            <w:vAlign w:val="center"/>
            <w:hideMark/>
          </w:tcPr>
          <w:p w14:paraId="507AEC1F" w14:textId="77777777" w:rsidR="00E41831" w:rsidRPr="00E41831" w:rsidRDefault="00E41831" w:rsidP="00E41831">
            <w:pPr>
              <w:spacing w:after="0" w:line="240" w:lineRule="auto"/>
              <w:jc w:val="center"/>
              <w:rPr>
                <w:rFonts w:ascii="Arial Narrow" w:hAnsi="Arial Narrow"/>
                <w:b/>
                <w:bCs/>
                <w:color w:val="000000"/>
                <w:sz w:val="20"/>
                <w:szCs w:val="20"/>
              </w:rPr>
            </w:pPr>
            <w:r w:rsidRPr="00E41831">
              <w:rPr>
                <w:rFonts w:ascii="Arial Narrow" w:hAnsi="Arial Narrow"/>
                <w:b/>
                <w:bCs/>
                <w:color w:val="000000"/>
                <w:sz w:val="20"/>
                <w:szCs w:val="20"/>
              </w:rPr>
              <w:t>SK</w:t>
            </w:r>
          </w:p>
        </w:tc>
        <w:tc>
          <w:tcPr>
            <w:tcW w:w="505" w:type="dxa"/>
            <w:tcBorders>
              <w:top w:val="nil"/>
              <w:left w:val="nil"/>
              <w:bottom w:val="nil"/>
              <w:right w:val="nil"/>
            </w:tcBorders>
            <w:shd w:val="clear" w:color="auto" w:fill="auto"/>
            <w:vAlign w:val="center"/>
          </w:tcPr>
          <w:p w14:paraId="0CF6F247" w14:textId="4909EAA1"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9,5</w:t>
            </w:r>
          </w:p>
        </w:tc>
        <w:tc>
          <w:tcPr>
            <w:tcW w:w="505" w:type="dxa"/>
            <w:tcBorders>
              <w:top w:val="nil"/>
              <w:left w:val="nil"/>
              <w:bottom w:val="nil"/>
              <w:right w:val="nil"/>
            </w:tcBorders>
            <w:shd w:val="clear" w:color="auto" w:fill="auto"/>
            <w:vAlign w:val="center"/>
          </w:tcPr>
          <w:p w14:paraId="78B94490" w14:textId="33EA22CD"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9,2</w:t>
            </w:r>
          </w:p>
        </w:tc>
        <w:tc>
          <w:tcPr>
            <w:tcW w:w="505" w:type="dxa"/>
            <w:tcBorders>
              <w:top w:val="nil"/>
              <w:left w:val="nil"/>
              <w:bottom w:val="nil"/>
              <w:right w:val="nil"/>
            </w:tcBorders>
            <w:shd w:val="clear" w:color="auto" w:fill="auto"/>
            <w:vAlign w:val="center"/>
          </w:tcPr>
          <w:p w14:paraId="7688400B" w14:textId="6E426253"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7</w:t>
            </w:r>
          </w:p>
        </w:tc>
        <w:tc>
          <w:tcPr>
            <w:tcW w:w="505" w:type="dxa"/>
            <w:tcBorders>
              <w:top w:val="nil"/>
              <w:left w:val="nil"/>
              <w:bottom w:val="nil"/>
              <w:right w:val="nil"/>
            </w:tcBorders>
            <w:shd w:val="clear" w:color="auto" w:fill="auto"/>
            <w:vAlign w:val="center"/>
          </w:tcPr>
          <w:p w14:paraId="640DF063" w14:textId="6C79B67D"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4</w:t>
            </w:r>
          </w:p>
        </w:tc>
        <w:tc>
          <w:tcPr>
            <w:tcW w:w="505" w:type="dxa"/>
            <w:tcBorders>
              <w:top w:val="nil"/>
              <w:left w:val="nil"/>
              <w:bottom w:val="nil"/>
              <w:right w:val="nil"/>
            </w:tcBorders>
            <w:shd w:val="clear" w:color="auto" w:fill="auto"/>
            <w:vAlign w:val="center"/>
          </w:tcPr>
          <w:p w14:paraId="05CBF2B1" w14:textId="7C864BEA"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1,9</w:t>
            </w:r>
          </w:p>
        </w:tc>
        <w:tc>
          <w:tcPr>
            <w:tcW w:w="505" w:type="dxa"/>
            <w:tcBorders>
              <w:top w:val="nil"/>
              <w:left w:val="nil"/>
              <w:bottom w:val="nil"/>
              <w:right w:val="nil"/>
            </w:tcBorders>
            <w:shd w:val="clear" w:color="auto" w:fill="auto"/>
            <w:vAlign w:val="center"/>
          </w:tcPr>
          <w:p w14:paraId="7C2A12EA" w14:textId="7C62AAA3"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 xml:space="preserve"> 1,4 </w:t>
            </w:r>
          </w:p>
        </w:tc>
        <w:tc>
          <w:tcPr>
            <w:tcW w:w="505" w:type="dxa"/>
            <w:tcBorders>
              <w:top w:val="nil"/>
              <w:left w:val="nil"/>
              <w:bottom w:val="nil"/>
              <w:right w:val="nil"/>
            </w:tcBorders>
            <w:shd w:val="clear" w:color="auto" w:fill="auto"/>
            <w:vAlign w:val="center"/>
          </w:tcPr>
          <w:p w14:paraId="7524980F" w14:textId="5AC9259E"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0,4</w:t>
            </w:r>
          </w:p>
        </w:tc>
        <w:tc>
          <w:tcPr>
            <w:tcW w:w="505" w:type="dxa"/>
            <w:tcBorders>
              <w:top w:val="nil"/>
              <w:left w:val="nil"/>
              <w:bottom w:val="nil"/>
              <w:right w:val="nil"/>
            </w:tcBorders>
            <w:shd w:val="clear" w:color="auto" w:fill="auto"/>
            <w:vAlign w:val="center"/>
          </w:tcPr>
          <w:p w14:paraId="17EA7DCC" w14:textId="47F17ED4" w:rsidR="00E41831" w:rsidRPr="00E41831" w:rsidRDefault="00E41831" w:rsidP="00E41831">
            <w:pPr>
              <w:spacing w:after="0" w:line="240" w:lineRule="auto"/>
              <w:rPr>
                <w:rFonts w:ascii="Arial Narrow" w:hAnsi="Arial Narrow"/>
                <w:color w:val="000000"/>
                <w:sz w:val="20"/>
                <w:szCs w:val="20"/>
              </w:rPr>
            </w:pPr>
            <w:r w:rsidRPr="00E41831">
              <w:rPr>
                <w:rFonts w:ascii="Arial Narrow" w:hAnsi="Arial Narrow"/>
                <w:sz w:val="20"/>
                <w:szCs w:val="20"/>
              </w:rPr>
              <w:t>-0,1</w:t>
            </w:r>
          </w:p>
        </w:tc>
        <w:tc>
          <w:tcPr>
            <w:tcW w:w="505" w:type="dxa"/>
            <w:tcBorders>
              <w:top w:val="nil"/>
              <w:left w:val="nil"/>
              <w:bottom w:val="nil"/>
              <w:right w:val="nil"/>
            </w:tcBorders>
            <w:vAlign w:val="center"/>
          </w:tcPr>
          <w:p w14:paraId="7AEE15D5" w14:textId="169B793D"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-1,1</w:t>
            </w:r>
          </w:p>
        </w:tc>
        <w:tc>
          <w:tcPr>
            <w:tcW w:w="505" w:type="dxa"/>
            <w:tcBorders>
              <w:top w:val="nil"/>
              <w:left w:val="nil"/>
              <w:bottom w:val="nil"/>
              <w:right w:val="nil"/>
            </w:tcBorders>
            <w:vAlign w:val="center"/>
          </w:tcPr>
          <w:p w14:paraId="603D7B10" w14:textId="530FF34D"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color w:val="000000"/>
                <w:sz w:val="20"/>
                <w:szCs w:val="20"/>
              </w:rPr>
              <w:t>-</w:t>
            </w:r>
          </w:p>
        </w:tc>
        <w:tc>
          <w:tcPr>
            <w:tcW w:w="505" w:type="dxa"/>
            <w:tcBorders>
              <w:top w:val="nil"/>
              <w:left w:val="nil"/>
              <w:bottom w:val="nil"/>
              <w:right w:val="nil"/>
            </w:tcBorders>
            <w:shd w:val="clear" w:color="auto" w:fill="auto"/>
            <w:vAlign w:val="center"/>
          </w:tcPr>
          <w:p w14:paraId="19E8C8D0" w14:textId="102E6DF8"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color w:val="000000"/>
                <w:sz w:val="20"/>
                <w:szCs w:val="20"/>
              </w:rPr>
              <w:t>-</w:t>
            </w:r>
          </w:p>
        </w:tc>
      </w:tr>
      <w:tr w:rsidR="00E41831" w:rsidRPr="004C54B9" w14:paraId="09026FE3" w14:textId="77777777" w:rsidTr="00E41831">
        <w:trPr>
          <w:trHeight w:val="195"/>
          <w:jc w:val="center"/>
        </w:trPr>
        <w:tc>
          <w:tcPr>
            <w:tcW w:w="2515" w:type="dxa"/>
            <w:tcBorders>
              <w:top w:val="nil"/>
              <w:left w:val="nil"/>
              <w:bottom w:val="single" w:sz="4" w:space="0" w:color="auto"/>
              <w:right w:val="nil"/>
            </w:tcBorders>
            <w:shd w:val="clear" w:color="auto" w:fill="auto"/>
            <w:noWrap/>
            <w:vAlign w:val="center"/>
            <w:hideMark/>
          </w:tcPr>
          <w:p w14:paraId="6A992461" w14:textId="77777777" w:rsidR="00E41831" w:rsidRPr="00E41831" w:rsidRDefault="00E41831" w:rsidP="00E41831">
            <w:pPr>
              <w:spacing w:after="0" w:line="240" w:lineRule="auto"/>
              <w:jc w:val="both"/>
              <w:rPr>
                <w:rFonts w:ascii="Arial Narrow" w:hAnsi="Arial Narrow"/>
                <w:color w:val="000000"/>
                <w:sz w:val="20"/>
                <w:szCs w:val="20"/>
              </w:rPr>
            </w:pPr>
            <w:r w:rsidRPr="00E41831">
              <w:rPr>
                <w:rFonts w:ascii="Arial Narrow" w:hAnsi="Arial Narrow"/>
                <w:color w:val="000000"/>
                <w:sz w:val="20"/>
                <w:szCs w:val="20"/>
              </w:rPr>
              <w:t>(% HDP)</w:t>
            </w:r>
          </w:p>
        </w:tc>
        <w:tc>
          <w:tcPr>
            <w:tcW w:w="540" w:type="dxa"/>
            <w:tcBorders>
              <w:top w:val="nil"/>
              <w:left w:val="nil"/>
              <w:bottom w:val="single" w:sz="4" w:space="0" w:color="auto"/>
              <w:right w:val="nil"/>
            </w:tcBorders>
            <w:shd w:val="clear" w:color="auto" w:fill="auto"/>
            <w:noWrap/>
            <w:vAlign w:val="center"/>
            <w:hideMark/>
          </w:tcPr>
          <w:p w14:paraId="10157B80" w14:textId="77777777" w:rsidR="00E41831" w:rsidRPr="00E41831" w:rsidRDefault="00E41831" w:rsidP="00E41831">
            <w:pPr>
              <w:spacing w:after="0" w:line="240" w:lineRule="auto"/>
              <w:jc w:val="center"/>
              <w:rPr>
                <w:rFonts w:ascii="Arial Narrow" w:hAnsi="Arial Narrow"/>
                <w:b/>
                <w:bCs/>
                <w:color w:val="000000"/>
                <w:sz w:val="20"/>
                <w:szCs w:val="20"/>
              </w:rPr>
            </w:pPr>
            <w:r w:rsidRPr="00E41831">
              <w:rPr>
                <w:rFonts w:ascii="Arial Narrow" w:hAnsi="Arial Narrow"/>
                <w:b/>
                <w:bCs/>
                <w:color w:val="000000"/>
                <w:sz w:val="20"/>
                <w:szCs w:val="20"/>
              </w:rPr>
              <w:t>EÚ</w:t>
            </w:r>
          </w:p>
        </w:tc>
        <w:tc>
          <w:tcPr>
            <w:tcW w:w="505" w:type="dxa"/>
            <w:tcBorders>
              <w:top w:val="nil"/>
              <w:left w:val="nil"/>
              <w:bottom w:val="single" w:sz="4" w:space="0" w:color="auto"/>
              <w:right w:val="nil"/>
            </w:tcBorders>
            <w:shd w:val="clear" w:color="auto" w:fill="auto"/>
            <w:vAlign w:val="center"/>
          </w:tcPr>
          <w:p w14:paraId="75BF3720" w14:textId="0081EE16"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w:t>
            </w:r>
          </w:p>
        </w:tc>
        <w:tc>
          <w:tcPr>
            <w:tcW w:w="505" w:type="dxa"/>
            <w:tcBorders>
              <w:top w:val="nil"/>
              <w:left w:val="nil"/>
              <w:bottom w:val="single" w:sz="4" w:space="0" w:color="auto"/>
              <w:right w:val="nil"/>
            </w:tcBorders>
            <w:shd w:val="clear" w:color="auto" w:fill="auto"/>
            <w:vAlign w:val="center"/>
          </w:tcPr>
          <w:p w14:paraId="43B2AAF4" w14:textId="368A96DC"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w:t>
            </w:r>
          </w:p>
        </w:tc>
        <w:tc>
          <w:tcPr>
            <w:tcW w:w="505" w:type="dxa"/>
            <w:tcBorders>
              <w:top w:val="nil"/>
              <w:left w:val="nil"/>
              <w:bottom w:val="single" w:sz="4" w:space="0" w:color="auto"/>
              <w:right w:val="nil"/>
            </w:tcBorders>
            <w:shd w:val="clear" w:color="auto" w:fill="auto"/>
            <w:vAlign w:val="center"/>
          </w:tcPr>
          <w:p w14:paraId="385534DF" w14:textId="547E37C1"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 xml:space="preserve"> - </w:t>
            </w:r>
          </w:p>
        </w:tc>
        <w:tc>
          <w:tcPr>
            <w:tcW w:w="505" w:type="dxa"/>
            <w:tcBorders>
              <w:top w:val="nil"/>
              <w:left w:val="nil"/>
              <w:bottom w:val="single" w:sz="4" w:space="0" w:color="auto"/>
              <w:right w:val="nil"/>
            </w:tcBorders>
            <w:shd w:val="clear" w:color="auto" w:fill="auto"/>
            <w:vAlign w:val="center"/>
          </w:tcPr>
          <w:p w14:paraId="37DA2DDF" w14:textId="3DD40558"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 xml:space="preserve"> - </w:t>
            </w:r>
          </w:p>
        </w:tc>
        <w:tc>
          <w:tcPr>
            <w:tcW w:w="505" w:type="dxa"/>
            <w:tcBorders>
              <w:top w:val="nil"/>
              <w:left w:val="nil"/>
              <w:bottom w:val="single" w:sz="4" w:space="0" w:color="auto"/>
              <w:right w:val="nil"/>
            </w:tcBorders>
            <w:shd w:val="clear" w:color="auto" w:fill="auto"/>
            <w:vAlign w:val="center"/>
          </w:tcPr>
          <w:p w14:paraId="481E9C34" w14:textId="1EB2CDCA"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 xml:space="preserve"> - </w:t>
            </w:r>
          </w:p>
        </w:tc>
        <w:tc>
          <w:tcPr>
            <w:tcW w:w="505" w:type="dxa"/>
            <w:tcBorders>
              <w:top w:val="nil"/>
              <w:left w:val="nil"/>
              <w:bottom w:val="single" w:sz="4" w:space="0" w:color="auto"/>
              <w:right w:val="nil"/>
            </w:tcBorders>
            <w:shd w:val="clear" w:color="auto" w:fill="auto"/>
            <w:vAlign w:val="center"/>
          </w:tcPr>
          <w:p w14:paraId="595B48B6" w14:textId="69BD51F0"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 xml:space="preserve"> - </w:t>
            </w:r>
          </w:p>
        </w:tc>
        <w:tc>
          <w:tcPr>
            <w:tcW w:w="505" w:type="dxa"/>
            <w:tcBorders>
              <w:top w:val="nil"/>
              <w:left w:val="nil"/>
              <w:bottom w:val="single" w:sz="4" w:space="0" w:color="auto"/>
              <w:right w:val="nil"/>
            </w:tcBorders>
            <w:shd w:val="clear" w:color="auto" w:fill="auto"/>
            <w:vAlign w:val="center"/>
          </w:tcPr>
          <w:p w14:paraId="1E015572" w14:textId="77777777" w:rsidR="00E41831" w:rsidRPr="00E41831" w:rsidRDefault="00E41831" w:rsidP="00E41831">
            <w:pPr>
              <w:spacing w:after="0" w:line="240" w:lineRule="auto"/>
              <w:jc w:val="center"/>
              <w:rPr>
                <w:rFonts w:ascii="Arial Narrow" w:hAnsi="Arial Narrow"/>
                <w:color w:val="000000"/>
                <w:sz w:val="20"/>
                <w:szCs w:val="20"/>
              </w:rPr>
            </w:pPr>
          </w:p>
        </w:tc>
        <w:tc>
          <w:tcPr>
            <w:tcW w:w="505" w:type="dxa"/>
            <w:tcBorders>
              <w:top w:val="nil"/>
              <w:left w:val="nil"/>
              <w:bottom w:val="single" w:sz="4" w:space="0" w:color="auto"/>
              <w:right w:val="nil"/>
            </w:tcBorders>
            <w:shd w:val="clear" w:color="auto" w:fill="auto"/>
            <w:vAlign w:val="center"/>
          </w:tcPr>
          <w:p w14:paraId="3437BC66" w14:textId="74F39C32"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w:t>
            </w:r>
          </w:p>
        </w:tc>
        <w:tc>
          <w:tcPr>
            <w:tcW w:w="505" w:type="dxa"/>
            <w:tcBorders>
              <w:top w:val="nil"/>
              <w:left w:val="nil"/>
              <w:bottom w:val="single" w:sz="4" w:space="0" w:color="auto"/>
              <w:right w:val="nil"/>
            </w:tcBorders>
            <w:vAlign w:val="center"/>
          </w:tcPr>
          <w:p w14:paraId="1BDFB534" w14:textId="77777777" w:rsidR="00E41831" w:rsidRPr="00E41831" w:rsidRDefault="00E41831" w:rsidP="00E41831">
            <w:pPr>
              <w:spacing w:after="0" w:line="240" w:lineRule="auto"/>
              <w:jc w:val="center"/>
              <w:rPr>
                <w:rFonts w:ascii="Arial Narrow" w:hAnsi="Arial Narrow"/>
                <w:color w:val="000000"/>
                <w:sz w:val="20"/>
                <w:szCs w:val="20"/>
              </w:rPr>
            </w:pPr>
          </w:p>
        </w:tc>
        <w:tc>
          <w:tcPr>
            <w:tcW w:w="505" w:type="dxa"/>
            <w:tcBorders>
              <w:top w:val="nil"/>
              <w:left w:val="nil"/>
              <w:bottom w:val="single" w:sz="4" w:space="0" w:color="auto"/>
              <w:right w:val="nil"/>
            </w:tcBorders>
            <w:vAlign w:val="center"/>
          </w:tcPr>
          <w:p w14:paraId="700F40F2" w14:textId="25F5A7AB"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color w:val="000000"/>
                <w:sz w:val="20"/>
                <w:szCs w:val="20"/>
              </w:rPr>
              <w:t>-</w:t>
            </w:r>
          </w:p>
        </w:tc>
        <w:tc>
          <w:tcPr>
            <w:tcW w:w="505" w:type="dxa"/>
            <w:tcBorders>
              <w:top w:val="nil"/>
              <w:left w:val="nil"/>
              <w:bottom w:val="single" w:sz="4" w:space="0" w:color="auto"/>
              <w:right w:val="nil"/>
            </w:tcBorders>
            <w:shd w:val="clear" w:color="auto" w:fill="auto"/>
            <w:vAlign w:val="center"/>
          </w:tcPr>
          <w:p w14:paraId="5943618E" w14:textId="31A708F4"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color w:val="000000"/>
                <w:sz w:val="20"/>
                <w:szCs w:val="20"/>
              </w:rPr>
              <w:t>-</w:t>
            </w:r>
          </w:p>
        </w:tc>
      </w:tr>
      <w:tr w:rsidR="00E41831" w:rsidRPr="004C54B9" w14:paraId="4FD39D28" w14:textId="77777777" w:rsidTr="00E41831">
        <w:trPr>
          <w:trHeight w:val="195"/>
          <w:jc w:val="center"/>
        </w:trPr>
        <w:tc>
          <w:tcPr>
            <w:tcW w:w="2515" w:type="dxa"/>
            <w:tcBorders>
              <w:top w:val="nil"/>
              <w:left w:val="nil"/>
              <w:right w:val="nil"/>
            </w:tcBorders>
            <w:shd w:val="clear" w:color="auto" w:fill="auto"/>
            <w:noWrap/>
            <w:vAlign w:val="center"/>
            <w:hideMark/>
          </w:tcPr>
          <w:p w14:paraId="3D8B0F23" w14:textId="77777777" w:rsidR="00E41831" w:rsidRPr="00E41831" w:rsidRDefault="00E41831" w:rsidP="00E41831">
            <w:pPr>
              <w:spacing w:after="0" w:line="240" w:lineRule="auto"/>
              <w:rPr>
                <w:rFonts w:ascii="Arial Narrow" w:hAnsi="Arial Narrow"/>
                <w:b/>
                <w:bCs/>
                <w:color w:val="000000"/>
                <w:sz w:val="20"/>
                <w:szCs w:val="20"/>
              </w:rPr>
            </w:pPr>
            <w:r w:rsidRPr="00E41831">
              <w:rPr>
                <w:rFonts w:ascii="Arial Narrow" w:hAnsi="Arial Narrow"/>
                <w:b/>
                <w:bCs/>
                <w:color w:val="000000"/>
                <w:sz w:val="20"/>
                <w:szCs w:val="20"/>
              </w:rPr>
              <w:t>Efektívnosť výberu DPH</w:t>
            </w:r>
          </w:p>
        </w:tc>
        <w:tc>
          <w:tcPr>
            <w:tcW w:w="540" w:type="dxa"/>
            <w:tcBorders>
              <w:top w:val="nil"/>
              <w:left w:val="nil"/>
              <w:right w:val="nil"/>
            </w:tcBorders>
            <w:shd w:val="clear" w:color="auto" w:fill="auto"/>
            <w:noWrap/>
            <w:vAlign w:val="center"/>
            <w:hideMark/>
          </w:tcPr>
          <w:p w14:paraId="1AD089FC" w14:textId="77777777" w:rsidR="00E41831" w:rsidRPr="00E41831" w:rsidRDefault="00E41831" w:rsidP="00E41831">
            <w:pPr>
              <w:spacing w:after="0" w:line="240" w:lineRule="auto"/>
              <w:jc w:val="center"/>
              <w:rPr>
                <w:rFonts w:ascii="Arial Narrow" w:hAnsi="Arial Narrow"/>
                <w:b/>
                <w:bCs/>
                <w:color w:val="000000"/>
                <w:sz w:val="20"/>
                <w:szCs w:val="20"/>
              </w:rPr>
            </w:pPr>
            <w:r w:rsidRPr="00E41831">
              <w:rPr>
                <w:rFonts w:ascii="Arial Narrow" w:hAnsi="Arial Narrow"/>
                <w:b/>
                <w:bCs/>
                <w:color w:val="000000"/>
                <w:sz w:val="20"/>
                <w:szCs w:val="20"/>
              </w:rPr>
              <w:t>SK</w:t>
            </w:r>
          </w:p>
        </w:tc>
        <w:tc>
          <w:tcPr>
            <w:tcW w:w="505" w:type="dxa"/>
            <w:tcBorders>
              <w:top w:val="nil"/>
              <w:left w:val="nil"/>
              <w:right w:val="nil"/>
            </w:tcBorders>
            <w:shd w:val="clear" w:color="auto" w:fill="auto"/>
            <w:vAlign w:val="center"/>
          </w:tcPr>
          <w:p w14:paraId="33C545AA" w14:textId="09D55663"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55,5</w:t>
            </w:r>
          </w:p>
        </w:tc>
        <w:tc>
          <w:tcPr>
            <w:tcW w:w="505" w:type="dxa"/>
            <w:tcBorders>
              <w:top w:val="nil"/>
              <w:left w:val="nil"/>
              <w:right w:val="nil"/>
            </w:tcBorders>
            <w:shd w:val="clear" w:color="auto" w:fill="auto"/>
            <w:vAlign w:val="center"/>
          </w:tcPr>
          <w:p w14:paraId="320E511E" w14:textId="6E282393"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54,3</w:t>
            </w:r>
          </w:p>
        </w:tc>
        <w:tc>
          <w:tcPr>
            <w:tcW w:w="505" w:type="dxa"/>
            <w:tcBorders>
              <w:top w:val="nil"/>
              <w:left w:val="nil"/>
              <w:right w:val="nil"/>
            </w:tcBorders>
            <w:shd w:val="clear" w:color="auto" w:fill="auto"/>
            <w:vAlign w:val="center"/>
          </w:tcPr>
          <w:p w14:paraId="6A4AB4E0" w14:textId="61C72594"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54,3</w:t>
            </w:r>
          </w:p>
        </w:tc>
        <w:tc>
          <w:tcPr>
            <w:tcW w:w="505" w:type="dxa"/>
            <w:tcBorders>
              <w:top w:val="nil"/>
              <w:left w:val="nil"/>
              <w:right w:val="nil"/>
            </w:tcBorders>
            <w:shd w:val="clear" w:color="auto" w:fill="auto"/>
            <w:vAlign w:val="center"/>
          </w:tcPr>
          <w:p w14:paraId="4F09F26E" w14:textId="15770BBA"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49,8</w:t>
            </w:r>
          </w:p>
        </w:tc>
        <w:tc>
          <w:tcPr>
            <w:tcW w:w="505" w:type="dxa"/>
            <w:tcBorders>
              <w:top w:val="nil"/>
              <w:left w:val="nil"/>
              <w:right w:val="nil"/>
            </w:tcBorders>
            <w:shd w:val="clear" w:color="auto" w:fill="auto"/>
            <w:vAlign w:val="center"/>
          </w:tcPr>
          <w:p w14:paraId="4BA645DE" w14:textId="72B2F6D4"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54,7</w:t>
            </w:r>
          </w:p>
        </w:tc>
        <w:tc>
          <w:tcPr>
            <w:tcW w:w="505" w:type="dxa"/>
            <w:tcBorders>
              <w:top w:val="nil"/>
              <w:left w:val="nil"/>
              <w:right w:val="nil"/>
            </w:tcBorders>
            <w:shd w:val="clear" w:color="auto" w:fill="auto"/>
            <w:vAlign w:val="center"/>
          </w:tcPr>
          <w:p w14:paraId="44D342AB" w14:textId="560020F4"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57,2</w:t>
            </w:r>
          </w:p>
        </w:tc>
        <w:tc>
          <w:tcPr>
            <w:tcW w:w="505" w:type="dxa"/>
            <w:tcBorders>
              <w:top w:val="nil"/>
              <w:left w:val="nil"/>
              <w:right w:val="nil"/>
            </w:tcBorders>
            <w:shd w:val="clear" w:color="auto" w:fill="auto"/>
            <w:vAlign w:val="center"/>
          </w:tcPr>
          <w:p w14:paraId="77B17EF9" w14:textId="4E4E9074"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58,1</w:t>
            </w:r>
          </w:p>
        </w:tc>
        <w:tc>
          <w:tcPr>
            <w:tcW w:w="505" w:type="dxa"/>
            <w:tcBorders>
              <w:top w:val="nil"/>
              <w:left w:val="nil"/>
              <w:right w:val="nil"/>
            </w:tcBorders>
            <w:vAlign w:val="center"/>
          </w:tcPr>
          <w:p w14:paraId="6F610307" w14:textId="5C3161E6"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59,9</w:t>
            </w:r>
          </w:p>
        </w:tc>
        <w:tc>
          <w:tcPr>
            <w:tcW w:w="505" w:type="dxa"/>
            <w:tcBorders>
              <w:top w:val="nil"/>
              <w:left w:val="nil"/>
              <w:right w:val="nil"/>
            </w:tcBorders>
            <w:vAlign w:val="center"/>
          </w:tcPr>
          <w:p w14:paraId="16388046" w14:textId="6D85A6E5"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61,1</w:t>
            </w:r>
          </w:p>
        </w:tc>
        <w:tc>
          <w:tcPr>
            <w:tcW w:w="505" w:type="dxa"/>
            <w:tcBorders>
              <w:top w:val="nil"/>
              <w:left w:val="nil"/>
              <w:right w:val="nil"/>
            </w:tcBorders>
            <w:vAlign w:val="center"/>
          </w:tcPr>
          <w:p w14:paraId="46295408" w14:textId="5C2E04AA"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color w:val="000000"/>
                <w:sz w:val="20"/>
                <w:szCs w:val="20"/>
              </w:rPr>
              <w:t>-</w:t>
            </w:r>
          </w:p>
        </w:tc>
        <w:tc>
          <w:tcPr>
            <w:tcW w:w="505" w:type="dxa"/>
            <w:tcBorders>
              <w:top w:val="nil"/>
              <w:left w:val="nil"/>
              <w:right w:val="nil"/>
            </w:tcBorders>
            <w:shd w:val="clear" w:color="auto" w:fill="auto"/>
            <w:vAlign w:val="center"/>
          </w:tcPr>
          <w:p w14:paraId="77BE0506" w14:textId="143B689F"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color w:val="000000"/>
                <w:sz w:val="20"/>
                <w:szCs w:val="20"/>
              </w:rPr>
              <w:t>-</w:t>
            </w:r>
          </w:p>
        </w:tc>
      </w:tr>
      <w:tr w:rsidR="00E41831" w:rsidRPr="004C54B9" w14:paraId="60738B91" w14:textId="77777777" w:rsidTr="00E41831">
        <w:trPr>
          <w:trHeight w:val="195"/>
          <w:jc w:val="center"/>
        </w:trPr>
        <w:tc>
          <w:tcPr>
            <w:tcW w:w="2515" w:type="dxa"/>
            <w:tcBorders>
              <w:top w:val="nil"/>
              <w:left w:val="nil"/>
              <w:bottom w:val="single" w:sz="4" w:space="0" w:color="auto"/>
              <w:right w:val="nil"/>
            </w:tcBorders>
            <w:shd w:val="clear" w:color="auto" w:fill="auto"/>
            <w:noWrap/>
            <w:vAlign w:val="center"/>
            <w:hideMark/>
          </w:tcPr>
          <w:p w14:paraId="0440E99E" w14:textId="77777777" w:rsidR="00E41831" w:rsidRPr="00E41831" w:rsidRDefault="00E41831" w:rsidP="00E41831">
            <w:pPr>
              <w:spacing w:after="0" w:line="240" w:lineRule="auto"/>
              <w:jc w:val="both"/>
              <w:rPr>
                <w:rFonts w:ascii="Arial Narrow" w:hAnsi="Arial Narrow"/>
                <w:color w:val="000000"/>
                <w:sz w:val="20"/>
                <w:szCs w:val="20"/>
              </w:rPr>
            </w:pPr>
            <w:r w:rsidRPr="00E41831">
              <w:rPr>
                <w:rFonts w:ascii="Arial Narrow" w:hAnsi="Arial Narrow"/>
                <w:color w:val="000000"/>
                <w:sz w:val="20"/>
                <w:szCs w:val="20"/>
              </w:rPr>
              <w:t>(% HDP)</w:t>
            </w:r>
          </w:p>
        </w:tc>
        <w:tc>
          <w:tcPr>
            <w:tcW w:w="540" w:type="dxa"/>
            <w:tcBorders>
              <w:top w:val="nil"/>
              <w:left w:val="nil"/>
              <w:bottom w:val="single" w:sz="4" w:space="0" w:color="auto"/>
              <w:right w:val="nil"/>
            </w:tcBorders>
            <w:shd w:val="clear" w:color="auto" w:fill="auto"/>
            <w:noWrap/>
            <w:vAlign w:val="center"/>
            <w:hideMark/>
          </w:tcPr>
          <w:p w14:paraId="494EFCF5" w14:textId="77777777" w:rsidR="00E41831" w:rsidRPr="00E41831" w:rsidRDefault="00E41831" w:rsidP="00E41831">
            <w:pPr>
              <w:spacing w:after="0" w:line="240" w:lineRule="auto"/>
              <w:jc w:val="center"/>
              <w:rPr>
                <w:rFonts w:ascii="Arial Narrow" w:hAnsi="Arial Narrow"/>
                <w:b/>
                <w:bCs/>
                <w:color w:val="000000"/>
                <w:sz w:val="20"/>
                <w:szCs w:val="20"/>
              </w:rPr>
            </w:pPr>
            <w:r w:rsidRPr="00E41831">
              <w:rPr>
                <w:rFonts w:ascii="Arial Narrow" w:hAnsi="Arial Narrow"/>
                <w:b/>
                <w:bCs/>
                <w:color w:val="000000"/>
                <w:sz w:val="20"/>
                <w:szCs w:val="20"/>
              </w:rPr>
              <w:t>EÚ</w:t>
            </w:r>
          </w:p>
        </w:tc>
        <w:tc>
          <w:tcPr>
            <w:tcW w:w="505" w:type="dxa"/>
            <w:tcBorders>
              <w:top w:val="nil"/>
              <w:left w:val="nil"/>
              <w:bottom w:val="single" w:sz="4" w:space="0" w:color="auto"/>
              <w:right w:val="nil"/>
            </w:tcBorders>
            <w:shd w:val="clear" w:color="auto" w:fill="auto"/>
            <w:vAlign w:val="center"/>
          </w:tcPr>
          <w:p w14:paraId="3B9B50C3" w14:textId="001E2D80"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64,1</w:t>
            </w:r>
          </w:p>
        </w:tc>
        <w:tc>
          <w:tcPr>
            <w:tcW w:w="505" w:type="dxa"/>
            <w:tcBorders>
              <w:top w:val="nil"/>
              <w:left w:val="nil"/>
              <w:bottom w:val="single" w:sz="4" w:space="0" w:color="auto"/>
              <w:right w:val="nil"/>
            </w:tcBorders>
            <w:shd w:val="clear" w:color="auto" w:fill="auto"/>
            <w:vAlign w:val="center"/>
          </w:tcPr>
          <w:p w14:paraId="507610FF" w14:textId="2381B5B6"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65,3</w:t>
            </w:r>
          </w:p>
        </w:tc>
        <w:tc>
          <w:tcPr>
            <w:tcW w:w="505" w:type="dxa"/>
            <w:tcBorders>
              <w:top w:val="nil"/>
              <w:left w:val="nil"/>
              <w:bottom w:val="single" w:sz="4" w:space="0" w:color="auto"/>
              <w:right w:val="nil"/>
            </w:tcBorders>
            <w:shd w:val="clear" w:color="auto" w:fill="auto"/>
            <w:vAlign w:val="center"/>
          </w:tcPr>
          <w:p w14:paraId="5C76DD67" w14:textId="18533128"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66,0</w:t>
            </w:r>
          </w:p>
        </w:tc>
        <w:tc>
          <w:tcPr>
            <w:tcW w:w="505" w:type="dxa"/>
            <w:tcBorders>
              <w:top w:val="nil"/>
              <w:left w:val="nil"/>
              <w:bottom w:val="single" w:sz="4" w:space="0" w:color="auto"/>
              <w:right w:val="nil"/>
            </w:tcBorders>
            <w:shd w:val="clear" w:color="auto" w:fill="auto"/>
            <w:vAlign w:val="center"/>
          </w:tcPr>
          <w:p w14:paraId="57189F4B" w14:textId="4E45F8EB"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66,0</w:t>
            </w:r>
          </w:p>
        </w:tc>
        <w:tc>
          <w:tcPr>
            <w:tcW w:w="505" w:type="dxa"/>
            <w:tcBorders>
              <w:top w:val="nil"/>
              <w:left w:val="nil"/>
              <w:bottom w:val="single" w:sz="4" w:space="0" w:color="auto"/>
              <w:right w:val="nil"/>
            </w:tcBorders>
            <w:shd w:val="clear" w:color="auto" w:fill="auto"/>
            <w:vAlign w:val="center"/>
          </w:tcPr>
          <w:p w14:paraId="66A3E925" w14:textId="4532561B"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66,3</w:t>
            </w:r>
          </w:p>
        </w:tc>
        <w:tc>
          <w:tcPr>
            <w:tcW w:w="505" w:type="dxa"/>
            <w:tcBorders>
              <w:top w:val="nil"/>
              <w:left w:val="nil"/>
              <w:bottom w:val="single" w:sz="4" w:space="0" w:color="auto"/>
              <w:right w:val="nil"/>
            </w:tcBorders>
            <w:shd w:val="clear" w:color="auto" w:fill="auto"/>
            <w:vAlign w:val="center"/>
          </w:tcPr>
          <w:p w14:paraId="393415AC" w14:textId="19BAAF72"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67,7</w:t>
            </w:r>
          </w:p>
        </w:tc>
        <w:tc>
          <w:tcPr>
            <w:tcW w:w="505" w:type="dxa"/>
            <w:tcBorders>
              <w:top w:val="nil"/>
              <w:left w:val="nil"/>
              <w:bottom w:val="single" w:sz="4" w:space="0" w:color="auto"/>
              <w:right w:val="nil"/>
            </w:tcBorders>
            <w:shd w:val="clear" w:color="auto" w:fill="auto"/>
            <w:vAlign w:val="center"/>
          </w:tcPr>
          <w:p w14:paraId="1E302A2C" w14:textId="7A87F3B3"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67,0</w:t>
            </w:r>
          </w:p>
        </w:tc>
        <w:tc>
          <w:tcPr>
            <w:tcW w:w="505" w:type="dxa"/>
            <w:tcBorders>
              <w:top w:val="nil"/>
              <w:left w:val="nil"/>
              <w:bottom w:val="single" w:sz="4" w:space="0" w:color="auto"/>
              <w:right w:val="nil"/>
            </w:tcBorders>
            <w:vAlign w:val="center"/>
          </w:tcPr>
          <w:p w14:paraId="38CEA6C9" w14:textId="434BCC70"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68,9</w:t>
            </w:r>
          </w:p>
        </w:tc>
        <w:tc>
          <w:tcPr>
            <w:tcW w:w="505" w:type="dxa"/>
            <w:tcBorders>
              <w:top w:val="nil"/>
              <w:left w:val="nil"/>
              <w:bottom w:val="single" w:sz="4" w:space="0" w:color="auto"/>
              <w:right w:val="nil"/>
            </w:tcBorders>
            <w:vAlign w:val="center"/>
          </w:tcPr>
          <w:p w14:paraId="1052DB05" w14:textId="4DEEBB9B"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67,3</w:t>
            </w:r>
          </w:p>
        </w:tc>
        <w:tc>
          <w:tcPr>
            <w:tcW w:w="505" w:type="dxa"/>
            <w:tcBorders>
              <w:top w:val="nil"/>
              <w:left w:val="nil"/>
              <w:bottom w:val="single" w:sz="4" w:space="0" w:color="auto"/>
              <w:right w:val="nil"/>
            </w:tcBorders>
            <w:vAlign w:val="center"/>
          </w:tcPr>
          <w:p w14:paraId="4CE145C5" w14:textId="6C75DAC7"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color w:val="000000"/>
                <w:sz w:val="20"/>
                <w:szCs w:val="20"/>
              </w:rPr>
              <w:t>-</w:t>
            </w:r>
          </w:p>
        </w:tc>
        <w:tc>
          <w:tcPr>
            <w:tcW w:w="505" w:type="dxa"/>
            <w:tcBorders>
              <w:top w:val="nil"/>
              <w:left w:val="nil"/>
              <w:bottom w:val="single" w:sz="4" w:space="0" w:color="auto"/>
              <w:right w:val="nil"/>
            </w:tcBorders>
            <w:shd w:val="clear" w:color="auto" w:fill="auto"/>
            <w:vAlign w:val="center"/>
          </w:tcPr>
          <w:p w14:paraId="6AE14DD3" w14:textId="3A89A08E"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color w:val="000000"/>
                <w:sz w:val="20"/>
                <w:szCs w:val="20"/>
              </w:rPr>
              <w:t>-</w:t>
            </w:r>
          </w:p>
        </w:tc>
      </w:tr>
      <w:tr w:rsidR="00E41831" w:rsidRPr="004C54B9" w14:paraId="33755663" w14:textId="77777777" w:rsidTr="00E41831">
        <w:trPr>
          <w:trHeight w:val="195"/>
          <w:jc w:val="center"/>
        </w:trPr>
        <w:tc>
          <w:tcPr>
            <w:tcW w:w="2515" w:type="dxa"/>
            <w:tcBorders>
              <w:top w:val="single" w:sz="4" w:space="0" w:color="auto"/>
              <w:left w:val="nil"/>
              <w:bottom w:val="nil"/>
              <w:right w:val="nil"/>
            </w:tcBorders>
            <w:shd w:val="clear" w:color="auto" w:fill="auto"/>
            <w:noWrap/>
            <w:vAlign w:val="center"/>
          </w:tcPr>
          <w:p w14:paraId="4BBE1384" w14:textId="77777777" w:rsidR="00E41831" w:rsidRPr="00E41831" w:rsidRDefault="00E41831" w:rsidP="00E41831">
            <w:pPr>
              <w:spacing w:after="0" w:line="240" w:lineRule="auto"/>
              <w:jc w:val="both"/>
              <w:rPr>
                <w:rFonts w:ascii="Arial Narrow" w:hAnsi="Arial Narrow"/>
                <w:color w:val="000000"/>
                <w:sz w:val="20"/>
                <w:szCs w:val="20"/>
              </w:rPr>
            </w:pPr>
            <w:r w:rsidRPr="00E41831">
              <w:rPr>
                <w:rFonts w:ascii="Arial Narrow" w:hAnsi="Arial Narrow"/>
                <w:b/>
                <w:bCs/>
                <w:color w:val="000000"/>
                <w:sz w:val="20"/>
                <w:szCs w:val="20"/>
              </w:rPr>
              <w:t>Medzera DPH</w:t>
            </w:r>
          </w:p>
        </w:tc>
        <w:tc>
          <w:tcPr>
            <w:tcW w:w="540" w:type="dxa"/>
            <w:tcBorders>
              <w:top w:val="single" w:sz="4" w:space="0" w:color="auto"/>
              <w:left w:val="nil"/>
              <w:bottom w:val="nil"/>
              <w:right w:val="nil"/>
            </w:tcBorders>
            <w:shd w:val="clear" w:color="auto" w:fill="auto"/>
            <w:noWrap/>
            <w:vAlign w:val="center"/>
          </w:tcPr>
          <w:p w14:paraId="55FF80A0" w14:textId="77777777" w:rsidR="00E41831" w:rsidRPr="00E41831" w:rsidRDefault="00E41831" w:rsidP="00E41831">
            <w:pPr>
              <w:spacing w:after="0" w:line="240" w:lineRule="auto"/>
              <w:jc w:val="center"/>
              <w:rPr>
                <w:rFonts w:ascii="Arial Narrow" w:hAnsi="Arial Narrow"/>
                <w:b/>
                <w:bCs/>
                <w:color w:val="000000"/>
                <w:sz w:val="20"/>
                <w:szCs w:val="20"/>
              </w:rPr>
            </w:pPr>
            <w:r w:rsidRPr="00E41831">
              <w:rPr>
                <w:rFonts w:ascii="Arial Narrow" w:hAnsi="Arial Narrow"/>
                <w:b/>
                <w:bCs/>
                <w:color w:val="000000"/>
                <w:sz w:val="20"/>
                <w:szCs w:val="20"/>
              </w:rPr>
              <w:t>SK</w:t>
            </w:r>
          </w:p>
        </w:tc>
        <w:tc>
          <w:tcPr>
            <w:tcW w:w="505" w:type="dxa"/>
            <w:tcBorders>
              <w:top w:val="single" w:sz="4" w:space="0" w:color="auto"/>
              <w:left w:val="nil"/>
              <w:bottom w:val="nil"/>
              <w:right w:val="nil"/>
            </w:tcBorders>
            <w:shd w:val="clear" w:color="auto" w:fill="auto"/>
            <w:vAlign w:val="center"/>
          </w:tcPr>
          <w:p w14:paraId="15EEBD2E" w14:textId="45F0AE22" w:rsidR="00E41831" w:rsidRPr="00E41831" w:rsidRDefault="00E41831" w:rsidP="00E41831">
            <w:pPr>
              <w:spacing w:after="0" w:line="240" w:lineRule="auto"/>
              <w:jc w:val="center"/>
              <w:rPr>
                <w:rFonts w:ascii="Arial Narrow" w:hAnsi="Arial Narrow"/>
                <w:sz w:val="20"/>
                <w:szCs w:val="20"/>
              </w:rPr>
            </w:pPr>
            <w:r w:rsidRPr="00E41831">
              <w:rPr>
                <w:rFonts w:ascii="Arial Narrow" w:hAnsi="Arial Narrow"/>
                <w:sz w:val="20"/>
                <w:szCs w:val="20"/>
              </w:rPr>
              <w:t>34,7</w:t>
            </w:r>
          </w:p>
        </w:tc>
        <w:tc>
          <w:tcPr>
            <w:tcW w:w="505" w:type="dxa"/>
            <w:tcBorders>
              <w:top w:val="single" w:sz="4" w:space="0" w:color="auto"/>
              <w:left w:val="nil"/>
              <w:bottom w:val="nil"/>
              <w:right w:val="nil"/>
            </w:tcBorders>
            <w:shd w:val="clear" w:color="auto" w:fill="auto"/>
            <w:vAlign w:val="center"/>
          </w:tcPr>
          <w:p w14:paraId="02DC5978" w14:textId="08C55C87" w:rsidR="00E41831" w:rsidRPr="00E41831" w:rsidRDefault="00E41831" w:rsidP="00E41831">
            <w:pPr>
              <w:spacing w:after="0" w:line="240" w:lineRule="auto"/>
              <w:jc w:val="center"/>
              <w:rPr>
                <w:rFonts w:ascii="Arial Narrow" w:hAnsi="Arial Narrow"/>
                <w:sz w:val="20"/>
                <w:szCs w:val="20"/>
              </w:rPr>
            </w:pPr>
            <w:r w:rsidRPr="00E41831">
              <w:rPr>
                <w:rFonts w:ascii="Arial Narrow" w:hAnsi="Arial Narrow"/>
                <w:sz w:val="20"/>
                <w:szCs w:val="20"/>
              </w:rPr>
              <w:t>34,8</w:t>
            </w:r>
          </w:p>
        </w:tc>
        <w:tc>
          <w:tcPr>
            <w:tcW w:w="505" w:type="dxa"/>
            <w:tcBorders>
              <w:top w:val="single" w:sz="4" w:space="0" w:color="auto"/>
              <w:left w:val="nil"/>
              <w:bottom w:val="nil"/>
              <w:right w:val="nil"/>
            </w:tcBorders>
            <w:shd w:val="clear" w:color="auto" w:fill="auto"/>
            <w:vAlign w:val="center"/>
          </w:tcPr>
          <w:p w14:paraId="5A60F635" w14:textId="12EB0D69" w:rsidR="00E41831" w:rsidRPr="00E41831" w:rsidRDefault="00E41831" w:rsidP="00E41831">
            <w:pPr>
              <w:spacing w:after="0" w:line="240" w:lineRule="auto"/>
              <w:jc w:val="center"/>
              <w:rPr>
                <w:rFonts w:ascii="Arial Narrow" w:hAnsi="Arial Narrow"/>
                <w:sz w:val="20"/>
                <w:szCs w:val="20"/>
              </w:rPr>
            </w:pPr>
            <w:r w:rsidRPr="00E41831">
              <w:rPr>
                <w:rFonts w:ascii="Arial Narrow" w:hAnsi="Arial Narrow"/>
                <w:sz w:val="20"/>
                <w:szCs w:val="20"/>
              </w:rPr>
              <w:t>36,1</w:t>
            </w:r>
          </w:p>
        </w:tc>
        <w:tc>
          <w:tcPr>
            <w:tcW w:w="505" w:type="dxa"/>
            <w:tcBorders>
              <w:top w:val="single" w:sz="4" w:space="0" w:color="auto"/>
              <w:left w:val="nil"/>
              <w:bottom w:val="nil"/>
              <w:right w:val="nil"/>
            </w:tcBorders>
            <w:shd w:val="clear" w:color="auto" w:fill="auto"/>
            <w:vAlign w:val="center"/>
          </w:tcPr>
          <w:p w14:paraId="54D23023" w14:textId="41BA7D36" w:rsidR="00E41831" w:rsidRPr="00E41831" w:rsidRDefault="00E41831" w:rsidP="00E41831">
            <w:pPr>
              <w:spacing w:after="0" w:line="240" w:lineRule="auto"/>
              <w:jc w:val="center"/>
              <w:rPr>
                <w:rFonts w:ascii="Arial Narrow" w:hAnsi="Arial Narrow"/>
                <w:sz w:val="20"/>
                <w:szCs w:val="20"/>
              </w:rPr>
            </w:pPr>
            <w:r w:rsidRPr="00E41831">
              <w:rPr>
                <w:rFonts w:ascii="Arial Narrow" w:hAnsi="Arial Narrow"/>
                <w:sz w:val="20"/>
                <w:szCs w:val="20"/>
              </w:rPr>
              <w:t>40,3</w:t>
            </w:r>
          </w:p>
        </w:tc>
        <w:tc>
          <w:tcPr>
            <w:tcW w:w="505" w:type="dxa"/>
            <w:tcBorders>
              <w:top w:val="single" w:sz="4" w:space="0" w:color="auto"/>
              <w:left w:val="nil"/>
              <w:bottom w:val="nil"/>
              <w:right w:val="nil"/>
            </w:tcBorders>
            <w:shd w:val="clear" w:color="auto" w:fill="auto"/>
            <w:vAlign w:val="center"/>
          </w:tcPr>
          <w:p w14:paraId="1E8D9A3D" w14:textId="1ABF05F9" w:rsidR="00E41831" w:rsidRPr="00E41831" w:rsidRDefault="00E41831" w:rsidP="00E41831">
            <w:pPr>
              <w:spacing w:after="0" w:line="240" w:lineRule="auto"/>
              <w:jc w:val="center"/>
              <w:rPr>
                <w:rFonts w:ascii="Arial Narrow" w:hAnsi="Arial Narrow"/>
                <w:sz w:val="20"/>
                <w:szCs w:val="20"/>
              </w:rPr>
            </w:pPr>
            <w:r w:rsidRPr="00E41831">
              <w:rPr>
                <w:rFonts w:ascii="Arial Narrow" w:hAnsi="Arial Narrow"/>
                <w:sz w:val="20"/>
                <w:szCs w:val="20"/>
              </w:rPr>
              <w:t>36,4</w:t>
            </w:r>
          </w:p>
        </w:tc>
        <w:tc>
          <w:tcPr>
            <w:tcW w:w="505" w:type="dxa"/>
            <w:tcBorders>
              <w:top w:val="single" w:sz="4" w:space="0" w:color="auto"/>
              <w:left w:val="nil"/>
              <w:bottom w:val="nil"/>
              <w:right w:val="nil"/>
            </w:tcBorders>
            <w:shd w:val="clear" w:color="auto" w:fill="auto"/>
            <w:vAlign w:val="center"/>
          </w:tcPr>
          <w:p w14:paraId="3962E2BD" w14:textId="2982719F" w:rsidR="00E41831" w:rsidRPr="00E41831" w:rsidRDefault="00E41831" w:rsidP="00E41831">
            <w:pPr>
              <w:spacing w:after="0" w:line="240" w:lineRule="auto"/>
              <w:jc w:val="center"/>
              <w:rPr>
                <w:rFonts w:ascii="Arial Narrow" w:hAnsi="Arial Narrow"/>
                <w:sz w:val="20"/>
                <w:szCs w:val="20"/>
              </w:rPr>
            </w:pPr>
            <w:r w:rsidRPr="00E41831">
              <w:rPr>
                <w:rFonts w:ascii="Arial Narrow" w:hAnsi="Arial Narrow"/>
                <w:sz w:val="20"/>
                <w:szCs w:val="20"/>
              </w:rPr>
              <w:t>32,0</w:t>
            </w:r>
          </w:p>
        </w:tc>
        <w:tc>
          <w:tcPr>
            <w:tcW w:w="505" w:type="dxa"/>
            <w:tcBorders>
              <w:top w:val="single" w:sz="4" w:space="0" w:color="auto"/>
              <w:left w:val="nil"/>
              <w:bottom w:val="nil"/>
              <w:right w:val="nil"/>
            </w:tcBorders>
            <w:shd w:val="clear" w:color="auto" w:fill="auto"/>
            <w:vAlign w:val="center"/>
          </w:tcPr>
          <w:p w14:paraId="21A13891" w14:textId="188A2AD5" w:rsidR="00E41831" w:rsidRPr="00E41831" w:rsidRDefault="00E41831" w:rsidP="00E41831">
            <w:pPr>
              <w:spacing w:after="0" w:line="240" w:lineRule="auto"/>
              <w:jc w:val="center"/>
              <w:rPr>
                <w:rFonts w:ascii="Arial Narrow" w:hAnsi="Arial Narrow"/>
                <w:sz w:val="20"/>
                <w:szCs w:val="20"/>
              </w:rPr>
            </w:pPr>
            <w:r w:rsidRPr="00E41831">
              <w:rPr>
                <w:rFonts w:ascii="Arial Narrow" w:hAnsi="Arial Narrow"/>
                <w:sz w:val="20"/>
                <w:szCs w:val="20"/>
              </w:rPr>
              <w:t>31,1</w:t>
            </w:r>
          </w:p>
        </w:tc>
        <w:tc>
          <w:tcPr>
            <w:tcW w:w="505" w:type="dxa"/>
            <w:tcBorders>
              <w:top w:val="single" w:sz="4" w:space="0" w:color="auto"/>
              <w:left w:val="nil"/>
              <w:bottom w:val="nil"/>
              <w:right w:val="nil"/>
            </w:tcBorders>
            <w:vAlign w:val="center"/>
          </w:tcPr>
          <w:p w14:paraId="4103C63A" w14:textId="385C2050"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28,9</w:t>
            </w:r>
          </w:p>
        </w:tc>
        <w:tc>
          <w:tcPr>
            <w:tcW w:w="505" w:type="dxa"/>
            <w:tcBorders>
              <w:top w:val="single" w:sz="4" w:space="0" w:color="auto"/>
              <w:left w:val="nil"/>
              <w:bottom w:val="nil"/>
              <w:right w:val="nil"/>
            </w:tcBorders>
            <w:vAlign w:val="center"/>
          </w:tcPr>
          <w:p w14:paraId="51A6F373" w14:textId="4150764D"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27,0</w:t>
            </w:r>
          </w:p>
        </w:tc>
        <w:tc>
          <w:tcPr>
            <w:tcW w:w="505" w:type="dxa"/>
            <w:tcBorders>
              <w:top w:val="single" w:sz="4" w:space="0" w:color="auto"/>
              <w:left w:val="nil"/>
              <w:bottom w:val="nil"/>
              <w:right w:val="nil"/>
            </w:tcBorders>
            <w:vAlign w:val="center"/>
          </w:tcPr>
          <w:p w14:paraId="6D45621D" w14:textId="1EA24A7A"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color w:val="000000"/>
                <w:sz w:val="20"/>
                <w:szCs w:val="20"/>
              </w:rPr>
              <w:t>26,9</w:t>
            </w:r>
          </w:p>
        </w:tc>
        <w:tc>
          <w:tcPr>
            <w:tcW w:w="505" w:type="dxa"/>
            <w:tcBorders>
              <w:top w:val="single" w:sz="4" w:space="0" w:color="auto"/>
              <w:left w:val="nil"/>
              <w:bottom w:val="nil"/>
              <w:right w:val="nil"/>
            </w:tcBorders>
            <w:shd w:val="clear" w:color="auto" w:fill="auto"/>
            <w:vAlign w:val="center"/>
          </w:tcPr>
          <w:p w14:paraId="48D877B6" w14:textId="793E7CC4"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color w:val="000000"/>
                <w:sz w:val="20"/>
                <w:szCs w:val="20"/>
              </w:rPr>
              <w:t>-</w:t>
            </w:r>
          </w:p>
        </w:tc>
      </w:tr>
      <w:tr w:rsidR="00E41831" w:rsidRPr="004C54B9" w14:paraId="601232DE" w14:textId="77777777" w:rsidTr="00E41831">
        <w:trPr>
          <w:trHeight w:val="195"/>
          <w:jc w:val="center"/>
        </w:trPr>
        <w:tc>
          <w:tcPr>
            <w:tcW w:w="2515" w:type="dxa"/>
            <w:tcBorders>
              <w:top w:val="nil"/>
              <w:left w:val="nil"/>
              <w:bottom w:val="single" w:sz="4" w:space="0" w:color="auto"/>
              <w:right w:val="nil"/>
            </w:tcBorders>
            <w:shd w:val="clear" w:color="auto" w:fill="auto"/>
            <w:noWrap/>
            <w:vAlign w:val="center"/>
          </w:tcPr>
          <w:p w14:paraId="377FE291" w14:textId="77777777" w:rsidR="00E41831" w:rsidRPr="00E41831" w:rsidRDefault="00E41831" w:rsidP="00E41831">
            <w:pPr>
              <w:spacing w:after="0" w:line="240" w:lineRule="auto"/>
              <w:jc w:val="both"/>
              <w:rPr>
                <w:rFonts w:ascii="Arial Narrow" w:hAnsi="Arial Narrow"/>
                <w:color w:val="000000"/>
                <w:sz w:val="20"/>
                <w:szCs w:val="20"/>
              </w:rPr>
            </w:pPr>
            <w:r w:rsidRPr="00E41831">
              <w:rPr>
                <w:rFonts w:ascii="Arial Narrow" w:hAnsi="Arial Narrow"/>
                <w:color w:val="000000"/>
                <w:sz w:val="20"/>
                <w:szCs w:val="20"/>
              </w:rPr>
              <w:t>(% potenciálneho výnosu)</w:t>
            </w:r>
          </w:p>
        </w:tc>
        <w:tc>
          <w:tcPr>
            <w:tcW w:w="540" w:type="dxa"/>
            <w:tcBorders>
              <w:top w:val="nil"/>
              <w:left w:val="nil"/>
              <w:bottom w:val="single" w:sz="4" w:space="0" w:color="auto"/>
              <w:right w:val="nil"/>
            </w:tcBorders>
            <w:shd w:val="clear" w:color="auto" w:fill="auto"/>
            <w:noWrap/>
            <w:vAlign w:val="center"/>
          </w:tcPr>
          <w:p w14:paraId="40239CE8" w14:textId="77777777" w:rsidR="00E41831" w:rsidRPr="00E41831" w:rsidRDefault="00E41831" w:rsidP="00E41831">
            <w:pPr>
              <w:spacing w:after="0" w:line="240" w:lineRule="auto"/>
              <w:jc w:val="center"/>
              <w:rPr>
                <w:rFonts w:ascii="Arial Narrow" w:hAnsi="Arial Narrow"/>
                <w:b/>
                <w:bCs/>
                <w:color w:val="000000"/>
                <w:sz w:val="20"/>
                <w:szCs w:val="20"/>
              </w:rPr>
            </w:pPr>
            <w:r w:rsidRPr="00E41831">
              <w:rPr>
                <w:rFonts w:ascii="Arial Narrow" w:hAnsi="Arial Narrow"/>
                <w:b/>
                <w:bCs/>
                <w:color w:val="000000"/>
                <w:sz w:val="20"/>
                <w:szCs w:val="20"/>
              </w:rPr>
              <w:t>EÚ</w:t>
            </w:r>
          </w:p>
        </w:tc>
        <w:tc>
          <w:tcPr>
            <w:tcW w:w="505" w:type="dxa"/>
            <w:tcBorders>
              <w:top w:val="nil"/>
              <w:left w:val="nil"/>
              <w:bottom w:val="single" w:sz="4" w:space="0" w:color="auto"/>
              <w:right w:val="nil"/>
            </w:tcBorders>
            <w:shd w:val="clear" w:color="auto" w:fill="auto"/>
            <w:vAlign w:val="center"/>
          </w:tcPr>
          <w:p w14:paraId="1788D236" w14:textId="4CF0241F" w:rsidR="00E41831" w:rsidRPr="00E41831" w:rsidRDefault="00E41831" w:rsidP="00E41831">
            <w:pPr>
              <w:spacing w:after="0" w:line="240" w:lineRule="auto"/>
              <w:jc w:val="center"/>
              <w:rPr>
                <w:rFonts w:ascii="Arial Narrow" w:hAnsi="Arial Narrow"/>
                <w:sz w:val="20"/>
                <w:szCs w:val="20"/>
              </w:rPr>
            </w:pPr>
            <w:r w:rsidRPr="00E41831">
              <w:rPr>
                <w:rFonts w:ascii="Arial Narrow" w:hAnsi="Arial Narrow"/>
                <w:sz w:val="20"/>
                <w:szCs w:val="20"/>
              </w:rPr>
              <w:t>-</w:t>
            </w:r>
          </w:p>
        </w:tc>
        <w:tc>
          <w:tcPr>
            <w:tcW w:w="505" w:type="dxa"/>
            <w:tcBorders>
              <w:top w:val="nil"/>
              <w:left w:val="nil"/>
              <w:bottom w:val="single" w:sz="4" w:space="0" w:color="auto"/>
              <w:right w:val="nil"/>
            </w:tcBorders>
            <w:shd w:val="clear" w:color="auto" w:fill="auto"/>
            <w:vAlign w:val="center"/>
          </w:tcPr>
          <w:p w14:paraId="76F52486" w14:textId="16359757" w:rsidR="00E41831" w:rsidRPr="00E41831" w:rsidRDefault="00E41831" w:rsidP="00E41831">
            <w:pPr>
              <w:spacing w:after="0" w:line="240" w:lineRule="auto"/>
              <w:jc w:val="center"/>
              <w:rPr>
                <w:rFonts w:ascii="Arial Narrow" w:hAnsi="Arial Narrow"/>
                <w:sz w:val="20"/>
                <w:szCs w:val="20"/>
              </w:rPr>
            </w:pPr>
            <w:r w:rsidRPr="00E41831">
              <w:rPr>
                <w:rFonts w:ascii="Arial Narrow" w:hAnsi="Arial Narrow"/>
                <w:sz w:val="20"/>
                <w:szCs w:val="20"/>
              </w:rPr>
              <w:t>-</w:t>
            </w:r>
          </w:p>
        </w:tc>
        <w:tc>
          <w:tcPr>
            <w:tcW w:w="505" w:type="dxa"/>
            <w:tcBorders>
              <w:top w:val="nil"/>
              <w:left w:val="nil"/>
              <w:bottom w:val="single" w:sz="4" w:space="0" w:color="auto"/>
              <w:right w:val="nil"/>
            </w:tcBorders>
            <w:shd w:val="clear" w:color="auto" w:fill="auto"/>
            <w:vAlign w:val="center"/>
          </w:tcPr>
          <w:p w14:paraId="358730C0" w14:textId="6EA75391" w:rsidR="00E41831" w:rsidRPr="00E41831" w:rsidRDefault="00E41831" w:rsidP="00E41831">
            <w:pPr>
              <w:spacing w:after="0" w:line="240" w:lineRule="auto"/>
              <w:jc w:val="center"/>
              <w:rPr>
                <w:rFonts w:ascii="Arial Narrow" w:hAnsi="Arial Narrow"/>
                <w:sz w:val="20"/>
                <w:szCs w:val="20"/>
              </w:rPr>
            </w:pPr>
            <w:r w:rsidRPr="00E41831">
              <w:rPr>
                <w:rFonts w:ascii="Arial Narrow" w:hAnsi="Arial Narrow"/>
                <w:sz w:val="20"/>
                <w:szCs w:val="20"/>
              </w:rPr>
              <w:t>-</w:t>
            </w:r>
          </w:p>
        </w:tc>
        <w:tc>
          <w:tcPr>
            <w:tcW w:w="505" w:type="dxa"/>
            <w:tcBorders>
              <w:top w:val="nil"/>
              <w:left w:val="nil"/>
              <w:bottom w:val="single" w:sz="4" w:space="0" w:color="auto"/>
              <w:right w:val="nil"/>
            </w:tcBorders>
            <w:shd w:val="clear" w:color="auto" w:fill="auto"/>
            <w:vAlign w:val="center"/>
          </w:tcPr>
          <w:p w14:paraId="1E660A32" w14:textId="72604551" w:rsidR="00E41831" w:rsidRPr="00E41831" w:rsidRDefault="00E41831" w:rsidP="00E41831">
            <w:pPr>
              <w:spacing w:after="0" w:line="240" w:lineRule="auto"/>
              <w:jc w:val="center"/>
              <w:rPr>
                <w:rFonts w:ascii="Arial Narrow" w:hAnsi="Arial Narrow"/>
                <w:sz w:val="20"/>
                <w:szCs w:val="20"/>
              </w:rPr>
            </w:pPr>
            <w:r w:rsidRPr="00E41831">
              <w:rPr>
                <w:rFonts w:ascii="Arial Narrow" w:hAnsi="Arial Narrow"/>
                <w:sz w:val="20"/>
                <w:szCs w:val="20"/>
              </w:rPr>
              <w:t>15,4</w:t>
            </w:r>
          </w:p>
        </w:tc>
        <w:tc>
          <w:tcPr>
            <w:tcW w:w="505" w:type="dxa"/>
            <w:tcBorders>
              <w:top w:val="nil"/>
              <w:left w:val="nil"/>
              <w:bottom w:val="single" w:sz="4" w:space="0" w:color="auto"/>
              <w:right w:val="nil"/>
            </w:tcBorders>
            <w:shd w:val="clear" w:color="auto" w:fill="auto"/>
            <w:vAlign w:val="center"/>
          </w:tcPr>
          <w:p w14:paraId="4BA1EED7" w14:textId="080E8CB0" w:rsidR="00E41831" w:rsidRPr="00E41831" w:rsidRDefault="00E41831" w:rsidP="00E41831">
            <w:pPr>
              <w:spacing w:after="0" w:line="240" w:lineRule="auto"/>
              <w:jc w:val="center"/>
              <w:rPr>
                <w:rFonts w:ascii="Arial Narrow" w:hAnsi="Arial Narrow"/>
                <w:sz w:val="20"/>
                <w:szCs w:val="20"/>
              </w:rPr>
            </w:pPr>
            <w:r w:rsidRPr="00E41831">
              <w:rPr>
                <w:rFonts w:ascii="Arial Narrow" w:hAnsi="Arial Narrow"/>
                <w:sz w:val="20"/>
                <w:szCs w:val="20"/>
              </w:rPr>
              <w:t>15,2</w:t>
            </w:r>
          </w:p>
        </w:tc>
        <w:tc>
          <w:tcPr>
            <w:tcW w:w="505" w:type="dxa"/>
            <w:tcBorders>
              <w:top w:val="nil"/>
              <w:left w:val="nil"/>
              <w:bottom w:val="single" w:sz="4" w:space="0" w:color="auto"/>
              <w:right w:val="nil"/>
            </w:tcBorders>
            <w:shd w:val="clear" w:color="auto" w:fill="auto"/>
            <w:vAlign w:val="center"/>
          </w:tcPr>
          <w:p w14:paraId="1E547D4F" w14:textId="498C8B51" w:rsidR="00E41831" w:rsidRPr="00E41831" w:rsidRDefault="00E41831" w:rsidP="00E41831">
            <w:pPr>
              <w:spacing w:after="0" w:line="240" w:lineRule="auto"/>
              <w:jc w:val="center"/>
              <w:rPr>
                <w:rFonts w:ascii="Arial Narrow" w:hAnsi="Arial Narrow"/>
                <w:sz w:val="20"/>
                <w:szCs w:val="20"/>
              </w:rPr>
            </w:pPr>
            <w:r w:rsidRPr="00E41831">
              <w:rPr>
                <w:rFonts w:ascii="Arial Narrow" w:hAnsi="Arial Narrow"/>
                <w:sz w:val="20"/>
                <w:szCs w:val="20"/>
              </w:rPr>
              <w:t>14,3</w:t>
            </w:r>
          </w:p>
        </w:tc>
        <w:tc>
          <w:tcPr>
            <w:tcW w:w="505" w:type="dxa"/>
            <w:tcBorders>
              <w:top w:val="nil"/>
              <w:left w:val="nil"/>
              <w:bottom w:val="single" w:sz="4" w:space="0" w:color="auto"/>
              <w:right w:val="nil"/>
            </w:tcBorders>
            <w:shd w:val="clear" w:color="auto" w:fill="auto"/>
            <w:vAlign w:val="center"/>
          </w:tcPr>
          <w:p w14:paraId="2A57F2F4" w14:textId="6223B22E" w:rsidR="00E41831" w:rsidRPr="00E41831" w:rsidRDefault="00E41831" w:rsidP="00E41831">
            <w:pPr>
              <w:spacing w:after="0" w:line="240" w:lineRule="auto"/>
              <w:jc w:val="center"/>
              <w:rPr>
                <w:rFonts w:ascii="Arial Narrow" w:hAnsi="Arial Narrow"/>
                <w:sz w:val="20"/>
                <w:szCs w:val="20"/>
              </w:rPr>
            </w:pPr>
            <w:r w:rsidRPr="00E41831">
              <w:rPr>
                <w:rFonts w:ascii="Arial Narrow" w:hAnsi="Arial Narrow"/>
                <w:sz w:val="20"/>
                <w:szCs w:val="20"/>
              </w:rPr>
              <w:t>13,2</w:t>
            </w:r>
          </w:p>
        </w:tc>
        <w:tc>
          <w:tcPr>
            <w:tcW w:w="505" w:type="dxa"/>
            <w:tcBorders>
              <w:top w:val="nil"/>
              <w:left w:val="nil"/>
              <w:bottom w:val="single" w:sz="4" w:space="0" w:color="auto"/>
              <w:right w:val="nil"/>
            </w:tcBorders>
            <w:vAlign w:val="center"/>
          </w:tcPr>
          <w:p w14:paraId="0B103769" w14:textId="193A1522"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sz w:val="20"/>
                <w:szCs w:val="20"/>
              </w:rPr>
              <w:t>12,3</w:t>
            </w:r>
          </w:p>
        </w:tc>
        <w:tc>
          <w:tcPr>
            <w:tcW w:w="505" w:type="dxa"/>
            <w:tcBorders>
              <w:top w:val="nil"/>
              <w:left w:val="nil"/>
              <w:bottom w:val="single" w:sz="4" w:space="0" w:color="auto"/>
              <w:right w:val="nil"/>
            </w:tcBorders>
            <w:vAlign w:val="center"/>
          </w:tcPr>
          <w:p w14:paraId="1791E0BA" w14:textId="77777777" w:rsidR="00E41831" w:rsidRPr="00E41831" w:rsidRDefault="00E41831" w:rsidP="00E41831">
            <w:pPr>
              <w:spacing w:after="0" w:line="240" w:lineRule="auto"/>
              <w:jc w:val="center"/>
              <w:rPr>
                <w:rFonts w:ascii="Arial Narrow" w:hAnsi="Arial Narrow"/>
                <w:color w:val="000000"/>
                <w:sz w:val="20"/>
                <w:szCs w:val="20"/>
              </w:rPr>
            </w:pPr>
          </w:p>
        </w:tc>
        <w:tc>
          <w:tcPr>
            <w:tcW w:w="505" w:type="dxa"/>
            <w:tcBorders>
              <w:top w:val="nil"/>
              <w:left w:val="nil"/>
              <w:bottom w:val="single" w:sz="4" w:space="0" w:color="auto"/>
              <w:right w:val="nil"/>
            </w:tcBorders>
            <w:vAlign w:val="center"/>
          </w:tcPr>
          <w:p w14:paraId="22213F09" w14:textId="0056E927"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color w:val="000000"/>
                <w:sz w:val="20"/>
                <w:szCs w:val="20"/>
              </w:rPr>
              <w:t>-</w:t>
            </w:r>
          </w:p>
        </w:tc>
        <w:tc>
          <w:tcPr>
            <w:tcW w:w="505" w:type="dxa"/>
            <w:tcBorders>
              <w:top w:val="nil"/>
              <w:left w:val="nil"/>
              <w:bottom w:val="single" w:sz="4" w:space="0" w:color="auto"/>
              <w:right w:val="nil"/>
            </w:tcBorders>
            <w:shd w:val="clear" w:color="auto" w:fill="auto"/>
            <w:vAlign w:val="center"/>
          </w:tcPr>
          <w:p w14:paraId="082A768A" w14:textId="19D1D691" w:rsidR="00E41831" w:rsidRPr="00E41831" w:rsidRDefault="00E41831" w:rsidP="00E41831">
            <w:pPr>
              <w:spacing w:after="0" w:line="240" w:lineRule="auto"/>
              <w:jc w:val="center"/>
              <w:rPr>
                <w:rFonts w:ascii="Arial Narrow" w:hAnsi="Arial Narrow"/>
                <w:color w:val="000000"/>
                <w:sz w:val="20"/>
                <w:szCs w:val="20"/>
              </w:rPr>
            </w:pPr>
            <w:r w:rsidRPr="00E41831">
              <w:rPr>
                <w:rFonts w:ascii="Arial Narrow" w:hAnsi="Arial Narrow"/>
                <w:color w:val="000000"/>
                <w:sz w:val="20"/>
                <w:szCs w:val="20"/>
              </w:rPr>
              <w:t>-</w:t>
            </w:r>
          </w:p>
        </w:tc>
      </w:tr>
    </w:tbl>
    <w:p w14:paraId="35366B55" w14:textId="77777777" w:rsidR="007D2366" w:rsidRPr="004C54B9" w:rsidRDefault="007D2366" w:rsidP="004C54B9">
      <w:pPr>
        <w:spacing w:after="0" w:line="240" w:lineRule="auto"/>
        <w:jc w:val="right"/>
        <w:rPr>
          <w:rFonts w:ascii="Arial Narrow" w:hAnsi="Arial Narrow"/>
          <w:highlight w:val="yellow"/>
        </w:rPr>
      </w:pPr>
    </w:p>
    <w:p w14:paraId="7CB008B5" w14:textId="77777777" w:rsidR="00E41831" w:rsidRDefault="00E41831" w:rsidP="00E41831">
      <w:pPr>
        <w:pStyle w:val="Odsekzoznamu"/>
        <w:spacing w:after="0" w:line="240" w:lineRule="auto"/>
        <w:ind w:left="0"/>
        <w:jc w:val="both"/>
        <w:rPr>
          <w:rFonts w:ascii="Arial Narrow" w:hAnsi="Arial Narrow" w:cs="Arial Narrow"/>
        </w:rPr>
      </w:pPr>
      <w:r w:rsidRPr="00E41831">
        <w:rPr>
          <w:rFonts w:ascii="Arial Narrow" w:hAnsi="Arial Narrow" w:cs="Arial Narrow"/>
          <w:b/>
        </w:rPr>
        <w:t xml:space="preserve">Podľa správy Rady pre rozpočtovú zodpovednosť z apríla 2018 dosiahol ukazovateľ dlhodobej udržateľnosti v roku 2017 hodnotu 1,1 % HDP. </w:t>
      </w:r>
      <w:r w:rsidRPr="00E41831">
        <w:rPr>
          <w:rFonts w:ascii="Arial Narrow" w:hAnsi="Arial Narrow" w:cs="Arial Narrow"/>
        </w:rPr>
        <w:t>Základným cieľom rozpočtovej politiky je zabezpečenie efektívnych a dlhodobo udržateľných verejných financií podporujúcich udržateľný hospodársky rozvoj a zvyšovanie kvality života v kontexte starnutia obyvateľstva a pri zohľadnení podmienených záväzkov. Tento cieľ je zakotvený aj v ústavnom zákone o rozpočtovej zodpovednosti a ovplyvňuje tým pravidelnú aktualizáciu stratégie riadenia verejných financií. Podľa tejto správy</w:t>
      </w:r>
      <w:r w:rsidRPr="00E41831">
        <w:rPr>
          <w:rFonts w:ascii="Arial Narrow" w:hAnsi="Arial Narrow" w:cs="Arial Narrow"/>
          <w:b/>
        </w:rPr>
        <w:t xml:space="preserve"> </w:t>
      </w:r>
      <w:r w:rsidRPr="00E41831">
        <w:rPr>
          <w:rFonts w:ascii="Arial Narrow" w:hAnsi="Arial Narrow" w:cs="Arial Narrow"/>
        </w:rPr>
        <w:t>by tak nemala byť prekročená horná hranica ústavného limitu dlhovej brzdy (na úrovni 50 % HDP) až do roku 2043 (</w:t>
      </w:r>
      <w:r w:rsidRPr="00E41831">
        <w:rPr>
          <w:rFonts w:ascii="Arial Narrow" w:hAnsi="Arial Narrow" w:cs="Arial"/>
          <w:color w:val="000000"/>
          <w:shd w:val="clear" w:color="auto" w:fill="FFFFFF"/>
        </w:rPr>
        <w:t>p</w:t>
      </w:r>
      <w:r w:rsidRPr="00E41831">
        <w:rPr>
          <w:rFonts w:ascii="Arial Narrow" w:hAnsi="Arial Narrow" w:cs="Arial Narrow"/>
        </w:rPr>
        <w:t>o zohľadnení očakávaného makroekonomického scenára, demografického vývoja a pôsobenia súčasných politík bez zmeny legislatívy). Aby dlh neprekročil horný limit na celom 50-ročnom horizonte základného scenára (do roku 2067), v porovnaní so základným scenárom by bolo potrebné prijať opatrenia vo výške 1,1 % HDP.</w:t>
      </w:r>
    </w:p>
    <w:p w14:paraId="7B31D1B5" w14:textId="77777777" w:rsidR="00E41831" w:rsidRDefault="00E41831" w:rsidP="00E41831">
      <w:pPr>
        <w:pStyle w:val="Odsekzoznamu"/>
        <w:spacing w:after="0" w:line="240" w:lineRule="auto"/>
        <w:ind w:left="0"/>
        <w:jc w:val="both"/>
        <w:rPr>
          <w:rFonts w:ascii="Arial Narrow" w:hAnsi="Arial Narrow" w:cs="Arial Narrow"/>
        </w:rPr>
      </w:pPr>
    </w:p>
    <w:p w14:paraId="5C0E38AA" w14:textId="77777777" w:rsidR="00E41831" w:rsidRDefault="00E41831" w:rsidP="00E41831">
      <w:pPr>
        <w:spacing w:after="0" w:line="240" w:lineRule="auto"/>
        <w:rPr>
          <w:rFonts w:ascii="Arial Narrow" w:hAnsi="Arial Narrow"/>
          <w:b/>
          <w:i/>
        </w:rPr>
      </w:pPr>
      <w:r w:rsidRPr="00594F8C">
        <w:rPr>
          <w:rFonts w:ascii="Arial Narrow" w:hAnsi="Arial Narrow"/>
          <w:b/>
          <w:i/>
        </w:rPr>
        <w:t>Efektívnosť výberu daní</w:t>
      </w:r>
    </w:p>
    <w:p w14:paraId="3AFD0F0D" w14:textId="76497798" w:rsidR="00E41831" w:rsidRDefault="00E41831" w:rsidP="00E41831">
      <w:pPr>
        <w:pStyle w:val="Odsekzoznamu"/>
        <w:spacing w:after="0" w:line="240" w:lineRule="auto"/>
        <w:ind w:left="0"/>
        <w:jc w:val="both"/>
        <w:rPr>
          <w:rFonts w:ascii="Arial Narrow" w:hAnsi="Arial Narrow" w:cs="Arial Narrow"/>
        </w:rPr>
      </w:pPr>
      <w:r w:rsidRPr="00E83B74">
        <w:rPr>
          <w:rFonts w:ascii="Arial Narrow" w:hAnsi="Arial Narrow" w:cs="Arial Narrow"/>
          <w:b/>
        </w:rPr>
        <w:t>Od roku 2012 sa znížila medzera výberu na DPH z vyše 40 % potenciálneho výberu dane na 26,9 %.</w:t>
      </w:r>
      <w:r w:rsidRPr="00C52A5E">
        <w:rPr>
          <w:rFonts w:ascii="Arial Narrow" w:hAnsi="Arial Narrow" w:cs="Arial Narrow"/>
        </w:rPr>
        <w:t xml:space="preserve"> Na základe posledných údajov z národnej metodiky došlo k stabilizácií medzery DPH, pričom nové opatrenia by mohli opätovne dopomôcť k uzatváraniu medzery. Tento pozitívny trend je potvrdený aj metodikou využívanou v rámci EÚ, ktorá pre rok 2016 odhadla daňovú medzeru na úrovni 25,7 %, čo predstavuje piate najrýchlejšie uzatváranie daňovej medzery v danom roku. </w:t>
      </w:r>
    </w:p>
    <w:p w14:paraId="13AB348A" w14:textId="77777777" w:rsidR="0043352C" w:rsidRDefault="0043352C" w:rsidP="0043352C">
      <w:pPr>
        <w:pStyle w:val="Odsekzoznamu"/>
        <w:spacing w:after="0" w:line="240" w:lineRule="auto"/>
        <w:ind w:left="0"/>
        <w:contextualSpacing w:val="0"/>
        <w:jc w:val="both"/>
        <w:rPr>
          <w:rFonts w:ascii="Arial Narrow" w:hAnsi="Arial Narrow" w:cs="Arial Narrow"/>
        </w:rPr>
      </w:pPr>
    </w:p>
    <w:tbl>
      <w:tblPr>
        <w:tblpPr w:leftFromText="141" w:rightFromText="141" w:vertAnchor="text" w:horzAnchor="margin" w:tblpXSpec="center" w:tblpY="10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395"/>
        <w:gridCol w:w="160"/>
        <w:gridCol w:w="4009"/>
      </w:tblGrid>
      <w:tr w:rsidR="0043352C" w:rsidRPr="004C54B9" w14:paraId="58CFE293" w14:textId="77777777" w:rsidTr="0043352C">
        <w:trPr>
          <w:trHeight w:val="125"/>
        </w:trPr>
        <w:tc>
          <w:tcPr>
            <w:tcW w:w="4395" w:type="dxa"/>
            <w:tcBorders>
              <w:top w:val="nil"/>
              <w:left w:val="nil"/>
              <w:bottom w:val="single" w:sz="4" w:space="0" w:color="auto"/>
              <w:right w:val="nil"/>
            </w:tcBorders>
            <w:vAlign w:val="center"/>
          </w:tcPr>
          <w:p w14:paraId="0C46B12F" w14:textId="7F4F2960" w:rsidR="0043352C" w:rsidRPr="00FB5149" w:rsidRDefault="0043352C" w:rsidP="00F14AB4">
            <w:pPr>
              <w:pStyle w:val="Popis"/>
              <w:rPr>
                <w:rFonts w:cs="Arial"/>
                <w:szCs w:val="22"/>
              </w:rPr>
            </w:pPr>
            <w:bookmarkStart w:id="18" w:name="_Toc4625954"/>
            <w:r w:rsidRPr="00F6057C">
              <w:rPr>
                <w:szCs w:val="22"/>
              </w:rPr>
              <w:t xml:space="preserve">Graf </w:t>
            </w:r>
            <w:r w:rsidRPr="00F6057C">
              <w:rPr>
                <w:szCs w:val="22"/>
              </w:rPr>
              <w:fldChar w:fldCharType="begin"/>
            </w:r>
            <w:r w:rsidRPr="00F6057C">
              <w:rPr>
                <w:szCs w:val="22"/>
              </w:rPr>
              <w:instrText xml:space="preserve"> SEQ Graf \* ARABIC </w:instrText>
            </w:r>
            <w:r w:rsidRPr="00F6057C">
              <w:rPr>
                <w:szCs w:val="22"/>
              </w:rPr>
              <w:fldChar w:fldCharType="separate"/>
            </w:r>
            <w:r w:rsidR="0020148F">
              <w:rPr>
                <w:noProof/>
                <w:szCs w:val="22"/>
              </w:rPr>
              <w:t>5</w:t>
            </w:r>
            <w:r w:rsidRPr="00F6057C">
              <w:rPr>
                <w:szCs w:val="22"/>
              </w:rPr>
              <w:fldChar w:fldCharType="end"/>
            </w:r>
            <w:r w:rsidRPr="00FB5149">
              <w:rPr>
                <w:szCs w:val="22"/>
              </w:rPr>
              <w:t xml:space="preserve">: </w:t>
            </w:r>
            <w:r>
              <w:t xml:space="preserve"> </w:t>
            </w:r>
            <w:r w:rsidRPr="0043352C">
              <w:rPr>
                <w:rFonts w:cs="Arial"/>
                <w:szCs w:val="22"/>
              </w:rPr>
              <w:t>Daňová medzera na DPH (% potenciálneho výnosu), národná aj EK metodika</w:t>
            </w:r>
            <w:bookmarkEnd w:id="18"/>
          </w:p>
        </w:tc>
        <w:tc>
          <w:tcPr>
            <w:tcW w:w="160" w:type="dxa"/>
            <w:tcBorders>
              <w:top w:val="nil"/>
              <w:left w:val="nil"/>
              <w:bottom w:val="nil"/>
              <w:right w:val="nil"/>
            </w:tcBorders>
            <w:vAlign w:val="center"/>
          </w:tcPr>
          <w:p w14:paraId="0F081E10" w14:textId="77777777" w:rsidR="0043352C" w:rsidRPr="00FB5149" w:rsidRDefault="0043352C" w:rsidP="00F14AB4">
            <w:pPr>
              <w:spacing w:after="0" w:line="240" w:lineRule="auto"/>
              <w:rPr>
                <w:rFonts w:ascii="Arial Narrow" w:hAnsi="Arial Narrow" w:cs="Arial"/>
                <w:b/>
                <w:sz w:val="20"/>
              </w:rPr>
            </w:pPr>
          </w:p>
        </w:tc>
        <w:tc>
          <w:tcPr>
            <w:tcW w:w="4009" w:type="dxa"/>
            <w:tcBorders>
              <w:top w:val="nil"/>
              <w:left w:val="nil"/>
              <w:bottom w:val="single" w:sz="4" w:space="0" w:color="auto"/>
              <w:right w:val="nil"/>
            </w:tcBorders>
            <w:vAlign w:val="center"/>
          </w:tcPr>
          <w:p w14:paraId="4575F1F3" w14:textId="73553908" w:rsidR="0043352C" w:rsidRPr="00FB5149" w:rsidRDefault="0043352C" w:rsidP="00F14AB4">
            <w:pPr>
              <w:pStyle w:val="Popis"/>
              <w:rPr>
                <w:szCs w:val="22"/>
              </w:rPr>
            </w:pPr>
            <w:bookmarkStart w:id="19" w:name="_Toc4625955"/>
            <w:r w:rsidRPr="00F6057C">
              <w:rPr>
                <w:szCs w:val="22"/>
              </w:rPr>
              <w:t xml:space="preserve">Graf </w:t>
            </w:r>
            <w:r w:rsidRPr="00F6057C">
              <w:rPr>
                <w:szCs w:val="22"/>
              </w:rPr>
              <w:fldChar w:fldCharType="begin"/>
            </w:r>
            <w:r w:rsidRPr="00F6057C">
              <w:rPr>
                <w:szCs w:val="22"/>
              </w:rPr>
              <w:instrText xml:space="preserve"> SEQ Graf \* ARABIC </w:instrText>
            </w:r>
            <w:r w:rsidRPr="00F6057C">
              <w:rPr>
                <w:szCs w:val="22"/>
              </w:rPr>
              <w:fldChar w:fldCharType="separate"/>
            </w:r>
            <w:r w:rsidR="0020148F">
              <w:rPr>
                <w:noProof/>
                <w:szCs w:val="22"/>
              </w:rPr>
              <w:t>6</w:t>
            </w:r>
            <w:r w:rsidRPr="00F6057C">
              <w:rPr>
                <w:szCs w:val="22"/>
              </w:rPr>
              <w:fldChar w:fldCharType="end"/>
            </w:r>
            <w:r>
              <w:rPr>
                <w:szCs w:val="22"/>
              </w:rPr>
              <w:t xml:space="preserve">: </w:t>
            </w:r>
            <w:r w:rsidRPr="0043352C">
              <w:rPr>
                <w:rFonts w:cs="Arial"/>
                <w:szCs w:val="22"/>
              </w:rPr>
              <w:t>Zmena daňovej medzery na DPH v EÚ (2016)</w:t>
            </w:r>
            <w:bookmarkEnd w:id="19"/>
          </w:p>
        </w:tc>
      </w:tr>
      <w:tr w:rsidR="0043352C" w:rsidRPr="004C54B9" w14:paraId="4A451F3E" w14:textId="77777777" w:rsidTr="0043352C">
        <w:trPr>
          <w:trHeight w:val="3208"/>
        </w:trPr>
        <w:tc>
          <w:tcPr>
            <w:tcW w:w="4395" w:type="dxa"/>
            <w:tcBorders>
              <w:top w:val="single" w:sz="4" w:space="0" w:color="auto"/>
              <w:left w:val="nil"/>
              <w:bottom w:val="single" w:sz="4" w:space="0" w:color="auto"/>
              <w:right w:val="nil"/>
            </w:tcBorders>
            <w:vAlign w:val="center"/>
          </w:tcPr>
          <w:p w14:paraId="3A33FF70" w14:textId="11E83D38" w:rsidR="0043352C" w:rsidRPr="004C54B9" w:rsidRDefault="0043352C" w:rsidP="00F14AB4">
            <w:pPr>
              <w:spacing w:after="0" w:line="240" w:lineRule="auto"/>
              <w:jc w:val="center"/>
              <w:rPr>
                <w:rFonts w:ascii="Arial Narrow" w:hAnsi="Arial Narrow" w:cs="Arial"/>
                <w:b/>
              </w:rPr>
            </w:pPr>
            <w:r>
              <w:rPr>
                <w:noProof/>
                <w:lang w:val="en-GB" w:eastAsia="en-GB"/>
              </w:rPr>
              <w:drawing>
                <wp:inline distT="0" distB="0" distL="0" distR="0" wp14:anchorId="158144B8" wp14:editId="45A33B1E">
                  <wp:extent cx="2619375" cy="1933575"/>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160" w:type="dxa"/>
            <w:tcBorders>
              <w:top w:val="nil"/>
              <w:left w:val="nil"/>
              <w:bottom w:val="nil"/>
              <w:right w:val="nil"/>
            </w:tcBorders>
            <w:vAlign w:val="center"/>
          </w:tcPr>
          <w:p w14:paraId="77DB43F3" w14:textId="77777777" w:rsidR="0043352C" w:rsidRPr="004C54B9" w:rsidRDefault="0043352C" w:rsidP="00F14AB4">
            <w:pPr>
              <w:spacing w:after="0" w:line="240" w:lineRule="auto"/>
              <w:jc w:val="center"/>
              <w:rPr>
                <w:rFonts w:ascii="Arial Narrow" w:hAnsi="Arial Narrow" w:cs="Arial"/>
                <w:b/>
              </w:rPr>
            </w:pPr>
          </w:p>
        </w:tc>
        <w:tc>
          <w:tcPr>
            <w:tcW w:w="4009" w:type="dxa"/>
            <w:tcBorders>
              <w:top w:val="single" w:sz="4" w:space="0" w:color="auto"/>
              <w:left w:val="nil"/>
              <w:bottom w:val="single" w:sz="4" w:space="0" w:color="auto"/>
              <w:right w:val="nil"/>
            </w:tcBorders>
            <w:vAlign w:val="center"/>
          </w:tcPr>
          <w:p w14:paraId="31CAC06F" w14:textId="4C3A2EB5" w:rsidR="0043352C" w:rsidRPr="004C54B9" w:rsidRDefault="0043352C" w:rsidP="00F14AB4">
            <w:pPr>
              <w:spacing w:after="0" w:line="240" w:lineRule="auto"/>
              <w:jc w:val="center"/>
              <w:rPr>
                <w:rFonts w:ascii="Arial Narrow" w:hAnsi="Arial Narrow" w:cs="Arial"/>
                <w:b/>
              </w:rPr>
            </w:pPr>
            <w:r>
              <w:rPr>
                <w:noProof/>
                <w:lang w:val="en-GB" w:eastAsia="en-GB"/>
              </w:rPr>
              <w:drawing>
                <wp:inline distT="0" distB="0" distL="0" distR="0" wp14:anchorId="6F1EC625" wp14:editId="56B7096C">
                  <wp:extent cx="2390775" cy="1971675"/>
                  <wp:effectExtent l="0" t="0" r="0" b="0"/>
                  <wp:docPr id="224" name="Graf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43352C" w:rsidRPr="004C54B9" w14:paraId="29CA968E" w14:textId="77777777" w:rsidTr="0043352C">
        <w:trPr>
          <w:trHeight w:val="120"/>
        </w:trPr>
        <w:tc>
          <w:tcPr>
            <w:tcW w:w="4395" w:type="dxa"/>
            <w:tcBorders>
              <w:top w:val="single" w:sz="4" w:space="0" w:color="auto"/>
              <w:left w:val="nil"/>
              <w:bottom w:val="nil"/>
              <w:right w:val="nil"/>
            </w:tcBorders>
            <w:vAlign w:val="center"/>
          </w:tcPr>
          <w:p w14:paraId="58CC5AD9" w14:textId="77777777" w:rsidR="0043352C" w:rsidRPr="00FB5149" w:rsidRDefault="0043352C" w:rsidP="00F14AB4">
            <w:pPr>
              <w:spacing w:after="0" w:line="240" w:lineRule="auto"/>
              <w:jc w:val="right"/>
              <w:rPr>
                <w:rFonts w:ascii="Arial Narrow" w:hAnsi="Arial Narrow" w:cs="Arial"/>
                <w:sz w:val="16"/>
              </w:rPr>
            </w:pPr>
            <w:r w:rsidRPr="00FB5149">
              <w:rPr>
                <w:rFonts w:ascii="Arial Narrow" w:hAnsi="Arial Narrow" w:cs="Arial Narrow"/>
                <w:i/>
                <w:iCs/>
                <w:color w:val="000000"/>
                <w:sz w:val="16"/>
              </w:rPr>
              <w:t xml:space="preserve">Zdroj: ŠÚ SR, MF SR </w:t>
            </w:r>
          </w:p>
        </w:tc>
        <w:tc>
          <w:tcPr>
            <w:tcW w:w="160" w:type="dxa"/>
            <w:tcBorders>
              <w:top w:val="nil"/>
              <w:left w:val="nil"/>
              <w:bottom w:val="nil"/>
              <w:right w:val="nil"/>
            </w:tcBorders>
            <w:vAlign w:val="center"/>
          </w:tcPr>
          <w:p w14:paraId="32C6220E" w14:textId="77777777" w:rsidR="0043352C" w:rsidRPr="00FB5149" w:rsidRDefault="0043352C" w:rsidP="00F14AB4">
            <w:pPr>
              <w:spacing w:after="0" w:line="240" w:lineRule="auto"/>
              <w:jc w:val="center"/>
              <w:rPr>
                <w:rFonts w:ascii="Arial Narrow" w:hAnsi="Arial Narrow" w:cs="Arial"/>
                <w:sz w:val="16"/>
              </w:rPr>
            </w:pPr>
          </w:p>
        </w:tc>
        <w:tc>
          <w:tcPr>
            <w:tcW w:w="4009" w:type="dxa"/>
            <w:tcBorders>
              <w:top w:val="single" w:sz="4" w:space="0" w:color="auto"/>
              <w:left w:val="nil"/>
              <w:bottom w:val="nil"/>
              <w:right w:val="nil"/>
            </w:tcBorders>
            <w:vAlign w:val="center"/>
          </w:tcPr>
          <w:p w14:paraId="76154A26" w14:textId="77777777" w:rsidR="0043352C" w:rsidRPr="00FB5149" w:rsidRDefault="0043352C" w:rsidP="00F14AB4">
            <w:pPr>
              <w:spacing w:after="0" w:line="240" w:lineRule="auto"/>
              <w:jc w:val="right"/>
              <w:rPr>
                <w:rFonts w:ascii="Arial Narrow" w:hAnsi="Arial Narrow" w:cs="Arial"/>
                <w:sz w:val="16"/>
              </w:rPr>
            </w:pPr>
            <w:r w:rsidRPr="00FB5149">
              <w:rPr>
                <w:rFonts w:ascii="Arial Narrow" w:hAnsi="Arial Narrow" w:cs="Arial Narrow"/>
                <w:i/>
                <w:iCs/>
                <w:color w:val="000000"/>
                <w:sz w:val="16"/>
              </w:rPr>
              <w:t xml:space="preserve">Zdroj: ŠÚ SR </w:t>
            </w:r>
          </w:p>
        </w:tc>
      </w:tr>
    </w:tbl>
    <w:p w14:paraId="2CAA41AE" w14:textId="5E29C81A" w:rsidR="000E1F6E" w:rsidRDefault="000E1F6E" w:rsidP="000E1F6E">
      <w:pPr>
        <w:spacing w:after="0" w:line="240" w:lineRule="auto"/>
        <w:jc w:val="both"/>
        <w:rPr>
          <w:rFonts w:ascii="Arial Narrow" w:hAnsi="Arial Narrow"/>
          <w:color w:val="000000" w:themeColor="text1"/>
        </w:rPr>
      </w:pPr>
      <w:r>
        <w:rPr>
          <w:rFonts w:ascii="Arial Narrow" w:hAnsi="Arial Narrow"/>
          <w:b/>
        </w:rPr>
        <w:lastRenderedPageBreak/>
        <w:t>Implementuje sa</w:t>
      </w:r>
      <w:r w:rsidRPr="00CB2D91">
        <w:rPr>
          <w:rFonts w:ascii="Arial Narrow" w:hAnsi="Arial Narrow"/>
          <w:b/>
        </w:rPr>
        <w:t xml:space="preserve"> projekt </w:t>
      </w:r>
      <w:proofErr w:type="spellStart"/>
      <w:r w:rsidRPr="00CB2D91">
        <w:rPr>
          <w:rFonts w:ascii="Arial Narrow" w:hAnsi="Arial Narrow"/>
          <w:b/>
          <w:i/>
        </w:rPr>
        <w:t>eKasa</w:t>
      </w:r>
      <w:proofErr w:type="spellEnd"/>
      <w:r>
        <w:rPr>
          <w:rFonts w:ascii="Arial Narrow" w:hAnsi="Arial Narrow"/>
          <w:b/>
          <w:i/>
        </w:rPr>
        <w:t xml:space="preserve"> a elektronická faktúra, </w:t>
      </w:r>
      <w:r w:rsidRPr="00F51C1B">
        <w:rPr>
          <w:rFonts w:ascii="Arial Narrow" w:hAnsi="Arial Narrow"/>
          <w:b/>
        </w:rPr>
        <w:t>ktoré</w:t>
      </w:r>
      <w:r w:rsidRPr="002E0CC6">
        <w:rPr>
          <w:rFonts w:ascii="Arial Narrow" w:hAnsi="Arial Narrow"/>
          <w:b/>
        </w:rPr>
        <w:t xml:space="preserve"> </w:t>
      </w:r>
      <w:proofErr w:type="spellStart"/>
      <w:r w:rsidRPr="002E0CC6">
        <w:rPr>
          <w:rFonts w:ascii="Arial Narrow" w:hAnsi="Arial Narrow"/>
          <w:b/>
        </w:rPr>
        <w:t>zelektronizujú</w:t>
      </w:r>
      <w:proofErr w:type="spellEnd"/>
      <w:r w:rsidRPr="002E0CC6">
        <w:rPr>
          <w:rFonts w:ascii="Arial Narrow" w:hAnsi="Arial Narrow"/>
          <w:b/>
        </w:rPr>
        <w:t xml:space="preserve"> transakcie medzi subjektmi súkromného sektora a štátom</w:t>
      </w:r>
      <w:r w:rsidRPr="004C54B9">
        <w:rPr>
          <w:rFonts w:ascii="Arial Narrow" w:hAnsi="Arial Narrow"/>
        </w:rPr>
        <w:t xml:space="preserve">. Návrh navyše počíta s liberalizáciou v oblasti koncových zariadení, pričom na vydávanie bločkov bude môcť slúžiť nielen pokladnica, ale napríklad aj mobil či tablet. Okrem boja proti </w:t>
      </w:r>
      <w:r w:rsidRPr="00233360">
        <w:rPr>
          <w:rFonts w:ascii="Arial Narrow" w:hAnsi="Arial Narrow"/>
        </w:rPr>
        <w:t xml:space="preserve">daňovým únikom je cieľom projektu pomôcť podnikateľom znížením nákladov a administratívnej záťaže. Podnikatelia sa k systému </w:t>
      </w:r>
      <w:proofErr w:type="spellStart"/>
      <w:r w:rsidRPr="0037389A">
        <w:rPr>
          <w:rFonts w:ascii="Arial Narrow" w:hAnsi="Arial Narrow"/>
          <w:i/>
        </w:rPr>
        <w:t>eKasa</w:t>
      </w:r>
      <w:proofErr w:type="spellEnd"/>
      <w:r w:rsidRPr="0037389A">
        <w:rPr>
          <w:rFonts w:ascii="Arial Narrow" w:hAnsi="Arial Narrow"/>
        </w:rPr>
        <w:t xml:space="preserve"> celoplošne pripoja k júlu 2019. </w:t>
      </w:r>
      <w:r w:rsidRPr="0037389A">
        <w:rPr>
          <w:rFonts w:ascii="Arial Narrow" w:hAnsi="Arial Narrow"/>
          <w:color w:val="000000" w:themeColor="text1"/>
        </w:rPr>
        <w:t xml:space="preserve">Pokračuje implementácia </w:t>
      </w:r>
      <w:r w:rsidRPr="0062680A">
        <w:rPr>
          <w:rFonts w:ascii="Arial Narrow" w:hAnsi="Arial Narrow"/>
          <w:color w:val="000000" w:themeColor="text1"/>
        </w:rPr>
        <w:t>elektronickej fakturácie</w:t>
      </w:r>
      <w:r w:rsidRPr="00233360">
        <w:rPr>
          <w:rFonts w:ascii="Arial Narrow" w:hAnsi="Arial Narrow"/>
          <w:color w:val="000000" w:themeColor="text1"/>
        </w:rPr>
        <w:t xml:space="preserve">. </w:t>
      </w:r>
      <w:r w:rsidR="00A9373B" w:rsidRPr="00A9373B">
        <w:rPr>
          <w:rFonts w:ascii="Arial Narrow" w:hAnsi="Arial Narrow"/>
          <w:color w:val="000000" w:themeColor="text1"/>
        </w:rPr>
        <w:t>V roku 2021 budú mať ústredné orgány štátnej správy  pri verejných obstarávaniach povinnosť prijímať a spracovávať elektronické faktúry. Od roku 2022 bude táto povinnos</w:t>
      </w:r>
      <w:r w:rsidR="00567A9F">
        <w:rPr>
          <w:rFonts w:ascii="Arial Narrow" w:hAnsi="Arial Narrow"/>
          <w:color w:val="000000" w:themeColor="text1"/>
        </w:rPr>
        <w:t xml:space="preserve">ť platiť pre všetkých verejných </w:t>
      </w:r>
      <w:r w:rsidR="00633EDE">
        <w:rPr>
          <w:rFonts w:ascii="Arial Narrow" w:hAnsi="Arial Narrow"/>
          <w:color w:val="000000" w:themeColor="text1"/>
        </w:rPr>
        <w:t xml:space="preserve">a neverejných </w:t>
      </w:r>
      <w:r w:rsidR="00A9373B" w:rsidRPr="00A9373B">
        <w:rPr>
          <w:rFonts w:ascii="Arial Narrow" w:hAnsi="Arial Narrow"/>
          <w:color w:val="000000" w:themeColor="text1"/>
        </w:rPr>
        <w:t>obstarávateľov.</w:t>
      </w:r>
    </w:p>
    <w:p w14:paraId="0E448F51" w14:textId="77777777" w:rsidR="00950182" w:rsidRDefault="00950182" w:rsidP="00950182">
      <w:pPr>
        <w:spacing w:after="0" w:line="240" w:lineRule="auto"/>
        <w:jc w:val="both"/>
        <w:rPr>
          <w:rFonts w:ascii="Arial Narrow" w:hAnsi="Arial Narrow"/>
          <w:b/>
          <w:color w:val="000000" w:themeColor="text1"/>
        </w:rPr>
      </w:pPr>
    </w:p>
    <w:p w14:paraId="09CBDB83" w14:textId="77777777" w:rsidR="00E41831" w:rsidRDefault="00E41831" w:rsidP="00950182">
      <w:pPr>
        <w:spacing w:after="0" w:line="240" w:lineRule="auto"/>
        <w:jc w:val="both"/>
        <w:rPr>
          <w:rFonts w:ascii="Arial Narrow" w:hAnsi="Arial Narrow"/>
          <w:color w:val="000000" w:themeColor="text1"/>
        </w:rPr>
      </w:pPr>
      <w:r w:rsidRPr="00E83B74">
        <w:rPr>
          <w:rFonts w:ascii="Arial Narrow" w:hAnsi="Arial Narrow"/>
          <w:b/>
          <w:color w:val="000000" w:themeColor="text1"/>
        </w:rPr>
        <w:t xml:space="preserve">V priebehu roku 2019 bude zavedená </w:t>
      </w:r>
      <w:r w:rsidRPr="00E83B74">
        <w:rPr>
          <w:rFonts w:ascii="Arial Narrow" w:hAnsi="Arial Narrow"/>
          <w:b/>
          <w:bCs/>
          <w:color w:val="000000" w:themeColor="text1"/>
        </w:rPr>
        <w:t>povinnosť označovať minerálne oleje predávané v SR prostredníctvom „identifikačnej látky</w:t>
      </w:r>
      <w:r w:rsidRPr="00E83B74">
        <w:rPr>
          <w:rFonts w:ascii="Arial Narrow" w:hAnsi="Arial Narrow"/>
          <w:b/>
          <w:color w:val="000000" w:themeColor="text1"/>
        </w:rPr>
        <w:t>/</w:t>
      </w:r>
      <w:proofErr w:type="spellStart"/>
      <w:r w:rsidRPr="00E83B74">
        <w:rPr>
          <w:rFonts w:ascii="Arial Narrow" w:hAnsi="Arial Narrow"/>
          <w:b/>
          <w:color w:val="000000" w:themeColor="text1"/>
        </w:rPr>
        <w:t>nanomarkerov</w:t>
      </w:r>
      <w:proofErr w:type="spellEnd"/>
      <w:r w:rsidRPr="00E83B74">
        <w:rPr>
          <w:rFonts w:ascii="Arial Narrow" w:hAnsi="Arial Narrow"/>
          <w:b/>
          <w:color w:val="000000" w:themeColor="text1"/>
        </w:rPr>
        <w:t>“.</w:t>
      </w:r>
      <w:r w:rsidRPr="00E83B74">
        <w:rPr>
          <w:rFonts w:ascii="Arial Narrow" w:hAnsi="Arial Narrow"/>
          <w:color w:val="000000" w:themeColor="text1"/>
        </w:rPr>
        <w:t xml:space="preserve"> Cieľom opatrenia je najmä zvýšenie efektivity výberu spotrebnej dane z minerálnych olejov, ale aj zvýšenie kvality predávaných pohonných hmôt a zlepšenie konkurenčného prostredia v oblasti výroby a predaja pohonných hmôt. V súčasnosti prebiehajú kroky na zabezpečenie dodávateľa identifikačnej látky/</w:t>
      </w:r>
      <w:proofErr w:type="spellStart"/>
      <w:r w:rsidRPr="00E83B74">
        <w:rPr>
          <w:rFonts w:ascii="Arial Narrow" w:hAnsi="Arial Narrow"/>
          <w:color w:val="000000" w:themeColor="text1"/>
        </w:rPr>
        <w:t>nanomarkera</w:t>
      </w:r>
      <w:proofErr w:type="spellEnd"/>
      <w:r w:rsidRPr="00E83B74">
        <w:rPr>
          <w:rFonts w:ascii="Arial Narrow" w:hAnsi="Arial Narrow"/>
          <w:color w:val="000000" w:themeColor="text1"/>
        </w:rPr>
        <w:t xml:space="preserve">, po čom by mala nasledovať testovacia fáza. </w:t>
      </w:r>
    </w:p>
    <w:p w14:paraId="1A234E46" w14:textId="77777777" w:rsidR="00950182" w:rsidRPr="00E83B74" w:rsidRDefault="00950182" w:rsidP="00950182">
      <w:pPr>
        <w:spacing w:after="0" w:line="240" w:lineRule="auto"/>
        <w:jc w:val="both"/>
        <w:rPr>
          <w:rFonts w:ascii="Arial Narrow" w:hAnsi="Arial Narrow"/>
          <w:color w:val="000000" w:themeColor="text1"/>
        </w:rPr>
      </w:pPr>
    </w:p>
    <w:p w14:paraId="6CB0F11A" w14:textId="0668ECD2" w:rsidR="00E41831" w:rsidRDefault="00E41831" w:rsidP="00950182">
      <w:pPr>
        <w:spacing w:after="0" w:line="240" w:lineRule="auto"/>
        <w:jc w:val="both"/>
        <w:rPr>
          <w:rFonts w:ascii="Arial Narrow" w:hAnsi="Arial Narrow"/>
          <w:color w:val="000000" w:themeColor="text1"/>
        </w:rPr>
      </w:pPr>
      <w:r w:rsidRPr="00E83B74">
        <w:rPr>
          <w:rFonts w:ascii="Arial Narrow" w:hAnsi="Arial Narrow"/>
          <w:b/>
          <w:color w:val="000000" w:themeColor="text1"/>
        </w:rPr>
        <w:t xml:space="preserve">Finančná správa </w:t>
      </w:r>
      <w:r w:rsidR="001C315C">
        <w:rPr>
          <w:rFonts w:ascii="Arial Narrow" w:hAnsi="Arial Narrow"/>
          <w:b/>
          <w:color w:val="000000" w:themeColor="text1"/>
        </w:rPr>
        <w:t xml:space="preserve">pokračuje vo zvyšovaní </w:t>
      </w:r>
      <w:proofErr w:type="spellStart"/>
      <w:r w:rsidR="001C315C">
        <w:rPr>
          <w:rFonts w:ascii="Arial Narrow" w:hAnsi="Arial Narrow"/>
          <w:b/>
          <w:color w:val="000000" w:themeColor="text1"/>
        </w:rPr>
        <w:t>proklientské</w:t>
      </w:r>
      <w:r w:rsidRPr="00E83B74">
        <w:rPr>
          <w:rFonts w:ascii="Arial Narrow" w:hAnsi="Arial Narrow"/>
          <w:b/>
          <w:color w:val="000000" w:themeColor="text1"/>
        </w:rPr>
        <w:t>ho</w:t>
      </w:r>
      <w:proofErr w:type="spellEnd"/>
      <w:r w:rsidRPr="00E83B74">
        <w:rPr>
          <w:rFonts w:ascii="Arial Narrow" w:hAnsi="Arial Narrow"/>
          <w:b/>
          <w:color w:val="000000" w:themeColor="text1"/>
        </w:rPr>
        <w:t xml:space="preserve"> prístupu voči daňovníkom a</w:t>
      </w:r>
      <w:r w:rsidR="001C315C">
        <w:rPr>
          <w:rFonts w:ascii="Arial Narrow" w:hAnsi="Arial Narrow"/>
          <w:b/>
          <w:color w:val="000000" w:themeColor="text1"/>
        </w:rPr>
        <w:t xml:space="preserve"> zvyšovaní používania </w:t>
      </w:r>
      <w:r w:rsidRPr="00E83B74">
        <w:rPr>
          <w:rFonts w:ascii="Arial Narrow" w:hAnsi="Arial Narrow"/>
          <w:b/>
          <w:color w:val="000000" w:themeColor="text1"/>
        </w:rPr>
        <w:t>elektronickej komunikácie</w:t>
      </w:r>
      <w:r w:rsidRPr="00E83B74">
        <w:rPr>
          <w:rFonts w:ascii="Arial Narrow" w:hAnsi="Arial Narrow"/>
          <w:color w:val="000000" w:themeColor="text1"/>
        </w:rPr>
        <w:t xml:space="preserve">. Prvýkrát budú v roku 2019 všetky dotknuté subjekty podávať daňové priznania za rok 2018 v elektronickej forme, čo významným spôsobom zníži chybovosť podaných priznaní. </w:t>
      </w:r>
    </w:p>
    <w:p w14:paraId="577E9AE9" w14:textId="77777777" w:rsidR="00950182" w:rsidRPr="00E83B74" w:rsidRDefault="00950182" w:rsidP="00950182">
      <w:pPr>
        <w:spacing w:after="0" w:line="240" w:lineRule="auto"/>
        <w:jc w:val="both"/>
        <w:rPr>
          <w:rFonts w:ascii="Arial Narrow" w:hAnsi="Arial Narrow"/>
          <w:color w:val="000000" w:themeColor="text1"/>
        </w:rPr>
      </w:pPr>
    </w:p>
    <w:p w14:paraId="5B1E5B58" w14:textId="77777777" w:rsidR="00E41831" w:rsidRPr="00D91958" w:rsidRDefault="00E41831" w:rsidP="00950182">
      <w:pPr>
        <w:pStyle w:val="Default"/>
        <w:jc w:val="both"/>
        <w:rPr>
          <w:rFonts w:ascii="Arial Narrow" w:hAnsi="Arial Narrow"/>
          <w:b/>
          <w:i/>
          <w:sz w:val="22"/>
          <w:szCs w:val="22"/>
        </w:rPr>
      </w:pPr>
      <w:r w:rsidRPr="00D91958">
        <w:rPr>
          <w:rFonts w:ascii="Arial Narrow" w:hAnsi="Arial Narrow"/>
          <w:b/>
          <w:i/>
          <w:sz w:val="22"/>
          <w:szCs w:val="22"/>
        </w:rPr>
        <w:t>Technická príprava na riadenie rozpočtu cez výdavkové stropy</w:t>
      </w:r>
    </w:p>
    <w:p w14:paraId="2BB07B37" w14:textId="77777777" w:rsidR="00E41831" w:rsidRDefault="00E41831" w:rsidP="00950182">
      <w:pPr>
        <w:spacing w:after="0" w:line="240" w:lineRule="auto"/>
        <w:jc w:val="both"/>
        <w:rPr>
          <w:rFonts w:ascii="Arial Narrow" w:hAnsi="Arial Narrow"/>
        </w:rPr>
      </w:pPr>
      <w:r w:rsidRPr="00500E63">
        <w:rPr>
          <w:rFonts w:ascii="Arial Narrow" w:hAnsi="Arial Narrow"/>
          <w:b/>
        </w:rPr>
        <w:t>Na základe štúdie MF SR</w:t>
      </w:r>
      <w:r w:rsidRPr="00500E63">
        <w:rPr>
          <w:rStyle w:val="Odkaznapoznmkupodiarou"/>
          <w:rFonts w:ascii="Arial Narrow" w:hAnsi="Arial Narrow"/>
          <w:b/>
        </w:rPr>
        <w:footnoteReference w:id="49"/>
      </w:r>
      <w:r w:rsidRPr="00500E63">
        <w:rPr>
          <w:rFonts w:ascii="Arial Narrow" w:hAnsi="Arial Narrow"/>
          <w:b/>
        </w:rPr>
        <w:t xml:space="preserve"> z konca roka 2018 pokračuje verejná diskusia v oblasti výdavkových stropov, ako potenciálneho hlavného operatívneho rozpočtového pravidla.</w:t>
      </w:r>
      <w:r w:rsidRPr="00500E63">
        <w:rPr>
          <w:rFonts w:ascii="Arial Narrow" w:hAnsi="Arial Narrow"/>
        </w:rPr>
        <w:t xml:space="preserve"> V nadväznosti na diskusnú štúdiu sa vo februári 2019 uskutočnil aj pracovný seminár s domácimi a zahraničnými inštitúciami</w:t>
      </w:r>
      <w:r w:rsidRPr="00500E63">
        <w:rPr>
          <w:rStyle w:val="Odkaznapoznmkupodiarou"/>
          <w:rFonts w:ascii="Arial Narrow" w:hAnsi="Arial Narrow"/>
        </w:rPr>
        <w:footnoteReference w:id="50"/>
      </w:r>
      <w:r w:rsidRPr="00500E63">
        <w:rPr>
          <w:rFonts w:ascii="Arial Narrow" w:hAnsi="Arial Narrow"/>
        </w:rPr>
        <w:t>, ktorého výstup slúži k budovaniu konsenzu v rámci odbornej verejnosti.</w:t>
      </w:r>
    </w:p>
    <w:p w14:paraId="44967F3E" w14:textId="77777777" w:rsidR="00950182" w:rsidRPr="00500E63" w:rsidRDefault="00950182" w:rsidP="00950182">
      <w:pPr>
        <w:spacing w:after="0" w:line="240" w:lineRule="auto"/>
        <w:jc w:val="both"/>
        <w:rPr>
          <w:rFonts w:ascii="Arial Narrow" w:hAnsi="Arial Narrow"/>
        </w:rPr>
      </w:pPr>
    </w:p>
    <w:p w14:paraId="2C73B9C9" w14:textId="2829592A" w:rsidR="00E41831" w:rsidRDefault="00E41831" w:rsidP="00950182">
      <w:pPr>
        <w:spacing w:after="0" w:line="240" w:lineRule="auto"/>
        <w:jc w:val="both"/>
        <w:rPr>
          <w:rFonts w:ascii="Arial Narrow" w:hAnsi="Arial Narrow"/>
        </w:rPr>
      </w:pPr>
      <w:r w:rsidRPr="00500E63">
        <w:rPr>
          <w:rFonts w:ascii="Arial Narrow" w:hAnsi="Arial Narrow"/>
          <w:b/>
        </w:rPr>
        <w:t xml:space="preserve">Po zohľadnení prebiehajúceho dialógu s odbornou verejnosťou </w:t>
      </w:r>
      <w:r w:rsidR="001C315C">
        <w:rPr>
          <w:rFonts w:ascii="Arial Narrow" w:hAnsi="Arial Narrow"/>
          <w:b/>
        </w:rPr>
        <w:t>sa</w:t>
      </w:r>
      <w:r w:rsidRPr="00500E63">
        <w:rPr>
          <w:rFonts w:ascii="Arial Narrow" w:hAnsi="Arial Narrow"/>
          <w:b/>
        </w:rPr>
        <w:t xml:space="preserve"> do konca aktuálneho volebného obdobia </w:t>
      </w:r>
      <w:r w:rsidR="001C315C">
        <w:rPr>
          <w:rFonts w:ascii="Arial Narrow" w:hAnsi="Arial Narrow"/>
          <w:b/>
        </w:rPr>
        <w:t xml:space="preserve">pripravia </w:t>
      </w:r>
      <w:r w:rsidRPr="00500E63">
        <w:rPr>
          <w:rFonts w:ascii="Arial Narrow" w:hAnsi="Arial Narrow"/>
          <w:b/>
        </w:rPr>
        <w:t xml:space="preserve">varianty stanovenia výdavkových limitov na nadchádzajúce volebné obdobie. </w:t>
      </w:r>
      <w:r w:rsidRPr="00500E63">
        <w:rPr>
          <w:rFonts w:ascii="Arial Narrow" w:hAnsi="Arial Narrow"/>
        </w:rPr>
        <w:t>Jednotlivé alternatívy budú vychádzať z existujúcich európskych ako aj národných rozpočtových pravidiel a budú rozpracované do detailnej podoby, aby bolo možné simulovať ich fungovanie, ako aj potrebné inštitucionálne zmeny. Diskusia k výberu najvhodnejšej alternatívy bude prebiehať v priebehu nasledujúceho volebného cyklu. Na základe simulácie bude nadchádzajúca vláda môcť rozhodnúť o najlepšej alternatíve pre slovenskú rozpočtovú prax a upraviť legislatívu.</w:t>
      </w:r>
    </w:p>
    <w:p w14:paraId="47267A78" w14:textId="77777777" w:rsidR="00E41831" w:rsidRDefault="00E41831" w:rsidP="00E41831">
      <w:pPr>
        <w:spacing w:after="0" w:line="240" w:lineRule="auto"/>
        <w:rPr>
          <w:rFonts w:ascii="Arial Narrow" w:hAnsi="Arial Narrow"/>
          <w:b/>
          <w:i/>
        </w:rPr>
      </w:pPr>
    </w:p>
    <w:p w14:paraId="2A352EDA" w14:textId="4DE525AC" w:rsidR="00E41831" w:rsidRDefault="00E41831" w:rsidP="00E41831">
      <w:pPr>
        <w:spacing w:after="0" w:line="240" w:lineRule="auto"/>
        <w:rPr>
          <w:rFonts w:ascii="Arial Narrow" w:hAnsi="Arial Narrow"/>
          <w:b/>
          <w:i/>
        </w:rPr>
      </w:pPr>
      <w:r>
        <w:rPr>
          <w:rFonts w:ascii="Arial Narrow" w:hAnsi="Arial Narrow"/>
          <w:b/>
          <w:i/>
        </w:rPr>
        <w:t>P</w:t>
      </w:r>
      <w:r w:rsidRPr="00D91958">
        <w:rPr>
          <w:rFonts w:ascii="Arial Narrow" w:hAnsi="Arial Narrow"/>
          <w:b/>
          <w:i/>
        </w:rPr>
        <w:t>okračovanie implementácie novely zákona o</w:t>
      </w:r>
      <w:r w:rsidR="00910016">
        <w:rPr>
          <w:rFonts w:ascii="Arial Narrow" w:hAnsi="Arial Narrow"/>
          <w:b/>
          <w:i/>
        </w:rPr>
        <w:t xml:space="preserve"> rozpočtových pravidlách z roku </w:t>
      </w:r>
      <w:r w:rsidRPr="00D91958">
        <w:rPr>
          <w:rFonts w:ascii="Arial Narrow" w:hAnsi="Arial Narrow"/>
          <w:b/>
          <w:i/>
        </w:rPr>
        <w:t>2016</w:t>
      </w:r>
    </w:p>
    <w:p w14:paraId="73B96933" w14:textId="17BC5741" w:rsidR="00E41831" w:rsidRPr="00650F46" w:rsidRDefault="00E41831" w:rsidP="00E41831">
      <w:pPr>
        <w:pStyle w:val="Default"/>
        <w:jc w:val="both"/>
        <w:rPr>
          <w:rFonts w:ascii="Arial Narrow" w:hAnsi="Arial Narrow"/>
          <w:b/>
          <w:sz w:val="22"/>
          <w:szCs w:val="22"/>
        </w:rPr>
      </w:pPr>
      <w:r w:rsidRPr="00650F46">
        <w:rPr>
          <w:rFonts w:ascii="Arial Narrow" w:hAnsi="Arial Narrow"/>
          <w:b/>
          <w:sz w:val="22"/>
          <w:szCs w:val="22"/>
        </w:rPr>
        <w:t>S účinn</w:t>
      </w:r>
      <w:r w:rsidR="001F1004">
        <w:rPr>
          <w:rFonts w:ascii="Arial Narrow" w:hAnsi="Arial Narrow"/>
          <w:b/>
          <w:sz w:val="22"/>
          <w:szCs w:val="22"/>
        </w:rPr>
        <w:t xml:space="preserve">osťou od </w:t>
      </w:r>
      <w:r w:rsidRPr="00204D8C">
        <w:rPr>
          <w:rFonts w:ascii="Arial Narrow" w:hAnsi="Arial Narrow"/>
          <w:b/>
          <w:sz w:val="22"/>
          <w:szCs w:val="22"/>
        </w:rPr>
        <w:t xml:space="preserve">januára 2019 sa </w:t>
      </w:r>
      <w:r>
        <w:rPr>
          <w:rFonts w:ascii="Arial Narrow" w:hAnsi="Arial Narrow"/>
          <w:b/>
          <w:sz w:val="22"/>
          <w:szCs w:val="22"/>
        </w:rPr>
        <w:t xml:space="preserve">zavádza </w:t>
      </w:r>
      <w:r w:rsidRPr="00204D8C">
        <w:rPr>
          <w:rFonts w:ascii="Arial Narrow" w:hAnsi="Arial Narrow"/>
          <w:b/>
          <w:sz w:val="22"/>
          <w:szCs w:val="22"/>
        </w:rPr>
        <w:t xml:space="preserve">povinnosť </w:t>
      </w:r>
      <w:r>
        <w:rPr>
          <w:rFonts w:ascii="Arial Narrow" w:hAnsi="Arial Narrow"/>
          <w:b/>
          <w:sz w:val="22"/>
          <w:szCs w:val="22"/>
        </w:rPr>
        <w:t xml:space="preserve">samospráv </w:t>
      </w:r>
      <w:r w:rsidRPr="00204D8C">
        <w:rPr>
          <w:rFonts w:ascii="Arial Narrow" w:hAnsi="Arial Narrow"/>
          <w:b/>
          <w:sz w:val="22"/>
          <w:szCs w:val="22"/>
        </w:rPr>
        <w:t xml:space="preserve">rozpočtovať príjmy a výdavky súvisiace s ich podnikateľskou činnosťou. </w:t>
      </w:r>
      <w:r w:rsidRPr="00ED2FED">
        <w:rPr>
          <w:rFonts w:ascii="Arial Narrow" w:hAnsi="Arial Narrow"/>
          <w:sz w:val="22"/>
          <w:szCs w:val="22"/>
        </w:rPr>
        <w:t>Táto zmena zvýši</w:t>
      </w:r>
      <w:r>
        <w:rPr>
          <w:rFonts w:ascii="Arial Narrow" w:hAnsi="Arial Narrow"/>
          <w:sz w:val="22"/>
          <w:szCs w:val="22"/>
        </w:rPr>
        <w:t>la</w:t>
      </w:r>
      <w:r w:rsidRPr="00ED2FED">
        <w:rPr>
          <w:rFonts w:ascii="Arial Narrow" w:hAnsi="Arial Narrow"/>
          <w:sz w:val="22"/>
          <w:szCs w:val="22"/>
        </w:rPr>
        <w:t xml:space="preserve"> transparentnosť rozpočtového procesu, </w:t>
      </w:r>
      <w:r w:rsidRPr="00276B0D">
        <w:rPr>
          <w:rFonts w:ascii="Arial Narrow" w:hAnsi="Arial Narrow"/>
          <w:sz w:val="22"/>
          <w:szCs w:val="22"/>
        </w:rPr>
        <w:t xml:space="preserve">keďže dochádza k zníženiu objemu prostriedkov, ktoré </w:t>
      </w:r>
      <w:r w:rsidRPr="00650F46">
        <w:rPr>
          <w:rFonts w:ascii="Arial Narrow" w:hAnsi="Arial Narrow"/>
          <w:sz w:val="22"/>
          <w:szCs w:val="22"/>
        </w:rPr>
        <w:t>doteraz neboli povinne rozpočtované. Okrem toho prispeje aj k lepšiemu analytickému porovnávaniu schváleného rozpočtu v porovnaní so skutočne dosiahnutými výsledkami.</w:t>
      </w:r>
    </w:p>
    <w:p w14:paraId="4EC64F85" w14:textId="77777777" w:rsidR="00E41831" w:rsidRPr="004C54B9" w:rsidRDefault="00E41831" w:rsidP="000E1F6E">
      <w:pPr>
        <w:spacing w:after="0" w:line="240" w:lineRule="auto"/>
        <w:jc w:val="both"/>
        <w:rPr>
          <w:rFonts w:ascii="Arial Narrow" w:hAnsi="Arial Narrow"/>
          <w:b/>
          <w:color w:val="000000" w:themeColor="text1"/>
        </w:rPr>
      </w:pPr>
    </w:p>
    <w:p w14:paraId="4D9738B5" w14:textId="77777777" w:rsidR="002E0CC6" w:rsidRDefault="002E0CC6">
      <w:pPr>
        <w:spacing w:after="0" w:line="240" w:lineRule="auto"/>
        <w:rPr>
          <w:rFonts w:ascii="Arial Narrow" w:hAnsi="Arial Narrow"/>
          <w:color w:val="2C9ADC"/>
        </w:rPr>
      </w:pPr>
      <w:r>
        <w:rPr>
          <w:rFonts w:ascii="Arial Narrow" w:hAnsi="Arial Narrow"/>
          <w:color w:val="2C9ADC"/>
        </w:rPr>
        <w:br w:type="page"/>
      </w:r>
    </w:p>
    <w:p w14:paraId="7916FA54" w14:textId="77777777" w:rsidR="00B26240" w:rsidRPr="00FB5149" w:rsidRDefault="00B26240" w:rsidP="00B26240">
      <w:pPr>
        <w:pStyle w:val="Nadpis2"/>
        <w:numPr>
          <w:ilvl w:val="1"/>
          <w:numId w:val="1"/>
        </w:numPr>
        <w:spacing w:after="240" w:line="240" w:lineRule="auto"/>
        <w:jc w:val="both"/>
        <w:rPr>
          <w:rFonts w:ascii="Arial Narrow" w:eastAsia="Times New Roman" w:hAnsi="Arial Narrow" w:cs="Times New Roman"/>
          <w:b w:val="0"/>
          <w:i/>
          <w:color w:val="auto"/>
          <w:sz w:val="32"/>
          <w:szCs w:val="32"/>
        </w:rPr>
      </w:pPr>
      <w:bookmarkStart w:id="20" w:name="_Toc4766835"/>
      <w:bookmarkStart w:id="21" w:name="_Toc480749805"/>
      <w:r w:rsidRPr="00FB5149">
        <w:rPr>
          <w:rFonts w:ascii="Arial Narrow" w:hAnsi="Arial Narrow"/>
          <w:color w:val="2C9ADC"/>
          <w:sz w:val="32"/>
          <w:szCs w:val="32"/>
        </w:rPr>
        <w:lastRenderedPageBreak/>
        <w:t>Vzdelávanie, veda a inovácie</w:t>
      </w:r>
      <w:bookmarkEnd w:id="20"/>
    </w:p>
    <w:bookmarkEnd w:id="21"/>
    <w:p w14:paraId="492A1361" w14:textId="4CB35AAE" w:rsidR="00B822E0" w:rsidRPr="00F51C1B" w:rsidRDefault="00B822E0" w:rsidP="00F51C1B">
      <w:pPr>
        <w:spacing w:line="240" w:lineRule="auto"/>
        <w:jc w:val="both"/>
        <w:rPr>
          <w:rFonts w:ascii="Arial Narrow" w:hAnsi="Arial Narrow"/>
          <w:bCs/>
          <w:i/>
        </w:rPr>
      </w:pPr>
      <w:r w:rsidRPr="00F51C1B">
        <w:rPr>
          <w:rFonts w:ascii="Arial Narrow" w:hAnsi="Arial Narrow"/>
          <w:bCs/>
          <w:i/>
        </w:rPr>
        <w:t>Výsledky na všetkých stupňoch vzdelávania spolu s vedeckými výstupmi sú v medzinárodnom porovnaní podpriemerné. Najvýraznejšie zaostávame v oblas</w:t>
      </w:r>
      <w:r w:rsidR="003E65FF">
        <w:rPr>
          <w:rFonts w:ascii="Arial Narrow" w:hAnsi="Arial Narrow"/>
          <w:bCs/>
          <w:i/>
        </w:rPr>
        <w:t>ti</w:t>
      </w:r>
      <w:r w:rsidRPr="00F51C1B">
        <w:rPr>
          <w:rFonts w:ascii="Arial Narrow" w:hAnsi="Arial Narrow"/>
          <w:bCs/>
          <w:i/>
        </w:rPr>
        <w:t xml:space="preserve"> </w:t>
      </w:r>
      <w:r w:rsidR="003E65FF">
        <w:rPr>
          <w:rFonts w:ascii="Arial Narrow" w:hAnsi="Arial Narrow"/>
          <w:bCs/>
          <w:i/>
        </w:rPr>
        <w:t xml:space="preserve">kvality </w:t>
      </w:r>
      <w:r w:rsidRPr="00F51C1B">
        <w:rPr>
          <w:rFonts w:ascii="Arial Narrow" w:hAnsi="Arial Narrow"/>
          <w:bCs/>
          <w:i/>
        </w:rPr>
        <w:t>základného školstva a zhoršujeme sa aj v schopnosti udržať žiakov v systéme vzdelávania nad rámec povinnej školskej dochádzky. Vzdelávací systém nedostatočne vyrovnáva rozdiely spôsobené sociálnym znevýhodnením žiakov. Na výzvy v oblasti vzdelávania reaguje novoprijatá stratégia Národný program rozvoja výchovy a vzdelávania (NPRVV)</w:t>
      </w:r>
      <w:r w:rsidR="005273DB">
        <w:rPr>
          <w:rFonts w:ascii="Arial Narrow" w:hAnsi="Arial Narrow"/>
          <w:bCs/>
          <w:i/>
        </w:rPr>
        <w:t>.</w:t>
      </w:r>
    </w:p>
    <w:p w14:paraId="018E643A" w14:textId="696EFAEF" w:rsidR="00763C24" w:rsidRPr="00763C24" w:rsidRDefault="00763C24" w:rsidP="00763C24">
      <w:pPr>
        <w:spacing w:line="240" w:lineRule="auto"/>
        <w:jc w:val="both"/>
        <w:rPr>
          <w:rFonts w:ascii="Arial Narrow" w:hAnsi="Arial Narrow"/>
          <w:bCs/>
          <w:i/>
        </w:rPr>
      </w:pPr>
      <w:r w:rsidRPr="00763C24">
        <w:rPr>
          <w:rFonts w:ascii="Arial Narrow" w:hAnsi="Arial Narrow"/>
          <w:bCs/>
          <w:i/>
        </w:rPr>
        <w:t>K zatraktívneniu učiteľského povolania má prispieť schválené opakované zvýšenie tarifných platov</w:t>
      </w:r>
      <w:r w:rsidR="003E65FF">
        <w:rPr>
          <w:rFonts w:ascii="Arial Narrow" w:hAnsi="Arial Narrow"/>
          <w:bCs/>
          <w:i/>
        </w:rPr>
        <w:t>, navýšenie platov na začiatku kariéry</w:t>
      </w:r>
      <w:r w:rsidRPr="00763C24">
        <w:rPr>
          <w:rFonts w:ascii="Arial Narrow" w:hAnsi="Arial Narrow"/>
          <w:bCs/>
          <w:i/>
        </w:rPr>
        <w:t xml:space="preserve"> a previazanosť kvality výkonu s kariérnym rastom úpravou atestačného konania. </w:t>
      </w:r>
      <w:r w:rsidR="009954FD" w:rsidRPr="00340EFF">
        <w:rPr>
          <w:rFonts w:ascii="Arial Narrow" w:hAnsi="Arial Narrow"/>
          <w:bCs/>
          <w:i/>
        </w:rPr>
        <w:t>Podporí sa zvýšenie objemu praxe študentov vysokých škôl, ktorí sa pripravujú na povolanie učiteľa</w:t>
      </w:r>
      <w:r w:rsidR="00F2305B">
        <w:rPr>
          <w:rFonts w:ascii="Arial Narrow" w:hAnsi="Arial Narrow"/>
          <w:bCs/>
          <w:i/>
        </w:rPr>
        <w:t>.</w:t>
      </w:r>
      <w:r w:rsidRPr="00763C24">
        <w:rPr>
          <w:rFonts w:ascii="Arial Narrow" w:hAnsi="Arial Narrow"/>
          <w:bCs/>
          <w:i/>
        </w:rPr>
        <w:t xml:space="preserve"> V rámci racionalizácie siete škôl sa upravia podmienky zaraďovania a vyraďovania </w:t>
      </w:r>
      <w:r w:rsidR="00910016">
        <w:rPr>
          <w:rFonts w:ascii="Arial Narrow" w:hAnsi="Arial Narrow"/>
          <w:bCs/>
          <w:i/>
        </w:rPr>
        <w:t xml:space="preserve">škôl. </w:t>
      </w:r>
      <w:r w:rsidRPr="00763C24">
        <w:rPr>
          <w:rFonts w:ascii="Arial Narrow" w:hAnsi="Arial Narrow"/>
          <w:bCs/>
          <w:i/>
        </w:rPr>
        <w:t xml:space="preserve">Prehodnotí sa ponuka existujúcich študijných programov a odborov. </w:t>
      </w:r>
      <w:r w:rsidR="00076D72" w:rsidRPr="00763C24">
        <w:rPr>
          <w:rFonts w:ascii="Arial Narrow" w:hAnsi="Arial Narrow"/>
          <w:bCs/>
          <w:i/>
        </w:rPr>
        <w:t xml:space="preserve">V oblasti vysokých škôl sa očakáva </w:t>
      </w:r>
      <w:r w:rsidR="00910016">
        <w:rPr>
          <w:rFonts w:ascii="Arial Narrow" w:hAnsi="Arial Narrow"/>
          <w:bCs/>
          <w:i/>
        </w:rPr>
        <w:t xml:space="preserve">vznik </w:t>
      </w:r>
      <w:r w:rsidR="00076D72">
        <w:rPr>
          <w:rFonts w:ascii="Arial Narrow" w:hAnsi="Arial Narrow"/>
          <w:bCs/>
          <w:i/>
        </w:rPr>
        <w:t>orgánov</w:t>
      </w:r>
      <w:r w:rsidR="00076D72" w:rsidRPr="00763C24">
        <w:rPr>
          <w:rFonts w:ascii="Arial Narrow" w:hAnsi="Arial Narrow"/>
          <w:bCs/>
          <w:i/>
        </w:rPr>
        <w:t xml:space="preserve"> novovzniknutej</w:t>
      </w:r>
      <w:r w:rsidR="00076D72">
        <w:rPr>
          <w:rFonts w:ascii="Arial Narrow" w:hAnsi="Arial Narrow"/>
          <w:bCs/>
          <w:i/>
        </w:rPr>
        <w:t xml:space="preserve"> Slovenskej a</w:t>
      </w:r>
      <w:r w:rsidR="00076D72" w:rsidRPr="00763C24">
        <w:rPr>
          <w:rFonts w:ascii="Arial Narrow" w:hAnsi="Arial Narrow"/>
          <w:bCs/>
          <w:i/>
        </w:rPr>
        <w:t>kreditačnej agentúry a</w:t>
      </w:r>
      <w:r w:rsidR="005A75C3">
        <w:rPr>
          <w:rFonts w:ascii="Arial Narrow" w:hAnsi="Arial Narrow"/>
          <w:bCs/>
          <w:i/>
        </w:rPr>
        <w:t> rozšírenie ponuky</w:t>
      </w:r>
      <w:r w:rsidR="00076D72">
        <w:rPr>
          <w:rFonts w:ascii="Arial Narrow" w:hAnsi="Arial Narrow"/>
          <w:bCs/>
          <w:i/>
        </w:rPr>
        <w:t xml:space="preserve"> </w:t>
      </w:r>
      <w:r w:rsidR="00076D72" w:rsidRPr="00763C24">
        <w:rPr>
          <w:rFonts w:ascii="Arial Narrow" w:hAnsi="Arial Narrow"/>
          <w:bCs/>
          <w:i/>
        </w:rPr>
        <w:t xml:space="preserve">profesijne orientovaných bakalárskych programov. </w:t>
      </w:r>
      <w:r w:rsidRPr="00763C24">
        <w:rPr>
          <w:rFonts w:ascii="Arial Narrow" w:hAnsi="Arial Narrow"/>
          <w:bCs/>
          <w:i/>
        </w:rPr>
        <w:t xml:space="preserve">V rámci všetkých stupňov vzdelávania sa posilnia prvky </w:t>
      </w:r>
      <w:proofErr w:type="spellStart"/>
      <w:r w:rsidRPr="00763C24">
        <w:rPr>
          <w:rFonts w:ascii="Arial Narrow" w:hAnsi="Arial Narrow"/>
          <w:bCs/>
          <w:i/>
        </w:rPr>
        <w:t>inkluzívneho</w:t>
      </w:r>
      <w:proofErr w:type="spellEnd"/>
      <w:r w:rsidRPr="00763C24">
        <w:rPr>
          <w:rFonts w:ascii="Arial Narrow" w:hAnsi="Arial Narrow"/>
          <w:bCs/>
          <w:i/>
        </w:rPr>
        <w:t xml:space="preserve"> vzdelávania, ako napríklad príprava na rozšírenie povinnej školskej do</w:t>
      </w:r>
      <w:r w:rsidR="00A410D0">
        <w:rPr>
          <w:rFonts w:ascii="Arial Narrow" w:hAnsi="Arial Narrow"/>
          <w:bCs/>
          <w:i/>
        </w:rPr>
        <w:t>chádzky od posledného ročníka MŠ</w:t>
      </w:r>
      <w:r w:rsidRPr="00763C24">
        <w:rPr>
          <w:rFonts w:ascii="Arial Narrow" w:hAnsi="Arial Narrow"/>
          <w:bCs/>
          <w:i/>
        </w:rPr>
        <w:t>, adresnejšie financovanie potrieb detí so špeciálnymi potrebami a zo sociálne znevýhodneného prostredia a </w:t>
      </w:r>
      <w:proofErr w:type="spellStart"/>
      <w:r w:rsidRPr="00763C24">
        <w:rPr>
          <w:rFonts w:ascii="Arial Narrow" w:hAnsi="Arial Narrow"/>
          <w:bCs/>
          <w:i/>
        </w:rPr>
        <w:t>debarierizácia</w:t>
      </w:r>
      <w:proofErr w:type="spellEnd"/>
      <w:r w:rsidRPr="00763C24">
        <w:rPr>
          <w:rFonts w:ascii="Arial Narrow" w:hAnsi="Arial Narrow"/>
          <w:bCs/>
          <w:i/>
        </w:rPr>
        <w:t xml:space="preserve"> akademického prostredia vo vysokom školstve.</w:t>
      </w:r>
    </w:p>
    <w:tbl>
      <w:tblPr>
        <w:tblW w:w="8618" w:type="dxa"/>
        <w:tblCellMar>
          <w:left w:w="70" w:type="dxa"/>
          <w:right w:w="70" w:type="dxa"/>
        </w:tblCellMar>
        <w:tblLook w:val="04A0" w:firstRow="1" w:lastRow="0" w:firstColumn="1" w:lastColumn="0" w:noHBand="0" w:noVBand="1"/>
      </w:tblPr>
      <w:tblGrid>
        <w:gridCol w:w="2133"/>
        <w:gridCol w:w="881"/>
        <w:gridCol w:w="561"/>
        <w:gridCol w:w="561"/>
        <w:gridCol w:w="561"/>
        <w:gridCol w:w="561"/>
        <w:gridCol w:w="561"/>
        <w:gridCol w:w="561"/>
        <w:gridCol w:w="561"/>
        <w:gridCol w:w="562"/>
        <w:gridCol w:w="561"/>
        <w:gridCol w:w="554"/>
      </w:tblGrid>
      <w:tr w:rsidR="00EE6DBB" w:rsidRPr="00763C24" w14:paraId="1FF0B869" w14:textId="77777777" w:rsidTr="00EE6DBB">
        <w:trPr>
          <w:trHeight w:val="280"/>
        </w:trPr>
        <w:tc>
          <w:tcPr>
            <w:tcW w:w="8618" w:type="dxa"/>
            <w:gridSpan w:val="12"/>
            <w:tcBorders>
              <w:left w:val="nil"/>
              <w:bottom w:val="single" w:sz="4" w:space="0" w:color="auto"/>
              <w:right w:val="nil"/>
            </w:tcBorders>
            <w:shd w:val="clear" w:color="auto" w:fill="auto"/>
            <w:noWrap/>
            <w:vAlign w:val="center"/>
          </w:tcPr>
          <w:p w14:paraId="247B0EBA" w14:textId="7A1FF9D8" w:rsidR="00EE6DBB" w:rsidRPr="005B2D64" w:rsidRDefault="00EE6DBB" w:rsidP="00EE6DBB">
            <w:pPr>
              <w:spacing w:after="0" w:line="240" w:lineRule="auto"/>
              <w:rPr>
                <w:rFonts w:ascii="Arial Narrow" w:hAnsi="Arial Narrow"/>
                <w:b/>
                <w:bCs/>
                <w:sz w:val="20"/>
                <w:szCs w:val="20"/>
              </w:rPr>
            </w:pPr>
            <w:r w:rsidRPr="00EE6DBB">
              <w:rPr>
                <w:rFonts w:ascii="Arial Narrow" w:hAnsi="Arial Narrow"/>
                <w:b/>
                <w:bCs/>
                <w:color w:val="2C9ADC"/>
                <w:sz w:val="20"/>
                <w:szCs w:val="20"/>
              </w:rPr>
              <w:t>Výsledkové indikátory pre vzdelávanie, vedu a inovácie</w:t>
            </w:r>
          </w:p>
        </w:tc>
      </w:tr>
      <w:tr w:rsidR="005B5C8D" w:rsidRPr="00763C24" w14:paraId="445DB6E5" w14:textId="77777777" w:rsidTr="00EE6DBB">
        <w:trPr>
          <w:trHeight w:val="466"/>
        </w:trPr>
        <w:tc>
          <w:tcPr>
            <w:tcW w:w="2133" w:type="dxa"/>
            <w:tcBorders>
              <w:top w:val="nil"/>
              <w:left w:val="nil"/>
              <w:bottom w:val="single" w:sz="4" w:space="0" w:color="auto"/>
              <w:right w:val="nil"/>
            </w:tcBorders>
            <w:shd w:val="clear" w:color="auto" w:fill="auto"/>
            <w:noWrap/>
            <w:vAlign w:val="center"/>
            <w:hideMark/>
          </w:tcPr>
          <w:p w14:paraId="3EE8799A" w14:textId="77777777" w:rsidR="005B5C8D" w:rsidRPr="005B2D64" w:rsidRDefault="005B5C8D" w:rsidP="00763C24">
            <w:pPr>
              <w:spacing w:after="0" w:line="240" w:lineRule="auto"/>
              <w:rPr>
                <w:rFonts w:ascii="Arial Narrow" w:hAnsi="Arial Narrow"/>
                <w:b/>
                <w:bCs/>
                <w:sz w:val="20"/>
                <w:szCs w:val="20"/>
              </w:rPr>
            </w:pPr>
            <w:r w:rsidRPr="005B2D64">
              <w:rPr>
                <w:rFonts w:ascii="Arial Narrow" w:hAnsi="Arial Narrow"/>
                <w:b/>
                <w:bCs/>
                <w:sz w:val="20"/>
                <w:szCs w:val="20"/>
              </w:rPr>
              <w:t> </w:t>
            </w:r>
          </w:p>
        </w:tc>
        <w:tc>
          <w:tcPr>
            <w:tcW w:w="881" w:type="dxa"/>
            <w:tcBorders>
              <w:top w:val="nil"/>
              <w:left w:val="nil"/>
              <w:bottom w:val="single" w:sz="4" w:space="0" w:color="auto"/>
              <w:right w:val="nil"/>
            </w:tcBorders>
            <w:shd w:val="clear" w:color="auto" w:fill="auto"/>
            <w:noWrap/>
            <w:vAlign w:val="center"/>
            <w:hideMark/>
          </w:tcPr>
          <w:p w14:paraId="778DEAE0" w14:textId="77777777" w:rsidR="005B5C8D" w:rsidRPr="005B2D64" w:rsidRDefault="005B5C8D" w:rsidP="00763C24">
            <w:pPr>
              <w:spacing w:after="0" w:line="240" w:lineRule="auto"/>
              <w:rPr>
                <w:rFonts w:ascii="Arial Narrow" w:hAnsi="Arial Narrow"/>
                <w:b/>
                <w:bCs/>
                <w:sz w:val="20"/>
                <w:szCs w:val="20"/>
              </w:rPr>
            </w:pPr>
            <w:r w:rsidRPr="005B2D64">
              <w:rPr>
                <w:rFonts w:ascii="Arial Narrow" w:hAnsi="Arial Narrow"/>
                <w:b/>
                <w:bCs/>
                <w:sz w:val="20"/>
                <w:szCs w:val="20"/>
              </w:rPr>
              <w:t> </w:t>
            </w:r>
          </w:p>
        </w:tc>
        <w:tc>
          <w:tcPr>
            <w:tcW w:w="561" w:type="dxa"/>
            <w:tcBorders>
              <w:top w:val="nil"/>
              <w:left w:val="nil"/>
              <w:bottom w:val="single" w:sz="4" w:space="0" w:color="auto"/>
              <w:right w:val="nil"/>
            </w:tcBorders>
            <w:shd w:val="clear" w:color="auto" w:fill="auto"/>
            <w:vAlign w:val="center"/>
            <w:hideMark/>
          </w:tcPr>
          <w:p w14:paraId="1B55AE09" w14:textId="77777777" w:rsidR="005B5C8D" w:rsidRPr="005B2D64" w:rsidRDefault="005B5C8D" w:rsidP="00763C24">
            <w:pPr>
              <w:spacing w:after="0" w:line="240" w:lineRule="auto"/>
              <w:jc w:val="center"/>
              <w:rPr>
                <w:rFonts w:ascii="Arial Narrow" w:hAnsi="Arial Narrow"/>
                <w:b/>
                <w:bCs/>
                <w:sz w:val="20"/>
                <w:szCs w:val="20"/>
              </w:rPr>
            </w:pPr>
            <w:r w:rsidRPr="005B2D64">
              <w:rPr>
                <w:rFonts w:ascii="Arial Narrow" w:hAnsi="Arial Narrow"/>
                <w:b/>
                <w:bCs/>
                <w:sz w:val="20"/>
                <w:szCs w:val="20"/>
              </w:rPr>
              <w:t>2009</w:t>
            </w:r>
          </w:p>
        </w:tc>
        <w:tc>
          <w:tcPr>
            <w:tcW w:w="561" w:type="dxa"/>
            <w:tcBorders>
              <w:top w:val="nil"/>
              <w:left w:val="nil"/>
              <w:bottom w:val="single" w:sz="4" w:space="0" w:color="auto"/>
              <w:right w:val="nil"/>
            </w:tcBorders>
            <w:shd w:val="clear" w:color="auto" w:fill="auto"/>
            <w:vAlign w:val="center"/>
            <w:hideMark/>
          </w:tcPr>
          <w:p w14:paraId="4102472B" w14:textId="77777777" w:rsidR="005B5C8D" w:rsidRPr="005B2D64" w:rsidRDefault="005B5C8D" w:rsidP="00763C24">
            <w:pPr>
              <w:spacing w:after="0" w:line="240" w:lineRule="auto"/>
              <w:jc w:val="center"/>
              <w:rPr>
                <w:rFonts w:ascii="Arial Narrow" w:hAnsi="Arial Narrow"/>
                <w:b/>
                <w:bCs/>
                <w:sz w:val="20"/>
                <w:szCs w:val="20"/>
              </w:rPr>
            </w:pPr>
            <w:r w:rsidRPr="005B2D64">
              <w:rPr>
                <w:rFonts w:ascii="Arial Narrow" w:hAnsi="Arial Narrow"/>
                <w:b/>
                <w:bCs/>
                <w:sz w:val="20"/>
                <w:szCs w:val="20"/>
              </w:rPr>
              <w:t>2010</w:t>
            </w:r>
          </w:p>
        </w:tc>
        <w:tc>
          <w:tcPr>
            <w:tcW w:w="561" w:type="dxa"/>
            <w:tcBorders>
              <w:top w:val="nil"/>
              <w:left w:val="nil"/>
              <w:bottom w:val="single" w:sz="4" w:space="0" w:color="auto"/>
              <w:right w:val="nil"/>
            </w:tcBorders>
            <w:shd w:val="clear" w:color="auto" w:fill="auto"/>
            <w:vAlign w:val="center"/>
            <w:hideMark/>
          </w:tcPr>
          <w:p w14:paraId="0F71036E" w14:textId="77777777" w:rsidR="005B5C8D" w:rsidRPr="005B2D64" w:rsidRDefault="005B5C8D" w:rsidP="00763C24">
            <w:pPr>
              <w:spacing w:after="0" w:line="240" w:lineRule="auto"/>
              <w:jc w:val="center"/>
              <w:rPr>
                <w:rFonts w:ascii="Arial Narrow" w:hAnsi="Arial Narrow"/>
                <w:b/>
                <w:bCs/>
                <w:sz w:val="20"/>
                <w:szCs w:val="20"/>
              </w:rPr>
            </w:pPr>
            <w:r w:rsidRPr="005B2D64">
              <w:rPr>
                <w:rFonts w:ascii="Arial Narrow" w:hAnsi="Arial Narrow"/>
                <w:b/>
                <w:bCs/>
                <w:sz w:val="20"/>
                <w:szCs w:val="20"/>
              </w:rPr>
              <w:t>2011</w:t>
            </w:r>
          </w:p>
        </w:tc>
        <w:tc>
          <w:tcPr>
            <w:tcW w:w="561" w:type="dxa"/>
            <w:tcBorders>
              <w:top w:val="nil"/>
              <w:left w:val="nil"/>
              <w:bottom w:val="single" w:sz="4" w:space="0" w:color="auto"/>
              <w:right w:val="nil"/>
            </w:tcBorders>
            <w:shd w:val="clear" w:color="auto" w:fill="auto"/>
            <w:vAlign w:val="center"/>
            <w:hideMark/>
          </w:tcPr>
          <w:p w14:paraId="7D9D5F62" w14:textId="77777777" w:rsidR="005B5C8D" w:rsidRPr="005B2D64" w:rsidRDefault="005B5C8D" w:rsidP="00763C24">
            <w:pPr>
              <w:spacing w:after="0" w:line="240" w:lineRule="auto"/>
              <w:jc w:val="center"/>
              <w:rPr>
                <w:rFonts w:ascii="Arial Narrow" w:hAnsi="Arial Narrow"/>
                <w:b/>
                <w:bCs/>
                <w:sz w:val="20"/>
                <w:szCs w:val="20"/>
              </w:rPr>
            </w:pPr>
            <w:r w:rsidRPr="005B2D64">
              <w:rPr>
                <w:rFonts w:ascii="Arial Narrow" w:hAnsi="Arial Narrow"/>
                <w:b/>
                <w:bCs/>
                <w:sz w:val="20"/>
                <w:szCs w:val="20"/>
              </w:rPr>
              <w:t>2012</w:t>
            </w:r>
          </w:p>
        </w:tc>
        <w:tc>
          <w:tcPr>
            <w:tcW w:w="561" w:type="dxa"/>
            <w:tcBorders>
              <w:top w:val="nil"/>
              <w:left w:val="nil"/>
              <w:bottom w:val="single" w:sz="4" w:space="0" w:color="auto"/>
              <w:right w:val="nil"/>
            </w:tcBorders>
            <w:shd w:val="clear" w:color="auto" w:fill="auto"/>
            <w:vAlign w:val="center"/>
            <w:hideMark/>
          </w:tcPr>
          <w:p w14:paraId="19613D4C" w14:textId="77777777" w:rsidR="005B5C8D" w:rsidRPr="005B2D64" w:rsidRDefault="005B5C8D" w:rsidP="00763C24">
            <w:pPr>
              <w:spacing w:after="0" w:line="240" w:lineRule="auto"/>
              <w:jc w:val="center"/>
              <w:rPr>
                <w:rFonts w:ascii="Arial Narrow" w:hAnsi="Arial Narrow"/>
                <w:b/>
                <w:bCs/>
                <w:sz w:val="20"/>
                <w:szCs w:val="20"/>
              </w:rPr>
            </w:pPr>
            <w:r w:rsidRPr="005B2D64">
              <w:rPr>
                <w:rFonts w:ascii="Arial Narrow" w:hAnsi="Arial Narrow"/>
                <w:b/>
                <w:bCs/>
                <w:sz w:val="20"/>
                <w:szCs w:val="20"/>
              </w:rPr>
              <w:t>2013</w:t>
            </w:r>
          </w:p>
        </w:tc>
        <w:tc>
          <w:tcPr>
            <w:tcW w:w="561" w:type="dxa"/>
            <w:tcBorders>
              <w:top w:val="nil"/>
              <w:left w:val="nil"/>
              <w:bottom w:val="single" w:sz="4" w:space="0" w:color="auto"/>
              <w:right w:val="nil"/>
            </w:tcBorders>
            <w:shd w:val="clear" w:color="auto" w:fill="auto"/>
            <w:vAlign w:val="center"/>
            <w:hideMark/>
          </w:tcPr>
          <w:p w14:paraId="4279487A" w14:textId="77777777" w:rsidR="005B5C8D" w:rsidRPr="005B2D64" w:rsidRDefault="005B5C8D" w:rsidP="00763C24">
            <w:pPr>
              <w:spacing w:after="0" w:line="240" w:lineRule="auto"/>
              <w:jc w:val="center"/>
              <w:rPr>
                <w:rFonts w:ascii="Arial Narrow" w:hAnsi="Arial Narrow"/>
                <w:b/>
                <w:bCs/>
                <w:sz w:val="20"/>
                <w:szCs w:val="20"/>
              </w:rPr>
            </w:pPr>
            <w:r w:rsidRPr="005B2D64">
              <w:rPr>
                <w:rFonts w:ascii="Arial Narrow" w:hAnsi="Arial Narrow"/>
                <w:b/>
                <w:bCs/>
                <w:sz w:val="20"/>
                <w:szCs w:val="20"/>
              </w:rPr>
              <w:t>2014</w:t>
            </w:r>
          </w:p>
        </w:tc>
        <w:tc>
          <w:tcPr>
            <w:tcW w:w="561" w:type="dxa"/>
            <w:tcBorders>
              <w:top w:val="nil"/>
              <w:left w:val="nil"/>
              <w:bottom w:val="single" w:sz="4" w:space="0" w:color="auto"/>
              <w:right w:val="nil"/>
            </w:tcBorders>
            <w:shd w:val="clear" w:color="auto" w:fill="auto"/>
            <w:vAlign w:val="center"/>
            <w:hideMark/>
          </w:tcPr>
          <w:p w14:paraId="41DE4F2E" w14:textId="77777777" w:rsidR="005B5C8D" w:rsidRPr="005B2D64" w:rsidRDefault="005B5C8D" w:rsidP="00763C24">
            <w:pPr>
              <w:spacing w:after="0" w:line="240" w:lineRule="auto"/>
              <w:jc w:val="center"/>
              <w:rPr>
                <w:rFonts w:ascii="Arial Narrow" w:hAnsi="Arial Narrow"/>
                <w:b/>
                <w:bCs/>
                <w:sz w:val="20"/>
                <w:szCs w:val="20"/>
              </w:rPr>
            </w:pPr>
            <w:r w:rsidRPr="005B2D64">
              <w:rPr>
                <w:rFonts w:ascii="Arial Narrow" w:hAnsi="Arial Narrow"/>
                <w:b/>
                <w:bCs/>
                <w:sz w:val="20"/>
                <w:szCs w:val="20"/>
              </w:rPr>
              <w:t>2015</w:t>
            </w:r>
          </w:p>
        </w:tc>
        <w:tc>
          <w:tcPr>
            <w:tcW w:w="562" w:type="dxa"/>
            <w:tcBorders>
              <w:top w:val="nil"/>
              <w:left w:val="nil"/>
              <w:bottom w:val="single" w:sz="4" w:space="0" w:color="auto"/>
              <w:right w:val="nil"/>
            </w:tcBorders>
            <w:shd w:val="clear" w:color="auto" w:fill="auto"/>
            <w:vAlign w:val="center"/>
            <w:hideMark/>
          </w:tcPr>
          <w:p w14:paraId="08906FE8" w14:textId="77777777" w:rsidR="005B5C8D" w:rsidRPr="005B2D64" w:rsidRDefault="005B5C8D" w:rsidP="00763C24">
            <w:pPr>
              <w:spacing w:after="0" w:line="240" w:lineRule="auto"/>
              <w:jc w:val="center"/>
              <w:rPr>
                <w:rFonts w:ascii="Arial Narrow" w:hAnsi="Arial Narrow"/>
                <w:b/>
                <w:bCs/>
                <w:sz w:val="20"/>
                <w:szCs w:val="20"/>
              </w:rPr>
            </w:pPr>
            <w:r w:rsidRPr="005B2D64">
              <w:rPr>
                <w:rFonts w:ascii="Arial Narrow" w:hAnsi="Arial Narrow"/>
                <w:b/>
                <w:bCs/>
                <w:sz w:val="20"/>
                <w:szCs w:val="20"/>
              </w:rPr>
              <w:t>2016</w:t>
            </w:r>
          </w:p>
        </w:tc>
        <w:tc>
          <w:tcPr>
            <w:tcW w:w="561" w:type="dxa"/>
            <w:tcBorders>
              <w:top w:val="single" w:sz="4" w:space="0" w:color="auto"/>
              <w:left w:val="nil"/>
              <w:bottom w:val="single" w:sz="4" w:space="0" w:color="auto"/>
              <w:right w:val="nil"/>
            </w:tcBorders>
            <w:shd w:val="clear" w:color="auto" w:fill="auto"/>
            <w:vAlign w:val="center"/>
            <w:hideMark/>
          </w:tcPr>
          <w:p w14:paraId="2821C2BE" w14:textId="77777777" w:rsidR="005B5C8D" w:rsidRPr="005B2D64" w:rsidRDefault="005B5C8D" w:rsidP="00763C24">
            <w:pPr>
              <w:spacing w:after="0" w:line="240" w:lineRule="auto"/>
              <w:jc w:val="center"/>
              <w:rPr>
                <w:rFonts w:ascii="Arial Narrow" w:hAnsi="Arial Narrow"/>
                <w:b/>
                <w:bCs/>
                <w:sz w:val="20"/>
                <w:szCs w:val="20"/>
              </w:rPr>
            </w:pPr>
            <w:r w:rsidRPr="005B2D64">
              <w:rPr>
                <w:rFonts w:ascii="Arial Narrow" w:hAnsi="Arial Narrow"/>
                <w:b/>
                <w:bCs/>
                <w:sz w:val="20"/>
                <w:szCs w:val="20"/>
              </w:rPr>
              <w:t>2017</w:t>
            </w:r>
          </w:p>
        </w:tc>
        <w:tc>
          <w:tcPr>
            <w:tcW w:w="554" w:type="dxa"/>
            <w:tcBorders>
              <w:top w:val="single" w:sz="4" w:space="0" w:color="auto"/>
              <w:left w:val="nil"/>
              <w:bottom w:val="single" w:sz="4" w:space="0" w:color="auto"/>
              <w:right w:val="nil"/>
            </w:tcBorders>
            <w:shd w:val="clear" w:color="auto" w:fill="auto"/>
            <w:vAlign w:val="center"/>
            <w:hideMark/>
          </w:tcPr>
          <w:p w14:paraId="3238B3FD" w14:textId="77777777" w:rsidR="005B5C8D" w:rsidRPr="005B2D64" w:rsidRDefault="005B5C8D" w:rsidP="00763C24">
            <w:pPr>
              <w:spacing w:after="0" w:line="240" w:lineRule="auto"/>
              <w:jc w:val="center"/>
              <w:rPr>
                <w:rFonts w:ascii="Arial Narrow" w:hAnsi="Arial Narrow"/>
                <w:b/>
                <w:bCs/>
                <w:sz w:val="20"/>
                <w:szCs w:val="20"/>
              </w:rPr>
            </w:pPr>
            <w:r w:rsidRPr="005B2D64">
              <w:rPr>
                <w:rFonts w:ascii="Arial Narrow" w:hAnsi="Arial Narrow"/>
                <w:b/>
                <w:bCs/>
                <w:sz w:val="20"/>
                <w:szCs w:val="20"/>
              </w:rPr>
              <w:t>Cieľ 2020</w:t>
            </w:r>
          </w:p>
        </w:tc>
      </w:tr>
      <w:tr w:rsidR="005B5C8D" w:rsidRPr="00763C24" w14:paraId="040853E3" w14:textId="77777777" w:rsidTr="00EE6DBB">
        <w:trPr>
          <w:trHeight w:val="285"/>
        </w:trPr>
        <w:tc>
          <w:tcPr>
            <w:tcW w:w="2133" w:type="dxa"/>
            <w:tcBorders>
              <w:top w:val="nil"/>
              <w:left w:val="nil"/>
              <w:bottom w:val="nil"/>
              <w:right w:val="nil"/>
            </w:tcBorders>
            <w:shd w:val="clear" w:color="auto" w:fill="auto"/>
            <w:noWrap/>
            <w:vAlign w:val="center"/>
            <w:hideMark/>
          </w:tcPr>
          <w:p w14:paraId="5A3E3BB1" w14:textId="77777777" w:rsidR="005B5C8D" w:rsidRPr="005B2D64" w:rsidRDefault="005B5C8D" w:rsidP="00763C24">
            <w:pPr>
              <w:spacing w:after="0" w:line="240" w:lineRule="auto"/>
              <w:jc w:val="both"/>
              <w:rPr>
                <w:rFonts w:ascii="Arial Narrow" w:hAnsi="Arial Narrow"/>
                <w:b/>
                <w:bCs/>
                <w:color w:val="000000"/>
                <w:sz w:val="20"/>
                <w:szCs w:val="20"/>
              </w:rPr>
            </w:pPr>
            <w:r w:rsidRPr="005B2D64">
              <w:rPr>
                <w:rFonts w:ascii="Arial Narrow" w:hAnsi="Arial Narrow"/>
                <w:b/>
                <w:bCs/>
                <w:color w:val="000000"/>
                <w:sz w:val="20"/>
                <w:szCs w:val="20"/>
              </w:rPr>
              <w:t>PISA</w:t>
            </w:r>
          </w:p>
        </w:tc>
        <w:tc>
          <w:tcPr>
            <w:tcW w:w="881" w:type="dxa"/>
            <w:tcBorders>
              <w:top w:val="nil"/>
              <w:left w:val="nil"/>
              <w:bottom w:val="nil"/>
              <w:right w:val="nil"/>
            </w:tcBorders>
            <w:shd w:val="clear" w:color="auto" w:fill="auto"/>
            <w:noWrap/>
            <w:vAlign w:val="center"/>
            <w:hideMark/>
          </w:tcPr>
          <w:p w14:paraId="2084E09A" w14:textId="77777777" w:rsidR="005B5C8D" w:rsidRPr="005B2D64" w:rsidRDefault="005B5C8D" w:rsidP="00763C24">
            <w:pPr>
              <w:spacing w:after="0" w:line="240" w:lineRule="auto"/>
              <w:jc w:val="center"/>
              <w:rPr>
                <w:rFonts w:ascii="Arial Narrow" w:hAnsi="Arial Narrow"/>
                <w:b/>
                <w:bCs/>
                <w:color w:val="000000"/>
                <w:sz w:val="20"/>
                <w:szCs w:val="20"/>
              </w:rPr>
            </w:pPr>
            <w:r w:rsidRPr="005B2D64">
              <w:rPr>
                <w:rFonts w:ascii="Arial Narrow" w:hAnsi="Arial Narrow"/>
                <w:b/>
                <w:bCs/>
                <w:color w:val="000000"/>
                <w:sz w:val="20"/>
                <w:szCs w:val="20"/>
              </w:rPr>
              <w:t>SK</w:t>
            </w:r>
          </w:p>
        </w:tc>
        <w:tc>
          <w:tcPr>
            <w:tcW w:w="561" w:type="dxa"/>
            <w:tcBorders>
              <w:top w:val="nil"/>
              <w:left w:val="nil"/>
              <w:bottom w:val="nil"/>
              <w:right w:val="nil"/>
            </w:tcBorders>
            <w:shd w:val="clear" w:color="auto" w:fill="auto"/>
            <w:vAlign w:val="center"/>
            <w:hideMark/>
          </w:tcPr>
          <w:p w14:paraId="08FB24AB"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488</w:t>
            </w:r>
          </w:p>
        </w:tc>
        <w:tc>
          <w:tcPr>
            <w:tcW w:w="561" w:type="dxa"/>
            <w:tcBorders>
              <w:top w:val="nil"/>
              <w:left w:val="nil"/>
              <w:bottom w:val="nil"/>
              <w:right w:val="nil"/>
            </w:tcBorders>
            <w:shd w:val="clear" w:color="auto" w:fill="auto"/>
            <w:vAlign w:val="center"/>
            <w:hideMark/>
          </w:tcPr>
          <w:p w14:paraId="25BA668D"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w:t>
            </w:r>
          </w:p>
        </w:tc>
        <w:tc>
          <w:tcPr>
            <w:tcW w:w="561" w:type="dxa"/>
            <w:tcBorders>
              <w:top w:val="nil"/>
              <w:left w:val="nil"/>
              <w:bottom w:val="nil"/>
              <w:right w:val="nil"/>
            </w:tcBorders>
            <w:shd w:val="clear" w:color="auto" w:fill="auto"/>
            <w:vAlign w:val="center"/>
            <w:hideMark/>
          </w:tcPr>
          <w:p w14:paraId="7AFCEC10"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w:t>
            </w:r>
          </w:p>
        </w:tc>
        <w:tc>
          <w:tcPr>
            <w:tcW w:w="561" w:type="dxa"/>
            <w:tcBorders>
              <w:top w:val="nil"/>
              <w:left w:val="nil"/>
              <w:bottom w:val="nil"/>
              <w:right w:val="nil"/>
            </w:tcBorders>
            <w:shd w:val="clear" w:color="auto" w:fill="auto"/>
            <w:vAlign w:val="center"/>
            <w:hideMark/>
          </w:tcPr>
          <w:p w14:paraId="53F90E88"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472</w:t>
            </w:r>
          </w:p>
        </w:tc>
        <w:tc>
          <w:tcPr>
            <w:tcW w:w="561" w:type="dxa"/>
            <w:tcBorders>
              <w:top w:val="nil"/>
              <w:left w:val="nil"/>
              <w:bottom w:val="nil"/>
              <w:right w:val="nil"/>
            </w:tcBorders>
            <w:shd w:val="clear" w:color="auto" w:fill="auto"/>
            <w:vAlign w:val="center"/>
            <w:hideMark/>
          </w:tcPr>
          <w:p w14:paraId="14AF66D4"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 xml:space="preserve"> - </w:t>
            </w:r>
          </w:p>
        </w:tc>
        <w:tc>
          <w:tcPr>
            <w:tcW w:w="561" w:type="dxa"/>
            <w:tcBorders>
              <w:top w:val="nil"/>
              <w:left w:val="nil"/>
              <w:bottom w:val="nil"/>
              <w:right w:val="nil"/>
            </w:tcBorders>
            <w:shd w:val="clear" w:color="auto" w:fill="auto"/>
            <w:vAlign w:val="center"/>
            <w:hideMark/>
          </w:tcPr>
          <w:p w14:paraId="28088A51"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 xml:space="preserve"> - </w:t>
            </w:r>
          </w:p>
        </w:tc>
        <w:tc>
          <w:tcPr>
            <w:tcW w:w="561" w:type="dxa"/>
            <w:tcBorders>
              <w:top w:val="nil"/>
              <w:left w:val="nil"/>
              <w:bottom w:val="nil"/>
              <w:right w:val="nil"/>
            </w:tcBorders>
            <w:shd w:val="clear" w:color="auto" w:fill="auto"/>
            <w:vAlign w:val="center"/>
            <w:hideMark/>
          </w:tcPr>
          <w:p w14:paraId="6AAEFAD9"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463</w:t>
            </w:r>
          </w:p>
        </w:tc>
        <w:tc>
          <w:tcPr>
            <w:tcW w:w="562" w:type="dxa"/>
            <w:tcBorders>
              <w:top w:val="nil"/>
              <w:left w:val="nil"/>
              <w:bottom w:val="nil"/>
              <w:right w:val="nil"/>
            </w:tcBorders>
            <w:shd w:val="clear" w:color="auto" w:fill="auto"/>
            <w:vAlign w:val="center"/>
            <w:hideMark/>
          </w:tcPr>
          <w:p w14:paraId="55DA443A"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 xml:space="preserve"> - </w:t>
            </w:r>
          </w:p>
        </w:tc>
        <w:tc>
          <w:tcPr>
            <w:tcW w:w="561" w:type="dxa"/>
            <w:tcBorders>
              <w:top w:val="nil"/>
              <w:left w:val="nil"/>
              <w:bottom w:val="nil"/>
              <w:right w:val="nil"/>
            </w:tcBorders>
            <w:shd w:val="clear" w:color="auto" w:fill="auto"/>
            <w:vAlign w:val="center"/>
            <w:hideMark/>
          </w:tcPr>
          <w:p w14:paraId="31784667"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w:t>
            </w:r>
          </w:p>
        </w:tc>
        <w:tc>
          <w:tcPr>
            <w:tcW w:w="554" w:type="dxa"/>
            <w:tcBorders>
              <w:top w:val="nil"/>
              <w:left w:val="nil"/>
              <w:bottom w:val="nil"/>
              <w:right w:val="nil"/>
            </w:tcBorders>
            <w:shd w:val="clear" w:color="auto" w:fill="auto"/>
            <w:vAlign w:val="center"/>
            <w:hideMark/>
          </w:tcPr>
          <w:p w14:paraId="6E31B562"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505</w:t>
            </w:r>
          </w:p>
        </w:tc>
      </w:tr>
      <w:tr w:rsidR="005B5C8D" w:rsidRPr="00763C24" w14:paraId="43BE8473" w14:textId="77777777" w:rsidTr="00EE6DBB">
        <w:trPr>
          <w:trHeight w:val="285"/>
        </w:trPr>
        <w:tc>
          <w:tcPr>
            <w:tcW w:w="2133" w:type="dxa"/>
            <w:tcBorders>
              <w:top w:val="nil"/>
              <w:left w:val="nil"/>
              <w:bottom w:val="single" w:sz="4" w:space="0" w:color="auto"/>
              <w:right w:val="nil"/>
            </w:tcBorders>
            <w:shd w:val="clear" w:color="auto" w:fill="auto"/>
            <w:noWrap/>
            <w:vAlign w:val="center"/>
            <w:hideMark/>
          </w:tcPr>
          <w:p w14:paraId="4E86D280" w14:textId="77777777" w:rsidR="005B5C8D" w:rsidRPr="005B2D64" w:rsidRDefault="005B5C8D" w:rsidP="005B2D64">
            <w:pPr>
              <w:spacing w:after="0" w:line="240" w:lineRule="auto"/>
              <w:rPr>
                <w:rFonts w:ascii="Arial Narrow" w:hAnsi="Arial Narrow"/>
                <w:color w:val="000000"/>
                <w:sz w:val="20"/>
                <w:szCs w:val="20"/>
              </w:rPr>
            </w:pPr>
            <w:r w:rsidRPr="005B2D64">
              <w:rPr>
                <w:rFonts w:ascii="Arial Narrow" w:hAnsi="Arial Narrow"/>
                <w:color w:val="000000"/>
                <w:sz w:val="20"/>
                <w:szCs w:val="20"/>
              </w:rPr>
              <w:t>(priemer dosiahnutých bodov)</w:t>
            </w:r>
          </w:p>
        </w:tc>
        <w:tc>
          <w:tcPr>
            <w:tcW w:w="881" w:type="dxa"/>
            <w:tcBorders>
              <w:top w:val="nil"/>
              <w:left w:val="nil"/>
              <w:bottom w:val="nil"/>
              <w:right w:val="nil"/>
            </w:tcBorders>
            <w:shd w:val="clear" w:color="auto" w:fill="auto"/>
            <w:noWrap/>
            <w:vAlign w:val="center"/>
            <w:hideMark/>
          </w:tcPr>
          <w:p w14:paraId="25466AB1" w14:textId="77777777" w:rsidR="005B5C8D" w:rsidRPr="005B2D64" w:rsidRDefault="005B5C8D" w:rsidP="00763C24">
            <w:pPr>
              <w:spacing w:after="0" w:line="240" w:lineRule="auto"/>
              <w:jc w:val="center"/>
              <w:rPr>
                <w:rFonts w:ascii="Arial Narrow" w:hAnsi="Arial Narrow"/>
                <w:b/>
                <w:bCs/>
                <w:color w:val="000000"/>
                <w:sz w:val="20"/>
                <w:szCs w:val="20"/>
              </w:rPr>
            </w:pPr>
            <w:r w:rsidRPr="005B2D64">
              <w:rPr>
                <w:rFonts w:ascii="Arial Narrow" w:hAnsi="Arial Narrow"/>
                <w:b/>
                <w:bCs/>
                <w:color w:val="000000"/>
                <w:sz w:val="20"/>
                <w:szCs w:val="20"/>
              </w:rPr>
              <w:t>OECD</w:t>
            </w:r>
          </w:p>
        </w:tc>
        <w:tc>
          <w:tcPr>
            <w:tcW w:w="561" w:type="dxa"/>
            <w:tcBorders>
              <w:top w:val="nil"/>
              <w:left w:val="nil"/>
              <w:bottom w:val="nil"/>
              <w:right w:val="nil"/>
            </w:tcBorders>
            <w:shd w:val="clear" w:color="auto" w:fill="auto"/>
            <w:vAlign w:val="center"/>
            <w:hideMark/>
          </w:tcPr>
          <w:p w14:paraId="2622DCA6"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497</w:t>
            </w:r>
          </w:p>
        </w:tc>
        <w:tc>
          <w:tcPr>
            <w:tcW w:w="561" w:type="dxa"/>
            <w:tcBorders>
              <w:top w:val="nil"/>
              <w:left w:val="nil"/>
              <w:bottom w:val="nil"/>
              <w:right w:val="nil"/>
            </w:tcBorders>
            <w:shd w:val="clear" w:color="auto" w:fill="auto"/>
            <w:vAlign w:val="center"/>
            <w:hideMark/>
          </w:tcPr>
          <w:p w14:paraId="2277A133"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w:t>
            </w:r>
          </w:p>
        </w:tc>
        <w:tc>
          <w:tcPr>
            <w:tcW w:w="561" w:type="dxa"/>
            <w:tcBorders>
              <w:top w:val="nil"/>
              <w:left w:val="nil"/>
              <w:bottom w:val="nil"/>
              <w:right w:val="nil"/>
            </w:tcBorders>
            <w:shd w:val="clear" w:color="auto" w:fill="auto"/>
            <w:vAlign w:val="center"/>
            <w:hideMark/>
          </w:tcPr>
          <w:p w14:paraId="626FF3A6"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w:t>
            </w:r>
          </w:p>
        </w:tc>
        <w:tc>
          <w:tcPr>
            <w:tcW w:w="561" w:type="dxa"/>
            <w:tcBorders>
              <w:top w:val="nil"/>
              <w:left w:val="nil"/>
              <w:bottom w:val="nil"/>
              <w:right w:val="nil"/>
            </w:tcBorders>
            <w:shd w:val="clear" w:color="auto" w:fill="auto"/>
            <w:vAlign w:val="center"/>
            <w:hideMark/>
          </w:tcPr>
          <w:p w14:paraId="7BE30423"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497</w:t>
            </w:r>
          </w:p>
        </w:tc>
        <w:tc>
          <w:tcPr>
            <w:tcW w:w="561" w:type="dxa"/>
            <w:tcBorders>
              <w:top w:val="nil"/>
              <w:left w:val="nil"/>
              <w:bottom w:val="single" w:sz="4" w:space="0" w:color="auto"/>
              <w:right w:val="nil"/>
            </w:tcBorders>
            <w:shd w:val="clear" w:color="auto" w:fill="auto"/>
            <w:vAlign w:val="center"/>
            <w:hideMark/>
          </w:tcPr>
          <w:p w14:paraId="4F22B4F1"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 xml:space="preserve"> - </w:t>
            </w:r>
          </w:p>
        </w:tc>
        <w:tc>
          <w:tcPr>
            <w:tcW w:w="561" w:type="dxa"/>
            <w:tcBorders>
              <w:top w:val="nil"/>
              <w:left w:val="nil"/>
              <w:bottom w:val="single" w:sz="4" w:space="0" w:color="auto"/>
              <w:right w:val="nil"/>
            </w:tcBorders>
            <w:shd w:val="clear" w:color="auto" w:fill="auto"/>
            <w:vAlign w:val="center"/>
            <w:hideMark/>
          </w:tcPr>
          <w:p w14:paraId="01844FB5"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 xml:space="preserve"> - </w:t>
            </w:r>
          </w:p>
        </w:tc>
        <w:tc>
          <w:tcPr>
            <w:tcW w:w="561" w:type="dxa"/>
            <w:tcBorders>
              <w:top w:val="nil"/>
              <w:left w:val="nil"/>
              <w:bottom w:val="single" w:sz="4" w:space="0" w:color="auto"/>
              <w:right w:val="nil"/>
            </w:tcBorders>
            <w:shd w:val="clear" w:color="auto" w:fill="auto"/>
            <w:vAlign w:val="center"/>
            <w:hideMark/>
          </w:tcPr>
          <w:p w14:paraId="4BF2712D"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492</w:t>
            </w:r>
          </w:p>
        </w:tc>
        <w:tc>
          <w:tcPr>
            <w:tcW w:w="562" w:type="dxa"/>
            <w:tcBorders>
              <w:top w:val="nil"/>
              <w:left w:val="nil"/>
              <w:bottom w:val="single" w:sz="4" w:space="0" w:color="auto"/>
              <w:right w:val="nil"/>
            </w:tcBorders>
            <w:shd w:val="clear" w:color="auto" w:fill="auto"/>
            <w:vAlign w:val="center"/>
            <w:hideMark/>
          </w:tcPr>
          <w:p w14:paraId="2EEC9B73"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 xml:space="preserve"> - </w:t>
            </w:r>
          </w:p>
        </w:tc>
        <w:tc>
          <w:tcPr>
            <w:tcW w:w="561" w:type="dxa"/>
            <w:tcBorders>
              <w:top w:val="nil"/>
              <w:left w:val="nil"/>
              <w:bottom w:val="single" w:sz="4" w:space="0" w:color="auto"/>
              <w:right w:val="nil"/>
            </w:tcBorders>
            <w:shd w:val="clear" w:color="auto" w:fill="auto"/>
            <w:vAlign w:val="center"/>
            <w:hideMark/>
          </w:tcPr>
          <w:p w14:paraId="46145063"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w:t>
            </w:r>
          </w:p>
        </w:tc>
        <w:tc>
          <w:tcPr>
            <w:tcW w:w="554" w:type="dxa"/>
            <w:tcBorders>
              <w:top w:val="nil"/>
              <w:left w:val="nil"/>
              <w:bottom w:val="single" w:sz="4" w:space="0" w:color="auto"/>
              <w:right w:val="nil"/>
            </w:tcBorders>
            <w:shd w:val="clear" w:color="auto" w:fill="auto"/>
            <w:vAlign w:val="center"/>
            <w:hideMark/>
          </w:tcPr>
          <w:p w14:paraId="145CB5FE"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w:t>
            </w:r>
          </w:p>
        </w:tc>
      </w:tr>
      <w:tr w:rsidR="005B5C8D" w:rsidRPr="00763C24" w14:paraId="0EE4FC15" w14:textId="77777777" w:rsidTr="00EE6DBB">
        <w:trPr>
          <w:trHeight w:val="285"/>
        </w:trPr>
        <w:tc>
          <w:tcPr>
            <w:tcW w:w="2133" w:type="dxa"/>
            <w:tcBorders>
              <w:top w:val="nil"/>
              <w:left w:val="nil"/>
              <w:bottom w:val="nil"/>
              <w:right w:val="nil"/>
            </w:tcBorders>
            <w:shd w:val="clear" w:color="auto" w:fill="auto"/>
            <w:noWrap/>
            <w:vAlign w:val="center"/>
            <w:hideMark/>
          </w:tcPr>
          <w:p w14:paraId="7EEC0BF0" w14:textId="77777777" w:rsidR="005B5C8D" w:rsidRPr="005B2D64" w:rsidRDefault="005B5C8D" w:rsidP="00763C24">
            <w:pPr>
              <w:spacing w:after="0" w:line="240" w:lineRule="auto"/>
              <w:rPr>
                <w:rFonts w:ascii="Arial Narrow" w:hAnsi="Arial Narrow"/>
                <w:b/>
                <w:bCs/>
                <w:color w:val="000000"/>
                <w:sz w:val="20"/>
                <w:szCs w:val="20"/>
              </w:rPr>
            </w:pPr>
            <w:r w:rsidRPr="005B2D64">
              <w:rPr>
                <w:rFonts w:ascii="Arial Narrow" w:hAnsi="Arial Narrow"/>
                <w:b/>
                <w:bCs/>
                <w:color w:val="000000"/>
                <w:sz w:val="20"/>
                <w:szCs w:val="20"/>
              </w:rPr>
              <w:t>Predčasné ukončenie školskej dochádzky</w:t>
            </w:r>
          </w:p>
        </w:tc>
        <w:tc>
          <w:tcPr>
            <w:tcW w:w="881" w:type="dxa"/>
            <w:tcBorders>
              <w:top w:val="single" w:sz="4" w:space="0" w:color="auto"/>
              <w:left w:val="nil"/>
              <w:bottom w:val="nil"/>
              <w:right w:val="nil"/>
            </w:tcBorders>
            <w:shd w:val="clear" w:color="auto" w:fill="auto"/>
            <w:noWrap/>
            <w:vAlign w:val="center"/>
            <w:hideMark/>
          </w:tcPr>
          <w:p w14:paraId="4092E010" w14:textId="77777777" w:rsidR="005B5C8D" w:rsidRPr="005B2D64" w:rsidRDefault="005B5C8D" w:rsidP="00763C24">
            <w:pPr>
              <w:spacing w:after="0" w:line="240" w:lineRule="auto"/>
              <w:jc w:val="center"/>
              <w:rPr>
                <w:rFonts w:ascii="Arial Narrow" w:hAnsi="Arial Narrow"/>
                <w:b/>
                <w:bCs/>
                <w:color w:val="000000"/>
                <w:sz w:val="20"/>
                <w:szCs w:val="20"/>
              </w:rPr>
            </w:pPr>
            <w:r w:rsidRPr="005B2D64">
              <w:rPr>
                <w:rFonts w:ascii="Arial Narrow" w:hAnsi="Arial Narrow"/>
                <w:b/>
                <w:bCs/>
                <w:color w:val="000000"/>
                <w:sz w:val="20"/>
                <w:szCs w:val="20"/>
              </w:rPr>
              <w:t>SK</w:t>
            </w:r>
          </w:p>
        </w:tc>
        <w:tc>
          <w:tcPr>
            <w:tcW w:w="561" w:type="dxa"/>
            <w:tcBorders>
              <w:top w:val="single" w:sz="4" w:space="0" w:color="auto"/>
              <w:left w:val="nil"/>
              <w:bottom w:val="nil"/>
              <w:right w:val="nil"/>
            </w:tcBorders>
            <w:shd w:val="clear" w:color="auto" w:fill="auto"/>
            <w:vAlign w:val="center"/>
            <w:hideMark/>
          </w:tcPr>
          <w:p w14:paraId="73C771D7"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4,9</w:t>
            </w:r>
          </w:p>
        </w:tc>
        <w:tc>
          <w:tcPr>
            <w:tcW w:w="561" w:type="dxa"/>
            <w:tcBorders>
              <w:top w:val="single" w:sz="4" w:space="0" w:color="auto"/>
              <w:left w:val="nil"/>
              <w:bottom w:val="nil"/>
              <w:right w:val="nil"/>
            </w:tcBorders>
            <w:shd w:val="clear" w:color="auto" w:fill="auto"/>
            <w:vAlign w:val="center"/>
            <w:hideMark/>
          </w:tcPr>
          <w:p w14:paraId="45673905"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4,7</w:t>
            </w:r>
          </w:p>
        </w:tc>
        <w:tc>
          <w:tcPr>
            <w:tcW w:w="561" w:type="dxa"/>
            <w:tcBorders>
              <w:top w:val="single" w:sz="4" w:space="0" w:color="auto"/>
              <w:left w:val="nil"/>
              <w:bottom w:val="nil"/>
              <w:right w:val="nil"/>
            </w:tcBorders>
            <w:shd w:val="clear" w:color="auto" w:fill="auto"/>
            <w:vAlign w:val="center"/>
            <w:hideMark/>
          </w:tcPr>
          <w:p w14:paraId="24034EA8"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5,1</w:t>
            </w:r>
          </w:p>
        </w:tc>
        <w:tc>
          <w:tcPr>
            <w:tcW w:w="561" w:type="dxa"/>
            <w:tcBorders>
              <w:top w:val="single" w:sz="4" w:space="0" w:color="auto"/>
              <w:left w:val="nil"/>
              <w:bottom w:val="nil"/>
              <w:right w:val="nil"/>
            </w:tcBorders>
            <w:shd w:val="clear" w:color="auto" w:fill="auto"/>
            <w:vAlign w:val="center"/>
            <w:hideMark/>
          </w:tcPr>
          <w:p w14:paraId="2DED54B4"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5,3</w:t>
            </w:r>
          </w:p>
        </w:tc>
        <w:tc>
          <w:tcPr>
            <w:tcW w:w="561" w:type="dxa"/>
            <w:tcBorders>
              <w:top w:val="nil"/>
              <w:left w:val="nil"/>
              <w:bottom w:val="nil"/>
              <w:right w:val="nil"/>
            </w:tcBorders>
            <w:shd w:val="clear" w:color="auto" w:fill="auto"/>
            <w:vAlign w:val="center"/>
            <w:hideMark/>
          </w:tcPr>
          <w:p w14:paraId="04D756C9"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6,4</w:t>
            </w:r>
          </w:p>
        </w:tc>
        <w:tc>
          <w:tcPr>
            <w:tcW w:w="561" w:type="dxa"/>
            <w:tcBorders>
              <w:top w:val="nil"/>
              <w:left w:val="nil"/>
              <w:bottom w:val="nil"/>
              <w:right w:val="nil"/>
            </w:tcBorders>
            <w:shd w:val="clear" w:color="auto" w:fill="auto"/>
            <w:vAlign w:val="center"/>
            <w:hideMark/>
          </w:tcPr>
          <w:p w14:paraId="542904E1"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6,7</w:t>
            </w:r>
          </w:p>
        </w:tc>
        <w:tc>
          <w:tcPr>
            <w:tcW w:w="561" w:type="dxa"/>
            <w:tcBorders>
              <w:top w:val="nil"/>
              <w:left w:val="nil"/>
              <w:bottom w:val="nil"/>
              <w:right w:val="nil"/>
            </w:tcBorders>
            <w:shd w:val="clear" w:color="auto" w:fill="auto"/>
            <w:vAlign w:val="center"/>
            <w:hideMark/>
          </w:tcPr>
          <w:p w14:paraId="44AD1DDB"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6,9</w:t>
            </w:r>
          </w:p>
        </w:tc>
        <w:tc>
          <w:tcPr>
            <w:tcW w:w="562" w:type="dxa"/>
            <w:tcBorders>
              <w:top w:val="nil"/>
              <w:left w:val="nil"/>
              <w:bottom w:val="nil"/>
              <w:right w:val="nil"/>
            </w:tcBorders>
            <w:shd w:val="clear" w:color="auto" w:fill="auto"/>
            <w:vAlign w:val="center"/>
            <w:hideMark/>
          </w:tcPr>
          <w:p w14:paraId="405F2689"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7,4</w:t>
            </w:r>
          </w:p>
        </w:tc>
        <w:tc>
          <w:tcPr>
            <w:tcW w:w="561" w:type="dxa"/>
            <w:tcBorders>
              <w:top w:val="nil"/>
              <w:left w:val="nil"/>
              <w:bottom w:val="nil"/>
              <w:right w:val="nil"/>
            </w:tcBorders>
            <w:shd w:val="clear" w:color="auto" w:fill="auto"/>
            <w:vAlign w:val="center"/>
            <w:hideMark/>
          </w:tcPr>
          <w:p w14:paraId="1D5636A7"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9,3</w:t>
            </w:r>
          </w:p>
        </w:tc>
        <w:tc>
          <w:tcPr>
            <w:tcW w:w="554" w:type="dxa"/>
            <w:tcBorders>
              <w:top w:val="nil"/>
              <w:left w:val="nil"/>
              <w:bottom w:val="nil"/>
              <w:right w:val="nil"/>
            </w:tcBorders>
            <w:shd w:val="clear" w:color="auto" w:fill="auto"/>
            <w:vAlign w:val="center"/>
            <w:hideMark/>
          </w:tcPr>
          <w:p w14:paraId="0F7B7931"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6</w:t>
            </w:r>
          </w:p>
        </w:tc>
      </w:tr>
      <w:tr w:rsidR="005B5C8D" w:rsidRPr="00763C24" w14:paraId="0209F347" w14:textId="77777777" w:rsidTr="00EE6DBB">
        <w:trPr>
          <w:trHeight w:val="285"/>
        </w:trPr>
        <w:tc>
          <w:tcPr>
            <w:tcW w:w="2133" w:type="dxa"/>
            <w:tcBorders>
              <w:top w:val="nil"/>
              <w:left w:val="nil"/>
              <w:bottom w:val="single" w:sz="4" w:space="0" w:color="auto"/>
              <w:right w:val="nil"/>
            </w:tcBorders>
            <w:shd w:val="clear" w:color="auto" w:fill="auto"/>
            <w:noWrap/>
            <w:vAlign w:val="center"/>
            <w:hideMark/>
          </w:tcPr>
          <w:p w14:paraId="01A77CB6" w14:textId="77777777" w:rsidR="005B5C8D" w:rsidRPr="005B2D64" w:rsidRDefault="005B5C8D" w:rsidP="00763C24">
            <w:pPr>
              <w:spacing w:after="0" w:line="240" w:lineRule="auto"/>
              <w:jc w:val="both"/>
              <w:rPr>
                <w:rFonts w:ascii="Arial Narrow" w:hAnsi="Arial Narrow"/>
                <w:color w:val="000000"/>
                <w:sz w:val="20"/>
                <w:szCs w:val="20"/>
              </w:rPr>
            </w:pPr>
            <w:r w:rsidRPr="005B2D64">
              <w:rPr>
                <w:rFonts w:ascii="Arial Narrow" w:hAnsi="Arial Narrow"/>
                <w:color w:val="000000"/>
                <w:sz w:val="20"/>
                <w:szCs w:val="20"/>
              </w:rPr>
              <w:t>(% vo vekovej skupine 18 - 24 rokov)</w:t>
            </w:r>
          </w:p>
        </w:tc>
        <w:tc>
          <w:tcPr>
            <w:tcW w:w="881" w:type="dxa"/>
            <w:tcBorders>
              <w:top w:val="nil"/>
              <w:left w:val="nil"/>
              <w:bottom w:val="nil"/>
              <w:right w:val="nil"/>
            </w:tcBorders>
            <w:shd w:val="clear" w:color="auto" w:fill="auto"/>
            <w:noWrap/>
            <w:vAlign w:val="center"/>
            <w:hideMark/>
          </w:tcPr>
          <w:p w14:paraId="116805BF" w14:textId="77777777" w:rsidR="005B5C8D" w:rsidRPr="005B2D64" w:rsidRDefault="005B5C8D" w:rsidP="00763C24">
            <w:pPr>
              <w:spacing w:after="0" w:line="240" w:lineRule="auto"/>
              <w:jc w:val="center"/>
              <w:rPr>
                <w:rFonts w:ascii="Arial Narrow" w:hAnsi="Arial Narrow"/>
                <w:b/>
                <w:bCs/>
                <w:color w:val="000000"/>
                <w:sz w:val="20"/>
                <w:szCs w:val="20"/>
              </w:rPr>
            </w:pPr>
            <w:r w:rsidRPr="005B2D64">
              <w:rPr>
                <w:rFonts w:ascii="Arial Narrow" w:hAnsi="Arial Narrow"/>
                <w:b/>
                <w:bCs/>
                <w:color w:val="000000"/>
                <w:sz w:val="20"/>
                <w:szCs w:val="20"/>
              </w:rPr>
              <w:t>EÚ</w:t>
            </w:r>
          </w:p>
        </w:tc>
        <w:tc>
          <w:tcPr>
            <w:tcW w:w="561" w:type="dxa"/>
            <w:tcBorders>
              <w:top w:val="nil"/>
              <w:left w:val="nil"/>
              <w:bottom w:val="nil"/>
              <w:right w:val="nil"/>
            </w:tcBorders>
            <w:shd w:val="clear" w:color="auto" w:fill="auto"/>
            <w:vAlign w:val="center"/>
            <w:hideMark/>
          </w:tcPr>
          <w:p w14:paraId="4D970880"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14,2</w:t>
            </w:r>
          </w:p>
        </w:tc>
        <w:tc>
          <w:tcPr>
            <w:tcW w:w="561" w:type="dxa"/>
            <w:tcBorders>
              <w:top w:val="nil"/>
              <w:left w:val="nil"/>
              <w:bottom w:val="nil"/>
              <w:right w:val="nil"/>
            </w:tcBorders>
            <w:shd w:val="clear" w:color="auto" w:fill="auto"/>
            <w:vAlign w:val="center"/>
            <w:hideMark/>
          </w:tcPr>
          <w:p w14:paraId="362DF429"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13,9</w:t>
            </w:r>
          </w:p>
        </w:tc>
        <w:tc>
          <w:tcPr>
            <w:tcW w:w="561" w:type="dxa"/>
            <w:tcBorders>
              <w:top w:val="nil"/>
              <w:left w:val="nil"/>
              <w:bottom w:val="nil"/>
              <w:right w:val="nil"/>
            </w:tcBorders>
            <w:shd w:val="clear" w:color="auto" w:fill="auto"/>
            <w:vAlign w:val="center"/>
            <w:hideMark/>
          </w:tcPr>
          <w:p w14:paraId="1BFCA4AF"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13,4</w:t>
            </w:r>
          </w:p>
        </w:tc>
        <w:tc>
          <w:tcPr>
            <w:tcW w:w="561" w:type="dxa"/>
            <w:tcBorders>
              <w:top w:val="nil"/>
              <w:left w:val="nil"/>
              <w:bottom w:val="nil"/>
              <w:right w:val="nil"/>
            </w:tcBorders>
            <w:shd w:val="clear" w:color="auto" w:fill="auto"/>
            <w:vAlign w:val="center"/>
            <w:hideMark/>
          </w:tcPr>
          <w:p w14:paraId="4646949B"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12,7</w:t>
            </w:r>
          </w:p>
        </w:tc>
        <w:tc>
          <w:tcPr>
            <w:tcW w:w="561" w:type="dxa"/>
            <w:tcBorders>
              <w:top w:val="nil"/>
              <w:left w:val="nil"/>
              <w:bottom w:val="single" w:sz="4" w:space="0" w:color="auto"/>
              <w:right w:val="nil"/>
            </w:tcBorders>
            <w:shd w:val="clear" w:color="auto" w:fill="auto"/>
            <w:vAlign w:val="center"/>
            <w:hideMark/>
          </w:tcPr>
          <w:p w14:paraId="1CBFDFA5"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11,9</w:t>
            </w:r>
          </w:p>
        </w:tc>
        <w:tc>
          <w:tcPr>
            <w:tcW w:w="561" w:type="dxa"/>
            <w:tcBorders>
              <w:top w:val="nil"/>
              <w:left w:val="nil"/>
              <w:bottom w:val="single" w:sz="4" w:space="0" w:color="auto"/>
              <w:right w:val="nil"/>
            </w:tcBorders>
            <w:shd w:val="clear" w:color="auto" w:fill="auto"/>
            <w:vAlign w:val="center"/>
            <w:hideMark/>
          </w:tcPr>
          <w:p w14:paraId="07F36E8C"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11,2</w:t>
            </w:r>
          </w:p>
        </w:tc>
        <w:tc>
          <w:tcPr>
            <w:tcW w:w="561" w:type="dxa"/>
            <w:tcBorders>
              <w:top w:val="nil"/>
              <w:left w:val="nil"/>
              <w:bottom w:val="single" w:sz="4" w:space="0" w:color="auto"/>
              <w:right w:val="nil"/>
            </w:tcBorders>
            <w:shd w:val="clear" w:color="auto" w:fill="auto"/>
            <w:vAlign w:val="center"/>
            <w:hideMark/>
          </w:tcPr>
          <w:p w14:paraId="20E4ADC7"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11</w:t>
            </w:r>
          </w:p>
        </w:tc>
        <w:tc>
          <w:tcPr>
            <w:tcW w:w="562" w:type="dxa"/>
            <w:tcBorders>
              <w:top w:val="nil"/>
              <w:left w:val="nil"/>
              <w:bottom w:val="single" w:sz="4" w:space="0" w:color="auto"/>
              <w:right w:val="nil"/>
            </w:tcBorders>
            <w:shd w:val="clear" w:color="auto" w:fill="auto"/>
            <w:vAlign w:val="center"/>
            <w:hideMark/>
          </w:tcPr>
          <w:p w14:paraId="7FEB789E"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10,7</w:t>
            </w:r>
          </w:p>
        </w:tc>
        <w:tc>
          <w:tcPr>
            <w:tcW w:w="561" w:type="dxa"/>
            <w:tcBorders>
              <w:top w:val="nil"/>
              <w:left w:val="nil"/>
              <w:bottom w:val="single" w:sz="4" w:space="0" w:color="auto"/>
              <w:right w:val="nil"/>
            </w:tcBorders>
            <w:shd w:val="clear" w:color="auto" w:fill="auto"/>
            <w:vAlign w:val="center"/>
            <w:hideMark/>
          </w:tcPr>
          <w:p w14:paraId="077F30A0"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10,6</w:t>
            </w:r>
          </w:p>
        </w:tc>
        <w:tc>
          <w:tcPr>
            <w:tcW w:w="554" w:type="dxa"/>
            <w:tcBorders>
              <w:top w:val="nil"/>
              <w:left w:val="nil"/>
              <w:bottom w:val="single" w:sz="4" w:space="0" w:color="auto"/>
              <w:right w:val="nil"/>
            </w:tcBorders>
            <w:shd w:val="clear" w:color="auto" w:fill="auto"/>
            <w:vAlign w:val="center"/>
            <w:hideMark/>
          </w:tcPr>
          <w:p w14:paraId="35791AE7"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10</w:t>
            </w:r>
          </w:p>
        </w:tc>
      </w:tr>
      <w:tr w:rsidR="005B5C8D" w:rsidRPr="00763C24" w14:paraId="124BE44A" w14:textId="77777777" w:rsidTr="00EE6DBB">
        <w:trPr>
          <w:trHeight w:val="285"/>
        </w:trPr>
        <w:tc>
          <w:tcPr>
            <w:tcW w:w="2133" w:type="dxa"/>
            <w:tcBorders>
              <w:top w:val="nil"/>
              <w:left w:val="nil"/>
              <w:bottom w:val="nil"/>
              <w:right w:val="nil"/>
            </w:tcBorders>
            <w:shd w:val="clear" w:color="auto" w:fill="auto"/>
            <w:noWrap/>
            <w:vAlign w:val="center"/>
            <w:hideMark/>
          </w:tcPr>
          <w:p w14:paraId="52C698B9" w14:textId="77777777" w:rsidR="005B5C8D" w:rsidRPr="005B2D64" w:rsidRDefault="005B5C8D" w:rsidP="00763C24">
            <w:pPr>
              <w:spacing w:after="0" w:line="240" w:lineRule="auto"/>
              <w:rPr>
                <w:rFonts w:ascii="Arial Narrow" w:hAnsi="Arial Narrow"/>
                <w:b/>
                <w:bCs/>
                <w:color w:val="000000"/>
                <w:sz w:val="20"/>
                <w:szCs w:val="20"/>
              </w:rPr>
            </w:pPr>
            <w:r w:rsidRPr="005B2D64">
              <w:rPr>
                <w:rFonts w:ascii="Arial Narrow" w:hAnsi="Arial Narrow"/>
                <w:b/>
                <w:bCs/>
                <w:color w:val="000000"/>
                <w:sz w:val="20"/>
                <w:szCs w:val="20"/>
              </w:rPr>
              <w:t>Citácie</w:t>
            </w:r>
          </w:p>
        </w:tc>
        <w:tc>
          <w:tcPr>
            <w:tcW w:w="881" w:type="dxa"/>
            <w:tcBorders>
              <w:top w:val="single" w:sz="4" w:space="0" w:color="auto"/>
              <w:left w:val="nil"/>
              <w:bottom w:val="nil"/>
              <w:right w:val="nil"/>
            </w:tcBorders>
            <w:shd w:val="clear" w:color="auto" w:fill="auto"/>
            <w:noWrap/>
            <w:vAlign w:val="center"/>
            <w:hideMark/>
          </w:tcPr>
          <w:p w14:paraId="27DDD850" w14:textId="77777777" w:rsidR="005B5C8D" w:rsidRPr="005B2D64" w:rsidRDefault="005B5C8D" w:rsidP="00763C24">
            <w:pPr>
              <w:spacing w:after="0" w:line="240" w:lineRule="auto"/>
              <w:jc w:val="center"/>
              <w:rPr>
                <w:rFonts w:ascii="Arial Narrow" w:hAnsi="Arial Narrow"/>
                <w:b/>
                <w:bCs/>
                <w:color w:val="000000"/>
                <w:sz w:val="20"/>
                <w:szCs w:val="20"/>
              </w:rPr>
            </w:pPr>
            <w:r w:rsidRPr="005B2D64">
              <w:rPr>
                <w:rFonts w:ascii="Arial Narrow" w:hAnsi="Arial Narrow"/>
                <w:b/>
                <w:bCs/>
                <w:color w:val="000000"/>
                <w:sz w:val="20"/>
                <w:szCs w:val="20"/>
              </w:rPr>
              <w:t>SK</w:t>
            </w:r>
          </w:p>
        </w:tc>
        <w:tc>
          <w:tcPr>
            <w:tcW w:w="561" w:type="dxa"/>
            <w:tcBorders>
              <w:top w:val="single" w:sz="4" w:space="0" w:color="auto"/>
              <w:left w:val="nil"/>
              <w:bottom w:val="nil"/>
              <w:right w:val="nil"/>
            </w:tcBorders>
            <w:shd w:val="clear" w:color="auto" w:fill="auto"/>
            <w:noWrap/>
            <w:vAlign w:val="center"/>
            <w:hideMark/>
          </w:tcPr>
          <w:p w14:paraId="5DF6843D"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33</w:t>
            </w:r>
          </w:p>
        </w:tc>
        <w:tc>
          <w:tcPr>
            <w:tcW w:w="561" w:type="dxa"/>
            <w:tcBorders>
              <w:top w:val="single" w:sz="4" w:space="0" w:color="auto"/>
              <w:left w:val="nil"/>
              <w:bottom w:val="nil"/>
              <w:right w:val="nil"/>
            </w:tcBorders>
            <w:shd w:val="clear" w:color="auto" w:fill="auto"/>
            <w:noWrap/>
            <w:vAlign w:val="center"/>
            <w:hideMark/>
          </w:tcPr>
          <w:p w14:paraId="553C0328"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32</w:t>
            </w:r>
          </w:p>
        </w:tc>
        <w:tc>
          <w:tcPr>
            <w:tcW w:w="561" w:type="dxa"/>
            <w:tcBorders>
              <w:top w:val="single" w:sz="4" w:space="0" w:color="auto"/>
              <w:left w:val="nil"/>
              <w:bottom w:val="nil"/>
              <w:right w:val="nil"/>
            </w:tcBorders>
            <w:shd w:val="clear" w:color="auto" w:fill="auto"/>
            <w:noWrap/>
            <w:vAlign w:val="center"/>
            <w:hideMark/>
          </w:tcPr>
          <w:p w14:paraId="7A51FE0E"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33</w:t>
            </w:r>
          </w:p>
        </w:tc>
        <w:tc>
          <w:tcPr>
            <w:tcW w:w="561" w:type="dxa"/>
            <w:tcBorders>
              <w:top w:val="single" w:sz="4" w:space="0" w:color="auto"/>
              <w:left w:val="nil"/>
              <w:bottom w:val="nil"/>
              <w:right w:val="nil"/>
            </w:tcBorders>
            <w:shd w:val="clear" w:color="auto" w:fill="auto"/>
            <w:noWrap/>
            <w:vAlign w:val="center"/>
            <w:hideMark/>
          </w:tcPr>
          <w:p w14:paraId="368C47D6"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41</w:t>
            </w:r>
          </w:p>
        </w:tc>
        <w:tc>
          <w:tcPr>
            <w:tcW w:w="561" w:type="dxa"/>
            <w:tcBorders>
              <w:top w:val="nil"/>
              <w:left w:val="nil"/>
              <w:bottom w:val="nil"/>
              <w:right w:val="nil"/>
            </w:tcBorders>
            <w:shd w:val="clear" w:color="auto" w:fill="auto"/>
            <w:noWrap/>
            <w:vAlign w:val="center"/>
            <w:hideMark/>
          </w:tcPr>
          <w:p w14:paraId="3EACB42F"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42</w:t>
            </w:r>
          </w:p>
        </w:tc>
        <w:tc>
          <w:tcPr>
            <w:tcW w:w="561" w:type="dxa"/>
            <w:tcBorders>
              <w:top w:val="nil"/>
              <w:left w:val="nil"/>
              <w:bottom w:val="nil"/>
              <w:right w:val="nil"/>
            </w:tcBorders>
            <w:shd w:val="clear" w:color="auto" w:fill="auto"/>
            <w:noWrap/>
            <w:vAlign w:val="center"/>
            <w:hideMark/>
          </w:tcPr>
          <w:p w14:paraId="028947F1"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46</w:t>
            </w:r>
          </w:p>
        </w:tc>
        <w:tc>
          <w:tcPr>
            <w:tcW w:w="561" w:type="dxa"/>
            <w:tcBorders>
              <w:top w:val="nil"/>
              <w:left w:val="nil"/>
              <w:bottom w:val="nil"/>
              <w:right w:val="nil"/>
            </w:tcBorders>
            <w:shd w:val="clear" w:color="auto" w:fill="auto"/>
            <w:noWrap/>
            <w:vAlign w:val="center"/>
            <w:hideMark/>
          </w:tcPr>
          <w:p w14:paraId="6799AC5C"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56</w:t>
            </w:r>
          </w:p>
        </w:tc>
        <w:tc>
          <w:tcPr>
            <w:tcW w:w="562" w:type="dxa"/>
            <w:tcBorders>
              <w:top w:val="nil"/>
              <w:left w:val="nil"/>
              <w:bottom w:val="nil"/>
              <w:right w:val="nil"/>
            </w:tcBorders>
            <w:shd w:val="clear" w:color="auto" w:fill="auto"/>
            <w:noWrap/>
            <w:vAlign w:val="center"/>
            <w:hideMark/>
          </w:tcPr>
          <w:p w14:paraId="0D762E07"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56</w:t>
            </w:r>
          </w:p>
        </w:tc>
        <w:tc>
          <w:tcPr>
            <w:tcW w:w="561" w:type="dxa"/>
            <w:tcBorders>
              <w:top w:val="nil"/>
              <w:left w:val="nil"/>
              <w:bottom w:val="nil"/>
              <w:right w:val="nil"/>
            </w:tcBorders>
            <w:shd w:val="clear" w:color="auto" w:fill="auto"/>
            <w:noWrap/>
            <w:vAlign w:val="center"/>
            <w:hideMark/>
          </w:tcPr>
          <w:p w14:paraId="09D07C8B"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47</w:t>
            </w:r>
          </w:p>
        </w:tc>
        <w:tc>
          <w:tcPr>
            <w:tcW w:w="554" w:type="dxa"/>
            <w:tcBorders>
              <w:top w:val="nil"/>
              <w:left w:val="nil"/>
              <w:bottom w:val="nil"/>
              <w:right w:val="nil"/>
            </w:tcBorders>
            <w:shd w:val="clear" w:color="auto" w:fill="auto"/>
            <w:noWrap/>
            <w:vAlign w:val="center"/>
            <w:hideMark/>
          </w:tcPr>
          <w:p w14:paraId="1E46843D"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70</w:t>
            </w:r>
          </w:p>
        </w:tc>
      </w:tr>
      <w:tr w:rsidR="005B5C8D" w:rsidRPr="00763C24" w14:paraId="48AA9498" w14:textId="77777777" w:rsidTr="00EE6DBB">
        <w:trPr>
          <w:trHeight w:val="285"/>
        </w:trPr>
        <w:tc>
          <w:tcPr>
            <w:tcW w:w="2133" w:type="dxa"/>
            <w:tcBorders>
              <w:top w:val="nil"/>
              <w:left w:val="nil"/>
              <w:bottom w:val="single" w:sz="4" w:space="0" w:color="auto"/>
              <w:right w:val="nil"/>
            </w:tcBorders>
            <w:shd w:val="clear" w:color="auto" w:fill="auto"/>
            <w:noWrap/>
            <w:vAlign w:val="center"/>
            <w:hideMark/>
          </w:tcPr>
          <w:p w14:paraId="0481B358" w14:textId="77777777" w:rsidR="005B5C8D" w:rsidRPr="005B2D64" w:rsidRDefault="005B5C8D" w:rsidP="00763C24">
            <w:pPr>
              <w:spacing w:after="0" w:line="240" w:lineRule="auto"/>
              <w:jc w:val="both"/>
              <w:rPr>
                <w:rFonts w:ascii="Arial Narrow" w:hAnsi="Arial Narrow"/>
                <w:color w:val="000000"/>
                <w:sz w:val="20"/>
                <w:szCs w:val="20"/>
              </w:rPr>
            </w:pPr>
            <w:r w:rsidRPr="005B2D64">
              <w:rPr>
                <w:rFonts w:ascii="Arial Narrow" w:hAnsi="Arial Narrow"/>
                <w:color w:val="000000"/>
                <w:sz w:val="20"/>
                <w:szCs w:val="20"/>
              </w:rPr>
              <w:t>(%, 100 = priemer EÚ)</w:t>
            </w:r>
          </w:p>
        </w:tc>
        <w:tc>
          <w:tcPr>
            <w:tcW w:w="881" w:type="dxa"/>
            <w:tcBorders>
              <w:top w:val="nil"/>
              <w:left w:val="nil"/>
              <w:bottom w:val="nil"/>
              <w:right w:val="nil"/>
            </w:tcBorders>
            <w:shd w:val="clear" w:color="auto" w:fill="auto"/>
            <w:noWrap/>
            <w:vAlign w:val="center"/>
            <w:hideMark/>
          </w:tcPr>
          <w:p w14:paraId="7EC9DCE1" w14:textId="77777777" w:rsidR="005B5C8D" w:rsidRPr="005B2D64" w:rsidRDefault="005B5C8D" w:rsidP="00763C24">
            <w:pPr>
              <w:spacing w:after="0" w:line="240" w:lineRule="auto"/>
              <w:jc w:val="center"/>
              <w:rPr>
                <w:rFonts w:ascii="Arial Narrow" w:hAnsi="Arial Narrow"/>
                <w:b/>
                <w:bCs/>
                <w:color w:val="000000"/>
                <w:sz w:val="20"/>
                <w:szCs w:val="20"/>
              </w:rPr>
            </w:pPr>
            <w:r w:rsidRPr="005B2D64">
              <w:rPr>
                <w:rFonts w:ascii="Arial Narrow" w:hAnsi="Arial Narrow"/>
                <w:b/>
                <w:bCs/>
                <w:color w:val="000000"/>
                <w:sz w:val="20"/>
                <w:szCs w:val="20"/>
              </w:rPr>
              <w:t>EÚ</w:t>
            </w:r>
          </w:p>
        </w:tc>
        <w:tc>
          <w:tcPr>
            <w:tcW w:w="561" w:type="dxa"/>
            <w:tcBorders>
              <w:top w:val="nil"/>
              <w:left w:val="nil"/>
              <w:bottom w:val="nil"/>
              <w:right w:val="nil"/>
            </w:tcBorders>
            <w:shd w:val="clear" w:color="auto" w:fill="auto"/>
            <w:vAlign w:val="center"/>
            <w:hideMark/>
          </w:tcPr>
          <w:p w14:paraId="21B8EC40"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100</w:t>
            </w:r>
          </w:p>
        </w:tc>
        <w:tc>
          <w:tcPr>
            <w:tcW w:w="561" w:type="dxa"/>
            <w:tcBorders>
              <w:top w:val="nil"/>
              <w:left w:val="nil"/>
              <w:bottom w:val="nil"/>
              <w:right w:val="nil"/>
            </w:tcBorders>
            <w:shd w:val="clear" w:color="auto" w:fill="auto"/>
            <w:vAlign w:val="center"/>
            <w:hideMark/>
          </w:tcPr>
          <w:p w14:paraId="4E4C0AFF"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100</w:t>
            </w:r>
          </w:p>
        </w:tc>
        <w:tc>
          <w:tcPr>
            <w:tcW w:w="561" w:type="dxa"/>
            <w:tcBorders>
              <w:top w:val="nil"/>
              <w:left w:val="nil"/>
              <w:bottom w:val="nil"/>
              <w:right w:val="nil"/>
            </w:tcBorders>
            <w:shd w:val="clear" w:color="auto" w:fill="auto"/>
            <w:vAlign w:val="center"/>
            <w:hideMark/>
          </w:tcPr>
          <w:p w14:paraId="564EB7DF"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100</w:t>
            </w:r>
          </w:p>
        </w:tc>
        <w:tc>
          <w:tcPr>
            <w:tcW w:w="561" w:type="dxa"/>
            <w:tcBorders>
              <w:top w:val="nil"/>
              <w:left w:val="nil"/>
              <w:bottom w:val="nil"/>
              <w:right w:val="nil"/>
            </w:tcBorders>
            <w:shd w:val="clear" w:color="auto" w:fill="auto"/>
            <w:vAlign w:val="center"/>
            <w:hideMark/>
          </w:tcPr>
          <w:p w14:paraId="24F0BAAF"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100</w:t>
            </w:r>
          </w:p>
        </w:tc>
        <w:tc>
          <w:tcPr>
            <w:tcW w:w="561" w:type="dxa"/>
            <w:tcBorders>
              <w:top w:val="nil"/>
              <w:left w:val="nil"/>
              <w:bottom w:val="single" w:sz="4" w:space="0" w:color="auto"/>
              <w:right w:val="nil"/>
            </w:tcBorders>
            <w:shd w:val="clear" w:color="auto" w:fill="auto"/>
            <w:vAlign w:val="center"/>
            <w:hideMark/>
          </w:tcPr>
          <w:p w14:paraId="423688CA"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100</w:t>
            </w:r>
          </w:p>
        </w:tc>
        <w:tc>
          <w:tcPr>
            <w:tcW w:w="561" w:type="dxa"/>
            <w:tcBorders>
              <w:top w:val="nil"/>
              <w:left w:val="nil"/>
              <w:bottom w:val="single" w:sz="4" w:space="0" w:color="auto"/>
              <w:right w:val="nil"/>
            </w:tcBorders>
            <w:shd w:val="clear" w:color="auto" w:fill="auto"/>
            <w:vAlign w:val="center"/>
            <w:hideMark/>
          </w:tcPr>
          <w:p w14:paraId="412A9695"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100</w:t>
            </w:r>
          </w:p>
        </w:tc>
        <w:tc>
          <w:tcPr>
            <w:tcW w:w="561" w:type="dxa"/>
            <w:tcBorders>
              <w:top w:val="nil"/>
              <w:left w:val="nil"/>
              <w:bottom w:val="single" w:sz="4" w:space="0" w:color="auto"/>
              <w:right w:val="nil"/>
            </w:tcBorders>
            <w:shd w:val="clear" w:color="auto" w:fill="auto"/>
            <w:vAlign w:val="center"/>
            <w:hideMark/>
          </w:tcPr>
          <w:p w14:paraId="19DFACDF"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100</w:t>
            </w:r>
          </w:p>
        </w:tc>
        <w:tc>
          <w:tcPr>
            <w:tcW w:w="562" w:type="dxa"/>
            <w:tcBorders>
              <w:top w:val="nil"/>
              <w:left w:val="nil"/>
              <w:bottom w:val="single" w:sz="4" w:space="0" w:color="auto"/>
              <w:right w:val="nil"/>
            </w:tcBorders>
            <w:shd w:val="clear" w:color="auto" w:fill="auto"/>
            <w:vAlign w:val="center"/>
            <w:hideMark/>
          </w:tcPr>
          <w:p w14:paraId="34F79937"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100</w:t>
            </w:r>
          </w:p>
        </w:tc>
        <w:tc>
          <w:tcPr>
            <w:tcW w:w="561" w:type="dxa"/>
            <w:tcBorders>
              <w:top w:val="nil"/>
              <w:left w:val="nil"/>
              <w:bottom w:val="single" w:sz="4" w:space="0" w:color="auto"/>
              <w:right w:val="nil"/>
            </w:tcBorders>
            <w:shd w:val="clear" w:color="auto" w:fill="auto"/>
            <w:vAlign w:val="center"/>
            <w:hideMark/>
          </w:tcPr>
          <w:p w14:paraId="19BDA148"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100</w:t>
            </w:r>
          </w:p>
        </w:tc>
        <w:tc>
          <w:tcPr>
            <w:tcW w:w="554" w:type="dxa"/>
            <w:tcBorders>
              <w:top w:val="nil"/>
              <w:left w:val="nil"/>
              <w:bottom w:val="single" w:sz="4" w:space="0" w:color="auto"/>
              <w:right w:val="nil"/>
            </w:tcBorders>
            <w:shd w:val="clear" w:color="auto" w:fill="auto"/>
            <w:vAlign w:val="center"/>
            <w:hideMark/>
          </w:tcPr>
          <w:p w14:paraId="1AE119E1"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100</w:t>
            </w:r>
          </w:p>
        </w:tc>
      </w:tr>
      <w:tr w:rsidR="005B5C8D" w:rsidRPr="00763C24" w14:paraId="7DFB799F" w14:textId="77777777" w:rsidTr="00EE6DBB">
        <w:trPr>
          <w:trHeight w:val="285"/>
        </w:trPr>
        <w:tc>
          <w:tcPr>
            <w:tcW w:w="2133" w:type="dxa"/>
            <w:tcBorders>
              <w:top w:val="nil"/>
              <w:left w:val="nil"/>
              <w:bottom w:val="nil"/>
              <w:right w:val="nil"/>
            </w:tcBorders>
            <w:shd w:val="clear" w:color="auto" w:fill="auto"/>
            <w:noWrap/>
            <w:vAlign w:val="center"/>
            <w:hideMark/>
          </w:tcPr>
          <w:p w14:paraId="53136C7A" w14:textId="77777777" w:rsidR="005B5C8D" w:rsidRPr="005B2D64" w:rsidRDefault="005B5C8D" w:rsidP="00763C24">
            <w:pPr>
              <w:spacing w:after="0" w:line="240" w:lineRule="auto"/>
              <w:rPr>
                <w:rFonts w:ascii="Arial Narrow" w:hAnsi="Arial Narrow"/>
                <w:b/>
                <w:bCs/>
                <w:color w:val="000000"/>
                <w:sz w:val="20"/>
                <w:szCs w:val="20"/>
              </w:rPr>
            </w:pPr>
            <w:r w:rsidRPr="005B2D64">
              <w:rPr>
                <w:rFonts w:ascii="Arial Narrow" w:hAnsi="Arial Narrow"/>
                <w:b/>
                <w:bCs/>
                <w:color w:val="000000"/>
                <w:sz w:val="20"/>
                <w:szCs w:val="20"/>
              </w:rPr>
              <w:t>Miera vysokoškolsky vzdelanej populácie</w:t>
            </w:r>
          </w:p>
        </w:tc>
        <w:tc>
          <w:tcPr>
            <w:tcW w:w="881" w:type="dxa"/>
            <w:tcBorders>
              <w:top w:val="single" w:sz="4" w:space="0" w:color="auto"/>
              <w:left w:val="nil"/>
              <w:bottom w:val="nil"/>
              <w:right w:val="nil"/>
            </w:tcBorders>
            <w:shd w:val="clear" w:color="auto" w:fill="auto"/>
            <w:noWrap/>
            <w:vAlign w:val="center"/>
            <w:hideMark/>
          </w:tcPr>
          <w:p w14:paraId="2B355552" w14:textId="77777777" w:rsidR="005B5C8D" w:rsidRPr="005B2D64" w:rsidRDefault="005B5C8D" w:rsidP="00763C24">
            <w:pPr>
              <w:spacing w:after="0" w:line="240" w:lineRule="auto"/>
              <w:jc w:val="center"/>
              <w:rPr>
                <w:rFonts w:ascii="Arial Narrow" w:hAnsi="Arial Narrow"/>
                <w:b/>
                <w:bCs/>
                <w:color w:val="000000"/>
                <w:sz w:val="20"/>
                <w:szCs w:val="20"/>
              </w:rPr>
            </w:pPr>
            <w:r w:rsidRPr="005B2D64">
              <w:rPr>
                <w:rFonts w:ascii="Arial Narrow" w:hAnsi="Arial Narrow"/>
                <w:b/>
                <w:bCs/>
                <w:color w:val="000000"/>
                <w:sz w:val="20"/>
                <w:szCs w:val="20"/>
              </w:rPr>
              <w:t>SK</w:t>
            </w:r>
          </w:p>
        </w:tc>
        <w:tc>
          <w:tcPr>
            <w:tcW w:w="561" w:type="dxa"/>
            <w:tcBorders>
              <w:top w:val="single" w:sz="4" w:space="0" w:color="auto"/>
              <w:left w:val="nil"/>
              <w:bottom w:val="nil"/>
              <w:right w:val="nil"/>
            </w:tcBorders>
            <w:shd w:val="clear" w:color="auto" w:fill="auto"/>
            <w:vAlign w:val="center"/>
            <w:hideMark/>
          </w:tcPr>
          <w:p w14:paraId="6261F0F7"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17,6</w:t>
            </w:r>
          </w:p>
        </w:tc>
        <w:tc>
          <w:tcPr>
            <w:tcW w:w="561" w:type="dxa"/>
            <w:tcBorders>
              <w:top w:val="single" w:sz="4" w:space="0" w:color="auto"/>
              <w:left w:val="nil"/>
              <w:bottom w:val="nil"/>
              <w:right w:val="nil"/>
            </w:tcBorders>
            <w:shd w:val="clear" w:color="auto" w:fill="auto"/>
            <w:vAlign w:val="center"/>
            <w:hideMark/>
          </w:tcPr>
          <w:p w14:paraId="62662279"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22,1</w:t>
            </w:r>
          </w:p>
        </w:tc>
        <w:tc>
          <w:tcPr>
            <w:tcW w:w="561" w:type="dxa"/>
            <w:tcBorders>
              <w:top w:val="single" w:sz="4" w:space="0" w:color="auto"/>
              <w:left w:val="nil"/>
              <w:bottom w:val="nil"/>
              <w:right w:val="nil"/>
            </w:tcBorders>
            <w:shd w:val="clear" w:color="auto" w:fill="auto"/>
            <w:vAlign w:val="center"/>
            <w:hideMark/>
          </w:tcPr>
          <w:p w14:paraId="034567A2"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23,2</w:t>
            </w:r>
          </w:p>
        </w:tc>
        <w:tc>
          <w:tcPr>
            <w:tcW w:w="561" w:type="dxa"/>
            <w:tcBorders>
              <w:top w:val="single" w:sz="4" w:space="0" w:color="auto"/>
              <w:left w:val="nil"/>
              <w:bottom w:val="nil"/>
              <w:right w:val="nil"/>
            </w:tcBorders>
            <w:shd w:val="clear" w:color="auto" w:fill="auto"/>
            <w:vAlign w:val="center"/>
            <w:hideMark/>
          </w:tcPr>
          <w:p w14:paraId="18A56601"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23,7</w:t>
            </w:r>
          </w:p>
        </w:tc>
        <w:tc>
          <w:tcPr>
            <w:tcW w:w="561" w:type="dxa"/>
            <w:tcBorders>
              <w:top w:val="nil"/>
              <w:left w:val="nil"/>
              <w:bottom w:val="nil"/>
              <w:right w:val="nil"/>
            </w:tcBorders>
            <w:shd w:val="clear" w:color="auto" w:fill="auto"/>
            <w:vAlign w:val="center"/>
            <w:hideMark/>
          </w:tcPr>
          <w:p w14:paraId="1C46F807"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26,9</w:t>
            </w:r>
          </w:p>
        </w:tc>
        <w:tc>
          <w:tcPr>
            <w:tcW w:w="561" w:type="dxa"/>
            <w:tcBorders>
              <w:top w:val="nil"/>
              <w:left w:val="nil"/>
              <w:bottom w:val="nil"/>
              <w:right w:val="nil"/>
            </w:tcBorders>
            <w:shd w:val="clear" w:color="auto" w:fill="auto"/>
            <w:vAlign w:val="center"/>
            <w:hideMark/>
          </w:tcPr>
          <w:p w14:paraId="69A5EFD8"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26,9</w:t>
            </w:r>
          </w:p>
        </w:tc>
        <w:tc>
          <w:tcPr>
            <w:tcW w:w="561" w:type="dxa"/>
            <w:tcBorders>
              <w:top w:val="nil"/>
              <w:left w:val="nil"/>
              <w:bottom w:val="nil"/>
              <w:right w:val="nil"/>
            </w:tcBorders>
            <w:shd w:val="clear" w:color="auto" w:fill="auto"/>
            <w:vAlign w:val="center"/>
            <w:hideMark/>
          </w:tcPr>
          <w:p w14:paraId="1DEF205D"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28,4</w:t>
            </w:r>
          </w:p>
        </w:tc>
        <w:tc>
          <w:tcPr>
            <w:tcW w:w="562" w:type="dxa"/>
            <w:tcBorders>
              <w:top w:val="nil"/>
              <w:left w:val="nil"/>
              <w:bottom w:val="nil"/>
              <w:right w:val="nil"/>
            </w:tcBorders>
            <w:shd w:val="clear" w:color="auto" w:fill="auto"/>
            <w:vAlign w:val="center"/>
            <w:hideMark/>
          </w:tcPr>
          <w:p w14:paraId="79B96307"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31,5</w:t>
            </w:r>
          </w:p>
        </w:tc>
        <w:tc>
          <w:tcPr>
            <w:tcW w:w="561" w:type="dxa"/>
            <w:tcBorders>
              <w:top w:val="nil"/>
              <w:left w:val="nil"/>
              <w:bottom w:val="nil"/>
              <w:right w:val="nil"/>
            </w:tcBorders>
            <w:shd w:val="clear" w:color="auto" w:fill="auto"/>
            <w:vAlign w:val="center"/>
            <w:hideMark/>
          </w:tcPr>
          <w:p w14:paraId="5818FC2D"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34,3</w:t>
            </w:r>
          </w:p>
        </w:tc>
        <w:tc>
          <w:tcPr>
            <w:tcW w:w="554" w:type="dxa"/>
            <w:tcBorders>
              <w:top w:val="nil"/>
              <w:left w:val="nil"/>
              <w:bottom w:val="nil"/>
              <w:right w:val="nil"/>
            </w:tcBorders>
            <w:shd w:val="clear" w:color="auto" w:fill="auto"/>
            <w:vAlign w:val="center"/>
            <w:hideMark/>
          </w:tcPr>
          <w:p w14:paraId="518F3545"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40</w:t>
            </w:r>
          </w:p>
        </w:tc>
      </w:tr>
      <w:tr w:rsidR="005B5C8D" w:rsidRPr="00763C24" w14:paraId="2D5D640D" w14:textId="77777777" w:rsidTr="00EE6DBB">
        <w:trPr>
          <w:trHeight w:val="285"/>
        </w:trPr>
        <w:tc>
          <w:tcPr>
            <w:tcW w:w="2133" w:type="dxa"/>
            <w:tcBorders>
              <w:top w:val="nil"/>
              <w:left w:val="nil"/>
              <w:bottom w:val="single" w:sz="4" w:space="0" w:color="auto"/>
              <w:right w:val="nil"/>
            </w:tcBorders>
            <w:shd w:val="clear" w:color="auto" w:fill="auto"/>
            <w:noWrap/>
            <w:vAlign w:val="center"/>
            <w:hideMark/>
          </w:tcPr>
          <w:p w14:paraId="3375B5A2" w14:textId="77777777" w:rsidR="005B5C8D" w:rsidRPr="005B2D64" w:rsidRDefault="005B5C8D" w:rsidP="00763C24">
            <w:pPr>
              <w:spacing w:after="0" w:line="240" w:lineRule="auto"/>
              <w:jc w:val="both"/>
              <w:rPr>
                <w:rFonts w:ascii="Arial Narrow" w:hAnsi="Arial Narrow"/>
                <w:color w:val="000000"/>
                <w:sz w:val="20"/>
                <w:szCs w:val="20"/>
              </w:rPr>
            </w:pPr>
            <w:r w:rsidRPr="005B2D64">
              <w:rPr>
                <w:rFonts w:ascii="Arial Narrow" w:hAnsi="Arial Narrow"/>
                <w:color w:val="000000"/>
                <w:sz w:val="20"/>
                <w:szCs w:val="20"/>
              </w:rPr>
              <w:t>(% vo vekovej skupine 30 - 34 rokov)</w:t>
            </w:r>
          </w:p>
        </w:tc>
        <w:tc>
          <w:tcPr>
            <w:tcW w:w="881" w:type="dxa"/>
            <w:tcBorders>
              <w:top w:val="nil"/>
              <w:left w:val="nil"/>
              <w:bottom w:val="nil"/>
              <w:right w:val="nil"/>
            </w:tcBorders>
            <w:shd w:val="clear" w:color="auto" w:fill="auto"/>
            <w:noWrap/>
            <w:vAlign w:val="center"/>
            <w:hideMark/>
          </w:tcPr>
          <w:p w14:paraId="45C5DED8" w14:textId="77777777" w:rsidR="005B5C8D" w:rsidRPr="005B2D64" w:rsidRDefault="005B5C8D" w:rsidP="00763C24">
            <w:pPr>
              <w:spacing w:after="0" w:line="240" w:lineRule="auto"/>
              <w:jc w:val="center"/>
              <w:rPr>
                <w:rFonts w:ascii="Arial Narrow" w:hAnsi="Arial Narrow"/>
                <w:b/>
                <w:bCs/>
                <w:color w:val="000000"/>
                <w:sz w:val="20"/>
                <w:szCs w:val="20"/>
              </w:rPr>
            </w:pPr>
            <w:r w:rsidRPr="005B2D64">
              <w:rPr>
                <w:rFonts w:ascii="Arial Narrow" w:hAnsi="Arial Narrow"/>
                <w:b/>
                <w:bCs/>
                <w:color w:val="000000"/>
                <w:sz w:val="20"/>
                <w:szCs w:val="20"/>
              </w:rPr>
              <w:t>EÚ</w:t>
            </w:r>
          </w:p>
        </w:tc>
        <w:tc>
          <w:tcPr>
            <w:tcW w:w="561" w:type="dxa"/>
            <w:tcBorders>
              <w:top w:val="nil"/>
              <w:left w:val="nil"/>
              <w:bottom w:val="nil"/>
              <w:right w:val="nil"/>
            </w:tcBorders>
            <w:shd w:val="clear" w:color="auto" w:fill="auto"/>
            <w:vAlign w:val="center"/>
            <w:hideMark/>
          </w:tcPr>
          <w:p w14:paraId="2F6DB601"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32,3</w:t>
            </w:r>
          </w:p>
        </w:tc>
        <w:tc>
          <w:tcPr>
            <w:tcW w:w="561" w:type="dxa"/>
            <w:tcBorders>
              <w:top w:val="nil"/>
              <w:left w:val="nil"/>
              <w:bottom w:val="nil"/>
              <w:right w:val="nil"/>
            </w:tcBorders>
            <w:shd w:val="clear" w:color="auto" w:fill="auto"/>
            <w:vAlign w:val="center"/>
            <w:hideMark/>
          </w:tcPr>
          <w:p w14:paraId="1EEC045B"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33,8</w:t>
            </w:r>
          </w:p>
        </w:tc>
        <w:tc>
          <w:tcPr>
            <w:tcW w:w="561" w:type="dxa"/>
            <w:tcBorders>
              <w:top w:val="nil"/>
              <w:left w:val="nil"/>
              <w:bottom w:val="nil"/>
              <w:right w:val="nil"/>
            </w:tcBorders>
            <w:shd w:val="clear" w:color="auto" w:fill="auto"/>
            <w:vAlign w:val="center"/>
            <w:hideMark/>
          </w:tcPr>
          <w:p w14:paraId="5F6FCF2E"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34,8</w:t>
            </w:r>
          </w:p>
        </w:tc>
        <w:tc>
          <w:tcPr>
            <w:tcW w:w="561" w:type="dxa"/>
            <w:tcBorders>
              <w:top w:val="nil"/>
              <w:left w:val="nil"/>
              <w:bottom w:val="nil"/>
              <w:right w:val="nil"/>
            </w:tcBorders>
            <w:shd w:val="clear" w:color="auto" w:fill="auto"/>
            <w:vAlign w:val="center"/>
            <w:hideMark/>
          </w:tcPr>
          <w:p w14:paraId="5F6BF36C"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36</w:t>
            </w:r>
          </w:p>
        </w:tc>
        <w:tc>
          <w:tcPr>
            <w:tcW w:w="561" w:type="dxa"/>
            <w:tcBorders>
              <w:top w:val="nil"/>
              <w:left w:val="nil"/>
              <w:bottom w:val="single" w:sz="4" w:space="0" w:color="auto"/>
              <w:right w:val="nil"/>
            </w:tcBorders>
            <w:shd w:val="clear" w:color="auto" w:fill="auto"/>
            <w:vAlign w:val="center"/>
            <w:hideMark/>
          </w:tcPr>
          <w:p w14:paraId="4B665CA9"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37,1</w:t>
            </w:r>
          </w:p>
        </w:tc>
        <w:tc>
          <w:tcPr>
            <w:tcW w:w="561" w:type="dxa"/>
            <w:tcBorders>
              <w:top w:val="nil"/>
              <w:left w:val="nil"/>
              <w:bottom w:val="single" w:sz="4" w:space="0" w:color="auto"/>
              <w:right w:val="nil"/>
            </w:tcBorders>
            <w:shd w:val="clear" w:color="auto" w:fill="auto"/>
            <w:vAlign w:val="center"/>
            <w:hideMark/>
          </w:tcPr>
          <w:p w14:paraId="30FDA4D9"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38</w:t>
            </w:r>
          </w:p>
        </w:tc>
        <w:tc>
          <w:tcPr>
            <w:tcW w:w="561" w:type="dxa"/>
            <w:tcBorders>
              <w:top w:val="nil"/>
              <w:left w:val="nil"/>
              <w:bottom w:val="single" w:sz="4" w:space="0" w:color="auto"/>
              <w:right w:val="nil"/>
            </w:tcBorders>
            <w:shd w:val="clear" w:color="auto" w:fill="auto"/>
            <w:vAlign w:val="center"/>
            <w:hideMark/>
          </w:tcPr>
          <w:p w14:paraId="0DA9F06D"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38,7</w:t>
            </w:r>
          </w:p>
        </w:tc>
        <w:tc>
          <w:tcPr>
            <w:tcW w:w="562" w:type="dxa"/>
            <w:tcBorders>
              <w:top w:val="nil"/>
              <w:left w:val="nil"/>
              <w:bottom w:val="single" w:sz="4" w:space="0" w:color="auto"/>
              <w:right w:val="nil"/>
            </w:tcBorders>
            <w:shd w:val="clear" w:color="auto" w:fill="auto"/>
            <w:vAlign w:val="center"/>
            <w:hideMark/>
          </w:tcPr>
          <w:p w14:paraId="4B794609"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39,2</w:t>
            </w:r>
          </w:p>
        </w:tc>
        <w:tc>
          <w:tcPr>
            <w:tcW w:w="561" w:type="dxa"/>
            <w:tcBorders>
              <w:top w:val="nil"/>
              <w:left w:val="nil"/>
              <w:bottom w:val="single" w:sz="4" w:space="0" w:color="auto"/>
              <w:right w:val="nil"/>
            </w:tcBorders>
            <w:shd w:val="clear" w:color="auto" w:fill="auto"/>
            <w:vAlign w:val="center"/>
            <w:hideMark/>
          </w:tcPr>
          <w:p w14:paraId="0680A934"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39,9</w:t>
            </w:r>
          </w:p>
        </w:tc>
        <w:tc>
          <w:tcPr>
            <w:tcW w:w="554" w:type="dxa"/>
            <w:tcBorders>
              <w:top w:val="nil"/>
              <w:left w:val="nil"/>
              <w:bottom w:val="single" w:sz="4" w:space="0" w:color="auto"/>
              <w:right w:val="nil"/>
            </w:tcBorders>
            <w:shd w:val="clear" w:color="auto" w:fill="auto"/>
            <w:vAlign w:val="center"/>
            <w:hideMark/>
          </w:tcPr>
          <w:p w14:paraId="10E7F2E1"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40</w:t>
            </w:r>
          </w:p>
        </w:tc>
      </w:tr>
      <w:tr w:rsidR="005B5C8D" w:rsidRPr="00763C24" w14:paraId="55C1B5A8" w14:textId="77777777" w:rsidTr="00EE6DBB">
        <w:trPr>
          <w:trHeight w:val="285"/>
        </w:trPr>
        <w:tc>
          <w:tcPr>
            <w:tcW w:w="2133" w:type="dxa"/>
            <w:tcBorders>
              <w:top w:val="nil"/>
              <w:left w:val="nil"/>
              <w:bottom w:val="nil"/>
              <w:right w:val="nil"/>
            </w:tcBorders>
            <w:shd w:val="clear" w:color="auto" w:fill="auto"/>
            <w:noWrap/>
            <w:vAlign w:val="center"/>
            <w:hideMark/>
          </w:tcPr>
          <w:p w14:paraId="72D4170B" w14:textId="77777777" w:rsidR="005B5C8D" w:rsidRPr="005B2D64" w:rsidRDefault="005B5C8D" w:rsidP="00763C24">
            <w:pPr>
              <w:spacing w:after="0" w:line="240" w:lineRule="auto"/>
              <w:rPr>
                <w:rFonts w:ascii="Arial Narrow" w:hAnsi="Arial Narrow"/>
                <w:b/>
                <w:bCs/>
                <w:color w:val="000000"/>
                <w:sz w:val="20"/>
                <w:szCs w:val="20"/>
              </w:rPr>
            </w:pPr>
            <w:r w:rsidRPr="005B2D64">
              <w:rPr>
                <w:rFonts w:ascii="Arial Narrow" w:hAnsi="Arial Narrow"/>
                <w:b/>
                <w:bCs/>
                <w:color w:val="000000"/>
                <w:sz w:val="20"/>
                <w:szCs w:val="20"/>
              </w:rPr>
              <w:t>Výdavky na vedu a výskum</w:t>
            </w:r>
          </w:p>
        </w:tc>
        <w:tc>
          <w:tcPr>
            <w:tcW w:w="881" w:type="dxa"/>
            <w:tcBorders>
              <w:top w:val="single" w:sz="4" w:space="0" w:color="auto"/>
              <w:left w:val="nil"/>
              <w:bottom w:val="nil"/>
              <w:right w:val="nil"/>
            </w:tcBorders>
            <w:shd w:val="clear" w:color="auto" w:fill="auto"/>
            <w:noWrap/>
            <w:vAlign w:val="center"/>
            <w:hideMark/>
          </w:tcPr>
          <w:p w14:paraId="4D84F669" w14:textId="77777777" w:rsidR="005B5C8D" w:rsidRPr="005B2D64" w:rsidRDefault="005B5C8D" w:rsidP="00763C24">
            <w:pPr>
              <w:spacing w:after="0" w:line="240" w:lineRule="auto"/>
              <w:jc w:val="center"/>
              <w:rPr>
                <w:rFonts w:ascii="Arial Narrow" w:hAnsi="Arial Narrow"/>
                <w:b/>
                <w:bCs/>
                <w:color w:val="000000"/>
                <w:sz w:val="20"/>
                <w:szCs w:val="20"/>
              </w:rPr>
            </w:pPr>
            <w:r w:rsidRPr="005B2D64">
              <w:rPr>
                <w:rFonts w:ascii="Arial Narrow" w:hAnsi="Arial Narrow"/>
                <w:b/>
                <w:bCs/>
                <w:color w:val="000000"/>
                <w:sz w:val="20"/>
                <w:szCs w:val="20"/>
              </w:rPr>
              <w:t>SK</w:t>
            </w:r>
          </w:p>
        </w:tc>
        <w:tc>
          <w:tcPr>
            <w:tcW w:w="561" w:type="dxa"/>
            <w:tcBorders>
              <w:top w:val="single" w:sz="4" w:space="0" w:color="auto"/>
              <w:left w:val="nil"/>
              <w:bottom w:val="nil"/>
              <w:right w:val="nil"/>
            </w:tcBorders>
            <w:shd w:val="clear" w:color="auto" w:fill="auto"/>
            <w:vAlign w:val="center"/>
            <w:hideMark/>
          </w:tcPr>
          <w:p w14:paraId="41997488"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0,47</w:t>
            </w:r>
          </w:p>
        </w:tc>
        <w:tc>
          <w:tcPr>
            <w:tcW w:w="561" w:type="dxa"/>
            <w:tcBorders>
              <w:top w:val="single" w:sz="4" w:space="0" w:color="auto"/>
              <w:left w:val="nil"/>
              <w:bottom w:val="nil"/>
              <w:right w:val="nil"/>
            </w:tcBorders>
            <w:shd w:val="clear" w:color="auto" w:fill="auto"/>
            <w:vAlign w:val="center"/>
            <w:hideMark/>
          </w:tcPr>
          <w:p w14:paraId="3718664A"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0,62</w:t>
            </w:r>
          </w:p>
        </w:tc>
        <w:tc>
          <w:tcPr>
            <w:tcW w:w="561" w:type="dxa"/>
            <w:tcBorders>
              <w:top w:val="single" w:sz="4" w:space="0" w:color="auto"/>
              <w:left w:val="nil"/>
              <w:bottom w:val="nil"/>
              <w:right w:val="nil"/>
            </w:tcBorders>
            <w:shd w:val="clear" w:color="auto" w:fill="auto"/>
            <w:vAlign w:val="center"/>
            <w:hideMark/>
          </w:tcPr>
          <w:p w14:paraId="3E1904DE"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0,66</w:t>
            </w:r>
          </w:p>
        </w:tc>
        <w:tc>
          <w:tcPr>
            <w:tcW w:w="561" w:type="dxa"/>
            <w:tcBorders>
              <w:top w:val="single" w:sz="4" w:space="0" w:color="auto"/>
              <w:left w:val="nil"/>
              <w:bottom w:val="nil"/>
              <w:right w:val="nil"/>
            </w:tcBorders>
            <w:shd w:val="clear" w:color="auto" w:fill="auto"/>
            <w:vAlign w:val="center"/>
            <w:hideMark/>
          </w:tcPr>
          <w:p w14:paraId="60DC8646"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0,81</w:t>
            </w:r>
          </w:p>
        </w:tc>
        <w:tc>
          <w:tcPr>
            <w:tcW w:w="561" w:type="dxa"/>
            <w:tcBorders>
              <w:top w:val="nil"/>
              <w:left w:val="nil"/>
              <w:bottom w:val="nil"/>
              <w:right w:val="nil"/>
            </w:tcBorders>
            <w:shd w:val="clear" w:color="auto" w:fill="auto"/>
            <w:vAlign w:val="center"/>
            <w:hideMark/>
          </w:tcPr>
          <w:p w14:paraId="07180C2A"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0,82</w:t>
            </w:r>
          </w:p>
        </w:tc>
        <w:tc>
          <w:tcPr>
            <w:tcW w:w="561" w:type="dxa"/>
            <w:tcBorders>
              <w:top w:val="nil"/>
              <w:left w:val="nil"/>
              <w:bottom w:val="nil"/>
              <w:right w:val="nil"/>
            </w:tcBorders>
            <w:shd w:val="clear" w:color="auto" w:fill="auto"/>
            <w:vAlign w:val="center"/>
            <w:hideMark/>
          </w:tcPr>
          <w:p w14:paraId="40976DD7"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0,88</w:t>
            </w:r>
          </w:p>
        </w:tc>
        <w:tc>
          <w:tcPr>
            <w:tcW w:w="561" w:type="dxa"/>
            <w:tcBorders>
              <w:top w:val="nil"/>
              <w:left w:val="nil"/>
              <w:bottom w:val="nil"/>
              <w:right w:val="nil"/>
            </w:tcBorders>
            <w:shd w:val="clear" w:color="auto" w:fill="auto"/>
            <w:vAlign w:val="center"/>
            <w:hideMark/>
          </w:tcPr>
          <w:p w14:paraId="0C5DAEFE"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1,17</w:t>
            </w:r>
          </w:p>
        </w:tc>
        <w:tc>
          <w:tcPr>
            <w:tcW w:w="562" w:type="dxa"/>
            <w:tcBorders>
              <w:top w:val="nil"/>
              <w:left w:val="nil"/>
              <w:bottom w:val="nil"/>
              <w:right w:val="nil"/>
            </w:tcBorders>
            <w:shd w:val="clear" w:color="auto" w:fill="auto"/>
            <w:vAlign w:val="center"/>
            <w:hideMark/>
          </w:tcPr>
          <w:p w14:paraId="010F109B"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0,79</w:t>
            </w:r>
          </w:p>
        </w:tc>
        <w:tc>
          <w:tcPr>
            <w:tcW w:w="561" w:type="dxa"/>
            <w:tcBorders>
              <w:top w:val="nil"/>
              <w:left w:val="nil"/>
              <w:bottom w:val="nil"/>
              <w:right w:val="nil"/>
            </w:tcBorders>
            <w:shd w:val="clear" w:color="auto" w:fill="auto"/>
            <w:vAlign w:val="center"/>
            <w:hideMark/>
          </w:tcPr>
          <w:p w14:paraId="39FCC4FA"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0,88</w:t>
            </w:r>
          </w:p>
        </w:tc>
        <w:tc>
          <w:tcPr>
            <w:tcW w:w="554" w:type="dxa"/>
            <w:tcBorders>
              <w:top w:val="nil"/>
              <w:left w:val="nil"/>
              <w:bottom w:val="nil"/>
              <w:right w:val="nil"/>
            </w:tcBorders>
            <w:shd w:val="clear" w:color="auto" w:fill="auto"/>
            <w:vAlign w:val="center"/>
            <w:hideMark/>
          </w:tcPr>
          <w:p w14:paraId="311D8D47"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1,2</w:t>
            </w:r>
          </w:p>
        </w:tc>
      </w:tr>
      <w:tr w:rsidR="005B5C8D" w:rsidRPr="00763C24" w14:paraId="4D2DEAFA" w14:textId="77777777" w:rsidTr="00EE6DBB">
        <w:trPr>
          <w:trHeight w:val="285"/>
        </w:trPr>
        <w:tc>
          <w:tcPr>
            <w:tcW w:w="2133" w:type="dxa"/>
            <w:tcBorders>
              <w:top w:val="nil"/>
              <w:left w:val="nil"/>
              <w:bottom w:val="single" w:sz="4" w:space="0" w:color="auto"/>
              <w:right w:val="nil"/>
            </w:tcBorders>
            <w:shd w:val="clear" w:color="auto" w:fill="auto"/>
            <w:noWrap/>
            <w:vAlign w:val="center"/>
            <w:hideMark/>
          </w:tcPr>
          <w:p w14:paraId="0362D835" w14:textId="77777777" w:rsidR="005B5C8D" w:rsidRPr="005B2D64" w:rsidRDefault="005B5C8D" w:rsidP="00763C24">
            <w:pPr>
              <w:spacing w:after="0" w:line="240" w:lineRule="auto"/>
              <w:jc w:val="both"/>
              <w:rPr>
                <w:rFonts w:ascii="Arial Narrow" w:hAnsi="Arial Narrow"/>
                <w:color w:val="000000"/>
                <w:sz w:val="20"/>
                <w:szCs w:val="20"/>
              </w:rPr>
            </w:pPr>
            <w:r w:rsidRPr="005B2D64">
              <w:rPr>
                <w:rFonts w:ascii="Arial Narrow" w:hAnsi="Arial Narrow"/>
                <w:color w:val="000000"/>
                <w:sz w:val="20"/>
                <w:szCs w:val="20"/>
              </w:rPr>
              <w:t>(% HDP)</w:t>
            </w:r>
          </w:p>
        </w:tc>
        <w:tc>
          <w:tcPr>
            <w:tcW w:w="881" w:type="dxa"/>
            <w:tcBorders>
              <w:top w:val="nil"/>
              <w:left w:val="nil"/>
              <w:bottom w:val="nil"/>
              <w:right w:val="nil"/>
            </w:tcBorders>
            <w:shd w:val="clear" w:color="auto" w:fill="auto"/>
            <w:noWrap/>
            <w:vAlign w:val="center"/>
            <w:hideMark/>
          </w:tcPr>
          <w:p w14:paraId="020D2B7F" w14:textId="77777777" w:rsidR="005B5C8D" w:rsidRPr="005B2D64" w:rsidRDefault="005B5C8D" w:rsidP="00763C24">
            <w:pPr>
              <w:spacing w:after="0" w:line="240" w:lineRule="auto"/>
              <w:jc w:val="center"/>
              <w:rPr>
                <w:rFonts w:ascii="Arial Narrow" w:hAnsi="Arial Narrow"/>
                <w:b/>
                <w:bCs/>
                <w:color w:val="000000"/>
                <w:sz w:val="20"/>
                <w:szCs w:val="20"/>
              </w:rPr>
            </w:pPr>
            <w:r w:rsidRPr="005B2D64">
              <w:rPr>
                <w:rFonts w:ascii="Arial Narrow" w:hAnsi="Arial Narrow"/>
                <w:b/>
                <w:bCs/>
                <w:color w:val="000000"/>
                <w:sz w:val="20"/>
                <w:szCs w:val="20"/>
              </w:rPr>
              <w:t>EÚ</w:t>
            </w:r>
          </w:p>
        </w:tc>
        <w:tc>
          <w:tcPr>
            <w:tcW w:w="561" w:type="dxa"/>
            <w:tcBorders>
              <w:top w:val="nil"/>
              <w:left w:val="nil"/>
              <w:bottom w:val="nil"/>
              <w:right w:val="nil"/>
            </w:tcBorders>
            <w:shd w:val="clear" w:color="auto" w:fill="auto"/>
            <w:vAlign w:val="center"/>
            <w:hideMark/>
          </w:tcPr>
          <w:p w14:paraId="130AA72A"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1,93</w:t>
            </w:r>
          </w:p>
        </w:tc>
        <w:tc>
          <w:tcPr>
            <w:tcW w:w="561" w:type="dxa"/>
            <w:tcBorders>
              <w:top w:val="nil"/>
              <w:left w:val="nil"/>
              <w:bottom w:val="nil"/>
              <w:right w:val="nil"/>
            </w:tcBorders>
            <w:shd w:val="clear" w:color="auto" w:fill="auto"/>
            <w:vAlign w:val="center"/>
            <w:hideMark/>
          </w:tcPr>
          <w:p w14:paraId="1ABBB234"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1,92</w:t>
            </w:r>
          </w:p>
        </w:tc>
        <w:tc>
          <w:tcPr>
            <w:tcW w:w="561" w:type="dxa"/>
            <w:tcBorders>
              <w:top w:val="nil"/>
              <w:left w:val="nil"/>
              <w:bottom w:val="nil"/>
              <w:right w:val="nil"/>
            </w:tcBorders>
            <w:shd w:val="clear" w:color="auto" w:fill="auto"/>
            <w:vAlign w:val="center"/>
            <w:hideMark/>
          </w:tcPr>
          <w:p w14:paraId="2DB0345B"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1,97</w:t>
            </w:r>
          </w:p>
        </w:tc>
        <w:tc>
          <w:tcPr>
            <w:tcW w:w="561" w:type="dxa"/>
            <w:tcBorders>
              <w:top w:val="nil"/>
              <w:left w:val="nil"/>
              <w:bottom w:val="nil"/>
              <w:right w:val="nil"/>
            </w:tcBorders>
            <w:shd w:val="clear" w:color="auto" w:fill="auto"/>
            <w:vAlign w:val="center"/>
            <w:hideMark/>
          </w:tcPr>
          <w:p w14:paraId="5BD55B20"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2</w:t>
            </w:r>
          </w:p>
        </w:tc>
        <w:tc>
          <w:tcPr>
            <w:tcW w:w="561" w:type="dxa"/>
            <w:tcBorders>
              <w:top w:val="nil"/>
              <w:left w:val="nil"/>
              <w:bottom w:val="single" w:sz="4" w:space="0" w:color="auto"/>
              <w:right w:val="nil"/>
            </w:tcBorders>
            <w:shd w:val="clear" w:color="auto" w:fill="auto"/>
            <w:vAlign w:val="center"/>
            <w:hideMark/>
          </w:tcPr>
          <w:p w14:paraId="2315D330"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2,02</w:t>
            </w:r>
          </w:p>
        </w:tc>
        <w:tc>
          <w:tcPr>
            <w:tcW w:w="561" w:type="dxa"/>
            <w:tcBorders>
              <w:top w:val="nil"/>
              <w:left w:val="nil"/>
              <w:bottom w:val="single" w:sz="4" w:space="0" w:color="auto"/>
              <w:right w:val="nil"/>
            </w:tcBorders>
            <w:shd w:val="clear" w:color="auto" w:fill="auto"/>
            <w:vAlign w:val="center"/>
            <w:hideMark/>
          </w:tcPr>
          <w:p w14:paraId="175395E2"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2,03</w:t>
            </w:r>
          </w:p>
        </w:tc>
        <w:tc>
          <w:tcPr>
            <w:tcW w:w="561" w:type="dxa"/>
            <w:tcBorders>
              <w:top w:val="nil"/>
              <w:left w:val="nil"/>
              <w:bottom w:val="single" w:sz="4" w:space="0" w:color="auto"/>
              <w:right w:val="nil"/>
            </w:tcBorders>
            <w:shd w:val="clear" w:color="auto" w:fill="auto"/>
            <w:vAlign w:val="center"/>
            <w:hideMark/>
          </w:tcPr>
          <w:p w14:paraId="7CA9B07A"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2,04</w:t>
            </w:r>
          </w:p>
        </w:tc>
        <w:tc>
          <w:tcPr>
            <w:tcW w:w="562" w:type="dxa"/>
            <w:tcBorders>
              <w:top w:val="nil"/>
              <w:left w:val="nil"/>
              <w:bottom w:val="single" w:sz="4" w:space="0" w:color="auto"/>
              <w:right w:val="nil"/>
            </w:tcBorders>
            <w:shd w:val="clear" w:color="auto" w:fill="auto"/>
            <w:vAlign w:val="center"/>
            <w:hideMark/>
          </w:tcPr>
          <w:p w14:paraId="14E42D10"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2,04</w:t>
            </w:r>
          </w:p>
        </w:tc>
        <w:tc>
          <w:tcPr>
            <w:tcW w:w="561" w:type="dxa"/>
            <w:tcBorders>
              <w:top w:val="nil"/>
              <w:left w:val="nil"/>
              <w:bottom w:val="single" w:sz="4" w:space="0" w:color="auto"/>
              <w:right w:val="nil"/>
            </w:tcBorders>
            <w:shd w:val="clear" w:color="auto" w:fill="auto"/>
            <w:vAlign w:val="center"/>
            <w:hideMark/>
          </w:tcPr>
          <w:p w14:paraId="10A1724B"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2,07</w:t>
            </w:r>
          </w:p>
        </w:tc>
        <w:tc>
          <w:tcPr>
            <w:tcW w:w="554" w:type="dxa"/>
            <w:tcBorders>
              <w:top w:val="nil"/>
              <w:left w:val="nil"/>
              <w:bottom w:val="single" w:sz="4" w:space="0" w:color="auto"/>
              <w:right w:val="nil"/>
            </w:tcBorders>
            <w:shd w:val="clear" w:color="auto" w:fill="auto"/>
            <w:vAlign w:val="center"/>
            <w:hideMark/>
          </w:tcPr>
          <w:p w14:paraId="1CAA528F"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3</w:t>
            </w:r>
          </w:p>
        </w:tc>
      </w:tr>
      <w:tr w:rsidR="005B5C8D" w:rsidRPr="00763C24" w14:paraId="4BFE535E" w14:textId="77777777" w:rsidTr="00EE6DBB">
        <w:trPr>
          <w:trHeight w:val="274"/>
        </w:trPr>
        <w:tc>
          <w:tcPr>
            <w:tcW w:w="2133" w:type="dxa"/>
            <w:tcBorders>
              <w:top w:val="nil"/>
              <w:left w:val="nil"/>
              <w:bottom w:val="nil"/>
              <w:right w:val="nil"/>
            </w:tcBorders>
            <w:shd w:val="clear" w:color="auto" w:fill="auto"/>
            <w:noWrap/>
            <w:vAlign w:val="center"/>
            <w:hideMark/>
          </w:tcPr>
          <w:p w14:paraId="759C470B" w14:textId="77777777" w:rsidR="005B5C8D" w:rsidRPr="005B2D64" w:rsidRDefault="005B5C8D" w:rsidP="00763C24">
            <w:pPr>
              <w:spacing w:after="0" w:line="240" w:lineRule="auto"/>
              <w:rPr>
                <w:rFonts w:ascii="Arial Narrow" w:hAnsi="Arial Narrow"/>
                <w:b/>
                <w:bCs/>
                <w:color w:val="000000"/>
                <w:sz w:val="20"/>
                <w:szCs w:val="20"/>
              </w:rPr>
            </w:pPr>
            <w:proofErr w:type="spellStart"/>
            <w:r w:rsidRPr="005B2D64">
              <w:rPr>
                <w:rFonts w:ascii="Arial Narrow" w:hAnsi="Arial Narrow"/>
                <w:b/>
                <w:bCs/>
                <w:color w:val="000000"/>
                <w:sz w:val="20"/>
                <w:szCs w:val="20"/>
              </w:rPr>
              <w:t>High-tech</w:t>
            </w:r>
            <w:proofErr w:type="spellEnd"/>
            <w:r w:rsidRPr="005B2D64">
              <w:rPr>
                <w:rFonts w:ascii="Arial Narrow" w:hAnsi="Arial Narrow"/>
                <w:b/>
                <w:bCs/>
                <w:color w:val="000000"/>
                <w:sz w:val="20"/>
                <w:szCs w:val="20"/>
              </w:rPr>
              <w:t xml:space="preserve"> export</w:t>
            </w:r>
          </w:p>
        </w:tc>
        <w:tc>
          <w:tcPr>
            <w:tcW w:w="881" w:type="dxa"/>
            <w:tcBorders>
              <w:top w:val="single" w:sz="4" w:space="0" w:color="auto"/>
              <w:left w:val="nil"/>
              <w:bottom w:val="nil"/>
              <w:right w:val="nil"/>
            </w:tcBorders>
            <w:shd w:val="clear" w:color="auto" w:fill="auto"/>
            <w:noWrap/>
            <w:vAlign w:val="center"/>
            <w:hideMark/>
          </w:tcPr>
          <w:p w14:paraId="075E631E" w14:textId="77777777" w:rsidR="005B5C8D" w:rsidRPr="005B2D64" w:rsidRDefault="005B5C8D" w:rsidP="00763C24">
            <w:pPr>
              <w:spacing w:after="0" w:line="240" w:lineRule="auto"/>
              <w:jc w:val="center"/>
              <w:rPr>
                <w:rFonts w:ascii="Arial Narrow" w:hAnsi="Arial Narrow"/>
                <w:b/>
                <w:bCs/>
                <w:color w:val="000000"/>
                <w:sz w:val="20"/>
                <w:szCs w:val="20"/>
              </w:rPr>
            </w:pPr>
            <w:r w:rsidRPr="005B2D64">
              <w:rPr>
                <w:rFonts w:ascii="Arial Narrow" w:hAnsi="Arial Narrow"/>
                <w:b/>
                <w:bCs/>
                <w:color w:val="000000"/>
                <w:sz w:val="20"/>
                <w:szCs w:val="20"/>
              </w:rPr>
              <w:t>SK</w:t>
            </w:r>
          </w:p>
        </w:tc>
        <w:tc>
          <w:tcPr>
            <w:tcW w:w="561" w:type="dxa"/>
            <w:tcBorders>
              <w:top w:val="single" w:sz="4" w:space="0" w:color="auto"/>
              <w:left w:val="nil"/>
              <w:bottom w:val="nil"/>
              <w:right w:val="nil"/>
            </w:tcBorders>
            <w:shd w:val="clear" w:color="auto" w:fill="auto"/>
            <w:vAlign w:val="center"/>
            <w:hideMark/>
          </w:tcPr>
          <w:p w14:paraId="50E83158"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5,9</w:t>
            </w:r>
          </w:p>
        </w:tc>
        <w:tc>
          <w:tcPr>
            <w:tcW w:w="561" w:type="dxa"/>
            <w:tcBorders>
              <w:top w:val="single" w:sz="4" w:space="0" w:color="auto"/>
              <w:left w:val="nil"/>
              <w:bottom w:val="nil"/>
              <w:right w:val="nil"/>
            </w:tcBorders>
            <w:shd w:val="clear" w:color="auto" w:fill="auto"/>
            <w:vAlign w:val="center"/>
            <w:hideMark/>
          </w:tcPr>
          <w:p w14:paraId="76B9CD5D"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6,6</w:t>
            </w:r>
          </w:p>
        </w:tc>
        <w:tc>
          <w:tcPr>
            <w:tcW w:w="561" w:type="dxa"/>
            <w:tcBorders>
              <w:top w:val="single" w:sz="4" w:space="0" w:color="auto"/>
              <w:left w:val="nil"/>
              <w:bottom w:val="nil"/>
              <w:right w:val="nil"/>
            </w:tcBorders>
            <w:shd w:val="clear" w:color="auto" w:fill="auto"/>
            <w:vAlign w:val="center"/>
            <w:hideMark/>
          </w:tcPr>
          <w:p w14:paraId="5108652A"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6,6</w:t>
            </w:r>
          </w:p>
        </w:tc>
        <w:tc>
          <w:tcPr>
            <w:tcW w:w="561" w:type="dxa"/>
            <w:tcBorders>
              <w:top w:val="single" w:sz="4" w:space="0" w:color="auto"/>
              <w:left w:val="nil"/>
              <w:bottom w:val="nil"/>
              <w:right w:val="nil"/>
            </w:tcBorders>
            <w:shd w:val="clear" w:color="auto" w:fill="auto"/>
            <w:vAlign w:val="center"/>
            <w:hideMark/>
          </w:tcPr>
          <w:p w14:paraId="4A1DEA2D"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8,2</w:t>
            </w:r>
          </w:p>
        </w:tc>
        <w:tc>
          <w:tcPr>
            <w:tcW w:w="561" w:type="dxa"/>
            <w:tcBorders>
              <w:top w:val="nil"/>
              <w:left w:val="nil"/>
              <w:bottom w:val="nil"/>
              <w:right w:val="nil"/>
            </w:tcBorders>
            <w:shd w:val="clear" w:color="auto" w:fill="auto"/>
            <w:vAlign w:val="center"/>
            <w:hideMark/>
          </w:tcPr>
          <w:p w14:paraId="78ADAC17"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9,6</w:t>
            </w:r>
          </w:p>
        </w:tc>
        <w:tc>
          <w:tcPr>
            <w:tcW w:w="561" w:type="dxa"/>
            <w:tcBorders>
              <w:top w:val="nil"/>
              <w:left w:val="nil"/>
              <w:bottom w:val="nil"/>
              <w:right w:val="nil"/>
            </w:tcBorders>
            <w:shd w:val="clear" w:color="auto" w:fill="auto"/>
            <w:vAlign w:val="center"/>
            <w:hideMark/>
          </w:tcPr>
          <w:p w14:paraId="39AFF634"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9,9</w:t>
            </w:r>
          </w:p>
        </w:tc>
        <w:tc>
          <w:tcPr>
            <w:tcW w:w="561" w:type="dxa"/>
            <w:tcBorders>
              <w:top w:val="nil"/>
              <w:left w:val="nil"/>
              <w:bottom w:val="nil"/>
              <w:right w:val="nil"/>
            </w:tcBorders>
            <w:shd w:val="clear" w:color="auto" w:fill="auto"/>
            <w:vAlign w:val="center"/>
            <w:hideMark/>
          </w:tcPr>
          <w:p w14:paraId="2E84E882"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10</w:t>
            </w:r>
          </w:p>
        </w:tc>
        <w:tc>
          <w:tcPr>
            <w:tcW w:w="562" w:type="dxa"/>
            <w:tcBorders>
              <w:top w:val="nil"/>
              <w:left w:val="nil"/>
              <w:bottom w:val="nil"/>
              <w:right w:val="nil"/>
            </w:tcBorders>
            <w:shd w:val="clear" w:color="auto" w:fill="auto"/>
            <w:vAlign w:val="center"/>
            <w:hideMark/>
          </w:tcPr>
          <w:p w14:paraId="3BD87EDF"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9,7</w:t>
            </w:r>
          </w:p>
        </w:tc>
        <w:tc>
          <w:tcPr>
            <w:tcW w:w="561" w:type="dxa"/>
            <w:tcBorders>
              <w:top w:val="nil"/>
              <w:left w:val="nil"/>
              <w:bottom w:val="nil"/>
              <w:right w:val="nil"/>
            </w:tcBorders>
            <w:shd w:val="clear" w:color="auto" w:fill="auto"/>
            <w:vAlign w:val="center"/>
            <w:hideMark/>
          </w:tcPr>
          <w:p w14:paraId="7B87FAF6"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10,6</w:t>
            </w:r>
          </w:p>
        </w:tc>
        <w:tc>
          <w:tcPr>
            <w:tcW w:w="554" w:type="dxa"/>
            <w:tcBorders>
              <w:top w:val="nil"/>
              <w:left w:val="nil"/>
              <w:bottom w:val="nil"/>
              <w:right w:val="nil"/>
            </w:tcBorders>
            <w:shd w:val="clear" w:color="auto" w:fill="auto"/>
            <w:vAlign w:val="center"/>
            <w:hideMark/>
          </w:tcPr>
          <w:p w14:paraId="2AB3BA49"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14</w:t>
            </w:r>
          </w:p>
        </w:tc>
      </w:tr>
      <w:tr w:rsidR="005B5C8D" w:rsidRPr="00763C24" w14:paraId="09404AD8" w14:textId="77777777" w:rsidTr="00EE6DBB">
        <w:trPr>
          <w:trHeight w:val="274"/>
        </w:trPr>
        <w:tc>
          <w:tcPr>
            <w:tcW w:w="2133" w:type="dxa"/>
            <w:tcBorders>
              <w:top w:val="nil"/>
              <w:left w:val="nil"/>
              <w:bottom w:val="single" w:sz="4" w:space="0" w:color="auto"/>
              <w:right w:val="nil"/>
            </w:tcBorders>
            <w:shd w:val="clear" w:color="auto" w:fill="auto"/>
            <w:noWrap/>
            <w:vAlign w:val="center"/>
            <w:hideMark/>
          </w:tcPr>
          <w:p w14:paraId="76D1169C" w14:textId="77777777" w:rsidR="005B5C8D" w:rsidRPr="005B2D64" w:rsidRDefault="005B5C8D" w:rsidP="00763C24">
            <w:pPr>
              <w:spacing w:after="0" w:line="240" w:lineRule="auto"/>
              <w:jc w:val="both"/>
              <w:rPr>
                <w:rFonts w:ascii="Arial Narrow" w:hAnsi="Arial Narrow"/>
                <w:color w:val="000000"/>
                <w:sz w:val="20"/>
                <w:szCs w:val="20"/>
              </w:rPr>
            </w:pPr>
            <w:r w:rsidRPr="005B2D64">
              <w:rPr>
                <w:rFonts w:ascii="Arial Narrow" w:hAnsi="Arial Narrow"/>
                <w:color w:val="000000"/>
                <w:sz w:val="20"/>
                <w:szCs w:val="20"/>
              </w:rPr>
              <w:t>(% na celkovom exporte)</w:t>
            </w:r>
          </w:p>
        </w:tc>
        <w:tc>
          <w:tcPr>
            <w:tcW w:w="881" w:type="dxa"/>
            <w:tcBorders>
              <w:top w:val="nil"/>
              <w:left w:val="nil"/>
              <w:bottom w:val="single" w:sz="4" w:space="0" w:color="auto"/>
              <w:right w:val="nil"/>
            </w:tcBorders>
            <w:shd w:val="clear" w:color="auto" w:fill="auto"/>
            <w:noWrap/>
            <w:vAlign w:val="center"/>
            <w:hideMark/>
          </w:tcPr>
          <w:p w14:paraId="4E5D5A3A" w14:textId="77777777" w:rsidR="005B5C8D" w:rsidRPr="005B2D64" w:rsidRDefault="005B5C8D" w:rsidP="00763C24">
            <w:pPr>
              <w:spacing w:after="0" w:line="240" w:lineRule="auto"/>
              <w:jc w:val="center"/>
              <w:rPr>
                <w:rFonts w:ascii="Arial Narrow" w:hAnsi="Arial Narrow"/>
                <w:b/>
                <w:bCs/>
                <w:color w:val="000000"/>
                <w:sz w:val="20"/>
                <w:szCs w:val="20"/>
              </w:rPr>
            </w:pPr>
            <w:r w:rsidRPr="005B2D64">
              <w:rPr>
                <w:rFonts w:ascii="Arial Narrow" w:hAnsi="Arial Narrow"/>
                <w:b/>
                <w:bCs/>
                <w:color w:val="000000"/>
                <w:sz w:val="20"/>
                <w:szCs w:val="20"/>
              </w:rPr>
              <w:t>EÚ</w:t>
            </w:r>
          </w:p>
        </w:tc>
        <w:tc>
          <w:tcPr>
            <w:tcW w:w="561" w:type="dxa"/>
            <w:tcBorders>
              <w:top w:val="nil"/>
              <w:left w:val="nil"/>
              <w:bottom w:val="single" w:sz="4" w:space="0" w:color="auto"/>
              <w:right w:val="nil"/>
            </w:tcBorders>
            <w:shd w:val="clear" w:color="auto" w:fill="auto"/>
            <w:vAlign w:val="center"/>
            <w:hideMark/>
          </w:tcPr>
          <w:p w14:paraId="4044A566"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17,1</w:t>
            </w:r>
          </w:p>
        </w:tc>
        <w:tc>
          <w:tcPr>
            <w:tcW w:w="561" w:type="dxa"/>
            <w:tcBorders>
              <w:top w:val="nil"/>
              <w:left w:val="nil"/>
              <w:bottom w:val="single" w:sz="4" w:space="0" w:color="auto"/>
              <w:right w:val="nil"/>
            </w:tcBorders>
            <w:shd w:val="clear" w:color="auto" w:fill="auto"/>
            <w:vAlign w:val="center"/>
            <w:hideMark/>
          </w:tcPr>
          <w:p w14:paraId="248A134C"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16,1</w:t>
            </w:r>
          </w:p>
        </w:tc>
        <w:tc>
          <w:tcPr>
            <w:tcW w:w="561" w:type="dxa"/>
            <w:tcBorders>
              <w:top w:val="nil"/>
              <w:left w:val="nil"/>
              <w:bottom w:val="single" w:sz="4" w:space="0" w:color="auto"/>
              <w:right w:val="nil"/>
            </w:tcBorders>
            <w:shd w:val="clear" w:color="auto" w:fill="auto"/>
            <w:vAlign w:val="center"/>
            <w:hideMark/>
          </w:tcPr>
          <w:p w14:paraId="60130AE5"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15,4</w:t>
            </w:r>
          </w:p>
        </w:tc>
        <w:tc>
          <w:tcPr>
            <w:tcW w:w="561" w:type="dxa"/>
            <w:tcBorders>
              <w:top w:val="nil"/>
              <w:left w:val="nil"/>
              <w:bottom w:val="single" w:sz="4" w:space="0" w:color="auto"/>
              <w:right w:val="nil"/>
            </w:tcBorders>
            <w:shd w:val="clear" w:color="auto" w:fill="auto"/>
            <w:vAlign w:val="center"/>
            <w:hideMark/>
          </w:tcPr>
          <w:p w14:paraId="5595ED8C"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15,7</w:t>
            </w:r>
          </w:p>
        </w:tc>
        <w:tc>
          <w:tcPr>
            <w:tcW w:w="561" w:type="dxa"/>
            <w:tcBorders>
              <w:top w:val="nil"/>
              <w:left w:val="nil"/>
              <w:bottom w:val="single" w:sz="4" w:space="0" w:color="auto"/>
              <w:right w:val="nil"/>
            </w:tcBorders>
            <w:shd w:val="clear" w:color="auto" w:fill="auto"/>
            <w:vAlign w:val="center"/>
            <w:hideMark/>
          </w:tcPr>
          <w:p w14:paraId="73C70573"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15,3</w:t>
            </w:r>
          </w:p>
        </w:tc>
        <w:tc>
          <w:tcPr>
            <w:tcW w:w="561" w:type="dxa"/>
            <w:tcBorders>
              <w:top w:val="nil"/>
              <w:left w:val="nil"/>
              <w:bottom w:val="single" w:sz="4" w:space="0" w:color="auto"/>
              <w:right w:val="nil"/>
            </w:tcBorders>
            <w:shd w:val="clear" w:color="auto" w:fill="auto"/>
            <w:vAlign w:val="center"/>
            <w:hideMark/>
          </w:tcPr>
          <w:p w14:paraId="3528F4B4"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15,6</w:t>
            </w:r>
          </w:p>
        </w:tc>
        <w:tc>
          <w:tcPr>
            <w:tcW w:w="561" w:type="dxa"/>
            <w:tcBorders>
              <w:top w:val="nil"/>
              <w:left w:val="nil"/>
              <w:bottom w:val="single" w:sz="4" w:space="0" w:color="auto"/>
              <w:right w:val="nil"/>
            </w:tcBorders>
            <w:shd w:val="clear" w:color="auto" w:fill="auto"/>
            <w:vAlign w:val="center"/>
            <w:hideMark/>
          </w:tcPr>
          <w:p w14:paraId="7F4074D4"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17</w:t>
            </w:r>
          </w:p>
        </w:tc>
        <w:tc>
          <w:tcPr>
            <w:tcW w:w="562" w:type="dxa"/>
            <w:tcBorders>
              <w:top w:val="nil"/>
              <w:left w:val="nil"/>
              <w:bottom w:val="single" w:sz="4" w:space="0" w:color="auto"/>
              <w:right w:val="nil"/>
            </w:tcBorders>
            <w:shd w:val="clear" w:color="auto" w:fill="auto"/>
            <w:vAlign w:val="center"/>
            <w:hideMark/>
          </w:tcPr>
          <w:p w14:paraId="66CEE83E"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17,9</w:t>
            </w:r>
          </w:p>
        </w:tc>
        <w:tc>
          <w:tcPr>
            <w:tcW w:w="561" w:type="dxa"/>
            <w:tcBorders>
              <w:top w:val="nil"/>
              <w:left w:val="nil"/>
              <w:bottom w:val="single" w:sz="4" w:space="0" w:color="auto"/>
              <w:right w:val="nil"/>
            </w:tcBorders>
            <w:shd w:val="clear" w:color="auto" w:fill="auto"/>
            <w:vAlign w:val="center"/>
            <w:hideMark/>
          </w:tcPr>
          <w:p w14:paraId="2AB07CD9" w14:textId="77777777" w:rsidR="005B5C8D" w:rsidRPr="005B2D64" w:rsidRDefault="005B5C8D" w:rsidP="00763C24">
            <w:pPr>
              <w:spacing w:after="0" w:line="240" w:lineRule="auto"/>
              <w:jc w:val="center"/>
              <w:rPr>
                <w:rFonts w:ascii="Arial Narrow" w:hAnsi="Arial Narrow"/>
                <w:color w:val="000000"/>
                <w:sz w:val="20"/>
                <w:szCs w:val="20"/>
              </w:rPr>
            </w:pPr>
            <w:r w:rsidRPr="005B2D64">
              <w:rPr>
                <w:rFonts w:ascii="Arial Narrow" w:hAnsi="Arial Narrow"/>
                <w:color w:val="000000"/>
                <w:sz w:val="20"/>
                <w:szCs w:val="20"/>
              </w:rPr>
              <w:t>17,8</w:t>
            </w:r>
          </w:p>
        </w:tc>
        <w:tc>
          <w:tcPr>
            <w:tcW w:w="554" w:type="dxa"/>
            <w:tcBorders>
              <w:top w:val="nil"/>
              <w:left w:val="nil"/>
              <w:bottom w:val="single" w:sz="4" w:space="0" w:color="auto"/>
              <w:right w:val="nil"/>
            </w:tcBorders>
            <w:shd w:val="clear" w:color="auto" w:fill="auto"/>
            <w:vAlign w:val="center"/>
            <w:hideMark/>
          </w:tcPr>
          <w:p w14:paraId="4FB26101" w14:textId="77777777" w:rsidR="005B5C8D" w:rsidRPr="005B2D64" w:rsidRDefault="005B5C8D" w:rsidP="00763C24">
            <w:pPr>
              <w:spacing w:after="0" w:line="240" w:lineRule="auto"/>
              <w:jc w:val="center"/>
              <w:rPr>
                <w:rFonts w:ascii="Arial Narrow" w:hAnsi="Arial Narrow"/>
                <w:sz w:val="20"/>
                <w:szCs w:val="20"/>
              </w:rPr>
            </w:pPr>
            <w:r w:rsidRPr="005B2D64">
              <w:rPr>
                <w:rFonts w:ascii="Arial Narrow" w:hAnsi="Arial Narrow"/>
                <w:sz w:val="20"/>
                <w:szCs w:val="20"/>
              </w:rPr>
              <w:t>-</w:t>
            </w:r>
          </w:p>
        </w:tc>
      </w:tr>
    </w:tbl>
    <w:p w14:paraId="0283EE07" w14:textId="77777777" w:rsidR="00763C24" w:rsidRPr="00763C24" w:rsidRDefault="00763C24" w:rsidP="00FB5149">
      <w:pPr>
        <w:spacing w:after="0" w:line="240" w:lineRule="auto"/>
        <w:jc w:val="both"/>
        <w:rPr>
          <w:rFonts w:ascii="Arial Narrow" w:hAnsi="Arial Narrow"/>
        </w:rPr>
      </w:pPr>
    </w:p>
    <w:p w14:paraId="1A4F46CE" w14:textId="7C28AF13" w:rsidR="00763C24" w:rsidRDefault="009954FD" w:rsidP="005B2D64">
      <w:pPr>
        <w:spacing w:after="0" w:line="240" w:lineRule="auto"/>
        <w:jc w:val="both"/>
        <w:rPr>
          <w:rFonts w:ascii="Arial Narrow" w:hAnsi="Arial Narrow"/>
        </w:rPr>
      </w:pPr>
      <w:r w:rsidRPr="00EE3979">
        <w:rPr>
          <w:rFonts w:ascii="Arial Narrow" w:hAnsi="Arial Narrow"/>
          <w:b/>
        </w:rPr>
        <w:t>Výsledky vzdelávacieho systému sú neuspokojivé.</w:t>
      </w:r>
      <w:r>
        <w:rPr>
          <w:rFonts w:ascii="Arial Narrow" w:hAnsi="Arial Narrow"/>
        </w:rPr>
        <w:t xml:space="preserve"> Podpriemerné </w:t>
      </w:r>
      <w:r w:rsidR="00763C24" w:rsidRPr="00763C24">
        <w:rPr>
          <w:rFonts w:ascii="Arial Narrow" w:hAnsi="Arial Narrow"/>
        </w:rPr>
        <w:t>výsledky v medzinárodnom testovaní zručností 15-ročných žiakov (PISA) v kombinácii s rastúcim podielom žiakov nedosahujúcich ani základnú úroveň</w:t>
      </w:r>
      <w:r w:rsidR="00E6034B">
        <w:rPr>
          <w:rFonts w:ascii="Arial Narrow" w:hAnsi="Arial Narrow"/>
        </w:rPr>
        <w:t xml:space="preserve"> v testovaní, podpriemernou participáciou v </w:t>
      </w:r>
      <w:proofErr w:type="spellStart"/>
      <w:r w:rsidR="00E6034B">
        <w:rPr>
          <w:rFonts w:ascii="Arial Narrow" w:hAnsi="Arial Narrow"/>
        </w:rPr>
        <w:t>predprimárnom</w:t>
      </w:r>
      <w:proofErr w:type="spellEnd"/>
      <w:r w:rsidR="00E6034B">
        <w:rPr>
          <w:rFonts w:ascii="Arial Narrow" w:hAnsi="Arial Narrow"/>
        </w:rPr>
        <w:t xml:space="preserve"> vzdelávaní</w:t>
      </w:r>
      <w:r w:rsidR="00E6034B">
        <w:rPr>
          <w:rStyle w:val="Odkaznapoznmkupodiarou"/>
          <w:rFonts w:ascii="Arial Narrow" w:hAnsi="Arial Narrow"/>
        </w:rPr>
        <w:footnoteReference w:id="51"/>
      </w:r>
      <w:r w:rsidR="00763C24" w:rsidRPr="00763C24">
        <w:rPr>
          <w:rFonts w:ascii="Arial Narrow" w:hAnsi="Arial Narrow"/>
        </w:rPr>
        <w:t xml:space="preserve"> a nadpriemerným vplyvom socioekonomického zázemia na výsledky žiakov dominujú rebríček výziev v školstve</w:t>
      </w:r>
      <w:r w:rsidR="00763C24" w:rsidRPr="00763C24">
        <w:rPr>
          <w:rFonts w:ascii="Arial Narrow" w:hAnsi="Arial Narrow"/>
          <w:vertAlign w:val="superscript"/>
        </w:rPr>
        <w:footnoteReference w:id="52"/>
      </w:r>
      <w:r w:rsidR="00763C24" w:rsidRPr="00763C24">
        <w:rPr>
          <w:rFonts w:ascii="Arial Narrow" w:hAnsi="Arial Narrow"/>
        </w:rPr>
        <w:t>. Vo všeobecnosti široko dostupné vzdelávanie</w:t>
      </w:r>
      <w:r w:rsidR="00763C24" w:rsidRPr="00763C24">
        <w:rPr>
          <w:rFonts w:ascii="Arial Narrow" w:hAnsi="Arial Narrow"/>
          <w:vertAlign w:val="superscript"/>
        </w:rPr>
        <w:footnoteReference w:id="53"/>
      </w:r>
      <w:r w:rsidR="00763C24" w:rsidRPr="00763C24">
        <w:rPr>
          <w:rFonts w:ascii="Arial Narrow" w:hAnsi="Arial Narrow"/>
        </w:rPr>
        <w:t xml:space="preserve"> vykazuje zvyšujúci sa podiel žiakov, ktorí vypadávajú zo vzdelávacieho systému po ukončení najviac základnej školy, čo zhoršuje ich budúce vyhliadky na trhu práce a obmedzuje </w:t>
      </w:r>
      <w:r w:rsidR="00763C24" w:rsidRPr="00763C24">
        <w:rPr>
          <w:rFonts w:ascii="Arial Narrow" w:hAnsi="Arial Narrow"/>
        </w:rPr>
        <w:lastRenderedPageBreak/>
        <w:t xml:space="preserve">ich sociálnu mobilitu. </w:t>
      </w:r>
      <w:r w:rsidR="00763C24" w:rsidRPr="00DB4C00">
        <w:rPr>
          <w:rFonts w:ascii="Arial Narrow" w:hAnsi="Arial Narrow"/>
        </w:rPr>
        <w:t>Podiel slovenských študentov študujúci</w:t>
      </w:r>
      <w:r>
        <w:rPr>
          <w:rFonts w:ascii="Arial Narrow" w:hAnsi="Arial Narrow"/>
        </w:rPr>
        <w:t>ch</w:t>
      </w:r>
      <w:r w:rsidR="00763C24" w:rsidRPr="00DB4C00">
        <w:rPr>
          <w:rFonts w:ascii="Arial Narrow" w:hAnsi="Arial Narrow"/>
        </w:rPr>
        <w:t xml:space="preserve"> v zahraničí rastie</w:t>
      </w:r>
      <w:r w:rsidR="00AF203B" w:rsidRPr="00DB4C00">
        <w:rPr>
          <w:rStyle w:val="Odkaznapoznmkupodiarou"/>
          <w:rFonts w:ascii="Arial Narrow" w:hAnsi="Arial Narrow"/>
        </w:rPr>
        <w:footnoteReference w:id="54"/>
      </w:r>
      <w:r w:rsidR="00763C24" w:rsidRPr="00DB4C00">
        <w:rPr>
          <w:rFonts w:ascii="Arial Narrow" w:hAnsi="Arial Narrow"/>
        </w:rPr>
        <w:t>, čo môže byť prejavom nízkej atraktivity slovenských vysokých škôl pre najlepších žiakov</w:t>
      </w:r>
      <w:r w:rsidR="00DB4C00" w:rsidRPr="00DB4C00">
        <w:rPr>
          <w:rStyle w:val="Odkaznapoznmkupodiarou"/>
          <w:rFonts w:ascii="Arial Narrow" w:hAnsi="Arial Narrow"/>
        </w:rPr>
        <w:footnoteReference w:id="55"/>
      </w:r>
      <w:r w:rsidR="00763C24" w:rsidRPr="00FB5149">
        <w:rPr>
          <w:rFonts w:ascii="Arial Narrow" w:hAnsi="Arial Narrow"/>
        </w:rPr>
        <w:t>.</w:t>
      </w:r>
      <w:r w:rsidR="00763C24" w:rsidRPr="00763C24">
        <w:rPr>
          <w:rFonts w:ascii="Arial Narrow" w:hAnsi="Arial Narrow"/>
        </w:rPr>
        <w:t xml:space="preserve"> </w:t>
      </w:r>
      <w:r w:rsidR="00763C24" w:rsidRPr="00FB5149">
        <w:rPr>
          <w:rFonts w:ascii="Arial Narrow" w:hAnsi="Arial Narrow"/>
        </w:rPr>
        <w:t>Celoživotné vzdelávanie nie je na Slovensku dostatočne rozvinuté</w:t>
      </w:r>
      <w:r w:rsidR="00AF203B" w:rsidRPr="00453917">
        <w:rPr>
          <w:rStyle w:val="Odkaznapoznmkupodiarou"/>
          <w:rFonts w:ascii="Arial Narrow" w:hAnsi="Arial Narrow"/>
        </w:rPr>
        <w:footnoteReference w:id="56"/>
      </w:r>
      <w:r w:rsidR="00763C24" w:rsidRPr="00453917">
        <w:rPr>
          <w:rFonts w:ascii="Arial Narrow" w:hAnsi="Arial Narrow"/>
        </w:rPr>
        <w:t>, pričom dopĺňanie zručností aj po ukončení formálneho vzdelávania</w:t>
      </w:r>
      <w:r w:rsidR="00453917" w:rsidRPr="00453917">
        <w:rPr>
          <w:rFonts w:ascii="Arial Narrow" w:hAnsi="Arial Narrow"/>
        </w:rPr>
        <w:t xml:space="preserve"> je nevyhnutné pre schopnosť flexibilne reagovať na meniace sa podmienky </w:t>
      </w:r>
      <w:r w:rsidR="00AF203B" w:rsidRPr="00453917">
        <w:rPr>
          <w:rFonts w:ascii="Arial Narrow" w:hAnsi="Arial Narrow"/>
        </w:rPr>
        <w:t>na trhu práce</w:t>
      </w:r>
      <w:r w:rsidR="00763C24" w:rsidRPr="00453917">
        <w:rPr>
          <w:rFonts w:ascii="Arial Narrow" w:hAnsi="Arial Narrow"/>
        </w:rPr>
        <w:t>.</w:t>
      </w:r>
    </w:p>
    <w:p w14:paraId="6E5C1285" w14:textId="77777777" w:rsidR="005B2D64" w:rsidRPr="00763C24" w:rsidRDefault="005B2D64" w:rsidP="005B2D64">
      <w:pPr>
        <w:spacing w:after="0" w:line="240" w:lineRule="auto"/>
        <w:jc w:val="both"/>
        <w:rPr>
          <w:rFonts w:ascii="Arial Narrow" w:hAnsi="Arial Narrow"/>
        </w:rPr>
      </w:pPr>
    </w:p>
    <w:p w14:paraId="5D3F664F" w14:textId="08210E4E" w:rsidR="00763C24" w:rsidRDefault="00763C24" w:rsidP="005B2D64">
      <w:pPr>
        <w:spacing w:after="0" w:line="240" w:lineRule="auto"/>
        <w:jc w:val="both"/>
        <w:rPr>
          <w:rFonts w:ascii="Arial Narrow" w:hAnsi="Arial Narrow"/>
        </w:rPr>
      </w:pPr>
      <w:r w:rsidRPr="005B2D64">
        <w:rPr>
          <w:rFonts w:ascii="Arial Narrow" w:hAnsi="Arial Narrow"/>
          <w:b/>
        </w:rPr>
        <w:t>V kvalite výskumu a inovačnej aktivite zaostávame za európskym priemerom.</w:t>
      </w:r>
      <w:r w:rsidR="00910016">
        <w:rPr>
          <w:rFonts w:ascii="Arial Narrow" w:hAnsi="Arial Narrow"/>
        </w:rPr>
        <w:t xml:space="preserve"> Napriek zdvojnásob</w:t>
      </w:r>
      <w:r w:rsidRPr="00763C24">
        <w:rPr>
          <w:rFonts w:ascii="Arial Narrow" w:hAnsi="Arial Narrow"/>
        </w:rPr>
        <w:t xml:space="preserve">eniu podielu vysokoškolsky vzdelanej populácie medzi mladými za poslednú dekádu, inovačná výkonnosť meraná podielom </w:t>
      </w:r>
      <w:proofErr w:type="spellStart"/>
      <w:r w:rsidRPr="00763C24">
        <w:rPr>
          <w:rFonts w:ascii="Arial Narrow" w:hAnsi="Arial Narrow"/>
        </w:rPr>
        <w:t>high-tech</w:t>
      </w:r>
      <w:proofErr w:type="spellEnd"/>
      <w:r w:rsidRPr="00763C24">
        <w:rPr>
          <w:rFonts w:ascii="Arial Narrow" w:hAnsi="Arial Narrow"/>
        </w:rPr>
        <w:t xml:space="preserve"> produktov</w:t>
      </w:r>
      <w:r w:rsidRPr="00763C24">
        <w:rPr>
          <w:rFonts w:ascii="Arial Narrow" w:hAnsi="Arial Narrow"/>
          <w:vertAlign w:val="superscript"/>
        </w:rPr>
        <w:footnoteReference w:id="57"/>
      </w:r>
      <w:r w:rsidRPr="00763C24">
        <w:rPr>
          <w:rFonts w:ascii="Arial Narrow" w:hAnsi="Arial Narrow"/>
        </w:rPr>
        <w:t xml:space="preserve"> na exporte za posledné roky mierne stagnuje.  Kvalita výstupu slovenských vedcov meraná citáciami na výskumníka je na úrovni približne polovice európskeho priemeru. </w:t>
      </w:r>
    </w:p>
    <w:p w14:paraId="6444D76A" w14:textId="77777777" w:rsidR="005B2D64" w:rsidRPr="00763C24" w:rsidRDefault="005B2D64" w:rsidP="005B2D64">
      <w:pPr>
        <w:spacing w:after="0" w:line="240" w:lineRule="auto"/>
        <w:jc w:val="both"/>
        <w:rPr>
          <w:rFonts w:ascii="Arial Narrow" w:hAnsi="Arial Narrow"/>
        </w:rPr>
      </w:pPr>
    </w:p>
    <w:p w14:paraId="46CD2E87" w14:textId="19980DF9" w:rsidR="00E6034B" w:rsidDel="00703F16" w:rsidRDefault="00763C24" w:rsidP="00E6034B">
      <w:pPr>
        <w:spacing w:after="0" w:line="240" w:lineRule="auto"/>
        <w:jc w:val="both"/>
        <w:rPr>
          <w:rFonts w:ascii="Arial Narrow" w:hAnsi="Arial Narrow"/>
        </w:rPr>
      </w:pPr>
      <w:r w:rsidRPr="005B2D64">
        <w:rPr>
          <w:rFonts w:ascii="Arial Narrow" w:hAnsi="Arial Narrow"/>
          <w:b/>
        </w:rPr>
        <w:t>Výdavky na vzdelávanie zaostávajú za priemerom krajín OECD</w:t>
      </w:r>
      <w:r w:rsidRPr="00763C24">
        <w:rPr>
          <w:rFonts w:ascii="Arial Narrow" w:hAnsi="Arial Narrow"/>
        </w:rPr>
        <w:t>. Najväčší rozdiel vo výdavkoch na vzdelávanie je vidieť pri základnom a strednom školstve. Napriek opakovanému zvyšovaniu zostávajú mzdy učiteľov v medzinárodnom porovnaní podpriemerné.</w:t>
      </w:r>
      <w:r w:rsidR="00F7421E">
        <w:rPr>
          <w:rFonts w:ascii="Arial Narrow" w:hAnsi="Arial Narrow"/>
        </w:rPr>
        <w:t xml:space="preserve"> </w:t>
      </w:r>
      <w:r w:rsidR="00F7421E" w:rsidRPr="00F7421E">
        <w:rPr>
          <w:rFonts w:ascii="Arial Narrow" w:hAnsi="Arial Narrow"/>
        </w:rPr>
        <w:t>Po realizácii plánovaného zvýšenia miezd učiteľov v rokoch 2019 a 2020 by mala byť priemerná mzda učiteľov približne na úrovni 68</w:t>
      </w:r>
      <w:r w:rsidR="0074649E">
        <w:rPr>
          <w:rFonts w:ascii="Arial Narrow" w:hAnsi="Arial Narrow"/>
        </w:rPr>
        <w:t xml:space="preserve"> </w:t>
      </w:r>
      <w:r w:rsidR="00F7421E" w:rsidRPr="00F7421E">
        <w:rPr>
          <w:rFonts w:ascii="Arial Narrow" w:hAnsi="Arial Narrow"/>
        </w:rPr>
        <w:t xml:space="preserve">% mzdy VŠ vzdelaných (berúc do úvahy očakávaný </w:t>
      </w:r>
      <w:r w:rsidR="00C03921">
        <w:rPr>
          <w:rFonts w:ascii="Arial Narrow" w:hAnsi="Arial Narrow"/>
        </w:rPr>
        <w:t xml:space="preserve">celkový </w:t>
      </w:r>
      <w:r w:rsidR="00910016">
        <w:rPr>
          <w:rFonts w:ascii="Arial Narrow" w:hAnsi="Arial Narrow"/>
        </w:rPr>
        <w:t>rast miezd)</w:t>
      </w:r>
      <w:r w:rsidR="00251311">
        <w:rPr>
          <w:rStyle w:val="Odkaznapoznmkupodiarou"/>
          <w:rFonts w:ascii="Arial Narrow" w:hAnsi="Arial Narrow"/>
        </w:rPr>
        <w:footnoteReference w:id="58"/>
      </w:r>
      <w:r w:rsidR="00910016">
        <w:rPr>
          <w:rFonts w:ascii="Arial Narrow" w:hAnsi="Arial Narrow"/>
        </w:rPr>
        <w:t>.</w:t>
      </w:r>
      <w:r w:rsidR="00C03921" w:rsidRPr="00C03921">
        <w:rPr>
          <w:rFonts w:ascii="Arial Narrow" w:hAnsi="Arial Narrow"/>
        </w:rPr>
        <w:t xml:space="preserve"> </w:t>
      </w:r>
    </w:p>
    <w:p w14:paraId="2EC15CED" w14:textId="23A454BE" w:rsidR="005B2D64" w:rsidRPr="00763C24" w:rsidRDefault="005B2D64" w:rsidP="005B2D64">
      <w:pPr>
        <w:spacing w:after="0" w:line="240" w:lineRule="auto"/>
        <w:jc w:val="both"/>
        <w:rPr>
          <w:rFonts w:ascii="Arial Narrow" w:hAnsi="Arial Narrow"/>
          <w:highlight w:val="yellow"/>
        </w:rPr>
      </w:pPr>
    </w:p>
    <w:tbl>
      <w:tblPr>
        <w:tblpPr w:leftFromText="141" w:rightFromText="141" w:vertAnchor="text" w:horzAnchor="margin" w:tblpXSpec="center" w:tblpY="109"/>
        <w:tblOverlap w:val="never"/>
        <w:tblW w:w="504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3976"/>
        <w:gridCol w:w="245"/>
        <w:gridCol w:w="4413"/>
      </w:tblGrid>
      <w:tr w:rsidR="00763C24" w:rsidRPr="005B2D64" w14:paraId="65F4F700" w14:textId="77777777" w:rsidTr="00763C24">
        <w:trPr>
          <w:trHeight w:val="944"/>
        </w:trPr>
        <w:tc>
          <w:tcPr>
            <w:tcW w:w="4216" w:type="dxa"/>
            <w:tcBorders>
              <w:top w:val="nil"/>
              <w:left w:val="nil"/>
              <w:bottom w:val="single" w:sz="4" w:space="0" w:color="auto"/>
              <w:right w:val="nil"/>
            </w:tcBorders>
            <w:vAlign w:val="center"/>
          </w:tcPr>
          <w:p w14:paraId="4B16C79D" w14:textId="6FDA822B" w:rsidR="00763C24" w:rsidRPr="005B2D64" w:rsidRDefault="00763C24" w:rsidP="00763C24">
            <w:pPr>
              <w:spacing w:after="0" w:line="240" w:lineRule="auto"/>
              <w:contextualSpacing/>
              <w:rPr>
                <w:rFonts w:ascii="Arial Narrow" w:hAnsi="Arial Narrow" w:cs="Arial"/>
                <w:bCs/>
                <w:color w:val="2C9ADC"/>
                <w:sz w:val="20"/>
                <w:highlight w:val="yellow"/>
              </w:rPr>
            </w:pPr>
            <w:bookmarkStart w:id="22" w:name="_Toc480760500"/>
            <w:bookmarkStart w:id="23" w:name="_Toc4625956"/>
            <w:r w:rsidRPr="005B2D64">
              <w:rPr>
                <w:rFonts w:ascii="Arial Narrow" w:hAnsi="Arial Narrow"/>
                <w:b/>
                <w:bCs/>
                <w:color w:val="2C9ADC"/>
                <w:sz w:val="20"/>
              </w:rPr>
              <w:t xml:space="preserve">Graf </w:t>
            </w:r>
            <w:r w:rsidRPr="00F51C1B">
              <w:rPr>
                <w:rFonts w:ascii="Arial Narrow" w:hAnsi="Arial Narrow"/>
                <w:b/>
                <w:bCs/>
                <w:noProof/>
                <w:color w:val="2C9ADC"/>
                <w:sz w:val="20"/>
              </w:rPr>
              <w:fldChar w:fldCharType="begin"/>
            </w:r>
            <w:r w:rsidRPr="00F51C1B">
              <w:rPr>
                <w:rFonts w:ascii="Arial Narrow" w:hAnsi="Arial Narrow"/>
                <w:b/>
                <w:bCs/>
                <w:noProof/>
                <w:color w:val="2C9ADC"/>
                <w:sz w:val="20"/>
              </w:rPr>
              <w:instrText xml:space="preserve"> SEQ Graf \* ARABIC </w:instrText>
            </w:r>
            <w:r w:rsidRPr="00F51C1B">
              <w:rPr>
                <w:rFonts w:ascii="Arial Narrow" w:hAnsi="Arial Narrow"/>
                <w:b/>
                <w:bCs/>
                <w:noProof/>
                <w:color w:val="2C9ADC"/>
                <w:sz w:val="20"/>
              </w:rPr>
              <w:fldChar w:fldCharType="separate"/>
            </w:r>
            <w:r w:rsidR="0020148F">
              <w:rPr>
                <w:rFonts w:ascii="Arial Narrow" w:hAnsi="Arial Narrow"/>
                <w:b/>
                <w:bCs/>
                <w:noProof/>
                <w:color w:val="2C9ADC"/>
                <w:sz w:val="20"/>
              </w:rPr>
              <w:t>7</w:t>
            </w:r>
            <w:r w:rsidRPr="00F51C1B">
              <w:rPr>
                <w:rFonts w:ascii="Arial Narrow" w:hAnsi="Arial Narrow"/>
                <w:b/>
                <w:bCs/>
                <w:noProof/>
                <w:color w:val="2C9ADC"/>
                <w:sz w:val="20"/>
              </w:rPr>
              <w:fldChar w:fldCharType="end"/>
            </w:r>
            <w:r w:rsidRPr="00F51C1B">
              <w:rPr>
                <w:rFonts w:ascii="Arial Narrow" w:hAnsi="Arial Narrow"/>
                <w:b/>
                <w:bCs/>
                <w:color w:val="2C9ADC"/>
                <w:sz w:val="20"/>
              </w:rPr>
              <w:t>:</w:t>
            </w:r>
            <w:r w:rsidRPr="005B2D64">
              <w:rPr>
                <w:rFonts w:ascii="Arial Narrow" w:hAnsi="Arial Narrow" w:cs="Arial"/>
                <w:b/>
                <w:bCs/>
                <w:color w:val="2C9ADC"/>
                <w:sz w:val="20"/>
              </w:rPr>
              <w:t xml:space="preserve"> </w:t>
            </w:r>
            <w:r w:rsidR="000F705E" w:rsidRPr="005B2D64">
              <w:rPr>
                <w:rFonts w:ascii="Arial Narrow" w:hAnsi="Arial Narrow" w:cs="Arial"/>
                <w:b/>
                <w:bCs/>
                <w:color w:val="2C9ADC"/>
                <w:sz w:val="20"/>
              </w:rPr>
              <w:t xml:space="preserve"> Verejné výdavky na vzdelávanie, 2015</w:t>
            </w:r>
            <w:bookmarkEnd w:id="22"/>
            <w:bookmarkEnd w:id="23"/>
          </w:p>
        </w:tc>
        <w:tc>
          <w:tcPr>
            <w:tcW w:w="250" w:type="dxa"/>
            <w:tcBorders>
              <w:top w:val="nil"/>
              <w:left w:val="nil"/>
              <w:bottom w:val="nil"/>
              <w:right w:val="nil"/>
            </w:tcBorders>
            <w:vAlign w:val="center"/>
          </w:tcPr>
          <w:p w14:paraId="43F4B1DE" w14:textId="77777777" w:rsidR="00763C24" w:rsidRPr="005B2D64" w:rsidRDefault="00763C24" w:rsidP="00763C24">
            <w:pPr>
              <w:spacing w:before="40" w:after="40" w:line="240" w:lineRule="auto"/>
              <w:contextualSpacing/>
              <w:jc w:val="center"/>
              <w:rPr>
                <w:rFonts w:ascii="Arial Narrow" w:hAnsi="Arial Narrow" w:cs="Arial"/>
                <w:b/>
                <w:sz w:val="20"/>
                <w:highlight w:val="yellow"/>
              </w:rPr>
            </w:pPr>
          </w:p>
        </w:tc>
        <w:tc>
          <w:tcPr>
            <w:tcW w:w="4680" w:type="dxa"/>
            <w:tcBorders>
              <w:top w:val="nil"/>
              <w:left w:val="nil"/>
              <w:bottom w:val="single" w:sz="4" w:space="0" w:color="auto"/>
              <w:right w:val="nil"/>
            </w:tcBorders>
            <w:vAlign w:val="center"/>
          </w:tcPr>
          <w:p w14:paraId="1D5877B4" w14:textId="77777777" w:rsidR="00763C24" w:rsidRPr="005B2D64" w:rsidRDefault="00763C24" w:rsidP="00763C24">
            <w:pPr>
              <w:spacing w:after="0" w:line="240" w:lineRule="auto"/>
              <w:contextualSpacing/>
              <w:rPr>
                <w:rFonts w:ascii="Arial Narrow" w:hAnsi="Arial Narrow"/>
                <w:b/>
                <w:bCs/>
                <w:noProof/>
                <w:color w:val="2C9ADC"/>
                <w:sz w:val="20"/>
                <w:highlight w:val="yellow"/>
              </w:rPr>
            </w:pPr>
            <w:bookmarkStart w:id="24" w:name="_Toc480760501"/>
            <w:bookmarkStart w:id="25" w:name="_Toc4625957"/>
            <w:r w:rsidRPr="005B2D64">
              <w:rPr>
                <w:rFonts w:ascii="Arial Narrow" w:hAnsi="Arial Narrow" w:cs="Arial"/>
                <w:b/>
                <w:bCs/>
                <w:color w:val="2C9ADC"/>
                <w:sz w:val="20"/>
              </w:rPr>
              <w:t xml:space="preserve">Graf </w:t>
            </w:r>
            <w:r w:rsidRPr="00F51C1B">
              <w:rPr>
                <w:rFonts w:ascii="Arial Narrow" w:hAnsi="Arial Narrow" w:cs="Arial"/>
                <w:b/>
                <w:bCs/>
                <w:color w:val="2C9ADC"/>
                <w:sz w:val="20"/>
              </w:rPr>
              <w:fldChar w:fldCharType="begin"/>
            </w:r>
            <w:r w:rsidRPr="00F51C1B">
              <w:rPr>
                <w:rFonts w:ascii="Arial Narrow" w:hAnsi="Arial Narrow" w:cs="Arial"/>
                <w:b/>
                <w:bCs/>
                <w:color w:val="2C9ADC"/>
                <w:sz w:val="20"/>
              </w:rPr>
              <w:instrText xml:space="preserve"> SEQ Graf \* ARABIC </w:instrText>
            </w:r>
            <w:r w:rsidRPr="00F51C1B">
              <w:rPr>
                <w:rFonts w:ascii="Arial Narrow" w:hAnsi="Arial Narrow" w:cs="Arial"/>
                <w:b/>
                <w:bCs/>
                <w:color w:val="2C9ADC"/>
                <w:sz w:val="20"/>
              </w:rPr>
              <w:fldChar w:fldCharType="separate"/>
            </w:r>
            <w:r w:rsidR="0020148F">
              <w:rPr>
                <w:rFonts w:ascii="Arial Narrow" w:hAnsi="Arial Narrow" w:cs="Arial"/>
                <w:b/>
                <w:bCs/>
                <w:noProof/>
                <w:color w:val="2C9ADC"/>
                <w:sz w:val="20"/>
              </w:rPr>
              <w:t>8</w:t>
            </w:r>
            <w:r w:rsidRPr="00F51C1B">
              <w:rPr>
                <w:rFonts w:ascii="Arial Narrow" w:hAnsi="Arial Narrow" w:cs="Arial"/>
                <w:b/>
                <w:bCs/>
                <w:color w:val="2C9ADC"/>
                <w:sz w:val="20"/>
              </w:rPr>
              <w:fldChar w:fldCharType="end"/>
            </w:r>
            <w:r w:rsidRPr="002E0CC6">
              <w:rPr>
                <w:rFonts w:ascii="Arial Narrow" w:hAnsi="Arial Narrow" w:cs="Arial"/>
                <w:b/>
                <w:bCs/>
                <w:color w:val="2C9ADC"/>
                <w:sz w:val="20"/>
              </w:rPr>
              <w:t>:</w:t>
            </w:r>
            <w:r w:rsidRPr="005B2D64">
              <w:rPr>
                <w:rFonts w:ascii="Arial Narrow" w:hAnsi="Arial Narrow" w:cs="Arial"/>
                <w:b/>
                <w:bCs/>
                <w:color w:val="2C9ADC"/>
                <w:sz w:val="20"/>
              </w:rPr>
              <w:t xml:space="preserve"> Priemerné platy pedagógov druhého stupňa ZŠ v pomere k platom zamestnancov s VŠ vzdelaním (2016)</w:t>
            </w:r>
            <w:bookmarkEnd w:id="24"/>
            <w:bookmarkEnd w:id="25"/>
          </w:p>
        </w:tc>
      </w:tr>
      <w:tr w:rsidR="00763C24" w:rsidRPr="00763C24" w14:paraId="5C39F478" w14:textId="77777777" w:rsidTr="00763C24">
        <w:trPr>
          <w:trHeight w:val="944"/>
        </w:trPr>
        <w:tc>
          <w:tcPr>
            <w:tcW w:w="4216" w:type="dxa"/>
            <w:tcBorders>
              <w:top w:val="single" w:sz="4" w:space="0" w:color="auto"/>
              <w:left w:val="nil"/>
              <w:bottom w:val="single" w:sz="4" w:space="0" w:color="auto"/>
              <w:right w:val="nil"/>
            </w:tcBorders>
            <w:vAlign w:val="center"/>
          </w:tcPr>
          <w:p w14:paraId="01B4A733" w14:textId="77777777" w:rsidR="00763C24" w:rsidRPr="00763C24" w:rsidRDefault="00763C24" w:rsidP="00763C24">
            <w:pPr>
              <w:spacing w:before="40" w:after="40" w:line="240" w:lineRule="auto"/>
              <w:contextualSpacing/>
              <w:jc w:val="center"/>
              <w:rPr>
                <w:rFonts w:ascii="Arial Narrow" w:hAnsi="Arial Narrow" w:cs="Arial"/>
                <w:b/>
                <w:highlight w:val="yellow"/>
              </w:rPr>
            </w:pPr>
            <w:r w:rsidRPr="00763C24">
              <w:rPr>
                <w:rFonts w:ascii="Arial Narrow" w:hAnsi="Arial Narrow"/>
                <w:noProof/>
                <w:lang w:val="en-GB" w:eastAsia="en-GB"/>
              </w:rPr>
              <w:drawing>
                <wp:inline distT="0" distB="0" distL="0" distR="0" wp14:anchorId="7915C41C" wp14:editId="79CD45F1">
                  <wp:extent cx="2540000" cy="2086610"/>
                  <wp:effectExtent l="0" t="0" r="0" b="889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50" w:type="dxa"/>
            <w:tcBorders>
              <w:top w:val="nil"/>
              <w:left w:val="nil"/>
              <w:bottom w:val="nil"/>
              <w:right w:val="nil"/>
            </w:tcBorders>
            <w:vAlign w:val="center"/>
          </w:tcPr>
          <w:p w14:paraId="0A7F0E19" w14:textId="77777777" w:rsidR="00763C24" w:rsidRPr="00763C24" w:rsidRDefault="00763C24" w:rsidP="00763C24">
            <w:pPr>
              <w:spacing w:before="40" w:after="40" w:line="240" w:lineRule="auto"/>
              <w:contextualSpacing/>
              <w:jc w:val="center"/>
              <w:rPr>
                <w:rFonts w:ascii="Arial Narrow" w:hAnsi="Arial Narrow" w:cs="Arial"/>
                <w:b/>
                <w:highlight w:val="yellow"/>
              </w:rPr>
            </w:pPr>
          </w:p>
        </w:tc>
        <w:tc>
          <w:tcPr>
            <w:tcW w:w="4680" w:type="dxa"/>
            <w:tcBorders>
              <w:top w:val="single" w:sz="4" w:space="0" w:color="auto"/>
              <w:left w:val="nil"/>
              <w:bottom w:val="single" w:sz="4" w:space="0" w:color="auto"/>
              <w:right w:val="nil"/>
            </w:tcBorders>
            <w:vAlign w:val="center"/>
          </w:tcPr>
          <w:p w14:paraId="474C7BE6" w14:textId="77777777" w:rsidR="00763C24" w:rsidRPr="00763C24" w:rsidRDefault="00763C24" w:rsidP="00763C24">
            <w:pPr>
              <w:spacing w:before="40" w:after="40" w:line="240" w:lineRule="auto"/>
              <w:ind w:left="-79" w:right="-121"/>
              <w:contextualSpacing/>
              <w:jc w:val="center"/>
              <w:rPr>
                <w:rFonts w:ascii="Arial Narrow" w:hAnsi="Arial Narrow" w:cs="Arial"/>
                <w:b/>
                <w:highlight w:val="yellow"/>
              </w:rPr>
            </w:pPr>
            <w:r w:rsidRPr="00763C24">
              <w:rPr>
                <w:rFonts w:ascii="Arial Narrow" w:hAnsi="Arial Narrow"/>
                <w:noProof/>
                <w:lang w:val="en-GB" w:eastAsia="en-GB"/>
              </w:rPr>
              <w:drawing>
                <wp:inline distT="0" distB="0" distL="0" distR="0" wp14:anchorId="5B88FA1A" wp14:editId="72A223EF">
                  <wp:extent cx="2882900" cy="2101850"/>
                  <wp:effectExtent l="0" t="0" r="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763C24" w:rsidRPr="00763C24" w14:paraId="0900C77E" w14:textId="77777777" w:rsidTr="0065679E">
        <w:trPr>
          <w:trHeight w:val="122"/>
        </w:trPr>
        <w:tc>
          <w:tcPr>
            <w:tcW w:w="4216" w:type="dxa"/>
            <w:tcBorders>
              <w:top w:val="single" w:sz="4" w:space="0" w:color="auto"/>
              <w:left w:val="nil"/>
              <w:bottom w:val="nil"/>
              <w:right w:val="nil"/>
            </w:tcBorders>
            <w:vAlign w:val="bottom"/>
          </w:tcPr>
          <w:p w14:paraId="36648CEA" w14:textId="77777777" w:rsidR="00763C24" w:rsidRPr="00763C24" w:rsidRDefault="00763C24" w:rsidP="005B2D64">
            <w:pPr>
              <w:spacing w:line="240" w:lineRule="auto"/>
              <w:contextualSpacing/>
              <w:jc w:val="right"/>
              <w:rPr>
                <w:rFonts w:ascii="Arial Narrow" w:hAnsi="Arial Narrow" w:cs="Arial"/>
                <w:sz w:val="16"/>
                <w:szCs w:val="16"/>
              </w:rPr>
            </w:pPr>
            <w:r w:rsidRPr="00763C24">
              <w:rPr>
                <w:rFonts w:ascii="Arial Narrow" w:hAnsi="Arial Narrow"/>
                <w:i/>
                <w:iCs/>
                <w:color w:val="000000"/>
                <w:sz w:val="16"/>
                <w:szCs w:val="16"/>
              </w:rPr>
              <w:t>Zdroj: OECD (</w:t>
            </w:r>
            <w:proofErr w:type="spellStart"/>
            <w:r w:rsidRPr="00763C24">
              <w:rPr>
                <w:rFonts w:ascii="Arial Narrow" w:hAnsi="Arial Narrow"/>
                <w:i/>
                <w:iCs/>
                <w:color w:val="000000"/>
                <w:sz w:val="16"/>
                <w:szCs w:val="16"/>
              </w:rPr>
              <w:t>Education</w:t>
            </w:r>
            <w:proofErr w:type="spellEnd"/>
            <w:r w:rsidRPr="00763C24">
              <w:rPr>
                <w:rFonts w:ascii="Arial Narrow" w:hAnsi="Arial Narrow"/>
                <w:i/>
                <w:iCs/>
                <w:color w:val="000000"/>
                <w:sz w:val="16"/>
                <w:szCs w:val="16"/>
              </w:rPr>
              <w:t xml:space="preserve"> at a </w:t>
            </w:r>
            <w:proofErr w:type="spellStart"/>
            <w:r w:rsidRPr="00763C24">
              <w:rPr>
                <w:rFonts w:ascii="Arial Narrow" w:hAnsi="Arial Narrow"/>
                <w:i/>
                <w:iCs/>
                <w:color w:val="000000"/>
                <w:sz w:val="16"/>
                <w:szCs w:val="16"/>
              </w:rPr>
              <w:t>Glance</w:t>
            </w:r>
            <w:proofErr w:type="spellEnd"/>
            <w:r w:rsidRPr="00763C24">
              <w:rPr>
                <w:rFonts w:ascii="Arial Narrow" w:hAnsi="Arial Narrow"/>
                <w:i/>
                <w:iCs/>
                <w:color w:val="000000"/>
                <w:sz w:val="16"/>
                <w:szCs w:val="16"/>
              </w:rPr>
              <w:t xml:space="preserve"> 2018,</w:t>
            </w:r>
            <w:r w:rsidRPr="00763C24">
              <w:rPr>
                <w:rFonts w:ascii="Arial Narrow" w:hAnsi="Arial Narrow"/>
                <w:sz w:val="16"/>
                <w:szCs w:val="16"/>
              </w:rPr>
              <w:t xml:space="preserve"> </w:t>
            </w:r>
            <w:proofErr w:type="spellStart"/>
            <w:r w:rsidRPr="00763C24">
              <w:rPr>
                <w:rFonts w:ascii="Arial Narrow" w:hAnsi="Arial Narrow"/>
                <w:i/>
                <w:iCs/>
                <w:color w:val="000000"/>
                <w:sz w:val="16"/>
                <w:szCs w:val="16"/>
              </w:rPr>
              <w:t>Tab</w:t>
            </w:r>
            <w:proofErr w:type="spellEnd"/>
            <w:r w:rsidRPr="00763C24">
              <w:rPr>
                <w:rFonts w:ascii="Arial Narrow" w:hAnsi="Arial Narrow"/>
                <w:i/>
                <w:iCs/>
                <w:color w:val="000000"/>
                <w:sz w:val="16"/>
                <w:szCs w:val="16"/>
              </w:rPr>
              <w:t xml:space="preserve"> C4.1) </w:t>
            </w:r>
          </w:p>
        </w:tc>
        <w:tc>
          <w:tcPr>
            <w:tcW w:w="250" w:type="dxa"/>
            <w:tcBorders>
              <w:top w:val="nil"/>
              <w:left w:val="nil"/>
              <w:bottom w:val="nil"/>
              <w:right w:val="nil"/>
            </w:tcBorders>
            <w:vAlign w:val="bottom"/>
          </w:tcPr>
          <w:p w14:paraId="4A7EC75F" w14:textId="77777777" w:rsidR="00763C24" w:rsidRPr="00763C24" w:rsidRDefault="00763C24" w:rsidP="005B2D64">
            <w:pPr>
              <w:spacing w:line="240" w:lineRule="auto"/>
              <w:contextualSpacing/>
              <w:jc w:val="right"/>
              <w:rPr>
                <w:rFonts w:ascii="Arial Narrow" w:hAnsi="Arial Narrow" w:cs="Arial"/>
              </w:rPr>
            </w:pPr>
          </w:p>
        </w:tc>
        <w:tc>
          <w:tcPr>
            <w:tcW w:w="4680" w:type="dxa"/>
            <w:tcBorders>
              <w:top w:val="single" w:sz="4" w:space="0" w:color="auto"/>
              <w:left w:val="nil"/>
              <w:bottom w:val="nil"/>
              <w:right w:val="nil"/>
            </w:tcBorders>
            <w:vAlign w:val="bottom"/>
          </w:tcPr>
          <w:p w14:paraId="7CB36398" w14:textId="77777777" w:rsidR="00763C24" w:rsidRPr="00763C24" w:rsidRDefault="00763C24" w:rsidP="005B2D64">
            <w:pPr>
              <w:spacing w:line="240" w:lineRule="auto"/>
              <w:contextualSpacing/>
              <w:jc w:val="right"/>
              <w:rPr>
                <w:rFonts w:ascii="Arial Narrow" w:hAnsi="Arial Narrow" w:cs="Arial"/>
                <w:sz w:val="16"/>
                <w:szCs w:val="16"/>
                <w:highlight w:val="yellow"/>
              </w:rPr>
            </w:pPr>
            <w:r w:rsidRPr="00763C24">
              <w:rPr>
                <w:rFonts w:ascii="Arial Narrow" w:hAnsi="Arial Narrow"/>
                <w:i/>
                <w:iCs/>
                <w:color w:val="000000"/>
                <w:sz w:val="16"/>
                <w:szCs w:val="16"/>
              </w:rPr>
              <w:t>Zdroj: OECD (</w:t>
            </w:r>
            <w:proofErr w:type="spellStart"/>
            <w:r w:rsidRPr="00763C24">
              <w:rPr>
                <w:rFonts w:ascii="Arial Narrow" w:hAnsi="Arial Narrow"/>
                <w:i/>
                <w:iCs/>
                <w:color w:val="000000"/>
                <w:sz w:val="16"/>
                <w:szCs w:val="16"/>
              </w:rPr>
              <w:t>Education</w:t>
            </w:r>
            <w:proofErr w:type="spellEnd"/>
            <w:r w:rsidRPr="00763C24">
              <w:rPr>
                <w:rFonts w:ascii="Arial Narrow" w:hAnsi="Arial Narrow"/>
                <w:i/>
                <w:iCs/>
                <w:color w:val="000000"/>
                <w:sz w:val="16"/>
                <w:szCs w:val="16"/>
              </w:rPr>
              <w:t xml:space="preserve"> at a </w:t>
            </w:r>
            <w:proofErr w:type="spellStart"/>
            <w:r w:rsidRPr="00763C24">
              <w:rPr>
                <w:rFonts w:ascii="Arial Narrow" w:hAnsi="Arial Narrow"/>
                <w:i/>
                <w:iCs/>
                <w:color w:val="000000"/>
                <w:sz w:val="16"/>
                <w:szCs w:val="16"/>
              </w:rPr>
              <w:t>Glance</w:t>
            </w:r>
            <w:proofErr w:type="spellEnd"/>
            <w:r w:rsidRPr="00763C24">
              <w:rPr>
                <w:rFonts w:ascii="Arial Narrow" w:hAnsi="Arial Narrow"/>
                <w:i/>
                <w:iCs/>
                <w:color w:val="000000"/>
                <w:sz w:val="16"/>
                <w:szCs w:val="16"/>
              </w:rPr>
              <w:t xml:space="preserve"> 2018, </w:t>
            </w:r>
            <w:proofErr w:type="spellStart"/>
            <w:r w:rsidRPr="00763C24">
              <w:rPr>
                <w:rFonts w:ascii="Arial Narrow" w:hAnsi="Arial Narrow"/>
                <w:i/>
                <w:iCs/>
                <w:color w:val="000000"/>
                <w:sz w:val="16"/>
                <w:szCs w:val="16"/>
              </w:rPr>
              <w:t>Tab</w:t>
            </w:r>
            <w:proofErr w:type="spellEnd"/>
            <w:r w:rsidRPr="00763C24">
              <w:rPr>
                <w:rFonts w:ascii="Arial Narrow" w:hAnsi="Arial Narrow"/>
                <w:i/>
                <w:iCs/>
                <w:color w:val="000000"/>
                <w:sz w:val="16"/>
                <w:szCs w:val="16"/>
              </w:rPr>
              <w:t xml:space="preserve"> D3.2)</w:t>
            </w:r>
          </w:p>
        </w:tc>
      </w:tr>
    </w:tbl>
    <w:p w14:paraId="7DF1D741" w14:textId="77777777" w:rsidR="00763C24" w:rsidRPr="00763C24" w:rsidRDefault="00763C24" w:rsidP="00763C24">
      <w:pPr>
        <w:spacing w:after="0" w:line="240" w:lineRule="auto"/>
        <w:jc w:val="both"/>
        <w:rPr>
          <w:rFonts w:ascii="Arial Narrow" w:hAnsi="Arial Narrow"/>
          <w:b/>
          <w:highlight w:val="yellow"/>
        </w:rPr>
      </w:pPr>
    </w:p>
    <w:p w14:paraId="41DBD871" w14:textId="49A58872" w:rsidR="00763C24" w:rsidRDefault="00822A25" w:rsidP="00763C24">
      <w:pPr>
        <w:spacing w:after="0" w:line="240" w:lineRule="auto"/>
        <w:jc w:val="both"/>
        <w:rPr>
          <w:rFonts w:ascii="Arial Narrow" w:hAnsi="Arial Narrow"/>
        </w:rPr>
      </w:pPr>
      <w:r>
        <w:rPr>
          <w:rFonts w:ascii="Arial Narrow" w:hAnsi="Arial Narrow"/>
          <w:b/>
        </w:rPr>
        <w:t xml:space="preserve">Financovanie </w:t>
      </w:r>
      <w:r w:rsidR="00763C24" w:rsidRPr="005B2D64">
        <w:rPr>
          <w:rFonts w:ascii="Arial Narrow" w:hAnsi="Arial Narrow"/>
          <w:b/>
        </w:rPr>
        <w:t xml:space="preserve">vedy a výskumu </w:t>
      </w:r>
      <w:r>
        <w:rPr>
          <w:rFonts w:ascii="Arial Narrow" w:hAnsi="Arial Narrow"/>
          <w:b/>
        </w:rPr>
        <w:t xml:space="preserve">je </w:t>
      </w:r>
      <w:r w:rsidR="00763C24" w:rsidRPr="005B2D64">
        <w:rPr>
          <w:rFonts w:ascii="Arial Narrow" w:hAnsi="Arial Narrow"/>
          <w:b/>
        </w:rPr>
        <w:t>naďalej podpriemern</w:t>
      </w:r>
      <w:r>
        <w:rPr>
          <w:rFonts w:ascii="Arial Narrow" w:hAnsi="Arial Narrow"/>
          <w:b/>
        </w:rPr>
        <w:t>é, zaostávanie vo výsledkoch je ale ešte výraznejšie</w:t>
      </w:r>
      <w:r w:rsidR="00763C24" w:rsidRPr="00763C24">
        <w:rPr>
          <w:rFonts w:ascii="Arial Narrow" w:hAnsi="Arial Narrow"/>
        </w:rPr>
        <w:t>. V roku 2015 celkové výdavky na vedu a výskum jednorazovo narástli na 1,2 % HDP vďaka dočerpávaniu EÚ fondov, no v roku 2016 sa vrátili na predošlú úroveň 0,8 % HDP, hlavne z dôvodu nedostatočného čerpania zdrojov z OP Výskum a inovácie. Klesajúci podiel výskumníkov publikuje nad priemerom krajín V3, a</w:t>
      </w:r>
      <w:r w:rsidR="00171D12">
        <w:rPr>
          <w:rFonts w:ascii="Arial Narrow" w:hAnsi="Arial Narrow"/>
        </w:rPr>
        <w:t xml:space="preserve">však kvalita publikácií meraná </w:t>
      </w:r>
      <w:proofErr w:type="spellStart"/>
      <w:r w:rsidR="00763C24" w:rsidRPr="00763C24">
        <w:rPr>
          <w:rFonts w:ascii="Arial Narrow" w:hAnsi="Arial Narrow"/>
        </w:rPr>
        <w:t>citovanosťou</w:t>
      </w:r>
      <w:proofErr w:type="spellEnd"/>
      <w:r w:rsidR="00763C24" w:rsidRPr="00763C24">
        <w:rPr>
          <w:rFonts w:ascii="Arial Narrow" w:hAnsi="Arial Narrow"/>
        </w:rPr>
        <w:t xml:space="preserve"> publikácií dlhodobo stagnuje pod priemerom V3. </w:t>
      </w:r>
    </w:p>
    <w:p w14:paraId="2A0B3C65" w14:textId="77777777" w:rsidR="005B2D64" w:rsidRPr="00763C24" w:rsidRDefault="005B2D64" w:rsidP="00763C24">
      <w:pPr>
        <w:spacing w:after="0" w:line="240" w:lineRule="auto"/>
        <w:jc w:val="both"/>
        <w:rPr>
          <w:rFonts w:ascii="Arial Narrow" w:eastAsiaTheme="minorHAnsi" w:hAnsi="Arial Narrow" w:cstheme="minorBidi"/>
          <w:highlight w:val="yellow"/>
          <w:lang w:eastAsia="en-US"/>
        </w:rPr>
      </w:pPr>
    </w:p>
    <w:tbl>
      <w:tblPr>
        <w:tblpPr w:leftFromText="141" w:rightFromText="141" w:vertAnchor="text" w:horzAnchor="margin" w:tblpXSpec="center" w:tblpY="10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3890"/>
        <w:gridCol w:w="146"/>
        <w:gridCol w:w="4528"/>
      </w:tblGrid>
      <w:tr w:rsidR="00763C24" w:rsidRPr="00763C24" w14:paraId="5B6D8AB3" w14:textId="77777777" w:rsidTr="00763C24">
        <w:trPr>
          <w:trHeight w:val="126"/>
        </w:trPr>
        <w:tc>
          <w:tcPr>
            <w:tcW w:w="3779" w:type="dxa"/>
            <w:tcBorders>
              <w:top w:val="nil"/>
              <w:left w:val="nil"/>
              <w:bottom w:val="single" w:sz="4" w:space="0" w:color="auto"/>
              <w:right w:val="nil"/>
            </w:tcBorders>
            <w:vAlign w:val="center"/>
          </w:tcPr>
          <w:p w14:paraId="0C18C443" w14:textId="77777777" w:rsidR="00763C24" w:rsidRPr="00F51C1B" w:rsidRDefault="00763C24" w:rsidP="00763C24">
            <w:pPr>
              <w:spacing w:after="0" w:line="240" w:lineRule="auto"/>
              <w:rPr>
                <w:rFonts w:ascii="Arial Narrow" w:hAnsi="Arial Narrow"/>
                <w:b/>
                <w:bCs/>
                <w:noProof/>
                <w:color w:val="2C9ADC"/>
                <w:sz w:val="20"/>
              </w:rPr>
            </w:pPr>
            <w:bookmarkStart w:id="26" w:name="_Toc480760502"/>
            <w:bookmarkStart w:id="27" w:name="_Toc4625958"/>
            <w:r w:rsidRPr="00F51C1B">
              <w:rPr>
                <w:rFonts w:ascii="Arial Narrow" w:hAnsi="Arial Narrow"/>
                <w:b/>
                <w:bCs/>
                <w:color w:val="2C9ADC"/>
                <w:sz w:val="20"/>
              </w:rPr>
              <w:t xml:space="preserve">Graf </w:t>
            </w:r>
            <w:r w:rsidRPr="00F51C1B">
              <w:rPr>
                <w:rFonts w:ascii="Arial Narrow" w:hAnsi="Arial Narrow"/>
                <w:b/>
                <w:bCs/>
                <w:noProof/>
                <w:color w:val="2C9ADC"/>
                <w:sz w:val="20"/>
              </w:rPr>
              <w:fldChar w:fldCharType="begin"/>
            </w:r>
            <w:r w:rsidRPr="00F51C1B">
              <w:rPr>
                <w:rFonts w:ascii="Arial Narrow" w:hAnsi="Arial Narrow"/>
                <w:b/>
                <w:bCs/>
                <w:noProof/>
                <w:color w:val="2C9ADC"/>
                <w:sz w:val="20"/>
              </w:rPr>
              <w:instrText xml:space="preserve"> SEQ Graf \* ARABIC </w:instrText>
            </w:r>
            <w:r w:rsidRPr="00F51C1B">
              <w:rPr>
                <w:rFonts w:ascii="Arial Narrow" w:hAnsi="Arial Narrow"/>
                <w:b/>
                <w:bCs/>
                <w:noProof/>
                <w:color w:val="2C9ADC"/>
                <w:sz w:val="20"/>
              </w:rPr>
              <w:fldChar w:fldCharType="separate"/>
            </w:r>
            <w:r w:rsidR="0020148F">
              <w:rPr>
                <w:rFonts w:ascii="Arial Narrow" w:hAnsi="Arial Narrow"/>
                <w:b/>
                <w:bCs/>
                <w:noProof/>
                <w:color w:val="2C9ADC"/>
                <w:sz w:val="20"/>
              </w:rPr>
              <w:t>9</w:t>
            </w:r>
            <w:r w:rsidRPr="00F51C1B">
              <w:rPr>
                <w:rFonts w:ascii="Arial Narrow" w:hAnsi="Arial Narrow"/>
                <w:b/>
                <w:bCs/>
                <w:noProof/>
                <w:color w:val="2C9ADC"/>
                <w:sz w:val="20"/>
              </w:rPr>
              <w:fldChar w:fldCharType="end"/>
            </w:r>
            <w:r w:rsidRPr="00F51C1B">
              <w:rPr>
                <w:rFonts w:ascii="Arial Narrow" w:hAnsi="Arial Narrow"/>
                <w:b/>
                <w:bCs/>
                <w:color w:val="2C9ADC"/>
                <w:sz w:val="20"/>
              </w:rPr>
              <w:t xml:space="preserve">: </w:t>
            </w:r>
            <w:r w:rsidRPr="00F51C1B">
              <w:rPr>
                <w:rFonts w:ascii="Arial Narrow" w:hAnsi="Arial Narrow" w:cs="Arial"/>
                <w:b/>
                <w:bCs/>
                <w:color w:val="2C9ADC"/>
                <w:sz w:val="20"/>
              </w:rPr>
              <w:t>Vstupy a výstupy pre výskum a vývoj ako % priemeru V3</w:t>
            </w:r>
            <w:bookmarkEnd w:id="26"/>
            <w:bookmarkEnd w:id="27"/>
          </w:p>
        </w:tc>
        <w:tc>
          <w:tcPr>
            <w:tcW w:w="193" w:type="dxa"/>
            <w:tcBorders>
              <w:top w:val="nil"/>
              <w:left w:val="nil"/>
              <w:bottom w:val="nil"/>
              <w:right w:val="nil"/>
            </w:tcBorders>
            <w:vAlign w:val="center"/>
          </w:tcPr>
          <w:p w14:paraId="2D2E0273" w14:textId="77777777" w:rsidR="00763C24" w:rsidRPr="00F51C1B" w:rsidRDefault="00763C24" w:rsidP="00763C24">
            <w:pPr>
              <w:spacing w:before="40" w:after="40" w:line="240" w:lineRule="auto"/>
              <w:rPr>
                <w:rFonts w:ascii="Arial Narrow" w:hAnsi="Arial Narrow" w:cs="Arial"/>
                <w:b/>
                <w:sz w:val="20"/>
              </w:rPr>
            </w:pPr>
          </w:p>
        </w:tc>
        <w:tc>
          <w:tcPr>
            <w:tcW w:w="4592" w:type="dxa"/>
            <w:tcBorders>
              <w:top w:val="nil"/>
              <w:left w:val="nil"/>
              <w:bottom w:val="single" w:sz="4" w:space="0" w:color="auto"/>
              <w:right w:val="nil"/>
            </w:tcBorders>
            <w:vAlign w:val="center"/>
          </w:tcPr>
          <w:p w14:paraId="5920D3E3" w14:textId="77777777" w:rsidR="00763C24" w:rsidRPr="00F51C1B" w:rsidRDefault="00763C24" w:rsidP="00763C24">
            <w:pPr>
              <w:spacing w:after="0" w:line="240" w:lineRule="auto"/>
              <w:rPr>
                <w:rFonts w:ascii="Arial Narrow" w:hAnsi="Arial Narrow"/>
                <w:b/>
                <w:bCs/>
                <w:color w:val="2C9ADC"/>
                <w:sz w:val="20"/>
              </w:rPr>
            </w:pPr>
            <w:bookmarkStart w:id="28" w:name="_Toc480760503"/>
            <w:bookmarkStart w:id="29" w:name="_Toc4625959"/>
            <w:r w:rsidRPr="00F51C1B">
              <w:rPr>
                <w:rFonts w:ascii="Arial Narrow" w:hAnsi="Arial Narrow"/>
                <w:b/>
                <w:bCs/>
                <w:color w:val="2C9ADC"/>
                <w:sz w:val="20"/>
              </w:rPr>
              <w:t xml:space="preserve">Graf </w:t>
            </w:r>
            <w:r w:rsidRPr="00F51C1B">
              <w:rPr>
                <w:rFonts w:ascii="Arial Narrow" w:hAnsi="Arial Narrow"/>
                <w:b/>
                <w:bCs/>
                <w:noProof/>
                <w:color w:val="2C9ADC"/>
                <w:sz w:val="20"/>
              </w:rPr>
              <w:fldChar w:fldCharType="begin"/>
            </w:r>
            <w:r w:rsidRPr="00F51C1B">
              <w:rPr>
                <w:rFonts w:ascii="Arial Narrow" w:hAnsi="Arial Narrow"/>
                <w:b/>
                <w:bCs/>
                <w:noProof/>
                <w:color w:val="2C9ADC"/>
                <w:sz w:val="20"/>
              </w:rPr>
              <w:instrText xml:space="preserve"> SEQ Graf \* ARABIC </w:instrText>
            </w:r>
            <w:r w:rsidRPr="00F51C1B">
              <w:rPr>
                <w:rFonts w:ascii="Arial Narrow" w:hAnsi="Arial Narrow"/>
                <w:b/>
                <w:bCs/>
                <w:noProof/>
                <w:color w:val="2C9ADC"/>
                <w:sz w:val="20"/>
              </w:rPr>
              <w:fldChar w:fldCharType="separate"/>
            </w:r>
            <w:r w:rsidR="0020148F">
              <w:rPr>
                <w:rFonts w:ascii="Arial Narrow" w:hAnsi="Arial Narrow"/>
                <w:b/>
                <w:bCs/>
                <w:noProof/>
                <w:color w:val="2C9ADC"/>
                <w:sz w:val="20"/>
              </w:rPr>
              <w:t>10</w:t>
            </w:r>
            <w:r w:rsidRPr="00F51C1B">
              <w:rPr>
                <w:rFonts w:ascii="Arial Narrow" w:hAnsi="Arial Narrow"/>
                <w:b/>
                <w:bCs/>
                <w:noProof/>
                <w:color w:val="2C9ADC"/>
                <w:sz w:val="20"/>
              </w:rPr>
              <w:fldChar w:fldCharType="end"/>
            </w:r>
            <w:r w:rsidRPr="00F51C1B">
              <w:rPr>
                <w:rFonts w:ascii="Arial Narrow" w:hAnsi="Arial Narrow"/>
                <w:b/>
                <w:bCs/>
                <w:color w:val="2C9ADC"/>
                <w:sz w:val="20"/>
              </w:rPr>
              <w:t xml:space="preserve">: </w:t>
            </w:r>
            <w:r w:rsidRPr="00F51C1B">
              <w:rPr>
                <w:rFonts w:ascii="Arial Narrow" w:hAnsi="Arial Narrow" w:cs="Arial"/>
                <w:b/>
                <w:bCs/>
                <w:color w:val="2C9ADC"/>
                <w:sz w:val="20"/>
              </w:rPr>
              <w:t>Výsledky testovania PISA v čitateľskej gramotnosti (ľavá os) a podiel žiakov nedosahujúcich základnú úroveň v % (pravá os</w:t>
            </w:r>
            <w:bookmarkEnd w:id="28"/>
            <w:r w:rsidRPr="00F51C1B">
              <w:rPr>
                <w:rFonts w:ascii="Arial Narrow" w:hAnsi="Arial Narrow" w:cs="Arial"/>
                <w:b/>
                <w:bCs/>
                <w:color w:val="2C9ADC"/>
                <w:sz w:val="20"/>
              </w:rPr>
              <w:t>)</w:t>
            </w:r>
            <w:bookmarkEnd w:id="29"/>
          </w:p>
        </w:tc>
      </w:tr>
      <w:tr w:rsidR="00763C24" w:rsidRPr="00763C24" w14:paraId="535D17F2" w14:textId="77777777" w:rsidTr="00763C24">
        <w:trPr>
          <w:trHeight w:val="944"/>
        </w:trPr>
        <w:tc>
          <w:tcPr>
            <w:tcW w:w="3779" w:type="dxa"/>
            <w:tcBorders>
              <w:top w:val="single" w:sz="4" w:space="0" w:color="auto"/>
              <w:left w:val="nil"/>
              <w:bottom w:val="single" w:sz="4" w:space="0" w:color="auto"/>
              <w:right w:val="nil"/>
            </w:tcBorders>
            <w:vAlign w:val="center"/>
          </w:tcPr>
          <w:p w14:paraId="146EC9B3" w14:textId="77777777" w:rsidR="00763C24" w:rsidRPr="00763C24" w:rsidRDefault="00763C24" w:rsidP="00763C24">
            <w:pPr>
              <w:spacing w:before="40" w:after="40" w:line="240" w:lineRule="auto"/>
              <w:ind w:left="-108"/>
              <w:jc w:val="center"/>
              <w:rPr>
                <w:rFonts w:ascii="Arial Narrow" w:hAnsi="Arial Narrow" w:cs="Arial"/>
                <w:b/>
                <w:highlight w:val="yellow"/>
              </w:rPr>
            </w:pPr>
            <w:r w:rsidRPr="00763C24">
              <w:rPr>
                <w:noProof/>
                <w:lang w:val="en-GB" w:eastAsia="en-GB"/>
              </w:rPr>
              <w:lastRenderedPageBreak/>
              <w:drawing>
                <wp:inline distT="0" distB="0" distL="0" distR="0" wp14:anchorId="76375A8E" wp14:editId="5F00B0F5">
                  <wp:extent cx="2484120" cy="2032048"/>
                  <wp:effectExtent l="0" t="0" r="0" b="6350"/>
                  <wp:docPr id="232" name="Graf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193" w:type="dxa"/>
            <w:tcBorders>
              <w:top w:val="nil"/>
              <w:left w:val="nil"/>
              <w:bottom w:val="nil"/>
              <w:right w:val="nil"/>
            </w:tcBorders>
            <w:vAlign w:val="center"/>
          </w:tcPr>
          <w:p w14:paraId="793C953E" w14:textId="77777777" w:rsidR="00763C24" w:rsidRPr="00763C24" w:rsidRDefault="00763C24" w:rsidP="00763C24">
            <w:pPr>
              <w:spacing w:before="40" w:after="40" w:line="240" w:lineRule="auto"/>
              <w:jc w:val="center"/>
              <w:rPr>
                <w:rFonts w:ascii="Arial Narrow" w:hAnsi="Arial Narrow" w:cs="Arial"/>
                <w:b/>
                <w:highlight w:val="yellow"/>
              </w:rPr>
            </w:pPr>
          </w:p>
        </w:tc>
        <w:tc>
          <w:tcPr>
            <w:tcW w:w="4592" w:type="dxa"/>
            <w:tcBorders>
              <w:top w:val="single" w:sz="4" w:space="0" w:color="auto"/>
              <w:left w:val="nil"/>
              <w:bottom w:val="single" w:sz="4" w:space="0" w:color="auto"/>
              <w:right w:val="nil"/>
            </w:tcBorders>
            <w:vAlign w:val="center"/>
          </w:tcPr>
          <w:p w14:paraId="243654BA" w14:textId="77777777" w:rsidR="00763C24" w:rsidRPr="00763C24" w:rsidRDefault="00763C24" w:rsidP="00763C24">
            <w:pPr>
              <w:spacing w:before="40" w:after="40" w:line="240" w:lineRule="auto"/>
              <w:jc w:val="center"/>
              <w:rPr>
                <w:rFonts w:ascii="Arial Narrow" w:hAnsi="Arial Narrow" w:cs="Arial"/>
                <w:b/>
                <w:highlight w:val="yellow"/>
              </w:rPr>
            </w:pPr>
            <w:r w:rsidRPr="00763C24">
              <w:rPr>
                <w:rFonts w:ascii="Arial Narrow" w:hAnsi="Arial Narrow"/>
                <w:noProof/>
                <w:lang w:val="en-GB" w:eastAsia="en-GB"/>
              </w:rPr>
              <w:drawing>
                <wp:inline distT="0" distB="0" distL="0" distR="0" wp14:anchorId="5DDA9C8D" wp14:editId="00D82550">
                  <wp:extent cx="2827241" cy="2075180"/>
                  <wp:effectExtent l="0" t="0" r="0" b="127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763C24" w:rsidRPr="00763C24" w14:paraId="7AA40BEB" w14:textId="77777777" w:rsidTr="00763C24">
        <w:trPr>
          <w:trHeight w:val="120"/>
        </w:trPr>
        <w:tc>
          <w:tcPr>
            <w:tcW w:w="3779" w:type="dxa"/>
            <w:tcBorders>
              <w:top w:val="single" w:sz="4" w:space="0" w:color="auto"/>
              <w:left w:val="nil"/>
              <w:bottom w:val="nil"/>
              <w:right w:val="nil"/>
            </w:tcBorders>
            <w:vAlign w:val="center"/>
          </w:tcPr>
          <w:p w14:paraId="356C777B" w14:textId="77777777" w:rsidR="00763C24" w:rsidRPr="00763C24" w:rsidRDefault="00763C24" w:rsidP="005B2D64">
            <w:pPr>
              <w:spacing w:after="120" w:line="240" w:lineRule="auto"/>
              <w:rPr>
                <w:rFonts w:ascii="Arial Narrow" w:hAnsi="Arial Narrow" w:cs="Arial"/>
                <w:sz w:val="16"/>
                <w:szCs w:val="16"/>
                <w:highlight w:val="yellow"/>
              </w:rPr>
            </w:pPr>
            <w:r w:rsidRPr="00763C24">
              <w:rPr>
                <w:rFonts w:ascii="Arial Narrow" w:hAnsi="Arial Narrow" w:cs="Arial Narrow"/>
                <w:i/>
                <w:iCs/>
                <w:color w:val="000000"/>
                <w:sz w:val="16"/>
                <w:szCs w:val="16"/>
              </w:rPr>
              <w:t xml:space="preserve">Zdroj: </w:t>
            </w:r>
            <w:proofErr w:type="spellStart"/>
            <w:r w:rsidRPr="00763C24">
              <w:rPr>
                <w:rFonts w:ascii="Arial Narrow" w:hAnsi="Arial Narrow" w:cs="Arial Narrow"/>
                <w:i/>
                <w:iCs/>
                <w:color w:val="000000"/>
                <w:sz w:val="16"/>
                <w:szCs w:val="16"/>
              </w:rPr>
              <w:t>Eurostat</w:t>
            </w:r>
            <w:proofErr w:type="spellEnd"/>
            <w:r w:rsidRPr="00763C24">
              <w:rPr>
                <w:rFonts w:ascii="Arial Narrow" w:hAnsi="Arial Narrow" w:cs="Arial Narrow"/>
                <w:i/>
                <w:iCs/>
                <w:color w:val="000000"/>
                <w:sz w:val="16"/>
                <w:szCs w:val="16"/>
              </w:rPr>
              <w:t xml:space="preserve"> (</w:t>
            </w:r>
            <w:r w:rsidRPr="00763C24">
              <w:rPr>
                <w:rFonts w:ascii="Arial Narrow" w:hAnsi="Arial Narrow"/>
                <w:sz w:val="16"/>
                <w:szCs w:val="16"/>
              </w:rPr>
              <w:t xml:space="preserve"> </w:t>
            </w:r>
            <w:r w:rsidRPr="00763C24">
              <w:rPr>
                <w:rFonts w:ascii="Arial Narrow" w:hAnsi="Arial Narrow" w:cs="Arial Narrow"/>
                <w:i/>
                <w:iCs/>
                <w:color w:val="000000"/>
                <w:sz w:val="16"/>
                <w:szCs w:val="16"/>
              </w:rPr>
              <w:t>[</w:t>
            </w:r>
            <w:proofErr w:type="spellStart"/>
            <w:r w:rsidRPr="00763C24">
              <w:rPr>
                <w:rFonts w:ascii="Arial Narrow" w:hAnsi="Arial Narrow" w:cs="Arial Narrow"/>
                <w:i/>
                <w:iCs/>
                <w:color w:val="000000"/>
                <w:sz w:val="16"/>
                <w:szCs w:val="16"/>
              </w:rPr>
              <w:t>rd_p_persocc</w:t>
            </w:r>
            <w:proofErr w:type="spellEnd"/>
            <w:r w:rsidRPr="00763C24">
              <w:rPr>
                <w:rFonts w:ascii="Arial Narrow" w:hAnsi="Arial Narrow" w:cs="Arial Narrow"/>
                <w:i/>
                <w:iCs/>
                <w:color w:val="000000"/>
                <w:sz w:val="16"/>
                <w:szCs w:val="16"/>
              </w:rPr>
              <w:t>], [nama_10_pe</w:t>
            </w:r>
            <w:r w:rsidRPr="00763C24">
              <w:rPr>
                <w:rFonts w:ascii="Arial Narrow" w:hAnsi="Arial Narrow" w:cs="Arial"/>
                <w:sz w:val="16"/>
                <w:szCs w:val="16"/>
              </w:rPr>
              <w:t xml:space="preserve">], </w:t>
            </w:r>
            <w:r w:rsidRPr="00763C24">
              <w:rPr>
                <w:rFonts w:ascii="Arial Narrow" w:hAnsi="Arial Narrow"/>
                <w:sz w:val="16"/>
                <w:szCs w:val="16"/>
              </w:rPr>
              <w:t xml:space="preserve"> </w:t>
            </w:r>
            <w:r w:rsidRPr="00763C24">
              <w:rPr>
                <w:rFonts w:ascii="Arial Narrow" w:hAnsi="Arial Narrow" w:cs="Arial Narrow"/>
                <w:i/>
                <w:iCs/>
                <w:color w:val="000000"/>
                <w:sz w:val="16"/>
                <w:szCs w:val="16"/>
              </w:rPr>
              <w:t>[</w:t>
            </w:r>
            <w:proofErr w:type="spellStart"/>
            <w:r w:rsidRPr="00763C24">
              <w:rPr>
                <w:rFonts w:ascii="Arial Narrow" w:hAnsi="Arial Narrow" w:cs="Arial Narrow"/>
                <w:i/>
                <w:iCs/>
                <w:color w:val="000000"/>
                <w:sz w:val="16"/>
                <w:szCs w:val="16"/>
              </w:rPr>
              <w:t>rd_e_gerdsc</w:t>
            </w:r>
            <w:proofErr w:type="spellEnd"/>
            <w:r w:rsidRPr="00763C24">
              <w:rPr>
                <w:rFonts w:ascii="Arial Narrow" w:hAnsi="Arial Narrow" w:cs="Arial"/>
                <w:sz w:val="16"/>
                <w:szCs w:val="16"/>
              </w:rPr>
              <w:t>])</w:t>
            </w:r>
            <w:r w:rsidRPr="00763C24">
              <w:rPr>
                <w:rFonts w:ascii="Arial Narrow" w:hAnsi="Arial Narrow" w:cs="Arial Narrow"/>
                <w:i/>
                <w:iCs/>
                <w:color w:val="000000"/>
                <w:sz w:val="16"/>
                <w:szCs w:val="16"/>
              </w:rPr>
              <w:t xml:space="preserve">, </w:t>
            </w:r>
            <w:proofErr w:type="spellStart"/>
            <w:r w:rsidRPr="00763C24">
              <w:rPr>
                <w:rFonts w:ascii="Arial Narrow" w:hAnsi="Arial Narrow" w:cs="Arial Narrow"/>
                <w:i/>
                <w:iCs/>
                <w:color w:val="000000"/>
                <w:sz w:val="16"/>
                <w:szCs w:val="16"/>
              </w:rPr>
              <w:t>Scimago</w:t>
            </w:r>
            <w:proofErr w:type="spellEnd"/>
            <w:r w:rsidRPr="00763C24">
              <w:rPr>
                <w:rFonts w:ascii="Arial Narrow" w:hAnsi="Arial Narrow" w:cs="Arial Narrow"/>
                <w:i/>
                <w:iCs/>
                <w:color w:val="000000"/>
                <w:sz w:val="16"/>
                <w:szCs w:val="16"/>
              </w:rPr>
              <w:t xml:space="preserve"> </w:t>
            </w:r>
            <w:proofErr w:type="spellStart"/>
            <w:r w:rsidRPr="00763C24">
              <w:rPr>
                <w:rFonts w:ascii="Arial Narrow" w:hAnsi="Arial Narrow" w:cs="Arial Narrow"/>
                <w:i/>
                <w:iCs/>
                <w:color w:val="000000"/>
                <w:sz w:val="16"/>
                <w:szCs w:val="16"/>
              </w:rPr>
              <w:t>Journal</w:t>
            </w:r>
            <w:proofErr w:type="spellEnd"/>
            <w:r w:rsidRPr="00763C24">
              <w:rPr>
                <w:rFonts w:ascii="Arial Narrow" w:hAnsi="Arial Narrow" w:cs="Arial Narrow"/>
                <w:i/>
                <w:iCs/>
                <w:color w:val="000000"/>
                <w:sz w:val="16"/>
                <w:szCs w:val="16"/>
              </w:rPr>
              <w:t xml:space="preserve"> </w:t>
            </w:r>
            <w:proofErr w:type="spellStart"/>
            <w:r w:rsidRPr="00763C24">
              <w:rPr>
                <w:rFonts w:ascii="Arial Narrow" w:hAnsi="Arial Narrow" w:cs="Arial Narrow"/>
                <w:i/>
                <w:iCs/>
                <w:color w:val="000000"/>
                <w:sz w:val="16"/>
                <w:szCs w:val="16"/>
              </w:rPr>
              <w:t>Rank</w:t>
            </w:r>
            <w:proofErr w:type="spellEnd"/>
          </w:p>
        </w:tc>
        <w:tc>
          <w:tcPr>
            <w:tcW w:w="193" w:type="dxa"/>
            <w:tcBorders>
              <w:top w:val="nil"/>
              <w:left w:val="nil"/>
              <w:bottom w:val="nil"/>
              <w:right w:val="nil"/>
            </w:tcBorders>
            <w:vAlign w:val="center"/>
          </w:tcPr>
          <w:p w14:paraId="1D3077FC" w14:textId="77777777" w:rsidR="00763C24" w:rsidRPr="00763C24" w:rsidRDefault="00763C24" w:rsidP="005B2D64">
            <w:pPr>
              <w:spacing w:after="120" w:line="240" w:lineRule="auto"/>
              <w:jc w:val="right"/>
              <w:rPr>
                <w:rFonts w:ascii="Arial Narrow" w:hAnsi="Arial Narrow" w:cs="Arial"/>
                <w:highlight w:val="yellow"/>
              </w:rPr>
            </w:pPr>
          </w:p>
        </w:tc>
        <w:tc>
          <w:tcPr>
            <w:tcW w:w="4592" w:type="dxa"/>
            <w:tcBorders>
              <w:top w:val="single" w:sz="4" w:space="0" w:color="auto"/>
              <w:left w:val="nil"/>
              <w:bottom w:val="nil"/>
              <w:right w:val="nil"/>
            </w:tcBorders>
            <w:vAlign w:val="center"/>
          </w:tcPr>
          <w:p w14:paraId="6777D144" w14:textId="77777777" w:rsidR="00763C24" w:rsidRPr="00763C24" w:rsidRDefault="00763C24" w:rsidP="005B2D64">
            <w:pPr>
              <w:spacing w:after="120" w:line="240" w:lineRule="auto"/>
              <w:jc w:val="right"/>
              <w:rPr>
                <w:rFonts w:ascii="Arial Narrow" w:hAnsi="Arial Narrow" w:cs="Arial"/>
                <w:sz w:val="16"/>
                <w:szCs w:val="16"/>
                <w:highlight w:val="yellow"/>
              </w:rPr>
            </w:pPr>
            <w:r w:rsidRPr="00763C24">
              <w:rPr>
                <w:rFonts w:ascii="Arial Narrow" w:hAnsi="Arial Narrow" w:cs="Arial Narrow"/>
                <w:i/>
                <w:iCs/>
                <w:color w:val="000000"/>
                <w:sz w:val="16"/>
                <w:szCs w:val="16"/>
              </w:rPr>
              <w:t xml:space="preserve">Zdroj: PISA 2015, OECD </w:t>
            </w:r>
          </w:p>
        </w:tc>
      </w:tr>
    </w:tbl>
    <w:p w14:paraId="026A3DFF" w14:textId="77777777" w:rsidR="00763C24" w:rsidRPr="00763C24" w:rsidRDefault="00763C24" w:rsidP="00763C24">
      <w:pPr>
        <w:spacing w:after="0" w:line="240" w:lineRule="auto"/>
        <w:jc w:val="both"/>
        <w:rPr>
          <w:rFonts w:ascii="Arial Narrow" w:hAnsi="Arial Narrow"/>
          <w:bCs/>
          <w:color w:val="000000"/>
          <w:highlight w:val="yellow"/>
        </w:rPr>
      </w:pPr>
    </w:p>
    <w:p w14:paraId="02773260" w14:textId="77BFF7DC" w:rsidR="00A57A55" w:rsidRDefault="00A57A55" w:rsidP="00A57A55">
      <w:pPr>
        <w:spacing w:after="0" w:line="240" w:lineRule="auto"/>
        <w:jc w:val="both"/>
        <w:rPr>
          <w:rFonts w:ascii="Arial Narrow" w:hAnsi="Arial Narrow" w:cs="Arial"/>
          <w:bCs/>
        </w:rPr>
      </w:pPr>
      <w:r>
        <w:rPr>
          <w:rFonts w:ascii="Arial Narrow" w:hAnsi="Arial Narrow" w:cs="Arial"/>
          <w:b/>
          <w:bCs/>
        </w:rPr>
        <w:t>Novo navrhnutá transformácia kreditového príplatku negarantuje</w:t>
      </w:r>
      <w:r w:rsidR="00251311">
        <w:rPr>
          <w:rFonts w:ascii="Arial Narrow" w:hAnsi="Arial Narrow" w:cs="Arial"/>
          <w:b/>
          <w:bCs/>
        </w:rPr>
        <w:t xml:space="preserve"> </w:t>
      </w:r>
      <w:r>
        <w:rPr>
          <w:rFonts w:ascii="Arial Narrow" w:hAnsi="Arial Narrow" w:cs="Arial"/>
          <w:b/>
          <w:bCs/>
        </w:rPr>
        <w:t xml:space="preserve">prepojenie odmeňovania na hodnotenie kvality výkonu. </w:t>
      </w:r>
      <w:r w:rsidRPr="00EC0DE8">
        <w:rPr>
          <w:rFonts w:ascii="Arial Narrow" w:hAnsi="Arial Narrow" w:cs="Arial"/>
          <w:b/>
          <w:bCs/>
        </w:rPr>
        <w:t xml:space="preserve"> </w:t>
      </w:r>
      <w:r w:rsidRPr="00763C24">
        <w:rPr>
          <w:rFonts w:ascii="Arial Narrow" w:hAnsi="Arial Narrow" w:cs="Arial"/>
          <w:bCs/>
        </w:rPr>
        <w:t xml:space="preserve">Obťažnosť zavádzania výraznejších zmien v školstve demonštruje aj formálne ukončenie kreditového príplatku za kontinuálne vzdelávanie učiteľov. Revízia výdavkov odporúčala zrušiť </w:t>
      </w:r>
      <w:r>
        <w:rPr>
          <w:rFonts w:ascii="Arial Narrow" w:hAnsi="Arial Narrow" w:cs="Arial"/>
          <w:bCs/>
        </w:rPr>
        <w:t xml:space="preserve">príplatky za získavanie kreditov </w:t>
      </w:r>
      <w:r w:rsidRPr="00763C24">
        <w:rPr>
          <w:rFonts w:ascii="Arial Narrow" w:hAnsi="Arial Narrow" w:cs="Arial"/>
          <w:bCs/>
        </w:rPr>
        <w:t xml:space="preserve">v prospech vyššieho podielu netarifnej zložky platu. </w:t>
      </w:r>
      <w:r>
        <w:rPr>
          <w:rFonts w:ascii="Arial Narrow" w:hAnsi="Arial Narrow" w:cs="Arial"/>
          <w:bCs/>
        </w:rPr>
        <w:t xml:space="preserve">Toto opatrenie má za cieľ </w:t>
      </w:r>
      <w:r w:rsidRPr="00763C24">
        <w:rPr>
          <w:rFonts w:ascii="Arial Narrow" w:hAnsi="Arial Narrow" w:cs="Arial"/>
          <w:bCs/>
        </w:rPr>
        <w:t>eliminova</w:t>
      </w:r>
      <w:r>
        <w:rPr>
          <w:rFonts w:ascii="Arial Narrow" w:hAnsi="Arial Narrow" w:cs="Arial"/>
          <w:bCs/>
        </w:rPr>
        <w:t>ť</w:t>
      </w:r>
      <w:r w:rsidR="00251311">
        <w:rPr>
          <w:rFonts w:ascii="Arial Narrow" w:hAnsi="Arial Narrow" w:cs="Arial"/>
          <w:bCs/>
        </w:rPr>
        <w:t xml:space="preserve"> </w:t>
      </w:r>
      <w:r w:rsidRPr="00763C24">
        <w:rPr>
          <w:rFonts w:ascii="Arial Narrow" w:hAnsi="Arial Narrow" w:cs="Arial"/>
          <w:bCs/>
        </w:rPr>
        <w:t xml:space="preserve">negatívne motivácie učiteľov absolvovať kurzy kontinuálneho vzdelávania za účelom získania príplatku a umožnilo by využiť uvoľnené prostriedky na odmeňovanie, ktoré by sa odvíjalo od </w:t>
      </w:r>
      <w:r>
        <w:rPr>
          <w:rFonts w:ascii="Arial Narrow" w:hAnsi="Arial Narrow" w:cs="Arial"/>
          <w:bCs/>
        </w:rPr>
        <w:t>hodnotenia kvality výkonu (osobné príplatky)</w:t>
      </w:r>
      <w:r w:rsidRPr="00763C24">
        <w:rPr>
          <w:rFonts w:ascii="Arial Narrow" w:hAnsi="Arial Narrow" w:cs="Arial"/>
          <w:bCs/>
        </w:rPr>
        <w:t xml:space="preserve">. V súčasnom návrhu zákona je kreditový príspevok pretransformovaný na príplatok za profesijný rozvoj, ktorého získanie sa opäť viaže na </w:t>
      </w:r>
      <w:r>
        <w:rPr>
          <w:rFonts w:ascii="Arial Narrow" w:hAnsi="Arial Narrow" w:cs="Arial"/>
          <w:bCs/>
        </w:rPr>
        <w:t>absolvovanie definovaných druhov vzde</w:t>
      </w:r>
      <w:r w:rsidR="00910016">
        <w:rPr>
          <w:rFonts w:ascii="Arial Narrow" w:hAnsi="Arial Narrow" w:cs="Arial"/>
          <w:bCs/>
        </w:rPr>
        <w:t>lávania</w:t>
      </w:r>
      <w:r w:rsidRPr="00763C24">
        <w:rPr>
          <w:rFonts w:ascii="Arial Narrow" w:hAnsi="Arial Narrow" w:cs="Arial"/>
          <w:bCs/>
          <w:vertAlign w:val="superscript"/>
        </w:rPr>
        <w:footnoteReference w:id="59"/>
      </w:r>
      <w:r w:rsidRPr="00763C24">
        <w:rPr>
          <w:rFonts w:ascii="Arial Narrow" w:hAnsi="Arial Narrow" w:cs="Arial"/>
          <w:bCs/>
        </w:rPr>
        <w:t>.</w:t>
      </w:r>
    </w:p>
    <w:p w14:paraId="6171A036" w14:textId="77777777" w:rsidR="00763C24" w:rsidRPr="00763C24" w:rsidRDefault="00763C24" w:rsidP="00763C24">
      <w:pPr>
        <w:spacing w:after="0" w:line="240" w:lineRule="auto"/>
        <w:jc w:val="both"/>
        <w:rPr>
          <w:rFonts w:ascii="Arial Narrow" w:hAnsi="Arial Narrow" w:cs="Arial"/>
          <w:bCs/>
        </w:rPr>
      </w:pPr>
    </w:p>
    <w:p w14:paraId="5F1C1354" w14:textId="71A98CA8" w:rsidR="00763C24" w:rsidRPr="00763C24" w:rsidRDefault="00763C24" w:rsidP="00763C24">
      <w:pPr>
        <w:spacing w:after="0" w:line="240" w:lineRule="auto"/>
        <w:jc w:val="both"/>
        <w:rPr>
          <w:rFonts w:ascii="Arial Narrow" w:hAnsi="Arial Narrow" w:cs="Arial"/>
          <w:bCs/>
        </w:rPr>
      </w:pPr>
      <w:r w:rsidRPr="005B2D64">
        <w:rPr>
          <w:rFonts w:ascii="Arial Narrow" w:hAnsi="Arial Narrow" w:cs="Arial"/>
          <w:b/>
          <w:bCs/>
        </w:rPr>
        <w:t xml:space="preserve">Dlhodobá stratégia </w:t>
      </w:r>
      <w:r w:rsidR="00BB78F4">
        <w:rPr>
          <w:rFonts w:ascii="Arial Narrow" w:hAnsi="Arial Narrow" w:cs="Arial"/>
          <w:b/>
          <w:bCs/>
        </w:rPr>
        <w:t xml:space="preserve">reaguje na najväčšie výzvy vo vzdelávaní. </w:t>
      </w:r>
      <w:r w:rsidRPr="00763C24">
        <w:rPr>
          <w:rFonts w:ascii="Arial Narrow" w:hAnsi="Arial Narrow" w:cs="Arial"/>
          <w:bCs/>
        </w:rPr>
        <w:t>V júni 2018 bol schválený Národný program rozvoja výchovy a vzdelávania (NPRVV)</w:t>
      </w:r>
      <w:r w:rsidR="005B2D64">
        <w:rPr>
          <w:rStyle w:val="Odkaznapoznmkupodiarou"/>
          <w:rFonts w:ascii="Arial Narrow" w:hAnsi="Arial Narrow" w:cs="Arial"/>
          <w:bCs/>
        </w:rPr>
        <w:footnoteReference w:id="60"/>
      </w:r>
      <w:r w:rsidR="00E80740">
        <w:rPr>
          <w:rFonts w:ascii="Arial Narrow" w:hAnsi="Arial Narrow" w:cs="Arial"/>
          <w:bCs/>
        </w:rPr>
        <w:t>.</w:t>
      </w:r>
      <w:r w:rsidR="00BB78F4">
        <w:rPr>
          <w:rFonts w:ascii="Arial Narrow" w:hAnsi="Arial Narrow" w:cs="Arial"/>
          <w:bCs/>
        </w:rPr>
        <w:t xml:space="preserve"> </w:t>
      </w:r>
      <w:r w:rsidR="00CD4C35">
        <w:rPr>
          <w:rFonts w:ascii="Arial Narrow" w:hAnsi="Arial Narrow" w:cs="Arial"/>
          <w:bCs/>
        </w:rPr>
        <w:t xml:space="preserve">Ide o </w:t>
      </w:r>
      <w:r w:rsidRPr="00763C24">
        <w:rPr>
          <w:rFonts w:ascii="Arial Narrow" w:hAnsi="Arial Narrow" w:cs="Arial"/>
          <w:bCs/>
        </w:rPr>
        <w:t>dlhodobú koncepciu rozvoja výchovy a vzdelávania, ktorá pokrýva zámery a ciele SR v uvedenej oblasti na obdobie 10 rokov. Ministerstvo bude napĺňať opatrenia prvého akčného plánu NPRVV, ktorý schvá</w:t>
      </w:r>
      <w:r w:rsidR="00CD4C35">
        <w:rPr>
          <w:rFonts w:ascii="Arial Narrow" w:hAnsi="Arial Narrow" w:cs="Arial"/>
          <w:bCs/>
        </w:rPr>
        <w:t xml:space="preserve">lila vláda na roky 2018 a </w:t>
      </w:r>
      <w:r w:rsidRPr="00763C24">
        <w:rPr>
          <w:rFonts w:ascii="Arial Narrow" w:hAnsi="Arial Narrow" w:cs="Arial"/>
          <w:bCs/>
        </w:rPr>
        <w:t>2019. Kľúčové opatrenia z prvého akčného plánu sú aj súčasťou Národného programu reforiem 2019. Do konca roka 2019 pripraví ministerstvo aktualizáciu opatrení akčných plánov NPRVV na ďalšie roky.</w:t>
      </w:r>
    </w:p>
    <w:p w14:paraId="531E63F1" w14:textId="77777777" w:rsidR="005B2D64" w:rsidRPr="005B2D64" w:rsidRDefault="005B2D64" w:rsidP="005B2D64">
      <w:pPr>
        <w:spacing w:line="240" w:lineRule="auto"/>
        <w:jc w:val="both"/>
        <w:rPr>
          <w:rFonts w:ascii="Arial Narrow" w:hAnsi="Arial Narrow"/>
        </w:rPr>
      </w:pPr>
    </w:p>
    <w:p w14:paraId="4CBDA34D" w14:textId="77777777" w:rsidR="007D2A8B" w:rsidRPr="005B2D64" w:rsidRDefault="007D2A8B" w:rsidP="007D2A8B">
      <w:pPr>
        <w:keepNext/>
        <w:keepLines/>
        <w:numPr>
          <w:ilvl w:val="2"/>
          <w:numId w:val="1"/>
        </w:numPr>
        <w:spacing w:before="200" w:after="240" w:line="240" w:lineRule="auto"/>
        <w:ind w:left="720"/>
        <w:jc w:val="both"/>
        <w:outlineLvl w:val="1"/>
        <w:rPr>
          <w:rFonts w:ascii="Arial Narrow" w:eastAsiaTheme="majorEastAsia" w:hAnsi="Arial Narrow" w:cstheme="majorBidi"/>
          <w:b/>
          <w:bCs/>
          <w:color w:val="2C9ADC"/>
          <w:sz w:val="28"/>
        </w:rPr>
      </w:pPr>
      <w:bookmarkStart w:id="30" w:name="_Toc4766836"/>
      <w:bookmarkStart w:id="31" w:name="_Toc480749806"/>
      <w:r w:rsidRPr="005B2D64">
        <w:rPr>
          <w:rFonts w:ascii="Arial Narrow" w:eastAsiaTheme="majorEastAsia" w:hAnsi="Arial Narrow" w:cstheme="majorBidi"/>
          <w:b/>
          <w:bCs/>
          <w:color w:val="2C9ADC"/>
          <w:sz w:val="28"/>
        </w:rPr>
        <w:t>Regionálne školstvo</w:t>
      </w:r>
      <w:bookmarkEnd w:id="30"/>
      <w:r w:rsidRPr="005B2D64">
        <w:rPr>
          <w:rFonts w:ascii="Arial Narrow" w:eastAsiaTheme="majorEastAsia" w:hAnsi="Arial Narrow" w:cstheme="majorBidi"/>
          <w:b/>
          <w:bCs/>
          <w:color w:val="2C9ADC"/>
          <w:sz w:val="28"/>
        </w:rPr>
        <w:t xml:space="preserve"> </w:t>
      </w:r>
    </w:p>
    <w:bookmarkEnd w:id="31"/>
    <w:p w14:paraId="513FCFF4" w14:textId="77777777" w:rsidR="00763C24" w:rsidRDefault="00763C24" w:rsidP="00763C24">
      <w:pPr>
        <w:autoSpaceDE w:val="0"/>
        <w:autoSpaceDN w:val="0"/>
        <w:adjustRightInd w:val="0"/>
        <w:spacing w:after="0" w:line="240" w:lineRule="auto"/>
        <w:rPr>
          <w:rFonts w:ascii="Arial Narrow" w:hAnsi="Arial Narrow"/>
          <w:b/>
          <w:bCs/>
          <w:i/>
          <w:iCs/>
          <w:color w:val="000000"/>
        </w:rPr>
      </w:pPr>
      <w:r w:rsidRPr="00763C24">
        <w:rPr>
          <w:rFonts w:ascii="Arial Narrow" w:hAnsi="Arial Narrow"/>
          <w:b/>
          <w:bCs/>
          <w:i/>
          <w:iCs/>
          <w:color w:val="000000"/>
        </w:rPr>
        <w:t>Zvyšovanie atraktivity, podpora učiteľského povolania a vyššia kvalita výstupov</w:t>
      </w:r>
    </w:p>
    <w:p w14:paraId="1819AA72" w14:textId="56C257B2" w:rsidR="00BB78F4" w:rsidRDefault="00D76BBF" w:rsidP="005B2D64">
      <w:pPr>
        <w:autoSpaceDE w:val="0"/>
        <w:autoSpaceDN w:val="0"/>
        <w:adjustRightInd w:val="0"/>
        <w:spacing w:after="0" w:line="240" w:lineRule="auto"/>
        <w:jc w:val="both"/>
        <w:rPr>
          <w:rFonts w:ascii="Arial Narrow" w:hAnsi="Arial Narrow"/>
          <w:color w:val="000000"/>
        </w:rPr>
      </w:pPr>
      <w:r w:rsidRPr="00D76BBF">
        <w:rPr>
          <w:rFonts w:ascii="Arial Narrow" w:hAnsi="Arial Narrow"/>
          <w:b/>
          <w:bCs/>
          <w:iCs/>
        </w:rPr>
        <w:t>V oblasti regionálneho školstva sa bude pokračovať vo zvyšovaní atraktivity učiteľského povolania.</w:t>
      </w:r>
      <w:r>
        <w:rPr>
          <w:rFonts w:ascii="Arial Narrow" w:hAnsi="Arial Narrow"/>
          <w:b/>
          <w:bCs/>
          <w:i/>
          <w:iCs/>
        </w:rPr>
        <w:t xml:space="preserve"> </w:t>
      </w:r>
      <w:r w:rsidR="00763C24" w:rsidRPr="00D76BBF">
        <w:rPr>
          <w:rFonts w:ascii="Arial Narrow" w:hAnsi="Arial Narrow"/>
          <w:color w:val="000000"/>
        </w:rPr>
        <w:t>Platy učiteľov sa budú naďalej postupne približovať platom vysokoškolsky vzdelaných zamestnancov</w:t>
      </w:r>
      <w:r w:rsidR="00763C24" w:rsidRPr="00D76BBF">
        <w:rPr>
          <w:rFonts w:ascii="Arial Narrow" w:hAnsi="Arial Narrow"/>
          <w:color w:val="000000"/>
          <w:vertAlign w:val="superscript"/>
        </w:rPr>
        <w:footnoteReference w:id="61"/>
      </w:r>
      <w:r w:rsidR="00763C24" w:rsidRPr="00D76BBF">
        <w:rPr>
          <w:rFonts w:ascii="Arial Narrow" w:hAnsi="Arial Narrow"/>
          <w:color w:val="000000"/>
        </w:rPr>
        <w:t>. Platové tarify v školstve</w:t>
      </w:r>
      <w:r w:rsidR="005B2D64" w:rsidRPr="00D76BBF">
        <w:rPr>
          <w:rFonts w:ascii="Arial Narrow" w:hAnsi="Arial Narrow"/>
          <w:color w:val="000000"/>
        </w:rPr>
        <w:t xml:space="preserve"> sa zvýšili od </w:t>
      </w:r>
      <w:r w:rsidR="00763C24" w:rsidRPr="00D76BBF">
        <w:rPr>
          <w:rFonts w:ascii="Arial Narrow" w:hAnsi="Arial Narrow"/>
          <w:color w:val="000000"/>
        </w:rPr>
        <w:t>januára 2019 o 10</w:t>
      </w:r>
      <w:r w:rsidR="00910016">
        <w:rPr>
          <w:rFonts w:ascii="Arial Narrow" w:hAnsi="Arial Narrow"/>
          <w:color w:val="000000"/>
        </w:rPr>
        <w:t> %</w:t>
      </w:r>
      <w:r w:rsidR="005B2D64" w:rsidRPr="00D76BBF">
        <w:rPr>
          <w:rFonts w:ascii="Arial Narrow" w:hAnsi="Arial Narrow"/>
          <w:color w:val="000000"/>
        </w:rPr>
        <w:t xml:space="preserve">, rovnaké navýšenie sa bude </w:t>
      </w:r>
      <w:r w:rsidR="00763C24" w:rsidRPr="00D76BBF">
        <w:rPr>
          <w:rFonts w:ascii="Arial Narrow" w:hAnsi="Arial Narrow"/>
          <w:color w:val="000000"/>
        </w:rPr>
        <w:t>realizovať aj od</w:t>
      </w:r>
      <w:r w:rsidR="005B2D64" w:rsidRPr="00D76BBF">
        <w:rPr>
          <w:rFonts w:ascii="Arial Narrow" w:hAnsi="Arial Narrow"/>
          <w:color w:val="000000"/>
        </w:rPr>
        <w:t xml:space="preserve"> </w:t>
      </w:r>
      <w:r w:rsidR="00763C24" w:rsidRPr="00D76BBF">
        <w:rPr>
          <w:rFonts w:ascii="Arial Narrow" w:hAnsi="Arial Narrow"/>
          <w:color w:val="000000"/>
        </w:rPr>
        <w:t xml:space="preserve">januára 2020. Nad rámec týchto zvýšení </w:t>
      </w:r>
      <w:r w:rsidR="00C03921">
        <w:rPr>
          <w:rFonts w:ascii="Arial Narrow" w:hAnsi="Arial Narrow"/>
          <w:color w:val="000000"/>
        </w:rPr>
        <w:t>rozpočet uvažuje s</w:t>
      </w:r>
      <w:r w:rsidR="00763C24" w:rsidRPr="00D76BBF">
        <w:rPr>
          <w:rFonts w:ascii="Arial Narrow" w:hAnsi="Arial Narrow"/>
          <w:color w:val="000000"/>
        </w:rPr>
        <w:t xml:space="preserve"> nav</w:t>
      </w:r>
      <w:r w:rsidR="00C03921">
        <w:rPr>
          <w:rFonts w:ascii="Arial Narrow" w:hAnsi="Arial Narrow"/>
          <w:color w:val="000000"/>
        </w:rPr>
        <w:t>ýšením</w:t>
      </w:r>
      <w:r w:rsidR="00763C24" w:rsidRPr="00D76BBF">
        <w:rPr>
          <w:rFonts w:ascii="Arial Narrow" w:hAnsi="Arial Narrow"/>
          <w:color w:val="000000"/>
        </w:rPr>
        <w:t xml:space="preserve"> tarifných platov pre začínajúcich učiteľov</w:t>
      </w:r>
      <w:r w:rsidR="00C03921">
        <w:rPr>
          <w:rFonts w:ascii="Arial Narrow" w:hAnsi="Arial Narrow"/>
          <w:color w:val="000000"/>
        </w:rPr>
        <w:t xml:space="preserve"> od septembra 2019</w:t>
      </w:r>
      <w:r w:rsidR="00763C24" w:rsidRPr="00D76BBF">
        <w:rPr>
          <w:rFonts w:ascii="Arial Narrow" w:hAnsi="Arial Narrow"/>
          <w:color w:val="000000"/>
          <w:vertAlign w:val="superscript"/>
        </w:rPr>
        <w:footnoteReference w:id="62"/>
      </w:r>
      <w:r w:rsidR="00763C24" w:rsidRPr="00D76BBF">
        <w:rPr>
          <w:rFonts w:ascii="Arial Narrow" w:hAnsi="Arial Narrow"/>
          <w:color w:val="000000"/>
        </w:rPr>
        <w:t xml:space="preserve">. </w:t>
      </w:r>
      <w:r w:rsidR="002A0437">
        <w:rPr>
          <w:rFonts w:ascii="Arial Narrow" w:hAnsi="Arial Narrow"/>
          <w:color w:val="000000"/>
        </w:rPr>
        <w:t>V roku 2019 sa z</w:t>
      </w:r>
      <w:r w:rsidR="00BB78F4" w:rsidRPr="00D76BBF">
        <w:rPr>
          <w:rFonts w:ascii="Arial Narrow" w:hAnsi="Arial Narrow"/>
          <w:color w:val="000000"/>
        </w:rPr>
        <w:t>verejní analýza výsledkov prieskumu atraktivity učiteľského povolania</w:t>
      </w:r>
      <w:r w:rsidR="00BB78F4" w:rsidRPr="00D76BBF">
        <w:rPr>
          <w:rFonts w:ascii="Arial Narrow" w:hAnsi="Arial Narrow"/>
          <w:color w:val="000000"/>
          <w:vertAlign w:val="superscript"/>
        </w:rPr>
        <w:footnoteReference w:id="63"/>
      </w:r>
      <w:r w:rsidR="00BB78F4" w:rsidRPr="00D76BBF">
        <w:rPr>
          <w:rFonts w:ascii="Arial Narrow" w:hAnsi="Arial Narrow"/>
          <w:color w:val="000000"/>
        </w:rPr>
        <w:t xml:space="preserve"> pre adresnejšie odporúčania v danej oblasti</w:t>
      </w:r>
      <w:r w:rsidR="003E65FF">
        <w:rPr>
          <w:rFonts w:ascii="Arial Narrow" w:hAnsi="Arial Narrow"/>
          <w:color w:val="000000"/>
        </w:rPr>
        <w:t>.</w:t>
      </w:r>
    </w:p>
    <w:p w14:paraId="2BAC92FC" w14:textId="77777777" w:rsidR="00BB78F4" w:rsidRDefault="00BB78F4" w:rsidP="005B2D64">
      <w:pPr>
        <w:autoSpaceDE w:val="0"/>
        <w:autoSpaceDN w:val="0"/>
        <w:adjustRightInd w:val="0"/>
        <w:spacing w:after="0" w:line="240" w:lineRule="auto"/>
        <w:jc w:val="both"/>
        <w:rPr>
          <w:rFonts w:ascii="Arial Narrow" w:hAnsi="Arial Narrow"/>
          <w:color w:val="000000"/>
        </w:rPr>
      </w:pPr>
    </w:p>
    <w:p w14:paraId="168F9089" w14:textId="0EEBE782" w:rsidR="00BB78F4" w:rsidRDefault="006A594A" w:rsidP="00BB78F4">
      <w:pPr>
        <w:autoSpaceDE w:val="0"/>
        <w:autoSpaceDN w:val="0"/>
        <w:adjustRightInd w:val="0"/>
        <w:spacing w:after="0" w:line="240" w:lineRule="auto"/>
        <w:jc w:val="both"/>
        <w:rPr>
          <w:rFonts w:ascii="Arial Narrow" w:hAnsi="Arial Narrow"/>
          <w:color w:val="000000"/>
        </w:rPr>
      </w:pPr>
      <w:r w:rsidRPr="0062680A">
        <w:rPr>
          <w:rFonts w:ascii="Arial Narrow" w:hAnsi="Arial Narrow"/>
          <w:b/>
          <w:color w:val="000000"/>
        </w:rPr>
        <w:t>Opatrenia na zlepšenie kvality výučby budú klásť dôraz na zvýšenie podielu praktickej prípravy budúcich učiteľov.</w:t>
      </w:r>
      <w:r>
        <w:rPr>
          <w:rFonts w:ascii="Arial Narrow" w:hAnsi="Arial Narrow"/>
          <w:color w:val="000000"/>
        </w:rPr>
        <w:t xml:space="preserve"> </w:t>
      </w:r>
      <w:r w:rsidR="00BC1D04">
        <w:rPr>
          <w:rFonts w:ascii="Arial Narrow" w:hAnsi="Arial Narrow"/>
          <w:color w:val="000000"/>
        </w:rPr>
        <w:t>Zverejní sa dopytová výzva zameraná</w:t>
      </w:r>
      <w:r w:rsidR="00763C24" w:rsidRPr="00D76BBF">
        <w:rPr>
          <w:rFonts w:ascii="Arial Narrow" w:hAnsi="Arial Narrow"/>
          <w:color w:val="000000"/>
        </w:rPr>
        <w:t xml:space="preserve"> na skvalitnenie prípravy učiteľov, v rámci ktorej sa posilní spolupráca medz</w:t>
      </w:r>
      <w:r w:rsidR="00910016">
        <w:rPr>
          <w:rFonts w:ascii="Arial Narrow" w:hAnsi="Arial Narrow"/>
          <w:color w:val="000000"/>
        </w:rPr>
        <w:t xml:space="preserve">i vysokými školami poskytujúcich </w:t>
      </w:r>
      <w:r w:rsidR="00763C24" w:rsidRPr="00D76BBF">
        <w:rPr>
          <w:rFonts w:ascii="Arial Narrow" w:hAnsi="Arial Narrow"/>
          <w:color w:val="000000"/>
        </w:rPr>
        <w:t xml:space="preserve">vzdelávanie v učiteľských odboroch a školami </w:t>
      </w:r>
      <w:r w:rsidR="00763C24" w:rsidRPr="00D76BBF">
        <w:rPr>
          <w:rFonts w:ascii="Arial Narrow" w:hAnsi="Arial Narrow"/>
          <w:color w:val="000000"/>
        </w:rPr>
        <w:lastRenderedPageBreak/>
        <w:t>umožňujúcimi praktickú prípravu budúcich učiteľov.</w:t>
      </w:r>
      <w:r w:rsidR="00BB78F4" w:rsidRPr="00D76BBF">
        <w:rPr>
          <w:rFonts w:ascii="Arial Narrow" w:hAnsi="Arial Narrow"/>
          <w:color w:val="000000"/>
        </w:rPr>
        <w:t xml:space="preserve"> Takisto sa zverejní analýza systému prípravy učiteľov v porovnaní  so zahraničím s cieľom identifikovať slabé a silné stránky súčasného stavu. </w:t>
      </w:r>
    </w:p>
    <w:p w14:paraId="1CA89A15" w14:textId="77777777" w:rsidR="00BB78F4" w:rsidRDefault="00BB78F4" w:rsidP="005B2D64">
      <w:pPr>
        <w:autoSpaceDE w:val="0"/>
        <w:autoSpaceDN w:val="0"/>
        <w:adjustRightInd w:val="0"/>
        <w:spacing w:after="0" w:line="240" w:lineRule="auto"/>
        <w:jc w:val="both"/>
        <w:rPr>
          <w:rFonts w:ascii="Arial Narrow" w:hAnsi="Arial Narrow"/>
          <w:color w:val="000000"/>
        </w:rPr>
      </w:pPr>
    </w:p>
    <w:p w14:paraId="0B2BE7F5" w14:textId="296B9F3E" w:rsidR="00763C24" w:rsidRPr="00D76BBF" w:rsidRDefault="006A594A" w:rsidP="005B2D64">
      <w:pPr>
        <w:autoSpaceDE w:val="0"/>
        <w:autoSpaceDN w:val="0"/>
        <w:adjustRightInd w:val="0"/>
        <w:spacing w:after="0" w:line="240" w:lineRule="auto"/>
        <w:jc w:val="both"/>
        <w:rPr>
          <w:rFonts w:ascii="Arial Narrow" w:hAnsi="Arial Narrow"/>
          <w:color w:val="000000"/>
        </w:rPr>
      </w:pPr>
      <w:r w:rsidRPr="0062680A">
        <w:rPr>
          <w:rFonts w:ascii="Arial Narrow" w:hAnsi="Arial Narrow"/>
          <w:b/>
          <w:color w:val="000000"/>
        </w:rPr>
        <w:t xml:space="preserve">Rezort školstva sa zameria aj na opatrenia zlepšujúce manažment v regionálnom školstve. </w:t>
      </w:r>
      <w:r w:rsidR="003327B8">
        <w:rPr>
          <w:rFonts w:ascii="Arial Narrow" w:hAnsi="Arial Narrow"/>
          <w:color w:val="000000"/>
        </w:rPr>
        <w:t xml:space="preserve">Budú vydané </w:t>
      </w:r>
      <w:r w:rsidR="00BB78F4" w:rsidRPr="00D76BBF">
        <w:rPr>
          <w:rFonts w:ascii="Arial Narrow" w:hAnsi="Arial Narrow"/>
          <w:color w:val="000000"/>
        </w:rPr>
        <w:t xml:space="preserve"> záväzné požiadavky na obsah vzdelávania pre riadiacich pracovníkov v školstve s cieľom zlepšenia kvality riadenia a zverejní </w:t>
      </w:r>
      <w:r w:rsidR="00BB78F4" w:rsidRPr="00175418">
        <w:rPr>
          <w:rFonts w:ascii="Arial Narrow" w:hAnsi="Arial Narrow"/>
          <w:i/>
          <w:color w:val="000000"/>
        </w:rPr>
        <w:t>Etický kódex učiteľa</w:t>
      </w:r>
      <w:r w:rsidR="00BB78F4" w:rsidRPr="00D76BBF">
        <w:rPr>
          <w:rFonts w:ascii="Arial Narrow" w:hAnsi="Arial Narrow"/>
          <w:color w:val="000000"/>
        </w:rPr>
        <w:t xml:space="preserve">. </w:t>
      </w:r>
      <w:r w:rsidR="00A57A55">
        <w:rPr>
          <w:rFonts w:ascii="Arial Narrow" w:hAnsi="Arial Narrow"/>
          <w:color w:val="000000"/>
        </w:rPr>
        <w:t xml:space="preserve">Upravia sa podmienky na zaraďovanie a vyraďovanie škôl do/zo siete s cieľom zvýšenia efektívnosti využívania verejných zdrojov. </w:t>
      </w:r>
      <w:r w:rsidR="00D76BBF">
        <w:rPr>
          <w:rFonts w:ascii="Arial Narrow" w:hAnsi="Arial Narrow"/>
          <w:color w:val="000000"/>
        </w:rPr>
        <w:t>Pripraví sa</w:t>
      </w:r>
      <w:r w:rsidR="00763C24" w:rsidRPr="00763C24">
        <w:rPr>
          <w:rFonts w:ascii="Arial Narrow" w:hAnsi="Arial Narrow"/>
          <w:color w:val="000000"/>
        </w:rPr>
        <w:t xml:space="preserve"> zákon o správe v školstve a školskej samospráve</w:t>
      </w:r>
      <w:r w:rsidR="00763C24" w:rsidRPr="00763C24">
        <w:rPr>
          <w:rFonts w:ascii="Arial Narrow" w:hAnsi="Arial Narrow"/>
          <w:color w:val="000000"/>
          <w:vertAlign w:val="superscript"/>
        </w:rPr>
        <w:footnoteReference w:id="64"/>
      </w:r>
      <w:r w:rsidR="00763C24" w:rsidRPr="00763C24">
        <w:rPr>
          <w:rFonts w:ascii="Arial Narrow" w:hAnsi="Arial Narrow"/>
          <w:color w:val="000000"/>
        </w:rPr>
        <w:t>, v ktorom sa nanovo ustanoví najmä</w:t>
      </w:r>
      <w:r w:rsidR="00763C24" w:rsidRPr="00D76BBF">
        <w:rPr>
          <w:rFonts w:ascii="Arial Narrow" w:hAnsi="Arial Narrow"/>
          <w:color w:val="000000"/>
        </w:rPr>
        <w:t xml:space="preserve"> výkon správy škôl a školských zariadení, kompetencie riaditeľa, úlohy orgánov štátnej správy vo vzťahu ku školám a školským zariadeniam, kompetencie zriaďovateľov, orgánov školskej samosprávy (rada školy a žiacka rada) a Štátnej školskej inšpekcie. V oblasti externých testovaní žiakov sa zabezpečí väčšia objektivita písomných skúšok zavedením externého dozoru.</w:t>
      </w:r>
    </w:p>
    <w:p w14:paraId="2E6E4AB1" w14:textId="77777777" w:rsidR="00763C24" w:rsidRPr="00763C24" w:rsidRDefault="00763C24" w:rsidP="00763C24">
      <w:pPr>
        <w:tabs>
          <w:tab w:val="center" w:pos="4536"/>
          <w:tab w:val="right" w:pos="9072"/>
        </w:tabs>
        <w:spacing w:after="0" w:line="240" w:lineRule="auto"/>
        <w:jc w:val="both"/>
        <w:rPr>
          <w:rFonts w:ascii="Arial Narrow" w:hAnsi="Arial Narrow"/>
          <w:b/>
          <w:i/>
        </w:rPr>
      </w:pPr>
    </w:p>
    <w:p w14:paraId="583433FA" w14:textId="77777777" w:rsidR="00763C24" w:rsidRPr="00763C24" w:rsidRDefault="00763C24" w:rsidP="00763C24">
      <w:pPr>
        <w:tabs>
          <w:tab w:val="center" w:pos="4536"/>
          <w:tab w:val="right" w:pos="9072"/>
        </w:tabs>
        <w:spacing w:after="0" w:line="240" w:lineRule="auto"/>
        <w:jc w:val="both"/>
        <w:rPr>
          <w:rFonts w:ascii="Arial Narrow" w:hAnsi="Arial Narrow"/>
          <w:b/>
          <w:i/>
        </w:rPr>
      </w:pPr>
      <w:r w:rsidRPr="00763C24">
        <w:rPr>
          <w:rFonts w:ascii="Arial Narrow" w:hAnsi="Arial Narrow"/>
          <w:b/>
          <w:i/>
        </w:rPr>
        <w:t xml:space="preserve">Prepájanie vzdelávania s potrebami trhu práce </w:t>
      </w:r>
    </w:p>
    <w:p w14:paraId="65BAE931" w14:textId="4540C231" w:rsidR="00763C24" w:rsidRDefault="006A594A" w:rsidP="00D76BBF">
      <w:pPr>
        <w:tabs>
          <w:tab w:val="center" w:pos="4536"/>
          <w:tab w:val="right" w:pos="9072"/>
        </w:tabs>
        <w:spacing w:after="0" w:line="240" w:lineRule="auto"/>
        <w:jc w:val="both"/>
        <w:rPr>
          <w:rFonts w:ascii="Arial Narrow" w:eastAsiaTheme="minorHAnsi" w:hAnsi="Arial Narrow"/>
        </w:rPr>
      </w:pPr>
      <w:r>
        <w:rPr>
          <w:rFonts w:ascii="Arial Narrow" w:hAnsi="Arial Narrow"/>
          <w:b/>
          <w:color w:val="000000"/>
        </w:rPr>
        <w:t>Nové o</w:t>
      </w:r>
      <w:r w:rsidR="00D76BBF" w:rsidRPr="00124DD6">
        <w:rPr>
          <w:rFonts w:ascii="Arial Narrow" w:hAnsi="Arial Narrow"/>
          <w:b/>
          <w:color w:val="000000"/>
        </w:rPr>
        <w:t>patrenia reag</w:t>
      </w:r>
      <w:r>
        <w:rPr>
          <w:rFonts w:ascii="Arial Narrow" w:hAnsi="Arial Narrow"/>
          <w:b/>
          <w:color w:val="000000"/>
        </w:rPr>
        <w:t xml:space="preserve">ujú aj na potrebu lepšieho </w:t>
      </w:r>
      <w:r w:rsidR="00D76BBF" w:rsidRPr="00124DD6">
        <w:rPr>
          <w:rFonts w:ascii="Arial Narrow" w:hAnsi="Arial Narrow"/>
          <w:b/>
          <w:color w:val="000000"/>
        </w:rPr>
        <w:t>zosúladeni</w:t>
      </w:r>
      <w:r>
        <w:rPr>
          <w:rFonts w:ascii="Arial Narrow" w:hAnsi="Arial Narrow"/>
          <w:b/>
          <w:color w:val="000000"/>
        </w:rPr>
        <w:t>a</w:t>
      </w:r>
      <w:r w:rsidR="00D76BBF" w:rsidRPr="00124DD6">
        <w:rPr>
          <w:rFonts w:ascii="Arial Narrow" w:hAnsi="Arial Narrow"/>
          <w:b/>
          <w:color w:val="000000"/>
        </w:rPr>
        <w:t xml:space="preserve"> zručností s požiadavkami trhu práce.</w:t>
      </w:r>
      <w:r w:rsidR="00D76BBF">
        <w:rPr>
          <w:rFonts w:ascii="Arial Narrow" w:hAnsi="Arial Narrow"/>
          <w:color w:val="000000"/>
        </w:rPr>
        <w:t xml:space="preserve"> Vypracujú sa</w:t>
      </w:r>
      <w:r w:rsidR="00763C24" w:rsidRPr="00763C24">
        <w:rPr>
          <w:rFonts w:ascii="Arial Narrow" w:hAnsi="Arial Narrow"/>
          <w:color w:val="000000"/>
        </w:rPr>
        <w:t xml:space="preserve"> východiská a postupy pre tvorbu vzdelávacích programov post- sekundárneho vzdelávania</w:t>
      </w:r>
      <w:r w:rsidR="00763C24" w:rsidRPr="00763C24">
        <w:rPr>
          <w:rFonts w:ascii="Arial Narrow" w:hAnsi="Arial Narrow"/>
          <w:color w:val="000000"/>
          <w:vertAlign w:val="superscript"/>
        </w:rPr>
        <w:footnoteReference w:id="65"/>
      </w:r>
      <w:r w:rsidR="00763C24" w:rsidRPr="00763C24">
        <w:rPr>
          <w:rFonts w:ascii="Arial Narrow" w:hAnsi="Arial Narrow"/>
          <w:color w:val="000000"/>
        </w:rPr>
        <w:t xml:space="preserve"> s cieľom posilniť formálnu </w:t>
      </w:r>
      <w:r w:rsidR="00763C24" w:rsidRPr="00D76BBF">
        <w:rPr>
          <w:rFonts w:ascii="Arial Narrow" w:hAnsi="Arial Narrow"/>
          <w:color w:val="000000"/>
        </w:rPr>
        <w:t>prípravu pre odborné zručnosti s vyššou kvalifikáciou, ktorá v súčasnosti absentuje. Možnosť získať vyššiu úroveň kvalifikácie v odbornom vzdelávaní a príprave zároveň podporí zvýšenie jeho atraktivity v kontexte očakávaných zmien na trhu práce v dôsledku digitalizácie a automatizácie výroby.</w:t>
      </w:r>
      <w:r w:rsidR="00D76BBF">
        <w:rPr>
          <w:rFonts w:ascii="Arial Narrow" w:hAnsi="Arial Narrow"/>
          <w:color w:val="000000"/>
        </w:rPr>
        <w:t xml:space="preserve"> </w:t>
      </w:r>
      <w:r w:rsidR="00A410D0">
        <w:rPr>
          <w:rFonts w:ascii="Arial Narrow" w:eastAsiaTheme="minorHAnsi" w:hAnsi="Arial Narrow"/>
          <w:color w:val="000000"/>
          <w:lang w:eastAsia="en-US"/>
        </w:rPr>
        <w:t>Pre</w:t>
      </w:r>
      <w:r w:rsidR="00763C24" w:rsidRPr="00D76BBF">
        <w:rPr>
          <w:rFonts w:ascii="Arial Narrow" w:eastAsiaTheme="minorHAnsi" w:hAnsi="Arial Narrow"/>
        </w:rPr>
        <w:t xml:space="preserve"> sledova</w:t>
      </w:r>
      <w:r w:rsidR="00A410D0">
        <w:rPr>
          <w:rFonts w:ascii="Arial Narrow" w:eastAsiaTheme="minorHAnsi" w:hAnsi="Arial Narrow"/>
        </w:rPr>
        <w:t>nie</w:t>
      </w:r>
      <w:r w:rsidR="00763C24" w:rsidRPr="00D76BBF">
        <w:rPr>
          <w:rFonts w:ascii="Arial Narrow" w:eastAsiaTheme="minorHAnsi" w:hAnsi="Arial Narrow"/>
        </w:rPr>
        <w:t xml:space="preserve"> uplatneni</w:t>
      </w:r>
      <w:r w:rsidR="00A410D0">
        <w:rPr>
          <w:rFonts w:ascii="Arial Narrow" w:eastAsiaTheme="minorHAnsi" w:hAnsi="Arial Narrow"/>
        </w:rPr>
        <w:t>a</w:t>
      </w:r>
      <w:r w:rsidR="00763C24" w:rsidRPr="00D76BBF">
        <w:rPr>
          <w:rFonts w:ascii="Arial Narrow" w:eastAsiaTheme="minorHAnsi" w:hAnsi="Arial Narrow"/>
        </w:rPr>
        <w:t xml:space="preserve"> absolventov a znižovani</w:t>
      </w:r>
      <w:r w:rsidR="00A410D0">
        <w:rPr>
          <w:rFonts w:ascii="Arial Narrow" w:eastAsiaTheme="minorHAnsi" w:hAnsi="Arial Narrow"/>
        </w:rPr>
        <w:t>e</w:t>
      </w:r>
      <w:r w:rsidR="00763C24" w:rsidRPr="00D76BBF">
        <w:rPr>
          <w:rFonts w:ascii="Arial Narrow" w:eastAsiaTheme="minorHAnsi" w:hAnsi="Arial Narrow"/>
        </w:rPr>
        <w:t xml:space="preserve"> informačnej asymetrie pri rozhodovaní uchádzačov o štúdium sa zabezpečí prepojenie administratívnych databáz Sociálnej poisťovne, </w:t>
      </w:r>
      <w:r w:rsidR="00A410D0">
        <w:rPr>
          <w:rFonts w:ascii="Arial Narrow" w:eastAsiaTheme="minorHAnsi" w:hAnsi="Arial Narrow"/>
        </w:rPr>
        <w:t>ÚPSVR</w:t>
      </w:r>
      <w:r w:rsidR="00D76BBF">
        <w:rPr>
          <w:rFonts w:ascii="Arial Narrow" w:eastAsiaTheme="minorHAnsi" w:hAnsi="Arial Narrow"/>
        </w:rPr>
        <w:t xml:space="preserve"> a </w:t>
      </w:r>
      <w:r w:rsidR="00763C24" w:rsidRPr="00D76BBF">
        <w:rPr>
          <w:rFonts w:ascii="Arial Narrow" w:eastAsiaTheme="minorHAnsi" w:hAnsi="Arial Narrow"/>
        </w:rPr>
        <w:t>MŠVVŠ SR. Zrealizujú sa aj absolventsk</w:t>
      </w:r>
      <w:r w:rsidR="00CD4C35">
        <w:rPr>
          <w:rFonts w:ascii="Arial Narrow" w:eastAsiaTheme="minorHAnsi" w:hAnsi="Arial Narrow"/>
        </w:rPr>
        <w:t xml:space="preserve">é a zamestnávateľské prieskumy. </w:t>
      </w:r>
      <w:r w:rsidR="00175418">
        <w:rPr>
          <w:rFonts w:ascii="Arial Narrow" w:eastAsiaTheme="minorHAnsi" w:hAnsi="Arial Narrow"/>
        </w:rPr>
        <w:t xml:space="preserve">V rámci </w:t>
      </w:r>
      <w:r w:rsidR="00A410D0">
        <w:rPr>
          <w:rFonts w:ascii="Arial Narrow" w:eastAsiaTheme="minorHAnsi" w:hAnsi="Arial Narrow"/>
        </w:rPr>
        <w:t xml:space="preserve">projektu </w:t>
      </w:r>
      <w:r w:rsidR="00763C24" w:rsidRPr="00D76BBF">
        <w:rPr>
          <w:rFonts w:ascii="Arial Narrow" w:eastAsiaTheme="minorHAnsi" w:hAnsi="Arial Narrow"/>
        </w:rPr>
        <w:t xml:space="preserve">OECD </w:t>
      </w:r>
      <w:r w:rsidR="00763C24" w:rsidRPr="00A410D0">
        <w:rPr>
          <w:rFonts w:ascii="Arial Narrow" w:eastAsiaTheme="minorHAnsi" w:hAnsi="Arial Narrow"/>
          <w:i/>
        </w:rPr>
        <w:t>Národná stratégia zručností pre Slovenskú republiku</w:t>
      </w:r>
      <w:r w:rsidR="00763C24" w:rsidRPr="00D76BBF">
        <w:rPr>
          <w:rFonts w:ascii="Arial Narrow" w:eastAsiaTheme="minorHAnsi" w:hAnsi="Arial Narrow"/>
        </w:rPr>
        <w:t xml:space="preserve"> sa v spolupráci s kľúčovými </w:t>
      </w:r>
      <w:r w:rsidR="00910016">
        <w:rPr>
          <w:rFonts w:ascii="Arial Narrow" w:eastAsiaTheme="minorHAnsi" w:hAnsi="Arial Narrow"/>
        </w:rPr>
        <w:t>aktérmi</w:t>
      </w:r>
      <w:r w:rsidR="00763C24" w:rsidRPr="00D76BBF">
        <w:rPr>
          <w:rFonts w:ascii="Arial Narrow" w:eastAsiaTheme="minorHAnsi" w:hAnsi="Arial Narrow"/>
        </w:rPr>
        <w:t xml:space="preserve"> nastavia odporúčania týkajúce sa zručností v</w:t>
      </w:r>
      <w:r w:rsidR="00CD4C35">
        <w:rPr>
          <w:rFonts w:ascii="Arial Narrow" w:eastAsiaTheme="minorHAnsi" w:hAnsi="Arial Narrow"/>
        </w:rPr>
        <w:t xml:space="preserve"> štyroch prioritných oblastiach</w:t>
      </w:r>
      <w:r w:rsidR="00763C24" w:rsidRPr="00D76BBF">
        <w:rPr>
          <w:rFonts w:ascii="Arial Narrow" w:eastAsiaTheme="minorHAnsi" w:hAnsi="Arial Narrow"/>
          <w:vertAlign w:val="superscript"/>
        </w:rPr>
        <w:footnoteReference w:id="66"/>
      </w:r>
      <w:r w:rsidR="00CD4C35">
        <w:rPr>
          <w:rFonts w:ascii="Arial Narrow" w:eastAsiaTheme="minorHAnsi" w:hAnsi="Arial Narrow"/>
        </w:rPr>
        <w:t>.</w:t>
      </w:r>
      <w:r w:rsidR="00763C24" w:rsidRPr="00D76BBF">
        <w:rPr>
          <w:rFonts w:ascii="Arial Narrow" w:eastAsiaTheme="minorHAnsi" w:hAnsi="Arial Narrow"/>
        </w:rPr>
        <w:t xml:space="preserve"> </w:t>
      </w:r>
    </w:p>
    <w:p w14:paraId="12CDB5FA" w14:textId="77777777" w:rsidR="00C04519" w:rsidRDefault="00C04519" w:rsidP="00D76BBF">
      <w:pPr>
        <w:tabs>
          <w:tab w:val="center" w:pos="4536"/>
          <w:tab w:val="right" w:pos="9072"/>
        </w:tabs>
        <w:spacing w:after="0" w:line="240" w:lineRule="auto"/>
        <w:jc w:val="both"/>
        <w:rPr>
          <w:rFonts w:ascii="Arial Narrow" w:eastAsiaTheme="minorHAnsi" w:hAnsi="Arial Narrow"/>
        </w:rPr>
      </w:pPr>
    </w:p>
    <w:p w14:paraId="1C35CE56" w14:textId="77777777" w:rsidR="00C04519" w:rsidRPr="00763C24" w:rsidRDefault="00C04519" w:rsidP="00C04519">
      <w:pPr>
        <w:tabs>
          <w:tab w:val="center" w:pos="4536"/>
          <w:tab w:val="right" w:pos="9072"/>
        </w:tabs>
        <w:spacing w:after="0" w:line="240" w:lineRule="auto"/>
        <w:jc w:val="both"/>
        <w:rPr>
          <w:rFonts w:ascii="Arial Narrow" w:hAnsi="Arial Narrow"/>
          <w:b/>
          <w:i/>
        </w:rPr>
      </w:pPr>
      <w:r>
        <w:rPr>
          <w:rFonts w:ascii="Arial Narrow" w:hAnsi="Arial Narrow"/>
          <w:b/>
          <w:i/>
        </w:rPr>
        <w:t>S</w:t>
      </w:r>
      <w:r w:rsidRPr="00763C24">
        <w:rPr>
          <w:rFonts w:ascii="Arial Narrow" w:hAnsi="Arial Narrow"/>
          <w:b/>
          <w:i/>
        </w:rPr>
        <w:t>tredn</w:t>
      </w:r>
      <w:r>
        <w:rPr>
          <w:rFonts w:ascii="Arial Narrow" w:hAnsi="Arial Narrow"/>
          <w:b/>
          <w:i/>
        </w:rPr>
        <w:t>é</w:t>
      </w:r>
      <w:r w:rsidRPr="00763C24">
        <w:rPr>
          <w:rFonts w:ascii="Arial Narrow" w:hAnsi="Arial Narrow"/>
          <w:b/>
          <w:i/>
        </w:rPr>
        <w:t xml:space="preserve"> odborn</w:t>
      </w:r>
      <w:r>
        <w:rPr>
          <w:rFonts w:ascii="Arial Narrow" w:hAnsi="Arial Narrow"/>
          <w:b/>
          <w:i/>
        </w:rPr>
        <w:t>é</w:t>
      </w:r>
      <w:r w:rsidRPr="00763C24">
        <w:rPr>
          <w:rFonts w:ascii="Arial Narrow" w:hAnsi="Arial Narrow"/>
          <w:b/>
          <w:i/>
        </w:rPr>
        <w:t xml:space="preserve"> šk</w:t>
      </w:r>
      <w:r>
        <w:rPr>
          <w:rFonts w:ascii="Arial Narrow" w:hAnsi="Arial Narrow"/>
          <w:b/>
          <w:i/>
        </w:rPr>
        <w:t>olstvo</w:t>
      </w:r>
      <w:r w:rsidRPr="00763C24">
        <w:rPr>
          <w:rFonts w:ascii="Arial Narrow" w:hAnsi="Arial Narrow"/>
          <w:b/>
          <w:i/>
        </w:rPr>
        <w:t xml:space="preserve"> </w:t>
      </w:r>
    </w:p>
    <w:p w14:paraId="57396E84" w14:textId="598CD0BD" w:rsidR="00C04519" w:rsidRDefault="00C04519" w:rsidP="00C04519">
      <w:pPr>
        <w:autoSpaceDE w:val="0"/>
        <w:autoSpaceDN w:val="0"/>
        <w:adjustRightInd w:val="0"/>
        <w:spacing w:after="0" w:line="240" w:lineRule="auto"/>
        <w:jc w:val="both"/>
        <w:rPr>
          <w:rFonts w:ascii="Arial Narrow" w:hAnsi="Arial Narrow"/>
        </w:rPr>
      </w:pPr>
      <w:r>
        <w:rPr>
          <w:rFonts w:ascii="Arial Narrow" w:hAnsi="Arial Narrow"/>
          <w:b/>
        </w:rPr>
        <w:t xml:space="preserve">Zoptimalizuje a zefektívni sa </w:t>
      </w:r>
      <w:r w:rsidRPr="00D76BBF">
        <w:rPr>
          <w:rFonts w:ascii="Arial Narrow" w:hAnsi="Arial Narrow"/>
          <w:b/>
        </w:rPr>
        <w:t>sie</w:t>
      </w:r>
      <w:r>
        <w:rPr>
          <w:rFonts w:ascii="Arial Narrow" w:hAnsi="Arial Narrow"/>
          <w:b/>
        </w:rPr>
        <w:t>ť stredného odborného školstva</w:t>
      </w:r>
      <w:r w:rsidRPr="00D76BBF">
        <w:rPr>
          <w:rFonts w:ascii="Arial Narrow" w:hAnsi="Arial Narrow"/>
          <w:b/>
        </w:rPr>
        <w:t>.</w:t>
      </w:r>
      <w:r>
        <w:rPr>
          <w:rFonts w:ascii="Arial Narrow" w:hAnsi="Arial Narrow"/>
        </w:rPr>
        <w:t xml:space="preserve"> Podobne ako v</w:t>
      </w:r>
      <w:r w:rsidR="003327B8">
        <w:rPr>
          <w:rFonts w:ascii="Arial Narrow" w:hAnsi="Arial Narrow"/>
        </w:rPr>
        <w:t xml:space="preserve"> prípade regionálneho školstva sa upravia </w:t>
      </w:r>
      <w:r w:rsidRPr="00D76BBF">
        <w:rPr>
          <w:rFonts w:ascii="Arial Narrow" w:hAnsi="Arial Narrow"/>
        </w:rPr>
        <w:t>podmienky na zaraďovanie a vyraďovanie škôl</w:t>
      </w:r>
      <w:r>
        <w:rPr>
          <w:rFonts w:ascii="Arial Narrow" w:hAnsi="Arial Narrow"/>
        </w:rPr>
        <w:t>.</w:t>
      </w:r>
      <w:r w:rsidRPr="00D76BBF">
        <w:rPr>
          <w:rFonts w:ascii="Arial Narrow" w:hAnsi="Arial Narrow"/>
        </w:rPr>
        <w:t xml:space="preserve"> Nové pravidlá zohľadnia kvalitu školy, priestorové a materiálno-technické vybavenie, personálne zabezpečenie, minimálny počet detí a žiakov, u stredných škôl aj uplatn</w:t>
      </w:r>
      <w:r w:rsidR="0057380B">
        <w:rPr>
          <w:rFonts w:ascii="Arial Narrow" w:hAnsi="Arial Narrow"/>
        </w:rPr>
        <w:t xml:space="preserve">enie absolventov. Vypracuje sa </w:t>
      </w:r>
      <w:r w:rsidRPr="00D76BBF">
        <w:rPr>
          <w:rFonts w:ascii="Arial Narrow" w:hAnsi="Arial Narrow"/>
        </w:rPr>
        <w:t>systém experimentálneho overovania a zadefinujú sa kritériá pre zaradenie, resp. vyradenie odboru vzdelávania stredných odborných škôl. Optimalizácia sústavy odborov stredných odborných škôl má za cieľ odstrániť duplicity v sieti odborov a odstrániť ich fragmentáciu.</w:t>
      </w:r>
      <w:r>
        <w:rPr>
          <w:rFonts w:ascii="Arial Narrow" w:hAnsi="Arial Narrow"/>
        </w:rPr>
        <w:t xml:space="preserve"> </w:t>
      </w:r>
    </w:p>
    <w:p w14:paraId="51519D69" w14:textId="77777777" w:rsidR="00C04519" w:rsidRDefault="00C04519" w:rsidP="00C04519">
      <w:pPr>
        <w:autoSpaceDE w:val="0"/>
        <w:autoSpaceDN w:val="0"/>
        <w:adjustRightInd w:val="0"/>
        <w:spacing w:after="0" w:line="240" w:lineRule="auto"/>
        <w:jc w:val="both"/>
        <w:rPr>
          <w:rFonts w:ascii="Arial Narrow" w:hAnsi="Arial Narrow"/>
        </w:rPr>
      </w:pPr>
    </w:p>
    <w:p w14:paraId="78CAEEBD" w14:textId="6A8E6496" w:rsidR="00C04519" w:rsidRPr="00D76BBF" w:rsidRDefault="00C04519" w:rsidP="00C04519">
      <w:pPr>
        <w:tabs>
          <w:tab w:val="center" w:pos="4536"/>
          <w:tab w:val="right" w:pos="9072"/>
        </w:tabs>
        <w:spacing w:after="0" w:line="240" w:lineRule="auto"/>
        <w:jc w:val="both"/>
        <w:rPr>
          <w:rFonts w:ascii="Arial Narrow" w:hAnsi="Arial Narrow"/>
          <w:color w:val="000000"/>
        </w:rPr>
      </w:pPr>
      <w:r w:rsidRPr="00C04519">
        <w:rPr>
          <w:rFonts w:ascii="Arial Narrow" w:hAnsi="Arial Narrow"/>
          <w:b/>
        </w:rPr>
        <w:t>Podporí sa posilnenie zručností študentov stredných škôl pre potreby praxe.</w:t>
      </w:r>
      <w:r>
        <w:rPr>
          <w:rFonts w:ascii="Arial Narrow" w:hAnsi="Arial Narrow"/>
        </w:rPr>
        <w:t xml:space="preserve"> Zrealizuje sa projekt pre stredné odborné školy</w:t>
      </w:r>
      <w:r w:rsidRPr="00D76BBF">
        <w:rPr>
          <w:rFonts w:ascii="Arial Narrow" w:hAnsi="Arial Narrow"/>
        </w:rPr>
        <w:t xml:space="preserve"> </w:t>
      </w:r>
      <w:r>
        <w:rPr>
          <w:rFonts w:ascii="Arial Narrow" w:hAnsi="Arial Narrow"/>
        </w:rPr>
        <w:t xml:space="preserve">zameraný na </w:t>
      </w:r>
      <w:r w:rsidRPr="00D76BBF">
        <w:rPr>
          <w:rFonts w:ascii="Arial Narrow" w:hAnsi="Arial Narrow"/>
        </w:rPr>
        <w:t>podpor</w:t>
      </w:r>
      <w:r>
        <w:rPr>
          <w:rFonts w:ascii="Arial Narrow" w:hAnsi="Arial Narrow"/>
        </w:rPr>
        <w:t xml:space="preserve">u čitateľskej, matematickej a prírodovednej gramotnosti ako základného nástroja pre lepšie uplatnenie v súlade s potrebami súčasnej a budúcej praxe. V rámci Iniciatívy EÚ pre dobiehajúce regióny sa </w:t>
      </w:r>
      <w:proofErr w:type="spellStart"/>
      <w:r>
        <w:rPr>
          <w:rFonts w:ascii="Arial Narrow" w:hAnsi="Arial Narrow"/>
        </w:rPr>
        <w:t>pilotne</w:t>
      </w:r>
      <w:proofErr w:type="spellEnd"/>
      <w:r>
        <w:rPr>
          <w:rFonts w:ascii="Arial Narrow" w:hAnsi="Arial Narrow"/>
        </w:rPr>
        <w:t xml:space="preserve"> zrealizuje projekt tzv. investičného bloku vybraných stredných odborných škôl zabezpečujúci  </w:t>
      </w:r>
      <w:r w:rsidRPr="00720CF2">
        <w:rPr>
          <w:rFonts w:ascii="Arial Narrow" w:hAnsi="Arial Narrow"/>
        </w:rPr>
        <w:t>väčši</w:t>
      </w:r>
      <w:r>
        <w:rPr>
          <w:rFonts w:ascii="Arial Narrow" w:hAnsi="Arial Narrow"/>
        </w:rPr>
        <w:t>u</w:t>
      </w:r>
      <w:r w:rsidRPr="00720CF2">
        <w:rPr>
          <w:rFonts w:ascii="Arial Narrow" w:hAnsi="Arial Narrow"/>
        </w:rPr>
        <w:t xml:space="preserve"> previazanosť výučby a</w:t>
      </w:r>
      <w:r>
        <w:rPr>
          <w:rFonts w:ascii="Arial Narrow" w:hAnsi="Arial Narrow"/>
        </w:rPr>
        <w:t> </w:t>
      </w:r>
      <w:r w:rsidRPr="00720CF2">
        <w:rPr>
          <w:rFonts w:ascii="Arial Narrow" w:hAnsi="Arial Narrow"/>
        </w:rPr>
        <w:t>praxe</w:t>
      </w:r>
      <w:r>
        <w:rPr>
          <w:rFonts w:ascii="Arial Narrow" w:hAnsi="Arial Narrow"/>
        </w:rPr>
        <w:t xml:space="preserve"> a posilnenie spolupráce škôl so </w:t>
      </w:r>
      <w:r w:rsidRPr="00720CF2">
        <w:rPr>
          <w:rFonts w:ascii="Arial Narrow" w:hAnsi="Arial Narrow"/>
        </w:rPr>
        <w:t>zamestnávateľmi</w:t>
      </w:r>
      <w:r>
        <w:rPr>
          <w:rFonts w:ascii="Arial Narrow" w:hAnsi="Arial Narrow"/>
        </w:rPr>
        <w:t>.</w:t>
      </w:r>
    </w:p>
    <w:p w14:paraId="4E90E1CE" w14:textId="77777777" w:rsidR="005B2D64" w:rsidRPr="00763C24" w:rsidRDefault="005B2D64" w:rsidP="005B2D64">
      <w:pPr>
        <w:shd w:val="clear" w:color="auto" w:fill="FFFFFF"/>
        <w:spacing w:after="0" w:line="240" w:lineRule="auto"/>
        <w:jc w:val="both"/>
        <w:rPr>
          <w:rFonts w:ascii="Arial Narrow" w:eastAsiaTheme="minorHAnsi" w:hAnsi="Arial Narrow"/>
        </w:rPr>
      </w:pPr>
    </w:p>
    <w:p w14:paraId="27336FFB" w14:textId="77777777" w:rsidR="00763C24" w:rsidRPr="00763C24" w:rsidRDefault="00763C24" w:rsidP="00763C24">
      <w:pPr>
        <w:autoSpaceDE w:val="0"/>
        <w:autoSpaceDN w:val="0"/>
        <w:adjustRightInd w:val="0"/>
        <w:spacing w:after="0" w:line="240" w:lineRule="auto"/>
        <w:rPr>
          <w:rFonts w:ascii="Arial Narrow" w:hAnsi="Arial Narrow"/>
          <w:b/>
          <w:bCs/>
          <w:i/>
          <w:iCs/>
          <w:color w:val="000000"/>
        </w:rPr>
      </w:pPr>
      <w:proofErr w:type="spellStart"/>
      <w:r w:rsidRPr="00763C24">
        <w:rPr>
          <w:rFonts w:ascii="Arial Narrow" w:hAnsi="Arial Narrow"/>
          <w:b/>
          <w:bCs/>
          <w:i/>
          <w:iCs/>
          <w:color w:val="000000"/>
        </w:rPr>
        <w:t>Inkluzívne</w:t>
      </w:r>
      <w:proofErr w:type="spellEnd"/>
      <w:r w:rsidRPr="00763C24">
        <w:rPr>
          <w:rFonts w:ascii="Arial Narrow" w:hAnsi="Arial Narrow"/>
          <w:b/>
          <w:bCs/>
          <w:i/>
          <w:iCs/>
          <w:color w:val="000000"/>
        </w:rPr>
        <w:t xml:space="preserve"> vzdelávanie </w:t>
      </w:r>
    </w:p>
    <w:p w14:paraId="0DDA47B0" w14:textId="6066BDFF" w:rsidR="005819D4" w:rsidRPr="00C04519" w:rsidRDefault="006A594A" w:rsidP="005819D4">
      <w:pPr>
        <w:autoSpaceDE w:val="0"/>
        <w:autoSpaceDN w:val="0"/>
        <w:adjustRightInd w:val="0"/>
        <w:spacing w:after="0" w:line="240" w:lineRule="auto"/>
        <w:jc w:val="both"/>
        <w:rPr>
          <w:rFonts w:ascii="Arial Narrow" w:hAnsi="Arial Narrow"/>
          <w:color w:val="000000"/>
        </w:rPr>
      </w:pPr>
      <w:r>
        <w:rPr>
          <w:rFonts w:ascii="Arial Narrow" w:hAnsi="Arial Narrow"/>
          <w:b/>
        </w:rPr>
        <w:t xml:space="preserve">V oblasti </w:t>
      </w:r>
      <w:proofErr w:type="spellStart"/>
      <w:r w:rsidR="00D76BBF" w:rsidRPr="00124DD6">
        <w:rPr>
          <w:rFonts w:ascii="Arial Narrow" w:hAnsi="Arial Narrow"/>
          <w:b/>
        </w:rPr>
        <w:t>inkluzívneho</w:t>
      </w:r>
      <w:proofErr w:type="spellEnd"/>
      <w:r w:rsidR="00D76BBF" w:rsidRPr="00124DD6">
        <w:rPr>
          <w:rFonts w:ascii="Arial Narrow" w:hAnsi="Arial Narrow"/>
          <w:b/>
        </w:rPr>
        <w:t xml:space="preserve"> vzdelávania sa </w:t>
      </w:r>
      <w:r>
        <w:rPr>
          <w:rFonts w:ascii="Arial Narrow" w:hAnsi="Arial Narrow"/>
          <w:b/>
        </w:rPr>
        <w:t xml:space="preserve">opatrenia budú sústrediť najmä na </w:t>
      </w:r>
      <w:r w:rsidR="00D76BBF" w:rsidRPr="00124DD6">
        <w:rPr>
          <w:rFonts w:ascii="Arial Narrow" w:hAnsi="Arial Narrow"/>
          <w:b/>
        </w:rPr>
        <w:t xml:space="preserve">žiakov </w:t>
      </w:r>
      <w:r>
        <w:rPr>
          <w:rFonts w:ascii="Arial Narrow" w:hAnsi="Arial Narrow"/>
          <w:b/>
        </w:rPr>
        <w:t>z</w:t>
      </w:r>
      <w:r w:rsidR="00D76BBF" w:rsidRPr="00124DD6">
        <w:rPr>
          <w:rFonts w:ascii="Arial Narrow" w:hAnsi="Arial Narrow"/>
          <w:b/>
        </w:rPr>
        <w:t>o sociálne  znevýhodneného prostredia</w:t>
      </w:r>
      <w:r w:rsidR="00D76BBF">
        <w:rPr>
          <w:rFonts w:ascii="Arial Narrow" w:hAnsi="Arial Narrow"/>
        </w:rPr>
        <w:t>.</w:t>
      </w:r>
      <w:r w:rsidR="00D76BBF">
        <w:rPr>
          <w:rFonts w:ascii="Arial Narrow" w:hAnsi="Arial Narrow"/>
          <w:color w:val="000000"/>
        </w:rPr>
        <w:t xml:space="preserve"> </w:t>
      </w:r>
      <w:r w:rsidR="00763C24" w:rsidRPr="00D76BBF">
        <w:rPr>
          <w:rFonts w:ascii="Arial Narrow" w:hAnsi="Arial Narrow"/>
          <w:color w:val="000000"/>
        </w:rPr>
        <w:t xml:space="preserve">Od roku 2020 sa plánuje ustanovenie povinného </w:t>
      </w:r>
      <w:proofErr w:type="spellStart"/>
      <w:r w:rsidR="00763C24" w:rsidRPr="00D76BBF">
        <w:rPr>
          <w:rFonts w:ascii="Arial Narrow" w:hAnsi="Arial Narrow"/>
          <w:color w:val="000000"/>
        </w:rPr>
        <w:t>predprimárne</w:t>
      </w:r>
      <w:r w:rsidR="00910016">
        <w:rPr>
          <w:rFonts w:ascii="Arial Narrow" w:hAnsi="Arial Narrow"/>
          <w:color w:val="000000"/>
        </w:rPr>
        <w:t>ho</w:t>
      </w:r>
      <w:proofErr w:type="spellEnd"/>
      <w:r w:rsidR="00763C24" w:rsidRPr="00D76BBF">
        <w:rPr>
          <w:rFonts w:ascii="Arial Narrow" w:hAnsi="Arial Narrow"/>
          <w:color w:val="000000"/>
        </w:rPr>
        <w:t xml:space="preserve"> vzdelávania v materskej škole pre všetky deti od piatich rokov. Pre jeho úspešnú implementáciu sa bude pokračovať v rozširovaní kapacít</w:t>
      </w:r>
      <w:r w:rsidR="00CD4C35">
        <w:rPr>
          <w:rFonts w:ascii="Arial Narrow" w:hAnsi="Arial Narrow"/>
          <w:color w:val="000000"/>
        </w:rPr>
        <w:t xml:space="preserve"> MŠ zo štrukturálnych fondov EÚ</w:t>
      </w:r>
      <w:r w:rsidR="00763C24" w:rsidRPr="00D76BBF">
        <w:rPr>
          <w:rFonts w:ascii="Arial Narrow" w:hAnsi="Arial Narrow"/>
          <w:color w:val="000000"/>
          <w:vertAlign w:val="superscript"/>
        </w:rPr>
        <w:footnoteReference w:id="67"/>
      </w:r>
      <w:r w:rsidR="00CD4C35">
        <w:rPr>
          <w:rFonts w:ascii="Arial Narrow" w:hAnsi="Arial Narrow"/>
          <w:color w:val="000000"/>
        </w:rPr>
        <w:t xml:space="preserve">. </w:t>
      </w:r>
      <w:r w:rsidR="00045E03">
        <w:rPr>
          <w:rFonts w:ascii="Arial Narrow" w:hAnsi="Arial Narrow"/>
        </w:rPr>
        <w:t>Bude sa priebežne aktualizovať</w:t>
      </w:r>
      <w:r w:rsidR="00045E03" w:rsidRPr="00D62CFC">
        <w:rPr>
          <w:rFonts w:ascii="Arial Narrow" w:hAnsi="Arial Narrow"/>
        </w:rPr>
        <w:t xml:space="preserve"> </w:t>
      </w:r>
      <w:r w:rsidR="00045E03">
        <w:rPr>
          <w:rFonts w:ascii="Arial Narrow" w:hAnsi="Arial Narrow"/>
        </w:rPr>
        <w:t xml:space="preserve">analýza </w:t>
      </w:r>
      <w:r w:rsidR="00045E03" w:rsidRPr="00D62CFC">
        <w:rPr>
          <w:rFonts w:ascii="Arial Narrow" w:hAnsi="Arial Narrow"/>
        </w:rPr>
        <w:t xml:space="preserve">kapacít MŠ, ktorej cieľom je identifikácia </w:t>
      </w:r>
      <w:r w:rsidR="00045E03">
        <w:rPr>
          <w:rFonts w:ascii="Arial Narrow" w:hAnsi="Arial Narrow"/>
        </w:rPr>
        <w:t xml:space="preserve"> ďalších</w:t>
      </w:r>
      <w:r w:rsidR="00045E03" w:rsidRPr="00D62CFC">
        <w:rPr>
          <w:rFonts w:ascii="Arial Narrow" w:hAnsi="Arial Narrow"/>
        </w:rPr>
        <w:t xml:space="preserve"> po</w:t>
      </w:r>
      <w:r w:rsidR="00045E03">
        <w:rPr>
          <w:rFonts w:ascii="Arial Narrow" w:hAnsi="Arial Narrow"/>
        </w:rPr>
        <w:t>trieb</w:t>
      </w:r>
      <w:r w:rsidR="00045E03" w:rsidRPr="00D62CFC">
        <w:rPr>
          <w:rFonts w:ascii="Arial Narrow" w:hAnsi="Arial Narrow"/>
        </w:rPr>
        <w:t xml:space="preserve"> </w:t>
      </w:r>
      <w:r w:rsidR="00045E03">
        <w:rPr>
          <w:rFonts w:ascii="Arial Narrow" w:hAnsi="Arial Narrow"/>
        </w:rPr>
        <w:t xml:space="preserve">rozšírenia </w:t>
      </w:r>
      <w:r w:rsidR="00045E03" w:rsidRPr="00D62CFC">
        <w:rPr>
          <w:rFonts w:ascii="Arial Narrow" w:hAnsi="Arial Narrow"/>
        </w:rPr>
        <w:t>kapacít.</w:t>
      </w:r>
      <w:r w:rsidR="00045E03">
        <w:rPr>
          <w:rFonts w:ascii="Arial Narrow" w:hAnsi="Arial Narrow"/>
        </w:rPr>
        <w:t xml:space="preserve"> </w:t>
      </w:r>
      <w:r w:rsidR="00763C24" w:rsidRPr="00D76BBF">
        <w:rPr>
          <w:rFonts w:ascii="Arial Narrow" w:hAnsi="Arial Narrow"/>
          <w:color w:val="000000"/>
        </w:rPr>
        <w:t xml:space="preserve">Pripraví sa transparentnejší, objektívnejší a spravodlivejší spôsob prideľovania finančných prostriedkov na asistentov učiteľa pre deti a žiakov so zdravotným znevýhodnením. Navrhne sa nová forma financovania podpory detí a žiakov zo sociálne znevýhodneného prostredia čiastočným začlenením časti financovania do normatívneho </w:t>
      </w:r>
      <w:r w:rsidR="00763C24" w:rsidRPr="00D76BBF">
        <w:rPr>
          <w:rFonts w:ascii="Arial Narrow" w:hAnsi="Arial Narrow"/>
          <w:color w:val="000000"/>
        </w:rPr>
        <w:lastRenderedPageBreak/>
        <w:t>financovania, čo zabezpečí lepšiu predvídateľnosť prostriedkov pre školy. Ministerstvo predloží analýzu o možnostiach prijímania žiakov špeciálnych ZŠ na štúdium učebných odborov stredných škôl poskytuj</w:t>
      </w:r>
      <w:r w:rsidR="00D76BBF">
        <w:rPr>
          <w:rFonts w:ascii="Arial Narrow" w:hAnsi="Arial Narrow"/>
          <w:color w:val="000000"/>
        </w:rPr>
        <w:t xml:space="preserve">úcich nižšie stredné vzdelanie. </w:t>
      </w:r>
      <w:r w:rsidR="00763C24" w:rsidRPr="00D76BBF">
        <w:rPr>
          <w:rFonts w:ascii="Arial Narrow" w:hAnsi="Arial Narrow"/>
          <w:color w:val="000000"/>
        </w:rPr>
        <w:t>Pre zníženie odlivu žiakov z hlavného vzdelávacieho prúdu sa prijímanie žiakov do päťročných bilingválnych stredných škôl umožní až po ukončení štúdia</w:t>
      </w:r>
      <w:r w:rsidR="00763C24" w:rsidRPr="00763C24">
        <w:rPr>
          <w:rFonts w:ascii="Arial Narrow" w:hAnsi="Arial Narrow"/>
          <w:color w:val="000000"/>
        </w:rPr>
        <w:t xml:space="preserve"> v základnej škole v deviatom ročníku. V súčasnosti sa do týchto škôl prijímajú žiaci po ukončení ôsmeho ročníka základnej školy, čím sa znižuje význam </w:t>
      </w:r>
      <w:proofErr w:type="spellStart"/>
      <w:r w:rsidR="00763C24" w:rsidRPr="00763C24">
        <w:rPr>
          <w:rFonts w:ascii="Arial Narrow" w:hAnsi="Arial Narrow"/>
          <w:color w:val="000000"/>
        </w:rPr>
        <w:t>inkluzí</w:t>
      </w:r>
      <w:r w:rsidR="00C04519">
        <w:rPr>
          <w:rFonts w:ascii="Arial Narrow" w:hAnsi="Arial Narrow"/>
          <w:color w:val="000000"/>
        </w:rPr>
        <w:t>vneho</w:t>
      </w:r>
      <w:proofErr w:type="spellEnd"/>
      <w:r w:rsidR="00C04519">
        <w:rPr>
          <w:rFonts w:ascii="Arial Narrow" w:hAnsi="Arial Narrow"/>
          <w:color w:val="000000"/>
        </w:rPr>
        <w:t xml:space="preserve"> prístupu vo vzdelávaní.  </w:t>
      </w:r>
    </w:p>
    <w:p w14:paraId="2212EBC4" w14:textId="127E2EE8" w:rsidR="00763C24" w:rsidRPr="00D76BBF" w:rsidRDefault="00763C24" w:rsidP="0045515E">
      <w:pPr>
        <w:autoSpaceDE w:val="0"/>
        <w:autoSpaceDN w:val="0"/>
        <w:adjustRightInd w:val="0"/>
        <w:spacing w:after="0" w:line="240" w:lineRule="auto"/>
        <w:jc w:val="both"/>
        <w:rPr>
          <w:rFonts w:ascii="Arial Narrow" w:hAnsi="Arial Narrow"/>
        </w:rPr>
      </w:pPr>
      <w:r w:rsidRPr="00D76BBF">
        <w:rPr>
          <w:rFonts w:ascii="Arial Narrow" w:hAnsi="Arial Narrow"/>
        </w:rPr>
        <w:t xml:space="preserve"> </w:t>
      </w:r>
    </w:p>
    <w:p w14:paraId="4AEB7F2A" w14:textId="77777777" w:rsidR="005B2D64" w:rsidRPr="00763C24" w:rsidRDefault="005B2D64" w:rsidP="00763C24">
      <w:pPr>
        <w:autoSpaceDE w:val="0"/>
        <w:autoSpaceDN w:val="0"/>
        <w:adjustRightInd w:val="0"/>
        <w:spacing w:after="120" w:line="240" w:lineRule="auto"/>
        <w:jc w:val="both"/>
        <w:rPr>
          <w:rFonts w:ascii="Arial Narrow" w:hAnsi="Arial Narrow"/>
        </w:rPr>
      </w:pPr>
    </w:p>
    <w:p w14:paraId="477A5A9B" w14:textId="77777777" w:rsidR="00763C24" w:rsidRPr="005B2D64" w:rsidRDefault="00763C24" w:rsidP="00763C24">
      <w:pPr>
        <w:keepNext/>
        <w:keepLines/>
        <w:numPr>
          <w:ilvl w:val="2"/>
          <w:numId w:val="1"/>
        </w:numPr>
        <w:spacing w:before="200" w:after="240" w:line="240" w:lineRule="auto"/>
        <w:ind w:left="720"/>
        <w:jc w:val="both"/>
        <w:outlineLvl w:val="1"/>
        <w:rPr>
          <w:rFonts w:ascii="Arial Narrow" w:eastAsiaTheme="majorEastAsia" w:hAnsi="Arial Narrow" w:cstheme="majorBidi"/>
          <w:b/>
          <w:bCs/>
          <w:color w:val="2C9ADC"/>
          <w:sz w:val="28"/>
        </w:rPr>
      </w:pPr>
      <w:bookmarkStart w:id="32" w:name="_Toc480749807"/>
      <w:bookmarkStart w:id="33" w:name="_Toc4766837"/>
      <w:r w:rsidRPr="005B2D64">
        <w:rPr>
          <w:rFonts w:ascii="Arial Narrow" w:eastAsiaTheme="majorEastAsia" w:hAnsi="Arial Narrow" w:cstheme="majorBidi"/>
          <w:b/>
          <w:bCs/>
          <w:color w:val="2C9ADC"/>
          <w:sz w:val="28"/>
        </w:rPr>
        <w:t>Vysoké školstvo</w:t>
      </w:r>
      <w:bookmarkEnd w:id="32"/>
      <w:r w:rsidR="00C115CA">
        <w:rPr>
          <w:rFonts w:ascii="Arial Narrow" w:eastAsiaTheme="majorEastAsia" w:hAnsi="Arial Narrow" w:cstheme="majorBidi"/>
          <w:b/>
          <w:bCs/>
          <w:color w:val="2C9ADC"/>
          <w:sz w:val="28"/>
        </w:rPr>
        <w:t>, výskum a vývoj</w:t>
      </w:r>
      <w:bookmarkEnd w:id="33"/>
    </w:p>
    <w:p w14:paraId="3BF2B8D0" w14:textId="77777777" w:rsidR="00763C24" w:rsidRPr="00763C24" w:rsidRDefault="00763C24" w:rsidP="00763C24">
      <w:pPr>
        <w:spacing w:after="0" w:line="240" w:lineRule="auto"/>
        <w:jc w:val="both"/>
        <w:rPr>
          <w:rFonts w:ascii="Arial Narrow" w:hAnsi="Arial Narrow"/>
          <w:b/>
          <w:i/>
          <w:color w:val="000000"/>
        </w:rPr>
      </w:pPr>
      <w:r w:rsidRPr="00763C24">
        <w:rPr>
          <w:rFonts w:ascii="Arial Narrow" w:hAnsi="Arial Narrow"/>
          <w:b/>
          <w:i/>
          <w:color w:val="000000"/>
        </w:rPr>
        <w:t>Podpora zamestnancov vo vysokom školstve</w:t>
      </w:r>
    </w:p>
    <w:p w14:paraId="69A8C87F" w14:textId="0BFC6BD0" w:rsidR="00763C24" w:rsidRPr="00763C24" w:rsidRDefault="00D76BBF" w:rsidP="00763C24">
      <w:pPr>
        <w:spacing w:after="0" w:line="240" w:lineRule="auto"/>
        <w:jc w:val="both"/>
        <w:rPr>
          <w:rFonts w:ascii="Arial Narrow" w:hAnsi="Arial Narrow"/>
        </w:rPr>
      </w:pPr>
      <w:r w:rsidRPr="00124DD6">
        <w:rPr>
          <w:rFonts w:ascii="Arial Narrow" w:hAnsi="Arial Narrow"/>
          <w:b/>
        </w:rPr>
        <w:t>Zvyšovanie platov vo vysokoškolskom vzde</w:t>
      </w:r>
      <w:r w:rsidR="00910016">
        <w:rPr>
          <w:rFonts w:ascii="Arial Narrow" w:hAnsi="Arial Narrow"/>
          <w:b/>
        </w:rPr>
        <w:t xml:space="preserve">lávaní zatraktívnia pedagogickú </w:t>
      </w:r>
      <w:r w:rsidRPr="00124DD6">
        <w:rPr>
          <w:rFonts w:ascii="Arial Narrow" w:hAnsi="Arial Narrow"/>
          <w:b/>
        </w:rPr>
        <w:t>aj výskumnú činnosť</w:t>
      </w:r>
      <w:r w:rsidR="00EA51E8">
        <w:rPr>
          <w:rFonts w:ascii="Arial Narrow" w:hAnsi="Arial Narrow"/>
          <w:b/>
        </w:rPr>
        <w:t>.</w:t>
      </w:r>
      <w:r>
        <w:rPr>
          <w:rFonts w:ascii="Arial Narrow" w:hAnsi="Arial Narrow"/>
        </w:rPr>
        <w:t xml:space="preserve"> </w:t>
      </w:r>
      <w:r w:rsidR="00763C24" w:rsidRPr="00D76BBF">
        <w:rPr>
          <w:rFonts w:ascii="Arial Narrow" w:hAnsi="Arial Narrow"/>
        </w:rPr>
        <w:t xml:space="preserve">Aj v prípade učiteľov vysokých škôl, výskumných a vývojových pracovníkov boli k januáru 2019 zvýšené platové tarify tak ako u pedagogických a odborných zamestnancov v regionálnom školstve. </w:t>
      </w:r>
      <w:r w:rsidR="00EA51E8">
        <w:rPr>
          <w:rFonts w:ascii="Arial Narrow" w:hAnsi="Arial Narrow"/>
        </w:rPr>
        <w:t>Rovnako</w:t>
      </w:r>
      <w:r w:rsidR="00763C24" w:rsidRPr="00D76BBF">
        <w:rPr>
          <w:rFonts w:ascii="Arial Narrow" w:hAnsi="Arial Narrow"/>
        </w:rPr>
        <w:t xml:space="preserve"> sa očakáva zvýšenie platov na začiatku kariéry </w:t>
      </w:r>
      <w:r w:rsidR="00EA51E8">
        <w:rPr>
          <w:rFonts w:ascii="Arial Narrow" w:hAnsi="Arial Narrow"/>
        </w:rPr>
        <w:t>od</w:t>
      </w:r>
      <w:r w:rsidR="00763C24" w:rsidRPr="00D76BBF">
        <w:rPr>
          <w:rFonts w:ascii="Arial Narrow" w:hAnsi="Arial Narrow"/>
        </w:rPr>
        <w:t> septembr</w:t>
      </w:r>
      <w:r w:rsidR="00EA51E8">
        <w:rPr>
          <w:rFonts w:ascii="Arial Narrow" w:hAnsi="Arial Narrow"/>
        </w:rPr>
        <w:t>a</w:t>
      </w:r>
      <w:r w:rsidR="00763C24" w:rsidRPr="00D76BBF">
        <w:rPr>
          <w:rFonts w:ascii="Arial Narrow" w:hAnsi="Arial Narrow"/>
        </w:rPr>
        <w:t xml:space="preserve"> 2019 a opakované zvýšenie</w:t>
      </w:r>
      <w:r w:rsidR="00EA51E8">
        <w:rPr>
          <w:rFonts w:ascii="Arial Narrow" w:hAnsi="Arial Narrow"/>
        </w:rPr>
        <w:t xml:space="preserve"> platov</w:t>
      </w:r>
      <w:r w:rsidR="00910016">
        <w:rPr>
          <w:rFonts w:ascii="Arial Narrow" w:hAnsi="Arial Narrow"/>
        </w:rPr>
        <w:t xml:space="preserve"> o 10 % </w:t>
      </w:r>
      <w:r w:rsidR="00763C24" w:rsidRPr="00D76BBF">
        <w:rPr>
          <w:rFonts w:ascii="Arial Narrow" w:hAnsi="Arial Narrow"/>
        </w:rPr>
        <w:t>v roku 2020.</w:t>
      </w:r>
      <w:r w:rsidR="00763C24" w:rsidRPr="00763C24">
        <w:rPr>
          <w:rFonts w:ascii="Arial Narrow" w:hAnsi="Arial Narrow"/>
        </w:rPr>
        <w:t xml:space="preserve"> </w:t>
      </w:r>
    </w:p>
    <w:p w14:paraId="0B208E2D" w14:textId="77777777" w:rsidR="00763C24" w:rsidRPr="00763C24" w:rsidRDefault="00763C24" w:rsidP="00763C24">
      <w:pPr>
        <w:spacing w:after="0" w:line="240" w:lineRule="auto"/>
        <w:jc w:val="both"/>
        <w:rPr>
          <w:rFonts w:ascii="Arial Narrow" w:hAnsi="Arial Narrow"/>
        </w:rPr>
      </w:pPr>
    </w:p>
    <w:p w14:paraId="7AFB063F" w14:textId="77777777" w:rsidR="00763C24" w:rsidRPr="00763C24" w:rsidRDefault="00763C24" w:rsidP="00763C24">
      <w:pPr>
        <w:spacing w:after="0" w:line="240" w:lineRule="auto"/>
        <w:rPr>
          <w:rFonts w:ascii="Arial Narrow" w:hAnsi="Arial Narrow"/>
          <w:b/>
          <w:i/>
          <w:color w:val="000000"/>
        </w:rPr>
      </w:pPr>
      <w:r w:rsidRPr="00763C24">
        <w:rPr>
          <w:rFonts w:ascii="Arial Narrow" w:hAnsi="Arial Narrow"/>
          <w:b/>
          <w:i/>
          <w:color w:val="000000"/>
        </w:rPr>
        <w:t>Kvalita a dostupnosť vysokoškolského vzdelávania</w:t>
      </w:r>
    </w:p>
    <w:p w14:paraId="0B2B9E0B" w14:textId="2B3F94AE" w:rsidR="00763C24" w:rsidRPr="00D76BBF" w:rsidRDefault="00EA51E8" w:rsidP="005B2D64">
      <w:pPr>
        <w:spacing w:after="0" w:line="240" w:lineRule="auto"/>
        <w:jc w:val="both"/>
        <w:rPr>
          <w:rFonts w:ascii="Arial Narrow" w:hAnsi="Arial Narrow"/>
        </w:rPr>
      </w:pPr>
      <w:r>
        <w:rPr>
          <w:rFonts w:ascii="Arial Narrow" w:hAnsi="Arial Narrow"/>
          <w:b/>
        </w:rPr>
        <w:t>Spoločným menovateľom viacerých opatrení v oblasti vysokého školstva je zlepšenie</w:t>
      </w:r>
      <w:r w:rsidR="00D76BBF" w:rsidRPr="00124DD6">
        <w:rPr>
          <w:rFonts w:ascii="Arial Narrow" w:hAnsi="Arial Narrow"/>
          <w:b/>
        </w:rPr>
        <w:t xml:space="preserve"> kvalit</w:t>
      </w:r>
      <w:r>
        <w:rPr>
          <w:rFonts w:ascii="Arial Narrow" w:hAnsi="Arial Narrow"/>
          <w:b/>
        </w:rPr>
        <w:t>y</w:t>
      </w:r>
      <w:r w:rsidR="00D76BBF" w:rsidRPr="00124DD6">
        <w:rPr>
          <w:rFonts w:ascii="Arial Narrow" w:hAnsi="Arial Narrow"/>
          <w:b/>
        </w:rPr>
        <w:t xml:space="preserve"> a</w:t>
      </w:r>
      <w:r w:rsidR="00D76BBF">
        <w:rPr>
          <w:rFonts w:ascii="Arial Narrow" w:hAnsi="Arial Narrow"/>
          <w:b/>
        </w:rPr>
        <w:t> </w:t>
      </w:r>
      <w:r w:rsidR="00D76BBF" w:rsidRPr="00124DD6">
        <w:rPr>
          <w:rFonts w:ascii="Arial Narrow" w:hAnsi="Arial Narrow"/>
          <w:b/>
        </w:rPr>
        <w:t>dostupnos</w:t>
      </w:r>
      <w:r>
        <w:rPr>
          <w:rFonts w:ascii="Arial Narrow" w:hAnsi="Arial Narrow"/>
          <w:b/>
        </w:rPr>
        <w:t>ti</w:t>
      </w:r>
      <w:r w:rsidR="00D76BBF">
        <w:rPr>
          <w:rFonts w:ascii="Arial Narrow" w:hAnsi="Arial Narrow"/>
          <w:b/>
        </w:rPr>
        <w:t xml:space="preserve"> štúdia</w:t>
      </w:r>
      <w:r w:rsidR="00D76BBF">
        <w:rPr>
          <w:rFonts w:ascii="Arial Narrow" w:hAnsi="Arial Narrow"/>
        </w:rPr>
        <w:t>.</w:t>
      </w:r>
      <w:r w:rsidR="00175418">
        <w:rPr>
          <w:rFonts w:ascii="Arial Narrow" w:hAnsi="Arial Narrow"/>
        </w:rPr>
        <w:t xml:space="preserve"> </w:t>
      </w:r>
      <w:r w:rsidR="00D76BBF" w:rsidRPr="00D76BBF">
        <w:rPr>
          <w:rFonts w:ascii="Arial Narrow" w:hAnsi="Arial Narrow"/>
        </w:rPr>
        <w:t>V</w:t>
      </w:r>
      <w:r w:rsidR="00763C24" w:rsidRPr="00D76BBF">
        <w:rPr>
          <w:rFonts w:ascii="Arial Narrow" w:hAnsi="Arial Narrow"/>
        </w:rPr>
        <w:t>ypracuje</w:t>
      </w:r>
      <w:r w:rsidR="00D76BBF" w:rsidRPr="00D76BBF">
        <w:rPr>
          <w:rFonts w:ascii="Arial Narrow" w:hAnsi="Arial Narrow"/>
        </w:rPr>
        <w:t xml:space="preserve"> sa</w:t>
      </w:r>
      <w:r w:rsidR="00910016">
        <w:rPr>
          <w:rFonts w:ascii="Arial Narrow" w:hAnsi="Arial Narrow"/>
        </w:rPr>
        <w:t xml:space="preserve"> stratégia</w:t>
      </w:r>
      <w:r w:rsidR="00763C24" w:rsidRPr="00D76BBF">
        <w:rPr>
          <w:rFonts w:ascii="Arial Narrow" w:hAnsi="Arial Narrow"/>
        </w:rPr>
        <w:t xml:space="preserve"> internacionalizácie vysokého školstva s cieľom podporiť mobilitu študentov a zamestnancov VŠ a</w:t>
      </w:r>
      <w:r w:rsidR="00175418">
        <w:rPr>
          <w:rFonts w:ascii="Arial Narrow" w:hAnsi="Arial Narrow"/>
        </w:rPr>
        <w:t xml:space="preserve"> </w:t>
      </w:r>
      <w:r w:rsidR="00763C24" w:rsidRPr="00D76BBF">
        <w:rPr>
          <w:rFonts w:ascii="Arial Narrow" w:hAnsi="Arial Narrow"/>
        </w:rPr>
        <w:t xml:space="preserve">znížiť bariéry v prístupe na štúdium v SR. </w:t>
      </w:r>
      <w:r w:rsidR="00D76BBF" w:rsidRPr="00CD4C35">
        <w:rPr>
          <w:rFonts w:ascii="Arial Narrow" w:hAnsi="Arial Narrow"/>
          <w:i/>
        </w:rPr>
        <w:t>A</w:t>
      </w:r>
      <w:r w:rsidR="00763C24" w:rsidRPr="00CD4C35">
        <w:rPr>
          <w:rFonts w:ascii="Arial Narrow" w:hAnsi="Arial Narrow"/>
          <w:i/>
        </w:rPr>
        <w:t xml:space="preserve">kčný plán </w:t>
      </w:r>
      <w:proofErr w:type="spellStart"/>
      <w:r w:rsidR="00763C24" w:rsidRPr="00CD4C35">
        <w:rPr>
          <w:rFonts w:ascii="Arial Narrow" w:hAnsi="Arial Narrow"/>
          <w:i/>
        </w:rPr>
        <w:t>debarierizácie</w:t>
      </w:r>
      <w:proofErr w:type="spellEnd"/>
      <w:r w:rsidR="00763C24" w:rsidRPr="00CD4C35">
        <w:rPr>
          <w:rFonts w:ascii="Arial Narrow" w:hAnsi="Arial Narrow"/>
          <w:i/>
        </w:rPr>
        <w:t xml:space="preserve"> akademického prostredia</w:t>
      </w:r>
      <w:r w:rsidR="00763C24" w:rsidRPr="00D76BBF">
        <w:rPr>
          <w:rFonts w:ascii="Arial Narrow" w:hAnsi="Arial Narrow"/>
        </w:rPr>
        <w:t xml:space="preserve"> </w:t>
      </w:r>
      <w:r w:rsidR="00D76BBF">
        <w:rPr>
          <w:rFonts w:ascii="Arial Narrow" w:hAnsi="Arial Narrow"/>
        </w:rPr>
        <w:t xml:space="preserve">navrhne </w:t>
      </w:r>
      <w:r>
        <w:rPr>
          <w:rFonts w:ascii="Arial Narrow" w:hAnsi="Arial Narrow"/>
        </w:rPr>
        <w:t>opatrenia</w:t>
      </w:r>
      <w:r w:rsidR="00D76BBF">
        <w:rPr>
          <w:rFonts w:ascii="Arial Narrow" w:hAnsi="Arial Narrow"/>
        </w:rPr>
        <w:t xml:space="preserve"> na</w:t>
      </w:r>
      <w:r w:rsidR="00763C24" w:rsidRPr="00D76BBF">
        <w:rPr>
          <w:rFonts w:ascii="Arial Narrow" w:hAnsi="Arial Narrow"/>
        </w:rPr>
        <w:t xml:space="preserve"> </w:t>
      </w:r>
      <w:r w:rsidR="00D76BBF">
        <w:rPr>
          <w:rFonts w:ascii="Arial Narrow" w:hAnsi="Arial Narrow"/>
        </w:rPr>
        <w:t xml:space="preserve">podporu </w:t>
      </w:r>
      <w:r w:rsidR="00763C24" w:rsidRPr="00D76BBF">
        <w:rPr>
          <w:rFonts w:ascii="Arial Narrow" w:hAnsi="Arial Narrow"/>
        </w:rPr>
        <w:t xml:space="preserve">inklúzie vo vysokom školstve. Upravia sa legislatívne podmienky poskytovania podnikových štipendií a spresnia sa možnosti financovania vysokého školstva zo súkromných zdrojov, čo predpokladá posilnenie orientácie vysokoškolského vzdelávania na potreby hospodárstva. </w:t>
      </w:r>
      <w:r w:rsidR="00C06179">
        <w:rPr>
          <w:rFonts w:ascii="Arial Narrow" w:hAnsi="Arial Narrow"/>
        </w:rPr>
        <w:t>Podporí sa</w:t>
      </w:r>
      <w:r w:rsidR="00763C24" w:rsidRPr="00D76BBF">
        <w:rPr>
          <w:rFonts w:ascii="Arial Narrow" w:hAnsi="Arial Narrow"/>
        </w:rPr>
        <w:t xml:space="preserve"> tvorb</w:t>
      </w:r>
      <w:r w:rsidR="00C06179">
        <w:rPr>
          <w:rFonts w:ascii="Arial Narrow" w:hAnsi="Arial Narrow"/>
        </w:rPr>
        <w:t>a</w:t>
      </w:r>
      <w:r w:rsidR="00763C24" w:rsidRPr="00D76BBF">
        <w:rPr>
          <w:rFonts w:ascii="Arial Narrow" w:hAnsi="Arial Narrow"/>
        </w:rPr>
        <w:t xml:space="preserve"> a inováci</w:t>
      </w:r>
      <w:r w:rsidR="00C06179">
        <w:rPr>
          <w:rFonts w:ascii="Arial Narrow" w:hAnsi="Arial Narrow"/>
        </w:rPr>
        <w:t>a</w:t>
      </w:r>
      <w:r w:rsidR="00763C24" w:rsidRPr="00D76BBF">
        <w:rPr>
          <w:rFonts w:ascii="Arial Narrow" w:hAnsi="Arial Narrow"/>
        </w:rPr>
        <w:t xml:space="preserve"> profesijne orientovaných bakalárskych programov prostredníctvom dopytovo orientovanej výzvy </w:t>
      </w:r>
      <w:r w:rsidR="00763C24" w:rsidRPr="00D76BBF">
        <w:rPr>
          <w:rFonts w:ascii="Arial Narrow" w:hAnsi="Arial Narrow"/>
          <w:i/>
        </w:rPr>
        <w:t>Vysoká škola pre prax</w:t>
      </w:r>
      <w:r w:rsidR="00763C24" w:rsidRPr="00D76BBF">
        <w:rPr>
          <w:rFonts w:ascii="Arial Narrow" w:hAnsi="Arial Narrow"/>
        </w:rPr>
        <w:t xml:space="preserve"> s alokáciou 15 mil. </w:t>
      </w:r>
      <w:r w:rsidR="00D76BBF">
        <w:rPr>
          <w:rFonts w:ascii="Arial Narrow" w:hAnsi="Arial Narrow"/>
        </w:rPr>
        <w:t>eur</w:t>
      </w:r>
      <w:r w:rsidR="00763C24" w:rsidRPr="00D76BBF">
        <w:rPr>
          <w:rFonts w:ascii="Arial Narrow" w:hAnsi="Arial Narrow"/>
        </w:rPr>
        <w:t xml:space="preserve">. Následne </w:t>
      </w:r>
      <w:r w:rsidR="00175418">
        <w:rPr>
          <w:rFonts w:ascii="Arial Narrow" w:hAnsi="Arial Narrow"/>
        </w:rPr>
        <w:t>sa pripraví</w:t>
      </w:r>
      <w:r w:rsidR="00763C24" w:rsidRPr="00D76BBF">
        <w:rPr>
          <w:rFonts w:ascii="Arial Narrow" w:hAnsi="Arial Narrow"/>
        </w:rPr>
        <w:t xml:space="preserve"> výzv</w:t>
      </w:r>
      <w:r w:rsidR="00175418">
        <w:rPr>
          <w:rFonts w:ascii="Arial Narrow" w:hAnsi="Arial Narrow"/>
        </w:rPr>
        <w:t>a</w:t>
      </w:r>
      <w:r w:rsidR="00763C24" w:rsidRPr="00D76BBF">
        <w:rPr>
          <w:rFonts w:ascii="Arial Narrow" w:hAnsi="Arial Narrow"/>
        </w:rPr>
        <w:t xml:space="preserve"> na podporu samotnej implementácie profesijne orientovaných bakalárskych programov. </w:t>
      </w:r>
      <w:r w:rsidR="00D76BBF">
        <w:rPr>
          <w:rFonts w:ascii="Arial Narrow" w:hAnsi="Arial Narrow"/>
        </w:rPr>
        <w:t>Slovenská akreditačná a</w:t>
      </w:r>
      <w:r w:rsidR="00763C24" w:rsidRPr="00D76BBF">
        <w:rPr>
          <w:rFonts w:ascii="Arial Narrow" w:hAnsi="Arial Narrow"/>
        </w:rPr>
        <w:t xml:space="preserve">gentúra predstaví návrh štandardov na zabezpečovanie kvality vysokoškolského vzdelávania. Rezort školstva dokončí revíziu sústavy študijných odborov. </w:t>
      </w:r>
      <w:r w:rsidR="009E7C17" w:rsidRPr="00D76BBF">
        <w:rPr>
          <w:rFonts w:ascii="Arial Narrow" w:hAnsi="Arial Narrow"/>
        </w:rPr>
        <w:t xml:space="preserve"> </w:t>
      </w:r>
      <w:r w:rsidR="009E7C17">
        <w:rPr>
          <w:rFonts w:ascii="Arial Narrow" w:hAnsi="Arial Narrow"/>
        </w:rPr>
        <w:t>Na základe schválenej novely zákona o vysokých školách sa pripraví metodika nových záväzných pravidiel pre hodnotenie v</w:t>
      </w:r>
      <w:r w:rsidR="00910016">
        <w:rPr>
          <w:rFonts w:ascii="Arial Narrow" w:hAnsi="Arial Narrow"/>
        </w:rPr>
        <w:t>ýskumnej činnosti vysokých škôl</w:t>
      </w:r>
      <w:r w:rsidR="00763C24" w:rsidRPr="00D76BBF">
        <w:rPr>
          <w:rFonts w:ascii="Arial Narrow" w:hAnsi="Arial Narrow"/>
          <w:vertAlign w:val="superscript"/>
        </w:rPr>
        <w:footnoteReference w:id="68"/>
      </w:r>
      <w:r w:rsidR="00910016">
        <w:rPr>
          <w:rFonts w:ascii="Arial Narrow" w:hAnsi="Arial Narrow"/>
        </w:rPr>
        <w:t>.</w:t>
      </w:r>
    </w:p>
    <w:p w14:paraId="235AC8EA" w14:textId="77777777" w:rsidR="005B2D64" w:rsidRPr="00D76BBF" w:rsidRDefault="005B2D64" w:rsidP="005B2D64">
      <w:pPr>
        <w:spacing w:after="0" w:line="240" w:lineRule="auto"/>
        <w:jc w:val="both"/>
        <w:rPr>
          <w:rFonts w:ascii="Arial Narrow" w:hAnsi="Arial Narrow"/>
        </w:rPr>
      </w:pPr>
    </w:p>
    <w:p w14:paraId="2336D8AC" w14:textId="3D9DA970" w:rsidR="005819D4" w:rsidRDefault="005819D4" w:rsidP="0062680A">
      <w:pPr>
        <w:autoSpaceDE w:val="0"/>
        <w:autoSpaceDN w:val="0"/>
        <w:adjustRightInd w:val="0"/>
        <w:spacing w:after="0" w:line="240" w:lineRule="auto"/>
        <w:jc w:val="both"/>
        <w:rPr>
          <w:rFonts w:ascii="Arial Narrow" w:eastAsiaTheme="minorHAnsi" w:hAnsi="Arial Narrow" w:cstheme="majorBidi"/>
          <w:b/>
          <w:i/>
          <w:color w:val="000000"/>
        </w:rPr>
      </w:pPr>
      <w:r w:rsidRPr="005819D4">
        <w:rPr>
          <w:rFonts w:ascii="Arial Narrow" w:eastAsiaTheme="minorHAnsi" w:hAnsi="Arial Narrow" w:cstheme="majorBidi"/>
          <w:b/>
          <w:i/>
          <w:color w:val="000000"/>
        </w:rPr>
        <w:t>Celoživotné vzdelávanie</w:t>
      </w:r>
    </w:p>
    <w:p w14:paraId="1660561B" w14:textId="5EAF5C08" w:rsidR="005B2D64" w:rsidRPr="00D76BBF" w:rsidRDefault="00D76BBF" w:rsidP="0062680A">
      <w:pPr>
        <w:autoSpaceDE w:val="0"/>
        <w:autoSpaceDN w:val="0"/>
        <w:adjustRightInd w:val="0"/>
        <w:spacing w:after="0" w:line="240" w:lineRule="auto"/>
        <w:jc w:val="both"/>
        <w:rPr>
          <w:rFonts w:ascii="Arial Narrow" w:hAnsi="Arial Narrow"/>
          <w:color w:val="000000"/>
        </w:rPr>
      </w:pPr>
      <w:r w:rsidRPr="00124DD6">
        <w:rPr>
          <w:rFonts w:ascii="Arial Narrow" w:hAnsi="Arial Narrow"/>
          <w:b/>
        </w:rPr>
        <w:t>Posilní sa význam celoživotného vzdelávania pre rozvoj zručností po ukončení formálneho vzdelávania.</w:t>
      </w:r>
      <w:r>
        <w:rPr>
          <w:rFonts w:ascii="Arial Narrow" w:hAnsi="Arial Narrow"/>
        </w:rPr>
        <w:t xml:space="preserve"> </w:t>
      </w:r>
      <w:r w:rsidR="00763C24" w:rsidRPr="00D76BBF">
        <w:rPr>
          <w:rFonts w:ascii="Arial Narrow" w:hAnsi="Arial Narrow"/>
          <w:color w:val="000000"/>
        </w:rPr>
        <w:t>Podporí sa systém validácie výsledkov neformálneho vzdelávania a </w:t>
      </w:r>
      <w:proofErr w:type="spellStart"/>
      <w:r w:rsidR="00763C24" w:rsidRPr="00D76BBF">
        <w:rPr>
          <w:rFonts w:ascii="Arial Narrow" w:hAnsi="Arial Narrow"/>
          <w:color w:val="000000"/>
        </w:rPr>
        <w:t>informálneho</w:t>
      </w:r>
      <w:proofErr w:type="spellEnd"/>
      <w:r w:rsidR="00763C24" w:rsidRPr="00D76BBF">
        <w:rPr>
          <w:rFonts w:ascii="Arial Narrow" w:hAnsi="Arial Narrow"/>
          <w:color w:val="000000"/>
        </w:rPr>
        <w:t xml:space="preserve"> učenia sa prostredníctvom pripravovaného národného projektu Systém overovania  kvalifikácií v súlade s Európskym kvalifikačným rámcom. Nástroj hodnotenia kompetencií dospelých </w:t>
      </w:r>
      <w:proofErr w:type="spellStart"/>
      <w:r w:rsidR="00763C24" w:rsidRPr="00175418">
        <w:rPr>
          <w:rFonts w:ascii="Arial Narrow" w:hAnsi="Arial Narrow"/>
          <w:i/>
          <w:color w:val="000000"/>
        </w:rPr>
        <w:t>Education</w:t>
      </w:r>
      <w:proofErr w:type="spellEnd"/>
      <w:r w:rsidR="00763C24" w:rsidRPr="00175418">
        <w:rPr>
          <w:rFonts w:ascii="Arial Narrow" w:hAnsi="Arial Narrow"/>
          <w:i/>
          <w:color w:val="000000"/>
        </w:rPr>
        <w:t xml:space="preserve"> and </w:t>
      </w:r>
      <w:proofErr w:type="spellStart"/>
      <w:r w:rsidR="00763C24" w:rsidRPr="00175418">
        <w:rPr>
          <w:rFonts w:ascii="Arial Narrow" w:hAnsi="Arial Narrow"/>
          <w:i/>
          <w:color w:val="000000"/>
        </w:rPr>
        <w:t>Skills</w:t>
      </w:r>
      <w:proofErr w:type="spellEnd"/>
      <w:r w:rsidR="00763C24" w:rsidRPr="00175418">
        <w:rPr>
          <w:rFonts w:ascii="Arial Narrow" w:hAnsi="Arial Narrow"/>
          <w:i/>
          <w:color w:val="000000"/>
        </w:rPr>
        <w:t xml:space="preserve"> Online</w:t>
      </w:r>
      <w:r w:rsidR="00763C24" w:rsidRPr="00D76BBF">
        <w:rPr>
          <w:rFonts w:ascii="Arial Narrow" w:hAnsi="Arial Narrow"/>
          <w:color w:val="000000"/>
        </w:rPr>
        <w:t xml:space="preserve"> umožní overovanie zručností aj nízko-kvalifikovaných osôb, čím sa bude </w:t>
      </w:r>
      <w:r w:rsidR="00910016">
        <w:rPr>
          <w:rFonts w:ascii="Arial Narrow" w:hAnsi="Arial Narrow"/>
          <w:color w:val="000000"/>
        </w:rPr>
        <w:t xml:space="preserve">napĺňať iniciatíva EU s názvom </w:t>
      </w:r>
      <w:r w:rsidR="00763C24" w:rsidRPr="00910016">
        <w:rPr>
          <w:rFonts w:ascii="Arial Narrow" w:hAnsi="Arial Narrow"/>
          <w:i/>
          <w:color w:val="000000"/>
        </w:rPr>
        <w:t>Cesty zvyšovania úrovne zručností – nové príležitosti na vzdelávanie dospelých</w:t>
      </w:r>
      <w:r w:rsidR="00763C24" w:rsidRPr="00D76BBF">
        <w:rPr>
          <w:rFonts w:ascii="Arial Narrow" w:hAnsi="Arial Narrow"/>
          <w:color w:val="000000"/>
        </w:rPr>
        <w:t xml:space="preserve">. Pripraví sa revízia </w:t>
      </w:r>
      <w:r w:rsidR="00763C24" w:rsidRPr="00175418">
        <w:rPr>
          <w:rFonts w:ascii="Arial Narrow" w:hAnsi="Arial Narrow"/>
          <w:i/>
          <w:color w:val="000000"/>
        </w:rPr>
        <w:t>Stratégie celoživotného vzdelávania s výhľadom do roku 2024</w:t>
      </w:r>
      <w:r w:rsidR="00763C24" w:rsidRPr="00D76BBF">
        <w:rPr>
          <w:rFonts w:ascii="Arial Narrow" w:hAnsi="Arial Narrow"/>
          <w:color w:val="000000"/>
        </w:rPr>
        <w:t>.</w:t>
      </w:r>
    </w:p>
    <w:p w14:paraId="08D3FA97" w14:textId="77777777" w:rsidR="00763C24" w:rsidRPr="00763C24" w:rsidRDefault="00763C24" w:rsidP="005B2D64">
      <w:pPr>
        <w:spacing w:after="0" w:line="240" w:lineRule="auto"/>
        <w:rPr>
          <w:rFonts w:ascii="Arial Narrow" w:hAnsi="Arial Narrow"/>
          <w:color w:val="000000"/>
        </w:rPr>
      </w:pPr>
    </w:p>
    <w:p w14:paraId="334F920F" w14:textId="56EB953E" w:rsidR="005819D4" w:rsidRDefault="005819D4" w:rsidP="005819D4">
      <w:pPr>
        <w:spacing w:after="0" w:line="240" w:lineRule="auto"/>
        <w:jc w:val="both"/>
        <w:rPr>
          <w:rFonts w:ascii="Arial Narrow" w:hAnsi="Arial Narrow"/>
          <w:b/>
          <w:i/>
        </w:rPr>
      </w:pPr>
      <w:r w:rsidRPr="005819D4">
        <w:rPr>
          <w:rFonts w:ascii="Arial Narrow" w:hAnsi="Arial Narrow"/>
          <w:b/>
          <w:i/>
        </w:rPr>
        <w:t>Výskum a</w:t>
      </w:r>
      <w:r>
        <w:rPr>
          <w:rFonts w:ascii="Arial Narrow" w:hAnsi="Arial Narrow"/>
          <w:b/>
          <w:i/>
        </w:rPr>
        <w:t> </w:t>
      </w:r>
      <w:r w:rsidRPr="005819D4">
        <w:rPr>
          <w:rFonts w:ascii="Arial Narrow" w:hAnsi="Arial Narrow"/>
          <w:b/>
          <w:i/>
        </w:rPr>
        <w:t>vývoj</w:t>
      </w:r>
    </w:p>
    <w:p w14:paraId="647A0487" w14:textId="42F77AEC" w:rsidR="005819D4" w:rsidRPr="005819D4" w:rsidRDefault="005819D4" w:rsidP="005819D4">
      <w:pPr>
        <w:spacing w:after="0" w:line="240" w:lineRule="auto"/>
        <w:jc w:val="both"/>
        <w:rPr>
          <w:rFonts w:ascii="Arial Narrow" w:hAnsi="Arial Narrow"/>
        </w:rPr>
      </w:pPr>
      <w:r w:rsidRPr="005819D4">
        <w:rPr>
          <w:rFonts w:ascii="Arial Narrow" w:hAnsi="Arial Narrow"/>
          <w:b/>
        </w:rPr>
        <w:t>Podpora vedy, výskumu a inovácií sa sústreďuje na posilnenie medzinárodnej spolupráce.</w:t>
      </w:r>
      <w:r w:rsidRPr="005819D4">
        <w:rPr>
          <w:rFonts w:ascii="Arial Narrow" w:hAnsi="Arial Narrow"/>
        </w:rPr>
        <w:t xml:space="preserve"> Štátne programy výskumu a vývoja podporia spoluprácu VŠ výskumu a hospodárskej sféry.  Zintenzívni sa podpora stážových pobytov v európskych a medzinárodných výskumných infraštruktúrach, v ktorých je SR zapojená. Prostredníctvom programov Agentúry na podporu výskumu a vývoja (APVV) sa budú podporovať spoločné medzinárodné projekty výskumu a vývoja v rámci bilaterálnej spolupráce. Zintenzívni sa podpora medzinárodného sieťovania národných platforiem do štruktúr EÚ, najmä zapájanie sa do výskumných </w:t>
      </w:r>
      <w:r w:rsidRPr="005819D4">
        <w:rPr>
          <w:rFonts w:ascii="Arial Narrow" w:hAnsi="Arial Narrow"/>
        </w:rPr>
        <w:lastRenderedPageBreak/>
        <w:t>infraštruktúr v rámci ESFRI</w:t>
      </w:r>
      <w:r>
        <w:rPr>
          <w:rStyle w:val="Odkaznapoznmkupodiarou"/>
          <w:rFonts w:ascii="Arial Narrow" w:hAnsi="Arial Narrow"/>
        </w:rPr>
        <w:footnoteReference w:id="69"/>
      </w:r>
      <w:r w:rsidRPr="005819D4">
        <w:rPr>
          <w:rFonts w:ascii="Arial Narrow" w:hAnsi="Arial Narrow"/>
        </w:rPr>
        <w:t>.</w:t>
      </w:r>
      <w:r w:rsidR="00141658">
        <w:rPr>
          <w:rFonts w:ascii="Arial Narrow" w:hAnsi="Arial Narrow"/>
        </w:rPr>
        <w:t xml:space="preserve"> A</w:t>
      </w:r>
      <w:r w:rsidR="00141658" w:rsidRPr="00C86E48">
        <w:rPr>
          <w:rFonts w:ascii="Arial Narrow" w:hAnsi="Arial Narrow"/>
        </w:rPr>
        <w:t>ktuali</w:t>
      </w:r>
      <w:r w:rsidR="00141658">
        <w:rPr>
          <w:rFonts w:ascii="Arial Narrow" w:hAnsi="Arial Narrow"/>
        </w:rPr>
        <w:t xml:space="preserve">zuje </w:t>
      </w:r>
      <w:r w:rsidR="00141658" w:rsidRPr="00C86E48">
        <w:rPr>
          <w:rFonts w:ascii="Arial Narrow" w:hAnsi="Arial Narrow"/>
        </w:rPr>
        <w:t xml:space="preserve"> </w:t>
      </w:r>
      <w:r w:rsidR="00141658">
        <w:rPr>
          <w:rFonts w:ascii="Arial Narrow" w:hAnsi="Arial Narrow"/>
        </w:rPr>
        <w:t xml:space="preserve">sa Stratégia výskumu a inovácií pre inteligentnú špecializáciu </w:t>
      </w:r>
      <w:r w:rsidR="00141658" w:rsidRPr="00C86E48">
        <w:rPr>
          <w:rFonts w:ascii="Arial Narrow" w:hAnsi="Arial Narrow"/>
        </w:rPr>
        <w:t xml:space="preserve"> </w:t>
      </w:r>
      <w:r w:rsidR="00141658">
        <w:rPr>
          <w:rFonts w:ascii="Arial Narrow" w:hAnsi="Arial Narrow"/>
        </w:rPr>
        <w:t>SR na</w:t>
      </w:r>
      <w:r w:rsidR="00141658" w:rsidRPr="00C86E48">
        <w:rPr>
          <w:rFonts w:ascii="Arial Narrow" w:hAnsi="Arial Narrow"/>
        </w:rPr>
        <w:t xml:space="preserve"> programové obdobie 2021 – 2027</w:t>
      </w:r>
      <w:r w:rsidR="00141658">
        <w:rPr>
          <w:rFonts w:ascii="Arial Narrow" w:hAnsi="Arial Narrow"/>
        </w:rPr>
        <w:t>.</w:t>
      </w:r>
    </w:p>
    <w:p w14:paraId="26C95121" w14:textId="77777777" w:rsidR="005819D4" w:rsidRPr="005819D4" w:rsidRDefault="005819D4" w:rsidP="005819D4">
      <w:pPr>
        <w:spacing w:after="0" w:line="240" w:lineRule="auto"/>
        <w:jc w:val="both"/>
        <w:rPr>
          <w:rFonts w:ascii="Arial Narrow" w:hAnsi="Arial Narrow"/>
          <w:b/>
          <w:i/>
        </w:rPr>
      </w:pPr>
    </w:p>
    <w:p w14:paraId="5BDA3B67" w14:textId="52B4C66F" w:rsidR="00A44AB8" w:rsidRDefault="00A44AB8" w:rsidP="000E26B9">
      <w:pPr>
        <w:spacing w:line="240" w:lineRule="auto"/>
        <w:jc w:val="both"/>
        <w:rPr>
          <w:rFonts w:ascii="Arial Narrow" w:hAnsi="Arial Narrow"/>
        </w:rPr>
      </w:pPr>
      <w:r w:rsidRPr="000E26B9">
        <w:rPr>
          <w:rFonts w:ascii="Arial Narrow" w:hAnsi="Arial Narrow"/>
          <w:b/>
        </w:rPr>
        <w:t xml:space="preserve">Stimulácia výskumných aktivít v súkromnom sektore bude </w:t>
      </w:r>
      <w:r w:rsidR="00A0305E" w:rsidRPr="000E26B9">
        <w:rPr>
          <w:rFonts w:ascii="Arial Narrow" w:hAnsi="Arial Narrow"/>
          <w:b/>
        </w:rPr>
        <w:t>podporená zefektívnením existujúcich daňových nástrojov</w:t>
      </w:r>
      <w:r w:rsidR="00A0305E">
        <w:rPr>
          <w:rFonts w:ascii="Arial Narrow" w:hAnsi="Arial Narrow"/>
        </w:rPr>
        <w:t>.</w:t>
      </w:r>
      <w:r w:rsidR="00A0305E" w:rsidRPr="00A0305E">
        <w:t xml:space="preserve"> </w:t>
      </w:r>
      <w:r w:rsidR="00346E15" w:rsidRPr="000E26B9">
        <w:rPr>
          <w:rFonts w:ascii="Arial Narrow" w:hAnsi="Arial Narrow"/>
        </w:rPr>
        <w:t xml:space="preserve">V roku 2019 </w:t>
      </w:r>
      <w:r w:rsidR="00346E15">
        <w:rPr>
          <w:rFonts w:ascii="Arial Narrow" w:hAnsi="Arial Narrow"/>
        </w:rPr>
        <w:t>sa plánuje zvýšenie</w:t>
      </w:r>
      <w:r w:rsidR="00A0305E">
        <w:rPr>
          <w:rFonts w:ascii="Arial Narrow" w:hAnsi="Arial Narrow"/>
        </w:rPr>
        <w:t xml:space="preserve"> daňového </w:t>
      </w:r>
      <w:proofErr w:type="spellStart"/>
      <w:r w:rsidR="00346E15">
        <w:rPr>
          <w:rFonts w:ascii="Arial Narrow" w:hAnsi="Arial Narrow"/>
        </w:rPr>
        <w:t>super</w:t>
      </w:r>
      <w:r w:rsidR="003C5B23">
        <w:rPr>
          <w:rFonts w:ascii="Arial Narrow" w:hAnsi="Arial Narrow"/>
        </w:rPr>
        <w:t>odpočtu</w:t>
      </w:r>
      <w:proofErr w:type="spellEnd"/>
      <w:r w:rsidR="003C5B23">
        <w:rPr>
          <w:rFonts w:ascii="Arial Narrow" w:hAnsi="Arial Narrow"/>
        </w:rPr>
        <w:t xml:space="preserve"> na vývoj </w:t>
      </w:r>
      <w:r w:rsidR="00A0305E">
        <w:rPr>
          <w:rFonts w:ascii="Arial Narrow" w:hAnsi="Arial Narrow"/>
        </w:rPr>
        <w:t>a</w:t>
      </w:r>
      <w:r w:rsidR="003C5B23">
        <w:rPr>
          <w:rFonts w:ascii="Arial Narrow" w:hAnsi="Arial Narrow"/>
        </w:rPr>
        <w:t xml:space="preserve"> </w:t>
      </w:r>
      <w:r w:rsidR="00A0305E">
        <w:rPr>
          <w:rFonts w:ascii="Arial Narrow" w:hAnsi="Arial Narrow"/>
        </w:rPr>
        <w:t xml:space="preserve">výskum z doterajších 100 </w:t>
      </w:r>
      <w:r w:rsidR="003504D2">
        <w:rPr>
          <w:rFonts w:ascii="Arial Narrow" w:hAnsi="Arial Narrow"/>
        </w:rPr>
        <w:t xml:space="preserve">na 150 % a </w:t>
      </w:r>
      <w:r w:rsidR="00A0305E" w:rsidRPr="00A0305E">
        <w:rPr>
          <w:rFonts w:ascii="Arial Narrow" w:hAnsi="Arial Narrow"/>
        </w:rPr>
        <w:t xml:space="preserve">na 200 </w:t>
      </w:r>
      <w:r w:rsidR="003504D2">
        <w:rPr>
          <w:rFonts w:ascii="Arial Narrow" w:hAnsi="Arial Narrow"/>
        </w:rPr>
        <w:t xml:space="preserve">% </w:t>
      </w:r>
      <w:r w:rsidR="00A0305E" w:rsidRPr="00A0305E">
        <w:rPr>
          <w:rFonts w:ascii="Arial Narrow" w:hAnsi="Arial Narrow"/>
        </w:rPr>
        <w:t xml:space="preserve">v </w:t>
      </w:r>
      <w:r w:rsidR="00346E15">
        <w:rPr>
          <w:rFonts w:ascii="Arial Narrow" w:hAnsi="Arial Narrow"/>
        </w:rPr>
        <w:t>nasledujúcom</w:t>
      </w:r>
      <w:r w:rsidR="00A0305E" w:rsidRPr="00A0305E">
        <w:rPr>
          <w:rFonts w:ascii="Arial Narrow" w:hAnsi="Arial Narrow"/>
        </w:rPr>
        <w:t xml:space="preserve"> roku.</w:t>
      </w:r>
      <w:r w:rsidR="00A914E9" w:rsidRPr="00F51C1B">
        <w:rPr>
          <w:rFonts w:ascii="Arial Narrow" w:hAnsi="Arial Narrow"/>
        </w:rPr>
        <w:t xml:space="preserve"> </w:t>
      </w:r>
      <w:r w:rsidR="0031219A" w:rsidRPr="00F51C1B">
        <w:rPr>
          <w:rFonts w:ascii="Arial Narrow" w:hAnsi="Arial Narrow"/>
        </w:rPr>
        <w:t xml:space="preserve">Po realizácii </w:t>
      </w:r>
      <w:r w:rsidR="0031219A">
        <w:rPr>
          <w:rFonts w:ascii="Arial Narrow" w:hAnsi="Arial Narrow"/>
        </w:rPr>
        <w:t xml:space="preserve">zvýšenia </w:t>
      </w:r>
      <w:r w:rsidR="00A914E9" w:rsidRPr="00A914E9">
        <w:rPr>
          <w:rFonts w:ascii="Arial Narrow" w:hAnsi="Arial Narrow"/>
        </w:rPr>
        <w:t xml:space="preserve">daňového </w:t>
      </w:r>
      <w:proofErr w:type="spellStart"/>
      <w:r w:rsidR="00A914E9" w:rsidRPr="00A914E9">
        <w:rPr>
          <w:rFonts w:ascii="Arial Narrow" w:hAnsi="Arial Narrow"/>
        </w:rPr>
        <w:t>superodpočtu</w:t>
      </w:r>
      <w:proofErr w:type="spellEnd"/>
      <w:r w:rsidR="00A914E9" w:rsidRPr="00A914E9">
        <w:rPr>
          <w:rFonts w:ascii="Arial Narrow" w:hAnsi="Arial Narrow"/>
        </w:rPr>
        <w:t xml:space="preserve"> bude Slovensko ponúkať najvýhodnejšie podmienky v regióne V4 a Rakúska pre investície do aktivít s vysokou pridanou hodnotou, ktorých rozvoj patrí medzi hlavné priority vlády.</w:t>
      </w:r>
    </w:p>
    <w:p w14:paraId="79C3A1BA" w14:textId="61204937" w:rsidR="00AD0055" w:rsidRPr="00A0305E" w:rsidRDefault="0045515E" w:rsidP="0045515E">
      <w:pPr>
        <w:spacing w:after="0" w:line="240" w:lineRule="auto"/>
        <w:rPr>
          <w:rFonts w:ascii="Arial Narrow" w:hAnsi="Arial Narrow"/>
        </w:rPr>
      </w:pPr>
      <w:r>
        <w:rPr>
          <w:rFonts w:ascii="Arial Narrow" w:hAnsi="Arial Narrow"/>
        </w:rPr>
        <w:br w:type="page"/>
      </w:r>
    </w:p>
    <w:p w14:paraId="5163569D" w14:textId="51B4DAC2" w:rsidR="00DC54F3" w:rsidRPr="000F6948" w:rsidRDefault="00DC54F3" w:rsidP="00DC54F3">
      <w:pPr>
        <w:pStyle w:val="Nadpis2"/>
        <w:numPr>
          <w:ilvl w:val="1"/>
          <w:numId w:val="1"/>
        </w:numPr>
        <w:spacing w:after="240" w:line="240" w:lineRule="auto"/>
        <w:jc w:val="both"/>
        <w:rPr>
          <w:rFonts w:ascii="Arial Narrow" w:hAnsi="Arial Narrow"/>
          <w:color w:val="2C9ADC"/>
          <w:sz w:val="32"/>
          <w:szCs w:val="32"/>
        </w:rPr>
      </w:pPr>
      <w:bookmarkStart w:id="34" w:name="_Toc4766838"/>
      <w:r w:rsidRPr="000F6948">
        <w:rPr>
          <w:rFonts w:ascii="Arial Narrow" w:hAnsi="Arial Narrow"/>
          <w:color w:val="2C9ADC"/>
          <w:sz w:val="32"/>
          <w:szCs w:val="32"/>
        </w:rPr>
        <w:lastRenderedPageBreak/>
        <w:t>Zamestnanosť, penzijný systém a sociálna inklúzia</w:t>
      </w:r>
      <w:bookmarkEnd w:id="34"/>
    </w:p>
    <w:p w14:paraId="6AFE9834" w14:textId="6D22F8C4" w:rsidR="00DC54F3" w:rsidRPr="004C54B9" w:rsidRDefault="00DC54F3" w:rsidP="00DC54F3">
      <w:pPr>
        <w:pStyle w:val="Odsekzoznamu"/>
        <w:tabs>
          <w:tab w:val="left" w:pos="426"/>
        </w:tabs>
        <w:spacing w:after="0" w:line="240" w:lineRule="auto"/>
        <w:ind w:left="0"/>
        <w:contextualSpacing w:val="0"/>
        <w:jc w:val="both"/>
        <w:rPr>
          <w:rFonts w:ascii="Arial Narrow" w:hAnsi="Arial Narrow"/>
          <w:i/>
        </w:rPr>
      </w:pPr>
      <w:r>
        <w:rPr>
          <w:rFonts w:ascii="Arial Narrow" w:hAnsi="Arial Narrow"/>
          <w:i/>
        </w:rPr>
        <w:t>Slovenský trh práce dosahuje historicky najlepšie výsledky. Výrazné zlepšenie vidieť nielen v celkovej miere zamestnanosti a nezamestnanosti, pokrok b</w:t>
      </w:r>
      <w:r w:rsidR="00FA52E1">
        <w:rPr>
          <w:rFonts w:ascii="Arial Narrow" w:hAnsi="Arial Narrow"/>
          <w:i/>
        </w:rPr>
        <w:t xml:space="preserve">ol dosiahnutý aj v znížení miery dlhodobej nezamestnanosti. </w:t>
      </w:r>
      <w:r>
        <w:rPr>
          <w:rFonts w:ascii="Arial Narrow" w:hAnsi="Arial Narrow"/>
          <w:i/>
        </w:rPr>
        <w:t xml:space="preserve">Napriek </w:t>
      </w:r>
      <w:r w:rsidR="00FA52E1">
        <w:rPr>
          <w:rFonts w:ascii="Arial Narrow" w:hAnsi="Arial Narrow"/>
          <w:i/>
        </w:rPr>
        <w:t xml:space="preserve">tomu </w:t>
      </w:r>
      <w:r>
        <w:rPr>
          <w:rFonts w:ascii="Arial Narrow" w:hAnsi="Arial Narrow"/>
          <w:i/>
        </w:rPr>
        <w:t xml:space="preserve">zostáva podiel dlhodobo nezamestnaných na celkovom počte nezamestnaných výrazne vyšší v porovnaní s priemerom EÚ, ako aj krajinami V3. Pokračovať sa preto bude v implementácii akčného plánu na znižovanie dlhodobej nezamestnanosti. </w:t>
      </w:r>
      <w:r w:rsidRPr="00F871C0">
        <w:rPr>
          <w:rFonts w:ascii="Arial Narrow" w:hAnsi="Arial Narrow"/>
          <w:i/>
        </w:rPr>
        <w:t xml:space="preserve">Zlepšenie situácie </w:t>
      </w:r>
      <w:r>
        <w:rPr>
          <w:rFonts w:ascii="Arial Narrow" w:hAnsi="Arial Narrow"/>
          <w:i/>
        </w:rPr>
        <w:t xml:space="preserve">najťažšie </w:t>
      </w:r>
      <w:proofErr w:type="spellStart"/>
      <w:r>
        <w:rPr>
          <w:rFonts w:ascii="Arial Narrow" w:hAnsi="Arial Narrow"/>
          <w:i/>
        </w:rPr>
        <w:t>zamestnateľných</w:t>
      </w:r>
      <w:proofErr w:type="spellEnd"/>
      <w:r>
        <w:rPr>
          <w:rFonts w:ascii="Arial Narrow" w:hAnsi="Arial Narrow"/>
          <w:i/>
        </w:rPr>
        <w:t xml:space="preserve"> </w:t>
      </w:r>
      <w:r w:rsidR="00FA52E1">
        <w:rPr>
          <w:rFonts w:ascii="Arial Narrow" w:hAnsi="Arial Narrow"/>
          <w:i/>
        </w:rPr>
        <w:t xml:space="preserve">na trhu práce sa dosiahne prístupom k </w:t>
      </w:r>
      <w:proofErr w:type="spellStart"/>
      <w:r w:rsidR="00FA52E1">
        <w:rPr>
          <w:rFonts w:ascii="Arial Narrow" w:hAnsi="Arial Narrow"/>
          <w:i/>
        </w:rPr>
        <w:t>personalizovaným</w:t>
      </w:r>
      <w:proofErr w:type="spellEnd"/>
      <w:r w:rsidR="00FA52E1">
        <w:rPr>
          <w:rFonts w:ascii="Arial Narrow" w:hAnsi="Arial Narrow"/>
          <w:i/>
        </w:rPr>
        <w:t xml:space="preserve"> </w:t>
      </w:r>
      <w:r w:rsidRPr="00F871C0">
        <w:rPr>
          <w:rFonts w:ascii="Arial Narrow" w:hAnsi="Arial Narrow"/>
          <w:i/>
        </w:rPr>
        <w:t xml:space="preserve">službám </w:t>
      </w:r>
      <w:r w:rsidR="00FA52E1">
        <w:rPr>
          <w:rFonts w:ascii="Arial Narrow" w:hAnsi="Arial Narrow"/>
          <w:i/>
        </w:rPr>
        <w:t xml:space="preserve">vrátane </w:t>
      </w:r>
      <w:r w:rsidRPr="00F871C0">
        <w:rPr>
          <w:rFonts w:ascii="Arial Narrow" w:hAnsi="Arial Narrow"/>
          <w:i/>
        </w:rPr>
        <w:t>špecializovaného poradenstva</w:t>
      </w:r>
      <w:r>
        <w:rPr>
          <w:rFonts w:ascii="Arial Narrow" w:hAnsi="Arial Narrow"/>
          <w:i/>
        </w:rPr>
        <w:t xml:space="preserve">. S cieľom zvýšenia zamestnanosti žien sa podporia kapacity zariadení </w:t>
      </w:r>
      <w:r w:rsidR="00FA52E1">
        <w:rPr>
          <w:rFonts w:ascii="Arial Narrow" w:hAnsi="Arial Narrow"/>
          <w:i/>
        </w:rPr>
        <w:t xml:space="preserve">starostlivosti </w:t>
      </w:r>
      <w:r w:rsidR="00CD4C35">
        <w:rPr>
          <w:rFonts w:ascii="Arial Narrow" w:hAnsi="Arial Narrow"/>
          <w:i/>
        </w:rPr>
        <w:t xml:space="preserve">pre deti do troch rokov. </w:t>
      </w:r>
      <w:r w:rsidR="00FA52E1">
        <w:rPr>
          <w:rFonts w:ascii="Arial Narrow" w:hAnsi="Arial Narrow"/>
          <w:i/>
        </w:rPr>
        <w:t xml:space="preserve">Pokračuje implementácia </w:t>
      </w:r>
      <w:r>
        <w:rPr>
          <w:rFonts w:ascii="Arial Narrow" w:hAnsi="Arial Narrow"/>
          <w:i/>
        </w:rPr>
        <w:t xml:space="preserve">projektov na zvýšenie sociálnej integrácie marginalizovaných rómskych komunít. Novou výzvou pre </w:t>
      </w:r>
      <w:r w:rsidR="00FA52E1">
        <w:rPr>
          <w:rFonts w:ascii="Arial Narrow" w:hAnsi="Arial Narrow"/>
          <w:i/>
        </w:rPr>
        <w:t>t</w:t>
      </w:r>
      <w:r>
        <w:rPr>
          <w:rFonts w:ascii="Arial Narrow" w:hAnsi="Arial Narrow"/>
          <w:i/>
        </w:rPr>
        <w:t>rh práce je nedostatok kvalifikovanej pracovnej sily, a to najmä v západnej časti Slovenska.</w:t>
      </w:r>
    </w:p>
    <w:p w14:paraId="044F125D" w14:textId="5A16A3B6" w:rsidR="00D45171" w:rsidRPr="00D45171" w:rsidRDefault="00D45171" w:rsidP="00DC54F3">
      <w:pPr>
        <w:spacing w:after="0" w:line="240" w:lineRule="auto"/>
        <w:contextualSpacing/>
        <w:jc w:val="both"/>
        <w:rPr>
          <w:rFonts w:ascii="Arial Narrow" w:hAnsi="Arial Narrow"/>
          <w:b/>
          <w:color w:val="2C9ADC"/>
          <w:sz w:val="20"/>
        </w:rPr>
      </w:pPr>
    </w:p>
    <w:tbl>
      <w:tblPr>
        <w:tblW w:w="8618" w:type="dxa"/>
        <w:jc w:val="center"/>
        <w:tblLayout w:type="fixed"/>
        <w:tblCellMar>
          <w:left w:w="70" w:type="dxa"/>
          <w:right w:w="70" w:type="dxa"/>
        </w:tblCellMar>
        <w:tblLook w:val="04A0" w:firstRow="1" w:lastRow="0" w:firstColumn="1" w:lastColumn="0" w:noHBand="0" w:noVBand="1"/>
      </w:tblPr>
      <w:tblGrid>
        <w:gridCol w:w="2541"/>
        <w:gridCol w:w="478"/>
        <w:gridCol w:w="509"/>
        <w:gridCol w:w="509"/>
        <w:gridCol w:w="509"/>
        <w:gridCol w:w="509"/>
        <w:gridCol w:w="509"/>
        <w:gridCol w:w="509"/>
        <w:gridCol w:w="509"/>
        <w:gridCol w:w="509"/>
        <w:gridCol w:w="509"/>
        <w:gridCol w:w="509"/>
        <w:gridCol w:w="509"/>
      </w:tblGrid>
      <w:tr w:rsidR="00D45171" w:rsidRPr="004C54B9" w14:paraId="5A6615B2" w14:textId="77777777" w:rsidTr="00FA52E1">
        <w:trPr>
          <w:trHeight w:val="182"/>
          <w:jc w:val="center"/>
        </w:trPr>
        <w:tc>
          <w:tcPr>
            <w:tcW w:w="8618" w:type="dxa"/>
            <w:gridSpan w:val="13"/>
            <w:tcBorders>
              <w:left w:val="nil"/>
              <w:bottom w:val="single" w:sz="4" w:space="0" w:color="auto"/>
              <w:right w:val="nil"/>
            </w:tcBorders>
            <w:shd w:val="clear" w:color="auto" w:fill="auto"/>
            <w:noWrap/>
            <w:vAlign w:val="center"/>
          </w:tcPr>
          <w:p w14:paraId="4F21AFE7" w14:textId="1024A31B" w:rsidR="00D45171" w:rsidRPr="00D45171" w:rsidRDefault="00D45171" w:rsidP="00D45171">
            <w:pPr>
              <w:spacing w:after="0" w:line="240" w:lineRule="auto"/>
              <w:contextualSpacing/>
              <w:jc w:val="both"/>
              <w:rPr>
                <w:rFonts w:ascii="Arial Narrow" w:hAnsi="Arial Narrow"/>
                <w:b/>
                <w:color w:val="2C9ADC"/>
                <w:sz w:val="20"/>
              </w:rPr>
            </w:pPr>
            <w:r w:rsidRPr="00D45171">
              <w:rPr>
                <w:rFonts w:ascii="Arial Narrow" w:hAnsi="Arial Narrow"/>
                <w:b/>
                <w:color w:val="2C9ADC"/>
                <w:sz w:val="20"/>
              </w:rPr>
              <w:t>Výsledkové indikátory pre zamestnanosť, penzijný systém a sociálnu inklúziu</w:t>
            </w:r>
          </w:p>
        </w:tc>
      </w:tr>
      <w:tr w:rsidR="00DC54F3" w:rsidRPr="004C54B9" w14:paraId="6FF0843B" w14:textId="77777777" w:rsidTr="00D45171">
        <w:trPr>
          <w:trHeight w:val="337"/>
          <w:jc w:val="center"/>
        </w:trPr>
        <w:tc>
          <w:tcPr>
            <w:tcW w:w="2541" w:type="dxa"/>
            <w:tcBorders>
              <w:top w:val="single" w:sz="4" w:space="0" w:color="auto"/>
              <w:left w:val="nil"/>
              <w:bottom w:val="single" w:sz="4" w:space="0" w:color="auto"/>
              <w:right w:val="nil"/>
            </w:tcBorders>
            <w:shd w:val="clear" w:color="auto" w:fill="auto"/>
            <w:noWrap/>
            <w:vAlign w:val="center"/>
            <w:hideMark/>
          </w:tcPr>
          <w:p w14:paraId="65AFDA8E" w14:textId="77777777" w:rsidR="00DC54F3" w:rsidRPr="0062680A" w:rsidRDefault="00DC54F3" w:rsidP="00BA7431">
            <w:pPr>
              <w:spacing w:after="0" w:line="240" w:lineRule="auto"/>
              <w:rPr>
                <w:rFonts w:ascii="Arial Narrow" w:hAnsi="Arial Narrow"/>
                <w:b/>
                <w:bCs/>
                <w:sz w:val="20"/>
                <w:szCs w:val="20"/>
              </w:rPr>
            </w:pPr>
            <w:r w:rsidRPr="0062680A">
              <w:rPr>
                <w:rFonts w:ascii="Arial Narrow" w:hAnsi="Arial Narrow"/>
                <w:b/>
                <w:bCs/>
                <w:sz w:val="20"/>
                <w:szCs w:val="20"/>
              </w:rPr>
              <w:t> </w:t>
            </w:r>
          </w:p>
        </w:tc>
        <w:tc>
          <w:tcPr>
            <w:tcW w:w="478" w:type="dxa"/>
            <w:tcBorders>
              <w:top w:val="single" w:sz="4" w:space="0" w:color="auto"/>
              <w:left w:val="nil"/>
              <w:bottom w:val="single" w:sz="4" w:space="0" w:color="auto"/>
              <w:right w:val="nil"/>
            </w:tcBorders>
            <w:shd w:val="clear" w:color="auto" w:fill="auto"/>
            <w:noWrap/>
            <w:vAlign w:val="center"/>
            <w:hideMark/>
          </w:tcPr>
          <w:p w14:paraId="266053CD" w14:textId="77777777" w:rsidR="00DC54F3" w:rsidRPr="0062680A" w:rsidRDefault="00DC54F3" w:rsidP="00BA7431">
            <w:pPr>
              <w:spacing w:after="0" w:line="240" w:lineRule="auto"/>
              <w:rPr>
                <w:rFonts w:ascii="Arial Narrow" w:hAnsi="Arial Narrow"/>
                <w:b/>
                <w:bCs/>
                <w:sz w:val="20"/>
                <w:szCs w:val="20"/>
              </w:rPr>
            </w:pPr>
            <w:r w:rsidRPr="0062680A">
              <w:rPr>
                <w:rFonts w:ascii="Arial Narrow" w:hAnsi="Arial Narrow"/>
                <w:b/>
                <w:bCs/>
                <w:sz w:val="20"/>
                <w:szCs w:val="20"/>
              </w:rPr>
              <w:t> </w:t>
            </w:r>
          </w:p>
        </w:tc>
        <w:tc>
          <w:tcPr>
            <w:tcW w:w="509" w:type="dxa"/>
            <w:tcBorders>
              <w:top w:val="single" w:sz="4" w:space="0" w:color="auto"/>
              <w:left w:val="nil"/>
              <w:bottom w:val="single" w:sz="4" w:space="0" w:color="auto"/>
              <w:right w:val="nil"/>
            </w:tcBorders>
            <w:shd w:val="clear" w:color="auto" w:fill="auto"/>
            <w:vAlign w:val="center"/>
            <w:hideMark/>
          </w:tcPr>
          <w:p w14:paraId="587BAD9F" w14:textId="77777777" w:rsidR="00DC54F3" w:rsidRPr="0062680A" w:rsidRDefault="00DC54F3" w:rsidP="00BA7431">
            <w:pPr>
              <w:spacing w:after="0" w:line="240" w:lineRule="auto"/>
              <w:jc w:val="center"/>
              <w:rPr>
                <w:rFonts w:ascii="Arial Narrow" w:hAnsi="Arial Narrow"/>
                <w:b/>
                <w:bCs/>
                <w:sz w:val="20"/>
                <w:szCs w:val="20"/>
              </w:rPr>
            </w:pPr>
            <w:r w:rsidRPr="0062680A">
              <w:rPr>
                <w:rFonts w:ascii="Arial Narrow" w:hAnsi="Arial Narrow"/>
                <w:b/>
                <w:bCs/>
                <w:sz w:val="20"/>
                <w:szCs w:val="20"/>
              </w:rPr>
              <w:t>2009</w:t>
            </w:r>
          </w:p>
        </w:tc>
        <w:tc>
          <w:tcPr>
            <w:tcW w:w="509" w:type="dxa"/>
            <w:tcBorders>
              <w:top w:val="single" w:sz="4" w:space="0" w:color="auto"/>
              <w:left w:val="nil"/>
              <w:bottom w:val="single" w:sz="4" w:space="0" w:color="auto"/>
              <w:right w:val="nil"/>
            </w:tcBorders>
            <w:shd w:val="clear" w:color="auto" w:fill="auto"/>
            <w:vAlign w:val="center"/>
            <w:hideMark/>
          </w:tcPr>
          <w:p w14:paraId="1BC097E9" w14:textId="77777777" w:rsidR="00DC54F3" w:rsidRPr="0062680A" w:rsidRDefault="00DC54F3" w:rsidP="00BA7431">
            <w:pPr>
              <w:spacing w:after="0" w:line="240" w:lineRule="auto"/>
              <w:jc w:val="center"/>
              <w:rPr>
                <w:rFonts w:ascii="Arial Narrow" w:hAnsi="Arial Narrow"/>
                <w:b/>
                <w:bCs/>
                <w:sz w:val="20"/>
                <w:szCs w:val="20"/>
              </w:rPr>
            </w:pPr>
            <w:r w:rsidRPr="0062680A">
              <w:rPr>
                <w:rFonts w:ascii="Arial Narrow" w:hAnsi="Arial Narrow"/>
                <w:b/>
                <w:bCs/>
                <w:sz w:val="20"/>
                <w:szCs w:val="20"/>
              </w:rPr>
              <w:t>2010</w:t>
            </w:r>
          </w:p>
        </w:tc>
        <w:tc>
          <w:tcPr>
            <w:tcW w:w="509" w:type="dxa"/>
            <w:tcBorders>
              <w:top w:val="single" w:sz="4" w:space="0" w:color="auto"/>
              <w:left w:val="nil"/>
              <w:bottom w:val="single" w:sz="4" w:space="0" w:color="auto"/>
              <w:right w:val="nil"/>
            </w:tcBorders>
            <w:shd w:val="clear" w:color="auto" w:fill="auto"/>
            <w:vAlign w:val="center"/>
            <w:hideMark/>
          </w:tcPr>
          <w:p w14:paraId="469095BE" w14:textId="77777777" w:rsidR="00DC54F3" w:rsidRPr="0062680A" w:rsidRDefault="00DC54F3" w:rsidP="00BA7431">
            <w:pPr>
              <w:spacing w:after="0" w:line="240" w:lineRule="auto"/>
              <w:jc w:val="center"/>
              <w:rPr>
                <w:rFonts w:ascii="Arial Narrow" w:hAnsi="Arial Narrow"/>
                <w:b/>
                <w:bCs/>
                <w:sz w:val="20"/>
                <w:szCs w:val="20"/>
              </w:rPr>
            </w:pPr>
            <w:r w:rsidRPr="0062680A">
              <w:rPr>
                <w:rFonts w:ascii="Arial Narrow" w:hAnsi="Arial Narrow"/>
                <w:b/>
                <w:bCs/>
                <w:sz w:val="20"/>
                <w:szCs w:val="20"/>
              </w:rPr>
              <w:t>2011</w:t>
            </w:r>
          </w:p>
        </w:tc>
        <w:tc>
          <w:tcPr>
            <w:tcW w:w="509" w:type="dxa"/>
            <w:tcBorders>
              <w:top w:val="single" w:sz="4" w:space="0" w:color="auto"/>
              <w:left w:val="nil"/>
              <w:bottom w:val="single" w:sz="4" w:space="0" w:color="auto"/>
              <w:right w:val="nil"/>
            </w:tcBorders>
            <w:shd w:val="clear" w:color="auto" w:fill="auto"/>
            <w:vAlign w:val="center"/>
            <w:hideMark/>
          </w:tcPr>
          <w:p w14:paraId="33CD7A88" w14:textId="77777777" w:rsidR="00DC54F3" w:rsidRPr="0062680A" w:rsidRDefault="00DC54F3" w:rsidP="00BA7431">
            <w:pPr>
              <w:spacing w:after="0" w:line="240" w:lineRule="auto"/>
              <w:jc w:val="center"/>
              <w:rPr>
                <w:rFonts w:ascii="Arial Narrow" w:hAnsi="Arial Narrow"/>
                <w:b/>
                <w:bCs/>
                <w:sz w:val="20"/>
                <w:szCs w:val="20"/>
              </w:rPr>
            </w:pPr>
            <w:r w:rsidRPr="0062680A">
              <w:rPr>
                <w:rFonts w:ascii="Arial Narrow" w:hAnsi="Arial Narrow"/>
                <w:b/>
                <w:bCs/>
                <w:sz w:val="20"/>
                <w:szCs w:val="20"/>
              </w:rPr>
              <w:t>2012</w:t>
            </w:r>
          </w:p>
        </w:tc>
        <w:tc>
          <w:tcPr>
            <w:tcW w:w="509" w:type="dxa"/>
            <w:tcBorders>
              <w:top w:val="single" w:sz="4" w:space="0" w:color="auto"/>
              <w:left w:val="nil"/>
              <w:bottom w:val="single" w:sz="4" w:space="0" w:color="auto"/>
              <w:right w:val="nil"/>
            </w:tcBorders>
            <w:shd w:val="clear" w:color="auto" w:fill="auto"/>
            <w:vAlign w:val="center"/>
            <w:hideMark/>
          </w:tcPr>
          <w:p w14:paraId="6CE28B72" w14:textId="77777777" w:rsidR="00DC54F3" w:rsidRPr="0062680A" w:rsidRDefault="00DC54F3" w:rsidP="00BA7431">
            <w:pPr>
              <w:spacing w:after="0" w:line="240" w:lineRule="auto"/>
              <w:jc w:val="center"/>
              <w:rPr>
                <w:rFonts w:ascii="Arial Narrow" w:hAnsi="Arial Narrow"/>
                <w:b/>
                <w:bCs/>
                <w:sz w:val="20"/>
                <w:szCs w:val="20"/>
              </w:rPr>
            </w:pPr>
            <w:r w:rsidRPr="0062680A">
              <w:rPr>
                <w:rFonts w:ascii="Arial Narrow" w:hAnsi="Arial Narrow"/>
                <w:b/>
                <w:bCs/>
                <w:sz w:val="20"/>
                <w:szCs w:val="20"/>
              </w:rPr>
              <w:t>2013</w:t>
            </w:r>
          </w:p>
        </w:tc>
        <w:tc>
          <w:tcPr>
            <w:tcW w:w="509" w:type="dxa"/>
            <w:tcBorders>
              <w:top w:val="single" w:sz="4" w:space="0" w:color="auto"/>
              <w:left w:val="nil"/>
              <w:bottom w:val="single" w:sz="4" w:space="0" w:color="auto"/>
              <w:right w:val="nil"/>
            </w:tcBorders>
            <w:shd w:val="clear" w:color="auto" w:fill="auto"/>
            <w:vAlign w:val="center"/>
            <w:hideMark/>
          </w:tcPr>
          <w:p w14:paraId="4A0C7EA9" w14:textId="77777777" w:rsidR="00DC54F3" w:rsidRPr="0062680A" w:rsidRDefault="00DC54F3" w:rsidP="00BA7431">
            <w:pPr>
              <w:spacing w:after="0" w:line="240" w:lineRule="auto"/>
              <w:jc w:val="center"/>
              <w:rPr>
                <w:rFonts w:ascii="Arial Narrow" w:hAnsi="Arial Narrow"/>
                <w:b/>
                <w:bCs/>
                <w:sz w:val="20"/>
                <w:szCs w:val="20"/>
              </w:rPr>
            </w:pPr>
            <w:r w:rsidRPr="0062680A">
              <w:rPr>
                <w:rFonts w:ascii="Arial Narrow" w:hAnsi="Arial Narrow"/>
                <w:b/>
                <w:bCs/>
                <w:sz w:val="20"/>
                <w:szCs w:val="20"/>
              </w:rPr>
              <w:t>2014</w:t>
            </w:r>
          </w:p>
        </w:tc>
        <w:tc>
          <w:tcPr>
            <w:tcW w:w="509" w:type="dxa"/>
            <w:tcBorders>
              <w:top w:val="single" w:sz="4" w:space="0" w:color="auto"/>
              <w:left w:val="nil"/>
              <w:bottom w:val="single" w:sz="4" w:space="0" w:color="auto"/>
              <w:right w:val="nil"/>
            </w:tcBorders>
            <w:shd w:val="clear" w:color="auto" w:fill="auto"/>
            <w:vAlign w:val="center"/>
            <w:hideMark/>
          </w:tcPr>
          <w:p w14:paraId="5C64091C" w14:textId="77777777" w:rsidR="00DC54F3" w:rsidRPr="0062680A" w:rsidRDefault="00DC54F3" w:rsidP="00BA7431">
            <w:pPr>
              <w:spacing w:after="0" w:line="240" w:lineRule="auto"/>
              <w:jc w:val="center"/>
              <w:rPr>
                <w:rFonts w:ascii="Arial Narrow" w:hAnsi="Arial Narrow"/>
                <w:b/>
                <w:bCs/>
                <w:sz w:val="20"/>
                <w:szCs w:val="20"/>
              </w:rPr>
            </w:pPr>
            <w:r w:rsidRPr="0062680A">
              <w:rPr>
                <w:rFonts w:ascii="Arial Narrow" w:hAnsi="Arial Narrow"/>
                <w:b/>
                <w:bCs/>
                <w:sz w:val="20"/>
                <w:szCs w:val="20"/>
              </w:rPr>
              <w:t>2015</w:t>
            </w:r>
          </w:p>
        </w:tc>
        <w:tc>
          <w:tcPr>
            <w:tcW w:w="509" w:type="dxa"/>
            <w:tcBorders>
              <w:top w:val="single" w:sz="4" w:space="0" w:color="auto"/>
              <w:left w:val="nil"/>
              <w:bottom w:val="single" w:sz="4" w:space="0" w:color="auto"/>
              <w:right w:val="nil"/>
            </w:tcBorders>
            <w:vAlign w:val="center"/>
          </w:tcPr>
          <w:p w14:paraId="04BE70B6" w14:textId="77777777" w:rsidR="00DC54F3" w:rsidRPr="0062680A" w:rsidRDefault="00DC54F3" w:rsidP="00BA7431">
            <w:pPr>
              <w:spacing w:after="0" w:line="240" w:lineRule="auto"/>
              <w:rPr>
                <w:rFonts w:ascii="Arial Narrow" w:hAnsi="Arial Narrow"/>
                <w:b/>
                <w:bCs/>
                <w:sz w:val="20"/>
                <w:szCs w:val="20"/>
              </w:rPr>
            </w:pPr>
            <w:r w:rsidRPr="0062680A">
              <w:rPr>
                <w:rFonts w:ascii="Arial Narrow" w:hAnsi="Arial Narrow"/>
                <w:b/>
                <w:bCs/>
                <w:sz w:val="20"/>
                <w:szCs w:val="20"/>
              </w:rPr>
              <w:t>2016</w:t>
            </w:r>
          </w:p>
        </w:tc>
        <w:tc>
          <w:tcPr>
            <w:tcW w:w="509" w:type="dxa"/>
            <w:tcBorders>
              <w:top w:val="single" w:sz="4" w:space="0" w:color="auto"/>
              <w:left w:val="nil"/>
              <w:bottom w:val="single" w:sz="4" w:space="0" w:color="auto"/>
              <w:right w:val="nil"/>
            </w:tcBorders>
            <w:vAlign w:val="center"/>
          </w:tcPr>
          <w:p w14:paraId="18F69B0F" w14:textId="77777777" w:rsidR="00DC54F3" w:rsidRPr="0062680A" w:rsidRDefault="00DC54F3" w:rsidP="00BA7431">
            <w:pPr>
              <w:spacing w:after="0" w:line="240" w:lineRule="auto"/>
              <w:rPr>
                <w:rFonts w:ascii="Arial Narrow" w:hAnsi="Arial Narrow"/>
                <w:b/>
                <w:bCs/>
                <w:sz w:val="20"/>
                <w:szCs w:val="20"/>
              </w:rPr>
            </w:pPr>
            <w:r w:rsidRPr="0062680A">
              <w:rPr>
                <w:rFonts w:ascii="Arial Narrow" w:hAnsi="Arial Narrow"/>
                <w:b/>
                <w:bCs/>
                <w:sz w:val="20"/>
                <w:szCs w:val="20"/>
              </w:rPr>
              <w:t>2017</w:t>
            </w:r>
          </w:p>
        </w:tc>
        <w:tc>
          <w:tcPr>
            <w:tcW w:w="509" w:type="dxa"/>
            <w:tcBorders>
              <w:top w:val="single" w:sz="4" w:space="0" w:color="auto"/>
              <w:left w:val="nil"/>
              <w:bottom w:val="single" w:sz="4" w:space="0" w:color="auto"/>
              <w:right w:val="nil"/>
            </w:tcBorders>
            <w:shd w:val="clear" w:color="auto" w:fill="auto"/>
            <w:vAlign w:val="center"/>
          </w:tcPr>
          <w:p w14:paraId="47A756FB" w14:textId="77777777" w:rsidR="00DC54F3" w:rsidRPr="00D45171" w:rsidRDefault="00DC54F3" w:rsidP="00BA7431">
            <w:pPr>
              <w:spacing w:after="0" w:line="240" w:lineRule="auto"/>
              <w:rPr>
                <w:rFonts w:ascii="Arial Narrow" w:hAnsi="Arial Narrow"/>
                <w:b/>
                <w:bCs/>
                <w:sz w:val="20"/>
                <w:szCs w:val="20"/>
              </w:rPr>
            </w:pPr>
            <w:r w:rsidRPr="00D45171">
              <w:rPr>
                <w:rFonts w:ascii="Arial Narrow" w:hAnsi="Arial Narrow"/>
                <w:b/>
                <w:bCs/>
                <w:sz w:val="20"/>
                <w:szCs w:val="20"/>
              </w:rPr>
              <w:t>2018</w:t>
            </w:r>
          </w:p>
        </w:tc>
        <w:tc>
          <w:tcPr>
            <w:tcW w:w="509" w:type="dxa"/>
            <w:tcBorders>
              <w:top w:val="single" w:sz="4" w:space="0" w:color="auto"/>
              <w:left w:val="nil"/>
              <w:bottom w:val="single" w:sz="4" w:space="0" w:color="auto"/>
              <w:right w:val="nil"/>
            </w:tcBorders>
            <w:shd w:val="clear" w:color="auto" w:fill="auto"/>
            <w:vAlign w:val="center"/>
            <w:hideMark/>
          </w:tcPr>
          <w:p w14:paraId="79C0AE6D" w14:textId="77777777" w:rsidR="00DC54F3" w:rsidRPr="00D45171" w:rsidRDefault="00DC54F3" w:rsidP="00BA7431">
            <w:pPr>
              <w:spacing w:after="0" w:line="240" w:lineRule="auto"/>
              <w:rPr>
                <w:rFonts w:ascii="Arial Narrow" w:hAnsi="Arial Narrow"/>
                <w:b/>
                <w:bCs/>
                <w:sz w:val="20"/>
                <w:szCs w:val="20"/>
              </w:rPr>
            </w:pPr>
            <w:r w:rsidRPr="00D45171">
              <w:rPr>
                <w:rFonts w:ascii="Arial Narrow" w:hAnsi="Arial Narrow"/>
                <w:b/>
                <w:bCs/>
                <w:sz w:val="20"/>
                <w:szCs w:val="20"/>
              </w:rPr>
              <w:t>Cieľ 2020</w:t>
            </w:r>
          </w:p>
        </w:tc>
      </w:tr>
      <w:tr w:rsidR="00DC54F3" w:rsidRPr="004C54B9" w14:paraId="2524B618" w14:textId="77777777" w:rsidTr="001334F0">
        <w:trPr>
          <w:trHeight w:val="285"/>
          <w:jc w:val="center"/>
        </w:trPr>
        <w:tc>
          <w:tcPr>
            <w:tcW w:w="2541" w:type="dxa"/>
            <w:tcBorders>
              <w:top w:val="nil"/>
              <w:left w:val="nil"/>
              <w:bottom w:val="nil"/>
              <w:right w:val="nil"/>
            </w:tcBorders>
            <w:shd w:val="clear" w:color="auto" w:fill="auto"/>
            <w:noWrap/>
            <w:vAlign w:val="center"/>
            <w:hideMark/>
          </w:tcPr>
          <w:p w14:paraId="790DB65A" w14:textId="77777777" w:rsidR="00DC54F3" w:rsidRPr="0062680A" w:rsidRDefault="00DC54F3" w:rsidP="00BA7431">
            <w:pPr>
              <w:spacing w:after="0" w:line="240" w:lineRule="auto"/>
              <w:rPr>
                <w:rFonts w:ascii="Arial Narrow" w:hAnsi="Arial Narrow"/>
                <w:b/>
                <w:bCs/>
                <w:color w:val="000000"/>
                <w:sz w:val="20"/>
                <w:szCs w:val="20"/>
              </w:rPr>
            </w:pPr>
            <w:r w:rsidRPr="0062680A">
              <w:rPr>
                <w:rFonts w:ascii="Arial Narrow" w:hAnsi="Arial Narrow"/>
                <w:b/>
                <w:bCs/>
                <w:color w:val="000000"/>
                <w:sz w:val="20"/>
                <w:szCs w:val="20"/>
              </w:rPr>
              <w:t>Miera dlhodobej nezamestnanosti</w:t>
            </w:r>
          </w:p>
        </w:tc>
        <w:tc>
          <w:tcPr>
            <w:tcW w:w="478" w:type="dxa"/>
            <w:tcBorders>
              <w:top w:val="nil"/>
              <w:left w:val="nil"/>
              <w:bottom w:val="nil"/>
              <w:right w:val="nil"/>
            </w:tcBorders>
            <w:shd w:val="clear" w:color="auto" w:fill="auto"/>
            <w:noWrap/>
            <w:vAlign w:val="center"/>
            <w:hideMark/>
          </w:tcPr>
          <w:p w14:paraId="1E19A2B1" w14:textId="77777777" w:rsidR="00DC54F3" w:rsidRPr="0062680A" w:rsidRDefault="00DC54F3" w:rsidP="00BA7431">
            <w:pPr>
              <w:spacing w:after="0" w:line="240" w:lineRule="auto"/>
              <w:jc w:val="center"/>
              <w:rPr>
                <w:rFonts w:ascii="Arial Narrow" w:hAnsi="Arial Narrow"/>
                <w:b/>
                <w:bCs/>
                <w:color w:val="000000"/>
                <w:sz w:val="20"/>
                <w:szCs w:val="20"/>
              </w:rPr>
            </w:pPr>
            <w:r w:rsidRPr="0062680A">
              <w:rPr>
                <w:rFonts w:ascii="Arial Narrow" w:hAnsi="Arial Narrow"/>
                <w:b/>
                <w:bCs/>
                <w:color w:val="000000"/>
                <w:sz w:val="20"/>
                <w:szCs w:val="20"/>
              </w:rPr>
              <w:t>SK</w:t>
            </w:r>
          </w:p>
        </w:tc>
        <w:tc>
          <w:tcPr>
            <w:tcW w:w="509" w:type="dxa"/>
            <w:tcBorders>
              <w:top w:val="nil"/>
              <w:left w:val="nil"/>
              <w:bottom w:val="nil"/>
              <w:right w:val="nil"/>
            </w:tcBorders>
            <w:shd w:val="clear" w:color="auto" w:fill="auto"/>
            <w:vAlign w:val="center"/>
            <w:hideMark/>
          </w:tcPr>
          <w:p w14:paraId="58832DDA"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6,5</w:t>
            </w:r>
          </w:p>
        </w:tc>
        <w:tc>
          <w:tcPr>
            <w:tcW w:w="509" w:type="dxa"/>
            <w:tcBorders>
              <w:top w:val="nil"/>
              <w:left w:val="nil"/>
              <w:bottom w:val="nil"/>
              <w:right w:val="nil"/>
            </w:tcBorders>
            <w:shd w:val="clear" w:color="auto" w:fill="auto"/>
            <w:vAlign w:val="center"/>
            <w:hideMark/>
          </w:tcPr>
          <w:p w14:paraId="3B82DDF6"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9,2</w:t>
            </w:r>
          </w:p>
        </w:tc>
        <w:tc>
          <w:tcPr>
            <w:tcW w:w="509" w:type="dxa"/>
            <w:tcBorders>
              <w:top w:val="nil"/>
              <w:left w:val="nil"/>
              <w:bottom w:val="nil"/>
              <w:right w:val="nil"/>
            </w:tcBorders>
            <w:shd w:val="clear" w:color="auto" w:fill="auto"/>
            <w:vAlign w:val="center"/>
            <w:hideMark/>
          </w:tcPr>
          <w:p w14:paraId="2689F113"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9,2</w:t>
            </w:r>
          </w:p>
        </w:tc>
        <w:tc>
          <w:tcPr>
            <w:tcW w:w="509" w:type="dxa"/>
            <w:tcBorders>
              <w:top w:val="nil"/>
              <w:left w:val="nil"/>
              <w:bottom w:val="nil"/>
              <w:right w:val="nil"/>
            </w:tcBorders>
            <w:shd w:val="clear" w:color="auto" w:fill="auto"/>
            <w:vAlign w:val="center"/>
            <w:hideMark/>
          </w:tcPr>
          <w:p w14:paraId="14F21D0D"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9,4</w:t>
            </w:r>
          </w:p>
        </w:tc>
        <w:tc>
          <w:tcPr>
            <w:tcW w:w="509" w:type="dxa"/>
            <w:tcBorders>
              <w:top w:val="nil"/>
              <w:left w:val="nil"/>
              <w:bottom w:val="nil"/>
              <w:right w:val="nil"/>
            </w:tcBorders>
            <w:shd w:val="clear" w:color="auto" w:fill="auto"/>
            <w:vAlign w:val="center"/>
            <w:hideMark/>
          </w:tcPr>
          <w:p w14:paraId="27514993"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10,0</w:t>
            </w:r>
          </w:p>
        </w:tc>
        <w:tc>
          <w:tcPr>
            <w:tcW w:w="509" w:type="dxa"/>
            <w:tcBorders>
              <w:top w:val="nil"/>
              <w:left w:val="nil"/>
              <w:bottom w:val="nil"/>
              <w:right w:val="nil"/>
            </w:tcBorders>
            <w:shd w:val="clear" w:color="auto" w:fill="auto"/>
            <w:vAlign w:val="center"/>
            <w:hideMark/>
          </w:tcPr>
          <w:p w14:paraId="74805BAC"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9,3</w:t>
            </w:r>
          </w:p>
        </w:tc>
        <w:tc>
          <w:tcPr>
            <w:tcW w:w="509" w:type="dxa"/>
            <w:tcBorders>
              <w:top w:val="nil"/>
              <w:left w:val="nil"/>
              <w:bottom w:val="nil"/>
              <w:right w:val="nil"/>
            </w:tcBorders>
            <w:shd w:val="clear" w:color="auto" w:fill="auto"/>
            <w:vAlign w:val="center"/>
            <w:hideMark/>
          </w:tcPr>
          <w:p w14:paraId="7B49DC6D"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7,6</w:t>
            </w:r>
          </w:p>
        </w:tc>
        <w:tc>
          <w:tcPr>
            <w:tcW w:w="509" w:type="dxa"/>
            <w:tcBorders>
              <w:top w:val="nil"/>
              <w:left w:val="nil"/>
              <w:bottom w:val="nil"/>
              <w:right w:val="nil"/>
            </w:tcBorders>
            <w:vAlign w:val="center"/>
          </w:tcPr>
          <w:p w14:paraId="5B9A470B"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5,8</w:t>
            </w:r>
          </w:p>
        </w:tc>
        <w:tc>
          <w:tcPr>
            <w:tcW w:w="509" w:type="dxa"/>
            <w:tcBorders>
              <w:top w:val="nil"/>
              <w:left w:val="nil"/>
              <w:bottom w:val="nil"/>
              <w:right w:val="nil"/>
            </w:tcBorders>
            <w:vAlign w:val="center"/>
          </w:tcPr>
          <w:p w14:paraId="48A45E2B"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5,1</w:t>
            </w:r>
          </w:p>
        </w:tc>
        <w:tc>
          <w:tcPr>
            <w:tcW w:w="509" w:type="dxa"/>
            <w:tcBorders>
              <w:top w:val="nil"/>
              <w:left w:val="nil"/>
              <w:bottom w:val="nil"/>
              <w:right w:val="nil"/>
            </w:tcBorders>
            <w:shd w:val="clear" w:color="auto" w:fill="auto"/>
            <w:vAlign w:val="center"/>
          </w:tcPr>
          <w:p w14:paraId="64BD640C" w14:textId="77777777" w:rsidR="00DC54F3" w:rsidRPr="0062680A" w:rsidRDefault="00DC54F3" w:rsidP="00BA7431">
            <w:pPr>
              <w:spacing w:after="0" w:line="240" w:lineRule="auto"/>
              <w:jc w:val="center"/>
              <w:rPr>
                <w:rFonts w:ascii="Arial Narrow" w:hAnsi="Arial Narrow"/>
                <w:sz w:val="20"/>
                <w:szCs w:val="20"/>
              </w:rPr>
            </w:pPr>
          </w:p>
        </w:tc>
        <w:tc>
          <w:tcPr>
            <w:tcW w:w="509" w:type="dxa"/>
            <w:tcBorders>
              <w:top w:val="nil"/>
              <w:left w:val="nil"/>
              <w:bottom w:val="nil"/>
              <w:right w:val="nil"/>
            </w:tcBorders>
            <w:shd w:val="clear" w:color="auto" w:fill="auto"/>
            <w:vAlign w:val="center"/>
            <w:hideMark/>
          </w:tcPr>
          <w:p w14:paraId="50B404B0"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3,0</w:t>
            </w:r>
          </w:p>
        </w:tc>
      </w:tr>
      <w:tr w:rsidR="00DC54F3" w:rsidRPr="004C54B9" w14:paraId="469E1301" w14:textId="77777777" w:rsidTr="001334F0">
        <w:trPr>
          <w:trHeight w:val="285"/>
          <w:jc w:val="center"/>
        </w:trPr>
        <w:tc>
          <w:tcPr>
            <w:tcW w:w="2541" w:type="dxa"/>
            <w:tcBorders>
              <w:top w:val="nil"/>
              <w:left w:val="nil"/>
              <w:bottom w:val="single" w:sz="4" w:space="0" w:color="auto"/>
              <w:right w:val="nil"/>
            </w:tcBorders>
            <w:shd w:val="clear" w:color="auto" w:fill="auto"/>
            <w:noWrap/>
            <w:vAlign w:val="center"/>
            <w:hideMark/>
          </w:tcPr>
          <w:p w14:paraId="0C6A8E9D" w14:textId="77777777" w:rsidR="00DC54F3" w:rsidRPr="0062680A" w:rsidRDefault="00DC54F3" w:rsidP="00BA7431">
            <w:pPr>
              <w:spacing w:after="0" w:line="240" w:lineRule="auto"/>
              <w:jc w:val="both"/>
              <w:rPr>
                <w:rFonts w:ascii="Arial Narrow" w:hAnsi="Arial Narrow"/>
                <w:color w:val="000000"/>
                <w:sz w:val="20"/>
                <w:szCs w:val="20"/>
              </w:rPr>
            </w:pPr>
            <w:r w:rsidRPr="0062680A">
              <w:rPr>
                <w:rFonts w:ascii="Arial Narrow" w:hAnsi="Arial Narrow"/>
                <w:color w:val="000000"/>
                <w:sz w:val="20"/>
                <w:szCs w:val="20"/>
              </w:rPr>
              <w:t>(% aktívneho obyvateľstva nad 15 rokov)</w:t>
            </w:r>
          </w:p>
        </w:tc>
        <w:tc>
          <w:tcPr>
            <w:tcW w:w="478" w:type="dxa"/>
            <w:tcBorders>
              <w:top w:val="nil"/>
              <w:left w:val="nil"/>
              <w:bottom w:val="single" w:sz="4" w:space="0" w:color="auto"/>
              <w:right w:val="nil"/>
            </w:tcBorders>
            <w:shd w:val="clear" w:color="auto" w:fill="auto"/>
            <w:noWrap/>
            <w:vAlign w:val="center"/>
            <w:hideMark/>
          </w:tcPr>
          <w:p w14:paraId="6EEDD2FB" w14:textId="77777777" w:rsidR="00DC54F3" w:rsidRPr="0062680A" w:rsidRDefault="00DC54F3" w:rsidP="00BA7431">
            <w:pPr>
              <w:spacing w:after="0" w:line="240" w:lineRule="auto"/>
              <w:jc w:val="center"/>
              <w:rPr>
                <w:rFonts w:ascii="Arial Narrow" w:hAnsi="Arial Narrow"/>
                <w:b/>
                <w:bCs/>
                <w:color w:val="000000"/>
                <w:sz w:val="20"/>
                <w:szCs w:val="20"/>
              </w:rPr>
            </w:pPr>
            <w:r w:rsidRPr="0062680A">
              <w:rPr>
                <w:rFonts w:ascii="Arial Narrow" w:hAnsi="Arial Narrow"/>
                <w:b/>
                <w:bCs/>
                <w:color w:val="000000"/>
                <w:sz w:val="20"/>
                <w:szCs w:val="20"/>
              </w:rPr>
              <w:t>EÚ</w:t>
            </w:r>
          </w:p>
        </w:tc>
        <w:tc>
          <w:tcPr>
            <w:tcW w:w="509" w:type="dxa"/>
            <w:tcBorders>
              <w:top w:val="nil"/>
              <w:left w:val="nil"/>
              <w:bottom w:val="single" w:sz="4" w:space="0" w:color="auto"/>
              <w:right w:val="nil"/>
            </w:tcBorders>
            <w:shd w:val="clear" w:color="auto" w:fill="auto"/>
            <w:vAlign w:val="center"/>
            <w:hideMark/>
          </w:tcPr>
          <w:p w14:paraId="34C3DEFF"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2,9</w:t>
            </w:r>
          </w:p>
        </w:tc>
        <w:tc>
          <w:tcPr>
            <w:tcW w:w="509" w:type="dxa"/>
            <w:tcBorders>
              <w:top w:val="nil"/>
              <w:left w:val="nil"/>
              <w:bottom w:val="single" w:sz="4" w:space="0" w:color="auto"/>
              <w:right w:val="nil"/>
            </w:tcBorders>
            <w:shd w:val="clear" w:color="auto" w:fill="auto"/>
            <w:vAlign w:val="center"/>
            <w:hideMark/>
          </w:tcPr>
          <w:p w14:paraId="594EA132"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3,8</w:t>
            </w:r>
          </w:p>
        </w:tc>
        <w:tc>
          <w:tcPr>
            <w:tcW w:w="509" w:type="dxa"/>
            <w:tcBorders>
              <w:top w:val="nil"/>
              <w:left w:val="nil"/>
              <w:bottom w:val="single" w:sz="4" w:space="0" w:color="auto"/>
              <w:right w:val="nil"/>
            </w:tcBorders>
            <w:shd w:val="clear" w:color="auto" w:fill="auto"/>
            <w:vAlign w:val="center"/>
            <w:hideMark/>
          </w:tcPr>
          <w:p w14:paraId="388ADCB9"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4,1</w:t>
            </w:r>
          </w:p>
        </w:tc>
        <w:tc>
          <w:tcPr>
            <w:tcW w:w="509" w:type="dxa"/>
            <w:tcBorders>
              <w:top w:val="nil"/>
              <w:left w:val="nil"/>
              <w:bottom w:val="single" w:sz="4" w:space="0" w:color="auto"/>
              <w:right w:val="nil"/>
            </w:tcBorders>
            <w:shd w:val="clear" w:color="auto" w:fill="auto"/>
            <w:vAlign w:val="center"/>
            <w:hideMark/>
          </w:tcPr>
          <w:p w14:paraId="42426BB7"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4,6</w:t>
            </w:r>
          </w:p>
        </w:tc>
        <w:tc>
          <w:tcPr>
            <w:tcW w:w="509" w:type="dxa"/>
            <w:tcBorders>
              <w:top w:val="nil"/>
              <w:left w:val="nil"/>
              <w:bottom w:val="single" w:sz="4" w:space="0" w:color="auto"/>
              <w:right w:val="nil"/>
            </w:tcBorders>
            <w:shd w:val="clear" w:color="auto" w:fill="auto"/>
            <w:vAlign w:val="center"/>
            <w:hideMark/>
          </w:tcPr>
          <w:p w14:paraId="092B2267"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5,1</w:t>
            </w:r>
          </w:p>
        </w:tc>
        <w:tc>
          <w:tcPr>
            <w:tcW w:w="509" w:type="dxa"/>
            <w:tcBorders>
              <w:top w:val="nil"/>
              <w:left w:val="nil"/>
              <w:bottom w:val="single" w:sz="4" w:space="0" w:color="auto"/>
              <w:right w:val="nil"/>
            </w:tcBorders>
            <w:shd w:val="clear" w:color="auto" w:fill="auto"/>
            <w:vAlign w:val="center"/>
            <w:hideMark/>
          </w:tcPr>
          <w:p w14:paraId="56D37181"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5,0</w:t>
            </w:r>
          </w:p>
        </w:tc>
        <w:tc>
          <w:tcPr>
            <w:tcW w:w="509" w:type="dxa"/>
            <w:tcBorders>
              <w:top w:val="nil"/>
              <w:left w:val="nil"/>
              <w:bottom w:val="single" w:sz="4" w:space="0" w:color="auto"/>
              <w:right w:val="nil"/>
            </w:tcBorders>
            <w:shd w:val="clear" w:color="auto" w:fill="auto"/>
            <w:vAlign w:val="center"/>
            <w:hideMark/>
          </w:tcPr>
          <w:p w14:paraId="08B64286"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4,5</w:t>
            </w:r>
          </w:p>
        </w:tc>
        <w:tc>
          <w:tcPr>
            <w:tcW w:w="509" w:type="dxa"/>
            <w:tcBorders>
              <w:top w:val="nil"/>
              <w:left w:val="nil"/>
              <w:bottom w:val="single" w:sz="4" w:space="0" w:color="auto"/>
              <w:right w:val="nil"/>
            </w:tcBorders>
            <w:vAlign w:val="center"/>
          </w:tcPr>
          <w:p w14:paraId="5322CE4B"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4,0</w:t>
            </w:r>
          </w:p>
        </w:tc>
        <w:tc>
          <w:tcPr>
            <w:tcW w:w="509" w:type="dxa"/>
            <w:tcBorders>
              <w:top w:val="nil"/>
              <w:left w:val="nil"/>
              <w:bottom w:val="single" w:sz="4" w:space="0" w:color="auto"/>
              <w:right w:val="nil"/>
            </w:tcBorders>
            <w:vAlign w:val="center"/>
          </w:tcPr>
          <w:p w14:paraId="7950F540"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3,4</w:t>
            </w:r>
          </w:p>
        </w:tc>
        <w:tc>
          <w:tcPr>
            <w:tcW w:w="509" w:type="dxa"/>
            <w:tcBorders>
              <w:top w:val="nil"/>
              <w:left w:val="nil"/>
              <w:bottom w:val="single" w:sz="4" w:space="0" w:color="auto"/>
              <w:right w:val="nil"/>
            </w:tcBorders>
            <w:shd w:val="clear" w:color="auto" w:fill="auto"/>
            <w:vAlign w:val="center"/>
          </w:tcPr>
          <w:p w14:paraId="31DD8892" w14:textId="77777777" w:rsidR="00DC54F3" w:rsidRPr="0062680A" w:rsidRDefault="00DC54F3" w:rsidP="00BA7431">
            <w:pPr>
              <w:spacing w:after="0" w:line="240" w:lineRule="auto"/>
              <w:jc w:val="center"/>
              <w:rPr>
                <w:rFonts w:ascii="Arial Narrow" w:hAnsi="Arial Narrow"/>
                <w:sz w:val="20"/>
                <w:szCs w:val="20"/>
              </w:rPr>
            </w:pPr>
          </w:p>
        </w:tc>
        <w:tc>
          <w:tcPr>
            <w:tcW w:w="509" w:type="dxa"/>
            <w:tcBorders>
              <w:top w:val="nil"/>
              <w:left w:val="nil"/>
              <w:bottom w:val="single" w:sz="4" w:space="0" w:color="auto"/>
              <w:right w:val="nil"/>
            </w:tcBorders>
            <w:shd w:val="clear" w:color="auto" w:fill="auto"/>
            <w:vAlign w:val="center"/>
            <w:hideMark/>
          </w:tcPr>
          <w:p w14:paraId="1ACD074F" w14:textId="77777777" w:rsidR="00DC54F3" w:rsidRPr="0062680A" w:rsidRDefault="00DC54F3" w:rsidP="00BA7431">
            <w:pPr>
              <w:spacing w:after="0" w:line="240" w:lineRule="auto"/>
              <w:jc w:val="center"/>
              <w:rPr>
                <w:rFonts w:ascii="Arial Narrow" w:hAnsi="Arial Narrow"/>
                <w:sz w:val="20"/>
                <w:szCs w:val="20"/>
                <w:highlight w:val="yellow"/>
              </w:rPr>
            </w:pPr>
            <w:r w:rsidRPr="0062680A">
              <w:rPr>
                <w:rFonts w:ascii="Arial Narrow" w:hAnsi="Arial Narrow"/>
                <w:sz w:val="20"/>
                <w:szCs w:val="20"/>
              </w:rPr>
              <w:t>-</w:t>
            </w:r>
          </w:p>
        </w:tc>
      </w:tr>
      <w:tr w:rsidR="00DC54F3" w:rsidRPr="004C54B9" w14:paraId="3C994D5E" w14:textId="77777777" w:rsidTr="001334F0">
        <w:trPr>
          <w:trHeight w:val="285"/>
          <w:jc w:val="center"/>
        </w:trPr>
        <w:tc>
          <w:tcPr>
            <w:tcW w:w="2541" w:type="dxa"/>
            <w:tcBorders>
              <w:top w:val="nil"/>
              <w:left w:val="nil"/>
              <w:bottom w:val="nil"/>
              <w:right w:val="nil"/>
            </w:tcBorders>
            <w:shd w:val="clear" w:color="auto" w:fill="auto"/>
            <w:noWrap/>
            <w:vAlign w:val="center"/>
            <w:hideMark/>
          </w:tcPr>
          <w:p w14:paraId="394BD4C5" w14:textId="77777777" w:rsidR="00DC54F3" w:rsidRPr="0062680A" w:rsidRDefault="00DC54F3" w:rsidP="00BA7431">
            <w:pPr>
              <w:spacing w:after="0" w:line="240" w:lineRule="auto"/>
              <w:rPr>
                <w:rFonts w:ascii="Arial Narrow" w:hAnsi="Arial Narrow"/>
                <w:b/>
                <w:bCs/>
                <w:color w:val="000000"/>
                <w:sz w:val="20"/>
                <w:szCs w:val="20"/>
              </w:rPr>
            </w:pPr>
            <w:r w:rsidRPr="0062680A">
              <w:rPr>
                <w:rFonts w:ascii="Arial Narrow" w:hAnsi="Arial Narrow"/>
                <w:b/>
                <w:bCs/>
                <w:color w:val="000000"/>
                <w:sz w:val="20"/>
                <w:szCs w:val="20"/>
              </w:rPr>
              <w:t>Miera zamestnanosti</w:t>
            </w:r>
          </w:p>
        </w:tc>
        <w:tc>
          <w:tcPr>
            <w:tcW w:w="478" w:type="dxa"/>
            <w:tcBorders>
              <w:top w:val="nil"/>
              <w:left w:val="nil"/>
              <w:bottom w:val="nil"/>
              <w:right w:val="nil"/>
            </w:tcBorders>
            <w:shd w:val="clear" w:color="auto" w:fill="auto"/>
            <w:noWrap/>
            <w:vAlign w:val="center"/>
            <w:hideMark/>
          </w:tcPr>
          <w:p w14:paraId="2D2E6761" w14:textId="77777777" w:rsidR="00DC54F3" w:rsidRPr="0062680A" w:rsidRDefault="00DC54F3" w:rsidP="00BA7431">
            <w:pPr>
              <w:spacing w:after="0" w:line="240" w:lineRule="auto"/>
              <w:jc w:val="center"/>
              <w:rPr>
                <w:rFonts w:ascii="Arial Narrow" w:hAnsi="Arial Narrow"/>
                <w:b/>
                <w:bCs/>
                <w:color w:val="000000"/>
                <w:sz w:val="20"/>
                <w:szCs w:val="20"/>
              </w:rPr>
            </w:pPr>
            <w:r w:rsidRPr="0062680A">
              <w:rPr>
                <w:rFonts w:ascii="Arial Narrow" w:hAnsi="Arial Narrow"/>
                <w:b/>
                <w:bCs/>
                <w:color w:val="000000"/>
                <w:sz w:val="20"/>
                <w:szCs w:val="20"/>
              </w:rPr>
              <w:t>SK</w:t>
            </w:r>
          </w:p>
        </w:tc>
        <w:tc>
          <w:tcPr>
            <w:tcW w:w="509" w:type="dxa"/>
            <w:tcBorders>
              <w:top w:val="nil"/>
              <w:left w:val="nil"/>
              <w:bottom w:val="nil"/>
              <w:right w:val="nil"/>
            </w:tcBorders>
            <w:shd w:val="clear" w:color="auto" w:fill="auto"/>
            <w:vAlign w:val="center"/>
            <w:hideMark/>
          </w:tcPr>
          <w:p w14:paraId="6840B799"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66,4</w:t>
            </w:r>
          </w:p>
        </w:tc>
        <w:tc>
          <w:tcPr>
            <w:tcW w:w="509" w:type="dxa"/>
            <w:tcBorders>
              <w:top w:val="nil"/>
              <w:left w:val="nil"/>
              <w:bottom w:val="nil"/>
              <w:right w:val="nil"/>
            </w:tcBorders>
            <w:shd w:val="clear" w:color="auto" w:fill="auto"/>
            <w:vAlign w:val="center"/>
            <w:hideMark/>
          </w:tcPr>
          <w:p w14:paraId="15D04DBD"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64,6</w:t>
            </w:r>
          </w:p>
        </w:tc>
        <w:tc>
          <w:tcPr>
            <w:tcW w:w="509" w:type="dxa"/>
            <w:tcBorders>
              <w:top w:val="nil"/>
              <w:left w:val="nil"/>
              <w:bottom w:val="nil"/>
              <w:right w:val="nil"/>
            </w:tcBorders>
            <w:shd w:val="clear" w:color="auto" w:fill="auto"/>
            <w:vAlign w:val="center"/>
            <w:hideMark/>
          </w:tcPr>
          <w:p w14:paraId="73430760"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65,0</w:t>
            </w:r>
          </w:p>
        </w:tc>
        <w:tc>
          <w:tcPr>
            <w:tcW w:w="509" w:type="dxa"/>
            <w:tcBorders>
              <w:top w:val="nil"/>
              <w:left w:val="nil"/>
              <w:bottom w:val="nil"/>
              <w:right w:val="nil"/>
            </w:tcBorders>
            <w:shd w:val="clear" w:color="auto" w:fill="auto"/>
            <w:vAlign w:val="center"/>
            <w:hideMark/>
          </w:tcPr>
          <w:p w14:paraId="6D7EE529"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65,1</w:t>
            </w:r>
          </w:p>
        </w:tc>
        <w:tc>
          <w:tcPr>
            <w:tcW w:w="509" w:type="dxa"/>
            <w:tcBorders>
              <w:top w:val="nil"/>
              <w:left w:val="nil"/>
              <w:bottom w:val="nil"/>
              <w:right w:val="nil"/>
            </w:tcBorders>
            <w:shd w:val="clear" w:color="auto" w:fill="auto"/>
            <w:vAlign w:val="center"/>
            <w:hideMark/>
          </w:tcPr>
          <w:p w14:paraId="382A3654"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65,0</w:t>
            </w:r>
          </w:p>
        </w:tc>
        <w:tc>
          <w:tcPr>
            <w:tcW w:w="509" w:type="dxa"/>
            <w:tcBorders>
              <w:top w:val="nil"/>
              <w:left w:val="nil"/>
              <w:bottom w:val="nil"/>
              <w:right w:val="nil"/>
            </w:tcBorders>
            <w:shd w:val="clear" w:color="auto" w:fill="auto"/>
            <w:vAlign w:val="center"/>
            <w:hideMark/>
          </w:tcPr>
          <w:p w14:paraId="467305AA"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 xml:space="preserve">65,9 </w:t>
            </w:r>
          </w:p>
        </w:tc>
        <w:tc>
          <w:tcPr>
            <w:tcW w:w="509" w:type="dxa"/>
            <w:tcBorders>
              <w:top w:val="nil"/>
              <w:left w:val="nil"/>
              <w:bottom w:val="nil"/>
              <w:right w:val="nil"/>
            </w:tcBorders>
            <w:shd w:val="clear" w:color="auto" w:fill="auto"/>
            <w:vAlign w:val="center"/>
            <w:hideMark/>
          </w:tcPr>
          <w:p w14:paraId="45AD19BB"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67,7</w:t>
            </w:r>
          </w:p>
        </w:tc>
        <w:tc>
          <w:tcPr>
            <w:tcW w:w="509" w:type="dxa"/>
            <w:tcBorders>
              <w:top w:val="nil"/>
              <w:left w:val="nil"/>
              <w:bottom w:val="nil"/>
              <w:right w:val="nil"/>
            </w:tcBorders>
            <w:vAlign w:val="center"/>
          </w:tcPr>
          <w:p w14:paraId="1CC10602"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69,8</w:t>
            </w:r>
          </w:p>
        </w:tc>
        <w:tc>
          <w:tcPr>
            <w:tcW w:w="509" w:type="dxa"/>
            <w:tcBorders>
              <w:top w:val="nil"/>
              <w:left w:val="nil"/>
              <w:bottom w:val="nil"/>
              <w:right w:val="nil"/>
            </w:tcBorders>
            <w:vAlign w:val="center"/>
          </w:tcPr>
          <w:p w14:paraId="341043DC"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71,1</w:t>
            </w:r>
          </w:p>
        </w:tc>
        <w:tc>
          <w:tcPr>
            <w:tcW w:w="509" w:type="dxa"/>
            <w:tcBorders>
              <w:top w:val="nil"/>
              <w:left w:val="nil"/>
              <w:bottom w:val="nil"/>
              <w:right w:val="nil"/>
            </w:tcBorders>
            <w:shd w:val="clear" w:color="auto" w:fill="auto"/>
            <w:vAlign w:val="center"/>
          </w:tcPr>
          <w:p w14:paraId="6F080D2F" w14:textId="77777777" w:rsidR="00DC54F3" w:rsidRPr="0062680A" w:rsidRDefault="00DC54F3" w:rsidP="00BA7431">
            <w:pPr>
              <w:spacing w:after="0" w:line="240" w:lineRule="auto"/>
              <w:jc w:val="center"/>
              <w:rPr>
                <w:rFonts w:ascii="Arial Narrow" w:hAnsi="Arial Narrow"/>
                <w:sz w:val="20"/>
                <w:szCs w:val="20"/>
              </w:rPr>
            </w:pPr>
          </w:p>
        </w:tc>
        <w:tc>
          <w:tcPr>
            <w:tcW w:w="509" w:type="dxa"/>
            <w:tcBorders>
              <w:top w:val="nil"/>
              <w:left w:val="nil"/>
              <w:bottom w:val="nil"/>
              <w:right w:val="nil"/>
            </w:tcBorders>
            <w:shd w:val="clear" w:color="auto" w:fill="auto"/>
            <w:vAlign w:val="center"/>
            <w:hideMark/>
          </w:tcPr>
          <w:p w14:paraId="22EEC21B"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72,0</w:t>
            </w:r>
          </w:p>
        </w:tc>
      </w:tr>
      <w:tr w:rsidR="00DC54F3" w:rsidRPr="004C54B9" w14:paraId="329278E9" w14:textId="77777777" w:rsidTr="001334F0">
        <w:trPr>
          <w:trHeight w:val="285"/>
          <w:jc w:val="center"/>
        </w:trPr>
        <w:tc>
          <w:tcPr>
            <w:tcW w:w="2541" w:type="dxa"/>
            <w:tcBorders>
              <w:top w:val="nil"/>
              <w:left w:val="nil"/>
              <w:bottom w:val="single" w:sz="4" w:space="0" w:color="auto"/>
              <w:right w:val="nil"/>
            </w:tcBorders>
            <w:shd w:val="clear" w:color="auto" w:fill="auto"/>
            <w:noWrap/>
            <w:vAlign w:val="center"/>
            <w:hideMark/>
          </w:tcPr>
          <w:p w14:paraId="6039D488" w14:textId="77777777" w:rsidR="00DC54F3" w:rsidRPr="0062680A" w:rsidRDefault="00DC54F3" w:rsidP="00BA7431">
            <w:pPr>
              <w:spacing w:after="0" w:line="240" w:lineRule="auto"/>
              <w:jc w:val="both"/>
              <w:rPr>
                <w:rFonts w:ascii="Arial Narrow" w:hAnsi="Arial Narrow"/>
                <w:color w:val="000000"/>
                <w:sz w:val="20"/>
                <w:szCs w:val="20"/>
              </w:rPr>
            </w:pPr>
            <w:r w:rsidRPr="0062680A">
              <w:rPr>
                <w:rFonts w:ascii="Arial Narrow" w:hAnsi="Arial Narrow"/>
                <w:color w:val="000000"/>
                <w:sz w:val="20"/>
                <w:szCs w:val="20"/>
              </w:rPr>
              <w:t>(% vo vekovej skupine 20 - 64 rokov)</w:t>
            </w:r>
          </w:p>
        </w:tc>
        <w:tc>
          <w:tcPr>
            <w:tcW w:w="478" w:type="dxa"/>
            <w:tcBorders>
              <w:top w:val="nil"/>
              <w:left w:val="nil"/>
              <w:bottom w:val="single" w:sz="4" w:space="0" w:color="auto"/>
              <w:right w:val="nil"/>
            </w:tcBorders>
            <w:shd w:val="clear" w:color="auto" w:fill="auto"/>
            <w:noWrap/>
            <w:vAlign w:val="center"/>
            <w:hideMark/>
          </w:tcPr>
          <w:p w14:paraId="259B46E4" w14:textId="77777777" w:rsidR="00DC54F3" w:rsidRPr="0062680A" w:rsidRDefault="00DC54F3" w:rsidP="00BA7431">
            <w:pPr>
              <w:spacing w:after="0" w:line="240" w:lineRule="auto"/>
              <w:jc w:val="center"/>
              <w:rPr>
                <w:rFonts w:ascii="Arial Narrow" w:hAnsi="Arial Narrow"/>
                <w:b/>
                <w:bCs/>
                <w:color w:val="000000"/>
                <w:sz w:val="20"/>
                <w:szCs w:val="20"/>
              </w:rPr>
            </w:pPr>
            <w:r w:rsidRPr="0062680A">
              <w:rPr>
                <w:rFonts w:ascii="Arial Narrow" w:hAnsi="Arial Narrow"/>
                <w:b/>
                <w:bCs/>
                <w:color w:val="000000"/>
                <w:sz w:val="20"/>
                <w:szCs w:val="20"/>
              </w:rPr>
              <w:t>EÚ</w:t>
            </w:r>
          </w:p>
        </w:tc>
        <w:tc>
          <w:tcPr>
            <w:tcW w:w="509" w:type="dxa"/>
            <w:tcBorders>
              <w:top w:val="nil"/>
              <w:left w:val="nil"/>
              <w:bottom w:val="single" w:sz="4" w:space="0" w:color="auto"/>
              <w:right w:val="nil"/>
            </w:tcBorders>
            <w:shd w:val="clear" w:color="auto" w:fill="auto"/>
            <w:vAlign w:val="center"/>
            <w:hideMark/>
          </w:tcPr>
          <w:p w14:paraId="50FB585E"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69</w:t>
            </w:r>
          </w:p>
        </w:tc>
        <w:tc>
          <w:tcPr>
            <w:tcW w:w="509" w:type="dxa"/>
            <w:tcBorders>
              <w:top w:val="nil"/>
              <w:left w:val="nil"/>
              <w:bottom w:val="single" w:sz="4" w:space="0" w:color="auto"/>
              <w:right w:val="nil"/>
            </w:tcBorders>
            <w:shd w:val="clear" w:color="auto" w:fill="auto"/>
            <w:vAlign w:val="center"/>
            <w:hideMark/>
          </w:tcPr>
          <w:p w14:paraId="5579E92F"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68,6</w:t>
            </w:r>
          </w:p>
        </w:tc>
        <w:tc>
          <w:tcPr>
            <w:tcW w:w="509" w:type="dxa"/>
            <w:tcBorders>
              <w:top w:val="nil"/>
              <w:left w:val="nil"/>
              <w:bottom w:val="single" w:sz="4" w:space="0" w:color="auto"/>
              <w:right w:val="nil"/>
            </w:tcBorders>
            <w:shd w:val="clear" w:color="auto" w:fill="auto"/>
            <w:vAlign w:val="center"/>
            <w:hideMark/>
          </w:tcPr>
          <w:p w14:paraId="40F3A483"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68,6</w:t>
            </w:r>
          </w:p>
        </w:tc>
        <w:tc>
          <w:tcPr>
            <w:tcW w:w="509" w:type="dxa"/>
            <w:tcBorders>
              <w:top w:val="nil"/>
              <w:left w:val="nil"/>
              <w:bottom w:val="single" w:sz="4" w:space="0" w:color="auto"/>
              <w:right w:val="nil"/>
            </w:tcBorders>
            <w:shd w:val="clear" w:color="auto" w:fill="auto"/>
            <w:vAlign w:val="center"/>
            <w:hideMark/>
          </w:tcPr>
          <w:p w14:paraId="5DFB19C4"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68,4</w:t>
            </w:r>
          </w:p>
        </w:tc>
        <w:tc>
          <w:tcPr>
            <w:tcW w:w="509" w:type="dxa"/>
            <w:tcBorders>
              <w:top w:val="nil"/>
              <w:left w:val="nil"/>
              <w:bottom w:val="single" w:sz="4" w:space="0" w:color="auto"/>
              <w:right w:val="nil"/>
            </w:tcBorders>
            <w:shd w:val="clear" w:color="auto" w:fill="auto"/>
            <w:vAlign w:val="center"/>
            <w:hideMark/>
          </w:tcPr>
          <w:p w14:paraId="05186ECA"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68,4</w:t>
            </w:r>
          </w:p>
        </w:tc>
        <w:tc>
          <w:tcPr>
            <w:tcW w:w="509" w:type="dxa"/>
            <w:tcBorders>
              <w:top w:val="nil"/>
              <w:left w:val="nil"/>
              <w:bottom w:val="single" w:sz="4" w:space="0" w:color="auto"/>
              <w:right w:val="nil"/>
            </w:tcBorders>
            <w:shd w:val="clear" w:color="auto" w:fill="auto"/>
            <w:vAlign w:val="center"/>
            <w:hideMark/>
          </w:tcPr>
          <w:p w14:paraId="155EF528"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69,2</w:t>
            </w:r>
          </w:p>
        </w:tc>
        <w:tc>
          <w:tcPr>
            <w:tcW w:w="509" w:type="dxa"/>
            <w:tcBorders>
              <w:top w:val="nil"/>
              <w:left w:val="nil"/>
              <w:bottom w:val="single" w:sz="4" w:space="0" w:color="auto"/>
              <w:right w:val="nil"/>
            </w:tcBorders>
            <w:shd w:val="clear" w:color="auto" w:fill="auto"/>
            <w:vAlign w:val="center"/>
            <w:hideMark/>
          </w:tcPr>
          <w:p w14:paraId="76EFB4BA"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70,1</w:t>
            </w:r>
          </w:p>
        </w:tc>
        <w:tc>
          <w:tcPr>
            <w:tcW w:w="509" w:type="dxa"/>
            <w:tcBorders>
              <w:top w:val="nil"/>
              <w:left w:val="nil"/>
              <w:bottom w:val="single" w:sz="4" w:space="0" w:color="auto"/>
              <w:right w:val="nil"/>
            </w:tcBorders>
            <w:vAlign w:val="center"/>
          </w:tcPr>
          <w:p w14:paraId="64F5426C"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71,1</w:t>
            </w:r>
          </w:p>
        </w:tc>
        <w:tc>
          <w:tcPr>
            <w:tcW w:w="509" w:type="dxa"/>
            <w:tcBorders>
              <w:top w:val="nil"/>
              <w:left w:val="nil"/>
              <w:bottom w:val="single" w:sz="4" w:space="0" w:color="auto"/>
              <w:right w:val="nil"/>
            </w:tcBorders>
            <w:vAlign w:val="center"/>
          </w:tcPr>
          <w:p w14:paraId="30021701"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72,2</w:t>
            </w:r>
          </w:p>
        </w:tc>
        <w:tc>
          <w:tcPr>
            <w:tcW w:w="509" w:type="dxa"/>
            <w:tcBorders>
              <w:top w:val="nil"/>
              <w:left w:val="nil"/>
              <w:bottom w:val="single" w:sz="4" w:space="0" w:color="auto"/>
              <w:right w:val="nil"/>
            </w:tcBorders>
            <w:shd w:val="clear" w:color="auto" w:fill="auto"/>
            <w:vAlign w:val="center"/>
          </w:tcPr>
          <w:p w14:paraId="5B395F2C" w14:textId="77777777" w:rsidR="00DC54F3" w:rsidRPr="0062680A" w:rsidRDefault="00DC54F3" w:rsidP="00BA7431">
            <w:pPr>
              <w:spacing w:after="0" w:line="240" w:lineRule="auto"/>
              <w:rPr>
                <w:rFonts w:ascii="Arial Narrow" w:hAnsi="Arial Narrow"/>
                <w:sz w:val="20"/>
                <w:szCs w:val="20"/>
              </w:rPr>
            </w:pPr>
          </w:p>
        </w:tc>
        <w:tc>
          <w:tcPr>
            <w:tcW w:w="509" w:type="dxa"/>
            <w:tcBorders>
              <w:top w:val="nil"/>
              <w:left w:val="nil"/>
              <w:bottom w:val="single" w:sz="4" w:space="0" w:color="auto"/>
              <w:right w:val="nil"/>
            </w:tcBorders>
            <w:shd w:val="clear" w:color="auto" w:fill="auto"/>
            <w:vAlign w:val="center"/>
            <w:hideMark/>
          </w:tcPr>
          <w:p w14:paraId="430504B5"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75,0</w:t>
            </w:r>
          </w:p>
        </w:tc>
      </w:tr>
      <w:tr w:rsidR="00DC54F3" w:rsidRPr="004C54B9" w14:paraId="7B97E48C" w14:textId="77777777" w:rsidTr="00D45171">
        <w:trPr>
          <w:trHeight w:val="285"/>
          <w:jc w:val="center"/>
        </w:trPr>
        <w:tc>
          <w:tcPr>
            <w:tcW w:w="2541" w:type="dxa"/>
            <w:tcBorders>
              <w:top w:val="nil"/>
              <w:left w:val="nil"/>
              <w:right w:val="nil"/>
            </w:tcBorders>
            <w:shd w:val="clear" w:color="auto" w:fill="auto"/>
            <w:vAlign w:val="center"/>
            <w:hideMark/>
          </w:tcPr>
          <w:p w14:paraId="38353E5D" w14:textId="77777777" w:rsidR="00DC54F3" w:rsidRPr="0062680A" w:rsidRDefault="00DC54F3" w:rsidP="00BA7431">
            <w:pPr>
              <w:spacing w:after="0" w:line="240" w:lineRule="auto"/>
              <w:rPr>
                <w:rFonts w:ascii="Arial Narrow" w:hAnsi="Arial Narrow"/>
                <w:b/>
                <w:bCs/>
                <w:color w:val="000000"/>
                <w:sz w:val="20"/>
                <w:szCs w:val="20"/>
              </w:rPr>
            </w:pPr>
            <w:r w:rsidRPr="0062680A">
              <w:rPr>
                <w:rFonts w:ascii="Arial Narrow" w:hAnsi="Arial Narrow"/>
                <w:b/>
                <w:bCs/>
                <w:color w:val="000000"/>
                <w:sz w:val="20"/>
                <w:szCs w:val="20"/>
              </w:rPr>
              <w:t>Populácia ohrozená chudobou a sociálnym vylúčením</w:t>
            </w:r>
          </w:p>
        </w:tc>
        <w:tc>
          <w:tcPr>
            <w:tcW w:w="478" w:type="dxa"/>
            <w:tcBorders>
              <w:top w:val="nil"/>
              <w:left w:val="nil"/>
              <w:right w:val="nil"/>
            </w:tcBorders>
            <w:shd w:val="clear" w:color="auto" w:fill="auto"/>
            <w:noWrap/>
            <w:vAlign w:val="center"/>
            <w:hideMark/>
          </w:tcPr>
          <w:p w14:paraId="6DA646B5" w14:textId="77777777" w:rsidR="00DC54F3" w:rsidRPr="0062680A" w:rsidRDefault="00DC54F3" w:rsidP="00BA7431">
            <w:pPr>
              <w:spacing w:after="0" w:line="240" w:lineRule="auto"/>
              <w:jc w:val="center"/>
              <w:rPr>
                <w:rFonts w:ascii="Arial Narrow" w:hAnsi="Arial Narrow"/>
                <w:b/>
                <w:bCs/>
                <w:color w:val="000000"/>
                <w:sz w:val="20"/>
                <w:szCs w:val="20"/>
              </w:rPr>
            </w:pPr>
            <w:r w:rsidRPr="0062680A">
              <w:rPr>
                <w:rFonts w:ascii="Arial Narrow" w:hAnsi="Arial Narrow"/>
                <w:b/>
                <w:bCs/>
                <w:color w:val="000000"/>
                <w:sz w:val="20"/>
                <w:szCs w:val="20"/>
              </w:rPr>
              <w:t>SK</w:t>
            </w:r>
          </w:p>
        </w:tc>
        <w:tc>
          <w:tcPr>
            <w:tcW w:w="509" w:type="dxa"/>
            <w:tcBorders>
              <w:top w:val="nil"/>
              <w:left w:val="nil"/>
              <w:right w:val="nil"/>
            </w:tcBorders>
            <w:shd w:val="clear" w:color="auto" w:fill="auto"/>
            <w:vAlign w:val="center"/>
            <w:hideMark/>
          </w:tcPr>
          <w:p w14:paraId="1EF36E30"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19,6</w:t>
            </w:r>
          </w:p>
        </w:tc>
        <w:tc>
          <w:tcPr>
            <w:tcW w:w="509" w:type="dxa"/>
            <w:tcBorders>
              <w:top w:val="nil"/>
              <w:left w:val="nil"/>
              <w:right w:val="nil"/>
            </w:tcBorders>
            <w:shd w:val="clear" w:color="auto" w:fill="auto"/>
            <w:vAlign w:val="center"/>
            <w:hideMark/>
          </w:tcPr>
          <w:p w14:paraId="7BD6F895"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20,6</w:t>
            </w:r>
          </w:p>
        </w:tc>
        <w:tc>
          <w:tcPr>
            <w:tcW w:w="509" w:type="dxa"/>
            <w:tcBorders>
              <w:top w:val="nil"/>
              <w:left w:val="nil"/>
              <w:right w:val="nil"/>
            </w:tcBorders>
            <w:shd w:val="clear" w:color="auto" w:fill="auto"/>
            <w:vAlign w:val="center"/>
            <w:hideMark/>
          </w:tcPr>
          <w:p w14:paraId="010B6179"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20,6</w:t>
            </w:r>
          </w:p>
        </w:tc>
        <w:tc>
          <w:tcPr>
            <w:tcW w:w="509" w:type="dxa"/>
            <w:tcBorders>
              <w:top w:val="nil"/>
              <w:left w:val="nil"/>
              <w:right w:val="nil"/>
            </w:tcBorders>
            <w:shd w:val="clear" w:color="auto" w:fill="auto"/>
            <w:vAlign w:val="center"/>
            <w:hideMark/>
          </w:tcPr>
          <w:p w14:paraId="2CA6FD74"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20,5</w:t>
            </w:r>
          </w:p>
        </w:tc>
        <w:tc>
          <w:tcPr>
            <w:tcW w:w="509" w:type="dxa"/>
            <w:tcBorders>
              <w:top w:val="nil"/>
              <w:left w:val="nil"/>
              <w:right w:val="nil"/>
            </w:tcBorders>
            <w:shd w:val="clear" w:color="auto" w:fill="auto"/>
            <w:vAlign w:val="center"/>
            <w:hideMark/>
          </w:tcPr>
          <w:p w14:paraId="1D562236"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19,8</w:t>
            </w:r>
          </w:p>
        </w:tc>
        <w:tc>
          <w:tcPr>
            <w:tcW w:w="509" w:type="dxa"/>
            <w:tcBorders>
              <w:top w:val="nil"/>
              <w:left w:val="nil"/>
              <w:right w:val="nil"/>
            </w:tcBorders>
            <w:shd w:val="clear" w:color="auto" w:fill="auto"/>
            <w:vAlign w:val="center"/>
            <w:hideMark/>
          </w:tcPr>
          <w:p w14:paraId="0C6B3325"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 xml:space="preserve"> 18,4</w:t>
            </w:r>
          </w:p>
        </w:tc>
        <w:tc>
          <w:tcPr>
            <w:tcW w:w="509" w:type="dxa"/>
            <w:tcBorders>
              <w:top w:val="nil"/>
              <w:left w:val="nil"/>
              <w:right w:val="nil"/>
            </w:tcBorders>
            <w:shd w:val="clear" w:color="auto" w:fill="auto"/>
            <w:vAlign w:val="center"/>
            <w:hideMark/>
          </w:tcPr>
          <w:p w14:paraId="0795D325"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18,4</w:t>
            </w:r>
          </w:p>
        </w:tc>
        <w:tc>
          <w:tcPr>
            <w:tcW w:w="509" w:type="dxa"/>
            <w:tcBorders>
              <w:top w:val="nil"/>
              <w:left w:val="nil"/>
              <w:right w:val="nil"/>
            </w:tcBorders>
            <w:vAlign w:val="center"/>
          </w:tcPr>
          <w:p w14:paraId="19D1F338"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18,1</w:t>
            </w:r>
          </w:p>
        </w:tc>
        <w:tc>
          <w:tcPr>
            <w:tcW w:w="509" w:type="dxa"/>
            <w:tcBorders>
              <w:top w:val="nil"/>
              <w:left w:val="nil"/>
              <w:right w:val="nil"/>
            </w:tcBorders>
            <w:vAlign w:val="center"/>
          </w:tcPr>
          <w:p w14:paraId="266C7317"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16,3</w:t>
            </w:r>
          </w:p>
        </w:tc>
        <w:tc>
          <w:tcPr>
            <w:tcW w:w="509" w:type="dxa"/>
            <w:tcBorders>
              <w:top w:val="nil"/>
              <w:left w:val="nil"/>
              <w:right w:val="nil"/>
            </w:tcBorders>
            <w:vAlign w:val="center"/>
          </w:tcPr>
          <w:p w14:paraId="2987FCFB"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nil"/>
              <w:left w:val="nil"/>
              <w:right w:val="nil"/>
            </w:tcBorders>
            <w:shd w:val="clear" w:color="auto" w:fill="auto"/>
            <w:vAlign w:val="center"/>
            <w:hideMark/>
          </w:tcPr>
          <w:p w14:paraId="6100ED2E"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17,2</w:t>
            </w:r>
          </w:p>
        </w:tc>
      </w:tr>
      <w:tr w:rsidR="00DC54F3" w:rsidRPr="004C54B9" w14:paraId="590165AC" w14:textId="77777777" w:rsidTr="00D45171">
        <w:trPr>
          <w:trHeight w:val="233"/>
          <w:jc w:val="center"/>
        </w:trPr>
        <w:tc>
          <w:tcPr>
            <w:tcW w:w="2541" w:type="dxa"/>
            <w:tcBorders>
              <w:top w:val="nil"/>
              <w:left w:val="nil"/>
              <w:bottom w:val="single" w:sz="4" w:space="0" w:color="auto"/>
              <w:right w:val="nil"/>
            </w:tcBorders>
            <w:shd w:val="clear" w:color="auto" w:fill="auto"/>
            <w:noWrap/>
            <w:vAlign w:val="center"/>
            <w:hideMark/>
          </w:tcPr>
          <w:p w14:paraId="0D27C77F" w14:textId="77777777" w:rsidR="00DC54F3" w:rsidRPr="0062680A" w:rsidRDefault="00DC54F3" w:rsidP="00BA7431">
            <w:pPr>
              <w:spacing w:after="0" w:line="240" w:lineRule="auto"/>
              <w:jc w:val="both"/>
              <w:rPr>
                <w:rFonts w:ascii="Arial Narrow" w:hAnsi="Arial Narrow"/>
                <w:color w:val="000000"/>
                <w:sz w:val="20"/>
                <w:szCs w:val="20"/>
              </w:rPr>
            </w:pPr>
            <w:r w:rsidRPr="0062680A">
              <w:rPr>
                <w:rFonts w:ascii="Arial Narrow" w:hAnsi="Arial Narrow"/>
                <w:color w:val="000000"/>
                <w:sz w:val="20"/>
                <w:szCs w:val="20"/>
              </w:rPr>
              <w:t>(% populácie)</w:t>
            </w:r>
          </w:p>
        </w:tc>
        <w:tc>
          <w:tcPr>
            <w:tcW w:w="478" w:type="dxa"/>
            <w:tcBorders>
              <w:top w:val="nil"/>
              <w:left w:val="nil"/>
              <w:bottom w:val="single" w:sz="4" w:space="0" w:color="auto"/>
              <w:right w:val="nil"/>
            </w:tcBorders>
            <w:shd w:val="clear" w:color="auto" w:fill="auto"/>
            <w:noWrap/>
            <w:vAlign w:val="center"/>
            <w:hideMark/>
          </w:tcPr>
          <w:p w14:paraId="4A1D17B2" w14:textId="77777777" w:rsidR="00DC54F3" w:rsidRPr="0062680A" w:rsidRDefault="00DC54F3" w:rsidP="00BA7431">
            <w:pPr>
              <w:spacing w:after="0" w:line="240" w:lineRule="auto"/>
              <w:jc w:val="center"/>
              <w:rPr>
                <w:rFonts w:ascii="Arial Narrow" w:hAnsi="Arial Narrow"/>
                <w:b/>
                <w:bCs/>
                <w:color w:val="000000"/>
                <w:sz w:val="20"/>
                <w:szCs w:val="20"/>
              </w:rPr>
            </w:pPr>
            <w:r w:rsidRPr="0062680A">
              <w:rPr>
                <w:rFonts w:ascii="Arial Narrow" w:hAnsi="Arial Narrow"/>
                <w:b/>
                <w:bCs/>
                <w:color w:val="000000"/>
                <w:sz w:val="20"/>
                <w:szCs w:val="20"/>
              </w:rPr>
              <w:t>EÚ</w:t>
            </w:r>
          </w:p>
        </w:tc>
        <w:tc>
          <w:tcPr>
            <w:tcW w:w="509" w:type="dxa"/>
            <w:tcBorders>
              <w:top w:val="nil"/>
              <w:left w:val="nil"/>
              <w:bottom w:val="single" w:sz="4" w:space="0" w:color="auto"/>
              <w:right w:val="nil"/>
            </w:tcBorders>
            <w:shd w:val="clear" w:color="auto" w:fill="auto"/>
            <w:vAlign w:val="center"/>
            <w:hideMark/>
          </w:tcPr>
          <w:p w14:paraId="5922E938"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23,3</w:t>
            </w:r>
          </w:p>
        </w:tc>
        <w:tc>
          <w:tcPr>
            <w:tcW w:w="509" w:type="dxa"/>
            <w:tcBorders>
              <w:top w:val="nil"/>
              <w:left w:val="nil"/>
              <w:bottom w:val="single" w:sz="4" w:space="0" w:color="auto"/>
              <w:right w:val="nil"/>
            </w:tcBorders>
            <w:shd w:val="clear" w:color="auto" w:fill="auto"/>
            <w:vAlign w:val="center"/>
            <w:hideMark/>
          </w:tcPr>
          <w:p w14:paraId="2B59F637"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23,7</w:t>
            </w:r>
          </w:p>
        </w:tc>
        <w:tc>
          <w:tcPr>
            <w:tcW w:w="509" w:type="dxa"/>
            <w:tcBorders>
              <w:top w:val="nil"/>
              <w:left w:val="nil"/>
              <w:bottom w:val="single" w:sz="4" w:space="0" w:color="auto"/>
              <w:right w:val="nil"/>
            </w:tcBorders>
            <w:shd w:val="clear" w:color="auto" w:fill="auto"/>
            <w:vAlign w:val="center"/>
            <w:hideMark/>
          </w:tcPr>
          <w:p w14:paraId="354772E6"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24,3</w:t>
            </w:r>
          </w:p>
        </w:tc>
        <w:tc>
          <w:tcPr>
            <w:tcW w:w="509" w:type="dxa"/>
            <w:tcBorders>
              <w:top w:val="nil"/>
              <w:left w:val="nil"/>
              <w:bottom w:val="single" w:sz="4" w:space="0" w:color="auto"/>
              <w:right w:val="nil"/>
            </w:tcBorders>
            <w:shd w:val="clear" w:color="auto" w:fill="auto"/>
            <w:vAlign w:val="center"/>
            <w:hideMark/>
          </w:tcPr>
          <w:p w14:paraId="110FB002"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24,7</w:t>
            </w:r>
          </w:p>
        </w:tc>
        <w:tc>
          <w:tcPr>
            <w:tcW w:w="509" w:type="dxa"/>
            <w:tcBorders>
              <w:top w:val="nil"/>
              <w:left w:val="nil"/>
              <w:bottom w:val="single" w:sz="4" w:space="0" w:color="auto"/>
              <w:right w:val="nil"/>
            </w:tcBorders>
            <w:shd w:val="clear" w:color="auto" w:fill="auto"/>
            <w:vAlign w:val="center"/>
            <w:hideMark/>
          </w:tcPr>
          <w:p w14:paraId="21DFF706"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24,6</w:t>
            </w:r>
          </w:p>
        </w:tc>
        <w:tc>
          <w:tcPr>
            <w:tcW w:w="509" w:type="dxa"/>
            <w:tcBorders>
              <w:top w:val="nil"/>
              <w:left w:val="nil"/>
              <w:bottom w:val="single" w:sz="4" w:space="0" w:color="auto"/>
              <w:right w:val="nil"/>
            </w:tcBorders>
            <w:shd w:val="clear" w:color="auto" w:fill="auto"/>
            <w:vAlign w:val="center"/>
            <w:hideMark/>
          </w:tcPr>
          <w:p w14:paraId="281460CC"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 xml:space="preserve"> 24,4</w:t>
            </w:r>
          </w:p>
        </w:tc>
        <w:tc>
          <w:tcPr>
            <w:tcW w:w="509" w:type="dxa"/>
            <w:tcBorders>
              <w:top w:val="nil"/>
              <w:left w:val="nil"/>
              <w:bottom w:val="single" w:sz="4" w:space="0" w:color="auto"/>
              <w:right w:val="nil"/>
            </w:tcBorders>
            <w:shd w:val="clear" w:color="auto" w:fill="auto"/>
            <w:vAlign w:val="center"/>
            <w:hideMark/>
          </w:tcPr>
          <w:p w14:paraId="30D22DC1"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23,8</w:t>
            </w:r>
          </w:p>
        </w:tc>
        <w:tc>
          <w:tcPr>
            <w:tcW w:w="509" w:type="dxa"/>
            <w:tcBorders>
              <w:top w:val="nil"/>
              <w:left w:val="nil"/>
              <w:bottom w:val="single" w:sz="4" w:space="0" w:color="auto"/>
              <w:right w:val="nil"/>
            </w:tcBorders>
            <w:vAlign w:val="center"/>
          </w:tcPr>
          <w:p w14:paraId="0A320F12"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23,5</w:t>
            </w:r>
          </w:p>
        </w:tc>
        <w:tc>
          <w:tcPr>
            <w:tcW w:w="509" w:type="dxa"/>
            <w:tcBorders>
              <w:top w:val="nil"/>
              <w:left w:val="nil"/>
              <w:bottom w:val="single" w:sz="4" w:space="0" w:color="auto"/>
              <w:right w:val="nil"/>
            </w:tcBorders>
            <w:vAlign w:val="center"/>
          </w:tcPr>
          <w:p w14:paraId="3D78E3BB"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23,5</w:t>
            </w:r>
          </w:p>
        </w:tc>
        <w:tc>
          <w:tcPr>
            <w:tcW w:w="509" w:type="dxa"/>
            <w:tcBorders>
              <w:top w:val="nil"/>
              <w:left w:val="nil"/>
              <w:bottom w:val="single" w:sz="4" w:space="0" w:color="auto"/>
              <w:right w:val="nil"/>
            </w:tcBorders>
            <w:vAlign w:val="center"/>
          </w:tcPr>
          <w:p w14:paraId="61C54DA1"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nil"/>
              <w:left w:val="nil"/>
              <w:bottom w:val="single" w:sz="4" w:space="0" w:color="auto"/>
              <w:right w:val="nil"/>
            </w:tcBorders>
            <w:shd w:val="clear" w:color="auto" w:fill="auto"/>
            <w:vAlign w:val="center"/>
            <w:hideMark/>
          </w:tcPr>
          <w:p w14:paraId="69400B61"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19,4</w:t>
            </w:r>
          </w:p>
        </w:tc>
      </w:tr>
      <w:tr w:rsidR="00DC54F3" w:rsidRPr="004C54B9" w14:paraId="47A41E6B" w14:textId="77777777" w:rsidTr="00D45171">
        <w:trPr>
          <w:trHeight w:val="285"/>
          <w:jc w:val="center"/>
        </w:trPr>
        <w:tc>
          <w:tcPr>
            <w:tcW w:w="2541" w:type="dxa"/>
            <w:tcBorders>
              <w:top w:val="single" w:sz="4" w:space="0" w:color="auto"/>
              <w:left w:val="nil"/>
              <w:bottom w:val="nil"/>
              <w:right w:val="nil"/>
            </w:tcBorders>
            <w:shd w:val="clear" w:color="auto" w:fill="auto"/>
            <w:noWrap/>
            <w:vAlign w:val="center"/>
          </w:tcPr>
          <w:p w14:paraId="25A664BB" w14:textId="77777777" w:rsidR="00DC54F3" w:rsidRPr="0062680A" w:rsidRDefault="00DC54F3" w:rsidP="00BA7431">
            <w:pPr>
              <w:spacing w:after="0" w:line="240" w:lineRule="auto"/>
              <w:jc w:val="both"/>
              <w:rPr>
                <w:rFonts w:ascii="Arial Narrow" w:hAnsi="Arial Narrow"/>
                <w:b/>
                <w:color w:val="000000"/>
                <w:sz w:val="20"/>
                <w:szCs w:val="20"/>
              </w:rPr>
            </w:pPr>
            <w:r w:rsidRPr="0062680A">
              <w:rPr>
                <w:rFonts w:ascii="Arial Narrow" w:hAnsi="Arial Narrow"/>
                <w:b/>
                <w:sz w:val="20"/>
                <w:szCs w:val="20"/>
              </w:rPr>
              <w:t xml:space="preserve">Miera náhrady (Benefit </w:t>
            </w:r>
            <w:proofErr w:type="spellStart"/>
            <w:r w:rsidRPr="0062680A">
              <w:rPr>
                <w:rFonts w:ascii="Arial Narrow" w:hAnsi="Arial Narrow"/>
                <w:b/>
                <w:sz w:val="20"/>
                <w:szCs w:val="20"/>
              </w:rPr>
              <w:t>ratio</w:t>
            </w:r>
            <w:proofErr w:type="spellEnd"/>
            <w:r w:rsidRPr="0062680A">
              <w:rPr>
                <w:rFonts w:ascii="Arial Narrow" w:hAnsi="Arial Narrow"/>
                <w:b/>
                <w:sz w:val="20"/>
                <w:szCs w:val="20"/>
              </w:rPr>
              <w:t>)</w:t>
            </w:r>
          </w:p>
        </w:tc>
        <w:tc>
          <w:tcPr>
            <w:tcW w:w="478" w:type="dxa"/>
            <w:tcBorders>
              <w:top w:val="single" w:sz="4" w:space="0" w:color="auto"/>
              <w:left w:val="nil"/>
              <w:bottom w:val="nil"/>
              <w:right w:val="nil"/>
            </w:tcBorders>
            <w:shd w:val="clear" w:color="auto" w:fill="auto"/>
            <w:noWrap/>
            <w:vAlign w:val="center"/>
          </w:tcPr>
          <w:p w14:paraId="7B732D53" w14:textId="77777777" w:rsidR="00DC54F3" w:rsidRPr="0062680A" w:rsidRDefault="00DC54F3" w:rsidP="00BA7431">
            <w:pPr>
              <w:spacing w:after="0" w:line="240" w:lineRule="auto"/>
              <w:jc w:val="center"/>
              <w:rPr>
                <w:rFonts w:ascii="Arial Narrow" w:hAnsi="Arial Narrow"/>
                <w:b/>
                <w:bCs/>
                <w:color w:val="000000"/>
                <w:sz w:val="20"/>
                <w:szCs w:val="20"/>
              </w:rPr>
            </w:pPr>
            <w:r w:rsidRPr="0062680A">
              <w:rPr>
                <w:rFonts w:ascii="Arial Narrow" w:hAnsi="Arial Narrow"/>
                <w:b/>
                <w:sz w:val="20"/>
                <w:szCs w:val="20"/>
              </w:rPr>
              <w:t>SK</w:t>
            </w:r>
          </w:p>
        </w:tc>
        <w:tc>
          <w:tcPr>
            <w:tcW w:w="509" w:type="dxa"/>
            <w:tcBorders>
              <w:top w:val="single" w:sz="4" w:space="0" w:color="auto"/>
              <w:left w:val="nil"/>
              <w:bottom w:val="nil"/>
              <w:right w:val="nil"/>
            </w:tcBorders>
            <w:shd w:val="clear" w:color="auto" w:fill="auto"/>
            <w:vAlign w:val="center"/>
          </w:tcPr>
          <w:p w14:paraId="0C9ECFBA"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single" w:sz="4" w:space="0" w:color="auto"/>
              <w:left w:val="nil"/>
              <w:bottom w:val="nil"/>
              <w:right w:val="nil"/>
            </w:tcBorders>
            <w:shd w:val="clear" w:color="auto" w:fill="auto"/>
            <w:vAlign w:val="center"/>
          </w:tcPr>
          <w:p w14:paraId="4393CEBD"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43,7</w:t>
            </w:r>
          </w:p>
        </w:tc>
        <w:tc>
          <w:tcPr>
            <w:tcW w:w="509" w:type="dxa"/>
            <w:tcBorders>
              <w:top w:val="single" w:sz="4" w:space="0" w:color="auto"/>
              <w:left w:val="nil"/>
              <w:bottom w:val="nil"/>
              <w:right w:val="nil"/>
            </w:tcBorders>
            <w:shd w:val="clear" w:color="auto" w:fill="auto"/>
            <w:vAlign w:val="center"/>
          </w:tcPr>
          <w:p w14:paraId="186EFD08"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single" w:sz="4" w:space="0" w:color="auto"/>
              <w:left w:val="nil"/>
              <w:bottom w:val="nil"/>
              <w:right w:val="nil"/>
            </w:tcBorders>
            <w:shd w:val="clear" w:color="auto" w:fill="auto"/>
            <w:vAlign w:val="center"/>
          </w:tcPr>
          <w:p w14:paraId="74EDE39C"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single" w:sz="4" w:space="0" w:color="auto"/>
              <w:left w:val="nil"/>
              <w:bottom w:val="nil"/>
              <w:right w:val="nil"/>
            </w:tcBorders>
            <w:shd w:val="clear" w:color="auto" w:fill="auto"/>
            <w:vAlign w:val="center"/>
          </w:tcPr>
          <w:p w14:paraId="6541D15A"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45,7</w:t>
            </w:r>
          </w:p>
        </w:tc>
        <w:tc>
          <w:tcPr>
            <w:tcW w:w="509" w:type="dxa"/>
            <w:tcBorders>
              <w:top w:val="single" w:sz="4" w:space="0" w:color="auto"/>
              <w:left w:val="nil"/>
              <w:bottom w:val="nil"/>
              <w:right w:val="nil"/>
            </w:tcBorders>
            <w:shd w:val="clear" w:color="auto" w:fill="auto"/>
            <w:vAlign w:val="center"/>
          </w:tcPr>
          <w:p w14:paraId="2909694D"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single" w:sz="4" w:space="0" w:color="auto"/>
              <w:left w:val="nil"/>
              <w:bottom w:val="nil"/>
              <w:right w:val="nil"/>
            </w:tcBorders>
            <w:shd w:val="clear" w:color="auto" w:fill="auto"/>
            <w:vAlign w:val="center"/>
          </w:tcPr>
          <w:p w14:paraId="69196F42"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single" w:sz="4" w:space="0" w:color="auto"/>
              <w:left w:val="nil"/>
              <w:bottom w:val="nil"/>
              <w:right w:val="nil"/>
            </w:tcBorders>
            <w:vAlign w:val="center"/>
          </w:tcPr>
          <w:p w14:paraId="0FCE3156"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46,6</w:t>
            </w:r>
          </w:p>
        </w:tc>
        <w:tc>
          <w:tcPr>
            <w:tcW w:w="509" w:type="dxa"/>
            <w:tcBorders>
              <w:top w:val="single" w:sz="4" w:space="0" w:color="auto"/>
              <w:left w:val="nil"/>
              <w:bottom w:val="nil"/>
              <w:right w:val="nil"/>
            </w:tcBorders>
            <w:vAlign w:val="center"/>
          </w:tcPr>
          <w:p w14:paraId="74477B78"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single" w:sz="4" w:space="0" w:color="auto"/>
              <w:left w:val="nil"/>
              <w:bottom w:val="nil"/>
              <w:right w:val="nil"/>
            </w:tcBorders>
            <w:vAlign w:val="center"/>
          </w:tcPr>
          <w:p w14:paraId="75589284"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single" w:sz="4" w:space="0" w:color="auto"/>
              <w:left w:val="nil"/>
              <w:bottom w:val="nil"/>
              <w:right w:val="nil"/>
            </w:tcBorders>
            <w:shd w:val="clear" w:color="auto" w:fill="auto"/>
            <w:vAlign w:val="center"/>
          </w:tcPr>
          <w:p w14:paraId="61F9CFC2"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r>
      <w:tr w:rsidR="00DC54F3" w:rsidRPr="004C54B9" w14:paraId="75F369A1" w14:textId="77777777" w:rsidTr="00D45171">
        <w:trPr>
          <w:trHeight w:val="57"/>
          <w:jc w:val="center"/>
        </w:trPr>
        <w:tc>
          <w:tcPr>
            <w:tcW w:w="2541" w:type="dxa"/>
            <w:tcBorders>
              <w:top w:val="nil"/>
              <w:left w:val="nil"/>
              <w:bottom w:val="single" w:sz="4" w:space="0" w:color="auto"/>
              <w:right w:val="nil"/>
            </w:tcBorders>
            <w:shd w:val="clear" w:color="auto" w:fill="auto"/>
            <w:noWrap/>
            <w:vAlign w:val="center"/>
          </w:tcPr>
          <w:p w14:paraId="7E2FB9A5" w14:textId="77777777" w:rsidR="00DC54F3" w:rsidRPr="0062680A" w:rsidRDefault="00DC54F3" w:rsidP="00BA7431">
            <w:pPr>
              <w:spacing w:after="0" w:line="240" w:lineRule="auto"/>
              <w:jc w:val="both"/>
              <w:rPr>
                <w:rFonts w:ascii="Arial Narrow" w:hAnsi="Arial Narrow"/>
                <w:sz w:val="20"/>
                <w:szCs w:val="20"/>
              </w:rPr>
            </w:pPr>
            <w:r w:rsidRPr="0062680A">
              <w:rPr>
                <w:rFonts w:ascii="Arial Narrow" w:hAnsi="Arial Narrow"/>
                <w:sz w:val="20"/>
                <w:szCs w:val="20"/>
              </w:rPr>
              <w:t>(priemerná dôchodková dávka, % z priemernej mzdy)</w:t>
            </w:r>
          </w:p>
        </w:tc>
        <w:tc>
          <w:tcPr>
            <w:tcW w:w="478" w:type="dxa"/>
            <w:tcBorders>
              <w:top w:val="nil"/>
              <w:left w:val="nil"/>
              <w:bottom w:val="single" w:sz="4" w:space="0" w:color="auto"/>
              <w:right w:val="nil"/>
            </w:tcBorders>
            <w:shd w:val="clear" w:color="auto" w:fill="auto"/>
            <w:noWrap/>
            <w:vAlign w:val="center"/>
          </w:tcPr>
          <w:p w14:paraId="07F1F9CA" w14:textId="77777777" w:rsidR="00DC54F3" w:rsidRPr="0062680A" w:rsidRDefault="00DC54F3" w:rsidP="00BA7431">
            <w:pPr>
              <w:spacing w:after="0" w:line="240" w:lineRule="auto"/>
              <w:jc w:val="center"/>
              <w:rPr>
                <w:rFonts w:ascii="Arial Narrow" w:hAnsi="Arial Narrow"/>
                <w:b/>
                <w:bCs/>
                <w:color w:val="000000"/>
                <w:sz w:val="20"/>
                <w:szCs w:val="20"/>
              </w:rPr>
            </w:pPr>
            <w:r w:rsidRPr="0062680A">
              <w:rPr>
                <w:rFonts w:ascii="Arial Narrow" w:hAnsi="Arial Narrow"/>
                <w:b/>
                <w:sz w:val="20"/>
                <w:szCs w:val="20"/>
              </w:rPr>
              <w:t>EÚ</w:t>
            </w:r>
          </w:p>
        </w:tc>
        <w:tc>
          <w:tcPr>
            <w:tcW w:w="509" w:type="dxa"/>
            <w:tcBorders>
              <w:top w:val="nil"/>
              <w:left w:val="nil"/>
              <w:bottom w:val="single" w:sz="4" w:space="0" w:color="auto"/>
              <w:right w:val="nil"/>
            </w:tcBorders>
            <w:shd w:val="clear" w:color="auto" w:fill="auto"/>
            <w:vAlign w:val="center"/>
          </w:tcPr>
          <w:p w14:paraId="69085DD2"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nil"/>
              <w:left w:val="nil"/>
              <w:bottom w:val="single" w:sz="4" w:space="0" w:color="auto"/>
              <w:right w:val="nil"/>
            </w:tcBorders>
            <w:shd w:val="clear" w:color="auto" w:fill="auto"/>
            <w:vAlign w:val="center"/>
          </w:tcPr>
          <w:p w14:paraId="01043E46"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41,4</w:t>
            </w:r>
          </w:p>
        </w:tc>
        <w:tc>
          <w:tcPr>
            <w:tcW w:w="509" w:type="dxa"/>
            <w:tcBorders>
              <w:top w:val="nil"/>
              <w:left w:val="nil"/>
              <w:bottom w:val="single" w:sz="4" w:space="0" w:color="auto"/>
              <w:right w:val="nil"/>
            </w:tcBorders>
            <w:shd w:val="clear" w:color="auto" w:fill="auto"/>
            <w:vAlign w:val="center"/>
          </w:tcPr>
          <w:p w14:paraId="1AD5B602"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nil"/>
              <w:left w:val="nil"/>
              <w:bottom w:val="single" w:sz="4" w:space="0" w:color="auto"/>
              <w:right w:val="nil"/>
            </w:tcBorders>
            <w:shd w:val="clear" w:color="auto" w:fill="auto"/>
            <w:vAlign w:val="center"/>
          </w:tcPr>
          <w:p w14:paraId="13B43582"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nil"/>
              <w:left w:val="nil"/>
              <w:bottom w:val="single" w:sz="4" w:space="0" w:color="auto"/>
              <w:right w:val="nil"/>
            </w:tcBorders>
            <w:shd w:val="clear" w:color="auto" w:fill="auto"/>
            <w:vAlign w:val="center"/>
          </w:tcPr>
          <w:p w14:paraId="037585D9"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44,0</w:t>
            </w:r>
          </w:p>
        </w:tc>
        <w:tc>
          <w:tcPr>
            <w:tcW w:w="509" w:type="dxa"/>
            <w:tcBorders>
              <w:top w:val="nil"/>
              <w:left w:val="nil"/>
              <w:bottom w:val="single" w:sz="4" w:space="0" w:color="auto"/>
              <w:right w:val="nil"/>
            </w:tcBorders>
            <w:shd w:val="clear" w:color="auto" w:fill="auto"/>
            <w:vAlign w:val="center"/>
          </w:tcPr>
          <w:p w14:paraId="4E9C87D9"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nil"/>
              <w:left w:val="nil"/>
              <w:bottom w:val="single" w:sz="4" w:space="0" w:color="auto"/>
              <w:right w:val="nil"/>
            </w:tcBorders>
            <w:shd w:val="clear" w:color="auto" w:fill="auto"/>
            <w:vAlign w:val="center"/>
          </w:tcPr>
          <w:p w14:paraId="66145FE4"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nil"/>
              <w:left w:val="nil"/>
              <w:bottom w:val="single" w:sz="4" w:space="0" w:color="auto"/>
              <w:right w:val="nil"/>
            </w:tcBorders>
            <w:vAlign w:val="center"/>
          </w:tcPr>
          <w:p w14:paraId="36AF9E12"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43,5</w:t>
            </w:r>
          </w:p>
        </w:tc>
        <w:tc>
          <w:tcPr>
            <w:tcW w:w="509" w:type="dxa"/>
            <w:tcBorders>
              <w:top w:val="nil"/>
              <w:left w:val="nil"/>
              <w:bottom w:val="single" w:sz="4" w:space="0" w:color="auto"/>
              <w:right w:val="nil"/>
            </w:tcBorders>
            <w:vAlign w:val="center"/>
          </w:tcPr>
          <w:p w14:paraId="0A4FF621"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nil"/>
              <w:left w:val="nil"/>
              <w:bottom w:val="single" w:sz="4" w:space="0" w:color="auto"/>
              <w:right w:val="nil"/>
            </w:tcBorders>
            <w:vAlign w:val="center"/>
          </w:tcPr>
          <w:p w14:paraId="38A1FE72"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c>
          <w:tcPr>
            <w:tcW w:w="509" w:type="dxa"/>
            <w:tcBorders>
              <w:top w:val="nil"/>
              <w:left w:val="nil"/>
              <w:bottom w:val="single" w:sz="4" w:space="0" w:color="auto"/>
              <w:right w:val="nil"/>
            </w:tcBorders>
            <w:shd w:val="clear" w:color="auto" w:fill="auto"/>
            <w:vAlign w:val="center"/>
          </w:tcPr>
          <w:p w14:paraId="39AB2691" w14:textId="77777777" w:rsidR="00DC54F3" w:rsidRPr="0062680A" w:rsidRDefault="00DC54F3" w:rsidP="00BA7431">
            <w:pPr>
              <w:spacing w:after="0" w:line="240" w:lineRule="auto"/>
              <w:jc w:val="center"/>
              <w:rPr>
                <w:rFonts w:ascii="Arial Narrow" w:hAnsi="Arial Narrow"/>
                <w:sz w:val="20"/>
                <w:szCs w:val="20"/>
              </w:rPr>
            </w:pPr>
            <w:r w:rsidRPr="0062680A">
              <w:rPr>
                <w:rFonts w:ascii="Arial Narrow" w:hAnsi="Arial Narrow"/>
                <w:sz w:val="20"/>
                <w:szCs w:val="20"/>
              </w:rPr>
              <w:t>-</w:t>
            </w:r>
          </w:p>
        </w:tc>
      </w:tr>
    </w:tbl>
    <w:p w14:paraId="16284758" w14:textId="77777777" w:rsidR="00DC54F3" w:rsidRPr="004C54B9" w:rsidRDefault="00DC54F3" w:rsidP="00DC54F3">
      <w:pPr>
        <w:spacing w:after="0" w:line="240" w:lineRule="auto"/>
        <w:contextualSpacing/>
        <w:jc w:val="both"/>
        <w:rPr>
          <w:rFonts w:ascii="Arial Narrow" w:hAnsi="Arial Narrow"/>
        </w:rPr>
      </w:pPr>
    </w:p>
    <w:p w14:paraId="2245A634" w14:textId="616C28C1" w:rsidR="00DC54F3" w:rsidRDefault="00DC54F3" w:rsidP="00DC54F3">
      <w:pPr>
        <w:spacing w:after="0" w:line="240" w:lineRule="auto"/>
        <w:contextualSpacing/>
        <w:jc w:val="both"/>
        <w:rPr>
          <w:rFonts w:ascii="Arial Narrow" w:hAnsi="Arial Narrow"/>
          <w:lang w:eastAsia="en-US"/>
        </w:rPr>
      </w:pPr>
      <w:r w:rsidRPr="004C54B9">
        <w:rPr>
          <w:rFonts w:ascii="Arial Narrow" w:hAnsi="Arial Narrow"/>
          <w:b/>
        </w:rPr>
        <w:t>Slovensko dosahuje historicky pozitívne výsledky na trhu práce.</w:t>
      </w:r>
      <w:r w:rsidRPr="004C54B9">
        <w:rPr>
          <w:rFonts w:ascii="Arial Narrow" w:hAnsi="Arial Narrow"/>
        </w:rPr>
        <w:t xml:space="preserve"> V roku 2018 sa vytvorilo </w:t>
      </w:r>
      <w:r w:rsidR="000E26B9" w:rsidRPr="00D45171">
        <w:rPr>
          <w:rFonts w:ascii="Arial Narrow" w:hAnsi="Arial Narrow"/>
        </w:rPr>
        <w:t>takmer 50 tisíc</w:t>
      </w:r>
      <w:r w:rsidRPr="00D45171">
        <w:rPr>
          <w:rFonts w:ascii="Arial Narrow" w:hAnsi="Arial Narrow"/>
        </w:rPr>
        <w:t xml:space="preserve"> </w:t>
      </w:r>
      <w:r w:rsidRPr="004C54B9">
        <w:rPr>
          <w:rFonts w:ascii="Arial Narrow" w:hAnsi="Arial Narrow"/>
        </w:rPr>
        <w:t>nových pracovných miest</w:t>
      </w:r>
      <w:r w:rsidRPr="004C54B9">
        <w:rPr>
          <w:rStyle w:val="Odkaznapoznmkupodiarou"/>
          <w:rFonts w:ascii="Arial Narrow" w:hAnsi="Arial Narrow"/>
        </w:rPr>
        <w:footnoteReference w:id="70"/>
      </w:r>
      <w:r w:rsidRPr="004C54B9">
        <w:rPr>
          <w:rFonts w:ascii="Arial Narrow" w:hAnsi="Arial Narrow"/>
        </w:rPr>
        <w:t xml:space="preserve">. Slovensko tak </w:t>
      </w:r>
      <w:r w:rsidR="00920ABD">
        <w:rPr>
          <w:rFonts w:ascii="Arial Narrow" w:hAnsi="Arial Narrow"/>
        </w:rPr>
        <w:t>dosiahlo</w:t>
      </w:r>
      <w:r w:rsidRPr="004C54B9">
        <w:rPr>
          <w:rFonts w:ascii="Arial Narrow" w:hAnsi="Arial Narrow"/>
        </w:rPr>
        <w:t xml:space="preserve"> cieľov</w:t>
      </w:r>
      <w:r w:rsidR="00920ABD">
        <w:rPr>
          <w:rFonts w:ascii="Arial Narrow" w:hAnsi="Arial Narrow"/>
        </w:rPr>
        <w:t>ú</w:t>
      </w:r>
      <w:r w:rsidRPr="004C54B9">
        <w:rPr>
          <w:rFonts w:ascii="Arial Narrow" w:hAnsi="Arial Narrow"/>
        </w:rPr>
        <w:t xml:space="preserve"> hodnot</w:t>
      </w:r>
      <w:r w:rsidR="00920ABD">
        <w:rPr>
          <w:rFonts w:ascii="Arial Narrow" w:hAnsi="Arial Narrow"/>
        </w:rPr>
        <w:t>u</w:t>
      </w:r>
      <w:r w:rsidRPr="004C54B9">
        <w:rPr>
          <w:rFonts w:ascii="Arial Narrow" w:hAnsi="Arial Narrow"/>
        </w:rPr>
        <w:t xml:space="preserve"> zamestnanosti 72 % definovan</w:t>
      </w:r>
      <w:r w:rsidR="00920ABD">
        <w:rPr>
          <w:rFonts w:ascii="Arial Narrow" w:hAnsi="Arial Narrow"/>
        </w:rPr>
        <w:t>ú</w:t>
      </w:r>
      <w:r w:rsidRPr="004C54B9">
        <w:rPr>
          <w:rFonts w:ascii="Arial Narrow" w:hAnsi="Arial Narrow"/>
        </w:rPr>
        <w:t xml:space="preserve"> v stratégii Európa 2020. Zahraniční pracovníci </w:t>
      </w:r>
      <w:r w:rsidRPr="004C54B9">
        <w:rPr>
          <w:rFonts w:ascii="Arial Narrow" w:hAnsi="Arial Narrow"/>
          <w:color w:val="000000"/>
        </w:rPr>
        <w:t xml:space="preserve">obsadili každé </w:t>
      </w:r>
      <w:r w:rsidR="005B2BB7">
        <w:rPr>
          <w:rFonts w:ascii="Arial Narrow" w:hAnsi="Arial Narrow"/>
          <w:color w:val="000000"/>
        </w:rPr>
        <w:t xml:space="preserve">tretie </w:t>
      </w:r>
      <w:r w:rsidRPr="004C54B9">
        <w:rPr>
          <w:rFonts w:ascii="Arial Narrow" w:hAnsi="Arial Narrow"/>
          <w:color w:val="000000"/>
        </w:rPr>
        <w:t>novovytvorené pracovné miesto, čo naznačuje akútny nedostatok kvalifikovaných pracovných síl pri historicky najnižších</w:t>
      </w:r>
      <w:r w:rsidRPr="004C54B9">
        <w:rPr>
          <w:rFonts w:ascii="Arial Narrow" w:hAnsi="Arial Narrow"/>
        </w:rPr>
        <w:t xml:space="preserve"> hodnotách miery nezamestnanosti. Sezónne očistená celková </w:t>
      </w:r>
      <w:r w:rsidRPr="004C54B9">
        <w:rPr>
          <w:rFonts w:ascii="Arial Narrow" w:hAnsi="Arial Narrow"/>
          <w:lang w:eastAsia="en-US"/>
        </w:rPr>
        <w:t xml:space="preserve">miera celkovej nezamestnanosti klesla vo štvrtom kvartáli 2018 na úroveň 6,1 %, čo predstavuje najlepšiu hodnotu od roku 1993. Miera nezamestnanosti sa tak dostala pod priemer krajín EÚ a eurozóny. Stále však zostáva výrazne nad priemerom krajín V3. </w:t>
      </w:r>
    </w:p>
    <w:p w14:paraId="6505EB4F" w14:textId="77777777" w:rsidR="00DC54F3" w:rsidRPr="004C54B9" w:rsidRDefault="00DC54F3" w:rsidP="00DC54F3">
      <w:pPr>
        <w:spacing w:after="0" w:line="240" w:lineRule="auto"/>
        <w:contextualSpacing/>
        <w:jc w:val="both"/>
        <w:rPr>
          <w:rFonts w:ascii="Arial Narrow" w:hAnsi="Arial Narrow"/>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060"/>
        <w:gridCol w:w="222"/>
        <w:gridCol w:w="4282"/>
      </w:tblGrid>
      <w:tr w:rsidR="00DC54F3" w:rsidRPr="004C54B9" w14:paraId="2B856CD6" w14:textId="77777777" w:rsidTr="001334F0">
        <w:trPr>
          <w:trHeight w:val="205"/>
          <w:jc w:val="center"/>
        </w:trPr>
        <w:tc>
          <w:tcPr>
            <w:tcW w:w="2412" w:type="pct"/>
            <w:tcBorders>
              <w:top w:val="nil"/>
              <w:left w:val="nil"/>
              <w:bottom w:val="single" w:sz="4" w:space="0" w:color="auto"/>
              <w:right w:val="nil"/>
            </w:tcBorders>
            <w:vAlign w:val="center"/>
            <w:hideMark/>
          </w:tcPr>
          <w:p w14:paraId="2F212E69" w14:textId="1AF6CD53" w:rsidR="00DC54F3" w:rsidRPr="000F6948" w:rsidRDefault="00DC54F3" w:rsidP="0045515E">
            <w:pPr>
              <w:pStyle w:val="Graf"/>
              <w:spacing w:after="0" w:line="240" w:lineRule="auto"/>
              <w:jc w:val="both"/>
              <w:rPr>
                <w:rFonts w:eastAsia="Times New Roman" w:cs="Times New Roman"/>
                <w:color w:val="2C9ADC"/>
                <w:szCs w:val="22"/>
                <w:lang w:eastAsia="sk-SK"/>
              </w:rPr>
            </w:pPr>
            <w:bookmarkStart w:id="35" w:name="_Toc480760504"/>
            <w:bookmarkStart w:id="36" w:name="_Toc4625960"/>
            <w:r w:rsidRPr="000F6948">
              <w:rPr>
                <w:rFonts w:eastAsia="Times New Roman" w:cs="Times New Roman"/>
                <w:color w:val="2C9ADC"/>
                <w:szCs w:val="22"/>
                <w:lang w:eastAsia="sk-SK"/>
              </w:rPr>
              <w:t xml:space="preserve">Graf </w:t>
            </w:r>
            <w:r w:rsidRPr="000F6948">
              <w:rPr>
                <w:rFonts w:eastAsia="Times New Roman" w:cs="Times New Roman"/>
                <w:color w:val="2C9ADC"/>
                <w:szCs w:val="22"/>
                <w:lang w:eastAsia="sk-SK"/>
              </w:rPr>
              <w:fldChar w:fldCharType="begin"/>
            </w:r>
            <w:r w:rsidRPr="000F6948">
              <w:rPr>
                <w:rFonts w:eastAsia="Times New Roman" w:cs="Times New Roman"/>
                <w:color w:val="2C9ADC"/>
                <w:szCs w:val="22"/>
                <w:lang w:eastAsia="sk-SK"/>
              </w:rPr>
              <w:instrText xml:space="preserve"> SEQ GRAF \* ARABIC </w:instrText>
            </w:r>
            <w:r w:rsidRPr="000F6948">
              <w:rPr>
                <w:rFonts w:eastAsia="Times New Roman" w:cs="Times New Roman"/>
                <w:color w:val="2C9ADC"/>
                <w:szCs w:val="22"/>
                <w:lang w:eastAsia="sk-SK"/>
              </w:rPr>
              <w:fldChar w:fldCharType="separate"/>
            </w:r>
            <w:r w:rsidR="0020148F">
              <w:rPr>
                <w:rFonts w:eastAsia="Times New Roman" w:cs="Times New Roman"/>
                <w:noProof/>
                <w:color w:val="2C9ADC"/>
                <w:szCs w:val="22"/>
                <w:lang w:eastAsia="sk-SK"/>
              </w:rPr>
              <w:t>11</w:t>
            </w:r>
            <w:r w:rsidRPr="000F6948">
              <w:rPr>
                <w:rFonts w:eastAsia="Times New Roman" w:cs="Times New Roman"/>
                <w:color w:val="2C9ADC"/>
                <w:szCs w:val="22"/>
                <w:lang w:eastAsia="sk-SK"/>
              </w:rPr>
              <w:fldChar w:fldCharType="end"/>
            </w:r>
            <w:r w:rsidRPr="000F6948">
              <w:rPr>
                <w:rFonts w:eastAsia="Times New Roman" w:cs="Times New Roman"/>
                <w:color w:val="2C9ADC"/>
                <w:szCs w:val="22"/>
                <w:lang w:eastAsia="sk-SK"/>
              </w:rPr>
              <w:t>:</w:t>
            </w:r>
            <w:r w:rsidRPr="000F6948">
              <w:rPr>
                <w:szCs w:val="22"/>
              </w:rPr>
              <w:t xml:space="preserve"> </w:t>
            </w:r>
            <w:r w:rsidRPr="000F6948">
              <w:rPr>
                <w:rFonts w:eastAsia="Times New Roman" w:cs="Times New Roman"/>
                <w:color w:val="2C9ADC"/>
                <w:szCs w:val="22"/>
                <w:lang w:eastAsia="sk-SK"/>
              </w:rPr>
              <w:t>Kvartálny vývoj miery nezamestnanosti</w:t>
            </w:r>
            <w:bookmarkEnd w:id="35"/>
            <w:r w:rsidRPr="000F6948">
              <w:rPr>
                <w:rFonts w:eastAsia="Times New Roman" w:cs="Times New Roman"/>
                <w:color w:val="2C9ADC"/>
                <w:szCs w:val="22"/>
                <w:lang w:eastAsia="sk-SK"/>
              </w:rPr>
              <w:t xml:space="preserve"> (% aktívnej populácie, sezónne očistené údaje)</w:t>
            </w:r>
            <w:r w:rsidR="0045515E">
              <w:rPr>
                <w:rStyle w:val="Odkaznapoznmkupodiarou"/>
                <w:rFonts w:eastAsia="Times New Roman" w:cs="Times New Roman"/>
                <w:color w:val="2C9ADC"/>
                <w:szCs w:val="22"/>
                <w:lang w:eastAsia="sk-SK"/>
              </w:rPr>
              <w:footnoteReference w:id="71"/>
            </w:r>
            <w:bookmarkEnd w:id="36"/>
          </w:p>
        </w:tc>
        <w:tc>
          <w:tcPr>
            <w:tcW w:w="130" w:type="pct"/>
            <w:tcBorders>
              <w:top w:val="nil"/>
              <w:left w:val="nil"/>
              <w:bottom w:val="nil"/>
              <w:right w:val="nil"/>
            </w:tcBorders>
            <w:shd w:val="clear" w:color="auto" w:fill="auto"/>
            <w:vAlign w:val="center"/>
          </w:tcPr>
          <w:p w14:paraId="26FE3D86" w14:textId="77777777" w:rsidR="00DC54F3" w:rsidRPr="001334F0" w:rsidRDefault="00DC54F3" w:rsidP="00BA7431">
            <w:pPr>
              <w:spacing w:after="0" w:line="240" w:lineRule="auto"/>
              <w:rPr>
                <w:rFonts w:ascii="Arial Narrow" w:hAnsi="Arial Narrow" w:cs="Arial"/>
                <w:b/>
                <w:color w:val="2C9ADC"/>
                <w:sz w:val="20"/>
              </w:rPr>
            </w:pPr>
          </w:p>
        </w:tc>
        <w:tc>
          <w:tcPr>
            <w:tcW w:w="2459" w:type="pct"/>
            <w:tcBorders>
              <w:top w:val="nil"/>
              <w:left w:val="nil"/>
              <w:bottom w:val="single" w:sz="4" w:space="0" w:color="auto"/>
              <w:right w:val="nil"/>
            </w:tcBorders>
            <w:shd w:val="clear" w:color="auto" w:fill="auto"/>
            <w:vAlign w:val="center"/>
            <w:hideMark/>
          </w:tcPr>
          <w:p w14:paraId="028B0D2F" w14:textId="77777777" w:rsidR="00DC54F3" w:rsidRPr="001334F0" w:rsidRDefault="00DC54F3" w:rsidP="00BA7431">
            <w:pPr>
              <w:pStyle w:val="Graf"/>
              <w:spacing w:after="0" w:line="240" w:lineRule="auto"/>
              <w:rPr>
                <w:rFonts w:cs="Arial"/>
                <w:color w:val="2C9ADC"/>
                <w:szCs w:val="22"/>
              </w:rPr>
            </w:pPr>
            <w:bookmarkStart w:id="37" w:name="_Toc480760505"/>
            <w:bookmarkStart w:id="38" w:name="_Toc4625961"/>
            <w:r w:rsidRPr="001334F0">
              <w:rPr>
                <w:rFonts w:cs="Arial"/>
                <w:color w:val="2C9ADC"/>
                <w:szCs w:val="22"/>
              </w:rPr>
              <w:t xml:space="preserve">Graf </w:t>
            </w:r>
            <w:r w:rsidRPr="001334F0">
              <w:rPr>
                <w:rFonts w:cs="Arial"/>
                <w:color w:val="2C9ADC"/>
                <w:szCs w:val="22"/>
              </w:rPr>
              <w:fldChar w:fldCharType="begin"/>
            </w:r>
            <w:r w:rsidRPr="001334F0">
              <w:rPr>
                <w:rFonts w:cs="Arial"/>
                <w:color w:val="2C9ADC"/>
                <w:szCs w:val="22"/>
              </w:rPr>
              <w:instrText xml:space="preserve"> SEQ GRAF \* ARABIC </w:instrText>
            </w:r>
            <w:r w:rsidRPr="001334F0">
              <w:rPr>
                <w:rFonts w:cs="Arial"/>
                <w:color w:val="2C9ADC"/>
                <w:szCs w:val="22"/>
              </w:rPr>
              <w:fldChar w:fldCharType="separate"/>
            </w:r>
            <w:r w:rsidR="0020148F">
              <w:rPr>
                <w:rFonts w:cs="Arial"/>
                <w:noProof/>
                <w:color w:val="2C9ADC"/>
                <w:szCs w:val="22"/>
              </w:rPr>
              <w:t>12</w:t>
            </w:r>
            <w:r w:rsidRPr="001334F0">
              <w:rPr>
                <w:rFonts w:cs="Arial"/>
                <w:color w:val="2C9ADC"/>
                <w:szCs w:val="22"/>
              </w:rPr>
              <w:fldChar w:fldCharType="end"/>
            </w:r>
            <w:r w:rsidRPr="001334F0">
              <w:rPr>
                <w:rFonts w:cs="Arial"/>
                <w:color w:val="2C9ADC"/>
                <w:szCs w:val="22"/>
              </w:rPr>
              <w:t>: Dlhodobá nezamestnanosť (v %, 3Q 2017, 3Q 2018)</w:t>
            </w:r>
            <w:bookmarkEnd w:id="37"/>
            <w:bookmarkEnd w:id="38"/>
          </w:p>
        </w:tc>
      </w:tr>
      <w:tr w:rsidR="00DC54F3" w:rsidRPr="004C54B9" w14:paraId="561D527A" w14:textId="77777777" w:rsidTr="00CD4C35">
        <w:tblPrEx>
          <w:tblCellMar>
            <w:left w:w="108" w:type="dxa"/>
            <w:right w:w="108" w:type="dxa"/>
          </w:tblCellMar>
        </w:tblPrEx>
        <w:trPr>
          <w:trHeight w:val="3208"/>
          <w:jc w:val="center"/>
        </w:trPr>
        <w:tc>
          <w:tcPr>
            <w:tcW w:w="2412" w:type="pct"/>
            <w:tcBorders>
              <w:top w:val="single" w:sz="4" w:space="0" w:color="auto"/>
              <w:left w:val="nil"/>
              <w:bottom w:val="single" w:sz="4" w:space="0" w:color="auto"/>
              <w:right w:val="nil"/>
            </w:tcBorders>
          </w:tcPr>
          <w:p w14:paraId="38AD2064" w14:textId="77777777" w:rsidR="00DC54F3" w:rsidRPr="004C54B9" w:rsidRDefault="00DC54F3" w:rsidP="00BA7431">
            <w:pPr>
              <w:spacing w:after="0" w:line="240" w:lineRule="auto"/>
              <w:jc w:val="center"/>
              <w:rPr>
                <w:rFonts w:ascii="Arial Narrow" w:hAnsi="Arial Narrow" w:cs="Arial"/>
                <w:b/>
              </w:rPr>
            </w:pPr>
            <w:r w:rsidRPr="004C54B9">
              <w:rPr>
                <w:rFonts w:ascii="Arial Narrow" w:hAnsi="Arial Narrow"/>
                <w:noProof/>
                <w:lang w:val="en-GB" w:eastAsia="en-GB"/>
              </w:rPr>
              <w:drawing>
                <wp:inline distT="0" distB="0" distL="0" distR="0" wp14:anchorId="7D097081" wp14:editId="2F7681E3">
                  <wp:extent cx="2486025" cy="20193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30" w:type="pct"/>
            <w:tcBorders>
              <w:top w:val="nil"/>
              <w:left w:val="nil"/>
              <w:bottom w:val="nil"/>
              <w:right w:val="nil"/>
            </w:tcBorders>
            <w:vAlign w:val="center"/>
          </w:tcPr>
          <w:p w14:paraId="64C07438" w14:textId="77777777" w:rsidR="00DC54F3" w:rsidRPr="004C54B9" w:rsidRDefault="00DC54F3" w:rsidP="00BA7431">
            <w:pPr>
              <w:spacing w:after="0" w:line="240" w:lineRule="auto"/>
              <w:jc w:val="center"/>
              <w:rPr>
                <w:rFonts w:ascii="Arial Narrow" w:hAnsi="Arial Narrow" w:cs="Arial"/>
                <w:b/>
              </w:rPr>
            </w:pPr>
          </w:p>
        </w:tc>
        <w:tc>
          <w:tcPr>
            <w:tcW w:w="2459" w:type="pct"/>
            <w:tcBorders>
              <w:top w:val="single" w:sz="4" w:space="0" w:color="auto"/>
              <w:left w:val="nil"/>
              <w:bottom w:val="single" w:sz="4" w:space="0" w:color="auto"/>
              <w:right w:val="nil"/>
            </w:tcBorders>
            <w:hideMark/>
          </w:tcPr>
          <w:p w14:paraId="463764A8" w14:textId="77777777" w:rsidR="00DC54F3" w:rsidRPr="004C54B9" w:rsidRDefault="00DC54F3" w:rsidP="00BA7431">
            <w:pPr>
              <w:spacing w:after="0" w:line="240" w:lineRule="auto"/>
              <w:jc w:val="center"/>
              <w:rPr>
                <w:rFonts w:ascii="Arial Narrow" w:hAnsi="Arial Narrow" w:cs="Arial"/>
                <w:b/>
              </w:rPr>
            </w:pPr>
            <w:r w:rsidRPr="004C54B9">
              <w:rPr>
                <w:rFonts w:ascii="Arial Narrow" w:hAnsi="Arial Narrow"/>
                <w:noProof/>
                <w:lang w:val="en-GB" w:eastAsia="en-GB"/>
              </w:rPr>
              <w:drawing>
                <wp:inline distT="0" distB="0" distL="0" distR="0" wp14:anchorId="76D88B18" wp14:editId="7F87A7B1">
                  <wp:extent cx="2623185" cy="2019300"/>
                  <wp:effectExtent l="0" t="0" r="5715"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C54F3" w:rsidRPr="004C54B9" w14:paraId="0ADCFE6F" w14:textId="77777777" w:rsidTr="00BA7431">
        <w:trPr>
          <w:trHeight w:val="62"/>
          <w:jc w:val="center"/>
        </w:trPr>
        <w:tc>
          <w:tcPr>
            <w:tcW w:w="2412" w:type="pct"/>
            <w:tcBorders>
              <w:top w:val="single" w:sz="4" w:space="0" w:color="auto"/>
              <w:left w:val="nil"/>
              <w:bottom w:val="nil"/>
              <w:right w:val="nil"/>
            </w:tcBorders>
            <w:vAlign w:val="center"/>
          </w:tcPr>
          <w:p w14:paraId="3DF1FD2B" w14:textId="77777777" w:rsidR="00DC54F3" w:rsidRPr="000F6948" w:rsidRDefault="00DC54F3" w:rsidP="0045515E">
            <w:pPr>
              <w:spacing w:after="0" w:line="240" w:lineRule="auto"/>
              <w:jc w:val="right"/>
              <w:rPr>
                <w:rFonts w:ascii="Arial Narrow" w:hAnsi="Arial Narrow" w:cs="Arial"/>
                <w:i/>
                <w:sz w:val="16"/>
                <w:szCs w:val="16"/>
              </w:rPr>
            </w:pPr>
            <w:r w:rsidRPr="000F6948">
              <w:rPr>
                <w:rFonts w:ascii="Arial Narrow" w:hAnsi="Arial Narrow" w:cs="Arial Narrow"/>
                <w:i/>
                <w:iCs/>
                <w:color w:val="000000"/>
                <w:sz w:val="16"/>
                <w:szCs w:val="16"/>
              </w:rPr>
              <w:t xml:space="preserve">Zdroj: </w:t>
            </w:r>
            <w:proofErr w:type="spellStart"/>
            <w:r w:rsidRPr="000F6948">
              <w:rPr>
                <w:rFonts w:ascii="Arial Narrow" w:hAnsi="Arial Narrow" w:cs="Arial Narrow"/>
                <w:i/>
                <w:iCs/>
                <w:color w:val="000000"/>
                <w:sz w:val="16"/>
                <w:szCs w:val="16"/>
              </w:rPr>
              <w:t>Eurostat</w:t>
            </w:r>
            <w:proofErr w:type="spellEnd"/>
            <w:r w:rsidRPr="000F6948">
              <w:rPr>
                <w:rFonts w:ascii="Arial Narrow" w:hAnsi="Arial Narrow" w:cs="Arial Narrow"/>
                <w:i/>
                <w:iCs/>
                <w:color w:val="000000"/>
                <w:sz w:val="16"/>
                <w:szCs w:val="16"/>
              </w:rPr>
              <w:t xml:space="preserve"> (</w:t>
            </w:r>
            <w:proofErr w:type="spellStart"/>
            <w:r w:rsidRPr="000F6948">
              <w:rPr>
                <w:rFonts w:ascii="Arial Narrow" w:hAnsi="Arial Narrow" w:cs="Arial Narrow"/>
                <w:i/>
                <w:iCs/>
                <w:color w:val="000000"/>
                <w:sz w:val="16"/>
                <w:szCs w:val="16"/>
              </w:rPr>
              <w:t>une_rt_q</w:t>
            </w:r>
            <w:proofErr w:type="spellEnd"/>
            <w:r w:rsidRPr="000F6948">
              <w:rPr>
                <w:rFonts w:ascii="Arial Narrow" w:hAnsi="Arial Narrow" w:cs="Arial Narrow"/>
                <w:i/>
                <w:iCs/>
                <w:color w:val="000000"/>
                <w:sz w:val="16"/>
                <w:szCs w:val="16"/>
              </w:rPr>
              <w:t>), ŠÚ SR</w:t>
            </w:r>
          </w:p>
        </w:tc>
        <w:tc>
          <w:tcPr>
            <w:tcW w:w="130" w:type="pct"/>
            <w:tcBorders>
              <w:top w:val="nil"/>
              <w:left w:val="nil"/>
              <w:bottom w:val="nil"/>
              <w:right w:val="nil"/>
            </w:tcBorders>
            <w:vAlign w:val="center"/>
          </w:tcPr>
          <w:p w14:paraId="078A3537" w14:textId="77777777" w:rsidR="00DC54F3" w:rsidRPr="000F6948" w:rsidRDefault="00DC54F3" w:rsidP="0045515E">
            <w:pPr>
              <w:spacing w:after="0" w:line="240" w:lineRule="auto"/>
              <w:jc w:val="center"/>
              <w:rPr>
                <w:rFonts w:ascii="Arial Narrow" w:hAnsi="Arial Narrow" w:cs="Arial"/>
                <w:i/>
                <w:sz w:val="16"/>
                <w:szCs w:val="16"/>
              </w:rPr>
            </w:pPr>
          </w:p>
        </w:tc>
        <w:tc>
          <w:tcPr>
            <w:tcW w:w="2459" w:type="pct"/>
            <w:tcBorders>
              <w:top w:val="single" w:sz="4" w:space="0" w:color="auto"/>
              <w:left w:val="nil"/>
              <w:bottom w:val="nil"/>
              <w:right w:val="nil"/>
            </w:tcBorders>
            <w:vAlign w:val="center"/>
          </w:tcPr>
          <w:p w14:paraId="5C28233F" w14:textId="77777777" w:rsidR="00DC54F3" w:rsidRPr="000F6948" w:rsidRDefault="00DC54F3" w:rsidP="0045515E">
            <w:pPr>
              <w:spacing w:after="0" w:line="240" w:lineRule="auto"/>
              <w:jc w:val="right"/>
              <w:rPr>
                <w:rFonts w:ascii="Arial Narrow" w:hAnsi="Arial Narrow" w:cs="Arial"/>
                <w:i/>
                <w:sz w:val="16"/>
                <w:szCs w:val="16"/>
              </w:rPr>
            </w:pPr>
            <w:r w:rsidRPr="000F6948">
              <w:rPr>
                <w:rFonts w:ascii="Arial Narrow" w:hAnsi="Arial Narrow" w:cs="Arial Narrow"/>
                <w:i/>
                <w:iCs/>
                <w:color w:val="000000"/>
                <w:sz w:val="16"/>
                <w:szCs w:val="16"/>
              </w:rPr>
              <w:t xml:space="preserve">Zdroj: </w:t>
            </w:r>
            <w:proofErr w:type="spellStart"/>
            <w:r w:rsidRPr="000F6948">
              <w:rPr>
                <w:rFonts w:ascii="Arial Narrow" w:hAnsi="Arial Narrow" w:cs="Arial Narrow"/>
                <w:i/>
                <w:iCs/>
                <w:color w:val="000000"/>
                <w:sz w:val="16"/>
                <w:szCs w:val="16"/>
              </w:rPr>
              <w:t>Eurostat</w:t>
            </w:r>
            <w:proofErr w:type="spellEnd"/>
            <w:r w:rsidRPr="000F6948">
              <w:rPr>
                <w:rFonts w:ascii="Arial Narrow" w:hAnsi="Arial Narrow" w:cs="Arial Narrow"/>
                <w:i/>
                <w:iCs/>
                <w:color w:val="000000"/>
                <w:sz w:val="16"/>
                <w:szCs w:val="16"/>
              </w:rPr>
              <w:t xml:space="preserve"> (</w:t>
            </w:r>
            <w:proofErr w:type="spellStart"/>
            <w:r w:rsidRPr="000F6948">
              <w:rPr>
                <w:rFonts w:ascii="Arial Narrow" w:hAnsi="Arial Narrow" w:cs="Arial Narrow"/>
                <w:i/>
                <w:iCs/>
                <w:color w:val="000000"/>
                <w:sz w:val="16"/>
                <w:szCs w:val="16"/>
              </w:rPr>
              <w:t>une_ltu_q</w:t>
            </w:r>
            <w:proofErr w:type="spellEnd"/>
            <w:r w:rsidRPr="000F6948">
              <w:rPr>
                <w:rFonts w:ascii="Arial Narrow" w:hAnsi="Arial Narrow" w:cs="Arial Narrow"/>
                <w:i/>
                <w:iCs/>
                <w:color w:val="000000"/>
                <w:sz w:val="16"/>
                <w:szCs w:val="16"/>
              </w:rPr>
              <w:t>), ŠÚ SR</w:t>
            </w:r>
          </w:p>
        </w:tc>
      </w:tr>
    </w:tbl>
    <w:p w14:paraId="5B1993EE" w14:textId="77777777" w:rsidR="00DC54F3" w:rsidRPr="004C54B9" w:rsidRDefault="00DC54F3" w:rsidP="00DC54F3">
      <w:pPr>
        <w:spacing w:after="0" w:line="240" w:lineRule="auto"/>
        <w:contextualSpacing/>
        <w:jc w:val="both"/>
        <w:rPr>
          <w:rFonts w:ascii="Arial Narrow" w:hAnsi="Arial Narrow"/>
        </w:rPr>
      </w:pPr>
    </w:p>
    <w:p w14:paraId="7F4D06B8" w14:textId="3E4EDCA4" w:rsidR="00DC54F3" w:rsidRPr="004C54B9" w:rsidRDefault="00DC54F3" w:rsidP="00DC54F3">
      <w:pPr>
        <w:spacing w:after="0" w:line="240" w:lineRule="auto"/>
        <w:contextualSpacing/>
        <w:jc w:val="both"/>
        <w:rPr>
          <w:rFonts w:ascii="Arial Narrow" w:hAnsi="Arial Narrow"/>
          <w:color w:val="000000" w:themeColor="text1"/>
        </w:rPr>
      </w:pPr>
      <w:r w:rsidRPr="004C54B9">
        <w:rPr>
          <w:rFonts w:ascii="Arial Narrow" w:hAnsi="Arial Narrow"/>
          <w:b/>
        </w:rPr>
        <w:t>Výsledky znevýhodnených skupín na trhu práce patria dlhodobo medzi hlavné výzvy štrukturálnych politík.</w:t>
      </w:r>
      <w:r w:rsidRPr="004C54B9">
        <w:rPr>
          <w:rFonts w:ascii="Arial Narrow" w:hAnsi="Arial Narrow"/>
        </w:rPr>
        <w:t xml:space="preserve"> Miera dlhodobej nezamestnanosti poklesla medziročne v treťom kvartáli 201</w:t>
      </w:r>
      <w:r w:rsidR="0004113F">
        <w:rPr>
          <w:rFonts w:ascii="Arial Narrow" w:hAnsi="Arial Narrow"/>
        </w:rPr>
        <w:t>8</w:t>
      </w:r>
      <w:r w:rsidRPr="004C54B9">
        <w:rPr>
          <w:rFonts w:ascii="Arial Narrow" w:hAnsi="Arial Narrow"/>
        </w:rPr>
        <w:t xml:space="preserve"> zo 4,9 % na 3,9 %. Podiel dlhodobo nezamestnaných na celkovom počte nezamestnaných </w:t>
      </w:r>
      <w:r w:rsidR="00910016">
        <w:rPr>
          <w:rFonts w:ascii="Arial Narrow" w:hAnsi="Arial Narrow"/>
        </w:rPr>
        <w:t xml:space="preserve">sa </w:t>
      </w:r>
      <w:r w:rsidRPr="004C54B9">
        <w:rPr>
          <w:rFonts w:ascii="Arial Narrow" w:hAnsi="Arial Narrow"/>
        </w:rPr>
        <w:t xml:space="preserve">však medziročne takmer nezmenil a predstavuje druhú najvyššiu hodnotu v rámci krajín EÚ (61,5 %), výrazne nad priemerom V3 a EÚ (30,6 % a 42,6 %). </w:t>
      </w:r>
      <w:r w:rsidRPr="004C54B9">
        <w:rPr>
          <w:rFonts w:ascii="Arial Narrow" w:hAnsi="Arial Narrow"/>
          <w:color w:val="000000" w:themeColor="text1"/>
        </w:rPr>
        <w:t>Dlhodobá nezamestnanosť tiež úzko súvisí s kvalifikáciou nezamestnaných. Nízka kvalifikácia predstavuje výrazné bariéry na trhu práce. Miera aktivity a miera nezamestnanosti ľudí s najnižším vzdelaním patrí dlhodobo medzi najnižšie</w:t>
      </w:r>
      <w:r w:rsidR="00FC4D8C">
        <w:rPr>
          <w:rFonts w:ascii="Arial Narrow" w:hAnsi="Arial Narrow"/>
          <w:color w:val="000000" w:themeColor="text1"/>
        </w:rPr>
        <w:t xml:space="preserve">, respektíve najvyššie </w:t>
      </w:r>
      <w:r w:rsidRPr="004C54B9">
        <w:rPr>
          <w:rFonts w:ascii="Arial Narrow" w:hAnsi="Arial Narrow"/>
          <w:color w:val="000000" w:themeColor="text1"/>
        </w:rPr>
        <w:t>v</w:t>
      </w:r>
      <w:r w:rsidR="00FC4D8C">
        <w:rPr>
          <w:rFonts w:ascii="Arial Narrow" w:hAnsi="Arial Narrow"/>
          <w:color w:val="000000" w:themeColor="text1"/>
        </w:rPr>
        <w:t xml:space="preserve"> </w:t>
      </w:r>
      <w:r w:rsidRPr="004C54B9">
        <w:rPr>
          <w:rFonts w:ascii="Arial Narrow" w:hAnsi="Arial Narrow"/>
          <w:color w:val="000000" w:themeColor="text1"/>
        </w:rPr>
        <w:t>EÚ. Len 32 % rómskej populácie dosahuje stredoškolské a vyššie vzdelanie</w:t>
      </w:r>
      <w:r w:rsidRPr="004C54B9">
        <w:rPr>
          <w:rStyle w:val="Odkaznapoznmkupodiarou"/>
          <w:rFonts w:ascii="Arial Narrow" w:hAnsi="Arial Narrow"/>
          <w:color w:val="000000" w:themeColor="text1"/>
        </w:rPr>
        <w:footnoteReference w:id="72"/>
      </w:r>
      <w:r w:rsidRPr="004C54B9">
        <w:rPr>
          <w:rFonts w:ascii="Arial Narrow" w:hAnsi="Arial Narrow"/>
          <w:color w:val="000000" w:themeColor="text1"/>
        </w:rPr>
        <w:t>. Nízka kvalifikácia predstavuje výrazné bariéry na trhu práce. Zamestnanosť rómskej populácie sa s pozitívnym ekonomickým vývojom mierne zlepšuje, no stále výrazne zaostáva za majoritou (21 % v porovnaní s 51 % vo väčšinovej populácii žijúcej v tých istých obciach</w:t>
      </w:r>
      <w:r w:rsidRPr="004C54B9">
        <w:rPr>
          <w:rStyle w:val="Odkaznapoznmkupodiarou"/>
          <w:rFonts w:ascii="Arial Narrow" w:hAnsi="Arial Narrow"/>
          <w:color w:val="000000" w:themeColor="text1"/>
        </w:rPr>
        <w:footnoteReference w:id="73"/>
      </w:r>
      <w:r w:rsidRPr="004C54B9">
        <w:rPr>
          <w:rFonts w:ascii="Arial Narrow" w:hAnsi="Arial Narrow"/>
          <w:color w:val="000000" w:themeColor="text1"/>
        </w:rPr>
        <w:t>)</w:t>
      </w:r>
      <w:r w:rsidR="00CD4C35">
        <w:rPr>
          <w:rFonts w:ascii="Arial Narrow" w:hAnsi="Arial Narrow"/>
          <w:color w:val="000000" w:themeColor="text1"/>
        </w:rPr>
        <w:t>.</w:t>
      </w:r>
    </w:p>
    <w:p w14:paraId="4907CB50" w14:textId="77777777" w:rsidR="00DC54F3" w:rsidRPr="004C54B9" w:rsidRDefault="00DC54F3" w:rsidP="00DC54F3">
      <w:pPr>
        <w:spacing w:after="0" w:line="240" w:lineRule="auto"/>
        <w:jc w:val="both"/>
        <w:rPr>
          <w:rFonts w:ascii="Arial Narrow" w:hAnsi="Arial Narrow"/>
          <w:color w:val="000000" w:themeColor="text1"/>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111"/>
        <w:gridCol w:w="236"/>
        <w:gridCol w:w="48"/>
        <w:gridCol w:w="4169"/>
      </w:tblGrid>
      <w:tr w:rsidR="00DC54F3" w:rsidRPr="004C54B9" w14:paraId="31E7FF0C" w14:textId="77777777" w:rsidTr="00BA7431">
        <w:trPr>
          <w:trHeight w:val="227"/>
          <w:jc w:val="center"/>
        </w:trPr>
        <w:tc>
          <w:tcPr>
            <w:tcW w:w="2400" w:type="pct"/>
            <w:tcBorders>
              <w:top w:val="nil"/>
              <w:left w:val="nil"/>
              <w:bottom w:val="single" w:sz="4" w:space="0" w:color="auto"/>
              <w:right w:val="nil"/>
            </w:tcBorders>
            <w:vAlign w:val="center"/>
            <w:hideMark/>
          </w:tcPr>
          <w:p w14:paraId="4B0F8950" w14:textId="77777777" w:rsidR="00DC54F3" w:rsidRPr="000F6948" w:rsidRDefault="00DC54F3" w:rsidP="00BA7431">
            <w:pPr>
              <w:pStyle w:val="Graf"/>
              <w:spacing w:after="0" w:line="240" w:lineRule="auto"/>
              <w:jc w:val="both"/>
              <w:rPr>
                <w:rFonts w:eastAsia="Times New Roman" w:cs="Times New Roman"/>
                <w:color w:val="2C9ADC"/>
                <w:szCs w:val="22"/>
                <w:lang w:eastAsia="sk-SK"/>
              </w:rPr>
            </w:pPr>
            <w:bookmarkStart w:id="39" w:name="_Toc480760506"/>
            <w:bookmarkStart w:id="40" w:name="_Toc4625962"/>
            <w:r w:rsidRPr="000F6948">
              <w:rPr>
                <w:rFonts w:eastAsia="Times New Roman" w:cs="Times New Roman"/>
                <w:color w:val="2C9ADC"/>
                <w:szCs w:val="22"/>
                <w:lang w:eastAsia="sk-SK"/>
              </w:rPr>
              <w:t xml:space="preserve">Graf </w:t>
            </w:r>
            <w:r w:rsidRPr="000F6948">
              <w:rPr>
                <w:rFonts w:eastAsia="Times New Roman" w:cs="Times New Roman"/>
                <w:color w:val="2C9ADC"/>
                <w:szCs w:val="22"/>
                <w:lang w:eastAsia="sk-SK"/>
              </w:rPr>
              <w:fldChar w:fldCharType="begin"/>
            </w:r>
            <w:r w:rsidRPr="000F6948">
              <w:rPr>
                <w:rFonts w:eastAsia="Times New Roman" w:cs="Times New Roman"/>
                <w:color w:val="2C9ADC"/>
                <w:szCs w:val="22"/>
                <w:lang w:eastAsia="sk-SK"/>
              </w:rPr>
              <w:instrText xml:space="preserve"> SEQ GRAF \* ARABIC </w:instrText>
            </w:r>
            <w:r w:rsidRPr="000F6948">
              <w:rPr>
                <w:rFonts w:eastAsia="Times New Roman" w:cs="Times New Roman"/>
                <w:color w:val="2C9ADC"/>
                <w:szCs w:val="22"/>
                <w:lang w:eastAsia="sk-SK"/>
              </w:rPr>
              <w:fldChar w:fldCharType="separate"/>
            </w:r>
            <w:r w:rsidR="0020148F">
              <w:rPr>
                <w:rFonts w:eastAsia="Times New Roman" w:cs="Times New Roman"/>
                <w:noProof/>
                <w:color w:val="2C9ADC"/>
                <w:szCs w:val="22"/>
                <w:lang w:eastAsia="sk-SK"/>
              </w:rPr>
              <w:t>13</w:t>
            </w:r>
            <w:r w:rsidRPr="000F6948">
              <w:rPr>
                <w:rFonts w:eastAsia="Times New Roman" w:cs="Times New Roman"/>
                <w:color w:val="2C9ADC"/>
                <w:szCs w:val="22"/>
                <w:lang w:eastAsia="sk-SK"/>
              </w:rPr>
              <w:fldChar w:fldCharType="end"/>
            </w:r>
            <w:r w:rsidRPr="000F6948">
              <w:rPr>
                <w:rFonts w:eastAsia="Times New Roman" w:cs="Times New Roman"/>
                <w:color w:val="2C9ADC"/>
                <w:szCs w:val="22"/>
                <w:lang w:eastAsia="sk-SK"/>
              </w:rPr>
              <w:t>:</w:t>
            </w:r>
            <w:r w:rsidRPr="000F6948">
              <w:rPr>
                <w:rFonts w:cs="Arial"/>
                <w:color w:val="2C9ADC"/>
                <w:szCs w:val="22"/>
              </w:rPr>
              <w:t xml:space="preserve"> </w:t>
            </w:r>
            <w:proofErr w:type="spellStart"/>
            <w:r w:rsidRPr="000F6948">
              <w:rPr>
                <w:rFonts w:eastAsia="Times New Roman" w:cs="Times New Roman"/>
                <w:color w:val="2C9ADC"/>
                <w:szCs w:val="22"/>
                <w:lang w:eastAsia="sk-SK"/>
              </w:rPr>
              <w:t>Nízkokvalifikovaná</w:t>
            </w:r>
            <w:proofErr w:type="spellEnd"/>
            <w:r w:rsidRPr="000F6948">
              <w:rPr>
                <w:rFonts w:eastAsia="Times New Roman" w:cs="Times New Roman"/>
                <w:color w:val="2C9ADC"/>
                <w:szCs w:val="22"/>
                <w:lang w:eastAsia="sk-SK"/>
              </w:rPr>
              <w:t xml:space="preserve"> pracovná sila na trhu práce (%, 2017)</w:t>
            </w:r>
            <w:bookmarkEnd w:id="39"/>
            <w:bookmarkEnd w:id="40"/>
          </w:p>
        </w:tc>
        <w:tc>
          <w:tcPr>
            <w:tcW w:w="166" w:type="pct"/>
            <w:gridSpan w:val="2"/>
            <w:tcBorders>
              <w:top w:val="nil"/>
              <w:left w:val="nil"/>
              <w:bottom w:val="nil"/>
              <w:right w:val="nil"/>
            </w:tcBorders>
            <w:vAlign w:val="center"/>
          </w:tcPr>
          <w:p w14:paraId="2E13A651" w14:textId="77777777" w:rsidR="00DC54F3" w:rsidRPr="000F6948" w:rsidRDefault="00DC54F3" w:rsidP="00BA7431">
            <w:pPr>
              <w:spacing w:before="60" w:after="0" w:line="240" w:lineRule="auto"/>
              <w:rPr>
                <w:rFonts w:ascii="Arial Narrow" w:hAnsi="Arial Narrow" w:cs="Arial"/>
                <w:b/>
                <w:color w:val="2C9ADC"/>
                <w:sz w:val="20"/>
              </w:rPr>
            </w:pPr>
          </w:p>
        </w:tc>
        <w:tc>
          <w:tcPr>
            <w:tcW w:w="2434" w:type="pct"/>
            <w:tcBorders>
              <w:top w:val="nil"/>
              <w:left w:val="nil"/>
              <w:bottom w:val="single" w:sz="4" w:space="0" w:color="auto"/>
              <w:right w:val="nil"/>
            </w:tcBorders>
            <w:vAlign w:val="center"/>
            <w:hideMark/>
          </w:tcPr>
          <w:p w14:paraId="42E04C9D" w14:textId="77777777" w:rsidR="00DC54F3" w:rsidRPr="000F6948" w:rsidRDefault="00DC54F3" w:rsidP="00BA7431">
            <w:pPr>
              <w:pStyle w:val="Graf"/>
              <w:spacing w:after="0" w:line="240" w:lineRule="auto"/>
              <w:rPr>
                <w:rFonts w:cs="Arial"/>
                <w:color w:val="2C9ADC"/>
                <w:szCs w:val="22"/>
              </w:rPr>
            </w:pPr>
            <w:bookmarkStart w:id="41" w:name="_Toc480760507"/>
            <w:bookmarkStart w:id="42" w:name="_Toc4625963"/>
            <w:r w:rsidRPr="000F6948">
              <w:rPr>
                <w:rFonts w:cs="Arial"/>
                <w:color w:val="2C9ADC"/>
                <w:szCs w:val="22"/>
              </w:rPr>
              <w:t xml:space="preserve">Graf </w:t>
            </w:r>
            <w:r w:rsidRPr="000F6948">
              <w:rPr>
                <w:rFonts w:cs="Arial"/>
                <w:color w:val="2C9ADC"/>
                <w:szCs w:val="22"/>
              </w:rPr>
              <w:fldChar w:fldCharType="begin"/>
            </w:r>
            <w:r w:rsidRPr="000F6948">
              <w:rPr>
                <w:rFonts w:cs="Arial"/>
                <w:color w:val="2C9ADC"/>
                <w:szCs w:val="22"/>
              </w:rPr>
              <w:instrText xml:space="preserve"> SEQ GRAF \* ARABIC </w:instrText>
            </w:r>
            <w:r w:rsidRPr="000F6948">
              <w:rPr>
                <w:rFonts w:cs="Arial"/>
                <w:color w:val="2C9ADC"/>
                <w:szCs w:val="22"/>
              </w:rPr>
              <w:fldChar w:fldCharType="separate"/>
            </w:r>
            <w:r w:rsidR="0020148F">
              <w:rPr>
                <w:rFonts w:cs="Arial"/>
                <w:noProof/>
                <w:color w:val="2C9ADC"/>
                <w:szCs w:val="22"/>
              </w:rPr>
              <w:t>14</w:t>
            </w:r>
            <w:r w:rsidRPr="000F6948">
              <w:rPr>
                <w:rFonts w:cs="Arial"/>
                <w:color w:val="2C9ADC"/>
                <w:szCs w:val="22"/>
              </w:rPr>
              <w:fldChar w:fldCharType="end"/>
            </w:r>
            <w:r w:rsidRPr="000F6948">
              <w:rPr>
                <w:rFonts w:cs="Arial"/>
                <w:color w:val="2C9ADC"/>
                <w:szCs w:val="22"/>
              </w:rPr>
              <w:t>:</w:t>
            </w:r>
            <w:bookmarkEnd w:id="41"/>
            <w:r w:rsidRPr="000F6948">
              <w:rPr>
                <w:rFonts w:cs="Arial"/>
                <w:color w:val="2C9ADC"/>
                <w:szCs w:val="22"/>
              </w:rPr>
              <w:t xml:space="preserve"> Miera zamestnanosti Rómov z obcí s koncentrovanými osídleniami (v %, populácia vo veku 15-64 rokov)</w:t>
            </w:r>
            <w:bookmarkEnd w:id="42"/>
          </w:p>
        </w:tc>
      </w:tr>
      <w:tr w:rsidR="00DC54F3" w:rsidRPr="004C54B9" w14:paraId="01B04747" w14:textId="77777777" w:rsidTr="00BA7431">
        <w:tblPrEx>
          <w:tblCellMar>
            <w:left w:w="108" w:type="dxa"/>
            <w:right w:w="108" w:type="dxa"/>
          </w:tblCellMar>
        </w:tblPrEx>
        <w:trPr>
          <w:trHeight w:val="3042"/>
          <w:jc w:val="center"/>
        </w:trPr>
        <w:tc>
          <w:tcPr>
            <w:tcW w:w="2400" w:type="pct"/>
            <w:tcBorders>
              <w:top w:val="single" w:sz="4" w:space="0" w:color="auto"/>
              <w:left w:val="nil"/>
              <w:bottom w:val="single" w:sz="4" w:space="0" w:color="auto"/>
              <w:right w:val="nil"/>
            </w:tcBorders>
          </w:tcPr>
          <w:p w14:paraId="2C304B4C" w14:textId="77777777" w:rsidR="00DC54F3" w:rsidRPr="004C54B9" w:rsidRDefault="00DC54F3" w:rsidP="00BA7431">
            <w:pPr>
              <w:spacing w:before="40" w:after="0" w:line="240" w:lineRule="auto"/>
              <w:jc w:val="center"/>
              <w:rPr>
                <w:rFonts w:ascii="Arial Narrow" w:hAnsi="Arial Narrow" w:cs="Arial"/>
                <w:b/>
              </w:rPr>
            </w:pPr>
            <w:r w:rsidRPr="004C54B9">
              <w:rPr>
                <w:rFonts w:ascii="Arial Narrow" w:hAnsi="Arial Narrow"/>
                <w:noProof/>
                <w:lang w:val="en-GB" w:eastAsia="en-GB"/>
              </w:rPr>
              <w:drawing>
                <wp:inline distT="0" distB="0" distL="0" distR="0" wp14:anchorId="49B392C2" wp14:editId="376D9AB5">
                  <wp:extent cx="2473325" cy="2190750"/>
                  <wp:effectExtent l="0" t="0" r="3175"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38" w:type="pct"/>
            <w:tcBorders>
              <w:top w:val="nil"/>
              <w:left w:val="nil"/>
              <w:bottom w:val="nil"/>
              <w:right w:val="nil"/>
            </w:tcBorders>
            <w:vAlign w:val="center"/>
          </w:tcPr>
          <w:p w14:paraId="53C57794" w14:textId="77777777" w:rsidR="00DC54F3" w:rsidRPr="004C54B9" w:rsidRDefault="00DC54F3" w:rsidP="00BA7431">
            <w:pPr>
              <w:spacing w:before="40" w:after="0" w:line="240" w:lineRule="auto"/>
              <w:jc w:val="center"/>
              <w:rPr>
                <w:rFonts w:ascii="Arial Narrow" w:hAnsi="Arial Narrow" w:cs="Arial"/>
                <w:b/>
              </w:rPr>
            </w:pPr>
          </w:p>
        </w:tc>
        <w:tc>
          <w:tcPr>
            <w:tcW w:w="2462" w:type="pct"/>
            <w:gridSpan w:val="2"/>
            <w:tcBorders>
              <w:top w:val="single" w:sz="4" w:space="0" w:color="auto"/>
              <w:left w:val="nil"/>
              <w:bottom w:val="single" w:sz="4" w:space="0" w:color="auto"/>
              <w:right w:val="nil"/>
            </w:tcBorders>
            <w:hideMark/>
          </w:tcPr>
          <w:p w14:paraId="598941DB" w14:textId="77777777" w:rsidR="00DC54F3" w:rsidRPr="004C54B9" w:rsidRDefault="00DC54F3" w:rsidP="00BA7431">
            <w:pPr>
              <w:spacing w:before="40" w:after="0" w:line="240" w:lineRule="auto"/>
              <w:jc w:val="center"/>
              <w:rPr>
                <w:rFonts w:ascii="Arial Narrow" w:hAnsi="Arial Narrow" w:cs="Arial"/>
                <w:b/>
              </w:rPr>
            </w:pPr>
            <w:r w:rsidRPr="004C54B9">
              <w:rPr>
                <w:rFonts w:ascii="Arial Narrow" w:hAnsi="Arial Narrow"/>
                <w:noProof/>
                <w:lang w:val="en-GB" w:eastAsia="en-GB"/>
              </w:rPr>
              <w:drawing>
                <wp:inline distT="0" distB="0" distL="0" distR="0" wp14:anchorId="11684FFF" wp14:editId="288097A2">
                  <wp:extent cx="2540635" cy="219075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DC54F3" w:rsidRPr="004C54B9" w14:paraId="5E264DBB" w14:textId="77777777" w:rsidTr="00BA7431">
        <w:trPr>
          <w:trHeight w:val="70"/>
          <w:jc w:val="center"/>
        </w:trPr>
        <w:tc>
          <w:tcPr>
            <w:tcW w:w="2400" w:type="pct"/>
            <w:tcBorders>
              <w:top w:val="single" w:sz="4" w:space="0" w:color="auto"/>
              <w:left w:val="nil"/>
              <w:bottom w:val="nil"/>
              <w:right w:val="nil"/>
            </w:tcBorders>
          </w:tcPr>
          <w:p w14:paraId="62AB24AA" w14:textId="77777777" w:rsidR="00DC54F3" w:rsidRPr="000F6948" w:rsidRDefault="00DC54F3" w:rsidP="00BA7431">
            <w:pPr>
              <w:spacing w:after="120" w:line="240" w:lineRule="auto"/>
              <w:jc w:val="right"/>
              <w:rPr>
                <w:rFonts w:ascii="Arial Narrow" w:hAnsi="Arial Narrow" w:cs="Arial"/>
                <w:i/>
                <w:sz w:val="16"/>
              </w:rPr>
            </w:pPr>
            <w:r w:rsidRPr="000F6948">
              <w:rPr>
                <w:rFonts w:ascii="Arial Narrow" w:hAnsi="Arial Narrow"/>
                <w:i/>
                <w:sz w:val="16"/>
              </w:rPr>
              <w:t xml:space="preserve">Zdroj: </w:t>
            </w:r>
            <w:proofErr w:type="spellStart"/>
            <w:r w:rsidRPr="000F6948">
              <w:rPr>
                <w:rFonts w:ascii="Arial Narrow" w:hAnsi="Arial Narrow"/>
                <w:i/>
                <w:sz w:val="16"/>
              </w:rPr>
              <w:t>Eurostat</w:t>
            </w:r>
            <w:proofErr w:type="spellEnd"/>
            <w:r w:rsidRPr="000F6948">
              <w:rPr>
                <w:rFonts w:ascii="Arial Narrow" w:hAnsi="Arial Narrow"/>
                <w:i/>
                <w:sz w:val="16"/>
              </w:rPr>
              <w:t xml:space="preserve"> (</w:t>
            </w:r>
            <w:proofErr w:type="spellStart"/>
            <w:r w:rsidRPr="000F6948">
              <w:rPr>
                <w:rFonts w:ascii="Arial Narrow" w:hAnsi="Arial Narrow"/>
                <w:i/>
                <w:sz w:val="16"/>
              </w:rPr>
              <w:t>lfsa_argaed</w:t>
            </w:r>
            <w:proofErr w:type="spellEnd"/>
            <w:r w:rsidRPr="000F6948">
              <w:rPr>
                <w:rFonts w:ascii="Arial Narrow" w:hAnsi="Arial Narrow"/>
                <w:i/>
                <w:sz w:val="16"/>
              </w:rPr>
              <w:t>), ŠÚ SR</w:t>
            </w:r>
          </w:p>
        </w:tc>
        <w:tc>
          <w:tcPr>
            <w:tcW w:w="166" w:type="pct"/>
            <w:gridSpan w:val="2"/>
            <w:tcBorders>
              <w:top w:val="nil"/>
              <w:left w:val="nil"/>
              <w:bottom w:val="nil"/>
              <w:right w:val="nil"/>
            </w:tcBorders>
          </w:tcPr>
          <w:p w14:paraId="5AAA7E9A" w14:textId="77777777" w:rsidR="00DC54F3" w:rsidRPr="000F6948" w:rsidRDefault="00DC54F3" w:rsidP="00BA7431">
            <w:pPr>
              <w:spacing w:after="120" w:line="240" w:lineRule="auto"/>
              <w:jc w:val="center"/>
              <w:rPr>
                <w:rFonts w:ascii="Arial Narrow" w:hAnsi="Arial Narrow" w:cs="Arial"/>
                <w:i/>
                <w:sz w:val="16"/>
              </w:rPr>
            </w:pPr>
          </w:p>
        </w:tc>
        <w:tc>
          <w:tcPr>
            <w:tcW w:w="2434" w:type="pct"/>
            <w:tcBorders>
              <w:top w:val="single" w:sz="4" w:space="0" w:color="auto"/>
              <w:left w:val="nil"/>
              <w:bottom w:val="nil"/>
              <w:right w:val="nil"/>
            </w:tcBorders>
          </w:tcPr>
          <w:p w14:paraId="59C7B98D" w14:textId="53DAC0E8" w:rsidR="00DC54F3" w:rsidRPr="0075516A" w:rsidRDefault="00F766CB" w:rsidP="0075516A">
            <w:pPr>
              <w:spacing w:after="120" w:line="240" w:lineRule="auto"/>
              <w:rPr>
                <w:rFonts w:ascii="Arial Narrow" w:hAnsi="Arial Narrow"/>
                <w:i/>
                <w:color w:val="2C9ADC"/>
                <w:sz w:val="16"/>
              </w:rPr>
            </w:pPr>
            <w:r w:rsidRPr="0075516A">
              <w:rPr>
                <w:rStyle w:val="Hypertextovprepojenie"/>
                <w:rFonts w:ascii="Arial Narrow" w:hAnsi="Arial Narrow"/>
                <w:i/>
                <w:color w:val="000000" w:themeColor="text1"/>
                <w:sz w:val="16"/>
                <w:u w:val="none"/>
              </w:rPr>
              <w:t>Poznámka: zamestnanie aspoň 6 mesiacov v roku vrátane dohôd a</w:t>
            </w:r>
            <w:r w:rsidR="0075516A" w:rsidRPr="0075516A">
              <w:rPr>
                <w:rStyle w:val="Hypertextovprepojenie"/>
                <w:rFonts w:ascii="Arial Narrow" w:hAnsi="Arial Narrow"/>
                <w:i/>
                <w:color w:val="000000" w:themeColor="text1"/>
                <w:sz w:val="16"/>
                <w:u w:val="none"/>
              </w:rPr>
              <w:t> </w:t>
            </w:r>
            <w:r w:rsidRPr="0075516A">
              <w:rPr>
                <w:rStyle w:val="Hypertextovprepojenie"/>
                <w:rFonts w:ascii="Arial Narrow" w:hAnsi="Arial Narrow"/>
                <w:i/>
                <w:color w:val="000000" w:themeColor="text1"/>
                <w:sz w:val="16"/>
                <w:u w:val="none"/>
              </w:rPr>
              <w:t>SZČ</w:t>
            </w:r>
            <w:r w:rsidR="0075516A" w:rsidRPr="0075516A">
              <w:rPr>
                <w:rStyle w:val="Hypertextovprepojenie"/>
                <w:rFonts w:ascii="Arial Narrow" w:hAnsi="Arial Narrow"/>
                <w:i/>
                <w:color w:val="000000" w:themeColor="text1"/>
                <w:sz w:val="16"/>
                <w:u w:val="none"/>
              </w:rPr>
              <w:t xml:space="preserve">; </w:t>
            </w:r>
            <w:r w:rsidRPr="0075516A">
              <w:rPr>
                <w:rStyle w:val="Hypertextovprepojenie"/>
                <w:rFonts w:ascii="Arial Narrow" w:hAnsi="Arial Narrow"/>
                <w:i/>
                <w:color w:val="000000" w:themeColor="text1"/>
                <w:sz w:val="16"/>
                <w:u w:val="none"/>
              </w:rPr>
              <w:t>Zdroj: IFP podľa údajov Sociálnej</w:t>
            </w:r>
            <w:r w:rsidR="00920ABD">
              <w:rPr>
                <w:rStyle w:val="Hypertextovprepojenie"/>
                <w:rFonts w:ascii="Arial Narrow" w:hAnsi="Arial Narrow"/>
                <w:i/>
                <w:color w:val="000000" w:themeColor="text1"/>
                <w:sz w:val="16"/>
                <w:u w:val="none"/>
              </w:rPr>
              <w:t xml:space="preserve"> poisťovne</w:t>
            </w:r>
            <w:r w:rsidRPr="0075516A">
              <w:rPr>
                <w:rStyle w:val="Hypertextovprepojenie"/>
                <w:rFonts w:ascii="Arial Narrow" w:hAnsi="Arial Narrow"/>
                <w:i/>
                <w:color w:val="000000" w:themeColor="text1"/>
                <w:sz w:val="16"/>
                <w:u w:val="none"/>
              </w:rPr>
              <w:t xml:space="preserve"> </w:t>
            </w:r>
          </w:p>
        </w:tc>
      </w:tr>
    </w:tbl>
    <w:p w14:paraId="7E80F445" w14:textId="77777777" w:rsidR="00DC54F3" w:rsidRPr="004C54B9" w:rsidRDefault="00DC54F3" w:rsidP="00DC54F3">
      <w:pPr>
        <w:spacing w:after="0" w:line="240" w:lineRule="auto"/>
        <w:jc w:val="both"/>
        <w:rPr>
          <w:rFonts w:ascii="Arial Narrow" w:hAnsi="Arial Narrow"/>
          <w:lang w:eastAsia="en-US"/>
        </w:rPr>
      </w:pPr>
    </w:p>
    <w:p w14:paraId="3427E624" w14:textId="05A4FA03" w:rsidR="00DC54F3" w:rsidRPr="004C54B9" w:rsidRDefault="00DC54F3" w:rsidP="00920ABD">
      <w:pPr>
        <w:pStyle w:val="Odsekzoznamu"/>
        <w:tabs>
          <w:tab w:val="left" w:pos="426"/>
        </w:tabs>
        <w:spacing w:after="0" w:line="240" w:lineRule="auto"/>
        <w:ind w:left="0"/>
        <w:contextualSpacing w:val="0"/>
        <w:jc w:val="both"/>
        <w:rPr>
          <w:rFonts w:ascii="Arial Narrow" w:hAnsi="Arial Narrow"/>
        </w:rPr>
      </w:pPr>
      <w:r w:rsidRPr="004C54B9">
        <w:rPr>
          <w:rFonts w:ascii="Arial Narrow" w:hAnsi="Arial Narrow"/>
          <w:b/>
          <w:lang w:eastAsia="en-US"/>
        </w:rPr>
        <w:t>Miera rizika chudoby alebo sociálneho vylúčenia</w:t>
      </w:r>
      <w:r w:rsidRPr="004C54B9">
        <w:rPr>
          <w:rFonts w:ascii="Arial Narrow" w:hAnsi="Arial Narrow"/>
          <w:lang w:eastAsia="en-US"/>
        </w:rPr>
        <w:t xml:space="preserve"> </w:t>
      </w:r>
      <w:r w:rsidRPr="004C54B9">
        <w:rPr>
          <w:rFonts w:ascii="Arial Narrow" w:hAnsi="Arial Narrow"/>
          <w:b/>
          <w:lang w:eastAsia="en-US"/>
        </w:rPr>
        <w:t>je na Slovensku pod priemerom krajín EÚ.</w:t>
      </w:r>
      <w:r w:rsidRPr="004C54B9">
        <w:rPr>
          <w:rFonts w:ascii="Arial Narrow" w:hAnsi="Arial Narrow"/>
          <w:lang w:eastAsia="en-US"/>
        </w:rPr>
        <w:t xml:space="preserve"> V roku 2017 dosiahla úroveň 16,3 %</w:t>
      </w:r>
      <w:r w:rsidR="00920ABD">
        <w:rPr>
          <w:rFonts w:ascii="Arial Narrow" w:hAnsi="Arial Narrow"/>
          <w:lang w:eastAsia="en-US"/>
        </w:rPr>
        <w:t xml:space="preserve"> (čo predstavuje 856 tis. ľudí)</w:t>
      </w:r>
      <w:r w:rsidRPr="004C54B9">
        <w:rPr>
          <w:rFonts w:ascii="Arial Narrow" w:hAnsi="Arial Narrow"/>
          <w:lang w:eastAsia="en-US"/>
        </w:rPr>
        <w:t>, pričom priemerná hodnota z</w:t>
      </w:r>
      <w:r w:rsidR="00454527">
        <w:rPr>
          <w:rFonts w:ascii="Arial Narrow" w:hAnsi="Arial Narrow"/>
          <w:lang w:eastAsia="en-US"/>
        </w:rPr>
        <w:t xml:space="preserve">a celú EÚ predstavovala 23,5 %. </w:t>
      </w:r>
      <w:r w:rsidR="00920ABD" w:rsidRPr="00920ABD">
        <w:rPr>
          <w:rFonts w:ascii="Arial Narrow" w:hAnsi="Arial Narrow"/>
        </w:rPr>
        <w:t xml:space="preserve">Voči východiskovej hodnote za rok 2008 </w:t>
      </w:r>
      <w:r w:rsidR="00920ABD">
        <w:rPr>
          <w:rFonts w:ascii="Arial Narrow" w:hAnsi="Arial Narrow"/>
        </w:rPr>
        <w:t>sa podarilo vymaniť približne 255 tisíc</w:t>
      </w:r>
      <w:r w:rsidR="00920ABD" w:rsidRPr="00920ABD">
        <w:rPr>
          <w:rFonts w:ascii="Arial Narrow" w:hAnsi="Arial Narrow"/>
        </w:rPr>
        <w:t xml:space="preserve"> ľudí z rizika chudoby alebo sociálneho vylúčenia, čím </w:t>
      </w:r>
      <w:r w:rsidR="0077729A">
        <w:rPr>
          <w:rFonts w:ascii="Arial Narrow" w:hAnsi="Arial Narrow"/>
        </w:rPr>
        <w:t xml:space="preserve">sa podarilo splniť </w:t>
      </w:r>
      <w:r w:rsidR="00920ABD" w:rsidRPr="00920ABD">
        <w:rPr>
          <w:rFonts w:ascii="Arial Narrow" w:hAnsi="Arial Narrow"/>
        </w:rPr>
        <w:t>národný cieľ</w:t>
      </w:r>
      <w:r w:rsidR="0077729A">
        <w:rPr>
          <w:rFonts w:ascii="Arial Narrow" w:hAnsi="Arial Narrow"/>
        </w:rPr>
        <w:t>.</w:t>
      </w:r>
      <w:r w:rsidR="00920ABD" w:rsidRPr="00920ABD">
        <w:rPr>
          <w:rStyle w:val="Odkaznapoznmkupodiarou"/>
          <w:rFonts w:ascii="Arial Narrow" w:hAnsi="Arial Narrow"/>
        </w:rPr>
        <w:footnoteReference w:id="74"/>
      </w:r>
      <w:r w:rsidR="00920ABD" w:rsidRPr="00920ABD">
        <w:rPr>
          <w:rFonts w:ascii="Arial Narrow" w:hAnsi="Arial Narrow"/>
        </w:rPr>
        <w:t xml:space="preserve"> </w:t>
      </w:r>
      <w:r w:rsidRPr="00920ABD">
        <w:rPr>
          <w:rFonts w:ascii="Arial Narrow" w:hAnsi="Arial Narrow"/>
          <w:lang w:eastAsia="en-US"/>
        </w:rPr>
        <w:t xml:space="preserve">Napriek tomu, </w:t>
      </w:r>
      <w:r w:rsidR="00CD4C35" w:rsidRPr="00920ABD">
        <w:rPr>
          <w:rFonts w:ascii="Arial Narrow" w:hAnsi="Arial Narrow"/>
          <w:lang w:eastAsia="en-US"/>
        </w:rPr>
        <w:t xml:space="preserve">ľudia z MRK </w:t>
      </w:r>
      <w:r w:rsidRPr="00920ABD">
        <w:rPr>
          <w:rFonts w:ascii="Arial Narrow" w:hAnsi="Arial Narrow"/>
          <w:lang w:eastAsia="en-US"/>
        </w:rPr>
        <w:t>čelia výraznej miere chudoby. Miera rizika chud</w:t>
      </w:r>
      <w:r w:rsidRPr="004C54B9">
        <w:rPr>
          <w:rFonts w:ascii="Arial Narrow" w:hAnsi="Arial Narrow"/>
          <w:lang w:eastAsia="en-US"/>
        </w:rPr>
        <w:t>oby presahuje pre túto populáciu 80 %</w:t>
      </w:r>
      <w:r w:rsidRPr="004C54B9">
        <w:rPr>
          <w:rStyle w:val="Odkaznapoznmkupodiarou"/>
          <w:rFonts w:ascii="Arial Narrow" w:hAnsi="Arial Narrow"/>
          <w:lang w:eastAsia="en-US"/>
        </w:rPr>
        <w:footnoteReference w:id="75"/>
      </w:r>
      <w:r w:rsidRPr="004C54B9">
        <w:rPr>
          <w:rFonts w:ascii="Arial Narrow" w:hAnsi="Arial Narrow"/>
          <w:lang w:eastAsia="en-US"/>
        </w:rPr>
        <w:t>. Dieťa z obce s rómskymi koncentrovanými osídleniami má 70 % šancu, že bude  v dospelosti nezamestnané alebo bude zarábať menej ako minimálnu mzdu v nepravidelnom zamestnaní</w:t>
      </w:r>
      <w:r w:rsidRPr="004C54B9">
        <w:rPr>
          <w:rStyle w:val="Odkaznapoznmkupodiarou"/>
          <w:rFonts w:ascii="Arial Narrow" w:hAnsi="Arial Narrow"/>
          <w:lang w:eastAsia="en-US"/>
        </w:rPr>
        <w:footnoteReference w:id="76"/>
      </w:r>
      <w:r w:rsidRPr="004C54B9">
        <w:rPr>
          <w:rFonts w:ascii="Arial Narrow" w:hAnsi="Arial Narrow"/>
          <w:lang w:eastAsia="en-US"/>
        </w:rPr>
        <w:t>.</w:t>
      </w:r>
    </w:p>
    <w:p w14:paraId="79B4BC48" w14:textId="77777777" w:rsidR="00DC54F3" w:rsidRPr="004C54B9" w:rsidRDefault="00DC54F3" w:rsidP="00DC54F3">
      <w:pPr>
        <w:spacing w:after="0" w:line="240" w:lineRule="auto"/>
        <w:jc w:val="both"/>
        <w:rPr>
          <w:rFonts w:ascii="Arial Narrow" w:hAnsi="Arial Narrow"/>
          <w:lang w:eastAsia="en-US"/>
        </w:rPr>
      </w:pPr>
    </w:p>
    <w:p w14:paraId="25A801C1" w14:textId="3203C080" w:rsidR="00FA52E1" w:rsidRDefault="00DC54F3" w:rsidP="00DC54F3">
      <w:pPr>
        <w:spacing w:after="0" w:line="240" w:lineRule="auto"/>
        <w:jc w:val="both"/>
        <w:rPr>
          <w:rFonts w:ascii="Arial Narrow" w:hAnsi="Arial Narrow"/>
          <w:lang w:eastAsia="en-US"/>
        </w:rPr>
      </w:pPr>
      <w:r w:rsidRPr="004C54B9">
        <w:rPr>
          <w:rFonts w:ascii="Arial Narrow" w:hAnsi="Arial Narrow"/>
          <w:b/>
          <w:lang w:eastAsia="en-US"/>
        </w:rPr>
        <w:t>Aj napriek pozitívnemu vývoju na trhu práce, nízka miera zamestnanosti matiek s deťmi z dôvodu rodičovskej dovolenky zostáva jednou z</w:t>
      </w:r>
      <w:r>
        <w:rPr>
          <w:rFonts w:ascii="Arial Narrow" w:hAnsi="Arial Narrow"/>
          <w:b/>
          <w:lang w:eastAsia="en-US"/>
        </w:rPr>
        <w:t xml:space="preserve"> výrazných </w:t>
      </w:r>
      <w:r w:rsidRPr="004C54B9">
        <w:rPr>
          <w:rFonts w:ascii="Arial Narrow" w:hAnsi="Arial Narrow"/>
          <w:b/>
          <w:lang w:eastAsia="en-US"/>
        </w:rPr>
        <w:t>výziev trhu práce.</w:t>
      </w:r>
      <w:r w:rsidRPr="004C54B9">
        <w:rPr>
          <w:rFonts w:ascii="Arial Narrow" w:hAnsi="Arial Narrow"/>
          <w:lang w:eastAsia="en-US"/>
        </w:rPr>
        <w:t xml:space="preserve"> Najväčšie rozdiely v zamestn</w:t>
      </w:r>
      <w:r>
        <w:rPr>
          <w:rFonts w:ascii="Arial Narrow" w:hAnsi="Arial Narrow"/>
          <w:lang w:eastAsia="en-US"/>
        </w:rPr>
        <w:t>anosti</w:t>
      </w:r>
      <w:r w:rsidRPr="004C54B9">
        <w:rPr>
          <w:rFonts w:ascii="Arial Narrow" w:hAnsi="Arial Narrow"/>
          <w:lang w:eastAsia="en-US"/>
        </w:rPr>
        <w:t xml:space="preserve"> žien oproti priemeru EÚ sa týkajú mladších vekových skupín z dôvodu starostlivosti o deti.</w:t>
      </w:r>
      <w:r w:rsidRPr="004C54B9">
        <w:rPr>
          <w:rFonts w:ascii="Arial Narrow" w:hAnsi="Arial Narrow"/>
        </w:rPr>
        <w:t xml:space="preserve"> Rozdiel v miere zamestnanosti medzi pohlaviami vo vekovej kohorte 25 až 29 rokov </w:t>
      </w:r>
      <w:r>
        <w:rPr>
          <w:rFonts w:ascii="Arial Narrow" w:hAnsi="Arial Narrow"/>
        </w:rPr>
        <w:t xml:space="preserve">je oproti priemeru EÚ takmer dva a pol násobne väčší </w:t>
      </w:r>
      <w:r w:rsidRPr="004C54B9">
        <w:rPr>
          <w:rFonts w:ascii="Arial Narrow" w:hAnsi="Arial Narrow"/>
        </w:rPr>
        <w:t xml:space="preserve">(23,7 </w:t>
      </w:r>
      <w:proofErr w:type="spellStart"/>
      <w:r w:rsidRPr="004C54B9">
        <w:rPr>
          <w:rFonts w:ascii="Arial Narrow" w:hAnsi="Arial Narrow"/>
        </w:rPr>
        <w:t>p.b</w:t>
      </w:r>
      <w:proofErr w:type="spellEnd"/>
      <w:r w:rsidRPr="004C54B9">
        <w:rPr>
          <w:rFonts w:ascii="Arial Narrow" w:hAnsi="Arial Narrow"/>
        </w:rPr>
        <w:t xml:space="preserve">. </w:t>
      </w:r>
      <w:r>
        <w:rPr>
          <w:rFonts w:ascii="Arial Narrow" w:hAnsi="Arial Narrow"/>
        </w:rPr>
        <w:t xml:space="preserve">SR </w:t>
      </w:r>
      <w:proofErr w:type="spellStart"/>
      <w:r>
        <w:rPr>
          <w:rFonts w:ascii="Arial Narrow" w:hAnsi="Arial Narrow"/>
        </w:rPr>
        <w:t>vs</w:t>
      </w:r>
      <w:proofErr w:type="spellEnd"/>
      <w:r>
        <w:rPr>
          <w:rFonts w:ascii="Arial Narrow" w:hAnsi="Arial Narrow"/>
        </w:rPr>
        <w:t xml:space="preserve">. </w:t>
      </w:r>
      <w:r w:rsidRPr="004C54B9">
        <w:rPr>
          <w:rFonts w:ascii="Arial Narrow" w:hAnsi="Arial Narrow"/>
        </w:rPr>
        <w:t xml:space="preserve">priemer EÚ </w:t>
      </w:r>
      <w:r>
        <w:rPr>
          <w:rFonts w:ascii="Arial Narrow" w:hAnsi="Arial Narrow"/>
        </w:rPr>
        <w:t xml:space="preserve">s </w:t>
      </w:r>
      <w:r w:rsidRPr="004C54B9">
        <w:rPr>
          <w:rFonts w:ascii="Arial Narrow" w:hAnsi="Arial Narrow"/>
        </w:rPr>
        <w:t xml:space="preserve">10,1 </w:t>
      </w:r>
      <w:proofErr w:type="spellStart"/>
      <w:r w:rsidRPr="004C54B9">
        <w:rPr>
          <w:rFonts w:ascii="Arial Narrow" w:hAnsi="Arial Narrow"/>
        </w:rPr>
        <w:t>p.b</w:t>
      </w:r>
      <w:proofErr w:type="spellEnd"/>
      <w:r w:rsidRPr="004C54B9">
        <w:rPr>
          <w:rFonts w:ascii="Arial Narrow" w:hAnsi="Arial Narrow"/>
        </w:rPr>
        <w:t>.).</w:t>
      </w:r>
      <w:r w:rsidRPr="004C54B9">
        <w:rPr>
          <w:rFonts w:ascii="Arial Narrow" w:hAnsi="Arial Narrow"/>
          <w:lang w:eastAsia="en-US"/>
        </w:rPr>
        <w:t>Vo zvyšku ženskej populácie dosahuje miera zamestnanosti žien na Slovensku rovnakú alebo dokonca vyššiu mieru zamestnanosti ako v EÚ (s výnimkou vekovej skupiny 60 – 64 rokov z dôvodu nižšieho dôchodkového veku).</w:t>
      </w:r>
    </w:p>
    <w:p w14:paraId="6A03E20B" w14:textId="7DD2C37A" w:rsidR="00DC54F3" w:rsidRDefault="00FA52E1" w:rsidP="00FA52E1">
      <w:pPr>
        <w:spacing w:after="0" w:line="240" w:lineRule="auto"/>
        <w:rPr>
          <w:rFonts w:ascii="Arial Narrow" w:hAnsi="Arial Narrow"/>
          <w:lang w:eastAsia="en-US"/>
        </w:rPr>
      </w:pPr>
      <w:r>
        <w:rPr>
          <w:rFonts w:ascii="Arial Narrow" w:hAnsi="Arial Narrow"/>
          <w:lang w:eastAsia="en-US"/>
        </w:rPr>
        <w:br w:type="page"/>
      </w:r>
    </w:p>
    <w:p w14:paraId="39581CA9" w14:textId="77777777" w:rsidR="00DC54F3" w:rsidRPr="004C54B9" w:rsidRDefault="00DC54F3" w:rsidP="00DC54F3">
      <w:pPr>
        <w:spacing w:after="0" w:line="240" w:lineRule="auto"/>
        <w:jc w:val="both"/>
        <w:rPr>
          <w:rFonts w:ascii="Arial Narrow" w:hAnsi="Arial Narrow"/>
        </w:rPr>
      </w:pPr>
      <w:r w:rsidRPr="004C54B9">
        <w:rPr>
          <w:rFonts w:ascii="Arial Narrow" w:hAnsi="Arial Narrow"/>
          <w:lang w:eastAsia="en-US"/>
        </w:rPr>
        <w:lastRenderedPageBreak/>
        <w:t xml:space="preserve"> </w:t>
      </w:r>
    </w:p>
    <w:tbl>
      <w:tblPr>
        <w:tblW w:w="4966"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152"/>
        <w:gridCol w:w="242"/>
        <w:gridCol w:w="4112"/>
      </w:tblGrid>
      <w:tr w:rsidR="00DC54F3" w:rsidRPr="0062680A" w14:paraId="731258E7" w14:textId="77777777" w:rsidTr="00BA7431">
        <w:trPr>
          <w:trHeight w:val="361"/>
          <w:jc w:val="center"/>
        </w:trPr>
        <w:tc>
          <w:tcPr>
            <w:tcW w:w="2441" w:type="pct"/>
            <w:tcBorders>
              <w:top w:val="nil"/>
              <w:left w:val="nil"/>
              <w:bottom w:val="single" w:sz="4" w:space="0" w:color="auto"/>
              <w:right w:val="nil"/>
            </w:tcBorders>
            <w:shd w:val="clear" w:color="auto" w:fill="auto"/>
            <w:vAlign w:val="center"/>
          </w:tcPr>
          <w:p w14:paraId="0450472E" w14:textId="77777777" w:rsidR="00DC54F3" w:rsidRPr="0062680A" w:rsidRDefault="00DC54F3" w:rsidP="00BA7431">
            <w:pPr>
              <w:spacing w:after="0" w:line="240" w:lineRule="auto"/>
              <w:rPr>
                <w:rFonts w:ascii="Arial Narrow" w:hAnsi="Arial Narrow" w:cs="Arial"/>
                <w:b/>
                <w:color w:val="2C9ADC"/>
                <w:sz w:val="20"/>
              </w:rPr>
            </w:pPr>
            <w:bookmarkStart w:id="43" w:name="_Toc4625964"/>
            <w:r w:rsidRPr="0062680A">
              <w:rPr>
                <w:rFonts w:ascii="Arial Narrow" w:hAnsi="Arial Narrow"/>
                <w:b/>
                <w:color w:val="2C9ADC"/>
                <w:sz w:val="20"/>
              </w:rPr>
              <w:t xml:space="preserve">Graf </w:t>
            </w:r>
            <w:r w:rsidRPr="0062680A">
              <w:rPr>
                <w:rFonts w:ascii="Arial Narrow" w:hAnsi="Arial Narrow"/>
                <w:b/>
                <w:color w:val="2C9ADC"/>
                <w:sz w:val="20"/>
              </w:rPr>
              <w:fldChar w:fldCharType="begin"/>
            </w:r>
            <w:r w:rsidRPr="0062680A">
              <w:rPr>
                <w:rFonts w:ascii="Arial Narrow" w:hAnsi="Arial Narrow"/>
                <w:b/>
                <w:color w:val="2C9ADC"/>
                <w:sz w:val="20"/>
              </w:rPr>
              <w:instrText xml:space="preserve"> SEQ GRAF \* ARABIC </w:instrText>
            </w:r>
            <w:r w:rsidRPr="0062680A">
              <w:rPr>
                <w:rFonts w:ascii="Arial Narrow" w:hAnsi="Arial Narrow"/>
                <w:b/>
                <w:color w:val="2C9ADC"/>
                <w:sz w:val="20"/>
              </w:rPr>
              <w:fldChar w:fldCharType="separate"/>
            </w:r>
            <w:r w:rsidR="0020148F">
              <w:rPr>
                <w:rFonts w:ascii="Arial Narrow" w:hAnsi="Arial Narrow"/>
                <w:b/>
                <w:noProof/>
                <w:color w:val="2C9ADC"/>
                <w:sz w:val="20"/>
              </w:rPr>
              <w:t>15</w:t>
            </w:r>
            <w:r w:rsidRPr="0062680A">
              <w:rPr>
                <w:rFonts w:ascii="Arial Narrow" w:hAnsi="Arial Narrow"/>
                <w:b/>
                <w:color w:val="2C9ADC"/>
                <w:sz w:val="20"/>
              </w:rPr>
              <w:fldChar w:fldCharType="end"/>
            </w:r>
            <w:r w:rsidRPr="0062680A">
              <w:rPr>
                <w:rFonts w:ascii="Arial Narrow" w:hAnsi="Arial Narrow"/>
                <w:b/>
                <w:color w:val="2C9ADC"/>
                <w:sz w:val="20"/>
              </w:rPr>
              <w:t>:</w:t>
            </w:r>
            <w:r w:rsidRPr="0062680A">
              <w:rPr>
                <w:rFonts w:ascii="Arial Narrow" w:hAnsi="Arial Narrow"/>
                <w:b/>
                <w:sz w:val="20"/>
              </w:rPr>
              <w:t xml:space="preserve"> </w:t>
            </w:r>
            <w:r w:rsidRPr="0062680A">
              <w:rPr>
                <w:rFonts w:ascii="Arial Narrow" w:hAnsi="Arial Narrow" w:cs="Arial"/>
                <w:b/>
                <w:color w:val="2C9ADC"/>
                <w:sz w:val="20"/>
              </w:rPr>
              <w:t>Miera zamestnanosti žien (%, 2017)</w:t>
            </w:r>
            <w:bookmarkEnd w:id="43"/>
          </w:p>
        </w:tc>
        <w:tc>
          <w:tcPr>
            <w:tcW w:w="142" w:type="pct"/>
            <w:tcBorders>
              <w:top w:val="nil"/>
              <w:left w:val="nil"/>
              <w:bottom w:val="nil"/>
              <w:right w:val="nil"/>
            </w:tcBorders>
            <w:shd w:val="clear" w:color="auto" w:fill="auto"/>
            <w:vAlign w:val="center"/>
          </w:tcPr>
          <w:p w14:paraId="16C763A4" w14:textId="77777777" w:rsidR="00DC54F3" w:rsidRPr="0062680A" w:rsidRDefault="00DC54F3" w:rsidP="00BA7431">
            <w:pPr>
              <w:spacing w:after="0" w:line="240" w:lineRule="auto"/>
              <w:rPr>
                <w:rFonts w:ascii="Arial Narrow" w:hAnsi="Arial Narrow" w:cs="Arial"/>
                <w:b/>
                <w:color w:val="2C9ADC"/>
                <w:sz w:val="20"/>
              </w:rPr>
            </w:pPr>
          </w:p>
        </w:tc>
        <w:tc>
          <w:tcPr>
            <w:tcW w:w="2417" w:type="pct"/>
            <w:tcBorders>
              <w:top w:val="nil"/>
              <w:left w:val="nil"/>
              <w:bottom w:val="single" w:sz="4" w:space="0" w:color="auto"/>
              <w:right w:val="nil"/>
            </w:tcBorders>
            <w:shd w:val="clear" w:color="auto" w:fill="auto"/>
            <w:vAlign w:val="center"/>
          </w:tcPr>
          <w:p w14:paraId="7A463955" w14:textId="7C744787" w:rsidR="00DC54F3" w:rsidRPr="0062680A" w:rsidRDefault="00DC54F3" w:rsidP="00920ABD">
            <w:pPr>
              <w:spacing w:after="0" w:line="240" w:lineRule="auto"/>
              <w:rPr>
                <w:rFonts w:ascii="Arial Narrow" w:hAnsi="Arial Narrow" w:cs="Arial"/>
                <w:b/>
                <w:color w:val="2C9ADC"/>
                <w:sz w:val="20"/>
              </w:rPr>
            </w:pPr>
            <w:bookmarkStart w:id="44" w:name="_Toc4625965"/>
            <w:r w:rsidRPr="0062680A">
              <w:rPr>
                <w:rFonts w:ascii="Arial Narrow" w:hAnsi="Arial Narrow"/>
                <w:b/>
                <w:color w:val="2C9ADC"/>
                <w:sz w:val="20"/>
              </w:rPr>
              <w:t xml:space="preserve">Graf </w:t>
            </w:r>
            <w:r w:rsidRPr="0062680A">
              <w:rPr>
                <w:rFonts w:ascii="Arial Narrow" w:hAnsi="Arial Narrow"/>
                <w:b/>
                <w:color w:val="2C9ADC"/>
                <w:sz w:val="20"/>
              </w:rPr>
              <w:fldChar w:fldCharType="begin"/>
            </w:r>
            <w:r w:rsidRPr="0062680A">
              <w:rPr>
                <w:rFonts w:ascii="Arial Narrow" w:hAnsi="Arial Narrow"/>
                <w:b/>
                <w:color w:val="2C9ADC"/>
                <w:sz w:val="20"/>
              </w:rPr>
              <w:instrText xml:space="preserve"> SEQ GRAF \* ARABIC </w:instrText>
            </w:r>
            <w:r w:rsidRPr="0062680A">
              <w:rPr>
                <w:rFonts w:ascii="Arial Narrow" w:hAnsi="Arial Narrow"/>
                <w:b/>
                <w:color w:val="2C9ADC"/>
                <w:sz w:val="20"/>
              </w:rPr>
              <w:fldChar w:fldCharType="separate"/>
            </w:r>
            <w:r w:rsidR="0020148F">
              <w:rPr>
                <w:rFonts w:ascii="Arial Narrow" w:hAnsi="Arial Narrow"/>
                <w:b/>
                <w:noProof/>
                <w:color w:val="2C9ADC"/>
                <w:sz w:val="20"/>
              </w:rPr>
              <w:t>16</w:t>
            </w:r>
            <w:r w:rsidRPr="0062680A">
              <w:rPr>
                <w:rFonts w:ascii="Arial Narrow" w:hAnsi="Arial Narrow"/>
                <w:b/>
                <w:color w:val="2C9ADC"/>
                <w:sz w:val="20"/>
              </w:rPr>
              <w:fldChar w:fldCharType="end"/>
            </w:r>
            <w:r w:rsidRPr="0062680A">
              <w:rPr>
                <w:rFonts w:ascii="Arial Narrow" w:hAnsi="Arial Narrow"/>
                <w:b/>
                <w:color w:val="2C9ADC"/>
                <w:sz w:val="20"/>
              </w:rPr>
              <w:t>:</w:t>
            </w:r>
            <w:r w:rsidRPr="0062680A">
              <w:rPr>
                <w:rFonts w:ascii="Arial Narrow" w:hAnsi="Arial Narrow"/>
                <w:b/>
                <w:sz w:val="20"/>
              </w:rPr>
              <w:t xml:space="preserve"> </w:t>
            </w:r>
            <w:r w:rsidRPr="0062680A">
              <w:rPr>
                <w:rFonts w:ascii="Arial Narrow" w:hAnsi="Arial Narrow"/>
                <w:b/>
                <w:bCs/>
                <w:color w:val="2C9ADC"/>
                <w:sz w:val="20"/>
              </w:rPr>
              <w:t>Zamestnávanie pracovníkov z</w:t>
            </w:r>
            <w:r w:rsidR="00920ABD">
              <w:rPr>
                <w:rFonts w:ascii="Arial Narrow" w:hAnsi="Arial Narrow"/>
                <w:b/>
                <w:bCs/>
                <w:color w:val="2C9ADC"/>
                <w:sz w:val="20"/>
              </w:rPr>
              <w:t>o zahraničia</w:t>
            </w:r>
            <w:bookmarkEnd w:id="44"/>
          </w:p>
        </w:tc>
      </w:tr>
      <w:tr w:rsidR="00DC54F3" w:rsidRPr="004C54B9" w14:paraId="01E1F2F5" w14:textId="77777777" w:rsidTr="00C67DE2">
        <w:tblPrEx>
          <w:tblCellMar>
            <w:left w:w="108" w:type="dxa"/>
            <w:right w:w="108" w:type="dxa"/>
          </w:tblCellMar>
        </w:tblPrEx>
        <w:trPr>
          <w:trHeight w:val="920"/>
          <w:jc w:val="center"/>
        </w:trPr>
        <w:tc>
          <w:tcPr>
            <w:tcW w:w="2441" w:type="pct"/>
            <w:tcBorders>
              <w:top w:val="single" w:sz="4" w:space="0" w:color="auto"/>
              <w:left w:val="nil"/>
              <w:bottom w:val="single" w:sz="4" w:space="0" w:color="auto"/>
              <w:right w:val="nil"/>
            </w:tcBorders>
            <w:vAlign w:val="center"/>
          </w:tcPr>
          <w:p w14:paraId="21E98CD5" w14:textId="74CFD6CD" w:rsidR="00DC54F3" w:rsidRPr="004C54B9" w:rsidRDefault="00C67DE2" w:rsidP="00BA7431">
            <w:pPr>
              <w:spacing w:before="40" w:after="40" w:line="240" w:lineRule="auto"/>
              <w:rPr>
                <w:rFonts w:ascii="Arial Narrow" w:hAnsi="Arial Narrow" w:cs="Arial"/>
                <w:b/>
              </w:rPr>
            </w:pPr>
            <w:r>
              <w:rPr>
                <w:noProof/>
                <w:lang w:val="en-GB" w:eastAsia="en-GB"/>
              </w:rPr>
              <w:drawing>
                <wp:inline distT="0" distB="0" distL="0" distR="0" wp14:anchorId="64707553" wp14:editId="4B96613D">
                  <wp:extent cx="2527079" cy="2118360"/>
                  <wp:effectExtent l="0" t="0" r="6985"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42" w:type="pct"/>
            <w:tcBorders>
              <w:top w:val="nil"/>
              <w:left w:val="nil"/>
              <w:bottom w:val="nil"/>
              <w:right w:val="nil"/>
            </w:tcBorders>
            <w:vAlign w:val="center"/>
          </w:tcPr>
          <w:p w14:paraId="17CC850C" w14:textId="77777777" w:rsidR="00DC54F3" w:rsidRPr="004C54B9" w:rsidRDefault="00DC54F3" w:rsidP="00BA7431">
            <w:pPr>
              <w:spacing w:before="40" w:after="40" w:line="240" w:lineRule="auto"/>
              <w:jc w:val="center"/>
              <w:rPr>
                <w:rFonts w:ascii="Arial Narrow" w:hAnsi="Arial Narrow" w:cs="Arial"/>
                <w:b/>
              </w:rPr>
            </w:pPr>
          </w:p>
        </w:tc>
        <w:tc>
          <w:tcPr>
            <w:tcW w:w="2417" w:type="pct"/>
            <w:tcBorders>
              <w:top w:val="single" w:sz="4" w:space="0" w:color="auto"/>
              <w:left w:val="nil"/>
              <w:bottom w:val="single" w:sz="4" w:space="0" w:color="auto"/>
              <w:right w:val="nil"/>
            </w:tcBorders>
            <w:vAlign w:val="center"/>
          </w:tcPr>
          <w:p w14:paraId="1C18E3A5" w14:textId="77777777" w:rsidR="00DC54F3" w:rsidRPr="004C54B9" w:rsidRDefault="00DC54F3" w:rsidP="00BA7431">
            <w:pPr>
              <w:spacing w:before="40" w:after="40" w:line="240" w:lineRule="auto"/>
              <w:jc w:val="center"/>
              <w:rPr>
                <w:rFonts w:ascii="Arial Narrow" w:hAnsi="Arial Narrow" w:cs="Arial"/>
                <w:b/>
              </w:rPr>
            </w:pPr>
            <w:r w:rsidRPr="004C54B9">
              <w:rPr>
                <w:rFonts w:ascii="Arial Narrow" w:hAnsi="Arial Narrow"/>
                <w:noProof/>
                <w:lang w:val="en-GB" w:eastAsia="en-GB"/>
              </w:rPr>
              <w:drawing>
                <wp:inline distT="0" distB="0" distL="0" distR="0" wp14:anchorId="3984BFC0" wp14:editId="15AC91DE">
                  <wp:extent cx="2562225" cy="211455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DC54F3" w:rsidRPr="004C54B9" w14:paraId="60DC84EF" w14:textId="77777777" w:rsidTr="00BA7431">
        <w:trPr>
          <w:trHeight w:val="117"/>
          <w:jc w:val="center"/>
        </w:trPr>
        <w:tc>
          <w:tcPr>
            <w:tcW w:w="2441" w:type="pct"/>
            <w:tcBorders>
              <w:top w:val="single" w:sz="4" w:space="0" w:color="auto"/>
              <w:left w:val="nil"/>
              <w:bottom w:val="nil"/>
              <w:right w:val="nil"/>
            </w:tcBorders>
            <w:vAlign w:val="center"/>
          </w:tcPr>
          <w:p w14:paraId="54325574" w14:textId="4B4B5D08" w:rsidR="00DC54F3" w:rsidRPr="007066F5" w:rsidRDefault="00DC54F3" w:rsidP="00BA7431">
            <w:pPr>
              <w:spacing w:after="0" w:line="240" w:lineRule="auto"/>
              <w:jc w:val="right"/>
              <w:rPr>
                <w:rFonts w:ascii="Arial Narrow" w:hAnsi="Arial Narrow" w:cs="Arial"/>
                <w:i/>
                <w:sz w:val="16"/>
              </w:rPr>
            </w:pPr>
            <w:r w:rsidRPr="007066F5">
              <w:rPr>
                <w:rFonts w:ascii="Arial Narrow" w:hAnsi="Arial Narrow" w:cs="Arial"/>
                <w:i/>
                <w:sz w:val="16"/>
              </w:rPr>
              <w:t xml:space="preserve">Zdroj: </w:t>
            </w:r>
            <w:proofErr w:type="spellStart"/>
            <w:r w:rsidRPr="007066F5">
              <w:rPr>
                <w:rFonts w:ascii="Arial Narrow" w:hAnsi="Arial Narrow" w:cs="Arial"/>
                <w:i/>
                <w:sz w:val="16"/>
              </w:rPr>
              <w:t>Eurostat</w:t>
            </w:r>
            <w:proofErr w:type="spellEnd"/>
            <w:r w:rsidR="006E1D4A">
              <w:rPr>
                <w:rFonts w:ascii="Arial Narrow" w:hAnsi="Arial Narrow" w:cs="Arial"/>
                <w:i/>
                <w:sz w:val="16"/>
              </w:rPr>
              <w:t xml:space="preserve"> (</w:t>
            </w:r>
            <w:proofErr w:type="spellStart"/>
            <w:r w:rsidR="006E1D4A" w:rsidRPr="006E1D4A">
              <w:rPr>
                <w:rFonts w:ascii="Arial Narrow" w:hAnsi="Arial Narrow" w:cs="Arial"/>
                <w:i/>
                <w:sz w:val="16"/>
              </w:rPr>
              <w:t>lfsa_ergan</w:t>
            </w:r>
            <w:proofErr w:type="spellEnd"/>
            <w:r w:rsidR="006E1D4A">
              <w:rPr>
                <w:rFonts w:ascii="Arial Narrow" w:hAnsi="Arial Narrow" w:cs="Arial"/>
                <w:i/>
                <w:sz w:val="16"/>
              </w:rPr>
              <w:t>)</w:t>
            </w:r>
            <w:r w:rsidRPr="007066F5">
              <w:rPr>
                <w:rFonts w:ascii="Arial Narrow" w:hAnsi="Arial Narrow" w:cs="Arial"/>
                <w:i/>
                <w:sz w:val="16"/>
              </w:rPr>
              <w:t>, ŠÚ SR</w:t>
            </w:r>
          </w:p>
        </w:tc>
        <w:tc>
          <w:tcPr>
            <w:tcW w:w="142" w:type="pct"/>
            <w:tcBorders>
              <w:top w:val="nil"/>
              <w:left w:val="nil"/>
              <w:bottom w:val="nil"/>
              <w:right w:val="nil"/>
            </w:tcBorders>
            <w:vAlign w:val="center"/>
          </w:tcPr>
          <w:p w14:paraId="2A0522AE" w14:textId="77777777" w:rsidR="00DC54F3" w:rsidRPr="007066F5" w:rsidRDefault="00DC54F3" w:rsidP="00BA7431">
            <w:pPr>
              <w:spacing w:after="0" w:line="240" w:lineRule="auto"/>
              <w:jc w:val="center"/>
              <w:rPr>
                <w:rFonts w:ascii="Arial Narrow" w:hAnsi="Arial Narrow" w:cs="Arial"/>
                <w:i/>
                <w:sz w:val="16"/>
              </w:rPr>
            </w:pPr>
          </w:p>
        </w:tc>
        <w:tc>
          <w:tcPr>
            <w:tcW w:w="2417" w:type="pct"/>
            <w:tcBorders>
              <w:top w:val="single" w:sz="4" w:space="0" w:color="auto"/>
              <w:left w:val="nil"/>
              <w:bottom w:val="nil"/>
              <w:right w:val="nil"/>
            </w:tcBorders>
            <w:vAlign w:val="center"/>
          </w:tcPr>
          <w:p w14:paraId="22102808" w14:textId="6D8BDA0A" w:rsidR="00DC54F3" w:rsidRPr="00920ABD" w:rsidRDefault="00920ABD" w:rsidP="00920ABD">
            <w:pPr>
              <w:spacing w:after="0" w:line="240" w:lineRule="auto"/>
              <w:jc w:val="right"/>
              <w:rPr>
                <w:rFonts w:ascii="Arial Narrow" w:hAnsi="Arial Narrow" w:cs="Arial"/>
                <w:i/>
                <w:sz w:val="16"/>
              </w:rPr>
            </w:pPr>
            <w:r w:rsidRPr="00920ABD">
              <w:rPr>
                <w:rFonts w:ascii="Arial Narrow" w:hAnsi="Arial Narrow" w:cs="Arial"/>
                <w:i/>
                <w:sz w:val="16"/>
              </w:rPr>
              <w:t xml:space="preserve">Poznámka: Údaje obsahujú cudzincov z tretích krajín, EÚ/EHP </w:t>
            </w:r>
            <w:r w:rsidR="00DC54F3" w:rsidRPr="00920ABD">
              <w:rPr>
                <w:rFonts w:ascii="Arial Narrow" w:hAnsi="Arial Narrow" w:cs="Arial"/>
                <w:i/>
                <w:sz w:val="16"/>
              </w:rPr>
              <w:t>Zdroj:  ÚPSVR</w:t>
            </w:r>
          </w:p>
        </w:tc>
      </w:tr>
    </w:tbl>
    <w:p w14:paraId="06E4B05A" w14:textId="77777777" w:rsidR="00DC54F3" w:rsidRPr="004C54B9" w:rsidRDefault="00DC54F3" w:rsidP="00DC54F3">
      <w:pPr>
        <w:spacing w:after="0" w:line="240" w:lineRule="auto"/>
        <w:jc w:val="both"/>
        <w:rPr>
          <w:rFonts w:ascii="Arial Narrow" w:hAnsi="Arial Narrow"/>
        </w:rPr>
      </w:pPr>
    </w:p>
    <w:p w14:paraId="0E4E12E9" w14:textId="77777777" w:rsidR="007066F5" w:rsidRPr="00E432DA" w:rsidRDefault="007066F5" w:rsidP="007066F5">
      <w:pPr>
        <w:spacing w:after="0" w:line="240" w:lineRule="auto"/>
        <w:jc w:val="both"/>
        <w:rPr>
          <w:rFonts w:ascii="Arial Narrow" w:hAnsi="Arial Narrow"/>
        </w:rPr>
      </w:pPr>
      <w:r w:rsidRPr="00E432DA">
        <w:rPr>
          <w:rFonts w:ascii="Arial Narrow" w:hAnsi="Arial Narrow"/>
          <w:b/>
        </w:rPr>
        <w:t>P</w:t>
      </w:r>
      <w:r>
        <w:rPr>
          <w:rFonts w:ascii="Arial Narrow" w:hAnsi="Arial Narrow"/>
          <w:b/>
        </w:rPr>
        <w:t>r</w:t>
      </w:r>
      <w:r w:rsidRPr="00E432DA">
        <w:rPr>
          <w:rFonts w:ascii="Arial Narrow" w:hAnsi="Arial Narrow"/>
          <w:b/>
        </w:rPr>
        <w:t xml:space="preserve">etrvávajúce regionálne rozdiely potvrdzujú rozdiely v miere nezamestnanosti a počte voľných pracovných síl. </w:t>
      </w:r>
      <w:r>
        <w:rPr>
          <w:rFonts w:ascii="Arial Narrow" w:hAnsi="Arial Narrow"/>
        </w:rPr>
        <w:t xml:space="preserve">Kým evidovaná celková miera evidovanej nezamestnanosti (ÚPSVR) začiatkom roka 2019 </w:t>
      </w:r>
    </w:p>
    <w:p w14:paraId="6438408C" w14:textId="77777777" w:rsidR="007066F5" w:rsidRDefault="007066F5" w:rsidP="007066F5">
      <w:pPr>
        <w:spacing w:after="0" w:line="240" w:lineRule="auto"/>
        <w:jc w:val="both"/>
        <w:rPr>
          <w:rFonts w:ascii="Arial Narrow" w:hAnsi="Arial Narrow"/>
        </w:rPr>
      </w:pPr>
      <w:r>
        <w:rPr>
          <w:rFonts w:ascii="Arial Narrow" w:hAnsi="Arial Narrow"/>
        </w:rPr>
        <w:t>dosiahla 5,3 %, v 12 najmenej rozvinutých okresoch</w:t>
      </w:r>
      <w:r>
        <w:rPr>
          <w:rStyle w:val="Odkaznapoznmkupodiarou"/>
          <w:rFonts w:ascii="Arial Narrow" w:hAnsi="Arial Narrow"/>
        </w:rPr>
        <w:footnoteReference w:id="77"/>
      </w:r>
      <w:r>
        <w:rPr>
          <w:rFonts w:ascii="Arial Narrow" w:hAnsi="Arial Narrow"/>
        </w:rPr>
        <w:t xml:space="preserve"> sa stále pohybuje nad 10 %.</w:t>
      </w:r>
      <w:r w:rsidR="00DA2E00">
        <w:rPr>
          <w:rFonts w:ascii="Arial Narrow" w:hAnsi="Arial Narrow"/>
        </w:rPr>
        <w:t xml:space="preserve"> </w:t>
      </w:r>
      <w:r>
        <w:rPr>
          <w:rFonts w:ascii="Arial Narrow" w:hAnsi="Arial Narrow"/>
        </w:rPr>
        <w:t xml:space="preserve">Naopak okresy s najnižšou mierou evidovanej nezamestnanosti na západnom Slovensku vykazujú aj historicky najvyššie čísla voľných pracovných miest (napríklad trnavský, galantský a bratislavské okresy). </w:t>
      </w:r>
    </w:p>
    <w:p w14:paraId="5D1114C6" w14:textId="77777777" w:rsidR="007066F5" w:rsidRDefault="007066F5" w:rsidP="00DC54F3">
      <w:pPr>
        <w:spacing w:after="0" w:line="240" w:lineRule="auto"/>
        <w:jc w:val="both"/>
        <w:rPr>
          <w:rFonts w:ascii="Arial Narrow" w:hAnsi="Arial Narrow"/>
          <w:b/>
        </w:rPr>
      </w:pPr>
    </w:p>
    <w:p w14:paraId="7356C891" w14:textId="77777777" w:rsidR="00DC54F3" w:rsidRDefault="007066F5" w:rsidP="00DC54F3">
      <w:pPr>
        <w:spacing w:after="0" w:line="240" w:lineRule="auto"/>
        <w:jc w:val="both"/>
        <w:rPr>
          <w:rFonts w:ascii="Arial Narrow" w:hAnsi="Arial Narrow"/>
        </w:rPr>
      </w:pPr>
      <w:r>
        <w:rPr>
          <w:rFonts w:ascii="Arial Narrow" w:hAnsi="Arial Narrow"/>
          <w:b/>
        </w:rPr>
        <w:t>Rekordne</w:t>
      </w:r>
      <w:r w:rsidRPr="004C54B9">
        <w:rPr>
          <w:rFonts w:ascii="Arial Narrow" w:hAnsi="Arial Narrow"/>
          <w:b/>
        </w:rPr>
        <w:t xml:space="preserve"> </w:t>
      </w:r>
      <w:r w:rsidR="00DC54F3" w:rsidRPr="004C54B9">
        <w:rPr>
          <w:rFonts w:ascii="Arial Narrow" w:hAnsi="Arial Narrow"/>
          <w:b/>
        </w:rPr>
        <w:t xml:space="preserve">nízke miery nezamestnanosti narážajú na nedostatok kvalifikovaných síl. </w:t>
      </w:r>
      <w:r w:rsidR="00DC54F3" w:rsidRPr="004C54B9">
        <w:rPr>
          <w:rFonts w:ascii="Arial Narrow" w:hAnsi="Arial Narrow"/>
        </w:rPr>
        <w:t xml:space="preserve">Počet zamestnancov pochádzajúcich z tretích krajín vzrástol oproti roku 2013 takmer 5-násobne. Stále však tento počet predstavuje len </w:t>
      </w:r>
      <w:r>
        <w:rPr>
          <w:rFonts w:ascii="Arial Narrow" w:hAnsi="Arial Narrow"/>
        </w:rPr>
        <w:t>2,4</w:t>
      </w:r>
      <w:r w:rsidR="00DC54F3" w:rsidRPr="007066F5">
        <w:rPr>
          <w:rFonts w:ascii="Arial Narrow" w:hAnsi="Arial Narrow"/>
        </w:rPr>
        <w:t xml:space="preserve"> %</w:t>
      </w:r>
      <w:r w:rsidR="00DC54F3" w:rsidRPr="004C54B9">
        <w:rPr>
          <w:rFonts w:ascii="Arial Narrow" w:hAnsi="Arial Narrow"/>
        </w:rPr>
        <w:t xml:space="preserve"> z celkovej pracovnej sily.</w:t>
      </w:r>
      <w:r w:rsidR="00DA2E00">
        <w:rPr>
          <w:rFonts w:ascii="Arial Narrow" w:hAnsi="Arial Narrow"/>
        </w:rPr>
        <w:t xml:space="preserve"> Väčšinu z aktuálne prichádzajúcich cudzincov tvoria manuálni pracovníci, ktorí sa zamestnávajú v okresoch s najnižšou nezamestnanosťou.  </w:t>
      </w:r>
      <w:r w:rsidR="00DC54F3" w:rsidRPr="004C54B9">
        <w:rPr>
          <w:rFonts w:ascii="Arial Narrow" w:hAnsi="Arial Narrow"/>
        </w:rPr>
        <w:t>Znižovanie bariér zamestnávania cudzincov rieši akútny problém nedostatku pracovných síl..</w:t>
      </w:r>
    </w:p>
    <w:p w14:paraId="63595E4E" w14:textId="77777777" w:rsidR="007066F5" w:rsidRDefault="007066F5" w:rsidP="00DC54F3">
      <w:pPr>
        <w:spacing w:after="0" w:line="240" w:lineRule="auto"/>
        <w:jc w:val="both"/>
        <w:rPr>
          <w:rFonts w:ascii="Arial Narrow" w:hAnsi="Arial Narrow"/>
        </w:rPr>
      </w:pPr>
    </w:p>
    <w:p w14:paraId="7683CB72" w14:textId="15CF829A" w:rsidR="007066F5" w:rsidRPr="004C54B9" w:rsidRDefault="007066F5" w:rsidP="00DC54F3">
      <w:pPr>
        <w:spacing w:after="0" w:line="240" w:lineRule="auto"/>
        <w:jc w:val="both"/>
        <w:rPr>
          <w:rFonts w:ascii="Arial Narrow" w:hAnsi="Arial Narrow"/>
        </w:rPr>
      </w:pPr>
      <w:r w:rsidRPr="00CE451F">
        <w:rPr>
          <w:rFonts w:ascii="Arial Narrow" w:hAnsi="Arial Narrow"/>
          <w:b/>
        </w:rPr>
        <w:t xml:space="preserve">V dlhodobom horizonte bude Slovensko čeliť riziku automatizácie pracovných miest spojenej so </w:t>
      </w:r>
      <w:r w:rsidR="00DA2E00" w:rsidRPr="00CE451F">
        <w:rPr>
          <w:rFonts w:ascii="Arial Narrow" w:hAnsi="Arial Narrow"/>
          <w:b/>
        </w:rPr>
        <w:t>starnutím</w:t>
      </w:r>
      <w:r w:rsidRPr="00CE451F">
        <w:rPr>
          <w:rFonts w:ascii="Arial Narrow" w:hAnsi="Arial Narrow"/>
          <w:b/>
        </w:rPr>
        <w:t xml:space="preserve"> obyvateľstva.</w:t>
      </w:r>
      <w:r>
        <w:rPr>
          <w:rFonts w:ascii="Arial Narrow" w:hAnsi="Arial Narrow"/>
        </w:rPr>
        <w:t xml:space="preserve"> OECD odhaduje, že až tretina pracovných miest bude čeliť vysokému riziku automatizácie, čo je najviac spomedzi rozvinutých krajín</w:t>
      </w:r>
      <w:r>
        <w:rPr>
          <w:rStyle w:val="Odkaznapoznmkupodiarou"/>
          <w:rFonts w:ascii="Arial Narrow" w:hAnsi="Arial Narrow"/>
        </w:rPr>
        <w:footnoteReference w:id="78"/>
      </w:r>
      <w:r>
        <w:rPr>
          <w:rFonts w:ascii="Arial Narrow" w:hAnsi="Arial Narrow"/>
        </w:rPr>
        <w:t xml:space="preserve">. </w:t>
      </w:r>
      <w:r w:rsidR="003A5426">
        <w:rPr>
          <w:rFonts w:ascii="Arial Narrow" w:hAnsi="Arial Narrow"/>
        </w:rPr>
        <w:t>Najviac by pritom mali byť ovplyvnené okresy, ktoré v súčasnosti čelia najväčšiemu nedostatku pracovných síl</w:t>
      </w:r>
      <w:r w:rsidR="003A5426">
        <w:rPr>
          <w:rStyle w:val="Odkaznapoznmkupodiarou"/>
          <w:rFonts w:ascii="Arial Narrow" w:hAnsi="Arial Narrow"/>
        </w:rPr>
        <w:footnoteReference w:id="79"/>
      </w:r>
      <w:r w:rsidR="003A5426">
        <w:rPr>
          <w:rFonts w:ascii="Arial Narrow" w:hAnsi="Arial Narrow"/>
        </w:rPr>
        <w:t xml:space="preserve">. </w:t>
      </w:r>
      <w:r w:rsidRPr="004C54B9">
        <w:rPr>
          <w:rFonts w:ascii="Arial Narrow" w:hAnsi="Arial Narrow"/>
        </w:rPr>
        <w:t xml:space="preserve">V dlhodobom horizonte by </w:t>
      </w:r>
      <w:r>
        <w:rPr>
          <w:rFonts w:ascii="Arial Narrow" w:hAnsi="Arial Narrow"/>
        </w:rPr>
        <w:t xml:space="preserve">sa preto </w:t>
      </w:r>
      <w:r w:rsidRPr="004C54B9">
        <w:rPr>
          <w:rFonts w:ascii="Arial Narrow" w:hAnsi="Arial Narrow"/>
        </w:rPr>
        <w:t>ekonomika mala zamerať na zvyšovanie zručností existujúcich alebo budúcich pracovných síl, či tzv. „inteligentnú“ migráciu</w:t>
      </w:r>
      <w:r w:rsidRPr="004C54B9">
        <w:rPr>
          <w:rStyle w:val="Odkaznapoznmkupodiarou"/>
          <w:rFonts w:ascii="Arial Narrow" w:hAnsi="Arial Narrow"/>
        </w:rPr>
        <w:footnoteReference w:id="80"/>
      </w:r>
      <w:r w:rsidR="003A5426">
        <w:rPr>
          <w:rFonts w:ascii="Arial Narrow" w:hAnsi="Arial Narrow"/>
        </w:rPr>
        <w:t>. Tá bude dôležitá špeciálne v kontexte starnutia populácie, keďže</w:t>
      </w:r>
      <w:r w:rsidR="00AD0055">
        <w:rPr>
          <w:rFonts w:ascii="Arial Narrow" w:hAnsi="Arial Narrow"/>
        </w:rPr>
        <w:t xml:space="preserve"> </w:t>
      </w:r>
      <w:r w:rsidR="003A5426">
        <w:rPr>
          <w:rFonts w:ascii="Arial Narrow" w:hAnsi="Arial Narrow"/>
        </w:rPr>
        <w:t>Slovensko patrí k najrýchlejšie starnúcim krajinám v EÚ</w:t>
      </w:r>
      <w:r w:rsidR="003A5426">
        <w:rPr>
          <w:rStyle w:val="Odkaznapoznmkupodiarou"/>
          <w:rFonts w:ascii="Arial Narrow" w:hAnsi="Arial Narrow"/>
        </w:rPr>
        <w:footnoteReference w:id="81"/>
      </w:r>
      <w:r w:rsidR="003A5426">
        <w:rPr>
          <w:rFonts w:ascii="Arial Narrow" w:hAnsi="Arial Narrow"/>
        </w:rPr>
        <w:t>.</w:t>
      </w:r>
    </w:p>
    <w:p w14:paraId="1907A536" w14:textId="77777777" w:rsidR="00DC54F3" w:rsidRPr="004C54B9" w:rsidRDefault="00DC54F3" w:rsidP="00DC54F3">
      <w:pPr>
        <w:spacing w:after="0" w:line="240" w:lineRule="auto"/>
        <w:rPr>
          <w:rFonts w:ascii="Arial Narrow" w:hAnsi="Arial Narrow"/>
        </w:rPr>
      </w:pPr>
    </w:p>
    <w:p w14:paraId="5559D724" w14:textId="77777777" w:rsidR="00DC54F3" w:rsidRPr="00FB4D72" w:rsidRDefault="00DC54F3" w:rsidP="00DC54F3">
      <w:pPr>
        <w:keepNext/>
        <w:keepLines/>
        <w:numPr>
          <w:ilvl w:val="2"/>
          <w:numId w:val="1"/>
        </w:numPr>
        <w:spacing w:before="200" w:after="240" w:line="240" w:lineRule="auto"/>
        <w:ind w:left="720"/>
        <w:jc w:val="both"/>
        <w:outlineLvl w:val="1"/>
        <w:rPr>
          <w:rFonts w:ascii="Arial Narrow" w:eastAsiaTheme="majorEastAsia" w:hAnsi="Arial Narrow" w:cstheme="majorBidi"/>
          <w:b/>
          <w:bCs/>
          <w:color w:val="2C9ADC"/>
          <w:sz w:val="28"/>
        </w:rPr>
      </w:pPr>
      <w:bookmarkStart w:id="45" w:name="_Toc448824646"/>
      <w:bookmarkStart w:id="46" w:name="_Toc480749810"/>
      <w:bookmarkStart w:id="47" w:name="_Toc4766839"/>
      <w:r w:rsidRPr="00FB4D72">
        <w:rPr>
          <w:rFonts w:ascii="Arial Narrow" w:eastAsiaTheme="majorEastAsia" w:hAnsi="Arial Narrow" w:cstheme="majorBidi"/>
          <w:b/>
          <w:bCs/>
          <w:color w:val="2C9ADC"/>
          <w:sz w:val="28"/>
        </w:rPr>
        <w:t>Zamestnanosť</w:t>
      </w:r>
      <w:bookmarkEnd w:id="45"/>
      <w:bookmarkEnd w:id="46"/>
      <w:bookmarkEnd w:id="47"/>
    </w:p>
    <w:p w14:paraId="729F67B4" w14:textId="77777777" w:rsidR="00DC54F3" w:rsidRPr="004C54B9" w:rsidRDefault="00DC54F3" w:rsidP="00DC54F3">
      <w:pPr>
        <w:spacing w:after="0" w:line="240" w:lineRule="auto"/>
        <w:jc w:val="both"/>
        <w:rPr>
          <w:rFonts w:ascii="Arial Narrow" w:hAnsi="Arial Narrow"/>
          <w:b/>
          <w:i/>
          <w:color w:val="000000" w:themeColor="text1"/>
        </w:rPr>
      </w:pPr>
      <w:r w:rsidRPr="004C54B9">
        <w:rPr>
          <w:rFonts w:ascii="Arial Narrow" w:hAnsi="Arial Narrow"/>
          <w:b/>
          <w:i/>
          <w:color w:val="000000" w:themeColor="text1"/>
        </w:rPr>
        <w:t xml:space="preserve">Aktivačné opatrenia pre znevýhodnené skupiny </w:t>
      </w:r>
    </w:p>
    <w:p w14:paraId="685A463F" w14:textId="4E8AABEC" w:rsidR="007066F5" w:rsidRPr="004C54B9" w:rsidRDefault="007066F5" w:rsidP="007066F5">
      <w:pPr>
        <w:spacing w:after="0" w:line="240" w:lineRule="auto"/>
        <w:jc w:val="both"/>
        <w:rPr>
          <w:rFonts w:ascii="Arial Narrow" w:hAnsi="Arial Narrow"/>
          <w:color w:val="000000" w:themeColor="text1"/>
        </w:rPr>
      </w:pPr>
      <w:r w:rsidRPr="0038015D">
        <w:rPr>
          <w:rFonts w:ascii="Arial Narrow" w:hAnsi="Arial Narrow"/>
          <w:b/>
          <w:color w:val="000000" w:themeColor="text1"/>
        </w:rPr>
        <w:t>Napriek zlepšeniam na trhu práce sprevádzaným výraznou</w:t>
      </w:r>
      <w:r w:rsidR="003A5426">
        <w:rPr>
          <w:rFonts w:ascii="Arial Narrow" w:hAnsi="Arial Narrow"/>
          <w:b/>
          <w:color w:val="000000" w:themeColor="text1"/>
        </w:rPr>
        <w:t xml:space="preserve"> </w:t>
      </w:r>
      <w:r w:rsidRPr="0038015D">
        <w:rPr>
          <w:rFonts w:ascii="Arial Narrow" w:hAnsi="Arial Narrow"/>
          <w:b/>
          <w:color w:val="000000" w:themeColor="text1"/>
        </w:rPr>
        <w:t>tvorbou pracovných miest, je pretrvávajúc</w:t>
      </w:r>
      <w:r w:rsidR="00BB0FDF">
        <w:rPr>
          <w:rFonts w:ascii="Arial Narrow" w:hAnsi="Arial Narrow"/>
          <w:b/>
          <w:color w:val="000000" w:themeColor="text1"/>
        </w:rPr>
        <w:t xml:space="preserve">ou výzvou </w:t>
      </w:r>
      <w:r w:rsidRPr="0038015D">
        <w:rPr>
          <w:rFonts w:ascii="Arial Narrow" w:hAnsi="Arial Narrow"/>
          <w:b/>
          <w:color w:val="000000" w:themeColor="text1"/>
        </w:rPr>
        <w:t xml:space="preserve">dlhodobá nezamestnanosť najťažšie </w:t>
      </w:r>
      <w:proofErr w:type="spellStart"/>
      <w:r w:rsidRPr="0038015D">
        <w:rPr>
          <w:rFonts w:ascii="Arial Narrow" w:hAnsi="Arial Narrow"/>
          <w:b/>
          <w:color w:val="000000" w:themeColor="text1"/>
        </w:rPr>
        <w:t>zamestnateľných</w:t>
      </w:r>
      <w:proofErr w:type="spellEnd"/>
      <w:r w:rsidRPr="0038015D">
        <w:rPr>
          <w:rFonts w:ascii="Arial Narrow" w:hAnsi="Arial Narrow"/>
          <w:b/>
          <w:color w:val="000000" w:themeColor="text1"/>
        </w:rPr>
        <w:t xml:space="preserve"> skupín.</w:t>
      </w:r>
      <w:r w:rsidRPr="004C54B9">
        <w:rPr>
          <w:rFonts w:ascii="Arial Narrow" w:hAnsi="Arial Narrow"/>
          <w:color w:val="000000" w:themeColor="text1"/>
        </w:rPr>
        <w:t xml:space="preserve"> Inovujú sa aktivačné opatrenia pre znevýhodnené skupiny. Bude sa pokračovať v implementácii </w:t>
      </w:r>
      <w:r w:rsidRPr="004C54B9">
        <w:rPr>
          <w:rFonts w:ascii="Arial Narrow" w:hAnsi="Arial Narrow"/>
          <w:i/>
          <w:color w:val="000000" w:themeColor="text1"/>
        </w:rPr>
        <w:t>Akčného plánu pre posilnenie integrácie dlhodobo nezamestnaných na trh práce</w:t>
      </w:r>
      <w:r w:rsidR="00920ABD">
        <w:rPr>
          <w:rFonts w:ascii="Arial Narrow" w:hAnsi="Arial Narrow"/>
          <w:i/>
          <w:color w:val="000000" w:themeColor="text1"/>
        </w:rPr>
        <w:t xml:space="preserve"> v SR</w:t>
      </w:r>
      <w:r w:rsidR="0044312A">
        <w:rPr>
          <w:rStyle w:val="Odkaznapoznmkupodiarou"/>
          <w:rFonts w:ascii="Arial Narrow" w:hAnsi="Arial Narrow"/>
          <w:i/>
          <w:color w:val="000000" w:themeColor="text1"/>
        </w:rPr>
        <w:footnoteReference w:id="82"/>
      </w:r>
      <w:r w:rsidRPr="004C54B9">
        <w:rPr>
          <w:rFonts w:ascii="Arial Narrow" w:hAnsi="Arial Narrow"/>
          <w:color w:val="000000" w:themeColor="text1"/>
        </w:rPr>
        <w:t xml:space="preserve">. Týka sa </w:t>
      </w:r>
      <w:r w:rsidR="00920ABD">
        <w:rPr>
          <w:rFonts w:ascii="Arial Narrow" w:hAnsi="Arial Narrow"/>
          <w:color w:val="000000" w:themeColor="text1"/>
        </w:rPr>
        <w:t>znevýhodnených osôb na trhu</w:t>
      </w:r>
      <w:r w:rsidR="00910016">
        <w:rPr>
          <w:rFonts w:ascii="Arial Narrow" w:hAnsi="Arial Narrow"/>
          <w:color w:val="000000" w:themeColor="text1"/>
        </w:rPr>
        <w:t xml:space="preserve"> práce</w:t>
      </w:r>
      <w:r w:rsidR="009B163B">
        <w:rPr>
          <w:rFonts w:ascii="Arial Narrow" w:hAnsi="Arial Narrow"/>
          <w:color w:val="000000" w:themeColor="text1"/>
        </w:rPr>
        <w:t xml:space="preserve">, najmä s nízkou kvalifikáciou, </w:t>
      </w:r>
      <w:r w:rsidRPr="004C54B9">
        <w:rPr>
          <w:rFonts w:ascii="Arial Narrow" w:hAnsi="Arial Narrow"/>
          <w:color w:val="000000" w:themeColor="text1"/>
        </w:rPr>
        <w:t xml:space="preserve">marginalizovaných rómskych komunít a mladých ľudí bez dostatočného vzdelania. Zlepšenie situácie v ich integrácii na trhu práce sa dosiahne komplexným prístupom k </w:t>
      </w:r>
      <w:proofErr w:type="spellStart"/>
      <w:r w:rsidRPr="004C54B9">
        <w:rPr>
          <w:rFonts w:ascii="Arial Narrow" w:hAnsi="Arial Narrow"/>
          <w:color w:val="000000" w:themeColor="text1"/>
        </w:rPr>
        <w:lastRenderedPageBreak/>
        <w:t>personalizovaným</w:t>
      </w:r>
      <w:proofErr w:type="spellEnd"/>
      <w:r w:rsidRPr="004C54B9">
        <w:rPr>
          <w:rFonts w:ascii="Arial Narrow" w:hAnsi="Arial Narrow"/>
          <w:color w:val="000000" w:themeColor="text1"/>
        </w:rPr>
        <w:t xml:space="preserve"> službám poskytovaním špecializovaného poradenstva, bilanciou kompetencií znevýhodnených </w:t>
      </w:r>
      <w:proofErr w:type="spellStart"/>
      <w:r w:rsidR="004F294C">
        <w:rPr>
          <w:rFonts w:ascii="Arial Narrow" w:hAnsi="Arial Narrow"/>
          <w:color w:val="000000" w:themeColor="text1"/>
        </w:rPr>
        <w:t>UoZ</w:t>
      </w:r>
      <w:proofErr w:type="spellEnd"/>
      <w:r w:rsidRPr="004C54B9">
        <w:rPr>
          <w:rFonts w:ascii="Arial Narrow" w:hAnsi="Arial Narrow"/>
          <w:color w:val="000000" w:themeColor="text1"/>
        </w:rPr>
        <w:t>, pokračovaním zavádzania nového systému vytvárania profilov a poskytovaním cielených programov navrhnutých zamestnávateľmi na základe potrieb regionálneho trhu práce</w:t>
      </w:r>
      <w:r>
        <w:rPr>
          <w:rFonts w:ascii="Arial Narrow" w:hAnsi="Arial Narrow"/>
          <w:color w:val="000000" w:themeColor="text1"/>
        </w:rPr>
        <w:t>.</w:t>
      </w:r>
    </w:p>
    <w:p w14:paraId="6A45C16A" w14:textId="77777777" w:rsidR="00DC54F3" w:rsidRPr="004C54B9" w:rsidRDefault="00DC54F3" w:rsidP="00DC54F3">
      <w:pPr>
        <w:spacing w:after="0" w:line="240" w:lineRule="auto"/>
        <w:jc w:val="both"/>
        <w:rPr>
          <w:rFonts w:ascii="Arial Narrow" w:hAnsi="Arial Narrow"/>
          <w:color w:val="000000" w:themeColor="text1"/>
        </w:rPr>
      </w:pPr>
    </w:p>
    <w:p w14:paraId="1119FA3E" w14:textId="77777777" w:rsidR="007066F5" w:rsidRPr="004C54B9" w:rsidRDefault="007066F5" w:rsidP="007066F5">
      <w:pPr>
        <w:spacing w:after="0" w:line="240" w:lineRule="auto"/>
        <w:jc w:val="both"/>
        <w:rPr>
          <w:rFonts w:ascii="Arial Narrow" w:hAnsi="Arial Narrow"/>
          <w:b/>
          <w:i/>
          <w:color w:val="000000" w:themeColor="text1"/>
        </w:rPr>
      </w:pPr>
      <w:r>
        <w:rPr>
          <w:rFonts w:ascii="Arial Narrow" w:hAnsi="Arial Narrow"/>
          <w:b/>
          <w:i/>
          <w:color w:val="000000" w:themeColor="text1"/>
        </w:rPr>
        <w:t>Potreby trhu práce v krátkodobom až strednodobom horizonte</w:t>
      </w:r>
    </w:p>
    <w:p w14:paraId="2CA1E43B" w14:textId="7A7EBE2A" w:rsidR="007066F5" w:rsidRDefault="007066F5" w:rsidP="007066F5">
      <w:pPr>
        <w:spacing w:after="0" w:line="240" w:lineRule="auto"/>
        <w:jc w:val="both"/>
        <w:rPr>
          <w:rFonts w:ascii="Arial Narrow" w:hAnsi="Arial Narrow"/>
          <w:color w:val="000000" w:themeColor="text1"/>
        </w:rPr>
      </w:pPr>
      <w:r w:rsidRPr="0094009E">
        <w:rPr>
          <w:rFonts w:ascii="Arial Narrow" w:hAnsi="Arial Narrow"/>
          <w:b/>
          <w:color w:val="000000" w:themeColor="text1"/>
        </w:rPr>
        <w:t xml:space="preserve">Adaptabilita zamestnancov a podnikov </w:t>
      </w:r>
      <w:r w:rsidR="00437E41">
        <w:rPr>
          <w:rFonts w:ascii="Arial Narrow" w:hAnsi="Arial Narrow"/>
          <w:b/>
          <w:color w:val="000000" w:themeColor="text1"/>
        </w:rPr>
        <w:t>bude predmetom opatrení zameraných na</w:t>
      </w:r>
      <w:r w:rsidRPr="0094009E">
        <w:rPr>
          <w:rFonts w:ascii="Arial Narrow" w:hAnsi="Arial Narrow"/>
          <w:b/>
          <w:color w:val="000000" w:themeColor="text1"/>
        </w:rPr>
        <w:t xml:space="preserve"> oblas</w:t>
      </w:r>
      <w:r w:rsidR="00437E41">
        <w:rPr>
          <w:rFonts w:ascii="Arial Narrow" w:hAnsi="Arial Narrow"/>
          <w:b/>
          <w:color w:val="000000" w:themeColor="text1"/>
        </w:rPr>
        <w:t>ť</w:t>
      </w:r>
      <w:r w:rsidRPr="0094009E">
        <w:rPr>
          <w:rFonts w:ascii="Arial Narrow" w:hAnsi="Arial Narrow"/>
          <w:b/>
          <w:color w:val="000000" w:themeColor="text1"/>
        </w:rPr>
        <w:t xml:space="preserve"> inteligentného priemyslu, </w:t>
      </w:r>
      <w:r w:rsidR="00437E41">
        <w:rPr>
          <w:rFonts w:ascii="Arial Narrow" w:hAnsi="Arial Narrow"/>
          <w:b/>
          <w:color w:val="000000" w:themeColor="text1"/>
        </w:rPr>
        <w:t xml:space="preserve">identifikáciu </w:t>
      </w:r>
      <w:r w:rsidRPr="0094009E">
        <w:rPr>
          <w:rFonts w:ascii="Arial Narrow" w:hAnsi="Arial Narrow"/>
          <w:b/>
          <w:color w:val="000000" w:themeColor="text1"/>
        </w:rPr>
        <w:t>ohrozených profesií a</w:t>
      </w:r>
      <w:r>
        <w:rPr>
          <w:rFonts w:ascii="Arial Narrow" w:hAnsi="Arial Narrow"/>
          <w:b/>
          <w:color w:val="000000" w:themeColor="text1"/>
        </w:rPr>
        <w:t> </w:t>
      </w:r>
      <w:r w:rsidRPr="0094009E">
        <w:rPr>
          <w:rFonts w:ascii="Arial Narrow" w:hAnsi="Arial Narrow"/>
          <w:b/>
          <w:color w:val="000000" w:themeColor="text1"/>
        </w:rPr>
        <w:t>regiónov.</w:t>
      </w:r>
      <w:r w:rsidRPr="004C54B9">
        <w:rPr>
          <w:rFonts w:ascii="Arial Narrow" w:hAnsi="Arial Narrow"/>
          <w:color w:val="000000" w:themeColor="text1"/>
        </w:rPr>
        <w:t xml:space="preserve"> </w:t>
      </w:r>
      <w:r>
        <w:rPr>
          <w:rFonts w:ascii="Arial Narrow" w:hAnsi="Arial Narrow"/>
          <w:color w:val="000000" w:themeColor="text1"/>
        </w:rPr>
        <w:t>P</w:t>
      </w:r>
      <w:r w:rsidRPr="004C54B9">
        <w:rPr>
          <w:rFonts w:ascii="Arial Narrow" w:hAnsi="Arial Narrow"/>
          <w:color w:val="000000" w:themeColor="text1"/>
        </w:rPr>
        <w:t>ríklad</w:t>
      </w:r>
      <w:r>
        <w:rPr>
          <w:rFonts w:ascii="Arial Narrow" w:hAnsi="Arial Narrow"/>
          <w:color w:val="000000" w:themeColor="text1"/>
        </w:rPr>
        <w:t>om je</w:t>
      </w:r>
      <w:r w:rsidRPr="004C54B9">
        <w:rPr>
          <w:rFonts w:ascii="Arial Narrow" w:hAnsi="Arial Narrow"/>
          <w:color w:val="000000" w:themeColor="text1"/>
        </w:rPr>
        <w:t xml:space="preserve"> región Horná Nitra v dôsledku útlmu ťažby hnedého uhlia. </w:t>
      </w:r>
      <w:r>
        <w:rPr>
          <w:rFonts w:ascii="Arial Narrow" w:hAnsi="Arial Narrow"/>
          <w:color w:val="000000" w:themeColor="text1"/>
        </w:rPr>
        <w:t>Spustí sa</w:t>
      </w:r>
      <w:r w:rsidRPr="004C54B9">
        <w:rPr>
          <w:rFonts w:ascii="Arial Narrow" w:hAnsi="Arial Narrow"/>
          <w:color w:val="000000" w:themeColor="text1"/>
        </w:rPr>
        <w:t xml:space="preserve"> </w:t>
      </w:r>
      <w:r w:rsidR="00437E41">
        <w:rPr>
          <w:rFonts w:ascii="Arial Narrow" w:hAnsi="Arial Narrow"/>
          <w:color w:val="000000" w:themeColor="text1"/>
        </w:rPr>
        <w:t xml:space="preserve">preto </w:t>
      </w:r>
      <w:r w:rsidRPr="004C54B9">
        <w:rPr>
          <w:rFonts w:ascii="Arial Narrow" w:hAnsi="Arial Narrow"/>
          <w:color w:val="000000" w:themeColor="text1"/>
        </w:rPr>
        <w:t>národn</w:t>
      </w:r>
      <w:r>
        <w:rPr>
          <w:rFonts w:ascii="Arial Narrow" w:hAnsi="Arial Narrow"/>
          <w:color w:val="000000" w:themeColor="text1"/>
        </w:rPr>
        <w:t>ý</w:t>
      </w:r>
      <w:r w:rsidRPr="004C54B9">
        <w:rPr>
          <w:rFonts w:ascii="Arial Narrow" w:hAnsi="Arial Narrow"/>
          <w:color w:val="000000" w:themeColor="text1"/>
        </w:rPr>
        <w:t xml:space="preserve"> projekt </w:t>
      </w:r>
      <w:r w:rsidRPr="004C54B9">
        <w:rPr>
          <w:rFonts w:ascii="Arial Narrow" w:hAnsi="Arial Narrow"/>
          <w:i/>
          <w:color w:val="000000" w:themeColor="text1"/>
        </w:rPr>
        <w:t>Sektorovo riadenými inováciami k efektívnemu trhu práce v</w:t>
      </w:r>
      <w:r>
        <w:rPr>
          <w:rFonts w:ascii="Arial Narrow" w:hAnsi="Arial Narrow"/>
          <w:i/>
          <w:color w:val="000000" w:themeColor="text1"/>
        </w:rPr>
        <w:t> </w:t>
      </w:r>
      <w:r w:rsidRPr="004C54B9">
        <w:rPr>
          <w:rFonts w:ascii="Arial Narrow" w:hAnsi="Arial Narrow"/>
          <w:i/>
          <w:color w:val="000000" w:themeColor="text1"/>
        </w:rPr>
        <w:t>SR</w:t>
      </w:r>
      <w:r>
        <w:rPr>
          <w:rFonts w:ascii="Arial Narrow" w:hAnsi="Arial Narrow"/>
          <w:color w:val="000000" w:themeColor="text1"/>
        </w:rPr>
        <w:t>, ktorý</w:t>
      </w:r>
      <w:r w:rsidR="009B163B">
        <w:rPr>
          <w:rFonts w:ascii="Arial Narrow" w:hAnsi="Arial Narrow"/>
          <w:color w:val="000000" w:themeColor="text1"/>
        </w:rPr>
        <w:t xml:space="preserve"> </w:t>
      </w:r>
      <w:r w:rsidR="009B163B" w:rsidRPr="001E6F91">
        <w:rPr>
          <w:rFonts w:ascii="Arial Narrow" w:hAnsi="Arial Narrow"/>
          <w:color w:val="000000" w:themeColor="text1"/>
        </w:rPr>
        <w:t>zlepší predvídanie potrieb v oblasti zručností a zamestnaní,</w:t>
      </w:r>
      <w:r w:rsidR="009B163B">
        <w:rPr>
          <w:rFonts w:ascii="Arial Narrow" w:hAnsi="Arial Narrow"/>
          <w:color w:val="000000" w:themeColor="text1"/>
        </w:rPr>
        <w:t xml:space="preserve"> </w:t>
      </w:r>
      <w:r>
        <w:rPr>
          <w:rFonts w:ascii="Arial Narrow" w:hAnsi="Arial Narrow"/>
          <w:color w:val="000000" w:themeColor="text1"/>
        </w:rPr>
        <w:t xml:space="preserve"> zvýši kvalitu a kapacity verejných služieb zamestnanosti</w:t>
      </w:r>
      <w:r w:rsidR="009B163B">
        <w:rPr>
          <w:rFonts w:ascii="Arial Narrow" w:hAnsi="Arial Narrow"/>
          <w:color w:val="000000" w:themeColor="text1"/>
        </w:rPr>
        <w:t xml:space="preserve"> </w:t>
      </w:r>
      <w:r w:rsidR="009B163B" w:rsidRPr="001E6F91">
        <w:rPr>
          <w:rFonts w:ascii="Arial Narrow" w:hAnsi="Arial Narrow"/>
          <w:color w:val="000000" w:themeColor="text1"/>
        </w:rPr>
        <w:t xml:space="preserve">a najmä zintenzívni spoločné úsilie aktérov na dosiahnutie súladu </w:t>
      </w:r>
      <w:r w:rsidR="009B163B">
        <w:rPr>
          <w:rFonts w:ascii="Arial Narrow" w:hAnsi="Arial Narrow"/>
          <w:color w:val="000000" w:themeColor="text1"/>
        </w:rPr>
        <w:t>ponuky a dopytu na trhu práce</w:t>
      </w:r>
      <w:r>
        <w:rPr>
          <w:rFonts w:ascii="Arial Narrow" w:hAnsi="Arial Narrow"/>
          <w:color w:val="000000" w:themeColor="text1"/>
        </w:rPr>
        <w:t>. N</w:t>
      </w:r>
      <w:r w:rsidRPr="004C54B9">
        <w:rPr>
          <w:rFonts w:ascii="Arial Narrow" w:hAnsi="Arial Narrow"/>
          <w:color w:val="000000" w:themeColor="text1"/>
        </w:rPr>
        <w:t>árod</w:t>
      </w:r>
      <w:r>
        <w:rPr>
          <w:rFonts w:ascii="Arial Narrow" w:hAnsi="Arial Narrow"/>
          <w:color w:val="000000" w:themeColor="text1"/>
        </w:rPr>
        <w:t>ný</w:t>
      </w:r>
      <w:r w:rsidRPr="004C54B9">
        <w:rPr>
          <w:rFonts w:ascii="Arial Narrow" w:hAnsi="Arial Narrow"/>
          <w:color w:val="000000" w:themeColor="text1"/>
        </w:rPr>
        <w:t xml:space="preserve"> projekt </w:t>
      </w:r>
      <w:r w:rsidRPr="004C54B9">
        <w:rPr>
          <w:rFonts w:ascii="Arial Narrow" w:hAnsi="Arial Narrow"/>
          <w:i/>
          <w:color w:val="000000" w:themeColor="text1"/>
        </w:rPr>
        <w:t>Prognózy vývoja na trhu práce v</w:t>
      </w:r>
      <w:r>
        <w:rPr>
          <w:rFonts w:ascii="Arial Narrow" w:hAnsi="Arial Narrow"/>
          <w:i/>
          <w:color w:val="000000" w:themeColor="text1"/>
        </w:rPr>
        <w:t> </w:t>
      </w:r>
      <w:r w:rsidRPr="004C54B9">
        <w:rPr>
          <w:rFonts w:ascii="Arial Narrow" w:hAnsi="Arial Narrow"/>
          <w:i/>
          <w:color w:val="000000" w:themeColor="text1"/>
        </w:rPr>
        <w:t>SR</w:t>
      </w:r>
      <w:r>
        <w:rPr>
          <w:rStyle w:val="Odkaznapoznmkupodiarou"/>
          <w:rFonts w:ascii="Arial Narrow" w:hAnsi="Arial Narrow"/>
          <w:i/>
          <w:color w:val="000000" w:themeColor="text1"/>
        </w:rPr>
        <w:footnoteReference w:id="83"/>
      </w:r>
      <w:r>
        <w:rPr>
          <w:rFonts w:ascii="Arial Narrow" w:hAnsi="Arial Narrow"/>
          <w:color w:val="000000" w:themeColor="text1"/>
        </w:rPr>
        <w:t xml:space="preserve"> sa zameriava </w:t>
      </w:r>
      <w:r w:rsidR="00437E41">
        <w:rPr>
          <w:rFonts w:ascii="Arial Narrow" w:hAnsi="Arial Narrow"/>
          <w:color w:val="000000" w:themeColor="text1"/>
        </w:rPr>
        <w:t xml:space="preserve">na </w:t>
      </w:r>
      <w:r>
        <w:rPr>
          <w:rFonts w:ascii="Arial Narrow" w:hAnsi="Arial Narrow"/>
          <w:color w:val="000000" w:themeColor="text1"/>
        </w:rPr>
        <w:t>hodnotenie uplatniteľnosti absolventov a krátkodobé a strednodobé prognózy trhu práce. Identifikujú sa vznikajúce a zanikajúce pracovné</w:t>
      </w:r>
      <w:r w:rsidRPr="004C54B9">
        <w:rPr>
          <w:rFonts w:ascii="Arial Narrow" w:hAnsi="Arial Narrow"/>
          <w:color w:val="000000" w:themeColor="text1"/>
        </w:rPr>
        <w:t xml:space="preserve"> miest</w:t>
      </w:r>
      <w:r>
        <w:rPr>
          <w:rFonts w:ascii="Arial Narrow" w:hAnsi="Arial Narrow"/>
          <w:color w:val="000000" w:themeColor="text1"/>
        </w:rPr>
        <w:t xml:space="preserve">a vrátane </w:t>
      </w:r>
      <w:r w:rsidRPr="004C54B9">
        <w:rPr>
          <w:rFonts w:ascii="Arial Narrow" w:hAnsi="Arial Narrow"/>
          <w:color w:val="000000" w:themeColor="text1"/>
        </w:rPr>
        <w:t xml:space="preserve">potreby kvalifikovanej pracovnej sily </w:t>
      </w:r>
      <w:r>
        <w:rPr>
          <w:rFonts w:ascii="Arial Narrow" w:hAnsi="Arial Narrow"/>
          <w:color w:val="000000" w:themeColor="text1"/>
        </w:rPr>
        <w:t>na Slovensku</w:t>
      </w:r>
      <w:r w:rsidR="00437E41">
        <w:rPr>
          <w:rFonts w:ascii="Arial Narrow" w:hAnsi="Arial Narrow"/>
          <w:color w:val="000000" w:themeColor="text1"/>
        </w:rPr>
        <w:t xml:space="preserve">. </w:t>
      </w:r>
      <w:r w:rsidR="00437E41" w:rsidRPr="00343AE8">
        <w:rPr>
          <w:rFonts w:ascii="Arial Narrow" w:hAnsi="Arial Narrow"/>
          <w:color w:val="000000" w:themeColor="text1"/>
        </w:rPr>
        <w:t>Na dlhodobý horizont potrieb trhu práce</w:t>
      </w:r>
      <w:r w:rsidR="00437E41">
        <w:rPr>
          <w:rFonts w:ascii="Arial Narrow" w:hAnsi="Arial Narrow"/>
          <w:color w:val="000000" w:themeColor="text1"/>
        </w:rPr>
        <w:t xml:space="preserve"> </w:t>
      </w:r>
      <w:r w:rsidR="00437E41" w:rsidRPr="00343AE8">
        <w:rPr>
          <w:rFonts w:ascii="Arial Narrow" w:hAnsi="Arial Narrow"/>
          <w:color w:val="000000" w:themeColor="text1"/>
        </w:rPr>
        <w:t xml:space="preserve">sa pozerá </w:t>
      </w:r>
      <w:r w:rsidR="00437E41" w:rsidRPr="00343AE8">
        <w:rPr>
          <w:rFonts w:ascii="Arial Narrow" w:hAnsi="Arial Narrow"/>
        </w:rPr>
        <w:t xml:space="preserve">projekt OECD </w:t>
      </w:r>
      <w:r w:rsidR="00437E41" w:rsidRPr="00343AE8">
        <w:rPr>
          <w:rFonts w:ascii="Arial Narrow" w:hAnsi="Arial Narrow"/>
          <w:i/>
        </w:rPr>
        <w:t>Národná stratégia zručností pre Slovenskú republiku</w:t>
      </w:r>
      <w:r w:rsidR="00437E41" w:rsidRPr="00343AE8">
        <w:rPr>
          <w:rFonts w:ascii="Arial Narrow" w:hAnsi="Arial Narrow"/>
        </w:rPr>
        <w:t xml:space="preserve"> v spolupráci s</w:t>
      </w:r>
      <w:r w:rsidR="00437E41">
        <w:rPr>
          <w:rFonts w:ascii="Arial Narrow" w:hAnsi="Arial Narrow"/>
        </w:rPr>
        <w:t xml:space="preserve"> rezortom školstva a s kľúčovými </w:t>
      </w:r>
      <w:r w:rsidR="009B163B">
        <w:rPr>
          <w:rFonts w:ascii="Arial Narrow" w:hAnsi="Arial Narrow"/>
        </w:rPr>
        <w:t>aktérmi</w:t>
      </w:r>
      <w:r w:rsidR="00910016">
        <w:rPr>
          <w:rFonts w:ascii="Arial Narrow" w:hAnsi="Arial Narrow"/>
        </w:rPr>
        <w:t xml:space="preserve">. </w:t>
      </w:r>
      <w:r w:rsidR="00437E41">
        <w:rPr>
          <w:rFonts w:ascii="Arial Narrow" w:hAnsi="Arial Narrow"/>
        </w:rPr>
        <w:t>Výsledkom bude návrh odporúčaní pre systém zručností.</w:t>
      </w:r>
      <w:r w:rsidR="00437E41">
        <w:rPr>
          <w:rFonts w:ascii="Arial Narrow" w:hAnsi="Arial Narrow"/>
          <w:color w:val="000000" w:themeColor="text1"/>
        </w:rPr>
        <w:t xml:space="preserve"> </w:t>
      </w:r>
      <w:r w:rsidRPr="004C54B9" w:rsidDel="007452D6">
        <w:rPr>
          <w:rFonts w:ascii="Arial Narrow" w:hAnsi="Arial Narrow"/>
          <w:color w:val="000000" w:themeColor="text1"/>
        </w:rPr>
        <w:t xml:space="preserve"> </w:t>
      </w:r>
    </w:p>
    <w:p w14:paraId="5EA3AA32" w14:textId="77777777" w:rsidR="00BF3225" w:rsidRDefault="00BF3225" w:rsidP="007066F5">
      <w:pPr>
        <w:spacing w:after="0" w:line="240" w:lineRule="auto"/>
        <w:jc w:val="both"/>
        <w:rPr>
          <w:rFonts w:ascii="Arial Narrow" w:hAnsi="Arial Narrow"/>
          <w:color w:val="000000" w:themeColor="text1"/>
        </w:rPr>
      </w:pPr>
    </w:p>
    <w:p w14:paraId="409055DC" w14:textId="77777777" w:rsidR="00BF3225" w:rsidRPr="004C54B9" w:rsidRDefault="00BF3225" w:rsidP="00BF3225">
      <w:pPr>
        <w:spacing w:after="0" w:line="240" w:lineRule="auto"/>
        <w:jc w:val="both"/>
        <w:rPr>
          <w:rFonts w:ascii="Arial Narrow" w:hAnsi="Arial Narrow"/>
          <w:b/>
          <w:i/>
          <w:color w:val="000000" w:themeColor="text1"/>
        </w:rPr>
      </w:pPr>
      <w:r w:rsidRPr="004C54B9">
        <w:rPr>
          <w:rFonts w:ascii="Arial Narrow" w:hAnsi="Arial Narrow"/>
          <w:b/>
          <w:i/>
          <w:color w:val="000000" w:themeColor="text1"/>
        </w:rPr>
        <w:t>Zosúladenie rodinného a pracovného života</w:t>
      </w:r>
    </w:p>
    <w:p w14:paraId="7C3AB42E" w14:textId="4DDB66C2" w:rsidR="00BF3225" w:rsidRDefault="00BF3225" w:rsidP="00BF3225">
      <w:pPr>
        <w:spacing w:after="0" w:line="240" w:lineRule="auto"/>
        <w:jc w:val="both"/>
        <w:rPr>
          <w:rFonts w:ascii="Arial Narrow" w:hAnsi="Arial Narrow"/>
          <w:color w:val="000000" w:themeColor="text1"/>
        </w:rPr>
      </w:pPr>
      <w:r w:rsidRPr="00E20648">
        <w:rPr>
          <w:rFonts w:ascii="Arial Narrow" w:hAnsi="Arial Narrow"/>
          <w:b/>
          <w:color w:val="000000" w:themeColor="text1"/>
        </w:rPr>
        <w:t xml:space="preserve">V súvislosti s rozvojom a dostupnosťou zariadení pre starostlivosť o deti do </w:t>
      </w:r>
      <w:r w:rsidR="00910016">
        <w:rPr>
          <w:rFonts w:ascii="Arial Narrow" w:hAnsi="Arial Narrow"/>
          <w:b/>
          <w:color w:val="000000" w:themeColor="text1"/>
        </w:rPr>
        <w:t>troch</w:t>
      </w:r>
      <w:r w:rsidRPr="00E20648">
        <w:rPr>
          <w:rFonts w:ascii="Arial Narrow" w:hAnsi="Arial Narrow"/>
          <w:b/>
          <w:color w:val="000000" w:themeColor="text1"/>
        </w:rPr>
        <w:t xml:space="preserve"> rokov sa spustia viaceré podporné projekty</w:t>
      </w:r>
      <w:r>
        <w:rPr>
          <w:rFonts w:ascii="Arial Narrow" w:hAnsi="Arial Narrow"/>
          <w:b/>
          <w:color w:val="000000" w:themeColor="text1"/>
        </w:rPr>
        <w:t xml:space="preserve">. </w:t>
      </w:r>
      <w:r w:rsidRPr="004C54B9">
        <w:rPr>
          <w:rFonts w:ascii="Arial Narrow" w:hAnsi="Arial Narrow"/>
          <w:color w:val="000000" w:themeColor="text1"/>
        </w:rPr>
        <w:t xml:space="preserve"> </w:t>
      </w:r>
      <w:r w:rsidRPr="00E20648">
        <w:rPr>
          <w:rFonts w:ascii="Arial Narrow" w:hAnsi="Arial Narrow"/>
          <w:color w:val="000000" w:themeColor="text1"/>
        </w:rPr>
        <w:t xml:space="preserve">Umožní sa zvyšovanie alebo získanie kvalifikácie pre opatrovateľov, ktorí nespĺňajú zákonom stanovené podmienky pre výkon tejto činnosti, ako aj podpora vzdelávacích aktivít. Vyhlásenie výzvy je plánované v priebehu roka 2019. Pre zvýšenie zamestnanosti osôb s rodičovskými povinnosťami, najmä žien, ako aj osamelých rodičov starajúcich sa aspoň o jedno dieťa, sa podporia flexibilné formy zamestnávania. Predpokladaný počet podporených predstavuje </w:t>
      </w:r>
      <w:r>
        <w:rPr>
          <w:rFonts w:ascii="Arial Narrow" w:hAnsi="Arial Narrow"/>
          <w:color w:val="000000" w:themeColor="text1"/>
        </w:rPr>
        <w:t xml:space="preserve">tisíc </w:t>
      </w:r>
      <w:proofErr w:type="spellStart"/>
      <w:r w:rsidRPr="00E20648">
        <w:rPr>
          <w:rFonts w:ascii="Arial Narrow" w:hAnsi="Arial Narrow"/>
          <w:color w:val="000000" w:themeColor="text1"/>
        </w:rPr>
        <w:t>UoZ</w:t>
      </w:r>
      <w:proofErr w:type="spellEnd"/>
      <w:r w:rsidRPr="00E20648">
        <w:rPr>
          <w:rFonts w:ascii="Arial Narrow" w:hAnsi="Arial Narrow"/>
          <w:color w:val="000000" w:themeColor="text1"/>
        </w:rPr>
        <w:t xml:space="preserve"> s finančnou alokáciou 11 mil. eur.</w:t>
      </w:r>
    </w:p>
    <w:p w14:paraId="59BD7EC1" w14:textId="77777777" w:rsidR="007066F5" w:rsidRDefault="007066F5" w:rsidP="00DC54F3">
      <w:pPr>
        <w:spacing w:after="0" w:line="240" w:lineRule="auto"/>
        <w:jc w:val="both"/>
        <w:rPr>
          <w:rFonts w:ascii="Arial Narrow" w:hAnsi="Arial Narrow"/>
          <w:color w:val="000000" w:themeColor="text1"/>
        </w:rPr>
      </w:pPr>
    </w:p>
    <w:p w14:paraId="55B48B5A" w14:textId="77777777" w:rsidR="007066F5" w:rsidRPr="002F10F7" w:rsidRDefault="007066F5" w:rsidP="007066F5">
      <w:pPr>
        <w:spacing w:after="0" w:line="240" w:lineRule="auto"/>
        <w:rPr>
          <w:rFonts w:ascii="Arial Narrow" w:hAnsi="Arial Narrow"/>
          <w:b/>
          <w:i/>
          <w:color w:val="000000" w:themeColor="text1"/>
        </w:rPr>
      </w:pPr>
      <w:r w:rsidRPr="002F10F7">
        <w:rPr>
          <w:rFonts w:ascii="Arial Narrow" w:hAnsi="Arial Narrow"/>
          <w:b/>
          <w:i/>
          <w:color w:val="000000" w:themeColor="text1"/>
        </w:rPr>
        <w:t>Podpora pracovnej mobility</w:t>
      </w:r>
    </w:p>
    <w:p w14:paraId="302DC126" w14:textId="1CBABBFB" w:rsidR="00872DA0" w:rsidRDefault="006E1DBC" w:rsidP="007066F5">
      <w:pPr>
        <w:spacing w:after="0" w:line="240" w:lineRule="auto"/>
        <w:jc w:val="both"/>
        <w:rPr>
          <w:rFonts w:ascii="Arial Narrow" w:hAnsi="Arial Narrow"/>
          <w:color w:val="000000" w:themeColor="text1"/>
        </w:rPr>
      </w:pPr>
      <w:r w:rsidRPr="00171513">
        <w:rPr>
          <w:rFonts w:ascii="Arial Narrow" w:hAnsi="Arial Narrow"/>
          <w:b/>
        </w:rPr>
        <w:t xml:space="preserve">Viaceré pripravované opatrenia cielia </w:t>
      </w:r>
      <w:r>
        <w:rPr>
          <w:rFonts w:ascii="Arial Narrow" w:hAnsi="Arial Narrow"/>
          <w:b/>
        </w:rPr>
        <w:t xml:space="preserve">zníženie </w:t>
      </w:r>
      <w:r w:rsidRPr="00171513">
        <w:rPr>
          <w:rFonts w:ascii="Arial Narrow" w:hAnsi="Arial Narrow"/>
          <w:b/>
        </w:rPr>
        <w:t>bariér mobility pracovnej sily na Slovensku.</w:t>
      </w:r>
      <w:r>
        <w:rPr>
          <w:rFonts w:ascii="Arial Narrow" w:hAnsi="Arial Narrow"/>
        </w:rPr>
        <w:t xml:space="preserve"> Za účelom zvýšenia</w:t>
      </w:r>
      <w:r w:rsidRPr="002F10F7">
        <w:rPr>
          <w:rFonts w:ascii="Arial Narrow" w:hAnsi="Arial Narrow"/>
        </w:rPr>
        <w:t xml:space="preserve"> mobilit</w:t>
      </w:r>
      <w:r>
        <w:rPr>
          <w:rFonts w:ascii="Arial Narrow" w:hAnsi="Arial Narrow"/>
        </w:rPr>
        <w:t>y</w:t>
      </w:r>
      <w:r w:rsidRPr="002F10F7">
        <w:rPr>
          <w:rFonts w:ascii="Arial Narrow" w:hAnsi="Arial Narrow"/>
        </w:rPr>
        <w:t xml:space="preserve"> pracovnej sily </w:t>
      </w:r>
      <w:r>
        <w:rPr>
          <w:rFonts w:ascii="Arial Narrow" w:hAnsi="Arial Narrow"/>
        </w:rPr>
        <w:t>sa v rámci Štátneho fondu rozvoja bývania zavedie</w:t>
      </w:r>
      <w:r w:rsidRPr="002F10F7">
        <w:rPr>
          <w:rFonts w:ascii="Arial Narrow" w:hAnsi="Arial Narrow"/>
        </w:rPr>
        <w:t xml:space="preserve"> nov</w:t>
      </w:r>
      <w:r>
        <w:rPr>
          <w:rFonts w:ascii="Arial Narrow" w:hAnsi="Arial Narrow"/>
        </w:rPr>
        <w:t>ý</w:t>
      </w:r>
      <w:r w:rsidRPr="002F10F7">
        <w:rPr>
          <w:rFonts w:ascii="Arial Narrow" w:hAnsi="Arial Narrow"/>
        </w:rPr>
        <w:t xml:space="preserve"> účel podpory, ktorým je obstaranie ubytovacieho domu. Ide o budovu s dlhodobým ubytovaním určenú predovšetkým na bývanie pre zamestnancov firiem, ktoré zamestnávajú ľudí aj zo vzdialenejších regiónov Slovenska, resp. zahraničných pracovníkov. </w:t>
      </w:r>
      <w:r>
        <w:rPr>
          <w:rFonts w:ascii="Arial Narrow" w:hAnsi="Arial Narrow"/>
        </w:rPr>
        <w:t xml:space="preserve">S cieľom podpory mobility pracovnej sily sa tiež v daňovej legislatíve od roku 2019 zavádza </w:t>
      </w:r>
      <w:r w:rsidRPr="006504C9">
        <w:rPr>
          <w:rFonts w:ascii="Arial Narrow" w:hAnsi="Arial Narrow"/>
        </w:rPr>
        <w:t>oslobod</w:t>
      </w:r>
      <w:r>
        <w:rPr>
          <w:rFonts w:ascii="Arial Narrow" w:hAnsi="Arial Narrow"/>
        </w:rPr>
        <w:t>enie</w:t>
      </w:r>
      <w:r w:rsidRPr="006504C9">
        <w:rPr>
          <w:rFonts w:ascii="Arial Narrow" w:hAnsi="Arial Narrow"/>
        </w:rPr>
        <w:t xml:space="preserve"> nepeňažného príjmu z dôvodu čiastočnej úhrady nákladov na ubytovanie zo strany </w:t>
      </w:r>
      <w:r>
        <w:rPr>
          <w:rFonts w:ascii="Arial Narrow" w:hAnsi="Arial Narrow"/>
        </w:rPr>
        <w:t>zamestnávateľa do výšky maximálne 60 eur</w:t>
      </w:r>
      <w:r w:rsidRPr="006504C9">
        <w:rPr>
          <w:rFonts w:ascii="Arial Narrow" w:hAnsi="Arial Narrow"/>
        </w:rPr>
        <w:t>.</w:t>
      </w:r>
      <w:r>
        <w:rPr>
          <w:rFonts w:ascii="Arial Narrow" w:hAnsi="Arial Narrow"/>
        </w:rPr>
        <w:t xml:space="preserve"> </w:t>
      </w:r>
      <w:r w:rsidRPr="002F10F7">
        <w:rPr>
          <w:rFonts w:ascii="Arial Narrow" w:hAnsi="Arial Narrow"/>
        </w:rPr>
        <w:t>Zatraktívnenie a zvýšenie záujmu súkromného sektora o oblasť nájomného bývania bude podporené</w:t>
      </w:r>
      <w:r>
        <w:rPr>
          <w:rFonts w:ascii="Arial Narrow" w:hAnsi="Arial Narrow"/>
        </w:rPr>
        <w:t xml:space="preserve"> zvýhodnenými úverovými podmienkami pre  obstaranie tohto typu bývania. </w:t>
      </w:r>
      <w:r>
        <w:rPr>
          <w:rFonts w:ascii="Arial Narrow" w:hAnsi="Arial Narrow"/>
          <w:color w:val="000000" w:themeColor="text1"/>
        </w:rPr>
        <w:t xml:space="preserve">V rámci schválenej </w:t>
      </w:r>
      <w:r>
        <w:rPr>
          <w:rFonts w:ascii="Arial Narrow" w:hAnsi="Arial Narrow"/>
          <w:i/>
          <w:color w:val="000000" w:themeColor="text1"/>
        </w:rPr>
        <w:t>Stratégie</w:t>
      </w:r>
      <w:r w:rsidRPr="00343AE8">
        <w:rPr>
          <w:rFonts w:ascii="Arial Narrow" w:hAnsi="Arial Narrow"/>
          <w:i/>
          <w:color w:val="000000" w:themeColor="text1"/>
        </w:rPr>
        <w:t xml:space="preserve"> pracovnej mobility cudzincov v SR</w:t>
      </w:r>
      <w:r>
        <w:rPr>
          <w:rStyle w:val="Odkaznapoznmkupodiarou"/>
          <w:rFonts w:ascii="Arial Narrow" w:hAnsi="Arial Narrow"/>
          <w:color w:val="000000" w:themeColor="text1"/>
        </w:rPr>
        <w:footnoteReference w:id="84"/>
      </w:r>
      <w:r>
        <w:rPr>
          <w:rFonts w:ascii="Arial Narrow" w:hAnsi="Arial Narrow"/>
          <w:color w:val="000000" w:themeColor="text1"/>
        </w:rPr>
        <w:t xml:space="preserve"> budú zavedené ďalšie opatrenia na zníženie bariér pre zamestnávanie cudzincov, napríklad zjednodušenie uznávania kvalifikácie a vzdelania.</w:t>
      </w:r>
    </w:p>
    <w:tbl>
      <w:tblPr>
        <w:tblStyle w:val="Mriekatabu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tblGrid>
      <w:tr w:rsidR="00872DA0" w:rsidRPr="004C54B9" w14:paraId="727C1490" w14:textId="77777777" w:rsidTr="00BF3225">
        <w:trPr>
          <w:trHeight w:val="4962"/>
        </w:trPr>
        <w:tc>
          <w:tcPr>
            <w:tcW w:w="8554" w:type="dxa"/>
            <w:shd w:val="clear" w:color="auto" w:fill="AAD3F2"/>
          </w:tcPr>
          <w:p w14:paraId="0DB0ED28" w14:textId="77777777" w:rsidR="00872DA0" w:rsidRPr="004C54B9" w:rsidRDefault="00872DA0" w:rsidP="00E76198">
            <w:pPr>
              <w:spacing w:before="120" w:line="240" w:lineRule="auto"/>
              <w:rPr>
                <w:rFonts w:ascii="Arial Narrow" w:hAnsi="Arial Narrow"/>
                <w:b/>
              </w:rPr>
            </w:pPr>
            <w:r>
              <w:rPr>
                <w:rFonts w:ascii="Arial Narrow" w:hAnsi="Arial Narrow"/>
                <w:b/>
              </w:rPr>
              <w:lastRenderedPageBreak/>
              <w:t xml:space="preserve">Box 2: </w:t>
            </w:r>
            <w:r w:rsidRPr="004C54B9">
              <w:rPr>
                <w:rFonts w:ascii="Arial Narrow" w:hAnsi="Arial Narrow"/>
                <w:b/>
              </w:rPr>
              <w:t>Podpora nájomného bývania v kontexte zvýšeni</w:t>
            </w:r>
            <w:r>
              <w:rPr>
                <w:rFonts w:ascii="Arial Narrow" w:hAnsi="Arial Narrow"/>
                <w:b/>
              </w:rPr>
              <w:t>a</w:t>
            </w:r>
            <w:r w:rsidRPr="004C54B9">
              <w:rPr>
                <w:rFonts w:ascii="Arial Narrow" w:hAnsi="Arial Narrow"/>
                <w:b/>
              </w:rPr>
              <w:t xml:space="preserve"> mobility pracovnej sily</w:t>
            </w:r>
          </w:p>
          <w:p w14:paraId="5786CE01" w14:textId="77777777" w:rsidR="00872DA0" w:rsidRPr="004C54B9" w:rsidRDefault="00872DA0" w:rsidP="00E76198">
            <w:pPr>
              <w:spacing w:line="240" w:lineRule="auto"/>
              <w:jc w:val="both"/>
              <w:rPr>
                <w:rFonts w:ascii="Arial Narrow" w:hAnsi="Arial Narrow"/>
              </w:rPr>
            </w:pPr>
            <w:r w:rsidRPr="004C54B9">
              <w:rPr>
                <w:rFonts w:ascii="Arial Narrow" w:hAnsi="Arial Narrow"/>
                <w:b/>
              </w:rPr>
              <w:t>Nezamestnanosť je na Slovensku výrazne regionálne diferencovaná</w:t>
            </w:r>
            <w:r w:rsidRPr="004C54B9">
              <w:rPr>
                <w:rFonts w:ascii="Arial Narrow" w:hAnsi="Arial Narrow"/>
              </w:rPr>
              <w:t xml:space="preserve">. Na Západnom Slovensku sú dnes viditeľné znaky prehrievania pracovného trhu – značné množstvo neobsadených pracovných miest, nízka miera nezamestnanosti, tlak na prílev pracovnej sily zo zahraničia. Na východnom a južnom Slovensku je </w:t>
            </w:r>
            <w:r>
              <w:rPr>
                <w:rFonts w:ascii="Arial Narrow" w:hAnsi="Arial Narrow"/>
              </w:rPr>
              <w:t xml:space="preserve">pritom </w:t>
            </w:r>
            <w:r w:rsidRPr="004C54B9">
              <w:rPr>
                <w:rFonts w:ascii="Arial Narrow" w:hAnsi="Arial Narrow"/>
              </w:rPr>
              <w:t xml:space="preserve">miera nezamestnanosti v niektorých okresoch stále nad 15 %. </w:t>
            </w:r>
            <w:r>
              <w:rPr>
                <w:rFonts w:ascii="Arial Narrow" w:hAnsi="Arial Narrow"/>
              </w:rPr>
              <w:t>Výrazné rozdiely v </w:t>
            </w:r>
            <w:r w:rsidRPr="004C54B9">
              <w:rPr>
                <w:rFonts w:ascii="Arial Narrow" w:hAnsi="Arial Narrow"/>
              </w:rPr>
              <w:t>nezamestnanosti</w:t>
            </w:r>
            <w:r>
              <w:rPr>
                <w:rFonts w:ascii="Arial Narrow" w:hAnsi="Arial Narrow"/>
              </w:rPr>
              <w:t xml:space="preserve"> </w:t>
            </w:r>
            <w:r w:rsidRPr="004C54B9">
              <w:rPr>
                <w:rFonts w:ascii="Arial Narrow" w:hAnsi="Arial Narrow"/>
              </w:rPr>
              <w:t>prispievajú k stále sa prehlbujúcim rozdielom ekonomickej výkonnosti a životnej úrovne medzi regiónmi.</w:t>
            </w:r>
          </w:p>
          <w:p w14:paraId="6999D839" w14:textId="77777777" w:rsidR="00872DA0" w:rsidRPr="004C54B9" w:rsidRDefault="00872DA0" w:rsidP="00E76198">
            <w:pPr>
              <w:spacing w:line="240" w:lineRule="auto"/>
              <w:jc w:val="both"/>
              <w:rPr>
                <w:rFonts w:ascii="Arial Narrow" w:hAnsi="Arial Narrow"/>
                <w:color w:val="000000" w:themeColor="text1"/>
              </w:rPr>
            </w:pPr>
            <w:r w:rsidRPr="004C54B9">
              <w:rPr>
                <w:rFonts w:ascii="Arial Narrow" w:hAnsi="Arial Narrow"/>
                <w:b/>
                <w:color w:val="000000" w:themeColor="text1"/>
              </w:rPr>
              <w:t>Nízka regionálna mobilita zamestnancov je jeden zo zdrojov nedostatočného využitia pracovnej sily</w:t>
            </w:r>
            <w:r w:rsidRPr="004C54B9">
              <w:rPr>
                <w:rFonts w:ascii="Arial Narrow" w:hAnsi="Arial Narrow"/>
                <w:color w:val="000000" w:themeColor="text1"/>
              </w:rPr>
              <w:t xml:space="preserve">. V medzinárodnom porovnaní sa Slováci sťahujú za prácou oveľa menej než v susedných krajinách </w:t>
            </w:r>
            <w:r>
              <w:rPr>
                <w:rFonts w:ascii="Arial Narrow" w:hAnsi="Arial Narrow"/>
                <w:color w:val="000000" w:themeColor="text1"/>
              </w:rPr>
              <w:t>EÚ</w:t>
            </w:r>
            <w:r w:rsidRPr="004C54B9">
              <w:rPr>
                <w:rStyle w:val="Odkaznapoznmkupodiarou"/>
                <w:rFonts w:ascii="Arial Narrow" w:hAnsi="Arial Narrow"/>
                <w:color w:val="000000" w:themeColor="text1"/>
              </w:rPr>
              <w:footnoteReference w:id="85"/>
            </w:r>
            <w:r>
              <w:rPr>
                <w:rFonts w:ascii="Arial Narrow" w:hAnsi="Arial Narrow"/>
                <w:color w:val="000000" w:themeColor="text1"/>
              </w:rPr>
              <w:t xml:space="preserve">. </w:t>
            </w:r>
            <w:r w:rsidRPr="004C54B9">
              <w:rPr>
                <w:rFonts w:ascii="Arial Narrow" w:hAnsi="Arial Narrow"/>
                <w:color w:val="000000" w:themeColor="text1"/>
              </w:rPr>
              <w:t>Flexibilita a mobilita pracovnej sily vedie k jej efektívnejšej alokácii medzi firmami a vytvára ekonomicky aktívnemu obyvateľstvu väčšie možnosti na lepší výber zamestnania.</w:t>
            </w:r>
          </w:p>
          <w:p w14:paraId="4E08F712" w14:textId="7501F7EA" w:rsidR="00872DA0" w:rsidRPr="004C54B9" w:rsidRDefault="00872DA0" w:rsidP="00E76198">
            <w:pPr>
              <w:spacing w:after="0" w:line="240" w:lineRule="auto"/>
              <w:jc w:val="both"/>
              <w:rPr>
                <w:rFonts w:ascii="Arial Narrow" w:hAnsi="Arial Narrow"/>
              </w:rPr>
            </w:pPr>
            <w:r w:rsidRPr="004C54B9">
              <w:rPr>
                <w:rFonts w:ascii="Arial Narrow" w:hAnsi="Arial Narrow"/>
                <w:b/>
                <w:color w:val="000000" w:themeColor="text1"/>
              </w:rPr>
              <w:t>Trh s bývaním je jedným z faktorov vplývajúcich na regionálnu mobilitu pracovnej sily</w:t>
            </w:r>
            <w:r w:rsidRPr="004C54B9">
              <w:rPr>
                <w:rFonts w:ascii="Arial Narrow" w:hAnsi="Arial Narrow"/>
                <w:color w:val="000000" w:themeColor="text1"/>
              </w:rPr>
              <w:t>. Podľa OECD</w:t>
            </w:r>
            <w:r w:rsidRPr="004C54B9">
              <w:rPr>
                <w:rStyle w:val="Odkaznapoznmkupodiarou"/>
                <w:rFonts w:ascii="Arial Narrow" w:hAnsi="Arial Narrow"/>
                <w:color w:val="000000" w:themeColor="text1"/>
              </w:rPr>
              <w:footnoteReference w:id="86"/>
            </w:r>
            <w:r w:rsidRPr="004C54B9">
              <w:rPr>
                <w:rFonts w:ascii="Arial Narrow" w:hAnsi="Arial Narrow"/>
                <w:color w:val="000000" w:themeColor="text1"/>
              </w:rPr>
              <w:t xml:space="preserve"> politiky bývania majú vplyv na celkovú ekonomickú výkonnosť a životný štandard. Ovplyvňujú použitie úspor domácností ako aj mobilitu pracovnej sily. </w:t>
            </w:r>
            <w:r>
              <w:rPr>
                <w:rFonts w:ascii="Arial Narrow" w:hAnsi="Arial Narrow"/>
                <w:color w:val="000000" w:themeColor="text1"/>
              </w:rPr>
              <w:t>V</w:t>
            </w:r>
            <w:r w:rsidRPr="004C54B9">
              <w:rPr>
                <w:rFonts w:ascii="Arial Narrow" w:hAnsi="Arial Narrow"/>
                <w:color w:val="000000" w:themeColor="text1"/>
              </w:rPr>
              <w:t xml:space="preserve">ysoký podiel vlastníckeho bývania </w:t>
            </w:r>
            <w:r>
              <w:rPr>
                <w:rFonts w:ascii="Arial Narrow" w:hAnsi="Arial Narrow"/>
                <w:color w:val="000000" w:themeColor="text1"/>
              </w:rPr>
              <w:t xml:space="preserve">v kombinácii s nedostatočne rozvinutým trhom cenovo dostupného nájomného bývania </w:t>
            </w:r>
            <w:r w:rsidRPr="004C54B9">
              <w:rPr>
                <w:rFonts w:ascii="Arial Narrow" w:hAnsi="Arial Narrow"/>
                <w:color w:val="000000" w:themeColor="text1"/>
              </w:rPr>
              <w:t xml:space="preserve">môže spôsobovať neochotu sťahovania </w:t>
            </w:r>
            <w:r w:rsidR="00910016">
              <w:rPr>
                <w:rFonts w:ascii="Arial Narrow" w:hAnsi="Arial Narrow"/>
                <w:color w:val="000000" w:themeColor="text1"/>
              </w:rPr>
              <w:t xml:space="preserve">sa </w:t>
            </w:r>
            <w:r w:rsidRPr="004C54B9">
              <w:rPr>
                <w:rFonts w:ascii="Arial Narrow" w:hAnsi="Arial Narrow"/>
                <w:color w:val="000000" w:themeColor="text1"/>
              </w:rPr>
              <w:t>za prácou</w:t>
            </w:r>
            <w:r>
              <w:rPr>
                <w:rFonts w:ascii="Arial Narrow" w:hAnsi="Arial Narrow"/>
                <w:color w:val="000000" w:themeColor="text1"/>
              </w:rPr>
              <w:t xml:space="preserve"> a nepriamo tak zvýšiť mieru nezamestnanosti</w:t>
            </w:r>
            <w:r>
              <w:rPr>
                <w:rStyle w:val="Odkaznapoznmkupodiarou"/>
                <w:rFonts w:ascii="Arial Narrow" w:hAnsi="Arial Narrow"/>
                <w:color w:val="000000" w:themeColor="text1"/>
              </w:rPr>
              <w:footnoteReference w:id="87"/>
            </w:r>
            <w:r>
              <w:rPr>
                <w:rFonts w:ascii="Arial Narrow" w:hAnsi="Arial Narrow"/>
                <w:color w:val="000000" w:themeColor="text1"/>
              </w:rPr>
              <w:t>.</w:t>
            </w:r>
          </w:p>
          <w:p w14:paraId="48FB4AC0" w14:textId="77777777" w:rsidR="00872DA0" w:rsidRPr="004C54B9" w:rsidRDefault="00872DA0" w:rsidP="00E76198">
            <w:pPr>
              <w:spacing w:after="0" w:line="240" w:lineRule="auto"/>
              <w:jc w:val="both"/>
              <w:rPr>
                <w:rFonts w:ascii="Arial Narrow" w:hAnsi="Arial Narrow"/>
                <w:b/>
              </w:rPr>
            </w:pPr>
          </w:p>
          <w:p w14:paraId="6B6F8017" w14:textId="77777777" w:rsidR="00872DA0" w:rsidRPr="004C54B9" w:rsidRDefault="00872DA0" w:rsidP="00E76198">
            <w:pPr>
              <w:spacing w:after="0" w:line="240" w:lineRule="auto"/>
              <w:jc w:val="both"/>
              <w:rPr>
                <w:rFonts w:ascii="Arial Narrow" w:hAnsi="Arial Narrow"/>
              </w:rPr>
            </w:pPr>
            <w:r w:rsidRPr="004C54B9">
              <w:rPr>
                <w:rFonts w:ascii="Arial Narrow" w:hAnsi="Arial Narrow"/>
                <w:b/>
              </w:rPr>
              <w:t xml:space="preserve">Slovensko </w:t>
            </w:r>
            <w:r>
              <w:rPr>
                <w:rFonts w:ascii="Arial Narrow" w:hAnsi="Arial Narrow"/>
                <w:b/>
              </w:rPr>
              <w:t xml:space="preserve">patrí v EÚ medzi krajiny s najslabšie </w:t>
            </w:r>
            <w:r w:rsidRPr="004C54B9">
              <w:rPr>
                <w:rFonts w:ascii="Arial Narrow" w:hAnsi="Arial Narrow"/>
                <w:b/>
              </w:rPr>
              <w:t>rozvinutý</w:t>
            </w:r>
            <w:r>
              <w:rPr>
                <w:rFonts w:ascii="Arial Narrow" w:hAnsi="Arial Narrow"/>
                <w:b/>
              </w:rPr>
              <w:t>m</w:t>
            </w:r>
            <w:r w:rsidRPr="004C54B9">
              <w:rPr>
                <w:rFonts w:ascii="Arial Narrow" w:hAnsi="Arial Narrow"/>
                <w:b/>
              </w:rPr>
              <w:t xml:space="preserve"> trh</w:t>
            </w:r>
            <w:r>
              <w:rPr>
                <w:rFonts w:ascii="Arial Narrow" w:hAnsi="Arial Narrow"/>
                <w:b/>
              </w:rPr>
              <w:t>om</w:t>
            </w:r>
            <w:r w:rsidRPr="004C54B9">
              <w:rPr>
                <w:rFonts w:ascii="Arial Narrow" w:hAnsi="Arial Narrow"/>
                <w:b/>
              </w:rPr>
              <w:t xml:space="preserve"> s nájomným bývaním</w:t>
            </w:r>
            <w:r w:rsidRPr="004C54B9">
              <w:rPr>
                <w:rFonts w:ascii="Arial Narrow" w:hAnsi="Arial Narrow"/>
              </w:rPr>
              <w:t xml:space="preserve">. </w:t>
            </w:r>
            <w:r w:rsidRPr="004C54B9">
              <w:rPr>
                <w:rFonts w:ascii="Arial Narrow" w:hAnsi="Arial Narrow"/>
                <w:b/>
              </w:rPr>
              <w:t>Podiel nájomných bytov s regulovaným nájmom je na Slovensku oproti EU výrazne podpriemerný</w:t>
            </w:r>
            <w:r w:rsidRPr="004C54B9">
              <w:rPr>
                <w:rFonts w:ascii="Arial Narrow" w:hAnsi="Arial Narrow"/>
              </w:rPr>
              <w:t>. Trhové</w:t>
            </w:r>
            <w:r>
              <w:rPr>
                <w:rFonts w:ascii="Arial Narrow" w:hAnsi="Arial Narrow"/>
              </w:rPr>
              <w:t>,</w:t>
            </w:r>
            <w:r w:rsidRPr="004C54B9">
              <w:rPr>
                <w:rFonts w:ascii="Arial Narrow" w:hAnsi="Arial Narrow"/>
              </w:rPr>
              <w:t xml:space="preserve"> ako aj regulované nájomné sa vyznačuje slabou ponukou a vysokým dopytom. Nedostatočná ponuka nájomných bytov tak ďalej tlačí na rast cien nájmov a zhoršuje dostupnosť nájomného bývania. </w:t>
            </w:r>
          </w:p>
          <w:p w14:paraId="2F91D21D" w14:textId="77777777" w:rsidR="00872DA0" w:rsidRPr="004C54B9" w:rsidRDefault="00872DA0" w:rsidP="00E76198">
            <w:pPr>
              <w:spacing w:after="0" w:line="240" w:lineRule="auto"/>
              <w:jc w:val="both"/>
              <w:rPr>
                <w:rFonts w:ascii="Arial Narrow" w:hAnsi="Arial Narrow"/>
              </w:rPr>
            </w:pPr>
          </w:p>
          <w:tbl>
            <w:tblPr>
              <w:tblW w:w="8251" w:type="dxa"/>
              <w:jc w:val="center"/>
              <w:tblCellMar>
                <w:left w:w="70" w:type="dxa"/>
                <w:right w:w="70" w:type="dxa"/>
              </w:tblCellMar>
              <w:tblLook w:val="0080" w:firstRow="0" w:lastRow="0" w:firstColumn="1" w:lastColumn="0" w:noHBand="0" w:noVBand="0"/>
            </w:tblPr>
            <w:tblGrid>
              <w:gridCol w:w="4073"/>
              <w:gridCol w:w="146"/>
              <w:gridCol w:w="3983"/>
              <w:gridCol w:w="146"/>
            </w:tblGrid>
            <w:tr w:rsidR="00872DA0" w:rsidRPr="004C54B9" w14:paraId="00FF3814" w14:textId="77777777" w:rsidTr="00E76198">
              <w:trPr>
                <w:gridAfter w:val="1"/>
                <w:wAfter w:w="170" w:type="dxa"/>
                <w:trHeight w:val="3"/>
                <w:jc w:val="center"/>
              </w:trPr>
              <w:tc>
                <w:tcPr>
                  <w:tcW w:w="3969" w:type="dxa"/>
                  <w:tcBorders>
                    <w:top w:val="nil"/>
                    <w:left w:val="nil"/>
                    <w:bottom w:val="single" w:sz="4" w:space="0" w:color="auto"/>
                    <w:right w:val="nil"/>
                  </w:tcBorders>
                  <w:shd w:val="clear" w:color="auto" w:fill="auto"/>
                  <w:vAlign w:val="center"/>
                </w:tcPr>
                <w:p w14:paraId="083681C6" w14:textId="42CA5C0F" w:rsidR="00872DA0" w:rsidRPr="0062680A" w:rsidRDefault="00872DA0" w:rsidP="00E76198">
                  <w:pPr>
                    <w:spacing w:after="0" w:line="240" w:lineRule="auto"/>
                    <w:rPr>
                      <w:rFonts w:ascii="Arial Narrow" w:hAnsi="Arial Narrow" w:cs="Arial"/>
                      <w:b/>
                      <w:sz w:val="20"/>
                    </w:rPr>
                  </w:pPr>
                  <w:bookmarkStart w:id="48" w:name="_Toc4625966"/>
                  <w:r w:rsidRPr="005A735A">
                    <w:rPr>
                      <w:rFonts w:ascii="Arial Narrow" w:hAnsi="Arial Narrow"/>
                      <w:b/>
                      <w:bCs/>
                      <w:color w:val="000000" w:themeColor="text1"/>
                      <w:sz w:val="20"/>
                    </w:rPr>
                    <w:t xml:space="preserve">Graf </w:t>
                  </w:r>
                  <w:r w:rsidRPr="005A735A">
                    <w:rPr>
                      <w:rFonts w:ascii="Arial Narrow" w:hAnsi="Arial Narrow"/>
                      <w:b/>
                      <w:bCs/>
                      <w:noProof/>
                      <w:color w:val="000000" w:themeColor="text1"/>
                      <w:sz w:val="20"/>
                    </w:rPr>
                    <w:fldChar w:fldCharType="begin"/>
                  </w:r>
                  <w:r w:rsidRPr="005A735A">
                    <w:rPr>
                      <w:rFonts w:ascii="Arial Narrow" w:hAnsi="Arial Narrow"/>
                      <w:b/>
                      <w:bCs/>
                      <w:noProof/>
                      <w:color w:val="000000" w:themeColor="text1"/>
                      <w:sz w:val="20"/>
                    </w:rPr>
                    <w:instrText xml:space="preserve"> SEQ Graf \* ARABIC </w:instrText>
                  </w:r>
                  <w:r w:rsidRPr="005A735A">
                    <w:rPr>
                      <w:rFonts w:ascii="Arial Narrow" w:hAnsi="Arial Narrow"/>
                      <w:b/>
                      <w:bCs/>
                      <w:noProof/>
                      <w:color w:val="000000" w:themeColor="text1"/>
                      <w:sz w:val="20"/>
                    </w:rPr>
                    <w:fldChar w:fldCharType="separate"/>
                  </w:r>
                  <w:r w:rsidR="0020148F">
                    <w:rPr>
                      <w:rFonts w:ascii="Arial Narrow" w:hAnsi="Arial Narrow"/>
                      <w:b/>
                      <w:bCs/>
                      <w:noProof/>
                      <w:color w:val="000000" w:themeColor="text1"/>
                      <w:sz w:val="20"/>
                    </w:rPr>
                    <w:t>17</w:t>
                  </w:r>
                  <w:r w:rsidRPr="005A735A">
                    <w:rPr>
                      <w:rFonts w:ascii="Arial Narrow" w:hAnsi="Arial Narrow"/>
                      <w:b/>
                      <w:bCs/>
                      <w:noProof/>
                      <w:color w:val="000000" w:themeColor="text1"/>
                      <w:sz w:val="20"/>
                    </w:rPr>
                    <w:fldChar w:fldCharType="end"/>
                  </w:r>
                  <w:r w:rsidRPr="005A735A">
                    <w:rPr>
                      <w:rFonts w:ascii="Arial Narrow" w:hAnsi="Arial Narrow"/>
                      <w:b/>
                      <w:bCs/>
                      <w:noProof/>
                      <w:color w:val="000000" w:themeColor="text1"/>
                      <w:sz w:val="20"/>
                    </w:rPr>
                    <w:t xml:space="preserve">: </w:t>
                  </w:r>
                  <w:r w:rsidRPr="005A735A">
                    <w:rPr>
                      <w:rFonts w:ascii="Arial Narrow" w:hAnsi="Arial Narrow" w:cs="Arial"/>
                      <w:b/>
                      <w:color w:val="000000" w:themeColor="text1"/>
                      <w:sz w:val="20"/>
                    </w:rPr>
                    <w:t xml:space="preserve">Podiel </w:t>
                  </w:r>
                  <w:r>
                    <w:rPr>
                      <w:rFonts w:ascii="Arial Narrow" w:hAnsi="Arial Narrow" w:cs="Arial"/>
                      <w:b/>
                      <w:color w:val="000000" w:themeColor="text1"/>
                      <w:sz w:val="20"/>
                    </w:rPr>
                    <w:t>bytov</w:t>
                  </w:r>
                  <w:r w:rsidRPr="005A735A">
                    <w:rPr>
                      <w:rFonts w:ascii="Arial Narrow" w:hAnsi="Arial Narrow" w:cs="Arial"/>
                      <w:b/>
                      <w:color w:val="000000" w:themeColor="text1"/>
                      <w:sz w:val="20"/>
                    </w:rPr>
                    <w:t xml:space="preserve"> </w:t>
                  </w:r>
                  <w:r w:rsidR="008F0C92">
                    <w:rPr>
                      <w:rFonts w:ascii="Arial Narrow" w:hAnsi="Arial Narrow" w:cs="Arial"/>
                      <w:b/>
                      <w:color w:val="000000" w:themeColor="text1"/>
                      <w:sz w:val="20"/>
                    </w:rPr>
                    <w:t>podľa vlastníctva (</w:t>
                  </w:r>
                  <w:r w:rsidRPr="005A735A">
                    <w:rPr>
                      <w:rFonts w:ascii="Arial Narrow" w:hAnsi="Arial Narrow" w:cs="Arial"/>
                      <w:b/>
                      <w:color w:val="000000" w:themeColor="text1"/>
                      <w:sz w:val="20"/>
                    </w:rPr>
                    <w:t>%, 2016)</w:t>
                  </w:r>
                  <w:bookmarkEnd w:id="48"/>
                </w:p>
              </w:tc>
              <w:tc>
                <w:tcPr>
                  <w:tcW w:w="284" w:type="dxa"/>
                  <w:tcBorders>
                    <w:top w:val="nil"/>
                    <w:left w:val="nil"/>
                    <w:bottom w:val="nil"/>
                    <w:right w:val="nil"/>
                  </w:tcBorders>
                  <w:vAlign w:val="center"/>
                </w:tcPr>
                <w:p w14:paraId="2E1D373D" w14:textId="77777777" w:rsidR="00872DA0" w:rsidRPr="0062680A" w:rsidRDefault="00872DA0" w:rsidP="00E76198">
                  <w:pPr>
                    <w:pStyle w:val="Nadpis3"/>
                    <w:spacing w:line="240" w:lineRule="auto"/>
                    <w:contextualSpacing/>
                    <w:rPr>
                      <w:rFonts w:ascii="Arial Narrow" w:hAnsi="Arial Narrow" w:cs="Arial"/>
                      <w:color w:val="2C9ADC"/>
                      <w:sz w:val="20"/>
                    </w:rPr>
                  </w:pPr>
                </w:p>
              </w:tc>
              <w:tc>
                <w:tcPr>
                  <w:tcW w:w="3828" w:type="dxa"/>
                  <w:tcBorders>
                    <w:top w:val="nil"/>
                    <w:left w:val="nil"/>
                    <w:bottom w:val="single" w:sz="4" w:space="0" w:color="auto"/>
                    <w:right w:val="nil"/>
                  </w:tcBorders>
                  <w:shd w:val="clear" w:color="auto" w:fill="auto"/>
                  <w:vAlign w:val="center"/>
                </w:tcPr>
                <w:p w14:paraId="31DCDC61" w14:textId="7E20F1DC" w:rsidR="00872DA0" w:rsidRPr="0062680A" w:rsidRDefault="00872DA0" w:rsidP="00E76198">
                  <w:pPr>
                    <w:spacing w:after="0" w:line="240" w:lineRule="auto"/>
                    <w:rPr>
                      <w:rFonts w:ascii="Arial Narrow" w:hAnsi="Arial Narrow" w:cs="Arial"/>
                      <w:b/>
                      <w:sz w:val="20"/>
                    </w:rPr>
                  </w:pPr>
                  <w:bookmarkStart w:id="49" w:name="_Toc4625967"/>
                  <w:r w:rsidRPr="005A735A">
                    <w:rPr>
                      <w:rFonts w:ascii="Arial Narrow" w:hAnsi="Arial Narrow"/>
                      <w:b/>
                      <w:bCs/>
                      <w:color w:val="000000" w:themeColor="text1"/>
                      <w:sz w:val="20"/>
                    </w:rPr>
                    <w:t xml:space="preserve">Graf </w:t>
                  </w:r>
                  <w:r w:rsidRPr="005A735A">
                    <w:rPr>
                      <w:rFonts w:ascii="Arial Narrow" w:hAnsi="Arial Narrow"/>
                      <w:b/>
                      <w:bCs/>
                      <w:noProof/>
                      <w:color w:val="000000" w:themeColor="text1"/>
                      <w:sz w:val="20"/>
                    </w:rPr>
                    <w:fldChar w:fldCharType="begin"/>
                  </w:r>
                  <w:r w:rsidRPr="005A735A">
                    <w:rPr>
                      <w:rFonts w:ascii="Arial Narrow" w:hAnsi="Arial Narrow"/>
                      <w:b/>
                      <w:bCs/>
                      <w:noProof/>
                      <w:color w:val="000000" w:themeColor="text1"/>
                      <w:sz w:val="20"/>
                    </w:rPr>
                    <w:instrText xml:space="preserve"> SEQ Graf \* ARABIC </w:instrText>
                  </w:r>
                  <w:r w:rsidRPr="005A735A">
                    <w:rPr>
                      <w:rFonts w:ascii="Arial Narrow" w:hAnsi="Arial Narrow"/>
                      <w:b/>
                      <w:bCs/>
                      <w:noProof/>
                      <w:color w:val="000000" w:themeColor="text1"/>
                      <w:sz w:val="20"/>
                    </w:rPr>
                    <w:fldChar w:fldCharType="separate"/>
                  </w:r>
                  <w:r w:rsidR="0020148F">
                    <w:rPr>
                      <w:rFonts w:ascii="Arial Narrow" w:hAnsi="Arial Narrow"/>
                      <w:b/>
                      <w:bCs/>
                      <w:noProof/>
                      <w:color w:val="000000" w:themeColor="text1"/>
                      <w:sz w:val="20"/>
                    </w:rPr>
                    <w:t>18</w:t>
                  </w:r>
                  <w:r w:rsidRPr="005A735A">
                    <w:rPr>
                      <w:rFonts w:ascii="Arial Narrow" w:hAnsi="Arial Narrow"/>
                      <w:b/>
                      <w:bCs/>
                      <w:noProof/>
                      <w:color w:val="000000" w:themeColor="text1"/>
                      <w:sz w:val="20"/>
                    </w:rPr>
                    <w:fldChar w:fldCharType="end"/>
                  </w:r>
                  <w:r w:rsidRPr="005A735A">
                    <w:rPr>
                      <w:rFonts w:ascii="Arial Narrow" w:hAnsi="Arial Narrow"/>
                      <w:b/>
                      <w:bCs/>
                      <w:noProof/>
                      <w:color w:val="000000" w:themeColor="text1"/>
                      <w:sz w:val="20"/>
                    </w:rPr>
                    <w:t xml:space="preserve">: </w:t>
                  </w:r>
                  <w:r w:rsidRPr="0062680A">
                    <w:rPr>
                      <w:rFonts w:ascii="Arial Narrow" w:hAnsi="Arial Narrow" w:cs="Arial"/>
                      <w:b/>
                      <w:sz w:val="20"/>
                    </w:rPr>
                    <w:t xml:space="preserve">Podiel bytov s regulovaným nájmom na všetkých </w:t>
                  </w:r>
                  <w:r>
                    <w:rPr>
                      <w:rFonts w:ascii="Arial Narrow" w:hAnsi="Arial Narrow" w:cs="Arial"/>
                      <w:b/>
                      <w:sz w:val="20"/>
                    </w:rPr>
                    <w:t>bytoch</w:t>
                  </w:r>
                  <w:r w:rsidR="008F0C92">
                    <w:rPr>
                      <w:rFonts w:ascii="Arial Narrow" w:hAnsi="Arial Narrow" w:cs="Arial"/>
                      <w:b/>
                      <w:sz w:val="20"/>
                    </w:rPr>
                    <w:t xml:space="preserve"> (</w:t>
                  </w:r>
                  <w:r w:rsidRPr="0062680A">
                    <w:rPr>
                      <w:rFonts w:ascii="Arial Narrow" w:hAnsi="Arial Narrow" w:cs="Arial"/>
                      <w:b/>
                      <w:sz w:val="20"/>
                    </w:rPr>
                    <w:t>%)</w:t>
                  </w:r>
                  <w:bookmarkEnd w:id="49"/>
                </w:p>
              </w:tc>
            </w:tr>
            <w:tr w:rsidR="00872DA0" w:rsidRPr="004C54B9" w14:paraId="04EA6FF6" w14:textId="77777777" w:rsidTr="00E76198">
              <w:trPr>
                <w:gridAfter w:val="1"/>
                <w:wAfter w:w="170" w:type="dxa"/>
                <w:trHeight w:val="31"/>
                <w:jc w:val="center"/>
              </w:trPr>
              <w:tc>
                <w:tcPr>
                  <w:tcW w:w="3969" w:type="dxa"/>
                  <w:tcBorders>
                    <w:top w:val="single" w:sz="4" w:space="0" w:color="auto"/>
                    <w:left w:val="nil"/>
                    <w:bottom w:val="single" w:sz="4" w:space="0" w:color="auto"/>
                    <w:right w:val="nil"/>
                  </w:tcBorders>
                </w:tcPr>
                <w:p w14:paraId="5A170BA4" w14:textId="77777777" w:rsidR="00872DA0" w:rsidRPr="004C54B9" w:rsidRDefault="00872DA0" w:rsidP="00E76198">
                  <w:pPr>
                    <w:spacing w:line="240" w:lineRule="auto"/>
                    <w:ind w:right="-78"/>
                    <w:contextualSpacing/>
                    <w:rPr>
                      <w:rFonts w:ascii="Arial Narrow" w:hAnsi="Arial Narrow" w:cs="Arial"/>
                      <w:b/>
                      <w:bCs/>
                    </w:rPr>
                  </w:pPr>
                  <w:r w:rsidRPr="004C54B9">
                    <w:rPr>
                      <w:rFonts w:ascii="Arial Narrow" w:hAnsi="Arial Narrow" w:cs="Garamond"/>
                      <w:b/>
                      <w:bCs/>
                      <w:noProof/>
                      <w:lang w:val="en-GB" w:eastAsia="en-GB"/>
                    </w:rPr>
                    <w:drawing>
                      <wp:inline distT="0" distB="0" distL="0" distR="0" wp14:anchorId="1D2DBA3F" wp14:editId="71D967E1">
                        <wp:extent cx="2622550" cy="1939332"/>
                        <wp:effectExtent l="0" t="0" r="6350" b="0"/>
                        <wp:docPr id="343" name="Graf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84" w:type="dxa"/>
                  <w:tcBorders>
                    <w:top w:val="nil"/>
                    <w:left w:val="nil"/>
                    <w:right w:val="nil"/>
                  </w:tcBorders>
                </w:tcPr>
                <w:p w14:paraId="41266B25" w14:textId="77777777" w:rsidR="00872DA0" w:rsidRPr="004C54B9" w:rsidRDefault="00872DA0" w:rsidP="00E76198">
                  <w:pPr>
                    <w:spacing w:line="240" w:lineRule="auto"/>
                    <w:contextualSpacing/>
                    <w:rPr>
                      <w:rFonts w:ascii="Arial Narrow" w:hAnsi="Arial Narrow" w:cs="Arial"/>
                      <w:b/>
                      <w:bCs/>
                    </w:rPr>
                  </w:pPr>
                </w:p>
              </w:tc>
              <w:tc>
                <w:tcPr>
                  <w:tcW w:w="3828" w:type="dxa"/>
                  <w:tcBorders>
                    <w:top w:val="single" w:sz="4" w:space="0" w:color="auto"/>
                    <w:left w:val="nil"/>
                    <w:right w:val="nil"/>
                  </w:tcBorders>
                </w:tcPr>
                <w:p w14:paraId="79E94434" w14:textId="77777777" w:rsidR="00872DA0" w:rsidRPr="004C54B9" w:rsidRDefault="00872DA0" w:rsidP="00E76198">
                  <w:pPr>
                    <w:spacing w:line="240" w:lineRule="auto"/>
                    <w:ind w:left="337" w:hanging="407"/>
                    <w:contextualSpacing/>
                    <w:rPr>
                      <w:rFonts w:ascii="Arial Narrow" w:hAnsi="Arial Narrow" w:cs="Arial"/>
                      <w:b/>
                      <w:bCs/>
                    </w:rPr>
                  </w:pPr>
                  <w:r w:rsidRPr="004C54B9">
                    <w:rPr>
                      <w:rFonts w:ascii="Arial Narrow" w:hAnsi="Arial Narrow"/>
                      <w:noProof/>
                      <w:lang w:val="en-GB" w:eastAsia="en-GB"/>
                    </w:rPr>
                    <w:drawing>
                      <wp:inline distT="0" distB="0" distL="0" distR="0" wp14:anchorId="2F0CC48F" wp14:editId="48E66E30">
                        <wp:extent cx="2612390" cy="1879041"/>
                        <wp:effectExtent l="0" t="0" r="0" b="0"/>
                        <wp:docPr id="358" name="Graf 3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872DA0" w:rsidRPr="004C54B9" w14:paraId="00094A7F" w14:textId="77777777" w:rsidTr="00E76198">
              <w:trPr>
                <w:trHeight w:val="3"/>
                <w:jc w:val="center"/>
              </w:trPr>
              <w:tc>
                <w:tcPr>
                  <w:tcW w:w="3969" w:type="dxa"/>
                  <w:tcBorders>
                    <w:top w:val="single" w:sz="4" w:space="0" w:color="auto"/>
                    <w:left w:val="nil"/>
                    <w:right w:val="nil"/>
                  </w:tcBorders>
                  <w:vAlign w:val="center"/>
                </w:tcPr>
                <w:p w14:paraId="30D5E797" w14:textId="77777777" w:rsidR="00872DA0" w:rsidRPr="0062680A" w:rsidRDefault="00872DA0" w:rsidP="00E76198">
                  <w:pPr>
                    <w:spacing w:before="40" w:after="0" w:line="240" w:lineRule="auto"/>
                    <w:contextualSpacing/>
                    <w:jc w:val="right"/>
                    <w:rPr>
                      <w:rFonts w:ascii="Arial Narrow" w:hAnsi="Arial Narrow" w:cs="Arial"/>
                      <w:b/>
                      <w:bCs/>
                      <w:i/>
                      <w:sz w:val="16"/>
                      <w:szCs w:val="16"/>
                    </w:rPr>
                  </w:pPr>
                  <w:r w:rsidRPr="0062680A">
                    <w:rPr>
                      <w:rFonts w:ascii="Arial Narrow" w:hAnsi="Arial Narrow" w:cs="Arial"/>
                      <w:i/>
                      <w:sz w:val="16"/>
                      <w:szCs w:val="16"/>
                    </w:rPr>
                    <w:t xml:space="preserve">Zdroj: </w:t>
                  </w:r>
                  <w:proofErr w:type="spellStart"/>
                  <w:r w:rsidRPr="0062680A">
                    <w:rPr>
                      <w:rFonts w:ascii="Arial Narrow" w:hAnsi="Arial Narrow" w:cs="Arial"/>
                      <w:i/>
                      <w:sz w:val="16"/>
                      <w:szCs w:val="16"/>
                    </w:rPr>
                    <w:t>Eurostat</w:t>
                  </w:r>
                  <w:proofErr w:type="spellEnd"/>
                  <w:r w:rsidRPr="0062680A">
                    <w:rPr>
                      <w:rFonts w:ascii="Arial Narrow" w:hAnsi="Arial Narrow" w:cs="Arial"/>
                      <w:i/>
                      <w:sz w:val="16"/>
                      <w:szCs w:val="16"/>
                    </w:rPr>
                    <w:t xml:space="preserve"> </w:t>
                  </w:r>
                </w:p>
              </w:tc>
              <w:tc>
                <w:tcPr>
                  <w:tcW w:w="284" w:type="dxa"/>
                  <w:tcBorders>
                    <w:left w:val="nil"/>
                    <w:right w:val="nil"/>
                  </w:tcBorders>
                  <w:vAlign w:val="center"/>
                </w:tcPr>
                <w:p w14:paraId="192260AD" w14:textId="77777777" w:rsidR="00872DA0" w:rsidRPr="0062680A" w:rsidRDefault="00872DA0" w:rsidP="00E76198">
                  <w:pPr>
                    <w:spacing w:after="0" w:line="240" w:lineRule="auto"/>
                    <w:contextualSpacing/>
                    <w:jc w:val="center"/>
                    <w:rPr>
                      <w:rFonts w:ascii="Arial Narrow" w:hAnsi="Arial Narrow" w:cs="Arial"/>
                      <w:i/>
                      <w:sz w:val="16"/>
                      <w:szCs w:val="16"/>
                    </w:rPr>
                  </w:pPr>
                </w:p>
              </w:tc>
              <w:tc>
                <w:tcPr>
                  <w:tcW w:w="3828" w:type="dxa"/>
                  <w:tcBorders>
                    <w:top w:val="single" w:sz="4" w:space="0" w:color="auto"/>
                    <w:left w:val="nil"/>
                    <w:right w:val="nil"/>
                  </w:tcBorders>
                  <w:vAlign w:val="center"/>
                </w:tcPr>
                <w:p w14:paraId="56E39800" w14:textId="77777777" w:rsidR="00872DA0" w:rsidRPr="0062680A" w:rsidRDefault="00872DA0" w:rsidP="00E76198">
                  <w:pPr>
                    <w:spacing w:before="40" w:after="0" w:line="240" w:lineRule="auto"/>
                    <w:contextualSpacing/>
                    <w:jc w:val="right"/>
                    <w:rPr>
                      <w:rFonts w:ascii="Arial Narrow" w:hAnsi="Arial Narrow" w:cs="Arial"/>
                      <w:i/>
                      <w:sz w:val="16"/>
                      <w:szCs w:val="16"/>
                    </w:rPr>
                  </w:pPr>
                  <w:r w:rsidRPr="0062680A">
                    <w:rPr>
                      <w:rFonts w:ascii="Arial Narrow" w:hAnsi="Arial Narrow" w:cs="Arial"/>
                      <w:i/>
                      <w:sz w:val="16"/>
                      <w:szCs w:val="16"/>
                    </w:rPr>
                    <w:t xml:space="preserve">Zdroj: </w:t>
                  </w:r>
                  <w:proofErr w:type="spellStart"/>
                  <w:r w:rsidRPr="0062680A">
                    <w:rPr>
                      <w:rFonts w:ascii="Arial Narrow" w:hAnsi="Arial Narrow" w:cs="Arial"/>
                      <w:i/>
                      <w:sz w:val="16"/>
                      <w:szCs w:val="16"/>
                    </w:rPr>
                    <w:t>Eurostat</w:t>
                  </w:r>
                  <w:proofErr w:type="spellEnd"/>
                  <w:r w:rsidRPr="0062680A">
                    <w:rPr>
                      <w:rFonts w:ascii="Arial Narrow" w:hAnsi="Arial Narrow" w:cs="Arial"/>
                      <w:i/>
                      <w:sz w:val="16"/>
                      <w:szCs w:val="16"/>
                    </w:rPr>
                    <w:t xml:space="preserve"> </w:t>
                  </w:r>
                </w:p>
              </w:tc>
              <w:tc>
                <w:tcPr>
                  <w:tcW w:w="170" w:type="dxa"/>
                  <w:vAlign w:val="center"/>
                </w:tcPr>
                <w:p w14:paraId="744B18F4" w14:textId="77777777" w:rsidR="00872DA0" w:rsidRPr="004C54B9" w:rsidRDefault="00872DA0" w:rsidP="00E76198">
                  <w:pPr>
                    <w:spacing w:after="0" w:line="240" w:lineRule="auto"/>
                    <w:rPr>
                      <w:rFonts w:ascii="Arial Narrow" w:hAnsi="Arial Narrow" w:cs="Arial"/>
                    </w:rPr>
                  </w:pPr>
                </w:p>
              </w:tc>
            </w:tr>
          </w:tbl>
          <w:p w14:paraId="7F7B955E" w14:textId="77777777" w:rsidR="00872DA0" w:rsidRPr="004C54B9" w:rsidRDefault="00872DA0" w:rsidP="00E76198">
            <w:pPr>
              <w:spacing w:after="0" w:line="240" w:lineRule="auto"/>
              <w:jc w:val="both"/>
              <w:rPr>
                <w:rFonts w:ascii="Arial Narrow" w:hAnsi="Arial Narrow"/>
              </w:rPr>
            </w:pPr>
          </w:p>
          <w:p w14:paraId="5FAF9D53" w14:textId="77777777" w:rsidR="00910016" w:rsidRDefault="00872DA0" w:rsidP="00910016">
            <w:pPr>
              <w:spacing w:after="0" w:line="240" w:lineRule="auto"/>
              <w:jc w:val="both"/>
              <w:rPr>
                <w:rFonts w:ascii="Arial Narrow" w:eastAsiaTheme="minorHAnsi" w:hAnsi="Arial Narrow" w:cs="Arial Narrow"/>
                <w:bCs/>
              </w:rPr>
            </w:pPr>
            <w:r w:rsidRPr="004C54B9">
              <w:rPr>
                <w:rFonts w:ascii="Arial Narrow" w:eastAsiaTheme="minorHAnsi" w:hAnsi="Arial Narrow" w:cs="Arial Narrow"/>
                <w:b/>
                <w:bCs/>
              </w:rPr>
              <w:t>Vyššia efektivita podpory nájomného bývania si vyžaduje jasnú formuláciu cieľov, priorít a nové opatrenia, ktoré nebudú deformovať trh s nájomným bývaním či daňový systém</w:t>
            </w:r>
            <w:r w:rsidRPr="004C54B9">
              <w:rPr>
                <w:rFonts w:ascii="Arial Narrow" w:eastAsiaTheme="minorHAnsi" w:hAnsi="Arial Narrow" w:cs="Arial Narrow"/>
                <w:bCs/>
              </w:rPr>
              <w:t>. Podpora dopytu po nájomnom bývaní by mala byť kompenzovaná opatreniami na zvýšenie ponuky nájomných bytov, aby nedošlo k nežiaducemu nárastu cien nájmov</w:t>
            </w:r>
            <w:r>
              <w:rPr>
                <w:rFonts w:ascii="Arial Narrow" w:eastAsiaTheme="minorHAnsi" w:hAnsi="Arial Narrow" w:cs="Arial Narrow"/>
                <w:bCs/>
              </w:rPr>
              <w:t xml:space="preserve"> bez vplyvu na reálnu dostupnosť</w:t>
            </w:r>
            <w:r w:rsidRPr="004C54B9">
              <w:rPr>
                <w:rFonts w:ascii="Arial Narrow" w:eastAsiaTheme="minorHAnsi" w:hAnsi="Arial Narrow" w:cs="Arial Narrow"/>
                <w:bCs/>
              </w:rPr>
              <w:t xml:space="preserve">. Podobne ani nové daňové opatrenia </w:t>
            </w:r>
            <w:r>
              <w:rPr>
                <w:rFonts w:ascii="Arial Narrow" w:eastAsiaTheme="minorHAnsi" w:hAnsi="Arial Narrow" w:cs="Arial Narrow"/>
                <w:bCs/>
              </w:rPr>
              <w:t>by nemali mať za cieľ</w:t>
            </w:r>
            <w:r w:rsidRPr="004C54B9">
              <w:rPr>
                <w:rFonts w:ascii="Arial Narrow" w:eastAsiaTheme="minorHAnsi" w:hAnsi="Arial Narrow" w:cs="Arial Narrow"/>
                <w:bCs/>
              </w:rPr>
              <w:t xml:space="preserve"> neprimerane zvýhodniť napr. sektor stavebníctva</w:t>
            </w:r>
            <w:r>
              <w:rPr>
                <w:rFonts w:ascii="Arial Narrow" w:eastAsiaTheme="minorHAnsi" w:hAnsi="Arial Narrow" w:cs="Arial Narrow"/>
                <w:bCs/>
              </w:rPr>
              <w:t>. Nesystémové zásahy do daňového systému a nové výnimky sú neefektívne a komplikujú daňovú legislatívu. Preto je potrebné hľadať iné cielené nástroje v oblasti verejného regulovaného nájomnom bývania, kde nebude dochádzať k umelej deformácií realitného trhu a k zbytočným ri</w:t>
            </w:r>
            <w:r w:rsidR="00910016">
              <w:rPr>
                <w:rFonts w:ascii="Arial Narrow" w:eastAsiaTheme="minorHAnsi" w:hAnsi="Arial Narrow" w:cs="Arial Narrow"/>
                <w:bCs/>
              </w:rPr>
              <w:t xml:space="preserve">zikám pre hospodársku politiku. </w:t>
            </w:r>
          </w:p>
          <w:p w14:paraId="1E9C309A" w14:textId="77777777" w:rsidR="00910016" w:rsidRDefault="00910016" w:rsidP="00910016">
            <w:pPr>
              <w:spacing w:after="0" w:line="240" w:lineRule="auto"/>
              <w:jc w:val="both"/>
              <w:rPr>
                <w:rFonts w:ascii="Arial Narrow" w:eastAsiaTheme="minorHAnsi" w:hAnsi="Arial Narrow" w:cs="Arial Narrow"/>
                <w:bCs/>
              </w:rPr>
            </w:pPr>
          </w:p>
          <w:p w14:paraId="69015863" w14:textId="77777777" w:rsidR="00910016" w:rsidRDefault="00910016" w:rsidP="00910016">
            <w:pPr>
              <w:spacing w:after="0" w:line="240" w:lineRule="auto"/>
              <w:jc w:val="both"/>
              <w:rPr>
                <w:rFonts w:ascii="Arial Narrow" w:eastAsiaTheme="minorHAnsi" w:hAnsi="Arial Narrow" w:cs="Arial Narrow"/>
                <w:bCs/>
              </w:rPr>
            </w:pPr>
          </w:p>
          <w:p w14:paraId="42676991" w14:textId="6F33504B" w:rsidR="00872DA0" w:rsidRDefault="00872DA0" w:rsidP="00910016">
            <w:pPr>
              <w:spacing w:before="120" w:after="120" w:line="240" w:lineRule="auto"/>
              <w:jc w:val="both"/>
              <w:rPr>
                <w:rFonts w:ascii="Arial Narrow" w:eastAsiaTheme="minorHAnsi" w:hAnsi="Arial Narrow" w:cs="Arial Narrow"/>
                <w:bCs/>
              </w:rPr>
            </w:pPr>
            <w:r>
              <w:rPr>
                <w:rFonts w:ascii="Arial Narrow" w:eastAsiaTheme="minorHAnsi" w:hAnsi="Arial Narrow" w:cs="Arial Narrow"/>
                <w:bCs/>
              </w:rPr>
              <w:lastRenderedPageBreak/>
              <w:t>Zvýšenie</w:t>
            </w:r>
            <w:r w:rsidRPr="004C54B9">
              <w:rPr>
                <w:rFonts w:ascii="Arial Narrow" w:eastAsiaTheme="minorHAnsi" w:hAnsi="Arial Narrow" w:cs="Arial Narrow"/>
                <w:bCs/>
              </w:rPr>
              <w:t xml:space="preserve"> ponuky verejných nájomných bytov</w:t>
            </w:r>
            <w:r>
              <w:rPr>
                <w:rFonts w:ascii="Arial Narrow" w:eastAsiaTheme="minorHAnsi" w:hAnsi="Arial Narrow" w:cs="Arial Narrow"/>
                <w:bCs/>
              </w:rPr>
              <w:t xml:space="preserve"> a zlepšenie</w:t>
            </w:r>
            <w:r w:rsidRPr="00BA7431">
              <w:rPr>
                <w:rFonts w:ascii="Arial Narrow" w:eastAsiaTheme="minorHAnsi" w:hAnsi="Arial Narrow" w:cs="Arial Narrow"/>
                <w:bCs/>
              </w:rPr>
              <w:t xml:space="preserve"> dostupnosti nájomného bývania</w:t>
            </w:r>
            <w:r w:rsidRPr="004C54B9">
              <w:rPr>
                <w:rFonts w:ascii="Arial Narrow" w:eastAsiaTheme="minorHAnsi" w:hAnsi="Arial Narrow" w:cs="Arial Narrow"/>
                <w:bCs/>
              </w:rPr>
              <w:t xml:space="preserve"> sa dá docieliť </w:t>
            </w:r>
            <w:r>
              <w:rPr>
                <w:rFonts w:ascii="Arial Narrow" w:eastAsiaTheme="minorHAnsi" w:hAnsi="Arial Narrow" w:cs="Arial Narrow"/>
                <w:bCs/>
              </w:rPr>
              <w:t>prijatím rôznych opatrení. Na základe skúseností zo zahraničia je vhodné sa inšpirovať napríklad:</w:t>
            </w:r>
          </w:p>
          <w:p w14:paraId="1449B852" w14:textId="78000060" w:rsidR="00872DA0" w:rsidRPr="0062680A" w:rsidRDefault="00872DA0" w:rsidP="00E76198">
            <w:pPr>
              <w:pStyle w:val="Odsekzoznamu"/>
              <w:numPr>
                <w:ilvl w:val="0"/>
                <w:numId w:val="51"/>
              </w:numPr>
              <w:spacing w:after="120" w:line="240" w:lineRule="auto"/>
              <w:ind w:left="360"/>
              <w:contextualSpacing w:val="0"/>
              <w:jc w:val="both"/>
              <w:rPr>
                <w:rFonts w:ascii="Arial Narrow" w:eastAsiaTheme="minorHAnsi" w:hAnsi="Arial Narrow" w:cs="Arial Narrow"/>
                <w:b/>
                <w:bCs/>
              </w:rPr>
            </w:pPr>
            <w:r w:rsidRPr="0062680A">
              <w:rPr>
                <w:rFonts w:ascii="Arial Narrow" w:eastAsiaTheme="minorHAnsi" w:hAnsi="Arial Narrow" w:cs="Arial Narrow"/>
                <w:b/>
                <w:bCs/>
              </w:rPr>
              <w:t>zaveden</w:t>
            </w:r>
            <w:r>
              <w:rPr>
                <w:rFonts w:ascii="Arial Narrow" w:eastAsiaTheme="minorHAnsi" w:hAnsi="Arial Narrow" w:cs="Arial Narrow"/>
                <w:b/>
                <w:bCs/>
              </w:rPr>
              <w:t>ím</w:t>
            </w:r>
            <w:r w:rsidRPr="0062680A">
              <w:rPr>
                <w:rFonts w:ascii="Arial Narrow" w:eastAsiaTheme="minorHAnsi" w:hAnsi="Arial Narrow" w:cs="Arial Narrow"/>
                <w:b/>
                <w:bCs/>
              </w:rPr>
              <w:t xml:space="preserve"> povinného podielu bytov s regulovaným nájmom v n</w:t>
            </w:r>
            <w:r>
              <w:rPr>
                <w:rFonts w:ascii="Arial Narrow" w:eastAsiaTheme="minorHAnsi" w:hAnsi="Arial Narrow" w:cs="Arial Narrow"/>
                <w:b/>
                <w:bCs/>
              </w:rPr>
              <w:t>ových developerských projektoch</w:t>
            </w:r>
            <w:r w:rsidRPr="00C150A7">
              <w:rPr>
                <w:rStyle w:val="Odkaznapoznmkupodiarou"/>
                <w:rFonts w:ascii="Arial Narrow" w:eastAsiaTheme="minorHAnsi" w:hAnsi="Arial Narrow" w:cs="Arial Narrow"/>
                <w:bCs/>
              </w:rPr>
              <w:footnoteReference w:id="88"/>
            </w:r>
            <w:r w:rsidRPr="00C150A7">
              <w:rPr>
                <w:rFonts w:ascii="Arial Narrow" w:eastAsiaTheme="minorHAnsi" w:hAnsi="Arial Narrow" w:cs="Arial Narrow"/>
                <w:bCs/>
              </w:rPr>
              <w:t>.</w:t>
            </w:r>
            <w:r w:rsidRPr="0062680A">
              <w:rPr>
                <w:rFonts w:ascii="Arial Narrow" w:hAnsi="Arial Narrow"/>
              </w:rPr>
              <w:t xml:space="preserve"> </w:t>
            </w:r>
            <w:r w:rsidRPr="0062680A">
              <w:rPr>
                <w:rFonts w:ascii="Arial Narrow" w:eastAsiaTheme="minorHAnsi" w:hAnsi="Arial Narrow" w:cs="Arial Narrow"/>
                <w:bCs/>
              </w:rPr>
              <w:t xml:space="preserve">V prípade zavedenia povinného podielu nájomných bytov na Slovensku je dôležitá úzka spolupráca s mestami. </w:t>
            </w:r>
            <w:r>
              <w:rPr>
                <w:rFonts w:ascii="Arial Narrow" w:eastAsiaTheme="minorHAnsi" w:hAnsi="Arial Narrow" w:cs="Arial Narrow"/>
                <w:bCs/>
              </w:rPr>
              <w:t xml:space="preserve"> Uvedený model by mohol byť efektívnym riešením zvyšovania cenovo dostupného nájomného bývania vo väčších mestách</w:t>
            </w:r>
            <w:r w:rsidRPr="0062680A">
              <w:rPr>
                <w:rFonts w:ascii="Arial Narrow" w:eastAsiaTheme="minorHAnsi" w:hAnsi="Arial Narrow" w:cs="Arial Narrow"/>
                <w:bCs/>
              </w:rPr>
              <w:t>. Mesto by stanovovalo max. výšku nájmu v týchto bytoch ako % podiel z priemernej/</w:t>
            </w:r>
            <w:proofErr w:type="spellStart"/>
            <w:r w:rsidRPr="0062680A">
              <w:rPr>
                <w:rFonts w:ascii="Arial Narrow" w:eastAsiaTheme="minorHAnsi" w:hAnsi="Arial Narrow" w:cs="Arial Narrow"/>
                <w:bCs/>
              </w:rPr>
              <w:t>mediánovej</w:t>
            </w:r>
            <w:proofErr w:type="spellEnd"/>
            <w:r w:rsidRPr="0062680A">
              <w:rPr>
                <w:rFonts w:ascii="Arial Narrow" w:eastAsiaTheme="minorHAnsi" w:hAnsi="Arial Narrow" w:cs="Arial Narrow"/>
                <w:bCs/>
              </w:rPr>
              <w:t xml:space="preserve"> mzdy v danom kraji a zohľadňovalo by aj príjem rodiny. Mesto by malo do bytov vyberať nájomcov podľa transparentne zverejnených kritérií a poradovníkov.</w:t>
            </w:r>
            <w:r w:rsidRPr="0062680A">
              <w:rPr>
                <w:rFonts w:ascii="Arial Narrow" w:eastAsiaTheme="minorHAnsi" w:hAnsi="Arial Narrow" w:cs="Arial Narrow"/>
                <w:b/>
                <w:bCs/>
              </w:rPr>
              <w:t xml:space="preserve"> </w:t>
            </w:r>
          </w:p>
          <w:p w14:paraId="6B30D0B1" w14:textId="79AD88AF" w:rsidR="00872DA0" w:rsidRDefault="00872DA0" w:rsidP="00E76198">
            <w:pPr>
              <w:pStyle w:val="Odsekzoznamu"/>
              <w:numPr>
                <w:ilvl w:val="0"/>
                <w:numId w:val="51"/>
              </w:numPr>
              <w:spacing w:after="120" w:line="240" w:lineRule="auto"/>
              <w:ind w:left="360"/>
              <w:contextualSpacing w:val="0"/>
              <w:jc w:val="both"/>
              <w:rPr>
                <w:rFonts w:ascii="Arial Narrow" w:eastAsiaTheme="minorHAnsi" w:hAnsi="Arial Narrow" w:cs="Arial Narrow"/>
                <w:bCs/>
              </w:rPr>
            </w:pPr>
            <w:r w:rsidRPr="0062680A">
              <w:rPr>
                <w:rFonts w:ascii="Arial Narrow" w:eastAsiaTheme="minorHAnsi" w:hAnsi="Arial Narrow" w:cs="Arial Narrow"/>
                <w:b/>
                <w:bCs/>
              </w:rPr>
              <w:t>zav</w:t>
            </w:r>
            <w:r>
              <w:rPr>
                <w:rFonts w:ascii="Arial Narrow" w:eastAsiaTheme="minorHAnsi" w:hAnsi="Arial Narrow" w:cs="Arial Narrow"/>
                <w:b/>
                <w:bCs/>
              </w:rPr>
              <w:t>edením</w:t>
            </w:r>
            <w:r w:rsidRPr="0062680A">
              <w:rPr>
                <w:rFonts w:ascii="Arial Narrow" w:eastAsiaTheme="minorHAnsi" w:hAnsi="Arial Narrow" w:cs="Arial Narrow"/>
                <w:b/>
                <w:bCs/>
              </w:rPr>
              <w:t xml:space="preserve">  poukážky na nájomné bývanie</w:t>
            </w:r>
            <w:r w:rsidRPr="00C150A7">
              <w:rPr>
                <w:rStyle w:val="Odkaznapoznmkupodiarou"/>
                <w:rFonts w:ascii="Arial Narrow" w:eastAsiaTheme="minorHAnsi" w:hAnsi="Arial Narrow" w:cs="Arial Narrow"/>
                <w:bCs/>
              </w:rPr>
              <w:footnoteReference w:id="89"/>
            </w:r>
            <w:r w:rsidRPr="00C150A7">
              <w:rPr>
                <w:rFonts w:ascii="Arial Narrow" w:eastAsiaTheme="minorHAnsi" w:hAnsi="Arial Narrow" w:cs="Arial Narrow"/>
                <w:bCs/>
              </w:rPr>
              <w:t xml:space="preserve"> </w:t>
            </w:r>
            <w:r w:rsidRPr="0062680A">
              <w:rPr>
                <w:rFonts w:ascii="Arial Narrow" w:eastAsiaTheme="minorHAnsi" w:hAnsi="Arial Narrow" w:cs="Arial Narrow"/>
                <w:b/>
                <w:bCs/>
              </w:rPr>
              <w:t>pre pracujúcich  </w:t>
            </w:r>
            <w:r w:rsidRPr="0062680A">
              <w:rPr>
                <w:rFonts w:ascii="Arial Narrow" w:eastAsiaTheme="minorHAnsi" w:hAnsi="Arial Narrow" w:cs="Arial Narrow"/>
                <w:bCs/>
              </w:rPr>
              <w:t xml:space="preserve"> Zavedenie poukážok na nájomné bývanie však musí byť sprevádzané nárastom ponuky bytov, aby nedošlo k umelému nárastu cien nájmov. Zavedenie poukážok podporí mobilitu pracovnej sily. </w:t>
            </w:r>
          </w:p>
          <w:p w14:paraId="4AC30B43" w14:textId="459EBD81" w:rsidR="00872DA0" w:rsidRDefault="00872DA0" w:rsidP="00BF3225">
            <w:pPr>
              <w:pStyle w:val="Odsekzoznamu"/>
              <w:numPr>
                <w:ilvl w:val="0"/>
                <w:numId w:val="51"/>
              </w:numPr>
              <w:spacing w:after="0" w:line="240" w:lineRule="auto"/>
              <w:ind w:left="357" w:hanging="357"/>
              <w:contextualSpacing w:val="0"/>
              <w:jc w:val="both"/>
              <w:rPr>
                <w:rFonts w:ascii="Arial Narrow" w:eastAsiaTheme="minorHAnsi" w:hAnsi="Arial Narrow" w:cs="Arial Narrow"/>
                <w:bCs/>
              </w:rPr>
            </w:pPr>
            <w:r w:rsidRPr="0062680A">
              <w:rPr>
                <w:rFonts w:ascii="Arial Narrow" w:eastAsiaTheme="minorHAnsi" w:hAnsi="Arial Narrow" w:cs="Arial Narrow"/>
                <w:b/>
                <w:bCs/>
              </w:rPr>
              <w:t>umož</w:t>
            </w:r>
            <w:r>
              <w:rPr>
                <w:rFonts w:ascii="Arial Narrow" w:eastAsiaTheme="minorHAnsi" w:hAnsi="Arial Narrow" w:cs="Arial Narrow"/>
                <w:b/>
                <w:bCs/>
              </w:rPr>
              <w:t>nením</w:t>
            </w:r>
            <w:r w:rsidRPr="0062680A">
              <w:rPr>
                <w:rFonts w:ascii="Arial Narrow" w:eastAsiaTheme="minorHAnsi" w:hAnsi="Arial Narrow" w:cs="Arial Narrow"/>
                <w:b/>
                <w:bCs/>
              </w:rPr>
              <w:t xml:space="preserve"> primerané</w:t>
            </w:r>
            <w:r>
              <w:rPr>
                <w:rFonts w:ascii="Arial Narrow" w:eastAsiaTheme="minorHAnsi" w:hAnsi="Arial Narrow" w:cs="Arial Narrow"/>
                <w:b/>
                <w:bCs/>
              </w:rPr>
              <w:t>ho</w:t>
            </w:r>
            <w:r w:rsidRPr="0062680A">
              <w:rPr>
                <w:rFonts w:ascii="Arial Narrow" w:eastAsiaTheme="minorHAnsi" w:hAnsi="Arial Narrow" w:cs="Arial Narrow"/>
                <w:b/>
                <w:bCs/>
              </w:rPr>
              <w:t xml:space="preserve"> zvyšovani</w:t>
            </w:r>
            <w:r>
              <w:rPr>
                <w:rFonts w:ascii="Arial Narrow" w:eastAsiaTheme="minorHAnsi" w:hAnsi="Arial Narrow" w:cs="Arial Narrow"/>
                <w:b/>
                <w:bCs/>
              </w:rPr>
              <w:t>a</w:t>
            </w:r>
            <w:r w:rsidRPr="0062680A">
              <w:rPr>
                <w:rFonts w:ascii="Arial Narrow" w:eastAsiaTheme="minorHAnsi" w:hAnsi="Arial Narrow" w:cs="Arial Narrow"/>
                <w:b/>
                <w:bCs/>
              </w:rPr>
              <w:t xml:space="preserve"> nájmov v bytoch s regulovaným nájmom</w:t>
            </w:r>
            <w:r w:rsidRPr="0062680A">
              <w:rPr>
                <w:rFonts w:ascii="Arial Narrow" w:eastAsiaTheme="minorHAnsi" w:hAnsi="Arial Narrow" w:cs="Arial Narrow"/>
                <w:bCs/>
              </w:rPr>
              <w:t>.</w:t>
            </w:r>
            <w:r>
              <w:rPr>
                <w:rFonts w:ascii="Arial Narrow" w:eastAsiaTheme="minorHAnsi" w:hAnsi="Arial Narrow" w:cs="Arial Narrow"/>
                <w:bCs/>
              </w:rPr>
              <w:t xml:space="preserve"> </w:t>
            </w:r>
            <w:r w:rsidRPr="0062680A">
              <w:rPr>
                <w:rFonts w:ascii="Arial Narrow" w:eastAsiaTheme="minorHAnsi" w:hAnsi="Arial Narrow" w:cs="Arial Narrow"/>
                <w:bCs/>
              </w:rPr>
              <w:t>Možnosť zvýšenia nájmov v bytoch s regulovaným nájmom obciam umožní financovať politiku bývania aj v dlhom období pokrytím režijný</w:t>
            </w:r>
            <w:r w:rsidR="00910016">
              <w:rPr>
                <w:rFonts w:ascii="Arial Narrow" w:eastAsiaTheme="minorHAnsi" w:hAnsi="Arial Narrow" w:cs="Arial Narrow"/>
                <w:bCs/>
              </w:rPr>
              <w:t>ch nákladov, ktoré v čase značne</w:t>
            </w:r>
            <w:r w:rsidRPr="0062680A">
              <w:rPr>
                <w:rFonts w:ascii="Arial Narrow" w:eastAsiaTheme="minorHAnsi" w:hAnsi="Arial Narrow" w:cs="Arial Narrow"/>
                <w:bCs/>
              </w:rPr>
              <w:t xml:space="preserve"> narastajú.</w:t>
            </w:r>
          </w:p>
          <w:p w14:paraId="3793F803" w14:textId="77777777" w:rsidR="00872DA0" w:rsidRDefault="00872DA0" w:rsidP="00E76198">
            <w:pPr>
              <w:pStyle w:val="Odsekzoznamu"/>
              <w:spacing w:after="0" w:line="240" w:lineRule="auto"/>
              <w:ind w:left="357"/>
              <w:contextualSpacing w:val="0"/>
              <w:jc w:val="both"/>
              <w:rPr>
                <w:rFonts w:ascii="Arial Narrow" w:eastAsiaTheme="minorHAnsi" w:hAnsi="Arial Narrow" w:cs="Arial Narrow"/>
                <w:b/>
                <w:bCs/>
              </w:rPr>
            </w:pPr>
          </w:p>
          <w:p w14:paraId="429E496E" w14:textId="1B718B12" w:rsidR="00872DA0" w:rsidRPr="00314D8D" w:rsidRDefault="00872DA0" w:rsidP="00E76198">
            <w:pPr>
              <w:spacing w:after="0" w:line="240" w:lineRule="auto"/>
              <w:jc w:val="both"/>
              <w:rPr>
                <w:rFonts w:ascii="Arial Narrow" w:eastAsiaTheme="minorHAnsi" w:hAnsi="Arial Narrow" w:cs="Arial Narrow"/>
                <w:bCs/>
              </w:rPr>
            </w:pPr>
            <w:r>
              <w:rPr>
                <w:rFonts w:ascii="Arial Narrow" w:eastAsiaTheme="minorHAnsi" w:hAnsi="Arial Narrow" w:cs="Arial Narrow"/>
                <w:b/>
                <w:bCs/>
              </w:rPr>
              <w:t>V</w:t>
            </w:r>
            <w:r w:rsidRPr="00314D8D">
              <w:rPr>
                <w:rFonts w:ascii="Arial Narrow" w:eastAsiaTheme="minorHAnsi" w:hAnsi="Arial Narrow" w:cs="Arial Narrow"/>
                <w:b/>
                <w:bCs/>
              </w:rPr>
              <w:t xml:space="preserve"> kontexte slovenských podmienok </w:t>
            </w:r>
            <w:r>
              <w:rPr>
                <w:rFonts w:ascii="Arial Narrow" w:eastAsiaTheme="minorHAnsi" w:hAnsi="Arial Narrow" w:cs="Arial Narrow"/>
                <w:b/>
                <w:bCs/>
              </w:rPr>
              <w:t xml:space="preserve">by bolo </w:t>
            </w:r>
            <w:r w:rsidRPr="00314D8D">
              <w:rPr>
                <w:rFonts w:ascii="Arial Narrow" w:eastAsiaTheme="minorHAnsi" w:hAnsi="Arial Narrow" w:cs="Arial Narrow"/>
                <w:b/>
                <w:bCs/>
              </w:rPr>
              <w:t>vhodné  zjednoduš</w:t>
            </w:r>
            <w:r>
              <w:rPr>
                <w:rFonts w:ascii="Arial Narrow" w:eastAsiaTheme="minorHAnsi" w:hAnsi="Arial Narrow" w:cs="Arial Narrow"/>
                <w:b/>
                <w:bCs/>
              </w:rPr>
              <w:t>iť</w:t>
            </w:r>
            <w:r w:rsidRPr="00314D8D">
              <w:rPr>
                <w:rFonts w:ascii="Arial Narrow" w:eastAsiaTheme="minorHAnsi" w:hAnsi="Arial Narrow" w:cs="Arial Narrow"/>
                <w:b/>
                <w:bCs/>
              </w:rPr>
              <w:t xml:space="preserve"> schém</w:t>
            </w:r>
            <w:r>
              <w:rPr>
                <w:rFonts w:ascii="Arial Narrow" w:eastAsiaTheme="minorHAnsi" w:hAnsi="Arial Narrow" w:cs="Arial Narrow"/>
                <w:b/>
                <w:bCs/>
              </w:rPr>
              <w:t>u</w:t>
            </w:r>
            <w:r w:rsidRPr="00314D8D">
              <w:rPr>
                <w:rFonts w:ascii="Arial Narrow" w:eastAsiaTheme="minorHAnsi" w:hAnsi="Arial Narrow" w:cs="Arial Narrow"/>
                <w:b/>
                <w:bCs/>
              </w:rPr>
              <w:t xml:space="preserve"> poskytovania dotácií a úverov zo ŠFRB a</w:t>
            </w:r>
            <w:r>
              <w:rPr>
                <w:rFonts w:ascii="Arial Narrow" w:eastAsiaTheme="minorHAnsi" w:hAnsi="Arial Narrow" w:cs="Arial Narrow"/>
                <w:b/>
                <w:bCs/>
              </w:rPr>
              <w:t> MDV SR a zabezpečiť, aby n</w:t>
            </w:r>
            <w:r w:rsidRPr="00BC614E">
              <w:rPr>
                <w:rFonts w:ascii="Arial Narrow" w:eastAsiaTheme="minorHAnsi" w:hAnsi="Arial Narrow" w:cs="Arial Narrow"/>
                <w:b/>
                <w:bCs/>
              </w:rPr>
              <w:t xml:space="preserve">ájomných charakter </w:t>
            </w:r>
            <w:r>
              <w:rPr>
                <w:rFonts w:ascii="Arial Narrow" w:eastAsiaTheme="minorHAnsi" w:hAnsi="Arial Narrow" w:cs="Arial Narrow"/>
                <w:b/>
                <w:bCs/>
              </w:rPr>
              <w:t>takto podporených nájomných</w:t>
            </w:r>
            <w:r w:rsidRPr="00BC614E">
              <w:rPr>
                <w:rFonts w:ascii="Arial Narrow" w:eastAsiaTheme="minorHAnsi" w:hAnsi="Arial Narrow" w:cs="Arial Narrow"/>
                <w:b/>
                <w:bCs/>
              </w:rPr>
              <w:t xml:space="preserve"> bytov </w:t>
            </w:r>
            <w:r>
              <w:rPr>
                <w:rFonts w:ascii="Arial Narrow" w:eastAsiaTheme="minorHAnsi" w:hAnsi="Arial Narrow" w:cs="Arial Narrow"/>
                <w:b/>
                <w:bCs/>
              </w:rPr>
              <w:t xml:space="preserve">zostal zachovaný </w:t>
            </w:r>
            <w:r w:rsidRPr="00BC614E">
              <w:rPr>
                <w:rFonts w:ascii="Arial Narrow" w:eastAsiaTheme="minorHAnsi" w:hAnsi="Arial Narrow" w:cs="Arial Narrow"/>
                <w:b/>
                <w:bCs/>
              </w:rPr>
              <w:t>počas ich celej životnosti</w:t>
            </w:r>
            <w:r>
              <w:rPr>
                <w:rFonts w:ascii="Arial Narrow" w:eastAsiaTheme="minorHAnsi" w:hAnsi="Arial Narrow" w:cs="Arial Narrow"/>
                <w:b/>
                <w:bCs/>
              </w:rPr>
              <w:t xml:space="preserve">. </w:t>
            </w:r>
            <w:r>
              <w:rPr>
                <w:rFonts w:ascii="Arial Narrow" w:eastAsiaTheme="minorHAnsi" w:hAnsi="Arial Narrow" w:cs="Arial Narrow"/>
                <w:bCs/>
              </w:rPr>
              <w:t>P</w:t>
            </w:r>
            <w:r w:rsidRPr="00314D8D">
              <w:rPr>
                <w:rFonts w:ascii="Arial Narrow" w:eastAsiaTheme="minorHAnsi" w:hAnsi="Arial Narrow" w:cs="Arial Narrow"/>
                <w:bCs/>
              </w:rPr>
              <w:t>odmienky čerpania podpory zo ŠFRB</w:t>
            </w:r>
            <w:r>
              <w:rPr>
                <w:rFonts w:ascii="Arial Narrow" w:eastAsiaTheme="minorHAnsi" w:hAnsi="Arial Narrow" w:cs="Arial Narrow"/>
                <w:bCs/>
              </w:rPr>
              <w:t xml:space="preserve"> a MDV SR</w:t>
            </w:r>
            <w:r w:rsidRPr="00314D8D">
              <w:rPr>
                <w:rFonts w:ascii="Arial Narrow" w:eastAsiaTheme="minorHAnsi" w:hAnsi="Arial Narrow" w:cs="Arial Narrow"/>
                <w:bCs/>
              </w:rPr>
              <w:t xml:space="preserve"> upravujú viaceré legislatívne predpisy</w:t>
            </w:r>
            <w:r>
              <w:rPr>
                <w:rStyle w:val="Odkaznapoznmkupodiarou"/>
                <w:rFonts w:ascii="Arial Narrow" w:eastAsiaTheme="minorHAnsi" w:hAnsi="Arial Narrow" w:cs="Arial Narrow"/>
                <w:bCs/>
              </w:rPr>
              <w:footnoteReference w:id="90"/>
            </w:r>
            <w:r w:rsidRPr="00314D8D">
              <w:rPr>
                <w:rFonts w:ascii="Arial Narrow" w:eastAsiaTheme="minorHAnsi" w:hAnsi="Arial Narrow" w:cs="Arial Narrow"/>
                <w:bCs/>
              </w:rPr>
              <w:t xml:space="preserve">. </w:t>
            </w:r>
            <w:r>
              <w:rPr>
                <w:rFonts w:ascii="Arial Narrow" w:eastAsiaTheme="minorHAnsi" w:hAnsi="Arial Narrow" w:cs="Arial Narrow"/>
                <w:bCs/>
              </w:rPr>
              <w:t>Napríklad</w:t>
            </w:r>
            <w:r w:rsidRPr="00314D8D">
              <w:rPr>
                <w:rFonts w:ascii="Arial Narrow" w:eastAsiaTheme="minorHAnsi" w:hAnsi="Arial Narrow" w:cs="Arial Narrow"/>
                <w:bCs/>
              </w:rPr>
              <w:t xml:space="preserve">  žiadosť o</w:t>
            </w:r>
            <w:r>
              <w:rPr>
                <w:rFonts w:ascii="Arial Narrow" w:eastAsiaTheme="minorHAnsi" w:hAnsi="Arial Narrow" w:cs="Arial Narrow"/>
                <w:bCs/>
              </w:rPr>
              <w:t> </w:t>
            </w:r>
            <w:r w:rsidRPr="00314D8D">
              <w:rPr>
                <w:rFonts w:ascii="Arial Narrow" w:eastAsiaTheme="minorHAnsi" w:hAnsi="Arial Narrow" w:cs="Arial Narrow"/>
                <w:bCs/>
              </w:rPr>
              <w:t>úver</w:t>
            </w:r>
            <w:r>
              <w:rPr>
                <w:rFonts w:ascii="Arial Narrow" w:eastAsiaTheme="minorHAnsi" w:hAnsi="Arial Narrow" w:cs="Arial Narrow"/>
                <w:bCs/>
              </w:rPr>
              <w:t xml:space="preserve"> zo ŠFRB je</w:t>
            </w:r>
            <w:r w:rsidRPr="00314D8D">
              <w:rPr>
                <w:rFonts w:ascii="Arial Narrow" w:eastAsiaTheme="minorHAnsi" w:hAnsi="Arial Narrow" w:cs="Arial Narrow"/>
                <w:bCs/>
              </w:rPr>
              <w:t xml:space="preserve"> spojená so značnou byrokraciou. Takto upravovaná podpora sa stáva neprehľadnou. V niektorých prípadoch môže neprehľadnosť legislatívy odrádzať uchádzačov o čerpanie podpory. Po ukončení splácania úveru zo ŠFBR je v súčasnosti možné podporené nájomné byty predať do súkromného vlastníctva. K zvýšeniu fondu bytov nájomného bývania by pomohlo, ak by zostal zachovaný nájomných charakter týchto bytov počas ich celej životnosti.</w:t>
            </w:r>
          </w:p>
          <w:p w14:paraId="4D73DF98" w14:textId="77777777" w:rsidR="00872DA0" w:rsidRDefault="00872DA0" w:rsidP="00E76198">
            <w:pPr>
              <w:spacing w:after="0" w:line="240" w:lineRule="auto"/>
              <w:jc w:val="both"/>
              <w:rPr>
                <w:rFonts w:ascii="Arial Narrow" w:eastAsiaTheme="minorHAnsi" w:hAnsi="Arial Narrow" w:cs="Arial Narrow"/>
                <w:bCs/>
              </w:rPr>
            </w:pPr>
          </w:p>
          <w:p w14:paraId="7155B3DD" w14:textId="0793E27F" w:rsidR="00872DA0" w:rsidRPr="004C54B9" w:rsidRDefault="00872DA0" w:rsidP="00E76198">
            <w:pPr>
              <w:spacing w:after="0" w:line="240" w:lineRule="auto"/>
              <w:jc w:val="both"/>
              <w:rPr>
                <w:rFonts w:ascii="Arial Narrow" w:eastAsiaTheme="minorHAnsi" w:hAnsi="Arial Narrow" w:cs="Arial Narrow"/>
                <w:bCs/>
              </w:rPr>
            </w:pPr>
            <w:r w:rsidRPr="00314D8D">
              <w:rPr>
                <w:rFonts w:ascii="Arial Narrow" w:eastAsiaTheme="minorHAnsi" w:hAnsi="Arial Narrow" w:cs="Arial Narrow"/>
                <w:b/>
                <w:bCs/>
              </w:rPr>
              <w:t xml:space="preserve">Efektívnejšie </w:t>
            </w:r>
            <w:r>
              <w:rPr>
                <w:rFonts w:ascii="Arial Narrow" w:eastAsiaTheme="minorHAnsi" w:hAnsi="Arial Narrow" w:cs="Arial Narrow"/>
                <w:b/>
                <w:bCs/>
              </w:rPr>
              <w:t xml:space="preserve">by malo byť aj </w:t>
            </w:r>
            <w:r w:rsidRPr="00314D8D">
              <w:rPr>
                <w:rFonts w:ascii="Arial Narrow" w:eastAsiaTheme="minorHAnsi" w:hAnsi="Arial Narrow" w:cs="Arial Narrow"/>
                <w:b/>
                <w:bCs/>
              </w:rPr>
              <w:t>využívanie existujúcich nástrojov na podporu rozvoja nájomného bývania samosprávami</w:t>
            </w:r>
            <w:r>
              <w:rPr>
                <w:rFonts w:ascii="Arial Narrow" w:eastAsiaTheme="minorHAnsi" w:hAnsi="Arial Narrow" w:cs="Arial Narrow"/>
                <w:b/>
                <w:bCs/>
              </w:rPr>
              <w:t xml:space="preserve">. </w:t>
            </w:r>
            <w:r w:rsidRPr="00EA63C3">
              <w:rPr>
                <w:rFonts w:ascii="Arial Narrow" w:eastAsiaTheme="minorHAnsi" w:hAnsi="Arial Narrow" w:cs="Arial Narrow"/>
                <w:bCs/>
              </w:rPr>
              <w:t>Systém podporných nástrojov v oblasti rozvoja bývania zo strany štátu vytvára výhodné podmienky pre rozvoj  nájomného bývania na úrovni obcí, miest a samosprávnych krajov. Kombináciou dotácií MDV SR na obstaranie nájomných bytov a súvisiacej technickej vybavenosti a úveru zo Štátneho fondu rozvoja bývania je možné  financovať obstaranie verejného nájomného bývania vo výške 100</w:t>
            </w:r>
            <w:r w:rsidR="00910016">
              <w:rPr>
                <w:rFonts w:ascii="Arial Narrow" w:eastAsiaTheme="minorHAnsi" w:hAnsi="Arial Narrow" w:cs="Arial Narrow"/>
                <w:bCs/>
              </w:rPr>
              <w:t xml:space="preserve"> </w:t>
            </w:r>
            <w:r w:rsidRPr="00EA63C3">
              <w:rPr>
                <w:rFonts w:ascii="Arial Narrow" w:eastAsiaTheme="minorHAnsi" w:hAnsi="Arial Narrow" w:cs="Arial Narrow"/>
                <w:bCs/>
              </w:rPr>
              <w:t xml:space="preserve">% oprávnených nákladov. Takáto forma podpory je z hľadiska výšky jedinečným nástrojom pre rozvoj nájomného bývania aj v porovnaní </w:t>
            </w:r>
            <w:r>
              <w:rPr>
                <w:rFonts w:ascii="Arial Narrow" w:eastAsiaTheme="minorHAnsi" w:hAnsi="Arial Narrow" w:cs="Arial Narrow"/>
                <w:bCs/>
              </w:rPr>
              <w:t>v rámci štátov Európskej únie. O</w:t>
            </w:r>
            <w:r w:rsidRPr="00EA63C3">
              <w:rPr>
                <w:rFonts w:ascii="Arial Narrow" w:eastAsiaTheme="minorHAnsi" w:hAnsi="Arial Narrow" w:cs="Arial Narrow"/>
                <w:bCs/>
              </w:rPr>
              <w:t xml:space="preserve">bce a predovšetkým mestá </w:t>
            </w:r>
            <w:r>
              <w:rPr>
                <w:rFonts w:ascii="Arial Narrow" w:eastAsiaTheme="minorHAnsi" w:hAnsi="Arial Narrow" w:cs="Arial Narrow"/>
                <w:bCs/>
              </w:rPr>
              <w:t>sú</w:t>
            </w:r>
            <w:r w:rsidRPr="00EA63C3">
              <w:rPr>
                <w:rFonts w:ascii="Arial Narrow" w:eastAsiaTheme="minorHAnsi" w:hAnsi="Arial Narrow" w:cs="Arial Narrow"/>
                <w:bCs/>
              </w:rPr>
              <w:t xml:space="preserve"> </w:t>
            </w:r>
            <w:r w:rsidRPr="006E1DBC">
              <w:rPr>
                <w:rFonts w:ascii="Arial Narrow" w:eastAsiaTheme="minorHAnsi" w:hAnsi="Arial Narrow" w:cs="Arial Narrow"/>
                <w:bCs/>
              </w:rPr>
              <w:t>zodpovedné za ekonomický</w:t>
            </w:r>
            <w:r w:rsidR="00443E3A" w:rsidRPr="006E1DBC">
              <w:rPr>
                <w:rFonts w:ascii="Arial Narrow" w:eastAsiaTheme="minorHAnsi" w:hAnsi="Arial Narrow" w:cs="Arial Narrow"/>
                <w:bCs/>
              </w:rPr>
              <w:t xml:space="preserve"> a sociálny</w:t>
            </w:r>
            <w:r w:rsidR="00910016">
              <w:rPr>
                <w:rFonts w:ascii="Arial Narrow" w:eastAsiaTheme="minorHAnsi" w:hAnsi="Arial Narrow" w:cs="Arial Narrow"/>
                <w:bCs/>
              </w:rPr>
              <w:t xml:space="preserve"> rozvoj v oblasti </w:t>
            </w:r>
            <w:r>
              <w:rPr>
                <w:rFonts w:ascii="Arial Narrow" w:eastAsiaTheme="minorHAnsi" w:hAnsi="Arial Narrow" w:cs="Arial Narrow"/>
                <w:bCs/>
              </w:rPr>
              <w:t xml:space="preserve">bývania. Mali by preto </w:t>
            </w:r>
            <w:r w:rsidRPr="00EA63C3">
              <w:rPr>
                <w:rFonts w:ascii="Arial Narrow" w:eastAsiaTheme="minorHAnsi" w:hAnsi="Arial Narrow" w:cs="Arial Narrow"/>
                <w:bCs/>
              </w:rPr>
              <w:t>efektívnejšie využívať existujúce finančné nástroje a aktívne pristupovať k rozvoju nájomného bývania na svojom území</w:t>
            </w:r>
            <w:r>
              <w:rPr>
                <w:rFonts w:ascii="Arial Narrow" w:eastAsiaTheme="minorHAnsi" w:hAnsi="Arial Narrow" w:cs="Arial Narrow"/>
                <w:bCs/>
              </w:rPr>
              <w:t>.</w:t>
            </w:r>
          </w:p>
          <w:p w14:paraId="194B22A0" w14:textId="77777777" w:rsidR="00872DA0" w:rsidRPr="004C54B9" w:rsidRDefault="00872DA0" w:rsidP="00BF3225">
            <w:pPr>
              <w:spacing w:after="0" w:line="240" w:lineRule="auto"/>
              <w:jc w:val="both"/>
              <w:rPr>
                <w:rFonts w:ascii="Arial Narrow" w:hAnsi="Arial Narrow"/>
                <w:b/>
              </w:rPr>
            </w:pPr>
          </w:p>
        </w:tc>
      </w:tr>
    </w:tbl>
    <w:p w14:paraId="4305DC57" w14:textId="77777777" w:rsidR="00BF3225" w:rsidRDefault="00BF3225" w:rsidP="004E18D3">
      <w:pPr>
        <w:spacing w:after="0" w:line="240" w:lineRule="auto"/>
        <w:jc w:val="both"/>
        <w:rPr>
          <w:rFonts w:ascii="Arial Narrow" w:hAnsi="Arial Narrow"/>
          <w:b/>
          <w:i/>
          <w:color w:val="000000" w:themeColor="text1"/>
        </w:rPr>
      </w:pPr>
    </w:p>
    <w:p w14:paraId="6CE61742" w14:textId="52173045" w:rsidR="00DC54F3" w:rsidRPr="00BF3225" w:rsidRDefault="00BF3225" w:rsidP="00BF3225">
      <w:pPr>
        <w:spacing w:after="0" w:line="240" w:lineRule="auto"/>
        <w:rPr>
          <w:rFonts w:ascii="Arial Narrow" w:hAnsi="Arial Narrow"/>
          <w:b/>
          <w:i/>
          <w:color w:val="000000" w:themeColor="text1"/>
        </w:rPr>
      </w:pPr>
      <w:r>
        <w:rPr>
          <w:rFonts w:ascii="Arial Narrow" w:hAnsi="Arial Narrow"/>
          <w:b/>
          <w:i/>
          <w:color w:val="000000" w:themeColor="text1"/>
        </w:rPr>
        <w:br w:type="page"/>
      </w:r>
    </w:p>
    <w:p w14:paraId="0948F1D7" w14:textId="77777777" w:rsidR="00DC54F3" w:rsidRPr="00DC54F3" w:rsidRDefault="00DC54F3" w:rsidP="00DC54F3">
      <w:pPr>
        <w:keepNext/>
        <w:keepLines/>
        <w:numPr>
          <w:ilvl w:val="2"/>
          <w:numId w:val="1"/>
        </w:numPr>
        <w:spacing w:before="200" w:after="240" w:line="240" w:lineRule="auto"/>
        <w:ind w:left="720"/>
        <w:jc w:val="both"/>
        <w:outlineLvl w:val="1"/>
        <w:rPr>
          <w:rFonts w:ascii="Arial Narrow" w:eastAsiaTheme="majorEastAsia" w:hAnsi="Arial Narrow" w:cstheme="majorBidi"/>
          <w:b/>
          <w:bCs/>
          <w:color w:val="2C9ADC"/>
          <w:sz w:val="28"/>
        </w:rPr>
      </w:pPr>
      <w:bookmarkStart w:id="50" w:name="_Toc4766840"/>
      <w:r w:rsidRPr="00DC54F3">
        <w:rPr>
          <w:rFonts w:ascii="Arial Narrow" w:eastAsiaTheme="majorEastAsia" w:hAnsi="Arial Narrow" w:cstheme="majorBidi"/>
          <w:b/>
          <w:bCs/>
          <w:color w:val="2C9ADC"/>
          <w:sz w:val="28"/>
        </w:rPr>
        <w:lastRenderedPageBreak/>
        <w:t>Penzijný systém</w:t>
      </w:r>
      <w:bookmarkEnd w:id="50"/>
      <w:r w:rsidRPr="00DC54F3">
        <w:rPr>
          <w:rFonts w:ascii="Arial Narrow" w:eastAsiaTheme="majorEastAsia" w:hAnsi="Arial Narrow" w:cstheme="majorBidi"/>
          <w:b/>
          <w:bCs/>
          <w:color w:val="2C9ADC"/>
          <w:sz w:val="28"/>
        </w:rPr>
        <w:t xml:space="preserve"> </w:t>
      </w:r>
    </w:p>
    <w:p w14:paraId="29D84111" w14:textId="6169FC21" w:rsidR="002D667B" w:rsidRDefault="00014749" w:rsidP="00014749">
      <w:pPr>
        <w:spacing w:after="0" w:line="240" w:lineRule="auto"/>
        <w:jc w:val="both"/>
        <w:rPr>
          <w:rFonts w:ascii="Arial Narrow" w:hAnsi="Arial Narrow"/>
        </w:rPr>
      </w:pPr>
      <w:r w:rsidRPr="004C54B9">
        <w:rPr>
          <w:rFonts w:ascii="Arial Narrow" w:hAnsi="Arial Narrow"/>
          <w:b/>
        </w:rPr>
        <w:t>Revízia výdavkov na politiky trhu práce a sociálne politiky pomenovala potrebu implementácie opatrení na zvýšenie efektívnosti dôchodkového sporenia</w:t>
      </w:r>
      <w:r w:rsidRPr="004C54B9">
        <w:rPr>
          <w:rFonts w:ascii="Arial Narrow" w:hAnsi="Arial Narrow"/>
        </w:rPr>
        <w:t>. Medzi hl</w:t>
      </w:r>
      <w:r w:rsidR="00BF3225">
        <w:rPr>
          <w:rFonts w:ascii="Arial Narrow" w:hAnsi="Arial Narrow"/>
        </w:rPr>
        <w:t>avné odporúčané opatrenia patria</w:t>
      </w:r>
      <w:r w:rsidRPr="004C54B9">
        <w:rPr>
          <w:rFonts w:ascii="Arial Narrow" w:hAnsi="Arial Narrow"/>
        </w:rPr>
        <w:t xml:space="preserve"> zlepšenie informovanosti klientov II</w:t>
      </w:r>
      <w:r w:rsidR="00BF3225">
        <w:rPr>
          <w:rFonts w:ascii="Arial Narrow" w:hAnsi="Arial Narrow"/>
        </w:rPr>
        <w:t xml:space="preserve">. a III. piliera a </w:t>
      </w:r>
      <w:r w:rsidRPr="004C54B9">
        <w:rPr>
          <w:rFonts w:ascii="Arial Narrow" w:hAnsi="Arial Narrow"/>
        </w:rPr>
        <w:t>najmä zosúladenie investičnej stratégie II. piliera aktuálnych sporiteľov s časovým horizontom ich sporenia.</w:t>
      </w:r>
    </w:p>
    <w:p w14:paraId="38EAF523" w14:textId="77777777" w:rsidR="002D667B" w:rsidRDefault="002D667B" w:rsidP="00014749">
      <w:pPr>
        <w:spacing w:after="0" w:line="240" w:lineRule="auto"/>
        <w:jc w:val="both"/>
        <w:rPr>
          <w:rFonts w:ascii="Arial Narrow" w:hAnsi="Arial Narrow"/>
        </w:rPr>
      </w:pPr>
    </w:p>
    <w:tbl>
      <w:tblPr>
        <w:tblW w:w="8687" w:type="dxa"/>
        <w:shd w:val="clear" w:color="auto" w:fill="AAD3F2"/>
        <w:tblLayout w:type="fixed"/>
        <w:tblCellMar>
          <w:left w:w="70" w:type="dxa"/>
          <w:right w:w="70" w:type="dxa"/>
        </w:tblCellMar>
        <w:tblLook w:val="01E0" w:firstRow="1" w:lastRow="1" w:firstColumn="1" w:lastColumn="1" w:noHBand="0" w:noVBand="0"/>
      </w:tblPr>
      <w:tblGrid>
        <w:gridCol w:w="8687"/>
      </w:tblGrid>
      <w:tr w:rsidR="003001F9" w:rsidRPr="004862C8" w14:paraId="3DDC0FB9" w14:textId="77777777" w:rsidTr="00F14AB4">
        <w:trPr>
          <w:trHeight w:val="255"/>
        </w:trPr>
        <w:tc>
          <w:tcPr>
            <w:tcW w:w="8687" w:type="dxa"/>
            <w:shd w:val="clear" w:color="auto" w:fill="AAD3F2"/>
            <w:vAlign w:val="center"/>
          </w:tcPr>
          <w:p w14:paraId="087C8B68" w14:textId="05D84C65" w:rsidR="003001F9" w:rsidRPr="004862C8" w:rsidRDefault="0095739D" w:rsidP="003001F9">
            <w:pPr>
              <w:spacing w:before="120" w:line="240" w:lineRule="auto"/>
              <w:jc w:val="both"/>
              <w:rPr>
                <w:rFonts w:ascii="Arial Narrow" w:hAnsi="Arial Narrow" w:cs="Arial"/>
                <w:b/>
              </w:rPr>
            </w:pPr>
            <w:r>
              <w:rPr>
                <w:rFonts w:ascii="Arial Narrow" w:hAnsi="Arial Narrow" w:cs="Arial"/>
                <w:b/>
              </w:rPr>
              <w:t>Box 3</w:t>
            </w:r>
            <w:r w:rsidR="003001F9" w:rsidRPr="004862C8">
              <w:rPr>
                <w:rFonts w:ascii="Arial Narrow" w:hAnsi="Arial Narrow" w:cs="Arial"/>
                <w:b/>
              </w:rPr>
              <w:t>: Zavedenie predvolenej sporiacej stratégie v II. pilieri</w:t>
            </w:r>
          </w:p>
          <w:p w14:paraId="7B2AC029" w14:textId="77777777" w:rsidR="003001F9" w:rsidRPr="004862C8" w:rsidRDefault="003001F9" w:rsidP="00F14AB4">
            <w:pPr>
              <w:spacing w:after="0" w:line="240" w:lineRule="auto"/>
              <w:jc w:val="both"/>
              <w:rPr>
                <w:rFonts w:ascii="Arial Narrow" w:hAnsi="Arial Narrow"/>
              </w:rPr>
            </w:pPr>
            <w:r w:rsidRPr="004862C8">
              <w:rPr>
                <w:rFonts w:ascii="Arial Narrow" w:eastAsia="NeueHaasGroteskText W02" w:hAnsi="Arial Narrow" w:cs="NeueHaasGroteskText W02"/>
                <w:b/>
              </w:rPr>
              <w:t xml:space="preserve">Väčšina sporiteľov si dnes v II. pilieri sporí príliš konzervatívne a ich úspory sa preto nezhodnocujú tak, ako by sa mohli. </w:t>
            </w:r>
            <w:r w:rsidRPr="004862C8">
              <w:rPr>
                <w:rFonts w:ascii="Arial Narrow" w:hAnsi="Arial Narrow"/>
              </w:rPr>
              <w:t>Na konci roku 2017 sa nachádzalo až 79 % úspor v II. pilieri v málo výnosných dlhopisových garantovaných fondoch.</w:t>
            </w:r>
            <w:r w:rsidRPr="004862C8">
              <w:rPr>
                <w:rFonts w:ascii="Arial Narrow" w:hAnsi="Arial Narrow"/>
                <w:b/>
              </w:rPr>
              <w:t xml:space="preserve"> </w:t>
            </w:r>
            <w:r w:rsidRPr="004862C8">
              <w:rPr>
                <w:rFonts w:ascii="Arial Narrow" w:hAnsi="Arial Narrow"/>
              </w:rPr>
              <w:t xml:space="preserve">Revízia výdavkov na politiky trhu práce a sociálne politiky schválená vládou SR v roku 2017 identifikovala ako hlavný  problém II. piliera práve nesúlad medzi zložením majetku sporiteľov a ich časovým horizontom sporenia. Negarantované fondy investujúce do akcií sú síce krátkodobo rizikovejšie, no dlhodobo výrazne výnosnejšie. Celoživotné investovanie do konzervatívnych dlhopisových fondov síce znižuje riziko krátkodobého poklesu úspor, paradoxne však v dlhodobom horizonte zvyšuje riziko ich nedostatočného zhodnotenia a tým aj riziko neadekvátneho dôchodku. </w:t>
            </w:r>
          </w:p>
          <w:p w14:paraId="321AD1C4" w14:textId="77777777" w:rsidR="003001F9" w:rsidRPr="004862C8" w:rsidRDefault="003001F9" w:rsidP="00F14AB4">
            <w:pPr>
              <w:spacing w:after="0" w:line="240" w:lineRule="auto"/>
              <w:jc w:val="both"/>
              <w:rPr>
                <w:rFonts w:ascii="Arial Narrow" w:hAnsi="Arial Narrow"/>
              </w:rPr>
            </w:pPr>
          </w:p>
          <w:p w14:paraId="49EE2332" w14:textId="77777777" w:rsidR="003001F9" w:rsidRPr="004862C8" w:rsidRDefault="003001F9" w:rsidP="00F14AB4">
            <w:pPr>
              <w:spacing w:after="0" w:line="240" w:lineRule="auto"/>
              <w:jc w:val="both"/>
              <w:rPr>
                <w:rFonts w:ascii="Arial Narrow" w:hAnsi="Arial Narrow"/>
                <w:b/>
              </w:rPr>
            </w:pPr>
            <w:r w:rsidRPr="004862C8">
              <w:rPr>
                <w:rFonts w:ascii="Arial Narrow" w:hAnsi="Arial Narrow"/>
                <w:b/>
              </w:rPr>
              <w:t xml:space="preserve">Zavedenie predvolenej sporiacej stratégie pomôže bežnému sporiteľovi lepšie zhodnotiť svoje úspory v II. pilieri. </w:t>
            </w:r>
            <w:r w:rsidRPr="004862C8">
              <w:rPr>
                <w:rFonts w:ascii="Arial Narrow" w:hAnsi="Arial Narrow"/>
              </w:rPr>
              <w:t xml:space="preserve"> Predvolená stratégia by určila optimálny podiel úspor v akciách vzhľadom na vek sporiteľa bez toho, aby si sporiteľ musel svoje úspory aktívne spravovať. Aktívnym sporiteľom, ktorí sa rozhodnú manažovať si úspory sami, by zostala možnosť voľby ľubovoľnej investičnej stratégie – tak ako doteraz</w:t>
            </w:r>
            <w:r w:rsidRPr="004862C8">
              <w:rPr>
                <w:rFonts w:ascii="Arial Narrow" w:hAnsi="Arial Narrow"/>
                <w:b/>
              </w:rPr>
              <w:t>.</w:t>
            </w:r>
          </w:p>
          <w:p w14:paraId="4FC90A95" w14:textId="77777777" w:rsidR="003001F9" w:rsidRPr="004862C8" w:rsidRDefault="003001F9" w:rsidP="00F14AB4">
            <w:pPr>
              <w:spacing w:after="0" w:line="240" w:lineRule="auto"/>
              <w:jc w:val="both"/>
              <w:rPr>
                <w:rFonts w:ascii="Arial Narrow" w:hAnsi="Arial Narrow"/>
                <w:b/>
                <w:sz w:val="20"/>
                <w:szCs w:val="20"/>
              </w:rPr>
            </w:pPr>
          </w:p>
          <w:tbl>
            <w:tblPr>
              <w:tblW w:w="8752" w:type="dxa"/>
              <w:tblInd w:w="4" w:type="dxa"/>
              <w:tblLayout w:type="fixed"/>
              <w:tblCellMar>
                <w:left w:w="70" w:type="dxa"/>
                <w:right w:w="70" w:type="dxa"/>
              </w:tblCellMar>
              <w:tblLook w:val="0080" w:firstRow="0" w:lastRow="0" w:firstColumn="1" w:lastColumn="0" w:noHBand="0" w:noVBand="0"/>
            </w:tblPr>
            <w:tblGrid>
              <w:gridCol w:w="4037"/>
              <w:gridCol w:w="160"/>
              <w:gridCol w:w="4376"/>
              <w:gridCol w:w="179"/>
            </w:tblGrid>
            <w:tr w:rsidR="003001F9" w:rsidRPr="004862C8" w14:paraId="1A17127D" w14:textId="77777777" w:rsidTr="00F14AB4">
              <w:trPr>
                <w:gridAfter w:val="1"/>
                <w:wAfter w:w="179" w:type="dxa"/>
                <w:trHeight w:val="2"/>
              </w:trPr>
              <w:tc>
                <w:tcPr>
                  <w:tcW w:w="4037" w:type="dxa"/>
                  <w:tcBorders>
                    <w:top w:val="nil"/>
                    <w:left w:val="nil"/>
                    <w:bottom w:val="single" w:sz="4" w:space="0" w:color="auto"/>
                    <w:right w:val="nil"/>
                  </w:tcBorders>
                  <w:shd w:val="clear" w:color="auto" w:fill="auto"/>
                  <w:vAlign w:val="bottom"/>
                </w:tcPr>
                <w:p w14:paraId="6EA7D2AA" w14:textId="2A58A033" w:rsidR="003001F9" w:rsidRPr="004862C8" w:rsidRDefault="008E1C49" w:rsidP="00F14AB4">
                  <w:pPr>
                    <w:spacing w:after="0" w:line="240" w:lineRule="auto"/>
                    <w:rPr>
                      <w:rFonts w:ascii="Arial Narrow" w:hAnsi="Arial Narrow"/>
                      <w:b/>
                      <w:sz w:val="20"/>
                      <w:szCs w:val="20"/>
                    </w:rPr>
                  </w:pPr>
                  <w:bookmarkStart w:id="51" w:name="_Toc4625968"/>
                  <w:r w:rsidRPr="005A735A">
                    <w:rPr>
                      <w:rFonts w:ascii="Arial Narrow" w:hAnsi="Arial Narrow"/>
                      <w:b/>
                      <w:bCs/>
                      <w:color w:val="000000" w:themeColor="text1"/>
                      <w:sz w:val="20"/>
                    </w:rPr>
                    <w:t xml:space="preserve">Graf </w:t>
                  </w:r>
                  <w:r w:rsidRPr="005A735A">
                    <w:rPr>
                      <w:rFonts w:ascii="Arial Narrow" w:hAnsi="Arial Narrow"/>
                      <w:b/>
                      <w:bCs/>
                      <w:noProof/>
                      <w:color w:val="000000" w:themeColor="text1"/>
                      <w:sz w:val="20"/>
                    </w:rPr>
                    <w:fldChar w:fldCharType="begin"/>
                  </w:r>
                  <w:r w:rsidRPr="005A735A">
                    <w:rPr>
                      <w:rFonts w:ascii="Arial Narrow" w:hAnsi="Arial Narrow"/>
                      <w:b/>
                      <w:bCs/>
                      <w:noProof/>
                      <w:color w:val="000000" w:themeColor="text1"/>
                      <w:sz w:val="20"/>
                    </w:rPr>
                    <w:instrText xml:space="preserve"> SEQ Graf \* ARABIC </w:instrText>
                  </w:r>
                  <w:r w:rsidRPr="005A735A">
                    <w:rPr>
                      <w:rFonts w:ascii="Arial Narrow" w:hAnsi="Arial Narrow"/>
                      <w:b/>
                      <w:bCs/>
                      <w:noProof/>
                      <w:color w:val="000000" w:themeColor="text1"/>
                      <w:sz w:val="20"/>
                    </w:rPr>
                    <w:fldChar w:fldCharType="separate"/>
                  </w:r>
                  <w:r w:rsidR="0020148F">
                    <w:rPr>
                      <w:rFonts w:ascii="Arial Narrow" w:hAnsi="Arial Narrow"/>
                      <w:b/>
                      <w:bCs/>
                      <w:noProof/>
                      <w:color w:val="000000" w:themeColor="text1"/>
                      <w:sz w:val="20"/>
                    </w:rPr>
                    <w:t>19</w:t>
                  </w:r>
                  <w:r w:rsidRPr="005A735A">
                    <w:rPr>
                      <w:rFonts w:ascii="Arial Narrow" w:hAnsi="Arial Narrow"/>
                      <w:b/>
                      <w:bCs/>
                      <w:noProof/>
                      <w:color w:val="000000" w:themeColor="text1"/>
                      <w:sz w:val="20"/>
                    </w:rPr>
                    <w:fldChar w:fldCharType="end"/>
                  </w:r>
                  <w:r>
                    <w:rPr>
                      <w:rFonts w:ascii="Arial Narrow" w:eastAsia="NeueHaasGroteskText W02" w:hAnsi="Arial Narrow" w:cs="NeueHaasGroteskText W02"/>
                      <w:b/>
                      <w:sz w:val="20"/>
                      <w:szCs w:val="20"/>
                      <w:u w:color="808080"/>
                    </w:rPr>
                    <w:t xml:space="preserve">: </w:t>
                  </w:r>
                  <w:r w:rsidR="003001F9" w:rsidRPr="004862C8">
                    <w:rPr>
                      <w:rFonts w:ascii="Arial Narrow" w:eastAsia="NeueHaasGroteskText W02" w:hAnsi="Arial Narrow" w:cs="NeueHaasGroteskText W02"/>
                      <w:b/>
                      <w:sz w:val="20"/>
                      <w:szCs w:val="20"/>
                      <w:u w:color="808080"/>
                    </w:rPr>
                    <w:t>Podiel sporiteľov s úsporami v negarantovaných fondoch v roku 2017 (%)</w:t>
                  </w:r>
                  <w:bookmarkEnd w:id="51"/>
                </w:p>
              </w:tc>
              <w:tc>
                <w:tcPr>
                  <w:tcW w:w="160" w:type="dxa"/>
                  <w:tcBorders>
                    <w:top w:val="nil"/>
                    <w:left w:val="nil"/>
                    <w:bottom w:val="nil"/>
                    <w:right w:val="nil"/>
                  </w:tcBorders>
                  <w:vAlign w:val="bottom"/>
                </w:tcPr>
                <w:p w14:paraId="3749AA1C" w14:textId="77777777" w:rsidR="003001F9" w:rsidRPr="004862C8" w:rsidRDefault="003001F9" w:rsidP="00F14AB4">
                  <w:pPr>
                    <w:pStyle w:val="Nadpis3"/>
                    <w:spacing w:line="240" w:lineRule="auto"/>
                    <w:contextualSpacing/>
                    <w:rPr>
                      <w:rFonts w:ascii="Arial Narrow" w:hAnsi="Arial Narrow"/>
                      <w:color w:val="2C9ADC"/>
                      <w:sz w:val="20"/>
                      <w:szCs w:val="20"/>
                    </w:rPr>
                  </w:pPr>
                </w:p>
              </w:tc>
              <w:tc>
                <w:tcPr>
                  <w:tcW w:w="4376" w:type="dxa"/>
                  <w:tcBorders>
                    <w:top w:val="nil"/>
                    <w:left w:val="nil"/>
                    <w:bottom w:val="single" w:sz="4" w:space="0" w:color="auto"/>
                    <w:right w:val="nil"/>
                  </w:tcBorders>
                  <w:shd w:val="clear" w:color="auto" w:fill="auto"/>
                  <w:vAlign w:val="bottom"/>
                </w:tcPr>
                <w:p w14:paraId="200FD2CF" w14:textId="0E69D2C2" w:rsidR="003001F9" w:rsidRPr="004862C8" w:rsidRDefault="008E1C49" w:rsidP="00F14AB4">
                  <w:pPr>
                    <w:spacing w:after="0" w:line="240" w:lineRule="auto"/>
                    <w:rPr>
                      <w:rFonts w:ascii="Arial Narrow" w:hAnsi="Arial Narrow"/>
                      <w:sz w:val="20"/>
                      <w:szCs w:val="20"/>
                    </w:rPr>
                  </w:pPr>
                  <w:bookmarkStart w:id="52" w:name="_Toc4625969"/>
                  <w:r w:rsidRPr="005A735A">
                    <w:rPr>
                      <w:rFonts w:ascii="Arial Narrow" w:hAnsi="Arial Narrow"/>
                      <w:b/>
                      <w:bCs/>
                      <w:color w:val="000000" w:themeColor="text1"/>
                      <w:sz w:val="20"/>
                    </w:rPr>
                    <w:t xml:space="preserve">Graf </w:t>
                  </w:r>
                  <w:r w:rsidRPr="005A735A">
                    <w:rPr>
                      <w:rFonts w:ascii="Arial Narrow" w:hAnsi="Arial Narrow"/>
                      <w:b/>
                      <w:bCs/>
                      <w:noProof/>
                      <w:color w:val="000000" w:themeColor="text1"/>
                      <w:sz w:val="20"/>
                    </w:rPr>
                    <w:fldChar w:fldCharType="begin"/>
                  </w:r>
                  <w:r w:rsidRPr="005A735A">
                    <w:rPr>
                      <w:rFonts w:ascii="Arial Narrow" w:hAnsi="Arial Narrow"/>
                      <w:b/>
                      <w:bCs/>
                      <w:noProof/>
                      <w:color w:val="000000" w:themeColor="text1"/>
                      <w:sz w:val="20"/>
                    </w:rPr>
                    <w:instrText xml:space="preserve"> SEQ Graf \* ARABIC </w:instrText>
                  </w:r>
                  <w:r w:rsidRPr="005A735A">
                    <w:rPr>
                      <w:rFonts w:ascii="Arial Narrow" w:hAnsi="Arial Narrow"/>
                      <w:b/>
                      <w:bCs/>
                      <w:noProof/>
                      <w:color w:val="000000" w:themeColor="text1"/>
                      <w:sz w:val="20"/>
                    </w:rPr>
                    <w:fldChar w:fldCharType="separate"/>
                  </w:r>
                  <w:r w:rsidR="0020148F">
                    <w:rPr>
                      <w:rFonts w:ascii="Arial Narrow" w:hAnsi="Arial Narrow"/>
                      <w:b/>
                      <w:bCs/>
                      <w:noProof/>
                      <w:color w:val="000000" w:themeColor="text1"/>
                      <w:sz w:val="20"/>
                    </w:rPr>
                    <w:t>20</w:t>
                  </w:r>
                  <w:r w:rsidRPr="005A735A">
                    <w:rPr>
                      <w:rFonts w:ascii="Arial Narrow" w:hAnsi="Arial Narrow"/>
                      <w:b/>
                      <w:bCs/>
                      <w:noProof/>
                      <w:color w:val="000000" w:themeColor="text1"/>
                      <w:sz w:val="20"/>
                    </w:rPr>
                    <w:fldChar w:fldCharType="end"/>
                  </w:r>
                  <w:r>
                    <w:rPr>
                      <w:rFonts w:ascii="Arial Narrow" w:eastAsia="NeueHaasGroteskText W02" w:hAnsi="Arial Narrow" w:cs="NeueHaasGroteskText W02"/>
                      <w:b/>
                      <w:sz w:val="20"/>
                      <w:szCs w:val="20"/>
                      <w:u w:color="808080"/>
                    </w:rPr>
                    <w:t xml:space="preserve">: </w:t>
                  </w:r>
                  <w:r w:rsidR="003001F9" w:rsidRPr="004862C8">
                    <w:rPr>
                      <w:rFonts w:ascii="Arial Narrow" w:eastAsia="NeueHaasGroteskText W02" w:hAnsi="Arial Narrow" w:cs="NeueHaasGroteskText W02"/>
                      <w:b/>
                      <w:sz w:val="20"/>
                      <w:szCs w:val="20"/>
                      <w:u w:color="808080"/>
                    </w:rPr>
                    <w:t>Odporúčaný podiel úspor investovaných do akcií a skutočnosť v roku 2017 (%)</w:t>
                  </w:r>
                  <w:bookmarkEnd w:id="52"/>
                </w:p>
              </w:tc>
            </w:tr>
            <w:tr w:rsidR="003001F9" w:rsidRPr="004862C8" w14:paraId="09E2B2CD" w14:textId="77777777" w:rsidTr="00F14AB4">
              <w:trPr>
                <w:gridAfter w:val="1"/>
                <w:wAfter w:w="179" w:type="dxa"/>
                <w:trHeight w:val="30"/>
              </w:trPr>
              <w:tc>
                <w:tcPr>
                  <w:tcW w:w="4037" w:type="dxa"/>
                  <w:tcBorders>
                    <w:top w:val="single" w:sz="4" w:space="0" w:color="auto"/>
                    <w:left w:val="nil"/>
                    <w:bottom w:val="single" w:sz="4" w:space="0" w:color="auto"/>
                    <w:right w:val="nil"/>
                  </w:tcBorders>
                </w:tcPr>
                <w:p w14:paraId="022CFD3C" w14:textId="77777777" w:rsidR="003001F9" w:rsidRPr="004862C8" w:rsidRDefault="003001F9" w:rsidP="00F14AB4">
                  <w:pPr>
                    <w:spacing w:line="240" w:lineRule="auto"/>
                    <w:ind w:left="-70" w:right="-78"/>
                    <w:contextualSpacing/>
                    <w:rPr>
                      <w:rFonts w:ascii="Arial Narrow" w:hAnsi="Arial Narrow" w:cs="Garamond"/>
                      <w:b/>
                      <w:bCs/>
                    </w:rPr>
                  </w:pPr>
                  <w:r w:rsidRPr="004862C8">
                    <w:rPr>
                      <w:rFonts w:ascii="Arial Narrow" w:hAnsi="Arial Narrow"/>
                      <w:noProof/>
                      <w:lang w:val="en-GB" w:eastAsia="en-GB"/>
                    </w:rPr>
                    <w:drawing>
                      <wp:inline distT="0" distB="0" distL="0" distR="0" wp14:anchorId="3E5413D5" wp14:editId="4B1E08C5">
                        <wp:extent cx="2543175" cy="1800225"/>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160" w:type="dxa"/>
                  <w:tcBorders>
                    <w:top w:val="nil"/>
                    <w:left w:val="nil"/>
                    <w:right w:val="nil"/>
                  </w:tcBorders>
                </w:tcPr>
                <w:p w14:paraId="12FBA6A4" w14:textId="77777777" w:rsidR="003001F9" w:rsidRPr="004862C8" w:rsidRDefault="003001F9" w:rsidP="00F14AB4">
                  <w:pPr>
                    <w:spacing w:line="240" w:lineRule="auto"/>
                    <w:contextualSpacing/>
                    <w:rPr>
                      <w:rFonts w:ascii="Arial Narrow" w:hAnsi="Arial Narrow" w:cs="Garamond"/>
                      <w:b/>
                      <w:bCs/>
                    </w:rPr>
                  </w:pPr>
                </w:p>
              </w:tc>
              <w:tc>
                <w:tcPr>
                  <w:tcW w:w="4376" w:type="dxa"/>
                  <w:tcBorders>
                    <w:top w:val="single" w:sz="4" w:space="0" w:color="auto"/>
                    <w:left w:val="nil"/>
                    <w:right w:val="nil"/>
                  </w:tcBorders>
                </w:tcPr>
                <w:p w14:paraId="5B348BC4" w14:textId="77777777" w:rsidR="003001F9" w:rsidRPr="004862C8" w:rsidRDefault="003001F9" w:rsidP="00F14AB4">
                  <w:pPr>
                    <w:spacing w:line="240" w:lineRule="auto"/>
                    <w:ind w:left="337" w:hanging="407"/>
                    <w:contextualSpacing/>
                    <w:rPr>
                      <w:rFonts w:ascii="Arial Narrow" w:hAnsi="Arial Narrow" w:cs="Garamond"/>
                      <w:b/>
                      <w:bCs/>
                    </w:rPr>
                  </w:pPr>
                  <w:r w:rsidRPr="004862C8">
                    <w:rPr>
                      <w:rFonts w:ascii="Arial Narrow" w:hAnsi="Arial Narrow"/>
                      <w:noProof/>
                    </w:rPr>
                    <w:t xml:space="preserve"> </w:t>
                  </w:r>
                  <w:r w:rsidRPr="004862C8">
                    <w:rPr>
                      <w:rFonts w:ascii="Arial Narrow" w:hAnsi="Arial Narrow"/>
                      <w:noProof/>
                      <w:lang w:val="en-GB" w:eastAsia="en-GB"/>
                    </w:rPr>
                    <w:drawing>
                      <wp:inline distT="0" distB="0" distL="0" distR="0" wp14:anchorId="4FD4442D" wp14:editId="6A170E43">
                        <wp:extent cx="2684145" cy="1800225"/>
                        <wp:effectExtent l="0" t="0" r="0" b="0"/>
                        <wp:docPr id="229" name="Graf 2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3001F9" w:rsidRPr="004862C8" w14:paraId="19EC1FD1" w14:textId="77777777" w:rsidTr="00F14AB4">
              <w:trPr>
                <w:trHeight w:val="2"/>
              </w:trPr>
              <w:tc>
                <w:tcPr>
                  <w:tcW w:w="4037" w:type="dxa"/>
                  <w:tcBorders>
                    <w:top w:val="single" w:sz="4" w:space="0" w:color="auto"/>
                    <w:left w:val="nil"/>
                    <w:right w:val="nil"/>
                  </w:tcBorders>
                  <w:vAlign w:val="center"/>
                </w:tcPr>
                <w:p w14:paraId="58F218B8" w14:textId="77777777" w:rsidR="003001F9" w:rsidRPr="004862C8" w:rsidRDefault="003001F9" w:rsidP="00F14AB4">
                  <w:pPr>
                    <w:spacing w:before="40" w:after="0" w:line="240" w:lineRule="auto"/>
                    <w:contextualSpacing/>
                    <w:jc w:val="right"/>
                    <w:rPr>
                      <w:rFonts w:ascii="Arial Narrow" w:hAnsi="Arial Narrow" w:cs="Arial"/>
                      <w:b/>
                      <w:bCs/>
                      <w:i/>
                      <w:sz w:val="16"/>
                      <w:szCs w:val="16"/>
                    </w:rPr>
                  </w:pPr>
                  <w:r w:rsidRPr="004862C8">
                    <w:rPr>
                      <w:rFonts w:ascii="Arial Narrow" w:hAnsi="Arial Narrow" w:cs="Arial"/>
                      <w:i/>
                      <w:sz w:val="16"/>
                      <w:szCs w:val="16"/>
                    </w:rPr>
                    <w:t xml:space="preserve">Zdroj: Dáta poskytnuté jednotlivými DSS, IFP </w:t>
                  </w:r>
                </w:p>
              </w:tc>
              <w:tc>
                <w:tcPr>
                  <w:tcW w:w="160" w:type="dxa"/>
                  <w:tcBorders>
                    <w:left w:val="nil"/>
                    <w:right w:val="nil"/>
                  </w:tcBorders>
                  <w:vAlign w:val="center"/>
                </w:tcPr>
                <w:p w14:paraId="5AAB382A" w14:textId="77777777" w:rsidR="003001F9" w:rsidRPr="004862C8" w:rsidRDefault="003001F9" w:rsidP="00F14AB4">
                  <w:pPr>
                    <w:spacing w:after="0" w:line="240" w:lineRule="auto"/>
                    <w:contextualSpacing/>
                    <w:jc w:val="center"/>
                    <w:rPr>
                      <w:rFonts w:ascii="Arial Narrow" w:hAnsi="Arial Narrow" w:cs="Arial"/>
                      <w:i/>
                      <w:sz w:val="16"/>
                      <w:szCs w:val="16"/>
                    </w:rPr>
                  </w:pPr>
                </w:p>
              </w:tc>
              <w:tc>
                <w:tcPr>
                  <w:tcW w:w="4376" w:type="dxa"/>
                  <w:tcBorders>
                    <w:top w:val="single" w:sz="4" w:space="0" w:color="auto"/>
                    <w:left w:val="nil"/>
                    <w:right w:val="nil"/>
                  </w:tcBorders>
                  <w:vAlign w:val="center"/>
                </w:tcPr>
                <w:p w14:paraId="75967D9E" w14:textId="77777777" w:rsidR="003001F9" w:rsidRPr="004862C8" w:rsidRDefault="003001F9" w:rsidP="00F14AB4">
                  <w:pPr>
                    <w:spacing w:before="40" w:after="0" w:line="240" w:lineRule="auto"/>
                    <w:contextualSpacing/>
                    <w:jc w:val="right"/>
                    <w:rPr>
                      <w:rFonts w:ascii="Arial Narrow" w:hAnsi="Arial Narrow" w:cs="Arial"/>
                      <w:i/>
                      <w:sz w:val="16"/>
                      <w:szCs w:val="16"/>
                    </w:rPr>
                  </w:pPr>
                  <w:r w:rsidRPr="004862C8">
                    <w:rPr>
                      <w:rFonts w:ascii="Arial Narrow" w:hAnsi="Arial Narrow" w:cs="Arial"/>
                      <w:i/>
                      <w:sz w:val="16"/>
                      <w:szCs w:val="16"/>
                    </w:rPr>
                    <w:t xml:space="preserve">Zdroj: Dáta poskytnuté jednotlivými DSS, IFP </w:t>
                  </w:r>
                </w:p>
              </w:tc>
              <w:tc>
                <w:tcPr>
                  <w:tcW w:w="179" w:type="dxa"/>
                  <w:vAlign w:val="center"/>
                </w:tcPr>
                <w:p w14:paraId="295E18DA" w14:textId="77777777" w:rsidR="003001F9" w:rsidRPr="004862C8" w:rsidRDefault="003001F9" w:rsidP="00F14AB4">
                  <w:pPr>
                    <w:spacing w:after="0" w:line="240" w:lineRule="auto"/>
                    <w:rPr>
                      <w:rFonts w:ascii="Arial Narrow" w:hAnsi="Arial Narrow"/>
                    </w:rPr>
                  </w:pPr>
                </w:p>
              </w:tc>
            </w:tr>
            <w:tr w:rsidR="003001F9" w:rsidRPr="004862C8" w14:paraId="50D1CC95" w14:textId="77777777" w:rsidTr="00F14AB4">
              <w:trPr>
                <w:gridAfter w:val="1"/>
                <w:wAfter w:w="179" w:type="dxa"/>
                <w:trHeight w:val="72"/>
              </w:trPr>
              <w:tc>
                <w:tcPr>
                  <w:tcW w:w="8573" w:type="dxa"/>
                  <w:gridSpan w:val="3"/>
                  <w:tcBorders>
                    <w:left w:val="nil"/>
                    <w:bottom w:val="nil"/>
                    <w:right w:val="nil"/>
                  </w:tcBorders>
                  <w:vAlign w:val="center"/>
                </w:tcPr>
                <w:p w14:paraId="128D4662" w14:textId="77777777" w:rsidR="003001F9" w:rsidRPr="004862C8" w:rsidRDefault="003001F9" w:rsidP="00F14AB4">
                  <w:pPr>
                    <w:pStyle w:val="Textpoznmkypodiarou"/>
                    <w:jc w:val="both"/>
                    <w:rPr>
                      <w:rFonts w:ascii="Arial Narrow" w:hAnsi="Arial Narrow"/>
                      <w:b/>
                      <w:sz w:val="22"/>
                      <w:szCs w:val="22"/>
                    </w:rPr>
                  </w:pPr>
                </w:p>
              </w:tc>
            </w:tr>
          </w:tbl>
          <w:p w14:paraId="1BA245B3" w14:textId="77777777" w:rsidR="003001F9" w:rsidRDefault="003001F9" w:rsidP="003001F9">
            <w:pPr>
              <w:spacing w:after="0" w:line="240" w:lineRule="auto"/>
              <w:jc w:val="both"/>
              <w:rPr>
                <w:rFonts w:ascii="Arial Narrow" w:hAnsi="Arial Narrow"/>
              </w:rPr>
            </w:pPr>
            <w:r w:rsidRPr="004862C8">
              <w:rPr>
                <w:rFonts w:ascii="Arial Narrow" w:hAnsi="Arial Narrow"/>
                <w:b/>
              </w:rPr>
              <w:t xml:space="preserve">Najlepší pomer výnosu k riziku poskytuje tzv. akumulačná sporiaca stratégia s desaťročným programovým výberom a následným zakúpením doživotnej anuity. </w:t>
            </w:r>
            <w:r w:rsidRPr="004862C8">
              <w:rPr>
                <w:rFonts w:ascii="Arial Narrow" w:hAnsi="Arial Narrow"/>
              </w:rPr>
              <w:t xml:space="preserve">V akumulačnej stratégii investuje sporiteľ prvú polovicu sporenia výlučne do akcií. V druhej polovici ponechá majetok v akciovom fonde a nové príspevky posiela do dlhopisového fondu. Akumulačná stratégia pritom prináša výrazne vyšší výnos a zároveň nižšie riziko, než v prípade celoživotného investovania do dlhopisov. Pre dosiahnutie ešte vyššieho dôchodku je vhodné kombinovať akumulačnú stratégiu s desaťročným programovým výberom. Aj po odchode do dôchodku by si sporiteľ nechal časť majetku v akciách. Alokáciu  úspor do akcií by počas čerpania dôchodku programovým výberom znižoval a vo vysokom veku by bol povinný zakúpiť si anuitu, aby predišiel riziku nedostatočných úspor v prípade dlhovekosti. </w:t>
            </w:r>
          </w:p>
          <w:p w14:paraId="3324AA05" w14:textId="77777777" w:rsidR="003001F9" w:rsidRPr="004862C8" w:rsidRDefault="003001F9" w:rsidP="003001F9">
            <w:pPr>
              <w:spacing w:after="0" w:line="240" w:lineRule="auto"/>
              <w:jc w:val="both"/>
              <w:rPr>
                <w:rFonts w:ascii="Arial Narrow" w:hAnsi="Arial Narrow"/>
              </w:rPr>
            </w:pPr>
          </w:p>
          <w:p w14:paraId="3B58A823" w14:textId="3D44D6C7" w:rsidR="003001F9" w:rsidRDefault="003001F9" w:rsidP="003001F9">
            <w:pPr>
              <w:spacing w:after="0" w:line="240" w:lineRule="auto"/>
              <w:jc w:val="both"/>
              <w:rPr>
                <w:rFonts w:ascii="Arial Narrow" w:hAnsi="Arial Narrow"/>
              </w:rPr>
            </w:pPr>
            <w:r w:rsidRPr="004862C8">
              <w:rPr>
                <w:rFonts w:ascii="Arial Narrow" w:hAnsi="Arial Narrow"/>
                <w:b/>
              </w:rPr>
              <w:t xml:space="preserve">Sporenie v odporúčanej predvolenej stratégii je výhodné nie len pre nových, ale aj pre súčasných sporiteľov. </w:t>
            </w:r>
            <w:r w:rsidRPr="004862C8">
              <w:rPr>
                <w:rFonts w:ascii="Arial Narrow" w:hAnsi="Arial Narrow"/>
              </w:rPr>
              <w:t>Problém neadekvátneho rozloženia úspor medzi rizikové a konzervatívne aktíva je aktuálny najmä pre súčasných sporiteľov, zavedenie predvolenej stratégie len pre nových sporiteľov by bolo len parciálnym riešením hlavného problému II. piliera pomenovaného revíziou výdavkov.</w:t>
            </w:r>
            <w:r w:rsidRPr="004862C8">
              <w:rPr>
                <w:rFonts w:ascii="Arial Narrow" w:hAnsi="Arial Narrow"/>
                <w:b/>
              </w:rPr>
              <w:t xml:space="preserve"> </w:t>
            </w:r>
            <w:r w:rsidRPr="004862C8">
              <w:rPr>
                <w:rFonts w:ascii="Arial Narrow" w:hAnsi="Arial Narrow"/>
              </w:rPr>
              <w:t xml:space="preserve">Napriek tomu, že počet sporiteľov v negarantovaných fondoch každoročne rastie, toto zvýšenie je len minimálne u sporiteľov </w:t>
            </w:r>
            <w:r w:rsidRPr="004862C8">
              <w:rPr>
                <w:rFonts w:ascii="Arial Narrow" w:hAnsi="Arial Narrow"/>
              </w:rPr>
              <w:lastRenderedPageBreak/>
              <w:t>starších ako 30 rokov. Pre väčšinu z nich platí, že prestup do predvolenej stratégie</w:t>
            </w:r>
            <w:r w:rsidR="00CC6E4A">
              <w:rPr>
                <w:rFonts w:ascii="Arial Narrow" w:hAnsi="Arial Narrow"/>
              </w:rPr>
              <w:t xml:space="preserve"> by bol pre nich ziskový</w:t>
            </w:r>
            <w:r w:rsidRPr="004862C8">
              <w:rPr>
                <w:rFonts w:ascii="Arial Narrow" w:hAnsi="Arial Narrow"/>
              </w:rPr>
              <w:t>, keďže je ich horizont sporenia dostatočne vzdialený.</w:t>
            </w:r>
          </w:p>
          <w:p w14:paraId="1EE35410" w14:textId="77777777" w:rsidR="003001F9" w:rsidRPr="004862C8" w:rsidRDefault="003001F9" w:rsidP="003001F9">
            <w:pPr>
              <w:spacing w:after="0" w:line="240" w:lineRule="auto"/>
              <w:jc w:val="both"/>
              <w:rPr>
                <w:rFonts w:ascii="Arial Narrow" w:hAnsi="Arial Narrow"/>
              </w:rPr>
            </w:pPr>
          </w:p>
          <w:p w14:paraId="533724D3" w14:textId="77777777" w:rsidR="003001F9" w:rsidRPr="004862C8" w:rsidRDefault="003001F9" w:rsidP="003001F9">
            <w:pPr>
              <w:spacing w:after="120" w:line="240" w:lineRule="auto"/>
              <w:jc w:val="both"/>
              <w:rPr>
                <w:rFonts w:ascii="Arial Narrow" w:hAnsi="Arial Narrow"/>
              </w:rPr>
            </w:pPr>
            <w:r w:rsidRPr="004862C8">
              <w:rPr>
                <w:rFonts w:ascii="Arial Narrow" w:hAnsi="Arial Narrow"/>
              </w:rPr>
              <w:t xml:space="preserve">Zvýšeniu efektívnosti zhodnotenia úspor v II. pilieri a lepším dôchodkom by pomohli tieto opatrenia: </w:t>
            </w:r>
          </w:p>
          <w:p w14:paraId="7CC58621" w14:textId="4120E4F2" w:rsidR="003001F9" w:rsidRPr="003001F9" w:rsidRDefault="003001F9" w:rsidP="003001F9">
            <w:pPr>
              <w:pStyle w:val="Odsekzoznamu"/>
              <w:numPr>
                <w:ilvl w:val="0"/>
                <w:numId w:val="54"/>
              </w:numPr>
              <w:spacing w:after="120" w:line="240" w:lineRule="auto"/>
              <w:ind w:left="714" w:hanging="357"/>
              <w:contextualSpacing w:val="0"/>
              <w:jc w:val="both"/>
              <w:rPr>
                <w:rFonts w:ascii="Arial Narrow" w:hAnsi="Arial Narrow"/>
                <w:szCs w:val="24"/>
              </w:rPr>
            </w:pPr>
            <w:r w:rsidRPr="004862C8">
              <w:rPr>
                <w:rFonts w:ascii="Arial Narrow" w:hAnsi="Arial Narrow"/>
                <w:b/>
                <w:bCs/>
                <w:szCs w:val="24"/>
                <w:bdr w:val="none" w:sz="0" w:space="0" w:color="auto" w:frame="1"/>
              </w:rPr>
              <w:t xml:space="preserve">Automatický vstup do predvolenej stratégie pre všetkých </w:t>
            </w:r>
            <w:r w:rsidRPr="004862C8">
              <w:rPr>
                <w:rFonts w:ascii="Arial Narrow" w:hAnsi="Arial Narrow"/>
                <w:b/>
                <w:bCs/>
                <w:szCs w:val="24"/>
                <w:u w:val="single"/>
                <w:bdr w:val="none" w:sz="0" w:space="0" w:color="auto" w:frame="1"/>
              </w:rPr>
              <w:t>nových</w:t>
            </w:r>
            <w:r w:rsidRPr="004862C8">
              <w:rPr>
                <w:rFonts w:ascii="Arial Narrow" w:hAnsi="Arial Narrow"/>
                <w:b/>
                <w:bCs/>
                <w:szCs w:val="24"/>
                <w:bdr w:val="none" w:sz="0" w:space="0" w:color="auto" w:frame="1"/>
              </w:rPr>
              <w:t xml:space="preserve"> sporiteľov v II. pilieri. </w:t>
            </w:r>
            <w:r w:rsidRPr="004862C8">
              <w:rPr>
                <w:rFonts w:ascii="Arial Narrow" w:hAnsi="Arial Narrow"/>
                <w:szCs w:val="24"/>
                <w:bdr w:val="none" w:sz="0" w:space="0" w:color="auto" w:frame="1"/>
              </w:rPr>
              <w:t xml:space="preserve">Ako predvolenú stratégiu odporúčame vyššie uvedenú akumulačnú stratégiu. </w:t>
            </w:r>
          </w:p>
          <w:p w14:paraId="60FEF8BC" w14:textId="665B0990" w:rsidR="003001F9" w:rsidRPr="003001F9" w:rsidRDefault="003001F9" w:rsidP="003001F9">
            <w:pPr>
              <w:pStyle w:val="Odsekzoznamu"/>
              <w:numPr>
                <w:ilvl w:val="0"/>
                <w:numId w:val="54"/>
              </w:numPr>
              <w:spacing w:after="120" w:line="240" w:lineRule="auto"/>
              <w:ind w:left="714" w:hanging="357"/>
              <w:contextualSpacing w:val="0"/>
              <w:jc w:val="both"/>
              <w:rPr>
                <w:rFonts w:ascii="Arial Narrow" w:hAnsi="Arial Narrow"/>
                <w:b/>
                <w:bCs/>
                <w:szCs w:val="24"/>
                <w:bdr w:val="none" w:sz="0" w:space="0" w:color="auto" w:frame="1"/>
              </w:rPr>
            </w:pPr>
            <w:r w:rsidRPr="004862C8">
              <w:rPr>
                <w:rFonts w:ascii="Arial Narrow" w:hAnsi="Arial Narrow"/>
                <w:b/>
                <w:bCs/>
                <w:szCs w:val="24"/>
                <w:bdr w:val="none" w:sz="0" w:space="0" w:color="auto" w:frame="1"/>
              </w:rPr>
              <w:t>Úprava výplatnej fázy: výplata dôchodku programovým výberom prvých 10 rokov (sporiteľ naďalej investuje časť majetku do akcií) a násle</w:t>
            </w:r>
            <w:r w:rsidR="00CC6E4A">
              <w:rPr>
                <w:rFonts w:ascii="Arial Narrow" w:hAnsi="Arial Narrow"/>
                <w:b/>
                <w:bCs/>
                <w:szCs w:val="24"/>
                <w:bdr w:val="none" w:sz="0" w:space="0" w:color="auto" w:frame="1"/>
              </w:rPr>
              <w:t xml:space="preserve">dná povinná </w:t>
            </w:r>
            <w:proofErr w:type="spellStart"/>
            <w:r w:rsidR="00CC6E4A">
              <w:rPr>
                <w:rFonts w:ascii="Arial Narrow" w:hAnsi="Arial Narrow"/>
                <w:b/>
                <w:bCs/>
                <w:szCs w:val="24"/>
                <w:bdr w:val="none" w:sz="0" w:space="0" w:color="auto" w:frame="1"/>
              </w:rPr>
              <w:t>anuitizácia</w:t>
            </w:r>
            <w:proofErr w:type="spellEnd"/>
            <w:r w:rsidRPr="004862C8">
              <w:rPr>
                <w:rFonts w:ascii="Arial Narrow" w:hAnsi="Arial Narrow"/>
                <w:b/>
                <w:bCs/>
                <w:szCs w:val="24"/>
                <w:bdr w:val="none" w:sz="0" w:space="0" w:color="auto" w:frame="1"/>
              </w:rPr>
              <w:t>.</w:t>
            </w:r>
          </w:p>
          <w:p w14:paraId="7E53C8CE" w14:textId="21489FAC" w:rsidR="003001F9" w:rsidRPr="003001F9" w:rsidRDefault="003001F9" w:rsidP="003001F9">
            <w:pPr>
              <w:pStyle w:val="Odsekzoznamu"/>
              <w:numPr>
                <w:ilvl w:val="0"/>
                <w:numId w:val="54"/>
              </w:numPr>
              <w:spacing w:after="0" w:line="240" w:lineRule="auto"/>
              <w:ind w:left="714" w:hanging="357"/>
              <w:contextualSpacing w:val="0"/>
              <w:jc w:val="both"/>
              <w:rPr>
                <w:rFonts w:ascii="Arial Narrow" w:hAnsi="Arial Narrow"/>
                <w:szCs w:val="24"/>
              </w:rPr>
            </w:pPr>
            <w:r w:rsidRPr="004862C8">
              <w:rPr>
                <w:rFonts w:ascii="Arial Narrow" w:hAnsi="Arial Narrow"/>
                <w:b/>
                <w:bCs/>
                <w:szCs w:val="24"/>
                <w:bdr w:val="none" w:sz="0" w:space="0" w:color="auto" w:frame="1"/>
              </w:rPr>
              <w:t xml:space="preserve">Presun </w:t>
            </w:r>
            <w:r w:rsidRPr="004862C8">
              <w:rPr>
                <w:rFonts w:ascii="Arial Narrow" w:hAnsi="Arial Narrow"/>
                <w:b/>
                <w:bCs/>
                <w:szCs w:val="24"/>
                <w:u w:val="single"/>
                <w:bdr w:val="none" w:sz="0" w:space="0" w:color="auto" w:frame="1"/>
              </w:rPr>
              <w:t>súčasných</w:t>
            </w:r>
            <w:r w:rsidRPr="004862C8">
              <w:rPr>
                <w:rFonts w:ascii="Arial Narrow" w:hAnsi="Arial Narrow"/>
                <w:b/>
                <w:bCs/>
                <w:szCs w:val="24"/>
                <w:bdr w:val="none" w:sz="0" w:space="0" w:color="auto" w:frame="1"/>
              </w:rPr>
              <w:t xml:space="preserve"> sporiteľov do predvolenej sporiacej stratégie. </w:t>
            </w:r>
          </w:p>
          <w:p w14:paraId="7A2258D5" w14:textId="77777777" w:rsidR="003001F9" w:rsidRPr="003001F9" w:rsidRDefault="003001F9" w:rsidP="003001F9">
            <w:pPr>
              <w:pStyle w:val="Odsekzoznamu"/>
              <w:spacing w:after="0" w:line="240" w:lineRule="auto"/>
              <w:ind w:left="714"/>
              <w:contextualSpacing w:val="0"/>
              <w:jc w:val="both"/>
              <w:rPr>
                <w:rFonts w:ascii="Arial Narrow" w:hAnsi="Arial Narrow"/>
                <w:szCs w:val="24"/>
              </w:rPr>
            </w:pPr>
          </w:p>
          <w:p w14:paraId="6F4B7BDF" w14:textId="3813D355" w:rsidR="003001F9" w:rsidRPr="004862C8" w:rsidRDefault="003001F9" w:rsidP="00CC6E4A">
            <w:pPr>
              <w:spacing w:line="240" w:lineRule="auto"/>
              <w:jc w:val="both"/>
              <w:rPr>
                <w:rFonts w:ascii="Arial Narrow" w:hAnsi="Arial Narrow"/>
              </w:rPr>
            </w:pPr>
            <w:r w:rsidRPr="004862C8">
              <w:rPr>
                <w:rFonts w:ascii="Arial Narrow" w:hAnsi="Arial Narrow"/>
              </w:rPr>
              <w:t>Viac o opatreniach zvyšujúcich efektívnosť dôchodkového sporenia a podrobnostiach nastavenia predvolenej stratégie sa môžete dočítať v </w:t>
            </w:r>
            <w:hyperlink r:id="rId33" w:history="1">
              <w:r w:rsidRPr="00CC6E4A">
                <w:rPr>
                  <w:rStyle w:val="Hypertextovprepojenie"/>
                  <w:rFonts w:ascii="Arial Narrow" w:hAnsi="Arial Narrow"/>
                </w:rPr>
                <w:t>komentári IFP</w:t>
              </w:r>
            </w:hyperlink>
            <w:r w:rsidRPr="004862C8">
              <w:rPr>
                <w:rFonts w:ascii="Arial Narrow" w:hAnsi="Arial Narrow"/>
              </w:rPr>
              <w:t>, alebo v </w:t>
            </w:r>
            <w:hyperlink r:id="rId34" w:history="1">
              <w:r w:rsidRPr="00CC6E4A">
                <w:rPr>
                  <w:rStyle w:val="Hypertextovprepojenie"/>
                  <w:rFonts w:ascii="Arial Narrow" w:hAnsi="Arial Narrow"/>
                </w:rPr>
                <w:t>t</w:t>
              </w:r>
              <w:r w:rsidR="00CC6E4A" w:rsidRPr="00CC6E4A">
                <w:rPr>
                  <w:rStyle w:val="Hypertextovprepojenie"/>
                  <w:rFonts w:ascii="Arial Narrow" w:hAnsi="Arial Narrow"/>
                </w:rPr>
                <w:t>echnickej analýze IFP</w:t>
              </w:r>
            </w:hyperlink>
            <w:r w:rsidRPr="004862C8">
              <w:rPr>
                <w:rFonts w:ascii="Arial Narrow" w:hAnsi="Arial Narrow"/>
              </w:rPr>
              <w:t>.</w:t>
            </w:r>
          </w:p>
        </w:tc>
      </w:tr>
    </w:tbl>
    <w:p w14:paraId="1B997A7F" w14:textId="77777777" w:rsidR="00DC54F3" w:rsidRPr="004C54B9" w:rsidRDefault="00DC54F3" w:rsidP="00DC54F3">
      <w:pPr>
        <w:spacing w:after="0" w:line="240" w:lineRule="auto"/>
        <w:jc w:val="both"/>
        <w:rPr>
          <w:rFonts w:ascii="Arial Narrow" w:hAnsi="Arial Narrow"/>
        </w:rPr>
      </w:pPr>
    </w:p>
    <w:p w14:paraId="3017196B" w14:textId="36C25FD3" w:rsidR="00DC54F3" w:rsidRPr="00DC54F3" w:rsidRDefault="00DC54F3" w:rsidP="00DC54F3">
      <w:pPr>
        <w:keepNext/>
        <w:keepLines/>
        <w:numPr>
          <w:ilvl w:val="2"/>
          <w:numId w:val="1"/>
        </w:numPr>
        <w:spacing w:before="200" w:after="240" w:line="240" w:lineRule="auto"/>
        <w:ind w:left="720"/>
        <w:jc w:val="both"/>
        <w:outlineLvl w:val="1"/>
        <w:rPr>
          <w:rFonts w:ascii="Arial Narrow" w:eastAsiaTheme="majorEastAsia" w:hAnsi="Arial Narrow" w:cstheme="majorBidi"/>
          <w:b/>
          <w:bCs/>
          <w:color w:val="2C9ADC"/>
          <w:sz w:val="28"/>
        </w:rPr>
      </w:pPr>
      <w:bookmarkStart w:id="53" w:name="_Toc386005372"/>
      <w:bookmarkStart w:id="54" w:name="_Toc448824648"/>
      <w:bookmarkStart w:id="55" w:name="_Toc480749811"/>
      <w:bookmarkStart w:id="56" w:name="_Toc4766841"/>
      <w:r w:rsidRPr="00DC54F3">
        <w:rPr>
          <w:rFonts w:ascii="Arial Narrow" w:eastAsiaTheme="majorEastAsia" w:hAnsi="Arial Narrow" w:cstheme="majorBidi"/>
          <w:b/>
          <w:bCs/>
          <w:color w:val="2C9ADC"/>
          <w:sz w:val="28"/>
        </w:rPr>
        <w:t>Sociálna inklúzia</w:t>
      </w:r>
      <w:bookmarkEnd w:id="53"/>
      <w:bookmarkEnd w:id="54"/>
      <w:bookmarkEnd w:id="55"/>
      <w:bookmarkEnd w:id="56"/>
    </w:p>
    <w:p w14:paraId="33D2A96A" w14:textId="77777777" w:rsidR="00DC54F3" w:rsidRPr="004C54B9" w:rsidRDefault="00DC54F3" w:rsidP="00DC54F3">
      <w:pPr>
        <w:spacing w:after="0" w:line="240" w:lineRule="auto"/>
        <w:jc w:val="both"/>
        <w:rPr>
          <w:rFonts w:ascii="Arial Narrow" w:hAnsi="Arial Narrow"/>
          <w:b/>
          <w:i/>
        </w:rPr>
      </w:pPr>
      <w:r w:rsidRPr="004C54B9">
        <w:rPr>
          <w:rFonts w:ascii="Arial Narrow" w:hAnsi="Arial Narrow"/>
          <w:b/>
          <w:i/>
        </w:rPr>
        <w:t xml:space="preserve">Podpora marginalizovaných rómskych komunít </w:t>
      </w:r>
    </w:p>
    <w:p w14:paraId="33BA1253" w14:textId="77777777" w:rsidR="00DC54F3" w:rsidRPr="004C54B9" w:rsidRDefault="00DC54F3" w:rsidP="00DC54F3">
      <w:pPr>
        <w:spacing w:after="0" w:line="240" w:lineRule="auto"/>
        <w:jc w:val="both"/>
        <w:rPr>
          <w:rFonts w:ascii="Arial Narrow" w:hAnsi="Arial Narrow"/>
        </w:rPr>
      </w:pPr>
      <w:r w:rsidRPr="004C54B9">
        <w:rPr>
          <w:rFonts w:ascii="Arial Narrow" w:hAnsi="Arial Narrow"/>
          <w:b/>
        </w:rPr>
        <w:t>Na zlepšenie sociálnej integrácie bude pokračovať implementácia viacerých projektov</w:t>
      </w:r>
      <w:r w:rsidRPr="004C54B9">
        <w:rPr>
          <w:rFonts w:ascii="Arial Narrow" w:hAnsi="Arial Narrow"/>
        </w:rPr>
        <w:t xml:space="preserve">. V priebehu roka 2019 sa predpokladá schválenie projektových zámerov a zabezpečenie kontinuálneho pokračovania druhých fáz národných projektov </w:t>
      </w:r>
      <w:r w:rsidRPr="004C54B9">
        <w:rPr>
          <w:rFonts w:ascii="Arial Narrow" w:hAnsi="Arial Narrow"/>
          <w:i/>
        </w:rPr>
        <w:t>Terénna sociálna práca a terénna práca v obciach s prítomnosťou MRK</w:t>
      </w:r>
      <w:r w:rsidRPr="004C54B9">
        <w:rPr>
          <w:rFonts w:ascii="Arial Narrow" w:hAnsi="Arial Narrow"/>
        </w:rPr>
        <w:t xml:space="preserve"> a </w:t>
      </w:r>
      <w:r w:rsidRPr="004C54B9">
        <w:rPr>
          <w:rFonts w:ascii="Arial Narrow" w:hAnsi="Arial Narrow"/>
          <w:i/>
        </w:rPr>
        <w:t>Komunitné centrá</w:t>
      </w:r>
      <w:r w:rsidRPr="004C54B9">
        <w:rPr>
          <w:rFonts w:ascii="Arial Narrow" w:hAnsi="Arial Narrow"/>
        </w:rPr>
        <w:t xml:space="preserve">. Bude sa pokračovať v implementácii národných projektov zameraných na podporu inklúzie vylúčených komunít v oblastiach sociálnych služieb a sociálnej práce, vo vzdelávaní, pri </w:t>
      </w:r>
      <w:proofErr w:type="spellStart"/>
      <w:r w:rsidRPr="004C54B9">
        <w:rPr>
          <w:rFonts w:ascii="Arial Narrow" w:hAnsi="Arial Narrow"/>
        </w:rPr>
        <w:t>vysporiadavaní</w:t>
      </w:r>
      <w:proofErr w:type="spellEnd"/>
      <w:r w:rsidRPr="004C54B9">
        <w:rPr>
          <w:rFonts w:ascii="Arial Narrow" w:hAnsi="Arial Narrow"/>
        </w:rPr>
        <w:t xml:space="preserve"> pozemkov a pri monitorovaní a vyhodnocovaní politík</w:t>
      </w:r>
      <w:r w:rsidRPr="004C54B9">
        <w:rPr>
          <w:rStyle w:val="Odkaznapoznmkupodiarou"/>
          <w:rFonts w:ascii="Arial Narrow" w:hAnsi="Arial Narrow"/>
        </w:rPr>
        <w:footnoteReference w:id="91"/>
      </w:r>
      <w:r w:rsidRPr="004C54B9">
        <w:rPr>
          <w:rFonts w:ascii="Arial Narrow" w:hAnsi="Arial Narrow"/>
        </w:rPr>
        <w:t>.</w:t>
      </w:r>
    </w:p>
    <w:p w14:paraId="01348C47" w14:textId="77777777" w:rsidR="00156BEA" w:rsidRDefault="00156BEA" w:rsidP="004C54B9">
      <w:pPr>
        <w:spacing w:after="0" w:line="240" w:lineRule="auto"/>
        <w:jc w:val="both"/>
        <w:rPr>
          <w:rFonts w:ascii="Arial Narrow" w:hAnsi="Arial Narrow"/>
        </w:rPr>
      </w:pPr>
    </w:p>
    <w:tbl>
      <w:tblPr>
        <w:tblW w:w="8554" w:type="dxa"/>
        <w:tblBorders>
          <w:insideH w:val="single" w:sz="4" w:space="0" w:color="auto"/>
          <w:insideV w:val="single" w:sz="4" w:space="0" w:color="auto"/>
        </w:tblBorders>
        <w:shd w:val="clear" w:color="auto" w:fill="AAD3F2"/>
        <w:tblLayout w:type="fixed"/>
        <w:tblLook w:val="01E0" w:firstRow="1" w:lastRow="1" w:firstColumn="1" w:lastColumn="1" w:noHBand="0" w:noVBand="0"/>
      </w:tblPr>
      <w:tblGrid>
        <w:gridCol w:w="8554"/>
      </w:tblGrid>
      <w:tr w:rsidR="00156BEA" w:rsidRPr="006C144F" w14:paraId="3F6FB49D" w14:textId="77777777" w:rsidTr="006F4103">
        <w:trPr>
          <w:trHeight w:val="1985"/>
        </w:trPr>
        <w:tc>
          <w:tcPr>
            <w:tcW w:w="8554" w:type="dxa"/>
            <w:shd w:val="clear" w:color="auto" w:fill="AAD3F2"/>
          </w:tcPr>
          <w:p w14:paraId="1F320DAC" w14:textId="10795215" w:rsidR="00156BEA" w:rsidRDefault="00156BEA" w:rsidP="007C219D">
            <w:pPr>
              <w:spacing w:before="120" w:line="240" w:lineRule="auto"/>
              <w:ind w:right="1015"/>
              <w:jc w:val="both"/>
              <w:rPr>
                <w:rFonts w:ascii="Arial Narrow" w:eastAsia="NeueHaasGroteskText W02" w:hAnsi="Arial Narrow" w:cs="Arial"/>
                <w:b/>
                <w:bCs/>
                <w:color w:val="000000" w:themeColor="text1"/>
                <w:szCs w:val="18"/>
                <w:u w:color="2C9ADC"/>
              </w:rPr>
            </w:pPr>
            <w:r>
              <w:rPr>
                <w:rFonts w:ascii="Arial Narrow" w:eastAsia="NeueHaasGroteskText W02" w:hAnsi="Arial Narrow" w:cs="Arial"/>
                <w:b/>
                <w:bCs/>
                <w:color w:val="000000" w:themeColor="text1"/>
                <w:szCs w:val="18"/>
                <w:u w:color="2C9ADC"/>
              </w:rPr>
              <w:t>Box</w:t>
            </w:r>
            <w:r w:rsidRPr="008E5BC0">
              <w:rPr>
                <w:rFonts w:ascii="Arial Narrow" w:eastAsia="NeueHaasGroteskText W02" w:hAnsi="Arial Narrow" w:cs="Arial"/>
                <w:b/>
                <w:bCs/>
                <w:color w:val="000000" w:themeColor="text1"/>
                <w:szCs w:val="18"/>
                <w:u w:color="2C9ADC"/>
              </w:rPr>
              <w:t xml:space="preserve"> </w:t>
            </w:r>
            <w:r w:rsidR="0095739D">
              <w:rPr>
                <w:rFonts w:ascii="Arial Narrow" w:eastAsia="NeueHaasGroteskText W02" w:hAnsi="Arial Narrow" w:cs="Arial"/>
                <w:b/>
                <w:bCs/>
                <w:color w:val="000000" w:themeColor="text1"/>
                <w:szCs w:val="18"/>
                <w:u w:color="2C9ADC"/>
              </w:rPr>
              <w:t>4</w:t>
            </w:r>
            <w:r w:rsidRPr="008E5BC0">
              <w:rPr>
                <w:rFonts w:ascii="Arial Narrow" w:eastAsia="NeueHaasGroteskText W02" w:hAnsi="Arial Narrow" w:cs="Arial"/>
                <w:b/>
                <w:bCs/>
                <w:color w:val="000000" w:themeColor="text1"/>
                <w:szCs w:val="18"/>
                <w:u w:color="2C9ADC"/>
              </w:rPr>
              <w:t xml:space="preserve">: </w:t>
            </w:r>
            <w:r>
              <w:rPr>
                <w:rFonts w:ascii="Arial Narrow" w:eastAsia="NeueHaasGroteskText W02" w:hAnsi="Arial Narrow" w:cs="Arial"/>
                <w:b/>
                <w:bCs/>
                <w:color w:val="000000" w:themeColor="text1"/>
                <w:szCs w:val="18"/>
                <w:u w:color="2C9ADC"/>
              </w:rPr>
              <w:t xml:space="preserve">Sociálna inklúzia rómskej populácie </w:t>
            </w:r>
          </w:p>
          <w:p w14:paraId="5E4345EA" w14:textId="797FEC55" w:rsidR="00156BEA" w:rsidRDefault="005952C3" w:rsidP="006F4103">
            <w:pPr>
              <w:widowControl w:val="0"/>
              <w:tabs>
                <w:tab w:val="right" w:pos="9531"/>
              </w:tabs>
              <w:spacing w:after="0" w:line="240" w:lineRule="auto"/>
              <w:ind w:right="34"/>
              <w:jc w:val="both"/>
              <w:rPr>
                <w:rFonts w:ascii="Arial Narrow" w:eastAsia="NeueHaasGroteskText W02" w:hAnsi="Arial Narrow" w:cs="Arial"/>
                <w:szCs w:val="20"/>
              </w:rPr>
            </w:pPr>
            <w:hyperlink r:id="rId35" w:history="1">
              <w:r w:rsidR="00156BEA" w:rsidRPr="0037200F">
                <w:rPr>
                  <w:rStyle w:val="Hypertextovprepojenie"/>
                  <w:rFonts w:ascii="Arial Narrow" w:eastAsia="NeueHaasGroteskText W02" w:hAnsi="Arial Narrow" w:cs="Arial"/>
                  <w:b/>
                  <w:szCs w:val="20"/>
                </w:rPr>
                <w:t>O</w:t>
              </w:r>
              <w:r w:rsidR="00156BEA" w:rsidRPr="0037200F">
                <w:rPr>
                  <w:rStyle w:val="Hypertextovprepojenie"/>
                  <w:rFonts w:ascii="Arial Narrow" w:eastAsia="NeueHaasGroteskText W02" w:hAnsi="Arial Narrow" w:cs="Arial"/>
                  <w:b/>
                  <w:i/>
                  <w:szCs w:val="20"/>
                </w:rPr>
                <w:t>ECD Ekonomický prehľad Slovenska 2019</w:t>
              </w:r>
            </w:hyperlink>
            <w:r w:rsidR="00156BEA">
              <w:rPr>
                <w:rFonts w:ascii="Arial Narrow" w:eastAsia="NeueHaasGroteskText W02" w:hAnsi="Arial Narrow" w:cs="Arial"/>
                <w:b/>
                <w:szCs w:val="20"/>
              </w:rPr>
              <w:t xml:space="preserve"> odporúča zlepšiť politiky sociálnej integrácie</w:t>
            </w:r>
            <w:r w:rsidR="00C150A7">
              <w:rPr>
                <w:rFonts w:ascii="Arial Narrow" w:eastAsia="NeueHaasGroteskText W02" w:hAnsi="Arial Narrow" w:cs="Arial"/>
                <w:b/>
                <w:szCs w:val="20"/>
              </w:rPr>
              <w:t xml:space="preserve"> ľudí z </w:t>
            </w:r>
            <w:r w:rsidR="00156BEA">
              <w:rPr>
                <w:rFonts w:ascii="Arial Narrow" w:eastAsia="NeueHaasGroteskText W02" w:hAnsi="Arial Narrow" w:cs="Arial"/>
                <w:b/>
                <w:szCs w:val="20"/>
              </w:rPr>
              <w:t xml:space="preserve">MRK na Slovensku. </w:t>
            </w:r>
            <w:r w:rsidR="00156BEA" w:rsidRPr="00A12ED7">
              <w:rPr>
                <w:rFonts w:ascii="Arial Narrow" w:eastAsia="NeueHaasGroteskText W02" w:hAnsi="Arial Narrow" w:cs="Arial"/>
                <w:szCs w:val="20"/>
              </w:rPr>
              <w:t xml:space="preserve">Publikácia identifikuje slabý prístup </w:t>
            </w:r>
            <w:r w:rsidR="00C150A7">
              <w:rPr>
                <w:rFonts w:ascii="Arial Narrow" w:eastAsia="NeueHaasGroteskText W02" w:hAnsi="Arial Narrow" w:cs="Arial"/>
                <w:szCs w:val="20"/>
              </w:rPr>
              <w:t xml:space="preserve">MRK </w:t>
            </w:r>
            <w:r w:rsidR="00156BEA" w:rsidRPr="00A12ED7">
              <w:rPr>
                <w:rFonts w:ascii="Arial Narrow" w:eastAsia="NeueHaasGroteskText W02" w:hAnsi="Arial Narrow" w:cs="Arial"/>
                <w:szCs w:val="20"/>
              </w:rPr>
              <w:t>k verejným službám (školstvo, zdravotníctvo a bývanie), nízku účasť rómskych detí na predškolskom vzdelávaní, zlé výsledky rómskych žiakov na základných školách a zlé výsledky na trhu práce.</w:t>
            </w:r>
            <w:r w:rsidR="00C150A7">
              <w:rPr>
                <w:rFonts w:ascii="Arial Narrow" w:eastAsia="NeueHaasGroteskText W02" w:hAnsi="Arial Narrow" w:cs="Arial"/>
                <w:b/>
                <w:szCs w:val="20"/>
              </w:rPr>
              <w:t xml:space="preserve"> </w:t>
            </w:r>
            <w:r w:rsidR="00156BEA">
              <w:rPr>
                <w:rFonts w:ascii="Arial Narrow" w:eastAsia="NeueHaasGroteskText W02" w:hAnsi="Arial Narrow" w:cs="Arial"/>
                <w:szCs w:val="20"/>
              </w:rPr>
              <w:t xml:space="preserve">OECD preto navrhuje tieto hlavné </w:t>
            </w:r>
            <w:r w:rsidR="00156BEA" w:rsidRPr="00A12ED7">
              <w:rPr>
                <w:rFonts w:ascii="Arial Narrow" w:eastAsia="NeueHaasGroteskText W02" w:hAnsi="Arial Narrow" w:cs="Arial"/>
                <w:szCs w:val="20"/>
              </w:rPr>
              <w:t>odporúčania</w:t>
            </w:r>
            <w:r w:rsidR="00156BEA">
              <w:rPr>
                <w:rFonts w:ascii="Arial Narrow" w:eastAsia="NeueHaasGroteskText W02" w:hAnsi="Arial Narrow" w:cs="Arial"/>
                <w:szCs w:val="20"/>
              </w:rPr>
              <w:t xml:space="preserve"> pre Slovensko</w:t>
            </w:r>
            <w:r w:rsidR="00156BEA" w:rsidRPr="00A12ED7">
              <w:rPr>
                <w:rFonts w:ascii="Arial Narrow" w:eastAsia="NeueHaasGroteskText W02" w:hAnsi="Arial Narrow" w:cs="Arial"/>
                <w:szCs w:val="20"/>
              </w:rPr>
              <w:t>:</w:t>
            </w:r>
          </w:p>
          <w:p w14:paraId="19A21569" w14:textId="77777777" w:rsidR="00FA52E1" w:rsidRDefault="00FA52E1" w:rsidP="006F4103">
            <w:pPr>
              <w:widowControl w:val="0"/>
              <w:tabs>
                <w:tab w:val="right" w:pos="9531"/>
              </w:tabs>
              <w:spacing w:after="0" w:line="240" w:lineRule="auto"/>
              <w:ind w:right="34"/>
              <w:jc w:val="both"/>
              <w:rPr>
                <w:rFonts w:ascii="Arial Narrow" w:eastAsia="NeueHaasGroteskText W02" w:hAnsi="Arial Narrow" w:cs="Arial"/>
                <w:b/>
                <w:i/>
                <w:szCs w:val="20"/>
              </w:rPr>
            </w:pPr>
          </w:p>
          <w:p w14:paraId="55DE1852" w14:textId="77777777" w:rsidR="00156BEA" w:rsidRPr="008A5C7B" w:rsidRDefault="00156BEA" w:rsidP="006F4103">
            <w:pPr>
              <w:widowControl w:val="0"/>
              <w:tabs>
                <w:tab w:val="right" w:pos="9531"/>
              </w:tabs>
              <w:spacing w:after="0" w:line="240" w:lineRule="auto"/>
              <w:ind w:right="34"/>
              <w:jc w:val="both"/>
              <w:rPr>
                <w:rFonts w:ascii="Arial Narrow" w:eastAsia="NeueHaasGroteskText W02" w:hAnsi="Arial Narrow" w:cs="Arial"/>
                <w:b/>
                <w:i/>
                <w:szCs w:val="20"/>
              </w:rPr>
            </w:pPr>
            <w:r w:rsidRPr="008A5C7B">
              <w:rPr>
                <w:rFonts w:ascii="Arial Narrow" w:eastAsia="NeueHaasGroteskText W02" w:hAnsi="Arial Narrow" w:cs="Arial"/>
                <w:b/>
                <w:i/>
                <w:szCs w:val="20"/>
              </w:rPr>
              <w:t xml:space="preserve">Integrovaný prístup k inklúzii </w:t>
            </w:r>
            <w:r>
              <w:rPr>
                <w:rFonts w:ascii="Arial Narrow" w:eastAsia="NeueHaasGroteskText W02" w:hAnsi="Arial Narrow" w:cs="Arial"/>
                <w:b/>
                <w:i/>
                <w:szCs w:val="20"/>
              </w:rPr>
              <w:t>MRK</w:t>
            </w:r>
          </w:p>
          <w:p w14:paraId="4457D45C" w14:textId="77777777" w:rsidR="00156BEA" w:rsidRDefault="00156BEA" w:rsidP="006F4103">
            <w:pPr>
              <w:pStyle w:val="Odsekzoznamu"/>
              <w:widowControl w:val="0"/>
              <w:numPr>
                <w:ilvl w:val="0"/>
                <w:numId w:val="55"/>
              </w:numPr>
              <w:tabs>
                <w:tab w:val="right" w:pos="9531"/>
              </w:tabs>
              <w:spacing w:after="0" w:line="240" w:lineRule="auto"/>
              <w:ind w:left="357" w:right="34" w:hanging="357"/>
              <w:contextualSpacing w:val="0"/>
              <w:jc w:val="both"/>
              <w:rPr>
                <w:rFonts w:ascii="Arial Narrow" w:eastAsia="NeueHaasGroteskText W02" w:hAnsi="Arial Narrow" w:cs="Arial"/>
                <w:szCs w:val="20"/>
              </w:rPr>
            </w:pPr>
            <w:r>
              <w:rPr>
                <w:rFonts w:ascii="Arial Narrow" w:eastAsia="NeueHaasGroteskText W02" w:hAnsi="Arial Narrow" w:cs="Arial"/>
                <w:szCs w:val="20"/>
              </w:rPr>
              <w:t>Zvýšiť úlohu Splnomocnenca vlády SR pre rómske komunity pri koordinácii politík a zabezpečovaní integrovaného prístupu pri poskytovaní verejných služieb.</w:t>
            </w:r>
          </w:p>
          <w:p w14:paraId="787AADB4" w14:textId="77777777" w:rsidR="00156BEA" w:rsidRDefault="00156BEA" w:rsidP="006F4103">
            <w:pPr>
              <w:pStyle w:val="Odsekzoznamu"/>
              <w:widowControl w:val="0"/>
              <w:numPr>
                <w:ilvl w:val="0"/>
                <w:numId w:val="55"/>
              </w:numPr>
              <w:tabs>
                <w:tab w:val="right" w:pos="9531"/>
              </w:tabs>
              <w:spacing w:after="0" w:line="240" w:lineRule="auto"/>
              <w:ind w:left="357" w:right="34" w:hanging="357"/>
              <w:contextualSpacing w:val="0"/>
              <w:jc w:val="both"/>
              <w:rPr>
                <w:rFonts w:ascii="Arial Narrow" w:eastAsia="NeueHaasGroteskText W02" w:hAnsi="Arial Narrow" w:cs="Arial"/>
                <w:szCs w:val="20"/>
              </w:rPr>
            </w:pPr>
            <w:r>
              <w:rPr>
                <w:rFonts w:ascii="Arial Narrow" w:eastAsia="NeueHaasGroteskText W02" w:hAnsi="Arial Narrow" w:cs="Arial"/>
                <w:szCs w:val="20"/>
              </w:rPr>
              <w:t>Zahrnúť Rómov do rozvoja a poskytovania integrovaných verejných služieb v zdravotníctve a vo vzdelávaní, či pri poskytovaní verejných služieb zamestnanosti.</w:t>
            </w:r>
          </w:p>
          <w:p w14:paraId="1566BBE5" w14:textId="51B1105E" w:rsidR="00156BEA" w:rsidRDefault="00156BEA" w:rsidP="006F4103">
            <w:pPr>
              <w:pStyle w:val="Odsekzoznamu"/>
              <w:widowControl w:val="0"/>
              <w:numPr>
                <w:ilvl w:val="0"/>
                <w:numId w:val="55"/>
              </w:numPr>
              <w:tabs>
                <w:tab w:val="right" w:pos="9531"/>
              </w:tabs>
              <w:spacing w:after="0" w:line="240" w:lineRule="auto"/>
              <w:ind w:left="357" w:right="34" w:hanging="357"/>
              <w:contextualSpacing w:val="0"/>
              <w:jc w:val="both"/>
              <w:rPr>
                <w:rFonts w:ascii="Arial Narrow" w:eastAsia="NeueHaasGroteskText W02" w:hAnsi="Arial Narrow" w:cs="Arial"/>
                <w:szCs w:val="20"/>
              </w:rPr>
            </w:pPr>
            <w:r>
              <w:rPr>
                <w:rFonts w:ascii="Arial Narrow" w:eastAsia="NeueHaasGroteskText W02" w:hAnsi="Arial Narrow" w:cs="Arial"/>
                <w:szCs w:val="20"/>
              </w:rPr>
              <w:t>Rozšíriť úspešné programy financované z EÚ fon</w:t>
            </w:r>
            <w:r w:rsidR="00C150A7">
              <w:rPr>
                <w:rFonts w:ascii="Arial Narrow" w:eastAsia="NeueHaasGroteskText W02" w:hAnsi="Arial Narrow" w:cs="Arial"/>
                <w:szCs w:val="20"/>
              </w:rPr>
              <w:t xml:space="preserve">dov a zahrnúť ich do verejného rozpočtu </w:t>
            </w:r>
            <w:r>
              <w:rPr>
                <w:rFonts w:ascii="Arial Narrow" w:eastAsia="NeueHaasGroteskText W02" w:hAnsi="Arial Narrow" w:cs="Arial"/>
                <w:szCs w:val="20"/>
              </w:rPr>
              <w:t>pre ich stabilné financovanie.</w:t>
            </w:r>
          </w:p>
          <w:p w14:paraId="2142EA14" w14:textId="77777777" w:rsidR="00156BEA" w:rsidRDefault="00156BEA" w:rsidP="006F4103">
            <w:pPr>
              <w:pStyle w:val="Odsekzoznamu"/>
              <w:widowControl w:val="0"/>
              <w:numPr>
                <w:ilvl w:val="0"/>
                <w:numId w:val="55"/>
              </w:numPr>
              <w:tabs>
                <w:tab w:val="right" w:pos="9531"/>
              </w:tabs>
              <w:spacing w:after="0" w:line="240" w:lineRule="auto"/>
              <w:ind w:left="357" w:right="34" w:hanging="357"/>
              <w:contextualSpacing w:val="0"/>
              <w:jc w:val="both"/>
              <w:rPr>
                <w:rFonts w:ascii="Arial Narrow" w:eastAsia="NeueHaasGroteskText W02" w:hAnsi="Arial Narrow" w:cs="Arial"/>
                <w:szCs w:val="20"/>
              </w:rPr>
            </w:pPr>
            <w:r>
              <w:rPr>
                <w:rFonts w:ascii="Arial Narrow" w:eastAsia="NeueHaasGroteskText W02" w:hAnsi="Arial Narrow" w:cs="Arial"/>
                <w:szCs w:val="20"/>
              </w:rPr>
              <w:t xml:space="preserve">Zbierať štatistiky na monitorovanie a hodnotenie efektívnosti programov. </w:t>
            </w:r>
          </w:p>
          <w:p w14:paraId="0EEBE856" w14:textId="77777777" w:rsidR="006F4103" w:rsidRPr="008A5C7B" w:rsidRDefault="006F4103" w:rsidP="006F4103">
            <w:pPr>
              <w:pStyle w:val="Odsekzoznamu"/>
              <w:widowControl w:val="0"/>
              <w:tabs>
                <w:tab w:val="right" w:pos="9531"/>
              </w:tabs>
              <w:spacing w:after="0" w:line="240" w:lineRule="auto"/>
              <w:ind w:left="357" w:right="34"/>
              <w:contextualSpacing w:val="0"/>
              <w:jc w:val="both"/>
              <w:rPr>
                <w:rFonts w:ascii="Arial Narrow" w:eastAsia="NeueHaasGroteskText W02" w:hAnsi="Arial Narrow" w:cs="Arial"/>
                <w:szCs w:val="20"/>
              </w:rPr>
            </w:pPr>
          </w:p>
          <w:p w14:paraId="1F1AC959" w14:textId="77777777" w:rsidR="00156BEA" w:rsidRDefault="00156BEA" w:rsidP="006F4103">
            <w:pPr>
              <w:widowControl w:val="0"/>
              <w:tabs>
                <w:tab w:val="right" w:pos="9531"/>
              </w:tabs>
              <w:spacing w:after="0" w:line="240" w:lineRule="auto"/>
              <w:ind w:right="34"/>
              <w:jc w:val="both"/>
              <w:rPr>
                <w:rFonts w:ascii="Arial Narrow" w:eastAsia="NeueHaasGroteskText W02" w:hAnsi="Arial Narrow" w:cs="Arial"/>
                <w:b/>
                <w:i/>
                <w:szCs w:val="20"/>
              </w:rPr>
            </w:pPr>
            <w:r w:rsidRPr="008A5C7B">
              <w:rPr>
                <w:rFonts w:ascii="Arial Narrow" w:eastAsia="NeueHaasGroteskText W02" w:hAnsi="Arial Narrow" w:cs="Arial"/>
                <w:b/>
                <w:i/>
                <w:szCs w:val="20"/>
              </w:rPr>
              <w:t xml:space="preserve">Inklúzia vo vzdelávaní </w:t>
            </w:r>
          </w:p>
          <w:p w14:paraId="61AB2B21" w14:textId="77777777" w:rsidR="00156BEA" w:rsidRPr="008A5C7B" w:rsidRDefault="00156BEA" w:rsidP="006F4103">
            <w:pPr>
              <w:pStyle w:val="Odsekzoznamu"/>
              <w:widowControl w:val="0"/>
              <w:numPr>
                <w:ilvl w:val="0"/>
                <w:numId w:val="56"/>
              </w:numPr>
              <w:tabs>
                <w:tab w:val="right" w:pos="9531"/>
              </w:tabs>
              <w:spacing w:after="0" w:line="240" w:lineRule="auto"/>
              <w:ind w:left="357" w:right="34" w:hanging="357"/>
              <w:contextualSpacing w:val="0"/>
              <w:jc w:val="both"/>
              <w:rPr>
                <w:rFonts w:ascii="Arial Narrow" w:eastAsia="NeueHaasGroteskText W02" w:hAnsi="Arial Narrow" w:cs="Arial"/>
                <w:b/>
                <w:i/>
                <w:szCs w:val="20"/>
              </w:rPr>
            </w:pPr>
            <w:r>
              <w:rPr>
                <w:rFonts w:ascii="Arial Narrow" w:eastAsia="NeueHaasGroteskText W02" w:hAnsi="Arial Narrow" w:cs="Arial"/>
                <w:szCs w:val="20"/>
              </w:rPr>
              <w:t>Pokračovať v rozširovaní dostupnosti kvalitného predškolského vzdelávania, informovať rodičov o benefitoch a odstrániť finančné bariéry.</w:t>
            </w:r>
          </w:p>
          <w:p w14:paraId="7EA27BFB" w14:textId="77777777" w:rsidR="00156BEA" w:rsidRPr="008A5C7B" w:rsidRDefault="00156BEA" w:rsidP="006F4103">
            <w:pPr>
              <w:pStyle w:val="Odsekzoznamu"/>
              <w:widowControl w:val="0"/>
              <w:numPr>
                <w:ilvl w:val="0"/>
                <w:numId w:val="56"/>
              </w:numPr>
              <w:tabs>
                <w:tab w:val="right" w:pos="9531"/>
              </w:tabs>
              <w:spacing w:after="0" w:line="240" w:lineRule="auto"/>
              <w:ind w:left="357" w:right="34" w:hanging="357"/>
              <w:contextualSpacing w:val="0"/>
              <w:jc w:val="both"/>
              <w:rPr>
                <w:rFonts w:ascii="Arial Narrow" w:eastAsia="NeueHaasGroteskText W02" w:hAnsi="Arial Narrow" w:cs="Arial"/>
                <w:b/>
                <w:i/>
                <w:szCs w:val="20"/>
              </w:rPr>
            </w:pPr>
            <w:r>
              <w:rPr>
                <w:rFonts w:ascii="Arial Narrow" w:eastAsia="NeueHaasGroteskText W02" w:hAnsi="Arial Narrow" w:cs="Arial"/>
                <w:szCs w:val="20"/>
              </w:rPr>
              <w:t>Zlepšiť financovanie škôl so znevýhodnenými žiakmi, špeciálne pre asistentov učiteľov a platy učiteľov v týchto školách.</w:t>
            </w:r>
          </w:p>
          <w:p w14:paraId="3A7B5B13" w14:textId="77777777" w:rsidR="00156BEA" w:rsidRPr="008A5C7B" w:rsidRDefault="00156BEA" w:rsidP="006F4103">
            <w:pPr>
              <w:pStyle w:val="Odsekzoznamu"/>
              <w:widowControl w:val="0"/>
              <w:numPr>
                <w:ilvl w:val="0"/>
                <w:numId w:val="56"/>
              </w:numPr>
              <w:tabs>
                <w:tab w:val="right" w:pos="9531"/>
              </w:tabs>
              <w:spacing w:after="0" w:line="240" w:lineRule="auto"/>
              <w:ind w:left="357" w:right="34" w:hanging="357"/>
              <w:contextualSpacing w:val="0"/>
              <w:jc w:val="both"/>
              <w:rPr>
                <w:rFonts w:ascii="Arial Narrow" w:eastAsia="NeueHaasGroteskText W02" w:hAnsi="Arial Narrow" w:cs="Arial"/>
                <w:b/>
                <w:i/>
                <w:szCs w:val="20"/>
              </w:rPr>
            </w:pPr>
            <w:r>
              <w:rPr>
                <w:rFonts w:ascii="Arial Narrow" w:eastAsia="NeueHaasGroteskText W02" w:hAnsi="Arial Narrow" w:cs="Arial"/>
                <w:szCs w:val="20"/>
              </w:rPr>
              <w:t xml:space="preserve">Zvýšiť počet asistentov učiteľov hovoriacich rómskym jazykom a poskytovať pomoc rómskym deťom </w:t>
            </w:r>
            <w:r>
              <w:rPr>
                <w:rFonts w:ascii="Arial Narrow" w:eastAsia="NeueHaasGroteskText W02" w:hAnsi="Arial Narrow" w:cs="Arial"/>
                <w:szCs w:val="20"/>
              </w:rPr>
              <w:lastRenderedPageBreak/>
              <w:t>pri slovenskom jazyku.</w:t>
            </w:r>
          </w:p>
          <w:p w14:paraId="2961AA5E" w14:textId="77777777" w:rsidR="00156BEA" w:rsidRPr="004A0719" w:rsidRDefault="00156BEA" w:rsidP="006F4103">
            <w:pPr>
              <w:pStyle w:val="Odsekzoznamu"/>
              <w:widowControl w:val="0"/>
              <w:numPr>
                <w:ilvl w:val="0"/>
                <w:numId w:val="56"/>
              </w:numPr>
              <w:tabs>
                <w:tab w:val="right" w:pos="9531"/>
              </w:tabs>
              <w:spacing w:after="0" w:line="240" w:lineRule="auto"/>
              <w:ind w:left="357" w:right="34" w:hanging="357"/>
              <w:contextualSpacing w:val="0"/>
              <w:jc w:val="both"/>
              <w:rPr>
                <w:rFonts w:ascii="Arial Narrow" w:eastAsia="NeueHaasGroteskText W02" w:hAnsi="Arial Narrow" w:cs="Arial"/>
                <w:b/>
                <w:i/>
                <w:szCs w:val="20"/>
              </w:rPr>
            </w:pPr>
            <w:r>
              <w:rPr>
                <w:rFonts w:ascii="Arial Narrow" w:eastAsia="NeueHaasGroteskText W02" w:hAnsi="Arial Narrow" w:cs="Arial"/>
                <w:szCs w:val="20"/>
              </w:rPr>
              <w:t>Znížiť účasť rómskych detí na špeciálnych školách zlepšenou diagnostikou a spoluprácou s rodičmi.</w:t>
            </w:r>
          </w:p>
          <w:p w14:paraId="097D06C6" w14:textId="77777777" w:rsidR="006F4103" w:rsidRDefault="006F4103" w:rsidP="00633807">
            <w:pPr>
              <w:widowControl w:val="0"/>
              <w:tabs>
                <w:tab w:val="right" w:pos="9531"/>
              </w:tabs>
              <w:spacing w:after="0" w:line="240" w:lineRule="auto"/>
              <w:ind w:right="34"/>
              <w:jc w:val="both"/>
              <w:rPr>
                <w:rFonts w:ascii="Arial Narrow" w:eastAsia="NeueHaasGroteskText W02" w:hAnsi="Arial Narrow" w:cs="Arial"/>
                <w:b/>
                <w:i/>
                <w:szCs w:val="20"/>
              </w:rPr>
            </w:pPr>
          </w:p>
          <w:p w14:paraId="22D1900C" w14:textId="77777777" w:rsidR="00156BEA" w:rsidRDefault="00156BEA" w:rsidP="006F4103">
            <w:pPr>
              <w:widowControl w:val="0"/>
              <w:tabs>
                <w:tab w:val="right" w:pos="9531"/>
              </w:tabs>
              <w:spacing w:after="0" w:line="240" w:lineRule="auto"/>
              <w:ind w:right="34"/>
              <w:jc w:val="both"/>
              <w:rPr>
                <w:rFonts w:ascii="Arial Narrow" w:eastAsia="NeueHaasGroteskText W02" w:hAnsi="Arial Narrow" w:cs="Arial"/>
                <w:b/>
                <w:i/>
                <w:szCs w:val="20"/>
              </w:rPr>
            </w:pPr>
            <w:r>
              <w:rPr>
                <w:rFonts w:ascii="Arial Narrow" w:eastAsia="NeueHaasGroteskText W02" w:hAnsi="Arial Narrow" w:cs="Arial"/>
                <w:b/>
                <w:i/>
                <w:szCs w:val="20"/>
              </w:rPr>
              <w:t>Prístup k trhu práce</w:t>
            </w:r>
          </w:p>
          <w:p w14:paraId="5C8FE32A" w14:textId="77777777" w:rsidR="00156BEA" w:rsidRPr="004A0719" w:rsidRDefault="00156BEA" w:rsidP="006F4103">
            <w:pPr>
              <w:pStyle w:val="Odsekzoznamu"/>
              <w:widowControl w:val="0"/>
              <w:numPr>
                <w:ilvl w:val="0"/>
                <w:numId w:val="57"/>
              </w:numPr>
              <w:tabs>
                <w:tab w:val="right" w:pos="9531"/>
              </w:tabs>
              <w:spacing w:after="0" w:line="240" w:lineRule="auto"/>
              <w:ind w:left="357" w:right="34" w:hanging="357"/>
              <w:contextualSpacing w:val="0"/>
              <w:jc w:val="both"/>
              <w:rPr>
                <w:rFonts w:ascii="Arial Narrow" w:eastAsia="NeueHaasGroteskText W02" w:hAnsi="Arial Narrow" w:cs="Arial"/>
                <w:b/>
                <w:i/>
                <w:szCs w:val="20"/>
              </w:rPr>
            </w:pPr>
            <w:proofErr w:type="spellStart"/>
            <w:r>
              <w:rPr>
                <w:rFonts w:ascii="Arial Narrow" w:eastAsia="NeueHaasGroteskText W02" w:hAnsi="Arial Narrow" w:cs="Arial"/>
                <w:szCs w:val="20"/>
              </w:rPr>
              <w:t>Realokovať</w:t>
            </w:r>
            <w:proofErr w:type="spellEnd"/>
            <w:r>
              <w:rPr>
                <w:rFonts w:ascii="Arial Narrow" w:eastAsia="NeueHaasGroteskText W02" w:hAnsi="Arial Narrow" w:cs="Arial"/>
                <w:szCs w:val="20"/>
              </w:rPr>
              <w:t xml:space="preserve"> výdavky na účinné tréningové programy pre nezamestnaných.  </w:t>
            </w:r>
          </w:p>
          <w:p w14:paraId="170AB50D" w14:textId="77777777" w:rsidR="00156BEA" w:rsidRPr="006F4103" w:rsidRDefault="00156BEA" w:rsidP="006F4103">
            <w:pPr>
              <w:pStyle w:val="Odsekzoznamu"/>
              <w:widowControl w:val="0"/>
              <w:numPr>
                <w:ilvl w:val="0"/>
                <w:numId w:val="57"/>
              </w:numPr>
              <w:tabs>
                <w:tab w:val="right" w:pos="9531"/>
              </w:tabs>
              <w:spacing w:after="0" w:line="240" w:lineRule="auto"/>
              <w:ind w:left="357" w:right="34" w:hanging="357"/>
              <w:contextualSpacing w:val="0"/>
              <w:jc w:val="both"/>
              <w:rPr>
                <w:rFonts w:ascii="Arial Narrow" w:eastAsia="NeueHaasGroteskText W02" w:hAnsi="Arial Narrow" w:cs="Arial"/>
                <w:b/>
                <w:i/>
                <w:szCs w:val="20"/>
              </w:rPr>
            </w:pPr>
            <w:r>
              <w:rPr>
                <w:rFonts w:ascii="Arial Narrow" w:eastAsia="NeueHaasGroteskText W02" w:hAnsi="Arial Narrow" w:cs="Arial"/>
                <w:szCs w:val="20"/>
              </w:rPr>
              <w:t>Spustiť a rozvíjať sieť poskytovateľov „</w:t>
            </w:r>
            <w:proofErr w:type="spellStart"/>
            <w:r>
              <w:rPr>
                <w:rFonts w:ascii="Arial Narrow" w:eastAsia="NeueHaasGroteskText W02" w:hAnsi="Arial Narrow" w:cs="Arial"/>
                <w:szCs w:val="20"/>
              </w:rPr>
              <w:t>druhošancové</w:t>
            </w:r>
            <w:proofErr w:type="spellEnd"/>
            <w:r>
              <w:rPr>
                <w:rFonts w:ascii="Arial Narrow" w:eastAsia="NeueHaasGroteskText W02" w:hAnsi="Arial Narrow" w:cs="Arial"/>
                <w:szCs w:val="20"/>
              </w:rPr>
              <w:t>“ vzdelávanie.</w:t>
            </w:r>
          </w:p>
          <w:p w14:paraId="2A5ECB0B" w14:textId="77777777" w:rsidR="006F4103" w:rsidRPr="00D0582E" w:rsidRDefault="006F4103" w:rsidP="006F4103">
            <w:pPr>
              <w:pStyle w:val="Odsekzoznamu"/>
              <w:widowControl w:val="0"/>
              <w:tabs>
                <w:tab w:val="right" w:pos="9531"/>
              </w:tabs>
              <w:spacing w:after="0" w:line="240" w:lineRule="auto"/>
              <w:ind w:left="357" w:right="34"/>
              <w:contextualSpacing w:val="0"/>
              <w:jc w:val="both"/>
              <w:rPr>
                <w:rFonts w:ascii="Arial Narrow" w:eastAsia="NeueHaasGroteskText W02" w:hAnsi="Arial Narrow" w:cs="Arial"/>
                <w:b/>
                <w:i/>
                <w:szCs w:val="20"/>
              </w:rPr>
            </w:pPr>
          </w:p>
          <w:p w14:paraId="10D071B1" w14:textId="77777777" w:rsidR="00156BEA" w:rsidRDefault="00156BEA" w:rsidP="006F4103">
            <w:pPr>
              <w:widowControl w:val="0"/>
              <w:tabs>
                <w:tab w:val="right" w:pos="9531"/>
              </w:tabs>
              <w:spacing w:after="0" w:line="240" w:lineRule="auto"/>
              <w:ind w:right="34"/>
              <w:jc w:val="both"/>
              <w:rPr>
                <w:rFonts w:ascii="Arial Narrow" w:eastAsia="NeueHaasGroteskText W02" w:hAnsi="Arial Narrow" w:cs="Arial"/>
                <w:b/>
                <w:i/>
                <w:szCs w:val="20"/>
              </w:rPr>
            </w:pPr>
            <w:r>
              <w:rPr>
                <w:rFonts w:ascii="Arial Narrow" w:eastAsia="NeueHaasGroteskText W02" w:hAnsi="Arial Narrow" w:cs="Arial"/>
                <w:b/>
                <w:i/>
                <w:szCs w:val="20"/>
              </w:rPr>
              <w:t>Životné podmienky MRK</w:t>
            </w:r>
          </w:p>
          <w:p w14:paraId="27A64F18" w14:textId="77777777" w:rsidR="00156BEA" w:rsidRPr="00D0582E" w:rsidRDefault="00156BEA" w:rsidP="006F4103">
            <w:pPr>
              <w:pStyle w:val="Odsekzoznamu"/>
              <w:widowControl w:val="0"/>
              <w:numPr>
                <w:ilvl w:val="0"/>
                <w:numId w:val="58"/>
              </w:numPr>
              <w:tabs>
                <w:tab w:val="right" w:pos="9531"/>
              </w:tabs>
              <w:spacing w:after="0" w:line="240" w:lineRule="auto"/>
              <w:ind w:left="357" w:right="34" w:hanging="357"/>
              <w:contextualSpacing w:val="0"/>
              <w:jc w:val="both"/>
              <w:rPr>
                <w:rFonts w:ascii="Arial Narrow" w:eastAsia="NeueHaasGroteskText W02" w:hAnsi="Arial Narrow" w:cs="Arial"/>
                <w:b/>
                <w:i/>
                <w:szCs w:val="20"/>
              </w:rPr>
            </w:pPr>
            <w:r>
              <w:rPr>
                <w:rFonts w:ascii="Arial Narrow" w:eastAsia="NeueHaasGroteskText W02" w:hAnsi="Arial Narrow" w:cs="Arial"/>
                <w:szCs w:val="20"/>
              </w:rPr>
              <w:t xml:space="preserve">Poskytovať právnu, finančnú a technickú podporu pri </w:t>
            </w:r>
            <w:proofErr w:type="spellStart"/>
            <w:r>
              <w:rPr>
                <w:rFonts w:ascii="Arial Narrow" w:eastAsia="NeueHaasGroteskText W02" w:hAnsi="Arial Narrow" w:cs="Arial"/>
                <w:szCs w:val="20"/>
              </w:rPr>
              <w:t>vysporiadavaní</w:t>
            </w:r>
            <w:proofErr w:type="spellEnd"/>
            <w:r>
              <w:rPr>
                <w:rFonts w:ascii="Arial Narrow" w:eastAsia="NeueHaasGroteskText W02" w:hAnsi="Arial Narrow" w:cs="Arial"/>
                <w:szCs w:val="20"/>
              </w:rPr>
              <w:t xml:space="preserve"> pozemkov pre dotknuté samosprávy a domácnosti.</w:t>
            </w:r>
          </w:p>
          <w:p w14:paraId="3235239C" w14:textId="77777777" w:rsidR="00156BEA" w:rsidRPr="00D0582E" w:rsidRDefault="00156BEA" w:rsidP="006F4103">
            <w:pPr>
              <w:pStyle w:val="Odsekzoznamu"/>
              <w:widowControl w:val="0"/>
              <w:numPr>
                <w:ilvl w:val="0"/>
                <w:numId w:val="58"/>
              </w:numPr>
              <w:tabs>
                <w:tab w:val="right" w:pos="9531"/>
              </w:tabs>
              <w:spacing w:after="0" w:line="240" w:lineRule="auto"/>
              <w:ind w:left="357" w:right="34" w:hanging="357"/>
              <w:contextualSpacing w:val="0"/>
              <w:jc w:val="both"/>
              <w:rPr>
                <w:rFonts w:ascii="Arial Narrow" w:eastAsia="NeueHaasGroteskText W02" w:hAnsi="Arial Narrow" w:cs="Arial"/>
                <w:b/>
                <w:i/>
                <w:szCs w:val="20"/>
              </w:rPr>
            </w:pPr>
            <w:r>
              <w:rPr>
                <w:rFonts w:ascii="Arial Narrow" w:eastAsia="NeueHaasGroteskText W02" w:hAnsi="Arial Narrow" w:cs="Arial"/>
                <w:szCs w:val="20"/>
              </w:rPr>
              <w:t>Rozšíriť projekty podpory bývania formou mikropôžičiek na národnú úroveň.</w:t>
            </w:r>
          </w:p>
          <w:p w14:paraId="3BA3F3FC" w14:textId="77777777" w:rsidR="00156BEA" w:rsidRPr="006F4103" w:rsidRDefault="00156BEA" w:rsidP="006F4103">
            <w:pPr>
              <w:pStyle w:val="Odsekzoznamu"/>
              <w:widowControl w:val="0"/>
              <w:numPr>
                <w:ilvl w:val="0"/>
                <w:numId w:val="58"/>
              </w:numPr>
              <w:tabs>
                <w:tab w:val="right" w:pos="9531"/>
              </w:tabs>
              <w:spacing w:after="0" w:line="240" w:lineRule="auto"/>
              <w:ind w:left="357" w:right="34" w:hanging="357"/>
              <w:contextualSpacing w:val="0"/>
              <w:jc w:val="both"/>
              <w:rPr>
                <w:rFonts w:ascii="Arial Narrow" w:eastAsia="NeueHaasGroteskText W02" w:hAnsi="Arial Narrow" w:cs="Arial"/>
                <w:b/>
                <w:i/>
                <w:szCs w:val="20"/>
              </w:rPr>
            </w:pPr>
            <w:r>
              <w:rPr>
                <w:rFonts w:ascii="Arial Narrow" w:eastAsia="NeueHaasGroteskText W02" w:hAnsi="Arial Narrow" w:cs="Arial"/>
                <w:szCs w:val="20"/>
              </w:rPr>
              <w:t>Zlepšiť verejné investície do základnej infraštruktúry v rómskych osídleniach.</w:t>
            </w:r>
          </w:p>
          <w:p w14:paraId="036273F0" w14:textId="77777777" w:rsidR="00633807" w:rsidRDefault="00633807" w:rsidP="006F4103">
            <w:pPr>
              <w:widowControl w:val="0"/>
              <w:tabs>
                <w:tab w:val="right" w:pos="9531"/>
              </w:tabs>
              <w:spacing w:after="0" w:line="240" w:lineRule="auto"/>
              <w:ind w:right="34"/>
              <w:jc w:val="both"/>
              <w:rPr>
                <w:rFonts w:ascii="Arial Narrow" w:eastAsia="NeueHaasGroteskText W02" w:hAnsi="Arial Narrow" w:cs="Arial"/>
                <w:b/>
                <w:i/>
                <w:szCs w:val="20"/>
              </w:rPr>
            </w:pPr>
          </w:p>
          <w:p w14:paraId="1BD3DBFF" w14:textId="77777777" w:rsidR="00156BEA" w:rsidRDefault="00156BEA" w:rsidP="006F4103">
            <w:pPr>
              <w:widowControl w:val="0"/>
              <w:tabs>
                <w:tab w:val="right" w:pos="9531"/>
              </w:tabs>
              <w:spacing w:after="0" w:line="240" w:lineRule="auto"/>
              <w:ind w:right="34"/>
              <w:jc w:val="both"/>
              <w:rPr>
                <w:rFonts w:ascii="Arial Narrow" w:eastAsia="NeueHaasGroteskText W02" w:hAnsi="Arial Narrow" w:cs="Arial"/>
                <w:b/>
                <w:i/>
                <w:szCs w:val="20"/>
              </w:rPr>
            </w:pPr>
            <w:r>
              <w:rPr>
                <w:rFonts w:ascii="Arial Narrow" w:eastAsia="NeueHaasGroteskText W02" w:hAnsi="Arial Narrow" w:cs="Arial"/>
                <w:b/>
                <w:i/>
                <w:szCs w:val="20"/>
              </w:rPr>
              <w:t>Prístup MRK k zdravotnej starostlivosti</w:t>
            </w:r>
          </w:p>
          <w:p w14:paraId="29AB8A1F" w14:textId="77777777" w:rsidR="00156BEA" w:rsidRPr="00D0582E" w:rsidRDefault="00156BEA" w:rsidP="006F4103">
            <w:pPr>
              <w:pStyle w:val="Odsekzoznamu"/>
              <w:widowControl w:val="0"/>
              <w:numPr>
                <w:ilvl w:val="0"/>
                <w:numId w:val="59"/>
              </w:numPr>
              <w:tabs>
                <w:tab w:val="right" w:pos="9531"/>
              </w:tabs>
              <w:spacing w:after="0" w:line="240" w:lineRule="auto"/>
              <w:ind w:left="357" w:right="34" w:hanging="357"/>
              <w:contextualSpacing w:val="0"/>
              <w:jc w:val="both"/>
              <w:rPr>
                <w:rFonts w:ascii="Arial Narrow" w:eastAsia="NeueHaasGroteskText W02" w:hAnsi="Arial Narrow" w:cs="Arial"/>
                <w:b/>
                <w:i/>
                <w:szCs w:val="20"/>
              </w:rPr>
            </w:pPr>
            <w:r>
              <w:rPr>
                <w:rFonts w:ascii="Arial Narrow" w:eastAsia="NeueHaasGroteskText W02" w:hAnsi="Arial Narrow" w:cs="Arial"/>
                <w:szCs w:val="20"/>
              </w:rPr>
              <w:t xml:space="preserve">Rozšíriť programy zdravotných asistentov s dôrazom na zlepšenie informovanosti o materstve a účasti na preventívnych prehliadkach pre matky. </w:t>
            </w:r>
          </w:p>
          <w:p w14:paraId="34DEA1DA" w14:textId="57A73532" w:rsidR="00156BEA" w:rsidRPr="00D0582E" w:rsidRDefault="00156BEA" w:rsidP="006F4103">
            <w:pPr>
              <w:pStyle w:val="Odsekzoznamu"/>
              <w:widowControl w:val="0"/>
              <w:numPr>
                <w:ilvl w:val="0"/>
                <w:numId w:val="59"/>
              </w:numPr>
              <w:tabs>
                <w:tab w:val="right" w:pos="9531"/>
              </w:tabs>
              <w:spacing w:after="0" w:line="240" w:lineRule="auto"/>
              <w:ind w:left="357" w:right="34" w:hanging="357"/>
              <w:contextualSpacing w:val="0"/>
              <w:jc w:val="both"/>
              <w:rPr>
                <w:rFonts w:ascii="Arial Narrow" w:eastAsia="NeueHaasGroteskText W02" w:hAnsi="Arial Narrow" w:cs="Arial"/>
                <w:b/>
                <w:i/>
                <w:szCs w:val="20"/>
              </w:rPr>
            </w:pPr>
            <w:r>
              <w:rPr>
                <w:rFonts w:ascii="Arial Narrow" w:eastAsia="NeueHaasGroteskText W02" w:hAnsi="Arial Narrow" w:cs="Arial"/>
                <w:szCs w:val="20"/>
              </w:rPr>
              <w:t xml:space="preserve">Zvážiť odpustenie </w:t>
            </w:r>
            <w:r w:rsidR="00294729">
              <w:rPr>
                <w:rFonts w:ascii="Arial Narrow" w:eastAsia="NeueHaasGroteskText W02" w:hAnsi="Arial Narrow" w:cs="Arial"/>
                <w:szCs w:val="20"/>
              </w:rPr>
              <w:t xml:space="preserve">časti </w:t>
            </w:r>
            <w:r>
              <w:rPr>
                <w:rFonts w:ascii="Arial Narrow" w:eastAsia="NeueHaasGroteskText W02" w:hAnsi="Arial Narrow" w:cs="Arial"/>
                <w:szCs w:val="20"/>
              </w:rPr>
              <w:t>poplatkov pre lieky a zdravotnícke pomôcky pre znevýhodnené skupiny.</w:t>
            </w:r>
          </w:p>
          <w:p w14:paraId="5BF3F2D3" w14:textId="22465F15" w:rsidR="00156BEA" w:rsidRPr="006F4103" w:rsidRDefault="00156BEA" w:rsidP="006F4103">
            <w:pPr>
              <w:pStyle w:val="Odsekzoznamu"/>
              <w:widowControl w:val="0"/>
              <w:numPr>
                <w:ilvl w:val="0"/>
                <w:numId w:val="59"/>
              </w:numPr>
              <w:tabs>
                <w:tab w:val="right" w:pos="9531"/>
              </w:tabs>
              <w:spacing w:after="0" w:line="240" w:lineRule="auto"/>
              <w:ind w:left="357" w:right="34" w:hanging="357"/>
              <w:contextualSpacing w:val="0"/>
              <w:jc w:val="both"/>
              <w:rPr>
                <w:rFonts w:ascii="Arial Narrow" w:eastAsia="NeueHaasGroteskText W02" w:hAnsi="Arial Narrow" w:cs="Arial"/>
                <w:b/>
                <w:i/>
                <w:szCs w:val="20"/>
              </w:rPr>
            </w:pPr>
            <w:r>
              <w:rPr>
                <w:rFonts w:ascii="Arial Narrow" w:eastAsia="NeueHaasGroteskText W02" w:hAnsi="Arial Narrow" w:cs="Arial"/>
                <w:szCs w:val="20"/>
              </w:rPr>
              <w:t>Podporiť financovanie progr</w:t>
            </w:r>
            <w:r w:rsidR="00CC6E4A">
              <w:rPr>
                <w:rFonts w:ascii="Arial Narrow" w:eastAsia="NeueHaasGroteskText W02" w:hAnsi="Arial Narrow" w:cs="Arial"/>
                <w:szCs w:val="20"/>
              </w:rPr>
              <w:t xml:space="preserve">amov pre vakcináciu, dezinfekciu a deratizáciu </w:t>
            </w:r>
            <w:r>
              <w:rPr>
                <w:rFonts w:ascii="Arial Narrow" w:eastAsia="NeueHaasGroteskText W02" w:hAnsi="Arial Narrow" w:cs="Arial"/>
                <w:szCs w:val="20"/>
              </w:rPr>
              <w:t>v rómskych osídleniach.</w:t>
            </w:r>
          </w:p>
          <w:p w14:paraId="50DA5256" w14:textId="77777777" w:rsidR="006F4103" w:rsidRPr="00D0582E" w:rsidRDefault="006F4103" w:rsidP="006F4103">
            <w:pPr>
              <w:pStyle w:val="Odsekzoznamu"/>
              <w:widowControl w:val="0"/>
              <w:tabs>
                <w:tab w:val="right" w:pos="9531"/>
              </w:tabs>
              <w:spacing w:after="0" w:line="240" w:lineRule="auto"/>
              <w:ind w:left="357" w:right="34"/>
              <w:contextualSpacing w:val="0"/>
              <w:jc w:val="both"/>
              <w:rPr>
                <w:rFonts w:ascii="Arial Narrow" w:eastAsia="NeueHaasGroteskText W02" w:hAnsi="Arial Narrow" w:cs="Arial"/>
                <w:b/>
                <w:i/>
                <w:szCs w:val="20"/>
              </w:rPr>
            </w:pPr>
          </w:p>
          <w:p w14:paraId="38B75F32" w14:textId="77777777" w:rsidR="00156BEA" w:rsidRDefault="00156BEA" w:rsidP="006F4103">
            <w:pPr>
              <w:widowControl w:val="0"/>
              <w:tabs>
                <w:tab w:val="right" w:pos="9531"/>
              </w:tabs>
              <w:spacing w:after="0" w:line="240" w:lineRule="auto"/>
              <w:ind w:right="34"/>
              <w:jc w:val="both"/>
              <w:rPr>
                <w:rFonts w:ascii="Arial Narrow" w:eastAsia="NeueHaasGroteskText W02" w:hAnsi="Arial Narrow" w:cs="Arial"/>
                <w:b/>
                <w:i/>
                <w:szCs w:val="20"/>
              </w:rPr>
            </w:pPr>
            <w:r>
              <w:rPr>
                <w:rFonts w:ascii="Arial Narrow" w:eastAsia="NeueHaasGroteskText W02" w:hAnsi="Arial Narrow" w:cs="Arial"/>
                <w:b/>
                <w:i/>
                <w:szCs w:val="20"/>
              </w:rPr>
              <w:t>Finančná gramotnosť MRK</w:t>
            </w:r>
          </w:p>
          <w:p w14:paraId="56F3F5FA" w14:textId="77777777" w:rsidR="00156BEA" w:rsidRPr="006F4103" w:rsidRDefault="00156BEA" w:rsidP="006F4103">
            <w:pPr>
              <w:pStyle w:val="Odsekzoznamu"/>
              <w:widowControl w:val="0"/>
              <w:numPr>
                <w:ilvl w:val="0"/>
                <w:numId w:val="59"/>
              </w:numPr>
              <w:tabs>
                <w:tab w:val="right" w:pos="9531"/>
              </w:tabs>
              <w:spacing w:after="0" w:line="240" w:lineRule="auto"/>
              <w:ind w:right="34"/>
              <w:contextualSpacing w:val="0"/>
              <w:jc w:val="both"/>
              <w:rPr>
                <w:rFonts w:ascii="Arial Narrow" w:eastAsia="NeueHaasGroteskText W02" w:hAnsi="Arial Narrow" w:cs="Arial"/>
                <w:b/>
                <w:i/>
                <w:szCs w:val="20"/>
              </w:rPr>
            </w:pPr>
            <w:r>
              <w:rPr>
                <w:rFonts w:ascii="Arial Narrow" w:eastAsia="NeueHaasGroteskText W02" w:hAnsi="Arial Narrow" w:cs="Arial"/>
                <w:szCs w:val="20"/>
              </w:rPr>
              <w:t>Zaviesť možnosti mikropôžičiek spojených s finančným vzdelávaním pre ľudí z MRK.</w:t>
            </w:r>
          </w:p>
          <w:p w14:paraId="6DCBD322" w14:textId="77777777" w:rsidR="006F4103" w:rsidRPr="006F4103" w:rsidRDefault="006F4103" w:rsidP="006F4103">
            <w:pPr>
              <w:widowControl w:val="0"/>
              <w:tabs>
                <w:tab w:val="right" w:pos="9531"/>
              </w:tabs>
              <w:spacing w:after="0" w:line="240" w:lineRule="auto"/>
              <w:ind w:right="34"/>
              <w:jc w:val="both"/>
              <w:rPr>
                <w:rFonts w:ascii="Arial Narrow" w:eastAsia="NeueHaasGroteskText W02" w:hAnsi="Arial Narrow" w:cs="Arial"/>
                <w:b/>
                <w:i/>
                <w:szCs w:val="20"/>
              </w:rPr>
            </w:pPr>
          </w:p>
        </w:tc>
      </w:tr>
    </w:tbl>
    <w:p w14:paraId="352C17E7" w14:textId="77777777" w:rsidR="0056687D" w:rsidRPr="004C54B9" w:rsidRDefault="00E550DB" w:rsidP="004C54B9">
      <w:pPr>
        <w:spacing w:after="0" w:line="240" w:lineRule="auto"/>
        <w:jc w:val="both"/>
        <w:rPr>
          <w:rFonts w:ascii="Arial Narrow" w:hAnsi="Arial Narrow"/>
        </w:rPr>
      </w:pPr>
      <w:r w:rsidRPr="004C54B9">
        <w:rPr>
          <w:rFonts w:ascii="Arial Narrow" w:hAnsi="Arial Narrow"/>
        </w:rPr>
        <w:lastRenderedPageBreak/>
        <w:br w:type="page"/>
      </w:r>
    </w:p>
    <w:p w14:paraId="779DC0FF" w14:textId="77777777" w:rsidR="00E550DB" w:rsidRPr="00484218" w:rsidRDefault="00E550DB" w:rsidP="004C54B9">
      <w:pPr>
        <w:pStyle w:val="Nadpis2"/>
        <w:numPr>
          <w:ilvl w:val="1"/>
          <w:numId w:val="1"/>
        </w:numPr>
        <w:spacing w:after="240" w:line="240" w:lineRule="auto"/>
        <w:jc w:val="both"/>
        <w:rPr>
          <w:rFonts w:ascii="Arial Narrow" w:hAnsi="Arial Narrow"/>
          <w:color w:val="2C9ADC"/>
          <w:sz w:val="32"/>
          <w:szCs w:val="22"/>
        </w:rPr>
      </w:pPr>
      <w:bookmarkStart w:id="57" w:name="_Toc4766842"/>
      <w:r w:rsidRPr="00484218">
        <w:rPr>
          <w:rFonts w:ascii="Arial Narrow" w:hAnsi="Arial Narrow"/>
          <w:color w:val="2C9ADC"/>
          <w:sz w:val="32"/>
          <w:szCs w:val="22"/>
        </w:rPr>
        <w:lastRenderedPageBreak/>
        <w:t>Zdravie</w:t>
      </w:r>
      <w:bookmarkEnd w:id="57"/>
    </w:p>
    <w:p w14:paraId="7A01ECCC" w14:textId="0CE735E2" w:rsidR="00F856B9" w:rsidRDefault="00CC6E4A" w:rsidP="00F856B9">
      <w:pPr>
        <w:tabs>
          <w:tab w:val="left" w:pos="426"/>
        </w:tabs>
        <w:spacing w:after="0" w:line="240" w:lineRule="auto"/>
        <w:jc w:val="both"/>
        <w:rPr>
          <w:rFonts w:ascii="Arial Narrow" w:hAnsi="Arial Narrow"/>
          <w:i/>
        </w:rPr>
      </w:pPr>
      <w:r>
        <w:rPr>
          <w:rFonts w:ascii="Arial Narrow" w:hAnsi="Arial Narrow"/>
          <w:i/>
        </w:rPr>
        <w:t>Revízia</w:t>
      </w:r>
      <w:r w:rsidR="00F856B9" w:rsidRPr="00E9007D">
        <w:rPr>
          <w:rFonts w:ascii="Arial Narrow" w:hAnsi="Arial Narrow"/>
          <w:i/>
        </w:rPr>
        <w:t xml:space="preserve"> výdavkov v zdravotníctve z roku 2016 a priebežná správa druhej revízie z roku 2018 identifikovali viacero dôležitých systémových problémov a aj ich riešenia. Ich postupná implementácia priebežne zlepšuje nákladovú efektívnosť vybraných častí systému</w:t>
      </w:r>
      <w:r w:rsidR="00F856B9" w:rsidRPr="00E9007D">
        <w:rPr>
          <w:rFonts w:ascii="Arial Narrow" w:hAnsi="Arial Narrow"/>
          <w:i/>
          <w:vertAlign w:val="superscript"/>
        </w:rPr>
        <w:footnoteReference w:id="92"/>
      </w:r>
      <w:r w:rsidR="00F856B9" w:rsidRPr="00E9007D">
        <w:rPr>
          <w:rFonts w:ascii="Arial Narrow" w:hAnsi="Arial Narrow"/>
          <w:i/>
        </w:rPr>
        <w:t xml:space="preserve">. Projekt stratifikácie ústavnej zdravotnej starostlivosti </w:t>
      </w:r>
      <w:r w:rsidR="00751BC7">
        <w:rPr>
          <w:rFonts w:ascii="Arial Narrow" w:hAnsi="Arial Narrow"/>
          <w:i/>
        </w:rPr>
        <w:t>má</w:t>
      </w:r>
      <w:r w:rsidR="00751BC7" w:rsidRPr="00E9007D">
        <w:rPr>
          <w:rFonts w:ascii="Arial Narrow" w:hAnsi="Arial Narrow"/>
          <w:i/>
        </w:rPr>
        <w:t xml:space="preserve"> </w:t>
      </w:r>
      <w:r w:rsidR="00F856B9" w:rsidRPr="00E9007D">
        <w:rPr>
          <w:rFonts w:ascii="Arial Narrow" w:hAnsi="Arial Narrow"/>
          <w:i/>
        </w:rPr>
        <w:t xml:space="preserve">v roku 2019 pokračovať </w:t>
      </w:r>
      <w:r w:rsidR="00751BC7">
        <w:rPr>
          <w:rFonts w:ascii="Arial Narrow" w:hAnsi="Arial Narrow"/>
          <w:i/>
        </w:rPr>
        <w:t xml:space="preserve">schválením potrebnej legislatívy a </w:t>
      </w:r>
      <w:r w:rsidR="00F856B9" w:rsidRPr="00E9007D">
        <w:rPr>
          <w:rFonts w:ascii="Arial Narrow" w:hAnsi="Arial Narrow"/>
          <w:i/>
        </w:rPr>
        <w:t>zverejnením konkrétneho plánu zmien v sieti nemocníc.</w:t>
      </w:r>
      <w:r w:rsidR="00F856B9" w:rsidRPr="00E9007D">
        <w:rPr>
          <w:rFonts w:ascii="Arial Narrow" w:hAnsi="Arial Narrow"/>
          <w:b/>
        </w:rPr>
        <w:t xml:space="preserve"> </w:t>
      </w:r>
      <w:r w:rsidR="00F856B9" w:rsidRPr="00E9007D">
        <w:rPr>
          <w:rFonts w:ascii="Arial Narrow" w:hAnsi="Arial Narrow"/>
          <w:i/>
        </w:rPr>
        <w:t xml:space="preserve">Prvé štandardné diagnostické a liečebné postupy boli schválené a budú sa zavádzať do praxe, ďalšie budú dopĺňané. Zavedenie systému rozpočtovania založeného na výsledkoch pomôže naviazať prideľované zdroje na výsledky. Od roku 2018 začala prevádzka systému </w:t>
      </w:r>
      <w:proofErr w:type="spellStart"/>
      <w:r w:rsidR="00F856B9" w:rsidRPr="00E9007D">
        <w:rPr>
          <w:rFonts w:ascii="Arial Narrow" w:hAnsi="Arial Narrow"/>
          <w:i/>
        </w:rPr>
        <w:t>eHealth</w:t>
      </w:r>
      <w:proofErr w:type="spellEnd"/>
      <w:r w:rsidR="00F856B9" w:rsidRPr="00E9007D">
        <w:rPr>
          <w:rFonts w:ascii="Arial Narrow" w:hAnsi="Arial Narrow"/>
          <w:i/>
        </w:rPr>
        <w:t xml:space="preserve">, jeho ďalšie moduly budú dopĺňané v roku 2019. Systém úhrad za diagnostickú skupinu (DRG) sa bude rozširovať o výkony jednodňovej starostlivosti a zobrazovacie vyšetrenia. </w:t>
      </w:r>
    </w:p>
    <w:p w14:paraId="4628140E" w14:textId="77777777" w:rsidR="00780749" w:rsidRPr="00E9007D" w:rsidRDefault="00780749" w:rsidP="00F856B9">
      <w:pPr>
        <w:tabs>
          <w:tab w:val="left" w:pos="426"/>
        </w:tabs>
        <w:spacing w:after="0" w:line="240" w:lineRule="auto"/>
        <w:jc w:val="both"/>
        <w:rPr>
          <w:rFonts w:ascii="Arial Narrow" w:hAnsi="Arial Narrow"/>
          <w:i/>
        </w:rPr>
      </w:pPr>
    </w:p>
    <w:tbl>
      <w:tblPr>
        <w:tblW w:w="8607" w:type="dxa"/>
        <w:tblLayout w:type="fixed"/>
        <w:tblCellMar>
          <w:left w:w="70" w:type="dxa"/>
          <w:right w:w="70" w:type="dxa"/>
        </w:tblCellMar>
        <w:tblLook w:val="04A0" w:firstRow="1" w:lastRow="0" w:firstColumn="1" w:lastColumn="0" w:noHBand="0" w:noVBand="1"/>
      </w:tblPr>
      <w:tblGrid>
        <w:gridCol w:w="2547"/>
        <w:gridCol w:w="721"/>
        <w:gridCol w:w="591"/>
        <w:gridCol w:w="593"/>
        <w:gridCol w:w="593"/>
        <w:gridCol w:w="591"/>
        <w:gridCol w:w="593"/>
        <w:gridCol w:w="593"/>
        <w:gridCol w:w="593"/>
        <w:gridCol w:w="593"/>
        <w:gridCol w:w="599"/>
      </w:tblGrid>
      <w:tr w:rsidR="00F07A7D" w:rsidRPr="00E9007D" w14:paraId="6D503866" w14:textId="77777777" w:rsidTr="00F07A7D">
        <w:trPr>
          <w:trHeight w:val="112"/>
        </w:trPr>
        <w:tc>
          <w:tcPr>
            <w:tcW w:w="8607" w:type="dxa"/>
            <w:gridSpan w:val="11"/>
            <w:tcBorders>
              <w:left w:val="nil"/>
              <w:bottom w:val="single" w:sz="4" w:space="0" w:color="auto"/>
              <w:right w:val="nil"/>
            </w:tcBorders>
            <w:shd w:val="clear" w:color="auto" w:fill="auto"/>
            <w:noWrap/>
            <w:vAlign w:val="center"/>
          </w:tcPr>
          <w:p w14:paraId="6F38B3A2" w14:textId="1A16F817" w:rsidR="00F07A7D" w:rsidRDefault="00F07A7D" w:rsidP="00F07A7D">
            <w:pPr>
              <w:spacing w:after="0" w:line="240" w:lineRule="auto"/>
              <w:rPr>
                <w:rFonts w:ascii="Arial Narrow" w:hAnsi="Arial Narrow"/>
                <w:b/>
                <w:bCs/>
                <w:color w:val="000000"/>
                <w:sz w:val="20"/>
                <w:szCs w:val="20"/>
              </w:rPr>
            </w:pPr>
            <w:r w:rsidRPr="00D45171">
              <w:rPr>
                <w:rFonts w:ascii="Arial Narrow" w:hAnsi="Arial Narrow"/>
                <w:b/>
                <w:color w:val="2C9ADC"/>
                <w:sz w:val="20"/>
              </w:rPr>
              <w:t xml:space="preserve">Výsledkové indikátory pre </w:t>
            </w:r>
            <w:r>
              <w:rPr>
                <w:rFonts w:ascii="Arial Narrow" w:hAnsi="Arial Narrow"/>
                <w:b/>
                <w:color w:val="2C9ADC"/>
                <w:sz w:val="20"/>
              </w:rPr>
              <w:t>zdravie</w:t>
            </w:r>
          </w:p>
        </w:tc>
      </w:tr>
      <w:tr w:rsidR="00F07A7D" w:rsidRPr="00E9007D" w14:paraId="7521D371" w14:textId="77777777" w:rsidTr="00F07A7D">
        <w:trPr>
          <w:trHeight w:val="112"/>
        </w:trPr>
        <w:tc>
          <w:tcPr>
            <w:tcW w:w="2547" w:type="dxa"/>
            <w:tcBorders>
              <w:top w:val="single" w:sz="4" w:space="0" w:color="auto"/>
              <w:left w:val="nil"/>
              <w:bottom w:val="single" w:sz="4" w:space="0" w:color="auto"/>
              <w:right w:val="nil"/>
            </w:tcBorders>
            <w:shd w:val="clear" w:color="auto" w:fill="auto"/>
            <w:noWrap/>
            <w:vAlign w:val="center"/>
            <w:hideMark/>
          </w:tcPr>
          <w:p w14:paraId="760BD5CE" w14:textId="77777777" w:rsidR="00F07A7D" w:rsidRPr="00484218" w:rsidRDefault="00F07A7D" w:rsidP="00780749">
            <w:pPr>
              <w:spacing w:after="0" w:line="240" w:lineRule="auto"/>
              <w:rPr>
                <w:rFonts w:ascii="Arial Narrow" w:hAnsi="Arial Narrow"/>
                <w:b/>
                <w:bCs/>
                <w:color w:val="FFFFFF"/>
                <w:sz w:val="20"/>
                <w:szCs w:val="20"/>
              </w:rPr>
            </w:pPr>
            <w:r w:rsidRPr="00484218">
              <w:rPr>
                <w:rFonts w:ascii="Arial Narrow" w:hAnsi="Arial Narrow"/>
                <w:b/>
                <w:bCs/>
                <w:color w:val="FFFFFF"/>
                <w:sz w:val="20"/>
                <w:szCs w:val="20"/>
              </w:rPr>
              <w:t> </w:t>
            </w:r>
          </w:p>
        </w:tc>
        <w:tc>
          <w:tcPr>
            <w:tcW w:w="721" w:type="dxa"/>
            <w:tcBorders>
              <w:top w:val="single" w:sz="4" w:space="0" w:color="auto"/>
              <w:left w:val="nil"/>
              <w:bottom w:val="single" w:sz="4" w:space="0" w:color="auto"/>
              <w:right w:val="nil"/>
            </w:tcBorders>
            <w:shd w:val="clear" w:color="auto" w:fill="auto"/>
            <w:noWrap/>
            <w:vAlign w:val="center"/>
            <w:hideMark/>
          </w:tcPr>
          <w:p w14:paraId="3F163985" w14:textId="77777777" w:rsidR="00F07A7D" w:rsidRPr="00484218" w:rsidRDefault="00F07A7D" w:rsidP="00780749">
            <w:pPr>
              <w:spacing w:after="0" w:line="240" w:lineRule="auto"/>
              <w:jc w:val="center"/>
              <w:rPr>
                <w:rFonts w:ascii="Arial Narrow" w:hAnsi="Arial Narrow"/>
                <w:b/>
                <w:bCs/>
                <w:color w:val="FFFFFF"/>
                <w:sz w:val="20"/>
                <w:szCs w:val="20"/>
              </w:rPr>
            </w:pPr>
            <w:r w:rsidRPr="00484218">
              <w:rPr>
                <w:rFonts w:ascii="Arial Narrow" w:hAnsi="Arial Narrow"/>
                <w:b/>
                <w:bCs/>
                <w:color w:val="FFFFFF"/>
                <w:sz w:val="20"/>
                <w:szCs w:val="20"/>
              </w:rPr>
              <w:t> </w:t>
            </w:r>
          </w:p>
        </w:tc>
        <w:tc>
          <w:tcPr>
            <w:tcW w:w="591" w:type="dxa"/>
            <w:tcBorders>
              <w:top w:val="single" w:sz="4" w:space="0" w:color="auto"/>
              <w:left w:val="nil"/>
              <w:bottom w:val="single" w:sz="4" w:space="0" w:color="auto"/>
              <w:right w:val="nil"/>
            </w:tcBorders>
            <w:shd w:val="clear" w:color="auto" w:fill="auto"/>
            <w:vAlign w:val="center"/>
            <w:hideMark/>
          </w:tcPr>
          <w:p w14:paraId="14F30A28" w14:textId="77777777" w:rsidR="00F07A7D" w:rsidRPr="00484218" w:rsidRDefault="00F07A7D" w:rsidP="00780749">
            <w:pPr>
              <w:spacing w:after="0" w:line="240" w:lineRule="auto"/>
              <w:jc w:val="center"/>
              <w:rPr>
                <w:rFonts w:ascii="Arial Narrow" w:hAnsi="Arial Narrow"/>
                <w:b/>
                <w:bCs/>
                <w:color w:val="000000"/>
                <w:sz w:val="20"/>
                <w:szCs w:val="20"/>
              </w:rPr>
            </w:pPr>
            <w:r w:rsidRPr="00484218">
              <w:rPr>
                <w:rFonts w:ascii="Arial Narrow" w:hAnsi="Arial Narrow"/>
                <w:b/>
                <w:bCs/>
                <w:color w:val="000000"/>
                <w:sz w:val="20"/>
                <w:szCs w:val="20"/>
              </w:rPr>
              <w:t>2009</w:t>
            </w:r>
          </w:p>
        </w:tc>
        <w:tc>
          <w:tcPr>
            <w:tcW w:w="593" w:type="dxa"/>
            <w:tcBorders>
              <w:top w:val="single" w:sz="4" w:space="0" w:color="auto"/>
              <w:left w:val="nil"/>
              <w:bottom w:val="single" w:sz="4" w:space="0" w:color="auto"/>
              <w:right w:val="nil"/>
            </w:tcBorders>
            <w:shd w:val="clear" w:color="auto" w:fill="auto"/>
            <w:vAlign w:val="center"/>
            <w:hideMark/>
          </w:tcPr>
          <w:p w14:paraId="4AD96BC2" w14:textId="77777777" w:rsidR="00F07A7D" w:rsidRPr="00484218" w:rsidRDefault="00F07A7D" w:rsidP="00780749">
            <w:pPr>
              <w:spacing w:after="0" w:line="240" w:lineRule="auto"/>
              <w:jc w:val="center"/>
              <w:rPr>
                <w:rFonts w:ascii="Arial Narrow" w:hAnsi="Arial Narrow"/>
                <w:b/>
                <w:bCs/>
                <w:color w:val="000000"/>
                <w:sz w:val="20"/>
                <w:szCs w:val="20"/>
              </w:rPr>
            </w:pPr>
            <w:r w:rsidRPr="00484218">
              <w:rPr>
                <w:rFonts w:ascii="Arial Narrow" w:hAnsi="Arial Narrow"/>
                <w:b/>
                <w:bCs/>
                <w:color w:val="000000"/>
                <w:sz w:val="20"/>
                <w:szCs w:val="20"/>
              </w:rPr>
              <w:t>2010</w:t>
            </w:r>
          </w:p>
        </w:tc>
        <w:tc>
          <w:tcPr>
            <w:tcW w:w="593" w:type="dxa"/>
            <w:tcBorders>
              <w:top w:val="single" w:sz="4" w:space="0" w:color="auto"/>
              <w:left w:val="nil"/>
              <w:bottom w:val="single" w:sz="4" w:space="0" w:color="auto"/>
              <w:right w:val="nil"/>
            </w:tcBorders>
            <w:shd w:val="clear" w:color="auto" w:fill="auto"/>
            <w:vAlign w:val="center"/>
            <w:hideMark/>
          </w:tcPr>
          <w:p w14:paraId="1207D968" w14:textId="77777777" w:rsidR="00F07A7D" w:rsidRPr="00484218" w:rsidRDefault="00F07A7D" w:rsidP="00780749">
            <w:pPr>
              <w:spacing w:after="0" w:line="240" w:lineRule="auto"/>
              <w:jc w:val="center"/>
              <w:rPr>
                <w:rFonts w:ascii="Arial Narrow" w:hAnsi="Arial Narrow"/>
                <w:b/>
                <w:bCs/>
                <w:color w:val="000000"/>
                <w:sz w:val="20"/>
                <w:szCs w:val="20"/>
              </w:rPr>
            </w:pPr>
            <w:r w:rsidRPr="00484218">
              <w:rPr>
                <w:rFonts w:ascii="Arial Narrow" w:hAnsi="Arial Narrow"/>
                <w:b/>
                <w:bCs/>
                <w:color w:val="000000"/>
                <w:sz w:val="20"/>
                <w:szCs w:val="20"/>
              </w:rPr>
              <w:t>2011</w:t>
            </w:r>
          </w:p>
        </w:tc>
        <w:tc>
          <w:tcPr>
            <w:tcW w:w="591" w:type="dxa"/>
            <w:tcBorders>
              <w:top w:val="single" w:sz="4" w:space="0" w:color="auto"/>
              <w:left w:val="nil"/>
              <w:bottom w:val="single" w:sz="4" w:space="0" w:color="auto"/>
              <w:right w:val="nil"/>
            </w:tcBorders>
            <w:shd w:val="clear" w:color="auto" w:fill="auto"/>
            <w:vAlign w:val="center"/>
            <w:hideMark/>
          </w:tcPr>
          <w:p w14:paraId="522C1BC9" w14:textId="77777777" w:rsidR="00F07A7D" w:rsidRPr="00484218" w:rsidRDefault="00F07A7D" w:rsidP="00780749">
            <w:pPr>
              <w:spacing w:after="0" w:line="240" w:lineRule="auto"/>
              <w:jc w:val="center"/>
              <w:rPr>
                <w:rFonts w:ascii="Arial Narrow" w:hAnsi="Arial Narrow"/>
                <w:b/>
                <w:bCs/>
                <w:color w:val="000000"/>
                <w:sz w:val="20"/>
                <w:szCs w:val="20"/>
              </w:rPr>
            </w:pPr>
            <w:r w:rsidRPr="00484218">
              <w:rPr>
                <w:rFonts w:ascii="Arial Narrow" w:hAnsi="Arial Narrow"/>
                <w:b/>
                <w:bCs/>
                <w:color w:val="000000"/>
                <w:sz w:val="20"/>
                <w:szCs w:val="20"/>
              </w:rPr>
              <w:t>2012</w:t>
            </w:r>
          </w:p>
        </w:tc>
        <w:tc>
          <w:tcPr>
            <w:tcW w:w="593" w:type="dxa"/>
            <w:tcBorders>
              <w:top w:val="single" w:sz="4" w:space="0" w:color="auto"/>
              <w:left w:val="nil"/>
              <w:bottom w:val="single" w:sz="4" w:space="0" w:color="auto"/>
              <w:right w:val="nil"/>
            </w:tcBorders>
            <w:shd w:val="clear" w:color="auto" w:fill="auto"/>
            <w:vAlign w:val="center"/>
            <w:hideMark/>
          </w:tcPr>
          <w:p w14:paraId="0132BFEC" w14:textId="77777777" w:rsidR="00F07A7D" w:rsidRPr="00484218" w:rsidRDefault="00F07A7D" w:rsidP="00780749">
            <w:pPr>
              <w:spacing w:after="0" w:line="240" w:lineRule="auto"/>
              <w:jc w:val="center"/>
              <w:rPr>
                <w:rFonts w:ascii="Arial Narrow" w:hAnsi="Arial Narrow"/>
                <w:b/>
                <w:bCs/>
                <w:color w:val="000000"/>
                <w:sz w:val="20"/>
                <w:szCs w:val="20"/>
              </w:rPr>
            </w:pPr>
            <w:r w:rsidRPr="00484218">
              <w:rPr>
                <w:rFonts w:ascii="Arial Narrow" w:hAnsi="Arial Narrow"/>
                <w:b/>
                <w:bCs/>
                <w:color w:val="000000"/>
                <w:sz w:val="20"/>
                <w:szCs w:val="20"/>
              </w:rPr>
              <w:t>2013</w:t>
            </w:r>
          </w:p>
        </w:tc>
        <w:tc>
          <w:tcPr>
            <w:tcW w:w="593" w:type="dxa"/>
            <w:tcBorders>
              <w:top w:val="single" w:sz="4" w:space="0" w:color="auto"/>
              <w:left w:val="nil"/>
              <w:bottom w:val="single" w:sz="4" w:space="0" w:color="auto"/>
              <w:right w:val="nil"/>
            </w:tcBorders>
            <w:shd w:val="clear" w:color="auto" w:fill="auto"/>
            <w:vAlign w:val="center"/>
            <w:hideMark/>
          </w:tcPr>
          <w:p w14:paraId="12F9624E" w14:textId="77777777" w:rsidR="00F07A7D" w:rsidRPr="00484218" w:rsidRDefault="00F07A7D" w:rsidP="00780749">
            <w:pPr>
              <w:spacing w:after="0" w:line="240" w:lineRule="auto"/>
              <w:jc w:val="center"/>
              <w:rPr>
                <w:rFonts w:ascii="Arial Narrow" w:hAnsi="Arial Narrow"/>
                <w:b/>
                <w:bCs/>
                <w:color w:val="000000"/>
                <w:sz w:val="20"/>
                <w:szCs w:val="20"/>
              </w:rPr>
            </w:pPr>
            <w:r w:rsidRPr="00484218">
              <w:rPr>
                <w:rFonts w:ascii="Arial Narrow" w:hAnsi="Arial Narrow"/>
                <w:b/>
                <w:bCs/>
                <w:color w:val="000000"/>
                <w:sz w:val="20"/>
                <w:szCs w:val="20"/>
              </w:rPr>
              <w:t>2014</w:t>
            </w:r>
          </w:p>
        </w:tc>
        <w:tc>
          <w:tcPr>
            <w:tcW w:w="593" w:type="dxa"/>
            <w:tcBorders>
              <w:top w:val="single" w:sz="4" w:space="0" w:color="auto"/>
              <w:left w:val="nil"/>
              <w:bottom w:val="single" w:sz="4" w:space="0" w:color="auto"/>
              <w:right w:val="nil"/>
            </w:tcBorders>
            <w:shd w:val="clear" w:color="auto" w:fill="auto"/>
            <w:vAlign w:val="center"/>
            <w:hideMark/>
          </w:tcPr>
          <w:p w14:paraId="043D0C34" w14:textId="77777777" w:rsidR="00F07A7D" w:rsidRPr="00484218" w:rsidRDefault="00F07A7D" w:rsidP="00780749">
            <w:pPr>
              <w:spacing w:after="0" w:line="240" w:lineRule="auto"/>
              <w:jc w:val="center"/>
              <w:rPr>
                <w:rFonts w:ascii="Arial Narrow" w:hAnsi="Arial Narrow"/>
                <w:b/>
                <w:bCs/>
                <w:color w:val="000000"/>
                <w:sz w:val="20"/>
                <w:szCs w:val="20"/>
              </w:rPr>
            </w:pPr>
            <w:r w:rsidRPr="00484218">
              <w:rPr>
                <w:rFonts w:ascii="Arial Narrow" w:hAnsi="Arial Narrow"/>
                <w:b/>
                <w:bCs/>
                <w:color w:val="000000"/>
                <w:sz w:val="20"/>
                <w:szCs w:val="20"/>
              </w:rPr>
              <w:t>2015</w:t>
            </w:r>
          </w:p>
        </w:tc>
        <w:tc>
          <w:tcPr>
            <w:tcW w:w="593" w:type="dxa"/>
            <w:tcBorders>
              <w:top w:val="single" w:sz="4" w:space="0" w:color="auto"/>
              <w:left w:val="nil"/>
              <w:bottom w:val="single" w:sz="4" w:space="0" w:color="auto"/>
              <w:right w:val="nil"/>
            </w:tcBorders>
            <w:shd w:val="clear" w:color="auto" w:fill="auto"/>
            <w:vAlign w:val="center"/>
            <w:hideMark/>
          </w:tcPr>
          <w:p w14:paraId="3509D8E8" w14:textId="77777777" w:rsidR="00F07A7D" w:rsidRPr="00484218" w:rsidRDefault="00F07A7D" w:rsidP="00780749">
            <w:pPr>
              <w:spacing w:after="0" w:line="240" w:lineRule="auto"/>
              <w:jc w:val="center"/>
              <w:rPr>
                <w:rFonts w:ascii="Arial Narrow" w:hAnsi="Arial Narrow"/>
                <w:b/>
                <w:bCs/>
                <w:color w:val="000000"/>
                <w:sz w:val="20"/>
                <w:szCs w:val="20"/>
              </w:rPr>
            </w:pPr>
            <w:r w:rsidRPr="00484218">
              <w:rPr>
                <w:rFonts w:ascii="Arial Narrow" w:hAnsi="Arial Narrow"/>
                <w:b/>
                <w:bCs/>
                <w:color w:val="000000"/>
                <w:sz w:val="20"/>
                <w:szCs w:val="20"/>
              </w:rPr>
              <w:t>2016</w:t>
            </w:r>
          </w:p>
        </w:tc>
        <w:tc>
          <w:tcPr>
            <w:tcW w:w="599" w:type="dxa"/>
            <w:tcBorders>
              <w:top w:val="single" w:sz="4" w:space="0" w:color="auto"/>
              <w:left w:val="nil"/>
              <w:bottom w:val="single" w:sz="4" w:space="0" w:color="auto"/>
              <w:right w:val="nil"/>
            </w:tcBorders>
          </w:tcPr>
          <w:p w14:paraId="55D30C57" w14:textId="77777777" w:rsidR="00F07A7D" w:rsidRDefault="00F07A7D" w:rsidP="00780749">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 xml:space="preserve">Cieľ </w:t>
            </w:r>
          </w:p>
          <w:p w14:paraId="1C8D55D0" w14:textId="77777777" w:rsidR="00F07A7D" w:rsidRPr="00484218" w:rsidRDefault="00F07A7D" w:rsidP="00780749">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2020</w:t>
            </w:r>
          </w:p>
        </w:tc>
      </w:tr>
      <w:tr w:rsidR="00D621E9" w:rsidRPr="00E9007D" w14:paraId="0A305B47" w14:textId="77777777" w:rsidTr="00D621E9">
        <w:trPr>
          <w:trHeight w:val="548"/>
        </w:trPr>
        <w:tc>
          <w:tcPr>
            <w:tcW w:w="2547" w:type="dxa"/>
            <w:vMerge w:val="restart"/>
            <w:tcBorders>
              <w:top w:val="nil"/>
              <w:left w:val="nil"/>
              <w:right w:val="nil"/>
            </w:tcBorders>
            <w:shd w:val="clear" w:color="auto" w:fill="auto"/>
            <w:noWrap/>
            <w:vAlign w:val="center"/>
          </w:tcPr>
          <w:p w14:paraId="25989E85" w14:textId="4E8A56F9" w:rsidR="00D621E9" w:rsidRPr="006358B6" w:rsidRDefault="00D621E9" w:rsidP="003143EE">
            <w:pPr>
              <w:spacing w:after="0" w:line="240" w:lineRule="auto"/>
              <w:rPr>
                <w:rFonts w:ascii="Arial Narrow" w:hAnsi="Arial Narrow"/>
                <w:b/>
                <w:bCs/>
                <w:color w:val="000000"/>
                <w:sz w:val="20"/>
                <w:szCs w:val="20"/>
              </w:rPr>
            </w:pPr>
            <w:r>
              <w:rPr>
                <w:rFonts w:ascii="Arial Narrow" w:hAnsi="Arial Narrow"/>
                <w:b/>
                <w:bCs/>
                <w:color w:val="000000"/>
                <w:sz w:val="20"/>
                <w:szCs w:val="20"/>
              </w:rPr>
              <w:t>Ú</w:t>
            </w:r>
            <w:r w:rsidRPr="006358B6">
              <w:rPr>
                <w:rFonts w:ascii="Arial Narrow" w:hAnsi="Arial Narrow"/>
                <w:b/>
                <w:bCs/>
                <w:color w:val="000000"/>
                <w:sz w:val="20"/>
                <w:szCs w:val="20"/>
              </w:rPr>
              <w:t xml:space="preserve">mrtnosť </w:t>
            </w:r>
            <w:r>
              <w:rPr>
                <w:rFonts w:ascii="Arial Narrow" w:hAnsi="Arial Narrow"/>
                <w:b/>
                <w:bCs/>
                <w:color w:val="000000"/>
                <w:sz w:val="20"/>
                <w:szCs w:val="20"/>
              </w:rPr>
              <w:t>o</w:t>
            </w:r>
            <w:r w:rsidRPr="006358B6">
              <w:rPr>
                <w:rFonts w:ascii="Arial Narrow" w:hAnsi="Arial Narrow"/>
                <w:b/>
                <w:bCs/>
                <w:color w:val="000000"/>
                <w:sz w:val="20"/>
                <w:szCs w:val="20"/>
              </w:rPr>
              <w:t xml:space="preserve">dvrátiteľná </w:t>
            </w:r>
            <w:r>
              <w:rPr>
                <w:rFonts w:ascii="Arial Narrow" w:hAnsi="Arial Narrow"/>
                <w:b/>
                <w:bCs/>
                <w:color w:val="000000"/>
                <w:sz w:val="20"/>
                <w:szCs w:val="20"/>
              </w:rPr>
              <w:t>zdravotnou starostlivosťou</w:t>
            </w:r>
          </w:p>
          <w:p w14:paraId="2DB98FD0" w14:textId="6B060F35" w:rsidR="00D621E9" w:rsidRPr="006358B6" w:rsidRDefault="00D621E9" w:rsidP="00780749">
            <w:pPr>
              <w:spacing w:after="0" w:line="240" w:lineRule="auto"/>
              <w:rPr>
                <w:rFonts w:ascii="Arial Narrow" w:hAnsi="Arial Narrow"/>
                <w:b/>
                <w:bCs/>
                <w:color w:val="000000"/>
                <w:sz w:val="20"/>
                <w:szCs w:val="20"/>
              </w:rPr>
            </w:pPr>
            <w:r w:rsidRPr="006358B6">
              <w:rPr>
                <w:rFonts w:ascii="Arial Narrow" w:hAnsi="Arial Narrow"/>
                <w:bCs/>
                <w:color w:val="000000"/>
                <w:sz w:val="20"/>
                <w:szCs w:val="20"/>
              </w:rPr>
              <w:t>(na 100 tisíc obyvateľov)</w:t>
            </w:r>
          </w:p>
        </w:tc>
        <w:tc>
          <w:tcPr>
            <w:tcW w:w="721" w:type="dxa"/>
            <w:tcBorders>
              <w:top w:val="nil"/>
              <w:left w:val="nil"/>
              <w:right w:val="nil"/>
            </w:tcBorders>
            <w:shd w:val="clear" w:color="auto" w:fill="auto"/>
            <w:noWrap/>
            <w:vAlign w:val="center"/>
          </w:tcPr>
          <w:p w14:paraId="42CED87B" w14:textId="77777777" w:rsidR="00D621E9" w:rsidRPr="006358B6" w:rsidRDefault="00D621E9" w:rsidP="00780749">
            <w:pPr>
              <w:spacing w:after="0" w:line="240" w:lineRule="auto"/>
              <w:jc w:val="center"/>
              <w:rPr>
                <w:rFonts w:ascii="Arial Narrow" w:hAnsi="Arial Narrow"/>
                <w:b/>
                <w:bCs/>
                <w:color w:val="000000"/>
                <w:sz w:val="20"/>
                <w:szCs w:val="20"/>
              </w:rPr>
            </w:pPr>
            <w:r w:rsidRPr="006358B6">
              <w:rPr>
                <w:rFonts w:ascii="Arial Narrow" w:hAnsi="Arial Narrow"/>
                <w:b/>
                <w:bCs/>
                <w:color w:val="000000"/>
                <w:sz w:val="20"/>
                <w:szCs w:val="20"/>
              </w:rPr>
              <w:t>SK</w:t>
            </w:r>
          </w:p>
        </w:tc>
        <w:tc>
          <w:tcPr>
            <w:tcW w:w="591" w:type="dxa"/>
            <w:tcBorders>
              <w:top w:val="nil"/>
              <w:left w:val="nil"/>
              <w:right w:val="nil"/>
            </w:tcBorders>
            <w:shd w:val="clear" w:color="auto" w:fill="auto"/>
            <w:vAlign w:val="center"/>
          </w:tcPr>
          <w:p w14:paraId="6A30173B" w14:textId="77777777" w:rsidR="00D621E9" w:rsidRPr="006358B6" w:rsidRDefault="00D621E9" w:rsidP="00780749">
            <w:pPr>
              <w:spacing w:after="0" w:line="240" w:lineRule="auto"/>
              <w:jc w:val="center"/>
              <w:rPr>
                <w:rFonts w:ascii="Arial Narrow" w:hAnsi="Arial Narrow"/>
                <w:sz w:val="20"/>
                <w:szCs w:val="20"/>
              </w:rPr>
            </w:pPr>
            <w:r w:rsidRPr="006358B6">
              <w:rPr>
                <w:rFonts w:ascii="Arial Narrow" w:hAnsi="Arial Narrow"/>
                <w:sz w:val="20"/>
                <w:szCs w:val="20"/>
              </w:rPr>
              <w:t>-</w:t>
            </w:r>
          </w:p>
        </w:tc>
        <w:tc>
          <w:tcPr>
            <w:tcW w:w="593" w:type="dxa"/>
            <w:tcBorders>
              <w:top w:val="nil"/>
              <w:left w:val="nil"/>
              <w:right w:val="nil"/>
            </w:tcBorders>
            <w:shd w:val="clear" w:color="auto" w:fill="auto"/>
            <w:vAlign w:val="center"/>
          </w:tcPr>
          <w:p w14:paraId="51F828BF" w14:textId="77777777" w:rsidR="00D621E9" w:rsidRPr="006358B6" w:rsidRDefault="00D621E9" w:rsidP="00780749">
            <w:pPr>
              <w:spacing w:after="0" w:line="240" w:lineRule="auto"/>
              <w:jc w:val="center"/>
              <w:rPr>
                <w:rFonts w:ascii="Arial Narrow" w:hAnsi="Arial Narrow"/>
                <w:sz w:val="20"/>
                <w:szCs w:val="20"/>
              </w:rPr>
            </w:pPr>
            <w:r w:rsidRPr="006358B6">
              <w:rPr>
                <w:rFonts w:ascii="Arial Narrow" w:hAnsi="Arial Narrow"/>
                <w:sz w:val="20"/>
                <w:szCs w:val="20"/>
              </w:rPr>
              <w:t>-</w:t>
            </w:r>
          </w:p>
        </w:tc>
        <w:tc>
          <w:tcPr>
            <w:tcW w:w="593" w:type="dxa"/>
            <w:tcBorders>
              <w:top w:val="nil"/>
              <w:left w:val="nil"/>
              <w:right w:val="nil"/>
            </w:tcBorders>
            <w:shd w:val="clear" w:color="auto" w:fill="auto"/>
            <w:vAlign w:val="center"/>
          </w:tcPr>
          <w:p w14:paraId="383FF9F5" w14:textId="77777777" w:rsidR="00D621E9" w:rsidRPr="006358B6" w:rsidRDefault="00D621E9" w:rsidP="00780749">
            <w:pPr>
              <w:spacing w:after="0" w:line="240" w:lineRule="auto"/>
              <w:jc w:val="center"/>
              <w:rPr>
                <w:rFonts w:ascii="Arial Narrow" w:hAnsi="Arial Narrow"/>
                <w:sz w:val="20"/>
                <w:szCs w:val="20"/>
              </w:rPr>
            </w:pPr>
            <w:r w:rsidRPr="006358B6">
              <w:rPr>
                <w:rFonts w:ascii="Arial Narrow" w:hAnsi="Arial Narrow"/>
                <w:color w:val="000000"/>
                <w:sz w:val="20"/>
                <w:szCs w:val="20"/>
              </w:rPr>
              <w:t>262</w:t>
            </w:r>
          </w:p>
        </w:tc>
        <w:tc>
          <w:tcPr>
            <w:tcW w:w="591" w:type="dxa"/>
            <w:tcBorders>
              <w:top w:val="nil"/>
              <w:left w:val="nil"/>
              <w:right w:val="nil"/>
            </w:tcBorders>
            <w:shd w:val="clear" w:color="auto" w:fill="auto"/>
            <w:vAlign w:val="center"/>
          </w:tcPr>
          <w:p w14:paraId="09650C4A" w14:textId="77777777" w:rsidR="00D621E9" w:rsidRPr="006358B6" w:rsidRDefault="00D621E9" w:rsidP="00780749">
            <w:pPr>
              <w:spacing w:after="0" w:line="240" w:lineRule="auto"/>
              <w:jc w:val="center"/>
              <w:rPr>
                <w:rFonts w:ascii="Arial Narrow" w:hAnsi="Arial Narrow"/>
                <w:sz w:val="20"/>
                <w:szCs w:val="20"/>
              </w:rPr>
            </w:pPr>
            <w:r w:rsidRPr="006358B6">
              <w:rPr>
                <w:rFonts w:ascii="Arial Narrow" w:hAnsi="Arial Narrow"/>
                <w:color w:val="000000"/>
                <w:sz w:val="20"/>
                <w:szCs w:val="20"/>
              </w:rPr>
              <w:t>261</w:t>
            </w:r>
          </w:p>
        </w:tc>
        <w:tc>
          <w:tcPr>
            <w:tcW w:w="593" w:type="dxa"/>
            <w:tcBorders>
              <w:top w:val="nil"/>
              <w:left w:val="nil"/>
              <w:right w:val="nil"/>
            </w:tcBorders>
            <w:shd w:val="clear" w:color="auto" w:fill="auto"/>
            <w:vAlign w:val="center"/>
          </w:tcPr>
          <w:p w14:paraId="04953606" w14:textId="77777777" w:rsidR="00D621E9" w:rsidRPr="006358B6" w:rsidRDefault="00D621E9" w:rsidP="00780749">
            <w:pPr>
              <w:spacing w:after="0" w:line="240" w:lineRule="auto"/>
              <w:jc w:val="center"/>
              <w:rPr>
                <w:rFonts w:ascii="Arial Narrow" w:hAnsi="Arial Narrow"/>
                <w:sz w:val="20"/>
                <w:szCs w:val="20"/>
              </w:rPr>
            </w:pPr>
            <w:r w:rsidRPr="006358B6">
              <w:rPr>
                <w:rFonts w:ascii="Arial Narrow" w:hAnsi="Arial Narrow"/>
                <w:color w:val="000000"/>
                <w:sz w:val="20"/>
                <w:szCs w:val="20"/>
              </w:rPr>
              <w:t>262</w:t>
            </w:r>
          </w:p>
        </w:tc>
        <w:tc>
          <w:tcPr>
            <w:tcW w:w="593" w:type="dxa"/>
            <w:tcBorders>
              <w:top w:val="nil"/>
              <w:left w:val="nil"/>
              <w:right w:val="nil"/>
            </w:tcBorders>
            <w:shd w:val="clear" w:color="auto" w:fill="auto"/>
            <w:vAlign w:val="center"/>
          </w:tcPr>
          <w:p w14:paraId="6B462E10" w14:textId="77777777" w:rsidR="00D621E9" w:rsidRPr="006358B6" w:rsidRDefault="00D621E9" w:rsidP="00780749">
            <w:pPr>
              <w:spacing w:after="0" w:line="240" w:lineRule="auto"/>
              <w:jc w:val="center"/>
              <w:rPr>
                <w:rFonts w:ascii="Arial Narrow" w:hAnsi="Arial Narrow"/>
                <w:sz w:val="20"/>
                <w:szCs w:val="20"/>
              </w:rPr>
            </w:pPr>
            <w:r w:rsidRPr="006358B6">
              <w:rPr>
                <w:rFonts w:ascii="Arial Narrow" w:hAnsi="Arial Narrow"/>
                <w:color w:val="000000"/>
                <w:sz w:val="20"/>
                <w:szCs w:val="20"/>
              </w:rPr>
              <w:t>243</w:t>
            </w:r>
          </w:p>
        </w:tc>
        <w:tc>
          <w:tcPr>
            <w:tcW w:w="593" w:type="dxa"/>
            <w:tcBorders>
              <w:top w:val="nil"/>
              <w:left w:val="nil"/>
              <w:right w:val="nil"/>
            </w:tcBorders>
            <w:shd w:val="clear" w:color="auto" w:fill="auto"/>
            <w:noWrap/>
            <w:vAlign w:val="center"/>
          </w:tcPr>
          <w:p w14:paraId="7E620A41" w14:textId="77777777" w:rsidR="00D621E9" w:rsidRPr="006358B6" w:rsidRDefault="00D621E9"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250</w:t>
            </w:r>
          </w:p>
        </w:tc>
        <w:tc>
          <w:tcPr>
            <w:tcW w:w="593" w:type="dxa"/>
            <w:tcBorders>
              <w:top w:val="nil"/>
              <w:left w:val="nil"/>
              <w:right w:val="nil"/>
            </w:tcBorders>
            <w:shd w:val="clear" w:color="auto" w:fill="auto"/>
            <w:noWrap/>
            <w:vAlign w:val="center"/>
          </w:tcPr>
          <w:p w14:paraId="123055EE" w14:textId="77777777" w:rsidR="00D621E9" w:rsidRPr="006358B6" w:rsidRDefault="00D621E9"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w:t>
            </w:r>
          </w:p>
        </w:tc>
        <w:tc>
          <w:tcPr>
            <w:tcW w:w="599" w:type="dxa"/>
            <w:tcBorders>
              <w:top w:val="nil"/>
              <w:left w:val="nil"/>
              <w:right w:val="nil"/>
            </w:tcBorders>
            <w:vAlign w:val="center"/>
          </w:tcPr>
          <w:p w14:paraId="635D37BE" w14:textId="0A9642EB" w:rsidR="00D621E9" w:rsidRPr="006358B6" w:rsidRDefault="00D621E9" w:rsidP="00780749">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r>
      <w:tr w:rsidR="00D621E9" w:rsidRPr="00E9007D" w14:paraId="35C51AD4" w14:textId="77777777" w:rsidTr="004E1500">
        <w:trPr>
          <w:trHeight w:val="566"/>
        </w:trPr>
        <w:tc>
          <w:tcPr>
            <w:tcW w:w="2547" w:type="dxa"/>
            <w:vMerge/>
            <w:tcBorders>
              <w:left w:val="nil"/>
              <w:bottom w:val="single" w:sz="4" w:space="0" w:color="auto"/>
              <w:right w:val="nil"/>
            </w:tcBorders>
            <w:shd w:val="clear" w:color="auto" w:fill="auto"/>
            <w:noWrap/>
            <w:vAlign w:val="center"/>
          </w:tcPr>
          <w:p w14:paraId="7C2A71CE" w14:textId="45AD54BD" w:rsidR="00D621E9" w:rsidRPr="006358B6" w:rsidRDefault="00D621E9" w:rsidP="00780749">
            <w:pPr>
              <w:spacing w:after="0" w:line="240" w:lineRule="auto"/>
              <w:rPr>
                <w:rFonts w:ascii="Arial Narrow" w:hAnsi="Arial Narrow"/>
                <w:bCs/>
                <w:color w:val="000000"/>
                <w:sz w:val="20"/>
                <w:szCs w:val="20"/>
              </w:rPr>
            </w:pPr>
          </w:p>
        </w:tc>
        <w:tc>
          <w:tcPr>
            <w:tcW w:w="721" w:type="dxa"/>
            <w:tcBorders>
              <w:top w:val="nil"/>
              <w:left w:val="nil"/>
              <w:bottom w:val="single" w:sz="4" w:space="0" w:color="auto"/>
              <w:right w:val="nil"/>
            </w:tcBorders>
            <w:shd w:val="clear" w:color="auto" w:fill="auto"/>
            <w:noWrap/>
            <w:vAlign w:val="center"/>
          </w:tcPr>
          <w:p w14:paraId="035CE2D3" w14:textId="77777777" w:rsidR="00D621E9" w:rsidRPr="006358B6" w:rsidRDefault="00D621E9" w:rsidP="00780749">
            <w:pPr>
              <w:spacing w:after="0" w:line="240" w:lineRule="auto"/>
              <w:jc w:val="center"/>
              <w:rPr>
                <w:rFonts w:ascii="Arial Narrow" w:hAnsi="Arial Narrow"/>
                <w:b/>
                <w:bCs/>
                <w:color w:val="000000"/>
                <w:sz w:val="20"/>
                <w:szCs w:val="20"/>
              </w:rPr>
            </w:pPr>
            <w:r w:rsidRPr="006358B6">
              <w:rPr>
                <w:rFonts w:ascii="Arial Narrow" w:hAnsi="Arial Narrow"/>
                <w:b/>
                <w:bCs/>
                <w:color w:val="000000"/>
                <w:sz w:val="20"/>
                <w:szCs w:val="20"/>
              </w:rPr>
              <w:t>EÚ</w:t>
            </w:r>
          </w:p>
        </w:tc>
        <w:tc>
          <w:tcPr>
            <w:tcW w:w="591" w:type="dxa"/>
            <w:tcBorders>
              <w:top w:val="nil"/>
              <w:left w:val="nil"/>
              <w:bottom w:val="single" w:sz="4" w:space="0" w:color="auto"/>
              <w:right w:val="nil"/>
            </w:tcBorders>
            <w:shd w:val="clear" w:color="auto" w:fill="auto"/>
            <w:vAlign w:val="center"/>
          </w:tcPr>
          <w:p w14:paraId="6DF91EDA" w14:textId="77777777" w:rsidR="00D621E9" w:rsidRPr="006358B6" w:rsidRDefault="00D621E9" w:rsidP="00780749">
            <w:pPr>
              <w:spacing w:after="0" w:line="240" w:lineRule="auto"/>
              <w:jc w:val="center"/>
              <w:rPr>
                <w:rFonts w:ascii="Arial Narrow" w:hAnsi="Arial Narrow"/>
                <w:sz w:val="20"/>
                <w:szCs w:val="20"/>
              </w:rPr>
            </w:pPr>
            <w:r w:rsidRPr="006358B6">
              <w:rPr>
                <w:rFonts w:ascii="Arial Narrow" w:hAnsi="Arial Narrow"/>
                <w:sz w:val="20"/>
                <w:szCs w:val="20"/>
              </w:rPr>
              <w:t>-</w:t>
            </w:r>
          </w:p>
        </w:tc>
        <w:tc>
          <w:tcPr>
            <w:tcW w:w="593" w:type="dxa"/>
            <w:tcBorders>
              <w:top w:val="nil"/>
              <w:left w:val="nil"/>
              <w:bottom w:val="single" w:sz="4" w:space="0" w:color="auto"/>
              <w:right w:val="nil"/>
            </w:tcBorders>
            <w:shd w:val="clear" w:color="auto" w:fill="auto"/>
            <w:vAlign w:val="center"/>
          </w:tcPr>
          <w:p w14:paraId="09218E7B" w14:textId="77777777" w:rsidR="00D621E9" w:rsidRPr="006358B6" w:rsidRDefault="00D621E9" w:rsidP="00780749">
            <w:pPr>
              <w:spacing w:after="0" w:line="240" w:lineRule="auto"/>
              <w:jc w:val="center"/>
              <w:rPr>
                <w:rFonts w:ascii="Arial Narrow" w:hAnsi="Arial Narrow"/>
                <w:sz w:val="20"/>
                <w:szCs w:val="20"/>
              </w:rPr>
            </w:pPr>
            <w:r w:rsidRPr="006358B6">
              <w:rPr>
                <w:rFonts w:ascii="Arial Narrow" w:hAnsi="Arial Narrow"/>
                <w:sz w:val="20"/>
                <w:szCs w:val="20"/>
              </w:rPr>
              <w:t>-</w:t>
            </w:r>
          </w:p>
        </w:tc>
        <w:tc>
          <w:tcPr>
            <w:tcW w:w="593" w:type="dxa"/>
            <w:tcBorders>
              <w:top w:val="nil"/>
              <w:left w:val="nil"/>
              <w:bottom w:val="single" w:sz="4" w:space="0" w:color="auto"/>
              <w:right w:val="nil"/>
            </w:tcBorders>
            <w:shd w:val="clear" w:color="auto" w:fill="auto"/>
            <w:vAlign w:val="center"/>
          </w:tcPr>
          <w:p w14:paraId="6763ACC5" w14:textId="77777777" w:rsidR="00D621E9" w:rsidRPr="006358B6" w:rsidRDefault="00D621E9" w:rsidP="00780749">
            <w:pPr>
              <w:spacing w:after="0" w:line="240" w:lineRule="auto"/>
              <w:jc w:val="center"/>
              <w:rPr>
                <w:rFonts w:ascii="Arial Narrow" w:hAnsi="Arial Narrow"/>
                <w:sz w:val="20"/>
                <w:szCs w:val="20"/>
              </w:rPr>
            </w:pPr>
            <w:r w:rsidRPr="006358B6">
              <w:rPr>
                <w:rFonts w:ascii="Arial Narrow" w:hAnsi="Arial Narrow"/>
                <w:color w:val="000000"/>
                <w:sz w:val="20"/>
                <w:szCs w:val="20"/>
              </w:rPr>
              <w:t>138</w:t>
            </w:r>
          </w:p>
        </w:tc>
        <w:tc>
          <w:tcPr>
            <w:tcW w:w="591" w:type="dxa"/>
            <w:tcBorders>
              <w:top w:val="nil"/>
              <w:left w:val="nil"/>
              <w:bottom w:val="single" w:sz="4" w:space="0" w:color="auto"/>
              <w:right w:val="nil"/>
            </w:tcBorders>
            <w:shd w:val="clear" w:color="auto" w:fill="auto"/>
            <w:vAlign w:val="center"/>
          </w:tcPr>
          <w:p w14:paraId="75E7E239" w14:textId="77777777" w:rsidR="00D621E9" w:rsidRPr="006358B6" w:rsidRDefault="00D621E9" w:rsidP="00780749">
            <w:pPr>
              <w:spacing w:after="0" w:line="240" w:lineRule="auto"/>
              <w:jc w:val="center"/>
              <w:rPr>
                <w:rFonts w:ascii="Arial Narrow" w:hAnsi="Arial Narrow"/>
                <w:sz w:val="20"/>
                <w:szCs w:val="20"/>
              </w:rPr>
            </w:pPr>
            <w:r w:rsidRPr="006358B6">
              <w:rPr>
                <w:rFonts w:ascii="Arial Narrow" w:hAnsi="Arial Narrow"/>
                <w:color w:val="000000"/>
                <w:sz w:val="20"/>
                <w:szCs w:val="20"/>
              </w:rPr>
              <w:t>135</w:t>
            </w:r>
          </w:p>
        </w:tc>
        <w:tc>
          <w:tcPr>
            <w:tcW w:w="593" w:type="dxa"/>
            <w:tcBorders>
              <w:top w:val="nil"/>
              <w:left w:val="nil"/>
              <w:bottom w:val="single" w:sz="4" w:space="0" w:color="auto"/>
              <w:right w:val="nil"/>
            </w:tcBorders>
            <w:shd w:val="clear" w:color="auto" w:fill="auto"/>
            <w:vAlign w:val="center"/>
          </w:tcPr>
          <w:p w14:paraId="5BDE8AAF" w14:textId="77777777" w:rsidR="00D621E9" w:rsidRPr="006358B6" w:rsidRDefault="00D621E9" w:rsidP="00780749">
            <w:pPr>
              <w:spacing w:after="0" w:line="240" w:lineRule="auto"/>
              <w:jc w:val="center"/>
              <w:rPr>
                <w:rFonts w:ascii="Arial Narrow" w:hAnsi="Arial Narrow"/>
                <w:sz w:val="20"/>
                <w:szCs w:val="20"/>
              </w:rPr>
            </w:pPr>
            <w:r w:rsidRPr="006358B6">
              <w:rPr>
                <w:rFonts w:ascii="Arial Narrow" w:hAnsi="Arial Narrow"/>
                <w:color w:val="000000"/>
                <w:sz w:val="20"/>
                <w:szCs w:val="20"/>
              </w:rPr>
              <w:t>131</w:t>
            </w:r>
          </w:p>
        </w:tc>
        <w:tc>
          <w:tcPr>
            <w:tcW w:w="593" w:type="dxa"/>
            <w:tcBorders>
              <w:top w:val="nil"/>
              <w:left w:val="nil"/>
              <w:bottom w:val="single" w:sz="4" w:space="0" w:color="auto"/>
              <w:right w:val="nil"/>
            </w:tcBorders>
            <w:shd w:val="clear" w:color="auto" w:fill="auto"/>
            <w:vAlign w:val="center"/>
          </w:tcPr>
          <w:p w14:paraId="037B3DA9" w14:textId="77777777" w:rsidR="00D621E9" w:rsidRPr="006358B6" w:rsidRDefault="00D621E9" w:rsidP="00780749">
            <w:pPr>
              <w:spacing w:after="0" w:line="240" w:lineRule="auto"/>
              <w:jc w:val="center"/>
              <w:rPr>
                <w:rFonts w:ascii="Arial Narrow" w:hAnsi="Arial Narrow"/>
                <w:sz w:val="20"/>
                <w:szCs w:val="20"/>
              </w:rPr>
            </w:pPr>
            <w:r w:rsidRPr="006358B6">
              <w:rPr>
                <w:rFonts w:ascii="Arial Narrow" w:hAnsi="Arial Narrow"/>
                <w:color w:val="000000"/>
                <w:sz w:val="20"/>
                <w:szCs w:val="20"/>
              </w:rPr>
              <w:t>126</w:t>
            </w:r>
          </w:p>
        </w:tc>
        <w:tc>
          <w:tcPr>
            <w:tcW w:w="593" w:type="dxa"/>
            <w:tcBorders>
              <w:top w:val="nil"/>
              <w:left w:val="nil"/>
              <w:bottom w:val="single" w:sz="4" w:space="0" w:color="auto"/>
              <w:right w:val="nil"/>
            </w:tcBorders>
            <w:shd w:val="clear" w:color="auto" w:fill="auto"/>
            <w:noWrap/>
            <w:vAlign w:val="center"/>
          </w:tcPr>
          <w:p w14:paraId="29F926F5" w14:textId="77777777" w:rsidR="00D621E9" w:rsidRPr="006358B6" w:rsidRDefault="00D621E9"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127</w:t>
            </w:r>
          </w:p>
        </w:tc>
        <w:tc>
          <w:tcPr>
            <w:tcW w:w="593" w:type="dxa"/>
            <w:tcBorders>
              <w:top w:val="nil"/>
              <w:left w:val="nil"/>
              <w:bottom w:val="single" w:sz="4" w:space="0" w:color="auto"/>
              <w:right w:val="nil"/>
            </w:tcBorders>
            <w:shd w:val="clear" w:color="auto" w:fill="auto"/>
            <w:noWrap/>
            <w:vAlign w:val="center"/>
          </w:tcPr>
          <w:p w14:paraId="56583F13" w14:textId="77777777" w:rsidR="00D621E9" w:rsidRPr="006358B6" w:rsidRDefault="00D621E9"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w:t>
            </w:r>
          </w:p>
        </w:tc>
        <w:tc>
          <w:tcPr>
            <w:tcW w:w="599" w:type="dxa"/>
            <w:tcBorders>
              <w:top w:val="nil"/>
              <w:left w:val="nil"/>
              <w:bottom w:val="single" w:sz="4" w:space="0" w:color="auto"/>
              <w:right w:val="nil"/>
            </w:tcBorders>
            <w:vAlign w:val="center"/>
          </w:tcPr>
          <w:p w14:paraId="12788CFA" w14:textId="4191DF14" w:rsidR="00D621E9" w:rsidRPr="006358B6" w:rsidRDefault="00D621E9" w:rsidP="00780749">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r>
      <w:tr w:rsidR="00F07A7D" w:rsidRPr="00E9007D" w14:paraId="52C03204" w14:textId="77777777" w:rsidTr="00F07A7D">
        <w:trPr>
          <w:trHeight w:val="55"/>
        </w:trPr>
        <w:tc>
          <w:tcPr>
            <w:tcW w:w="2547" w:type="dxa"/>
            <w:vMerge w:val="restart"/>
            <w:tcBorders>
              <w:top w:val="single" w:sz="4" w:space="0" w:color="auto"/>
              <w:left w:val="nil"/>
              <w:right w:val="nil"/>
            </w:tcBorders>
            <w:shd w:val="clear" w:color="auto" w:fill="auto"/>
            <w:noWrap/>
            <w:vAlign w:val="center"/>
            <w:hideMark/>
          </w:tcPr>
          <w:p w14:paraId="266064B8" w14:textId="77B0BDB6" w:rsidR="00F07A7D" w:rsidRPr="001334F0" w:rsidRDefault="001334F0" w:rsidP="00780749">
            <w:pPr>
              <w:spacing w:after="0" w:line="240" w:lineRule="auto"/>
              <w:rPr>
                <w:rFonts w:ascii="Arial Narrow" w:hAnsi="Arial Narrow"/>
                <w:b/>
                <w:bCs/>
                <w:color w:val="000000" w:themeColor="text1"/>
                <w:sz w:val="20"/>
                <w:szCs w:val="20"/>
              </w:rPr>
            </w:pPr>
            <w:r w:rsidRPr="001334F0">
              <w:rPr>
                <w:rFonts w:ascii="Arial Narrow" w:hAnsi="Arial Narrow" w:cs="Arial"/>
                <w:b/>
                <w:bCs/>
                <w:color w:val="000000" w:themeColor="text1"/>
                <w:sz w:val="20"/>
              </w:rPr>
              <w:t>Očakávaná dĺžka života</w:t>
            </w:r>
            <w:r>
              <w:rPr>
                <w:rFonts w:ascii="Arial Narrow" w:hAnsi="Arial Narrow" w:cs="Arial"/>
                <w:b/>
                <w:bCs/>
                <w:color w:val="000000" w:themeColor="text1"/>
                <w:sz w:val="20"/>
              </w:rPr>
              <w:t xml:space="preserve"> pri narodení</w:t>
            </w:r>
          </w:p>
          <w:p w14:paraId="65A2FFD8" w14:textId="5B04C088" w:rsidR="00F07A7D" w:rsidRPr="006358B6" w:rsidRDefault="00F07A7D" w:rsidP="00780749">
            <w:pPr>
              <w:spacing w:after="0" w:line="240" w:lineRule="auto"/>
              <w:rPr>
                <w:rFonts w:ascii="Arial Narrow" w:hAnsi="Arial Narrow"/>
                <w:b/>
                <w:bCs/>
                <w:color w:val="000000"/>
                <w:sz w:val="20"/>
                <w:szCs w:val="20"/>
              </w:rPr>
            </w:pPr>
            <w:r w:rsidRPr="006358B6">
              <w:rPr>
                <w:rFonts w:ascii="Arial Narrow" w:hAnsi="Arial Narrow"/>
                <w:color w:val="000000"/>
                <w:sz w:val="20"/>
                <w:szCs w:val="20"/>
              </w:rPr>
              <w:t>(očakávaný počet rokov pri narodení)</w:t>
            </w:r>
          </w:p>
        </w:tc>
        <w:tc>
          <w:tcPr>
            <w:tcW w:w="721" w:type="dxa"/>
            <w:tcBorders>
              <w:top w:val="single" w:sz="4" w:space="0" w:color="auto"/>
              <w:left w:val="nil"/>
              <w:bottom w:val="nil"/>
              <w:right w:val="nil"/>
            </w:tcBorders>
            <w:shd w:val="clear" w:color="auto" w:fill="auto"/>
            <w:noWrap/>
            <w:vAlign w:val="center"/>
            <w:hideMark/>
          </w:tcPr>
          <w:p w14:paraId="393DF097" w14:textId="77777777" w:rsidR="00F07A7D" w:rsidRPr="006358B6" w:rsidRDefault="00F07A7D" w:rsidP="00780749">
            <w:pPr>
              <w:spacing w:after="0" w:line="240" w:lineRule="auto"/>
              <w:jc w:val="center"/>
              <w:rPr>
                <w:rFonts w:ascii="Arial Narrow" w:hAnsi="Arial Narrow"/>
                <w:b/>
                <w:bCs/>
                <w:color w:val="000000"/>
                <w:sz w:val="20"/>
                <w:szCs w:val="20"/>
              </w:rPr>
            </w:pPr>
            <w:r w:rsidRPr="006358B6">
              <w:rPr>
                <w:rFonts w:ascii="Arial Narrow" w:hAnsi="Arial Narrow"/>
                <w:b/>
                <w:bCs/>
                <w:color w:val="000000"/>
                <w:sz w:val="20"/>
                <w:szCs w:val="20"/>
              </w:rPr>
              <w:t>SK muži</w:t>
            </w:r>
          </w:p>
        </w:tc>
        <w:tc>
          <w:tcPr>
            <w:tcW w:w="591" w:type="dxa"/>
            <w:tcBorders>
              <w:top w:val="single" w:sz="4" w:space="0" w:color="auto"/>
              <w:left w:val="nil"/>
              <w:bottom w:val="nil"/>
              <w:right w:val="nil"/>
            </w:tcBorders>
            <w:shd w:val="clear" w:color="auto" w:fill="auto"/>
            <w:vAlign w:val="center"/>
            <w:hideMark/>
          </w:tcPr>
          <w:p w14:paraId="667E35BA" w14:textId="77777777" w:rsidR="00F07A7D" w:rsidRPr="006358B6" w:rsidRDefault="00F07A7D" w:rsidP="00780749">
            <w:pPr>
              <w:spacing w:after="0" w:line="240" w:lineRule="auto"/>
              <w:jc w:val="center"/>
              <w:rPr>
                <w:rFonts w:ascii="Arial Narrow" w:hAnsi="Arial Narrow"/>
                <w:sz w:val="20"/>
                <w:szCs w:val="20"/>
              </w:rPr>
            </w:pPr>
            <w:r w:rsidRPr="006358B6">
              <w:rPr>
                <w:rFonts w:ascii="Arial Narrow" w:hAnsi="Arial Narrow"/>
                <w:sz w:val="20"/>
                <w:szCs w:val="20"/>
              </w:rPr>
              <w:t>71,4</w:t>
            </w:r>
          </w:p>
        </w:tc>
        <w:tc>
          <w:tcPr>
            <w:tcW w:w="593" w:type="dxa"/>
            <w:tcBorders>
              <w:top w:val="single" w:sz="4" w:space="0" w:color="auto"/>
              <w:left w:val="nil"/>
              <w:bottom w:val="nil"/>
              <w:right w:val="nil"/>
            </w:tcBorders>
            <w:shd w:val="clear" w:color="auto" w:fill="auto"/>
            <w:vAlign w:val="center"/>
            <w:hideMark/>
          </w:tcPr>
          <w:p w14:paraId="12E00FFE" w14:textId="77777777" w:rsidR="00F07A7D" w:rsidRPr="006358B6" w:rsidRDefault="00F07A7D" w:rsidP="00780749">
            <w:pPr>
              <w:spacing w:after="0" w:line="240" w:lineRule="auto"/>
              <w:jc w:val="center"/>
              <w:rPr>
                <w:rFonts w:ascii="Arial Narrow" w:hAnsi="Arial Narrow"/>
                <w:sz w:val="20"/>
                <w:szCs w:val="20"/>
              </w:rPr>
            </w:pPr>
            <w:r w:rsidRPr="006358B6">
              <w:rPr>
                <w:rFonts w:ascii="Arial Narrow" w:hAnsi="Arial Narrow"/>
                <w:sz w:val="20"/>
                <w:szCs w:val="20"/>
              </w:rPr>
              <w:t>71,8</w:t>
            </w:r>
          </w:p>
        </w:tc>
        <w:tc>
          <w:tcPr>
            <w:tcW w:w="593" w:type="dxa"/>
            <w:tcBorders>
              <w:top w:val="single" w:sz="4" w:space="0" w:color="auto"/>
              <w:left w:val="nil"/>
              <w:bottom w:val="nil"/>
              <w:right w:val="nil"/>
            </w:tcBorders>
            <w:shd w:val="clear" w:color="auto" w:fill="auto"/>
            <w:vAlign w:val="center"/>
            <w:hideMark/>
          </w:tcPr>
          <w:p w14:paraId="38D23A92" w14:textId="77777777" w:rsidR="00F07A7D" w:rsidRPr="006358B6" w:rsidRDefault="00F07A7D" w:rsidP="00780749">
            <w:pPr>
              <w:spacing w:after="0" w:line="240" w:lineRule="auto"/>
              <w:jc w:val="center"/>
              <w:rPr>
                <w:rFonts w:ascii="Arial Narrow" w:hAnsi="Arial Narrow"/>
                <w:sz w:val="20"/>
                <w:szCs w:val="20"/>
              </w:rPr>
            </w:pPr>
            <w:r w:rsidRPr="006358B6">
              <w:rPr>
                <w:rFonts w:ascii="Arial Narrow" w:hAnsi="Arial Narrow"/>
                <w:sz w:val="20"/>
                <w:szCs w:val="20"/>
              </w:rPr>
              <w:t>72,3</w:t>
            </w:r>
          </w:p>
        </w:tc>
        <w:tc>
          <w:tcPr>
            <w:tcW w:w="591" w:type="dxa"/>
            <w:tcBorders>
              <w:top w:val="single" w:sz="4" w:space="0" w:color="auto"/>
              <w:left w:val="nil"/>
              <w:bottom w:val="nil"/>
              <w:right w:val="nil"/>
            </w:tcBorders>
            <w:shd w:val="clear" w:color="auto" w:fill="auto"/>
            <w:vAlign w:val="center"/>
            <w:hideMark/>
          </w:tcPr>
          <w:p w14:paraId="741DCED3" w14:textId="77777777" w:rsidR="00F07A7D" w:rsidRPr="006358B6" w:rsidRDefault="00F07A7D" w:rsidP="00780749">
            <w:pPr>
              <w:spacing w:after="0" w:line="240" w:lineRule="auto"/>
              <w:jc w:val="center"/>
              <w:rPr>
                <w:rFonts w:ascii="Arial Narrow" w:hAnsi="Arial Narrow"/>
                <w:sz w:val="20"/>
                <w:szCs w:val="20"/>
              </w:rPr>
            </w:pPr>
            <w:r w:rsidRPr="006358B6">
              <w:rPr>
                <w:rFonts w:ascii="Arial Narrow" w:hAnsi="Arial Narrow"/>
                <w:sz w:val="20"/>
                <w:szCs w:val="20"/>
              </w:rPr>
              <w:t>72,5</w:t>
            </w:r>
          </w:p>
        </w:tc>
        <w:tc>
          <w:tcPr>
            <w:tcW w:w="593" w:type="dxa"/>
            <w:tcBorders>
              <w:top w:val="single" w:sz="4" w:space="0" w:color="auto"/>
              <w:left w:val="nil"/>
              <w:bottom w:val="nil"/>
              <w:right w:val="nil"/>
            </w:tcBorders>
            <w:shd w:val="clear" w:color="auto" w:fill="auto"/>
            <w:vAlign w:val="center"/>
            <w:hideMark/>
          </w:tcPr>
          <w:p w14:paraId="3694620C" w14:textId="77777777" w:rsidR="00F07A7D" w:rsidRPr="006358B6" w:rsidRDefault="00F07A7D" w:rsidP="00780749">
            <w:pPr>
              <w:spacing w:after="0" w:line="240" w:lineRule="auto"/>
              <w:jc w:val="center"/>
              <w:rPr>
                <w:rFonts w:ascii="Arial Narrow" w:hAnsi="Arial Narrow"/>
                <w:sz w:val="20"/>
                <w:szCs w:val="20"/>
              </w:rPr>
            </w:pPr>
            <w:r w:rsidRPr="006358B6">
              <w:rPr>
                <w:rFonts w:ascii="Arial Narrow" w:hAnsi="Arial Narrow"/>
                <w:sz w:val="20"/>
                <w:szCs w:val="20"/>
              </w:rPr>
              <w:t>72,9</w:t>
            </w:r>
          </w:p>
        </w:tc>
        <w:tc>
          <w:tcPr>
            <w:tcW w:w="593" w:type="dxa"/>
            <w:tcBorders>
              <w:top w:val="single" w:sz="4" w:space="0" w:color="auto"/>
              <w:left w:val="nil"/>
              <w:bottom w:val="nil"/>
              <w:right w:val="nil"/>
            </w:tcBorders>
            <w:shd w:val="clear" w:color="auto" w:fill="auto"/>
            <w:vAlign w:val="center"/>
            <w:hideMark/>
          </w:tcPr>
          <w:p w14:paraId="758247B0" w14:textId="77777777" w:rsidR="00F07A7D" w:rsidRPr="006358B6" w:rsidRDefault="00F07A7D" w:rsidP="00780749">
            <w:pPr>
              <w:spacing w:after="0" w:line="240" w:lineRule="auto"/>
              <w:jc w:val="center"/>
              <w:rPr>
                <w:rFonts w:ascii="Arial Narrow" w:hAnsi="Arial Narrow"/>
                <w:sz w:val="20"/>
                <w:szCs w:val="20"/>
              </w:rPr>
            </w:pPr>
            <w:r w:rsidRPr="006358B6">
              <w:rPr>
                <w:rFonts w:ascii="Arial Narrow" w:hAnsi="Arial Narrow"/>
                <w:sz w:val="20"/>
                <w:szCs w:val="20"/>
              </w:rPr>
              <w:t>73,3</w:t>
            </w:r>
          </w:p>
        </w:tc>
        <w:tc>
          <w:tcPr>
            <w:tcW w:w="593" w:type="dxa"/>
            <w:tcBorders>
              <w:top w:val="single" w:sz="4" w:space="0" w:color="auto"/>
              <w:left w:val="nil"/>
              <w:bottom w:val="nil"/>
              <w:right w:val="nil"/>
            </w:tcBorders>
            <w:shd w:val="clear" w:color="auto" w:fill="auto"/>
            <w:noWrap/>
            <w:vAlign w:val="center"/>
            <w:hideMark/>
          </w:tcPr>
          <w:p w14:paraId="22052945"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73,1</w:t>
            </w:r>
          </w:p>
        </w:tc>
        <w:tc>
          <w:tcPr>
            <w:tcW w:w="593" w:type="dxa"/>
            <w:tcBorders>
              <w:top w:val="single" w:sz="4" w:space="0" w:color="auto"/>
              <w:left w:val="nil"/>
              <w:bottom w:val="nil"/>
              <w:right w:val="nil"/>
            </w:tcBorders>
            <w:shd w:val="clear" w:color="auto" w:fill="auto"/>
            <w:noWrap/>
            <w:vAlign w:val="center"/>
            <w:hideMark/>
          </w:tcPr>
          <w:p w14:paraId="3B0CF922"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73,8</w:t>
            </w:r>
          </w:p>
        </w:tc>
        <w:tc>
          <w:tcPr>
            <w:tcW w:w="599" w:type="dxa"/>
            <w:tcBorders>
              <w:top w:val="single" w:sz="4" w:space="0" w:color="auto"/>
              <w:left w:val="nil"/>
              <w:bottom w:val="nil"/>
              <w:right w:val="nil"/>
            </w:tcBorders>
            <w:vAlign w:val="center"/>
          </w:tcPr>
          <w:p w14:paraId="7BBE689C" w14:textId="1427D477" w:rsidR="00F07A7D" w:rsidRPr="006358B6" w:rsidRDefault="00F07A7D" w:rsidP="00780749">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r>
      <w:tr w:rsidR="00F07A7D" w:rsidRPr="00E9007D" w14:paraId="46F1D321" w14:textId="77777777" w:rsidTr="00F07A7D">
        <w:trPr>
          <w:trHeight w:val="61"/>
        </w:trPr>
        <w:tc>
          <w:tcPr>
            <w:tcW w:w="2547" w:type="dxa"/>
            <w:vMerge/>
            <w:tcBorders>
              <w:left w:val="nil"/>
              <w:right w:val="nil"/>
            </w:tcBorders>
            <w:vAlign w:val="center"/>
            <w:hideMark/>
          </w:tcPr>
          <w:p w14:paraId="324B9B58" w14:textId="2B20DA38" w:rsidR="00F07A7D" w:rsidRPr="006358B6" w:rsidRDefault="00F07A7D" w:rsidP="00780749">
            <w:pPr>
              <w:spacing w:after="0" w:line="240" w:lineRule="auto"/>
              <w:rPr>
                <w:rFonts w:ascii="Arial Narrow" w:hAnsi="Arial Narrow"/>
                <w:b/>
                <w:bCs/>
                <w:color w:val="000000"/>
                <w:sz w:val="20"/>
                <w:szCs w:val="20"/>
              </w:rPr>
            </w:pPr>
          </w:p>
        </w:tc>
        <w:tc>
          <w:tcPr>
            <w:tcW w:w="721" w:type="dxa"/>
            <w:tcBorders>
              <w:top w:val="nil"/>
              <w:left w:val="nil"/>
              <w:bottom w:val="nil"/>
              <w:right w:val="nil"/>
            </w:tcBorders>
            <w:shd w:val="clear" w:color="auto" w:fill="auto"/>
            <w:noWrap/>
            <w:vAlign w:val="center"/>
            <w:hideMark/>
          </w:tcPr>
          <w:p w14:paraId="19935B48" w14:textId="77777777" w:rsidR="00F07A7D" w:rsidRPr="006358B6" w:rsidRDefault="00F07A7D" w:rsidP="00780749">
            <w:pPr>
              <w:spacing w:after="0" w:line="240" w:lineRule="auto"/>
              <w:jc w:val="center"/>
              <w:rPr>
                <w:rFonts w:ascii="Arial Narrow" w:hAnsi="Arial Narrow"/>
                <w:b/>
                <w:bCs/>
                <w:color w:val="000000"/>
                <w:sz w:val="20"/>
                <w:szCs w:val="20"/>
              </w:rPr>
            </w:pPr>
            <w:r w:rsidRPr="006358B6">
              <w:rPr>
                <w:rFonts w:ascii="Arial Narrow" w:hAnsi="Arial Narrow"/>
                <w:b/>
                <w:bCs/>
                <w:color w:val="000000"/>
                <w:sz w:val="20"/>
                <w:szCs w:val="20"/>
              </w:rPr>
              <w:t>EÚ muži</w:t>
            </w:r>
          </w:p>
        </w:tc>
        <w:tc>
          <w:tcPr>
            <w:tcW w:w="591" w:type="dxa"/>
            <w:tcBorders>
              <w:top w:val="nil"/>
              <w:left w:val="nil"/>
              <w:bottom w:val="nil"/>
              <w:right w:val="nil"/>
            </w:tcBorders>
            <w:shd w:val="clear" w:color="auto" w:fill="auto"/>
            <w:vAlign w:val="center"/>
            <w:hideMark/>
          </w:tcPr>
          <w:p w14:paraId="46E30656"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75,2</w:t>
            </w:r>
          </w:p>
        </w:tc>
        <w:tc>
          <w:tcPr>
            <w:tcW w:w="593" w:type="dxa"/>
            <w:tcBorders>
              <w:top w:val="nil"/>
              <w:left w:val="nil"/>
              <w:bottom w:val="nil"/>
              <w:right w:val="nil"/>
            </w:tcBorders>
            <w:shd w:val="clear" w:color="auto" w:fill="auto"/>
            <w:vAlign w:val="center"/>
            <w:hideMark/>
          </w:tcPr>
          <w:p w14:paraId="0E76DBE0"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75,6</w:t>
            </w:r>
          </w:p>
        </w:tc>
        <w:tc>
          <w:tcPr>
            <w:tcW w:w="593" w:type="dxa"/>
            <w:tcBorders>
              <w:top w:val="nil"/>
              <w:left w:val="nil"/>
              <w:bottom w:val="nil"/>
              <w:right w:val="nil"/>
            </w:tcBorders>
            <w:shd w:val="clear" w:color="auto" w:fill="auto"/>
            <w:vAlign w:val="center"/>
            <w:hideMark/>
          </w:tcPr>
          <w:p w14:paraId="00DDD08F"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76,0</w:t>
            </w:r>
          </w:p>
        </w:tc>
        <w:tc>
          <w:tcPr>
            <w:tcW w:w="591" w:type="dxa"/>
            <w:tcBorders>
              <w:top w:val="nil"/>
              <w:left w:val="nil"/>
              <w:bottom w:val="nil"/>
              <w:right w:val="nil"/>
            </w:tcBorders>
            <w:shd w:val="clear" w:color="auto" w:fill="auto"/>
            <w:vAlign w:val="center"/>
            <w:hideMark/>
          </w:tcPr>
          <w:p w14:paraId="5896A98E"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76,1</w:t>
            </w:r>
          </w:p>
        </w:tc>
        <w:tc>
          <w:tcPr>
            <w:tcW w:w="593" w:type="dxa"/>
            <w:tcBorders>
              <w:top w:val="nil"/>
              <w:left w:val="nil"/>
              <w:bottom w:val="nil"/>
              <w:right w:val="nil"/>
            </w:tcBorders>
            <w:shd w:val="clear" w:color="auto" w:fill="auto"/>
            <w:vAlign w:val="center"/>
            <w:hideMark/>
          </w:tcPr>
          <w:p w14:paraId="26F3A1DA"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76,5</w:t>
            </w:r>
          </w:p>
        </w:tc>
        <w:tc>
          <w:tcPr>
            <w:tcW w:w="593" w:type="dxa"/>
            <w:tcBorders>
              <w:top w:val="nil"/>
              <w:left w:val="nil"/>
              <w:bottom w:val="nil"/>
              <w:right w:val="nil"/>
            </w:tcBorders>
            <w:shd w:val="clear" w:color="auto" w:fill="auto"/>
            <w:vAlign w:val="center"/>
            <w:hideMark/>
          </w:tcPr>
          <w:p w14:paraId="6B94F166"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76,8</w:t>
            </w:r>
          </w:p>
        </w:tc>
        <w:tc>
          <w:tcPr>
            <w:tcW w:w="593" w:type="dxa"/>
            <w:tcBorders>
              <w:top w:val="nil"/>
              <w:left w:val="nil"/>
              <w:bottom w:val="nil"/>
              <w:right w:val="nil"/>
            </w:tcBorders>
            <w:shd w:val="clear" w:color="auto" w:fill="auto"/>
            <w:vAlign w:val="center"/>
            <w:hideMark/>
          </w:tcPr>
          <w:p w14:paraId="4BFDC1A7"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76,8</w:t>
            </w:r>
          </w:p>
        </w:tc>
        <w:tc>
          <w:tcPr>
            <w:tcW w:w="593" w:type="dxa"/>
            <w:tcBorders>
              <w:top w:val="nil"/>
              <w:left w:val="nil"/>
              <w:bottom w:val="nil"/>
              <w:right w:val="nil"/>
            </w:tcBorders>
            <w:shd w:val="clear" w:color="auto" w:fill="auto"/>
            <w:noWrap/>
            <w:vAlign w:val="center"/>
            <w:hideMark/>
          </w:tcPr>
          <w:p w14:paraId="60FAF736"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77,1</w:t>
            </w:r>
          </w:p>
        </w:tc>
        <w:tc>
          <w:tcPr>
            <w:tcW w:w="599" w:type="dxa"/>
            <w:tcBorders>
              <w:top w:val="nil"/>
              <w:left w:val="nil"/>
              <w:bottom w:val="nil"/>
              <w:right w:val="nil"/>
            </w:tcBorders>
            <w:vAlign w:val="center"/>
          </w:tcPr>
          <w:p w14:paraId="16EAC0C4" w14:textId="570E96AC" w:rsidR="00F07A7D" w:rsidRPr="006358B6" w:rsidRDefault="00F07A7D" w:rsidP="00780749">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r>
      <w:tr w:rsidR="00F07A7D" w:rsidRPr="00E9007D" w14:paraId="7141123A" w14:textId="77777777" w:rsidTr="00F07A7D">
        <w:trPr>
          <w:trHeight w:val="55"/>
        </w:trPr>
        <w:tc>
          <w:tcPr>
            <w:tcW w:w="2547" w:type="dxa"/>
            <w:vMerge/>
            <w:tcBorders>
              <w:left w:val="nil"/>
              <w:right w:val="nil"/>
            </w:tcBorders>
            <w:shd w:val="clear" w:color="auto" w:fill="auto"/>
            <w:noWrap/>
            <w:vAlign w:val="center"/>
            <w:hideMark/>
          </w:tcPr>
          <w:p w14:paraId="463D6E1B" w14:textId="5235C2B9" w:rsidR="00F07A7D" w:rsidRPr="006358B6" w:rsidRDefault="00F07A7D" w:rsidP="00780749">
            <w:pPr>
              <w:spacing w:after="0" w:line="240" w:lineRule="auto"/>
              <w:rPr>
                <w:rFonts w:ascii="Arial Narrow" w:hAnsi="Arial Narrow"/>
                <w:color w:val="000000"/>
                <w:sz w:val="20"/>
                <w:szCs w:val="20"/>
              </w:rPr>
            </w:pPr>
          </w:p>
        </w:tc>
        <w:tc>
          <w:tcPr>
            <w:tcW w:w="721" w:type="dxa"/>
            <w:tcBorders>
              <w:top w:val="nil"/>
              <w:left w:val="nil"/>
              <w:bottom w:val="nil"/>
              <w:right w:val="nil"/>
            </w:tcBorders>
            <w:shd w:val="clear" w:color="auto" w:fill="auto"/>
            <w:noWrap/>
            <w:vAlign w:val="center"/>
            <w:hideMark/>
          </w:tcPr>
          <w:p w14:paraId="3DB5E8D6" w14:textId="77777777" w:rsidR="00F07A7D" w:rsidRPr="006358B6" w:rsidRDefault="00F07A7D" w:rsidP="00780749">
            <w:pPr>
              <w:spacing w:after="0" w:line="240" w:lineRule="auto"/>
              <w:jc w:val="center"/>
              <w:rPr>
                <w:rFonts w:ascii="Arial Narrow" w:hAnsi="Arial Narrow"/>
                <w:b/>
                <w:bCs/>
                <w:color w:val="000000"/>
                <w:sz w:val="20"/>
                <w:szCs w:val="20"/>
              </w:rPr>
            </w:pPr>
            <w:r w:rsidRPr="006358B6">
              <w:rPr>
                <w:rFonts w:ascii="Arial Narrow" w:hAnsi="Arial Narrow"/>
                <w:b/>
                <w:bCs/>
                <w:color w:val="000000"/>
                <w:sz w:val="20"/>
                <w:szCs w:val="20"/>
              </w:rPr>
              <w:t>SK ženy</w:t>
            </w:r>
          </w:p>
        </w:tc>
        <w:tc>
          <w:tcPr>
            <w:tcW w:w="591" w:type="dxa"/>
            <w:tcBorders>
              <w:top w:val="nil"/>
              <w:left w:val="nil"/>
              <w:bottom w:val="nil"/>
              <w:right w:val="nil"/>
            </w:tcBorders>
            <w:shd w:val="clear" w:color="auto" w:fill="auto"/>
            <w:vAlign w:val="center"/>
            <w:hideMark/>
          </w:tcPr>
          <w:p w14:paraId="349D5988" w14:textId="77777777" w:rsidR="00F07A7D" w:rsidRPr="006358B6" w:rsidRDefault="00F07A7D" w:rsidP="00780749">
            <w:pPr>
              <w:spacing w:after="0" w:line="240" w:lineRule="auto"/>
              <w:jc w:val="center"/>
              <w:rPr>
                <w:rFonts w:ascii="Arial Narrow" w:hAnsi="Arial Narrow"/>
                <w:sz w:val="20"/>
                <w:szCs w:val="20"/>
              </w:rPr>
            </w:pPr>
            <w:r w:rsidRPr="006358B6">
              <w:rPr>
                <w:rFonts w:ascii="Arial Narrow" w:hAnsi="Arial Narrow"/>
                <w:sz w:val="20"/>
                <w:szCs w:val="20"/>
              </w:rPr>
              <w:t>79,1</w:t>
            </w:r>
          </w:p>
        </w:tc>
        <w:tc>
          <w:tcPr>
            <w:tcW w:w="593" w:type="dxa"/>
            <w:tcBorders>
              <w:top w:val="nil"/>
              <w:left w:val="nil"/>
              <w:bottom w:val="nil"/>
              <w:right w:val="nil"/>
            </w:tcBorders>
            <w:shd w:val="clear" w:color="auto" w:fill="auto"/>
            <w:vAlign w:val="center"/>
            <w:hideMark/>
          </w:tcPr>
          <w:p w14:paraId="13807C2B" w14:textId="77777777" w:rsidR="00F07A7D" w:rsidRPr="006358B6" w:rsidRDefault="00F07A7D" w:rsidP="00780749">
            <w:pPr>
              <w:spacing w:after="0" w:line="240" w:lineRule="auto"/>
              <w:jc w:val="center"/>
              <w:rPr>
                <w:rFonts w:ascii="Arial Narrow" w:hAnsi="Arial Narrow"/>
                <w:sz w:val="20"/>
                <w:szCs w:val="20"/>
              </w:rPr>
            </w:pPr>
            <w:r w:rsidRPr="006358B6">
              <w:rPr>
                <w:rFonts w:ascii="Arial Narrow" w:hAnsi="Arial Narrow"/>
                <w:sz w:val="20"/>
                <w:szCs w:val="20"/>
              </w:rPr>
              <w:t>79,3</w:t>
            </w:r>
          </w:p>
        </w:tc>
        <w:tc>
          <w:tcPr>
            <w:tcW w:w="593" w:type="dxa"/>
            <w:tcBorders>
              <w:top w:val="nil"/>
              <w:left w:val="nil"/>
              <w:bottom w:val="nil"/>
              <w:right w:val="nil"/>
            </w:tcBorders>
            <w:shd w:val="clear" w:color="auto" w:fill="auto"/>
            <w:vAlign w:val="center"/>
            <w:hideMark/>
          </w:tcPr>
          <w:p w14:paraId="43283538" w14:textId="77777777" w:rsidR="00F07A7D" w:rsidRPr="006358B6" w:rsidRDefault="00F07A7D" w:rsidP="00780749">
            <w:pPr>
              <w:spacing w:after="0" w:line="240" w:lineRule="auto"/>
              <w:jc w:val="center"/>
              <w:rPr>
                <w:rFonts w:ascii="Arial Narrow" w:hAnsi="Arial Narrow"/>
                <w:sz w:val="20"/>
                <w:szCs w:val="20"/>
              </w:rPr>
            </w:pPr>
            <w:r w:rsidRPr="006358B6">
              <w:rPr>
                <w:rFonts w:ascii="Arial Narrow" w:hAnsi="Arial Narrow"/>
                <w:sz w:val="20"/>
                <w:szCs w:val="20"/>
              </w:rPr>
              <w:t>79,8</w:t>
            </w:r>
          </w:p>
        </w:tc>
        <w:tc>
          <w:tcPr>
            <w:tcW w:w="591" w:type="dxa"/>
            <w:tcBorders>
              <w:top w:val="nil"/>
              <w:left w:val="nil"/>
              <w:bottom w:val="nil"/>
              <w:right w:val="nil"/>
            </w:tcBorders>
            <w:shd w:val="clear" w:color="auto" w:fill="auto"/>
            <w:vAlign w:val="center"/>
            <w:hideMark/>
          </w:tcPr>
          <w:p w14:paraId="788E76A3" w14:textId="77777777" w:rsidR="00F07A7D" w:rsidRPr="006358B6" w:rsidRDefault="00F07A7D" w:rsidP="00780749">
            <w:pPr>
              <w:spacing w:after="0" w:line="240" w:lineRule="auto"/>
              <w:jc w:val="center"/>
              <w:rPr>
                <w:rFonts w:ascii="Arial Narrow" w:hAnsi="Arial Narrow"/>
                <w:sz w:val="20"/>
                <w:szCs w:val="20"/>
              </w:rPr>
            </w:pPr>
            <w:r w:rsidRPr="006358B6">
              <w:rPr>
                <w:rFonts w:ascii="Arial Narrow" w:hAnsi="Arial Narrow"/>
                <w:sz w:val="20"/>
                <w:szCs w:val="20"/>
              </w:rPr>
              <w:t>79,9</w:t>
            </w:r>
          </w:p>
        </w:tc>
        <w:tc>
          <w:tcPr>
            <w:tcW w:w="593" w:type="dxa"/>
            <w:tcBorders>
              <w:top w:val="nil"/>
              <w:left w:val="nil"/>
              <w:bottom w:val="nil"/>
              <w:right w:val="nil"/>
            </w:tcBorders>
            <w:shd w:val="clear" w:color="auto" w:fill="auto"/>
            <w:vAlign w:val="center"/>
            <w:hideMark/>
          </w:tcPr>
          <w:p w14:paraId="0C6A4E7E" w14:textId="77777777" w:rsidR="00F07A7D" w:rsidRPr="006358B6" w:rsidRDefault="00F07A7D" w:rsidP="00780749">
            <w:pPr>
              <w:spacing w:after="0" w:line="240" w:lineRule="auto"/>
              <w:jc w:val="center"/>
              <w:rPr>
                <w:rFonts w:ascii="Arial Narrow" w:hAnsi="Arial Narrow"/>
                <w:sz w:val="20"/>
                <w:szCs w:val="20"/>
              </w:rPr>
            </w:pPr>
            <w:r w:rsidRPr="006358B6">
              <w:rPr>
                <w:rFonts w:ascii="Arial Narrow" w:hAnsi="Arial Narrow"/>
                <w:sz w:val="20"/>
                <w:szCs w:val="20"/>
              </w:rPr>
              <w:t>80,1</w:t>
            </w:r>
          </w:p>
        </w:tc>
        <w:tc>
          <w:tcPr>
            <w:tcW w:w="593" w:type="dxa"/>
            <w:tcBorders>
              <w:top w:val="nil"/>
              <w:left w:val="nil"/>
              <w:bottom w:val="nil"/>
              <w:right w:val="nil"/>
            </w:tcBorders>
            <w:shd w:val="clear" w:color="auto" w:fill="auto"/>
            <w:vAlign w:val="center"/>
            <w:hideMark/>
          </w:tcPr>
          <w:p w14:paraId="6551F43D" w14:textId="77777777" w:rsidR="00F07A7D" w:rsidRPr="006358B6" w:rsidRDefault="00F07A7D" w:rsidP="00780749">
            <w:pPr>
              <w:spacing w:after="0" w:line="240" w:lineRule="auto"/>
              <w:jc w:val="center"/>
              <w:rPr>
                <w:rFonts w:ascii="Arial Narrow" w:hAnsi="Arial Narrow"/>
                <w:sz w:val="20"/>
                <w:szCs w:val="20"/>
              </w:rPr>
            </w:pPr>
            <w:r w:rsidRPr="006358B6">
              <w:rPr>
                <w:rFonts w:ascii="Arial Narrow" w:hAnsi="Arial Narrow"/>
                <w:sz w:val="20"/>
                <w:szCs w:val="20"/>
              </w:rPr>
              <w:t>80,5</w:t>
            </w:r>
          </w:p>
        </w:tc>
        <w:tc>
          <w:tcPr>
            <w:tcW w:w="593" w:type="dxa"/>
            <w:tcBorders>
              <w:top w:val="nil"/>
              <w:left w:val="nil"/>
              <w:bottom w:val="nil"/>
              <w:right w:val="nil"/>
            </w:tcBorders>
            <w:shd w:val="clear" w:color="auto" w:fill="auto"/>
            <w:noWrap/>
            <w:vAlign w:val="center"/>
            <w:hideMark/>
          </w:tcPr>
          <w:p w14:paraId="1413B868"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80,2</w:t>
            </w:r>
          </w:p>
        </w:tc>
        <w:tc>
          <w:tcPr>
            <w:tcW w:w="593" w:type="dxa"/>
            <w:tcBorders>
              <w:top w:val="nil"/>
              <w:left w:val="nil"/>
              <w:bottom w:val="nil"/>
              <w:right w:val="nil"/>
            </w:tcBorders>
            <w:shd w:val="clear" w:color="auto" w:fill="auto"/>
            <w:noWrap/>
            <w:vAlign w:val="center"/>
            <w:hideMark/>
          </w:tcPr>
          <w:p w14:paraId="53962501"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80,7</w:t>
            </w:r>
          </w:p>
        </w:tc>
        <w:tc>
          <w:tcPr>
            <w:tcW w:w="599" w:type="dxa"/>
            <w:tcBorders>
              <w:top w:val="nil"/>
              <w:left w:val="nil"/>
              <w:bottom w:val="nil"/>
              <w:right w:val="nil"/>
            </w:tcBorders>
            <w:vAlign w:val="center"/>
          </w:tcPr>
          <w:p w14:paraId="42166C2F" w14:textId="65B71C39" w:rsidR="00F07A7D" w:rsidRPr="006358B6" w:rsidRDefault="00F07A7D" w:rsidP="00780749">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r>
      <w:tr w:rsidR="00F07A7D" w:rsidRPr="00E9007D" w14:paraId="6BE1B8E0" w14:textId="77777777" w:rsidTr="00F07A7D">
        <w:trPr>
          <w:trHeight w:val="57"/>
        </w:trPr>
        <w:tc>
          <w:tcPr>
            <w:tcW w:w="2547" w:type="dxa"/>
            <w:vMerge/>
            <w:tcBorders>
              <w:left w:val="nil"/>
              <w:bottom w:val="single" w:sz="4" w:space="0" w:color="000000"/>
              <w:right w:val="nil"/>
            </w:tcBorders>
            <w:vAlign w:val="center"/>
            <w:hideMark/>
          </w:tcPr>
          <w:p w14:paraId="68651C07" w14:textId="77777777" w:rsidR="00F07A7D" w:rsidRPr="006358B6" w:rsidRDefault="00F07A7D" w:rsidP="00780749">
            <w:pPr>
              <w:spacing w:after="0" w:line="240" w:lineRule="auto"/>
              <w:rPr>
                <w:rFonts w:ascii="Arial Narrow" w:hAnsi="Arial Narrow"/>
                <w:color w:val="000000"/>
                <w:sz w:val="20"/>
                <w:szCs w:val="20"/>
              </w:rPr>
            </w:pPr>
          </w:p>
        </w:tc>
        <w:tc>
          <w:tcPr>
            <w:tcW w:w="721" w:type="dxa"/>
            <w:tcBorders>
              <w:top w:val="nil"/>
              <w:left w:val="nil"/>
              <w:bottom w:val="single" w:sz="4" w:space="0" w:color="auto"/>
              <w:right w:val="nil"/>
            </w:tcBorders>
            <w:shd w:val="clear" w:color="auto" w:fill="auto"/>
            <w:noWrap/>
            <w:vAlign w:val="center"/>
            <w:hideMark/>
          </w:tcPr>
          <w:p w14:paraId="09F1142F" w14:textId="77777777" w:rsidR="00F07A7D" w:rsidRPr="006358B6" w:rsidRDefault="00F07A7D" w:rsidP="00780749">
            <w:pPr>
              <w:spacing w:after="0" w:line="240" w:lineRule="auto"/>
              <w:jc w:val="center"/>
              <w:rPr>
                <w:rFonts w:ascii="Arial Narrow" w:hAnsi="Arial Narrow"/>
                <w:b/>
                <w:bCs/>
                <w:color w:val="000000"/>
                <w:sz w:val="20"/>
                <w:szCs w:val="20"/>
              </w:rPr>
            </w:pPr>
            <w:r w:rsidRPr="006358B6">
              <w:rPr>
                <w:rFonts w:ascii="Arial Narrow" w:hAnsi="Arial Narrow"/>
                <w:b/>
                <w:bCs/>
                <w:color w:val="000000"/>
                <w:sz w:val="20"/>
                <w:szCs w:val="20"/>
              </w:rPr>
              <w:t>EÚ ženy</w:t>
            </w:r>
          </w:p>
        </w:tc>
        <w:tc>
          <w:tcPr>
            <w:tcW w:w="591" w:type="dxa"/>
            <w:tcBorders>
              <w:top w:val="nil"/>
              <w:left w:val="nil"/>
              <w:bottom w:val="single" w:sz="4" w:space="0" w:color="auto"/>
              <w:right w:val="nil"/>
            </w:tcBorders>
            <w:shd w:val="clear" w:color="auto" w:fill="auto"/>
            <w:vAlign w:val="center"/>
            <w:hideMark/>
          </w:tcPr>
          <w:p w14:paraId="6C2CAC61"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81,7</w:t>
            </w:r>
          </w:p>
        </w:tc>
        <w:tc>
          <w:tcPr>
            <w:tcW w:w="593" w:type="dxa"/>
            <w:tcBorders>
              <w:top w:val="nil"/>
              <w:left w:val="nil"/>
              <w:bottom w:val="single" w:sz="4" w:space="0" w:color="auto"/>
              <w:right w:val="nil"/>
            </w:tcBorders>
            <w:shd w:val="clear" w:color="auto" w:fill="auto"/>
            <w:vAlign w:val="center"/>
            <w:hideMark/>
          </w:tcPr>
          <w:p w14:paraId="08DDFB11"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82,0</w:t>
            </w:r>
          </w:p>
        </w:tc>
        <w:tc>
          <w:tcPr>
            <w:tcW w:w="593" w:type="dxa"/>
            <w:tcBorders>
              <w:top w:val="nil"/>
              <w:left w:val="nil"/>
              <w:bottom w:val="single" w:sz="4" w:space="0" w:color="auto"/>
              <w:right w:val="nil"/>
            </w:tcBorders>
            <w:shd w:val="clear" w:color="auto" w:fill="auto"/>
            <w:vAlign w:val="center"/>
            <w:hideMark/>
          </w:tcPr>
          <w:p w14:paraId="46F573BF"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82,2</w:t>
            </w:r>
          </w:p>
        </w:tc>
        <w:tc>
          <w:tcPr>
            <w:tcW w:w="591" w:type="dxa"/>
            <w:tcBorders>
              <w:top w:val="nil"/>
              <w:left w:val="nil"/>
              <w:bottom w:val="single" w:sz="4" w:space="0" w:color="auto"/>
              <w:right w:val="nil"/>
            </w:tcBorders>
            <w:shd w:val="clear" w:color="auto" w:fill="auto"/>
            <w:vAlign w:val="center"/>
            <w:hideMark/>
          </w:tcPr>
          <w:p w14:paraId="5166458B"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82,2</w:t>
            </w:r>
          </w:p>
        </w:tc>
        <w:tc>
          <w:tcPr>
            <w:tcW w:w="593" w:type="dxa"/>
            <w:tcBorders>
              <w:top w:val="nil"/>
              <w:left w:val="nil"/>
              <w:bottom w:val="single" w:sz="4" w:space="0" w:color="auto"/>
              <w:right w:val="nil"/>
            </w:tcBorders>
            <w:shd w:val="clear" w:color="auto" w:fill="auto"/>
            <w:vAlign w:val="center"/>
            <w:hideMark/>
          </w:tcPr>
          <w:p w14:paraId="5B86D98F"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82,5</w:t>
            </w:r>
          </w:p>
        </w:tc>
        <w:tc>
          <w:tcPr>
            <w:tcW w:w="593" w:type="dxa"/>
            <w:tcBorders>
              <w:top w:val="nil"/>
              <w:left w:val="nil"/>
              <w:bottom w:val="single" w:sz="4" w:space="0" w:color="auto"/>
              <w:right w:val="nil"/>
            </w:tcBorders>
            <w:shd w:val="clear" w:color="auto" w:fill="auto"/>
            <w:vAlign w:val="center"/>
            <w:hideMark/>
          </w:tcPr>
          <w:p w14:paraId="5F552AA6"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82,8</w:t>
            </w:r>
          </w:p>
        </w:tc>
        <w:tc>
          <w:tcPr>
            <w:tcW w:w="593" w:type="dxa"/>
            <w:tcBorders>
              <w:top w:val="nil"/>
              <w:left w:val="nil"/>
              <w:bottom w:val="single" w:sz="4" w:space="0" w:color="auto"/>
              <w:right w:val="nil"/>
            </w:tcBorders>
            <w:shd w:val="clear" w:color="auto" w:fill="auto"/>
            <w:vAlign w:val="center"/>
            <w:hideMark/>
          </w:tcPr>
          <w:p w14:paraId="61520B21"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82,6</w:t>
            </w:r>
          </w:p>
        </w:tc>
        <w:tc>
          <w:tcPr>
            <w:tcW w:w="593" w:type="dxa"/>
            <w:tcBorders>
              <w:top w:val="nil"/>
              <w:left w:val="nil"/>
              <w:bottom w:val="single" w:sz="4" w:space="0" w:color="auto"/>
              <w:right w:val="nil"/>
            </w:tcBorders>
            <w:shd w:val="clear" w:color="auto" w:fill="auto"/>
            <w:vAlign w:val="center"/>
            <w:hideMark/>
          </w:tcPr>
          <w:p w14:paraId="2381CF40" w14:textId="77777777" w:rsidR="00F07A7D" w:rsidRPr="006358B6" w:rsidRDefault="00F07A7D" w:rsidP="00780749">
            <w:pPr>
              <w:spacing w:after="0" w:line="240" w:lineRule="auto"/>
              <w:jc w:val="center"/>
              <w:rPr>
                <w:rFonts w:ascii="Arial Narrow" w:hAnsi="Arial Narrow"/>
                <w:color w:val="000000"/>
                <w:sz w:val="20"/>
                <w:szCs w:val="20"/>
              </w:rPr>
            </w:pPr>
            <w:r w:rsidRPr="006358B6">
              <w:rPr>
                <w:rFonts w:ascii="Arial Narrow" w:hAnsi="Arial Narrow"/>
                <w:color w:val="000000"/>
                <w:sz w:val="20"/>
                <w:szCs w:val="20"/>
              </w:rPr>
              <w:t>83,0</w:t>
            </w:r>
          </w:p>
        </w:tc>
        <w:tc>
          <w:tcPr>
            <w:tcW w:w="599" w:type="dxa"/>
            <w:tcBorders>
              <w:top w:val="nil"/>
              <w:left w:val="nil"/>
              <w:bottom w:val="single" w:sz="4" w:space="0" w:color="auto"/>
              <w:right w:val="nil"/>
            </w:tcBorders>
            <w:vAlign w:val="center"/>
          </w:tcPr>
          <w:p w14:paraId="45F8910F" w14:textId="3CC2AB72" w:rsidR="00F07A7D" w:rsidRPr="006358B6" w:rsidRDefault="00F07A7D" w:rsidP="00780749">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r>
    </w:tbl>
    <w:p w14:paraId="36E6392F" w14:textId="77777777" w:rsidR="00F856B9" w:rsidRPr="00E9007D" w:rsidRDefault="00F856B9" w:rsidP="00F856B9">
      <w:pPr>
        <w:tabs>
          <w:tab w:val="left" w:pos="426"/>
        </w:tabs>
        <w:spacing w:after="0" w:line="240" w:lineRule="auto"/>
        <w:jc w:val="both"/>
        <w:rPr>
          <w:rFonts w:ascii="Arial Narrow" w:hAnsi="Arial Narrow"/>
        </w:rPr>
      </w:pPr>
    </w:p>
    <w:p w14:paraId="353AB3F7" w14:textId="77777777" w:rsidR="00F856B9" w:rsidRPr="00E9007D" w:rsidRDefault="00F856B9" w:rsidP="00F856B9">
      <w:pPr>
        <w:spacing w:after="0" w:line="240" w:lineRule="auto"/>
        <w:jc w:val="both"/>
        <w:rPr>
          <w:rFonts w:ascii="Arial Narrow" w:hAnsi="Arial Narrow"/>
        </w:rPr>
      </w:pPr>
      <w:r w:rsidRPr="00E9007D">
        <w:rPr>
          <w:rFonts w:ascii="Arial Narrow" w:hAnsi="Arial Narrow"/>
          <w:b/>
        </w:rPr>
        <w:t>Dobre fungujúce zdravotníctvo patrí medzí priority hospodársky vyspelých krajín.</w:t>
      </w:r>
      <w:r w:rsidRPr="00E9007D">
        <w:rPr>
          <w:rFonts w:ascii="Arial Narrow" w:hAnsi="Arial Narrow"/>
        </w:rPr>
        <w:t xml:space="preserve"> Zdravotný stav obyvateľov ovplyvňuje nielen individuálnu kvalitu života, ale aj ekonomický a sociálny rozvoj celej spoločnosti. Náklady na zdravotníctvo preto predstavujú jednu z najväčších výdavkových položiek rozpočtu verejnej správy. </w:t>
      </w:r>
    </w:p>
    <w:p w14:paraId="0B8FFF87" w14:textId="77777777" w:rsidR="00F856B9" w:rsidRPr="00E9007D" w:rsidRDefault="00F856B9" w:rsidP="00F856B9">
      <w:pPr>
        <w:spacing w:after="0" w:line="240" w:lineRule="auto"/>
        <w:jc w:val="both"/>
        <w:rPr>
          <w:rFonts w:ascii="Arial Narrow" w:hAnsi="Arial Narrow"/>
        </w:rPr>
      </w:pPr>
    </w:p>
    <w:tbl>
      <w:tblPr>
        <w:tblW w:w="5078"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167"/>
        <w:gridCol w:w="242"/>
        <w:gridCol w:w="4289"/>
      </w:tblGrid>
      <w:tr w:rsidR="00F856B9" w:rsidRPr="00E9007D" w14:paraId="608AC5C7" w14:textId="77777777" w:rsidTr="00763C24">
        <w:trPr>
          <w:trHeight w:val="505"/>
          <w:jc w:val="center"/>
        </w:trPr>
        <w:tc>
          <w:tcPr>
            <w:tcW w:w="4167" w:type="dxa"/>
            <w:tcBorders>
              <w:top w:val="nil"/>
              <w:left w:val="nil"/>
              <w:bottom w:val="single" w:sz="4" w:space="0" w:color="auto"/>
              <w:right w:val="nil"/>
            </w:tcBorders>
            <w:vAlign w:val="center"/>
          </w:tcPr>
          <w:p w14:paraId="2E4AA141" w14:textId="77777777" w:rsidR="00F856B9" w:rsidRPr="0062680A" w:rsidRDefault="00F856B9" w:rsidP="00763C24">
            <w:pPr>
              <w:spacing w:after="0" w:line="240" w:lineRule="auto"/>
              <w:rPr>
                <w:rFonts w:ascii="Arial Narrow" w:hAnsi="Arial Narrow" w:cs="Arial"/>
                <w:b/>
                <w:bCs/>
                <w:color w:val="2C9ADC"/>
                <w:sz w:val="20"/>
              </w:rPr>
            </w:pPr>
            <w:bookmarkStart w:id="58" w:name="_Toc4625970"/>
            <w:r w:rsidRPr="0062680A">
              <w:rPr>
                <w:rFonts w:ascii="Arial Narrow" w:hAnsi="Arial Narrow"/>
                <w:b/>
                <w:bCs/>
                <w:color w:val="2C9ADC"/>
                <w:sz w:val="20"/>
              </w:rPr>
              <w:t xml:space="preserve">Graf </w:t>
            </w:r>
            <w:r w:rsidRPr="0062680A">
              <w:rPr>
                <w:rFonts w:ascii="Arial Narrow" w:hAnsi="Arial Narrow"/>
                <w:b/>
                <w:bCs/>
                <w:noProof/>
                <w:color w:val="2C9ADC"/>
                <w:sz w:val="20"/>
              </w:rPr>
              <w:fldChar w:fldCharType="begin"/>
            </w:r>
            <w:r w:rsidRPr="0062680A">
              <w:rPr>
                <w:rFonts w:ascii="Arial Narrow" w:hAnsi="Arial Narrow"/>
                <w:b/>
                <w:bCs/>
                <w:noProof/>
                <w:color w:val="2C9ADC"/>
                <w:sz w:val="20"/>
              </w:rPr>
              <w:instrText xml:space="preserve"> SEQ Graf \* ARABIC </w:instrText>
            </w:r>
            <w:r w:rsidRPr="0062680A">
              <w:rPr>
                <w:rFonts w:ascii="Arial Narrow" w:hAnsi="Arial Narrow"/>
                <w:b/>
                <w:bCs/>
                <w:noProof/>
                <w:color w:val="2C9ADC"/>
                <w:sz w:val="20"/>
              </w:rPr>
              <w:fldChar w:fldCharType="separate"/>
            </w:r>
            <w:r w:rsidR="0020148F">
              <w:rPr>
                <w:rFonts w:ascii="Arial Narrow" w:hAnsi="Arial Narrow"/>
                <w:b/>
                <w:bCs/>
                <w:noProof/>
                <w:color w:val="2C9ADC"/>
                <w:sz w:val="20"/>
              </w:rPr>
              <w:t>21</w:t>
            </w:r>
            <w:r w:rsidRPr="0062680A">
              <w:rPr>
                <w:rFonts w:ascii="Arial Narrow" w:hAnsi="Arial Narrow"/>
                <w:b/>
                <w:bCs/>
                <w:noProof/>
                <w:color w:val="2C9ADC"/>
                <w:sz w:val="20"/>
              </w:rPr>
              <w:fldChar w:fldCharType="end"/>
            </w:r>
            <w:r w:rsidRPr="0062680A">
              <w:rPr>
                <w:rFonts w:ascii="Arial Narrow" w:hAnsi="Arial Narrow"/>
                <w:b/>
                <w:bCs/>
                <w:color w:val="2C9ADC"/>
                <w:sz w:val="20"/>
              </w:rPr>
              <w:t xml:space="preserve">: </w:t>
            </w:r>
            <w:r w:rsidRPr="0062680A">
              <w:rPr>
                <w:rFonts w:ascii="Arial Narrow" w:hAnsi="Arial Narrow" w:cs="Arial"/>
                <w:b/>
                <w:bCs/>
                <w:color w:val="2C9ADC"/>
                <w:sz w:val="20"/>
              </w:rPr>
              <w:t>Verejné výdavky na zdravotníctvo, 2017 (% HDP)</w:t>
            </w:r>
            <w:bookmarkEnd w:id="58"/>
          </w:p>
        </w:tc>
        <w:tc>
          <w:tcPr>
            <w:tcW w:w="242" w:type="dxa"/>
            <w:tcBorders>
              <w:top w:val="nil"/>
              <w:left w:val="nil"/>
              <w:bottom w:val="nil"/>
              <w:right w:val="nil"/>
            </w:tcBorders>
            <w:vAlign w:val="center"/>
          </w:tcPr>
          <w:p w14:paraId="001911D6" w14:textId="77777777" w:rsidR="00F856B9" w:rsidRPr="0062680A" w:rsidRDefault="00F856B9" w:rsidP="00763C24">
            <w:pPr>
              <w:spacing w:after="0" w:line="240" w:lineRule="auto"/>
              <w:jc w:val="center"/>
              <w:rPr>
                <w:rFonts w:ascii="Arial Narrow" w:hAnsi="Arial Narrow" w:cs="Arial"/>
                <w:b/>
                <w:sz w:val="20"/>
                <w:highlight w:val="lightGray"/>
              </w:rPr>
            </w:pPr>
          </w:p>
        </w:tc>
        <w:tc>
          <w:tcPr>
            <w:tcW w:w="4289" w:type="dxa"/>
            <w:tcBorders>
              <w:top w:val="nil"/>
              <w:left w:val="nil"/>
              <w:bottom w:val="single" w:sz="4" w:space="0" w:color="auto"/>
              <w:right w:val="nil"/>
            </w:tcBorders>
            <w:vAlign w:val="center"/>
          </w:tcPr>
          <w:p w14:paraId="5CCDDC56" w14:textId="43F82C88" w:rsidR="00F856B9" w:rsidRPr="0062680A" w:rsidRDefault="00F856B9" w:rsidP="003143EE">
            <w:pPr>
              <w:spacing w:after="0" w:line="240" w:lineRule="auto"/>
              <w:rPr>
                <w:rFonts w:ascii="Arial Narrow" w:hAnsi="Arial Narrow"/>
                <w:b/>
                <w:bCs/>
                <w:color w:val="2C9ADC"/>
                <w:sz w:val="20"/>
              </w:rPr>
            </w:pPr>
            <w:bookmarkStart w:id="59" w:name="_Toc4625971"/>
            <w:r w:rsidRPr="0062680A">
              <w:rPr>
                <w:rFonts w:ascii="Arial Narrow" w:hAnsi="Arial Narrow"/>
                <w:b/>
                <w:bCs/>
                <w:color w:val="2C9ADC"/>
                <w:sz w:val="20"/>
              </w:rPr>
              <w:t xml:space="preserve">Graf </w:t>
            </w:r>
            <w:r w:rsidRPr="0062680A">
              <w:rPr>
                <w:rFonts w:ascii="Arial Narrow" w:hAnsi="Arial Narrow"/>
                <w:b/>
                <w:bCs/>
                <w:noProof/>
                <w:color w:val="2C9ADC"/>
                <w:sz w:val="20"/>
              </w:rPr>
              <w:fldChar w:fldCharType="begin"/>
            </w:r>
            <w:r w:rsidRPr="0062680A">
              <w:rPr>
                <w:rFonts w:ascii="Arial Narrow" w:hAnsi="Arial Narrow"/>
                <w:b/>
                <w:bCs/>
                <w:noProof/>
                <w:color w:val="2C9ADC"/>
                <w:sz w:val="20"/>
              </w:rPr>
              <w:instrText xml:space="preserve"> SEQ Graf \* ARABIC </w:instrText>
            </w:r>
            <w:r w:rsidRPr="0062680A">
              <w:rPr>
                <w:rFonts w:ascii="Arial Narrow" w:hAnsi="Arial Narrow"/>
                <w:b/>
                <w:bCs/>
                <w:noProof/>
                <w:color w:val="2C9ADC"/>
                <w:sz w:val="20"/>
              </w:rPr>
              <w:fldChar w:fldCharType="separate"/>
            </w:r>
            <w:r w:rsidR="0020148F">
              <w:rPr>
                <w:rFonts w:ascii="Arial Narrow" w:hAnsi="Arial Narrow"/>
                <w:b/>
                <w:bCs/>
                <w:noProof/>
                <w:color w:val="2C9ADC"/>
                <w:sz w:val="20"/>
              </w:rPr>
              <w:t>22</w:t>
            </w:r>
            <w:r w:rsidRPr="0062680A">
              <w:rPr>
                <w:rFonts w:ascii="Arial Narrow" w:hAnsi="Arial Narrow"/>
                <w:b/>
                <w:bCs/>
                <w:noProof/>
                <w:color w:val="2C9ADC"/>
                <w:sz w:val="20"/>
              </w:rPr>
              <w:fldChar w:fldCharType="end"/>
            </w:r>
            <w:r w:rsidRPr="0062680A">
              <w:rPr>
                <w:rFonts w:ascii="Arial Narrow" w:hAnsi="Arial Narrow"/>
                <w:b/>
                <w:bCs/>
                <w:color w:val="2C9ADC"/>
                <w:sz w:val="20"/>
              </w:rPr>
              <w:t xml:space="preserve">: </w:t>
            </w:r>
            <w:r w:rsidR="003143EE">
              <w:rPr>
                <w:rFonts w:ascii="Arial Narrow" w:hAnsi="Arial Narrow"/>
                <w:b/>
                <w:bCs/>
                <w:color w:val="2C9ADC"/>
                <w:sz w:val="20"/>
              </w:rPr>
              <w:t>Úmrtia</w:t>
            </w:r>
            <w:r w:rsidR="003143EE" w:rsidRPr="0062680A" w:rsidDel="006358B6">
              <w:rPr>
                <w:rFonts w:ascii="Arial Narrow" w:hAnsi="Arial Narrow"/>
                <w:b/>
                <w:bCs/>
                <w:color w:val="2C9ADC"/>
                <w:sz w:val="20"/>
              </w:rPr>
              <w:t xml:space="preserve"> </w:t>
            </w:r>
            <w:r w:rsidR="003143EE">
              <w:rPr>
                <w:rFonts w:ascii="Arial Narrow" w:hAnsi="Arial Narrow"/>
                <w:b/>
                <w:bCs/>
                <w:color w:val="2C9ADC"/>
                <w:sz w:val="20"/>
              </w:rPr>
              <w:t>o</w:t>
            </w:r>
            <w:r w:rsidR="006358B6">
              <w:rPr>
                <w:rFonts w:ascii="Arial Narrow" w:hAnsi="Arial Narrow"/>
                <w:b/>
                <w:bCs/>
                <w:color w:val="2C9ADC"/>
                <w:sz w:val="20"/>
              </w:rPr>
              <w:t>dvrátiteľné zdravotnou starostlivosťou</w:t>
            </w:r>
            <w:r w:rsidR="00CC6E4A">
              <w:rPr>
                <w:rFonts w:ascii="Arial Narrow" w:hAnsi="Arial Narrow"/>
                <w:b/>
                <w:bCs/>
                <w:color w:val="2C9ADC"/>
                <w:sz w:val="20"/>
              </w:rPr>
              <w:t>, 2015 (štandardizované</w:t>
            </w:r>
            <w:r w:rsidRPr="0062680A">
              <w:rPr>
                <w:rFonts w:ascii="Arial Narrow" w:hAnsi="Arial Narrow"/>
                <w:b/>
                <w:bCs/>
                <w:color w:val="2C9ADC"/>
                <w:sz w:val="20"/>
              </w:rPr>
              <w:t xml:space="preserve"> na 100 tis. obyvateľov)</w:t>
            </w:r>
            <w:bookmarkEnd w:id="59"/>
          </w:p>
        </w:tc>
      </w:tr>
      <w:tr w:rsidR="00F856B9" w:rsidRPr="00E9007D" w14:paraId="23930713" w14:textId="77777777" w:rsidTr="00763C24">
        <w:trPr>
          <w:trHeight w:val="936"/>
          <w:jc w:val="center"/>
        </w:trPr>
        <w:tc>
          <w:tcPr>
            <w:tcW w:w="4167" w:type="dxa"/>
            <w:tcBorders>
              <w:top w:val="single" w:sz="4" w:space="0" w:color="auto"/>
              <w:left w:val="nil"/>
              <w:bottom w:val="single" w:sz="4" w:space="0" w:color="auto"/>
              <w:right w:val="nil"/>
            </w:tcBorders>
            <w:vAlign w:val="center"/>
          </w:tcPr>
          <w:p w14:paraId="46D25868" w14:textId="7F4EB788" w:rsidR="00F856B9" w:rsidRPr="00E9007D" w:rsidRDefault="00F856B9" w:rsidP="00763C24">
            <w:pPr>
              <w:spacing w:after="0" w:line="240" w:lineRule="auto"/>
              <w:jc w:val="center"/>
              <w:rPr>
                <w:rFonts w:ascii="Arial Narrow" w:hAnsi="Arial Narrow" w:cs="Arial"/>
                <w:b/>
                <w:highlight w:val="lightGray"/>
              </w:rPr>
            </w:pPr>
            <w:r w:rsidRPr="00E9007D">
              <w:rPr>
                <w:rFonts w:ascii="Arial Narrow" w:hAnsi="Arial Narrow"/>
                <w:noProof/>
                <w:lang w:val="en-GB" w:eastAsia="en-GB"/>
              </w:rPr>
              <w:drawing>
                <wp:inline distT="0" distB="0" distL="0" distR="0" wp14:anchorId="43D20E65" wp14:editId="34C8E7A0">
                  <wp:extent cx="2557145" cy="2214703"/>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242" w:type="dxa"/>
            <w:tcBorders>
              <w:top w:val="nil"/>
              <w:left w:val="nil"/>
              <w:bottom w:val="nil"/>
              <w:right w:val="nil"/>
            </w:tcBorders>
            <w:vAlign w:val="center"/>
          </w:tcPr>
          <w:p w14:paraId="0E9663F4" w14:textId="77777777" w:rsidR="00F856B9" w:rsidRPr="00E9007D" w:rsidRDefault="00F856B9" w:rsidP="00763C24">
            <w:pPr>
              <w:spacing w:after="0" w:line="240" w:lineRule="auto"/>
              <w:jc w:val="center"/>
              <w:rPr>
                <w:rFonts w:ascii="Arial Narrow" w:hAnsi="Arial Narrow" w:cs="Arial"/>
                <w:b/>
                <w:highlight w:val="lightGray"/>
              </w:rPr>
            </w:pPr>
          </w:p>
        </w:tc>
        <w:tc>
          <w:tcPr>
            <w:tcW w:w="4289" w:type="dxa"/>
            <w:tcBorders>
              <w:top w:val="single" w:sz="4" w:space="0" w:color="auto"/>
              <w:left w:val="nil"/>
              <w:bottom w:val="single" w:sz="4" w:space="0" w:color="auto"/>
              <w:right w:val="nil"/>
            </w:tcBorders>
            <w:vAlign w:val="center"/>
          </w:tcPr>
          <w:p w14:paraId="3A8536C5" w14:textId="77777777" w:rsidR="00F856B9" w:rsidRPr="00E9007D" w:rsidRDefault="00F856B9" w:rsidP="00763C24">
            <w:pPr>
              <w:spacing w:after="0" w:line="240" w:lineRule="auto"/>
              <w:jc w:val="center"/>
              <w:rPr>
                <w:rFonts w:ascii="Arial Narrow" w:hAnsi="Arial Narrow" w:cs="Arial"/>
                <w:b/>
                <w:highlight w:val="lightGray"/>
              </w:rPr>
            </w:pPr>
            <w:r w:rsidRPr="00E9007D">
              <w:rPr>
                <w:rFonts w:ascii="Arial Narrow" w:hAnsi="Arial Narrow"/>
                <w:noProof/>
                <w:lang w:val="en-GB" w:eastAsia="en-GB"/>
              </w:rPr>
              <w:drawing>
                <wp:inline distT="0" distB="0" distL="0" distR="0" wp14:anchorId="5F087ED5" wp14:editId="00AFFBE4">
                  <wp:extent cx="2634615" cy="2202408"/>
                  <wp:effectExtent l="0" t="0" r="0" b="762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F856B9" w:rsidRPr="00E9007D" w14:paraId="47568F48" w14:textId="77777777" w:rsidTr="00763C24">
        <w:trPr>
          <w:trHeight w:val="258"/>
          <w:jc w:val="center"/>
        </w:trPr>
        <w:tc>
          <w:tcPr>
            <w:tcW w:w="4167" w:type="dxa"/>
            <w:tcBorders>
              <w:top w:val="single" w:sz="4" w:space="0" w:color="auto"/>
              <w:left w:val="nil"/>
              <w:bottom w:val="nil"/>
              <w:right w:val="nil"/>
            </w:tcBorders>
            <w:vAlign w:val="center"/>
          </w:tcPr>
          <w:p w14:paraId="5A831FC5" w14:textId="77777777" w:rsidR="00F856B9" w:rsidRPr="00484218" w:rsidRDefault="00F856B9" w:rsidP="00763C24">
            <w:pPr>
              <w:spacing w:after="0" w:line="240" w:lineRule="auto"/>
              <w:jc w:val="right"/>
              <w:rPr>
                <w:rFonts w:ascii="Arial Narrow" w:hAnsi="Arial Narrow" w:cs="Arial"/>
                <w:i/>
                <w:sz w:val="16"/>
                <w:highlight w:val="lightGray"/>
              </w:rPr>
            </w:pPr>
            <w:r w:rsidRPr="00484218">
              <w:rPr>
                <w:rFonts w:ascii="Arial Narrow" w:hAnsi="Arial Narrow" w:cs="Arial"/>
                <w:i/>
                <w:sz w:val="16"/>
              </w:rPr>
              <w:t xml:space="preserve">Zdroj: OECD </w:t>
            </w:r>
          </w:p>
        </w:tc>
        <w:tc>
          <w:tcPr>
            <w:tcW w:w="242" w:type="dxa"/>
            <w:tcBorders>
              <w:top w:val="nil"/>
              <w:left w:val="nil"/>
              <w:bottom w:val="nil"/>
              <w:right w:val="nil"/>
            </w:tcBorders>
            <w:vAlign w:val="center"/>
          </w:tcPr>
          <w:p w14:paraId="7366A76C" w14:textId="77777777" w:rsidR="00F856B9" w:rsidRPr="00484218" w:rsidRDefault="00F856B9" w:rsidP="00763C24">
            <w:pPr>
              <w:spacing w:after="0" w:line="240" w:lineRule="auto"/>
              <w:jc w:val="center"/>
              <w:rPr>
                <w:rFonts w:ascii="Arial Narrow" w:hAnsi="Arial Narrow" w:cs="Arial"/>
                <w:i/>
                <w:sz w:val="16"/>
                <w:highlight w:val="lightGray"/>
              </w:rPr>
            </w:pPr>
          </w:p>
        </w:tc>
        <w:tc>
          <w:tcPr>
            <w:tcW w:w="4289" w:type="dxa"/>
            <w:tcBorders>
              <w:top w:val="single" w:sz="4" w:space="0" w:color="auto"/>
              <w:left w:val="nil"/>
              <w:bottom w:val="nil"/>
              <w:right w:val="nil"/>
            </w:tcBorders>
            <w:vAlign w:val="center"/>
          </w:tcPr>
          <w:p w14:paraId="4431D8CA" w14:textId="77777777" w:rsidR="00F856B9" w:rsidRPr="00484218" w:rsidRDefault="00F856B9" w:rsidP="00763C24">
            <w:pPr>
              <w:spacing w:after="0" w:line="240" w:lineRule="auto"/>
              <w:jc w:val="right"/>
              <w:rPr>
                <w:rFonts w:ascii="Arial Narrow" w:hAnsi="Arial Narrow" w:cs="Arial"/>
                <w:i/>
                <w:sz w:val="16"/>
                <w:highlight w:val="lightGray"/>
              </w:rPr>
            </w:pPr>
            <w:r w:rsidRPr="00484218">
              <w:rPr>
                <w:rFonts w:ascii="Arial Narrow" w:hAnsi="Arial Narrow" w:cs="Arial"/>
                <w:i/>
                <w:sz w:val="16"/>
              </w:rPr>
              <w:t xml:space="preserve">Zdroj: </w:t>
            </w:r>
            <w:proofErr w:type="spellStart"/>
            <w:r w:rsidRPr="00484218">
              <w:rPr>
                <w:rFonts w:ascii="Arial Narrow" w:hAnsi="Arial Narrow" w:cs="Arial"/>
                <w:i/>
                <w:sz w:val="16"/>
              </w:rPr>
              <w:t>Eurostat</w:t>
            </w:r>
            <w:proofErr w:type="spellEnd"/>
            <w:r w:rsidRPr="00484218">
              <w:rPr>
                <w:rFonts w:ascii="Arial Narrow" w:hAnsi="Arial Narrow" w:cs="Arial"/>
                <w:i/>
                <w:sz w:val="16"/>
              </w:rPr>
              <w:t xml:space="preserve"> (</w:t>
            </w:r>
            <w:proofErr w:type="spellStart"/>
            <w:r w:rsidRPr="00484218">
              <w:rPr>
                <w:rFonts w:ascii="Arial Narrow" w:hAnsi="Arial Narrow" w:cs="Arial"/>
                <w:i/>
                <w:sz w:val="16"/>
              </w:rPr>
              <w:t>hlth_cd_apr</w:t>
            </w:r>
            <w:proofErr w:type="spellEnd"/>
            <w:r w:rsidRPr="00484218">
              <w:rPr>
                <w:rFonts w:ascii="Arial Narrow" w:hAnsi="Arial Narrow" w:cs="Arial"/>
                <w:i/>
                <w:sz w:val="16"/>
              </w:rPr>
              <w:t xml:space="preserve">) </w:t>
            </w:r>
          </w:p>
        </w:tc>
      </w:tr>
    </w:tbl>
    <w:p w14:paraId="5EC38516" w14:textId="77777777" w:rsidR="00F856B9" w:rsidRPr="00E9007D" w:rsidRDefault="00F856B9" w:rsidP="00F856B9">
      <w:pPr>
        <w:spacing w:after="0" w:line="240" w:lineRule="auto"/>
        <w:jc w:val="both"/>
        <w:rPr>
          <w:rFonts w:ascii="Arial Narrow" w:hAnsi="Arial Narrow"/>
        </w:rPr>
      </w:pPr>
    </w:p>
    <w:p w14:paraId="24E9180F" w14:textId="77777777" w:rsidR="00DA388A" w:rsidRDefault="00DA388A">
      <w:pPr>
        <w:spacing w:after="0" w:line="240" w:lineRule="auto"/>
        <w:rPr>
          <w:rFonts w:ascii="Arial Narrow" w:eastAsia="Calibri" w:hAnsi="Arial Narrow"/>
          <w:b/>
          <w:lang w:eastAsia="en-US"/>
        </w:rPr>
      </w:pPr>
      <w:r>
        <w:rPr>
          <w:rFonts w:ascii="Arial Narrow" w:eastAsia="Calibri" w:hAnsi="Arial Narrow"/>
          <w:b/>
          <w:lang w:eastAsia="en-US"/>
        </w:rPr>
        <w:br w:type="page"/>
      </w:r>
    </w:p>
    <w:p w14:paraId="53A70B15" w14:textId="63DB0F8A" w:rsidR="00DA388A" w:rsidRDefault="00DA388A" w:rsidP="00DA388A">
      <w:pPr>
        <w:spacing w:after="0" w:line="240" w:lineRule="auto"/>
        <w:jc w:val="both"/>
        <w:rPr>
          <w:rFonts w:ascii="Arial Narrow" w:hAnsi="Arial Narrow"/>
        </w:rPr>
      </w:pPr>
      <w:r w:rsidRPr="00E9007D">
        <w:rPr>
          <w:rFonts w:ascii="Arial Narrow" w:eastAsia="Calibri" w:hAnsi="Arial Narrow"/>
          <w:b/>
          <w:lang w:eastAsia="en-US"/>
        </w:rPr>
        <w:lastRenderedPageBreak/>
        <w:t>Celkové výdavky na zdravotníctvo rastú v súlade s medzinárodnými trendami.</w:t>
      </w:r>
      <w:r w:rsidRPr="00E9007D">
        <w:rPr>
          <w:rFonts w:ascii="Arial Narrow" w:eastAsia="Calibri" w:hAnsi="Arial Narrow"/>
          <w:lang w:eastAsia="en-US"/>
        </w:rPr>
        <w:t xml:space="preserve"> </w:t>
      </w:r>
      <w:r w:rsidRPr="00E9007D">
        <w:rPr>
          <w:rFonts w:ascii="Arial Narrow" w:hAnsi="Arial Narrow"/>
        </w:rPr>
        <w:t>V rokoch 2011-2015 si Slovensko udržiavalo stabilnú úroveň verejných výdavkov na zdravotníctvo (5,5 % HDP), následne vzrástli na úroveň 5,7 % HDP v roku 2017, v roku 2019 sa očakáva rast na úroveň 5,8 % HDP</w:t>
      </w:r>
      <w:r w:rsidRPr="00E9007D">
        <w:rPr>
          <w:rFonts w:ascii="Arial Narrow" w:eastAsia="Calibri" w:hAnsi="Arial Narrow"/>
          <w:lang w:eastAsia="en-US"/>
        </w:rPr>
        <w:t>. Slovenské výdavky vyjadrené ako podiel na HDP zaostávajú za priemerom EÚ</w:t>
      </w:r>
      <w:r>
        <w:rPr>
          <w:rFonts w:ascii="Arial Narrow" w:eastAsia="Calibri" w:hAnsi="Arial Narrow"/>
          <w:lang w:eastAsia="en-US"/>
        </w:rPr>
        <w:t xml:space="preserve"> aj OECD</w:t>
      </w:r>
      <w:r w:rsidRPr="00E9007D">
        <w:rPr>
          <w:rFonts w:ascii="Arial Narrow" w:eastAsia="Calibri" w:hAnsi="Arial Narrow"/>
          <w:lang w:eastAsia="en-US"/>
        </w:rPr>
        <w:t xml:space="preserve">, avšak prevyšujú priemer ostatných krajín V4. </w:t>
      </w:r>
      <w:r w:rsidRPr="00E9007D">
        <w:rPr>
          <w:rFonts w:ascii="Arial Narrow" w:hAnsi="Arial Narrow"/>
        </w:rPr>
        <w:t>V kontexte starnutia populácie sa očakáva, že budú ďalej značne rásť. To vytvára významný tlak na nákladovú efektívnosť celého systému.</w:t>
      </w:r>
      <w:r w:rsidRPr="00E9007D" w:rsidDel="00F82A66">
        <w:rPr>
          <w:rFonts w:ascii="Arial Narrow" w:hAnsi="Arial Narrow"/>
        </w:rPr>
        <w:t xml:space="preserve"> </w:t>
      </w:r>
    </w:p>
    <w:p w14:paraId="49D3ED87" w14:textId="77777777" w:rsidR="00DA388A" w:rsidRPr="00FA52E1" w:rsidRDefault="00DA388A" w:rsidP="00DA388A">
      <w:pPr>
        <w:spacing w:after="0" w:line="240" w:lineRule="auto"/>
        <w:jc w:val="both"/>
        <w:rPr>
          <w:rFonts w:ascii="Arial Narrow" w:hAnsi="Arial Narrow"/>
          <w:sz w:val="20"/>
        </w:rPr>
      </w:pPr>
    </w:p>
    <w:p w14:paraId="0DD58539" w14:textId="0BE28323" w:rsidR="00F856B9" w:rsidRDefault="00F856B9" w:rsidP="00DA388A">
      <w:pPr>
        <w:spacing w:after="0" w:line="240" w:lineRule="auto"/>
        <w:jc w:val="both"/>
        <w:rPr>
          <w:rFonts w:ascii="Arial Narrow" w:hAnsi="Arial Narrow" w:cs="NeueHaasGroteskDisp W02 Bd"/>
          <w:bCs/>
        </w:rPr>
      </w:pPr>
      <w:r>
        <w:rPr>
          <w:rFonts w:ascii="Arial Narrow" w:hAnsi="Arial Narrow"/>
          <w:b/>
        </w:rPr>
        <w:t>S</w:t>
      </w:r>
      <w:r w:rsidR="00FA52E1">
        <w:rPr>
          <w:rFonts w:ascii="Arial Narrow" w:hAnsi="Arial Narrow"/>
          <w:b/>
        </w:rPr>
        <w:t xml:space="preserve">lovensko v </w:t>
      </w:r>
      <w:r w:rsidRPr="00E9007D">
        <w:rPr>
          <w:rFonts w:ascii="Arial Narrow" w:hAnsi="Arial Narrow"/>
          <w:b/>
        </w:rPr>
        <w:t>medzinárodnom porovnaní zaostáva v hlavných výsledkových ukazovateľoch zdravotníctva.</w:t>
      </w:r>
      <w:r w:rsidRPr="00E9007D">
        <w:rPr>
          <w:rFonts w:ascii="Arial Narrow" w:hAnsi="Arial Narrow"/>
        </w:rPr>
        <w:t xml:space="preserve"> Horšie výsledky máme v porovnaní s priemerom EÚ aj ostatných krajín V4. Dosahujeme nižšiu očakávanú dĺžku života a</w:t>
      </w:r>
      <w:r w:rsidR="00DA388A">
        <w:rPr>
          <w:rFonts w:ascii="Arial Narrow" w:hAnsi="Arial Narrow"/>
        </w:rPr>
        <w:t> </w:t>
      </w:r>
      <w:r w:rsidRPr="00E9007D">
        <w:rPr>
          <w:rFonts w:ascii="Arial Narrow" w:hAnsi="Arial Narrow"/>
        </w:rPr>
        <w:t>miera</w:t>
      </w:r>
      <w:r w:rsidR="00DA388A">
        <w:rPr>
          <w:rFonts w:ascii="Arial Narrow" w:hAnsi="Arial Narrow"/>
        </w:rPr>
        <w:t xml:space="preserve"> </w:t>
      </w:r>
      <w:r w:rsidRPr="00E9007D">
        <w:rPr>
          <w:rFonts w:ascii="Arial Narrow" w:hAnsi="Arial Narrow"/>
        </w:rPr>
        <w:t>úmrtnosti</w:t>
      </w:r>
      <w:r w:rsidR="006358B6">
        <w:rPr>
          <w:rFonts w:ascii="Arial Narrow" w:hAnsi="Arial Narrow"/>
        </w:rPr>
        <w:t xml:space="preserve"> </w:t>
      </w:r>
      <w:r w:rsidR="00CC6E4A">
        <w:rPr>
          <w:rFonts w:ascii="Arial Narrow" w:hAnsi="Arial Narrow"/>
        </w:rPr>
        <w:t xml:space="preserve">odvrátiteľná </w:t>
      </w:r>
      <w:r w:rsidR="006358B6">
        <w:rPr>
          <w:rFonts w:ascii="Arial Narrow" w:hAnsi="Arial Narrow"/>
        </w:rPr>
        <w:t>zdravotnou starostlivosťou</w:t>
      </w:r>
      <w:r w:rsidRPr="00E9007D">
        <w:rPr>
          <w:rFonts w:ascii="Arial Narrow" w:hAnsi="Arial Narrow"/>
          <w:vertAlign w:val="superscript"/>
        </w:rPr>
        <w:footnoteReference w:id="93"/>
      </w:r>
      <w:r w:rsidRPr="00E9007D">
        <w:rPr>
          <w:rFonts w:ascii="Arial Narrow" w:hAnsi="Arial Narrow"/>
        </w:rPr>
        <w:t xml:space="preserve"> je dvojnásobná v porovnaní s priemerom EÚ. </w:t>
      </w:r>
      <w:r w:rsidRPr="00E9007D">
        <w:rPr>
          <w:rFonts w:ascii="Arial Narrow" w:hAnsi="Arial Narrow" w:cs="NeueHaasGroteskDisp W02 Bd"/>
          <w:bCs/>
        </w:rPr>
        <w:t>Zdravotný stav rómskej populácie</w:t>
      </w:r>
      <w:r w:rsidRPr="00E9007D">
        <w:rPr>
          <w:rFonts w:ascii="Arial Narrow" w:hAnsi="Arial Narrow"/>
          <w:vertAlign w:val="superscript"/>
        </w:rPr>
        <w:footnoteReference w:id="94"/>
      </w:r>
      <w:r w:rsidR="00DA388A">
        <w:rPr>
          <w:rFonts w:ascii="Arial Narrow" w:hAnsi="Arial Narrow" w:cs="NeueHaasGroteskDisp W02 Bd"/>
          <w:bCs/>
        </w:rPr>
        <w:t xml:space="preserve"> </w:t>
      </w:r>
      <w:r w:rsidRPr="00E9007D">
        <w:rPr>
          <w:rFonts w:ascii="Arial Narrow" w:hAnsi="Arial Narrow" w:cs="NeueHaasGroteskDisp W02 Bd"/>
          <w:bCs/>
        </w:rPr>
        <w:t xml:space="preserve">je v porovnaní s majoritnou populáciou výrazne horší. V dôsledku toho, očakávaná dĺžka života pri narodení a dojčenská úmrtnosť </w:t>
      </w:r>
      <w:r w:rsidR="00317A99">
        <w:rPr>
          <w:rFonts w:ascii="Arial Narrow" w:hAnsi="Arial Narrow" w:cs="NeueHaasGroteskDisp W02 Bd"/>
          <w:bCs/>
        </w:rPr>
        <w:t>výrazne zaostáva v porovnaní s väčšinovou populáciou</w:t>
      </w:r>
      <w:r w:rsidRPr="00E9007D">
        <w:rPr>
          <w:rFonts w:ascii="Arial Narrow" w:hAnsi="Arial Narrow" w:cs="NeueHaasGroteskDisp W02 Bd"/>
          <w:bCs/>
        </w:rPr>
        <w:t>.</w:t>
      </w:r>
    </w:p>
    <w:p w14:paraId="45A09034" w14:textId="77777777" w:rsidR="00DA388A" w:rsidRPr="00FA52E1" w:rsidRDefault="00DA388A" w:rsidP="00DA388A">
      <w:pPr>
        <w:spacing w:after="0" w:line="240" w:lineRule="auto"/>
        <w:jc w:val="both"/>
        <w:rPr>
          <w:rFonts w:ascii="Arial Narrow" w:hAnsi="Arial Narrow" w:cs="NeueHaasGroteskDisp W02 Bd"/>
          <w:bCs/>
          <w:sz w:val="20"/>
        </w:rPr>
      </w:pPr>
    </w:p>
    <w:tbl>
      <w:tblPr>
        <w:tblW w:w="5078"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167"/>
        <w:gridCol w:w="242"/>
        <w:gridCol w:w="4289"/>
      </w:tblGrid>
      <w:tr w:rsidR="00F856B9" w:rsidRPr="00E9007D" w14:paraId="042B8C72" w14:textId="77777777" w:rsidTr="00763C24">
        <w:trPr>
          <w:trHeight w:val="505"/>
          <w:jc w:val="center"/>
        </w:trPr>
        <w:tc>
          <w:tcPr>
            <w:tcW w:w="4167" w:type="dxa"/>
            <w:tcBorders>
              <w:top w:val="nil"/>
              <w:left w:val="nil"/>
              <w:bottom w:val="single" w:sz="4" w:space="0" w:color="auto"/>
              <w:right w:val="nil"/>
            </w:tcBorders>
            <w:vAlign w:val="center"/>
          </w:tcPr>
          <w:p w14:paraId="4807C93A" w14:textId="77777777" w:rsidR="00FA52E1" w:rsidRDefault="00F856B9" w:rsidP="00763C24">
            <w:pPr>
              <w:spacing w:after="0" w:line="240" w:lineRule="auto"/>
              <w:rPr>
                <w:rFonts w:ascii="Arial Narrow" w:hAnsi="Arial Narrow" w:cs="Arial"/>
                <w:b/>
                <w:bCs/>
                <w:color w:val="2C9ADC"/>
                <w:sz w:val="20"/>
              </w:rPr>
            </w:pPr>
            <w:bookmarkStart w:id="60" w:name="_Toc4625972"/>
            <w:r w:rsidRPr="00484218">
              <w:rPr>
                <w:rFonts w:ascii="Arial Narrow" w:hAnsi="Arial Narrow"/>
                <w:b/>
                <w:bCs/>
                <w:color w:val="2C9ADC"/>
                <w:sz w:val="20"/>
              </w:rPr>
              <w:t xml:space="preserve">Graf </w:t>
            </w:r>
            <w:r w:rsidRPr="00484218">
              <w:rPr>
                <w:rFonts w:ascii="Arial Narrow" w:hAnsi="Arial Narrow"/>
                <w:b/>
                <w:bCs/>
                <w:noProof/>
                <w:color w:val="2C9ADC"/>
                <w:sz w:val="20"/>
              </w:rPr>
              <w:fldChar w:fldCharType="begin"/>
            </w:r>
            <w:r w:rsidRPr="00484218">
              <w:rPr>
                <w:rFonts w:ascii="Arial Narrow" w:hAnsi="Arial Narrow"/>
                <w:b/>
                <w:bCs/>
                <w:noProof/>
                <w:color w:val="2C9ADC"/>
                <w:sz w:val="20"/>
              </w:rPr>
              <w:instrText xml:space="preserve"> SEQ Graf \* ARABIC </w:instrText>
            </w:r>
            <w:r w:rsidRPr="00484218">
              <w:rPr>
                <w:rFonts w:ascii="Arial Narrow" w:hAnsi="Arial Narrow"/>
                <w:b/>
                <w:bCs/>
                <w:noProof/>
                <w:color w:val="2C9ADC"/>
                <w:sz w:val="20"/>
              </w:rPr>
              <w:fldChar w:fldCharType="separate"/>
            </w:r>
            <w:r w:rsidR="0020148F">
              <w:rPr>
                <w:rFonts w:ascii="Arial Narrow" w:hAnsi="Arial Narrow"/>
                <w:b/>
                <w:bCs/>
                <w:noProof/>
                <w:color w:val="2C9ADC"/>
                <w:sz w:val="20"/>
              </w:rPr>
              <w:t>23</w:t>
            </w:r>
            <w:r w:rsidRPr="00484218">
              <w:rPr>
                <w:rFonts w:ascii="Arial Narrow" w:hAnsi="Arial Narrow"/>
                <w:b/>
                <w:bCs/>
                <w:noProof/>
                <w:color w:val="2C9ADC"/>
                <w:sz w:val="20"/>
              </w:rPr>
              <w:fldChar w:fldCharType="end"/>
            </w:r>
            <w:r w:rsidRPr="00484218">
              <w:rPr>
                <w:rFonts w:ascii="Arial Narrow" w:hAnsi="Arial Narrow"/>
                <w:b/>
                <w:bCs/>
                <w:color w:val="2C9ADC"/>
                <w:sz w:val="20"/>
              </w:rPr>
              <w:t xml:space="preserve">: </w:t>
            </w:r>
            <w:r w:rsidRPr="00484218">
              <w:rPr>
                <w:rFonts w:ascii="Arial Narrow" w:hAnsi="Arial Narrow" w:cs="Arial"/>
                <w:b/>
                <w:bCs/>
                <w:color w:val="2C9ADC"/>
                <w:sz w:val="20"/>
              </w:rPr>
              <w:t>Očakávaná dĺžka života pri narodení</w:t>
            </w:r>
            <w:bookmarkEnd w:id="60"/>
            <w:r w:rsidRPr="00484218">
              <w:rPr>
                <w:rFonts w:ascii="Arial Narrow" w:hAnsi="Arial Narrow" w:cs="Arial"/>
                <w:b/>
                <w:bCs/>
                <w:color w:val="2C9ADC"/>
                <w:sz w:val="20"/>
              </w:rPr>
              <w:t xml:space="preserve"> </w:t>
            </w:r>
          </w:p>
          <w:p w14:paraId="53648238" w14:textId="6DBF8A83" w:rsidR="00F856B9" w:rsidRPr="00484218" w:rsidRDefault="00F856B9" w:rsidP="00763C24">
            <w:pPr>
              <w:spacing w:after="0" w:line="240" w:lineRule="auto"/>
              <w:rPr>
                <w:rFonts w:ascii="Arial Narrow" w:hAnsi="Arial Narrow" w:cs="Arial"/>
                <w:b/>
                <w:bCs/>
                <w:color w:val="2C9ADC"/>
                <w:sz w:val="20"/>
              </w:rPr>
            </w:pPr>
            <w:r w:rsidRPr="00484218">
              <w:rPr>
                <w:rFonts w:ascii="Arial Narrow" w:hAnsi="Arial Narrow" w:cs="Arial"/>
                <w:b/>
                <w:bCs/>
                <w:color w:val="2C9ADC"/>
                <w:sz w:val="20"/>
              </w:rPr>
              <w:t>(v rokoch, 2006 až 2015)</w:t>
            </w:r>
          </w:p>
        </w:tc>
        <w:tc>
          <w:tcPr>
            <w:tcW w:w="242" w:type="dxa"/>
            <w:tcBorders>
              <w:top w:val="nil"/>
              <w:left w:val="nil"/>
              <w:bottom w:val="nil"/>
              <w:right w:val="nil"/>
            </w:tcBorders>
            <w:vAlign w:val="center"/>
          </w:tcPr>
          <w:p w14:paraId="51E4861E" w14:textId="77777777" w:rsidR="00F856B9" w:rsidRPr="00484218" w:rsidRDefault="00F856B9" w:rsidP="00763C24">
            <w:pPr>
              <w:spacing w:after="0" w:line="240" w:lineRule="auto"/>
              <w:jc w:val="center"/>
              <w:rPr>
                <w:rFonts w:ascii="Arial Narrow" w:hAnsi="Arial Narrow" w:cs="Arial"/>
                <w:b/>
                <w:sz w:val="20"/>
                <w:highlight w:val="lightGray"/>
              </w:rPr>
            </w:pPr>
          </w:p>
        </w:tc>
        <w:tc>
          <w:tcPr>
            <w:tcW w:w="4289" w:type="dxa"/>
            <w:tcBorders>
              <w:top w:val="nil"/>
              <w:left w:val="nil"/>
              <w:bottom w:val="single" w:sz="4" w:space="0" w:color="auto"/>
              <w:right w:val="nil"/>
            </w:tcBorders>
            <w:vAlign w:val="center"/>
          </w:tcPr>
          <w:p w14:paraId="46FA1CB1" w14:textId="77777777" w:rsidR="00F856B9" w:rsidRPr="00484218" w:rsidRDefault="00F856B9" w:rsidP="00763C24">
            <w:pPr>
              <w:spacing w:after="0" w:line="240" w:lineRule="auto"/>
              <w:rPr>
                <w:rFonts w:ascii="Arial Narrow" w:hAnsi="Arial Narrow"/>
                <w:b/>
                <w:bCs/>
                <w:color w:val="2C9ADC"/>
                <w:sz w:val="20"/>
              </w:rPr>
            </w:pPr>
            <w:bookmarkStart w:id="61" w:name="_Toc4625973"/>
            <w:r w:rsidRPr="00484218">
              <w:rPr>
                <w:rFonts w:ascii="Arial Narrow" w:hAnsi="Arial Narrow"/>
                <w:b/>
                <w:bCs/>
                <w:color w:val="2C9ADC"/>
                <w:sz w:val="20"/>
              </w:rPr>
              <w:t xml:space="preserve">Graf </w:t>
            </w:r>
            <w:r w:rsidRPr="00484218">
              <w:rPr>
                <w:rFonts w:ascii="Arial Narrow" w:hAnsi="Arial Narrow"/>
                <w:b/>
                <w:bCs/>
                <w:noProof/>
                <w:color w:val="2C9ADC"/>
                <w:sz w:val="20"/>
              </w:rPr>
              <w:fldChar w:fldCharType="begin"/>
            </w:r>
            <w:r w:rsidRPr="00484218">
              <w:rPr>
                <w:rFonts w:ascii="Arial Narrow" w:hAnsi="Arial Narrow"/>
                <w:b/>
                <w:bCs/>
                <w:noProof/>
                <w:color w:val="2C9ADC"/>
                <w:sz w:val="20"/>
              </w:rPr>
              <w:instrText xml:space="preserve"> SEQ Graf \* ARABIC </w:instrText>
            </w:r>
            <w:r w:rsidRPr="00484218">
              <w:rPr>
                <w:rFonts w:ascii="Arial Narrow" w:hAnsi="Arial Narrow"/>
                <w:b/>
                <w:bCs/>
                <w:noProof/>
                <w:color w:val="2C9ADC"/>
                <w:sz w:val="20"/>
              </w:rPr>
              <w:fldChar w:fldCharType="separate"/>
            </w:r>
            <w:r w:rsidR="0020148F">
              <w:rPr>
                <w:rFonts w:ascii="Arial Narrow" w:hAnsi="Arial Narrow"/>
                <w:b/>
                <w:bCs/>
                <w:noProof/>
                <w:color w:val="2C9ADC"/>
                <w:sz w:val="20"/>
              </w:rPr>
              <w:t>24</w:t>
            </w:r>
            <w:r w:rsidRPr="00484218">
              <w:rPr>
                <w:rFonts w:ascii="Arial Narrow" w:hAnsi="Arial Narrow"/>
                <w:b/>
                <w:bCs/>
                <w:noProof/>
                <w:color w:val="2C9ADC"/>
                <w:sz w:val="20"/>
              </w:rPr>
              <w:fldChar w:fldCharType="end"/>
            </w:r>
            <w:r w:rsidRPr="00484218">
              <w:rPr>
                <w:rFonts w:ascii="Arial Narrow" w:hAnsi="Arial Narrow"/>
                <w:b/>
                <w:bCs/>
                <w:color w:val="2C9ADC"/>
                <w:sz w:val="20"/>
              </w:rPr>
              <w:t>: Dojčenská úmrtnosť (počet úmrtí dojčiat na 1 000 živonarodených detí, 2006 až 2015)</w:t>
            </w:r>
            <w:bookmarkEnd w:id="61"/>
          </w:p>
        </w:tc>
      </w:tr>
      <w:tr w:rsidR="00F856B9" w:rsidRPr="00E9007D" w14:paraId="1E479191" w14:textId="77777777" w:rsidTr="00FA52E1">
        <w:trPr>
          <w:trHeight w:val="3370"/>
          <w:jc w:val="center"/>
        </w:trPr>
        <w:tc>
          <w:tcPr>
            <w:tcW w:w="4167" w:type="dxa"/>
            <w:tcBorders>
              <w:top w:val="single" w:sz="4" w:space="0" w:color="auto"/>
              <w:left w:val="nil"/>
              <w:bottom w:val="single" w:sz="4" w:space="0" w:color="auto"/>
              <w:right w:val="nil"/>
            </w:tcBorders>
            <w:vAlign w:val="center"/>
          </w:tcPr>
          <w:p w14:paraId="15B7923C" w14:textId="77777777" w:rsidR="00F856B9" w:rsidRPr="00E9007D" w:rsidRDefault="00F856B9" w:rsidP="00763C24">
            <w:pPr>
              <w:spacing w:after="0" w:line="240" w:lineRule="auto"/>
              <w:jc w:val="center"/>
              <w:rPr>
                <w:rFonts w:ascii="Arial Narrow" w:hAnsi="Arial Narrow" w:cs="Arial"/>
                <w:b/>
                <w:highlight w:val="lightGray"/>
              </w:rPr>
            </w:pPr>
            <w:r w:rsidRPr="00E9007D">
              <w:rPr>
                <w:rFonts w:ascii="Arial Narrow" w:hAnsi="Arial Narrow"/>
                <w:noProof/>
                <w:lang w:val="en-GB" w:eastAsia="en-GB"/>
              </w:rPr>
              <w:drawing>
                <wp:inline distT="0" distB="0" distL="0" distR="0" wp14:anchorId="046FF336" wp14:editId="59B737FD">
                  <wp:extent cx="2785745" cy="2066925"/>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242" w:type="dxa"/>
            <w:tcBorders>
              <w:top w:val="nil"/>
              <w:left w:val="nil"/>
              <w:bottom w:val="nil"/>
              <w:right w:val="nil"/>
            </w:tcBorders>
            <w:vAlign w:val="center"/>
          </w:tcPr>
          <w:p w14:paraId="3E71D0B4" w14:textId="77777777" w:rsidR="00F856B9" w:rsidRPr="00E9007D" w:rsidRDefault="00F856B9" w:rsidP="00763C24">
            <w:pPr>
              <w:spacing w:after="0" w:line="240" w:lineRule="auto"/>
              <w:jc w:val="center"/>
              <w:rPr>
                <w:rFonts w:ascii="Arial Narrow" w:hAnsi="Arial Narrow" w:cs="Arial"/>
                <w:b/>
                <w:highlight w:val="lightGray"/>
              </w:rPr>
            </w:pPr>
          </w:p>
        </w:tc>
        <w:tc>
          <w:tcPr>
            <w:tcW w:w="4289" w:type="dxa"/>
            <w:tcBorders>
              <w:top w:val="single" w:sz="4" w:space="0" w:color="auto"/>
              <w:left w:val="nil"/>
              <w:bottom w:val="single" w:sz="4" w:space="0" w:color="auto"/>
              <w:right w:val="nil"/>
            </w:tcBorders>
            <w:vAlign w:val="center"/>
          </w:tcPr>
          <w:p w14:paraId="2F60591E" w14:textId="77777777" w:rsidR="00F856B9" w:rsidRPr="00E9007D" w:rsidRDefault="00F856B9" w:rsidP="00763C24">
            <w:pPr>
              <w:spacing w:after="0" w:line="240" w:lineRule="auto"/>
              <w:jc w:val="center"/>
              <w:rPr>
                <w:rFonts w:ascii="Arial Narrow" w:hAnsi="Arial Narrow" w:cs="Arial"/>
                <w:b/>
                <w:highlight w:val="lightGray"/>
              </w:rPr>
            </w:pPr>
            <w:r w:rsidRPr="00E9007D">
              <w:rPr>
                <w:rFonts w:ascii="Arial Narrow" w:hAnsi="Arial Narrow"/>
                <w:noProof/>
                <w:lang w:val="en-GB" w:eastAsia="en-GB"/>
              </w:rPr>
              <w:drawing>
                <wp:inline distT="0" distB="0" distL="0" distR="0" wp14:anchorId="74161688" wp14:editId="162F76D6">
                  <wp:extent cx="2782570" cy="2124075"/>
                  <wp:effectExtent l="0" t="0" r="0" b="0"/>
                  <wp:docPr id="227" name="Graf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F856B9" w:rsidRPr="00E9007D" w14:paraId="41A3DE42" w14:textId="77777777" w:rsidTr="00763C24">
        <w:trPr>
          <w:trHeight w:val="258"/>
          <w:jc w:val="center"/>
        </w:trPr>
        <w:tc>
          <w:tcPr>
            <w:tcW w:w="4167" w:type="dxa"/>
            <w:tcBorders>
              <w:top w:val="single" w:sz="4" w:space="0" w:color="auto"/>
              <w:left w:val="nil"/>
              <w:bottom w:val="nil"/>
              <w:right w:val="nil"/>
            </w:tcBorders>
            <w:vAlign w:val="center"/>
          </w:tcPr>
          <w:p w14:paraId="3AA82DF6" w14:textId="1DD5645A" w:rsidR="00F856B9" w:rsidRPr="00484218" w:rsidRDefault="00F856B9" w:rsidP="00DA388A">
            <w:pPr>
              <w:spacing w:after="0" w:line="240" w:lineRule="auto"/>
              <w:jc w:val="right"/>
              <w:rPr>
                <w:rFonts w:ascii="Arial Narrow" w:hAnsi="Arial Narrow" w:cs="Arial"/>
                <w:i/>
                <w:sz w:val="16"/>
                <w:highlight w:val="lightGray"/>
              </w:rPr>
            </w:pPr>
            <w:r w:rsidRPr="00484218">
              <w:rPr>
                <w:rFonts w:ascii="Arial Narrow" w:hAnsi="Arial Narrow" w:cs="Arial"/>
                <w:i/>
                <w:sz w:val="16"/>
              </w:rPr>
              <w:t xml:space="preserve">Zdroj: </w:t>
            </w:r>
            <w:r w:rsidR="00DA388A">
              <w:rPr>
                <w:rFonts w:ascii="Arial Narrow" w:hAnsi="Arial Narrow" w:cs="Arial"/>
                <w:i/>
                <w:sz w:val="16"/>
              </w:rPr>
              <w:t xml:space="preserve">IFP, </w:t>
            </w:r>
            <w:proofErr w:type="spellStart"/>
            <w:r w:rsidR="00DA388A">
              <w:rPr>
                <w:rFonts w:ascii="Arial Narrow" w:hAnsi="Arial Narrow" w:cs="Arial"/>
                <w:i/>
                <w:sz w:val="16"/>
              </w:rPr>
              <w:t>Eurostat</w:t>
            </w:r>
            <w:proofErr w:type="spellEnd"/>
            <w:r w:rsidR="00DA388A">
              <w:rPr>
                <w:rFonts w:ascii="Arial Narrow" w:hAnsi="Arial Narrow" w:cs="Arial"/>
                <w:i/>
                <w:sz w:val="16"/>
              </w:rPr>
              <w:t xml:space="preserve"> (</w:t>
            </w:r>
            <w:proofErr w:type="spellStart"/>
            <w:r w:rsidR="00DA388A" w:rsidRPr="00DA388A">
              <w:rPr>
                <w:rFonts w:ascii="Arial Narrow" w:hAnsi="Arial Narrow" w:cs="Arial"/>
                <w:i/>
                <w:sz w:val="16"/>
              </w:rPr>
              <w:t>demo_mlexpec</w:t>
            </w:r>
            <w:proofErr w:type="spellEnd"/>
            <w:r w:rsidR="00DA388A">
              <w:rPr>
                <w:rFonts w:ascii="Arial Narrow" w:hAnsi="Arial Narrow" w:cs="Arial"/>
                <w:i/>
                <w:sz w:val="16"/>
              </w:rPr>
              <w:t>)</w:t>
            </w:r>
            <w:r w:rsidRPr="00484218">
              <w:rPr>
                <w:rFonts w:ascii="Arial Narrow" w:hAnsi="Arial Narrow" w:cs="Arial"/>
                <w:i/>
                <w:sz w:val="16"/>
              </w:rPr>
              <w:t xml:space="preserve"> </w:t>
            </w:r>
          </w:p>
        </w:tc>
        <w:tc>
          <w:tcPr>
            <w:tcW w:w="242" w:type="dxa"/>
            <w:tcBorders>
              <w:top w:val="nil"/>
              <w:left w:val="nil"/>
              <w:bottom w:val="nil"/>
              <w:right w:val="nil"/>
            </w:tcBorders>
            <w:vAlign w:val="center"/>
          </w:tcPr>
          <w:p w14:paraId="60F7F861" w14:textId="77777777" w:rsidR="00F856B9" w:rsidRPr="00484218" w:rsidRDefault="00F856B9" w:rsidP="00763C24">
            <w:pPr>
              <w:spacing w:after="0" w:line="240" w:lineRule="auto"/>
              <w:jc w:val="center"/>
              <w:rPr>
                <w:rFonts w:ascii="Arial Narrow" w:hAnsi="Arial Narrow" w:cs="Arial"/>
                <w:i/>
                <w:sz w:val="16"/>
                <w:highlight w:val="lightGray"/>
              </w:rPr>
            </w:pPr>
          </w:p>
        </w:tc>
        <w:tc>
          <w:tcPr>
            <w:tcW w:w="4289" w:type="dxa"/>
            <w:tcBorders>
              <w:top w:val="single" w:sz="4" w:space="0" w:color="auto"/>
              <w:left w:val="nil"/>
              <w:bottom w:val="nil"/>
              <w:right w:val="nil"/>
            </w:tcBorders>
            <w:vAlign w:val="center"/>
          </w:tcPr>
          <w:p w14:paraId="24007C0E" w14:textId="1E778838" w:rsidR="00F856B9" w:rsidRPr="00484218" w:rsidRDefault="00F856B9" w:rsidP="00763C24">
            <w:pPr>
              <w:spacing w:after="0" w:line="240" w:lineRule="auto"/>
              <w:jc w:val="right"/>
              <w:rPr>
                <w:rFonts w:ascii="Arial Narrow" w:hAnsi="Arial Narrow" w:cs="Arial"/>
                <w:i/>
                <w:sz w:val="16"/>
                <w:highlight w:val="lightGray"/>
              </w:rPr>
            </w:pPr>
            <w:r w:rsidRPr="00484218">
              <w:rPr>
                <w:rFonts w:ascii="Arial Narrow" w:hAnsi="Arial Narrow" w:cs="Arial"/>
                <w:i/>
                <w:sz w:val="16"/>
              </w:rPr>
              <w:t xml:space="preserve">Zdroj: </w:t>
            </w:r>
            <w:r w:rsidR="00DA388A">
              <w:rPr>
                <w:rFonts w:ascii="Arial Narrow" w:hAnsi="Arial Narrow" w:cs="Arial"/>
                <w:i/>
                <w:sz w:val="16"/>
              </w:rPr>
              <w:t xml:space="preserve">IFP, </w:t>
            </w:r>
            <w:proofErr w:type="spellStart"/>
            <w:r w:rsidRPr="00484218">
              <w:rPr>
                <w:rFonts w:ascii="Arial Narrow" w:hAnsi="Arial Narrow" w:cs="Arial"/>
                <w:i/>
                <w:sz w:val="16"/>
              </w:rPr>
              <w:t>Eurostat</w:t>
            </w:r>
            <w:proofErr w:type="spellEnd"/>
            <w:r w:rsidRPr="00484218">
              <w:rPr>
                <w:rFonts w:ascii="Arial Narrow" w:hAnsi="Arial Narrow" w:cs="Arial"/>
                <w:i/>
                <w:sz w:val="16"/>
              </w:rPr>
              <w:t xml:space="preserve"> (</w:t>
            </w:r>
            <w:proofErr w:type="spellStart"/>
            <w:r w:rsidRPr="00484218">
              <w:rPr>
                <w:rFonts w:ascii="Arial Narrow" w:hAnsi="Arial Narrow" w:cs="Arial"/>
                <w:i/>
                <w:sz w:val="16"/>
              </w:rPr>
              <w:t>hlth_cd_apr</w:t>
            </w:r>
            <w:proofErr w:type="spellEnd"/>
            <w:r w:rsidRPr="00484218">
              <w:rPr>
                <w:rFonts w:ascii="Arial Narrow" w:hAnsi="Arial Narrow" w:cs="Arial"/>
                <w:i/>
                <w:sz w:val="16"/>
              </w:rPr>
              <w:t xml:space="preserve">) </w:t>
            </w:r>
          </w:p>
        </w:tc>
      </w:tr>
    </w:tbl>
    <w:p w14:paraId="46925428" w14:textId="77777777" w:rsidR="00F856B9" w:rsidRPr="00FA52E1" w:rsidRDefault="00F856B9" w:rsidP="00F856B9">
      <w:pPr>
        <w:spacing w:after="0" w:line="240" w:lineRule="auto"/>
        <w:jc w:val="both"/>
        <w:rPr>
          <w:rFonts w:ascii="Arial Narrow" w:hAnsi="Arial Narrow"/>
          <w:sz w:val="20"/>
        </w:rPr>
      </w:pPr>
    </w:p>
    <w:p w14:paraId="76B355A0" w14:textId="33B0DAB7" w:rsidR="00DA388A" w:rsidRDefault="00F856B9" w:rsidP="00F856B9">
      <w:pPr>
        <w:spacing w:line="240" w:lineRule="auto"/>
        <w:jc w:val="both"/>
        <w:rPr>
          <w:rFonts w:ascii="Arial Narrow" w:hAnsi="Arial Narrow"/>
          <w:vertAlign w:val="superscript"/>
        </w:rPr>
      </w:pPr>
      <w:r>
        <w:rPr>
          <w:rFonts w:ascii="Arial Narrow" w:hAnsi="Arial Narrow"/>
          <w:b/>
          <w:color w:val="000000"/>
        </w:rPr>
        <w:t xml:space="preserve">Z </w:t>
      </w:r>
      <w:r w:rsidRPr="00E9007D">
        <w:rPr>
          <w:rFonts w:ascii="Arial Narrow" w:hAnsi="Arial Narrow"/>
          <w:b/>
          <w:color w:val="000000"/>
        </w:rPr>
        <w:t xml:space="preserve">pohľadu výdavkov je slovenské zdravotníctvo v porovnaní s priemerom krajín OECD dlhodobo menej efektívne. </w:t>
      </w:r>
      <w:r w:rsidRPr="00E9007D">
        <w:rPr>
          <w:rFonts w:ascii="Arial Narrow" w:hAnsi="Arial Narrow"/>
        </w:rPr>
        <w:t>V rámci krajín V4 dosahuje Slovensko lepšie výsledky ako Maďarsko, avšak horšie ako Česko a Poľsko. Výr</w:t>
      </w:r>
      <w:r w:rsidR="000338FC">
        <w:rPr>
          <w:rFonts w:ascii="Arial Narrow" w:hAnsi="Arial Narrow"/>
        </w:rPr>
        <w:t>azne nás predbieha aj Slovinsko</w:t>
      </w:r>
      <w:r w:rsidRPr="00E9007D">
        <w:rPr>
          <w:rFonts w:ascii="Arial Narrow" w:hAnsi="Arial Narrow"/>
          <w:vertAlign w:val="superscript"/>
        </w:rPr>
        <w:footnoteReference w:id="95"/>
      </w:r>
      <w:r w:rsidR="000338FC">
        <w:rPr>
          <w:rFonts w:ascii="Arial Narrow" w:hAnsi="Arial Narrow"/>
        </w:rPr>
        <w:t>.</w:t>
      </w:r>
      <w:r w:rsidRPr="00E9007D">
        <w:rPr>
          <w:rFonts w:ascii="Arial Narrow" w:hAnsi="Arial Narrow"/>
          <w:vertAlign w:val="superscript"/>
        </w:rPr>
        <w:t xml:space="preserve"> </w:t>
      </w:r>
    </w:p>
    <w:p w14:paraId="66FDDA69" w14:textId="410E0666" w:rsidR="00F856B9" w:rsidRPr="00DA388A" w:rsidRDefault="00DA388A" w:rsidP="00DA388A">
      <w:pPr>
        <w:spacing w:after="0" w:line="240" w:lineRule="auto"/>
        <w:rPr>
          <w:rFonts w:ascii="Arial Narrow" w:hAnsi="Arial Narrow"/>
          <w:vertAlign w:val="superscript"/>
        </w:rPr>
      </w:pPr>
      <w:r>
        <w:rPr>
          <w:rFonts w:ascii="Arial Narrow" w:hAnsi="Arial Narrow"/>
          <w:vertAlign w:val="superscript"/>
        </w:rPr>
        <w:br w:type="page"/>
      </w:r>
    </w:p>
    <w:tbl>
      <w:tblPr>
        <w:tblW w:w="5131"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246"/>
        <w:gridCol w:w="173"/>
        <w:gridCol w:w="4369"/>
      </w:tblGrid>
      <w:tr w:rsidR="00F856B9" w:rsidRPr="00E9007D" w14:paraId="01C13A33" w14:textId="77777777" w:rsidTr="00763C24">
        <w:trPr>
          <w:trHeight w:val="371"/>
          <w:jc w:val="center"/>
        </w:trPr>
        <w:tc>
          <w:tcPr>
            <w:tcW w:w="4246" w:type="dxa"/>
            <w:tcBorders>
              <w:top w:val="nil"/>
              <w:left w:val="nil"/>
              <w:bottom w:val="single" w:sz="4" w:space="0" w:color="auto"/>
              <w:right w:val="nil"/>
            </w:tcBorders>
            <w:vAlign w:val="center"/>
          </w:tcPr>
          <w:p w14:paraId="58E8C5D2" w14:textId="77777777" w:rsidR="00F856B9" w:rsidRPr="0062680A" w:rsidRDefault="00F856B9" w:rsidP="00763C24">
            <w:pPr>
              <w:spacing w:after="0" w:line="240" w:lineRule="auto"/>
              <w:rPr>
                <w:rFonts w:ascii="Arial Narrow" w:hAnsi="Arial Narrow" w:cs="Arial"/>
                <w:b/>
                <w:bCs/>
                <w:color w:val="2C9ADC"/>
                <w:sz w:val="20"/>
                <w:highlight w:val="yellow"/>
              </w:rPr>
            </w:pPr>
            <w:bookmarkStart w:id="62" w:name="_Toc4625974"/>
            <w:r w:rsidRPr="0062680A">
              <w:rPr>
                <w:rFonts w:ascii="Arial Narrow" w:hAnsi="Arial Narrow"/>
                <w:b/>
                <w:bCs/>
                <w:color w:val="2C9ADC"/>
                <w:sz w:val="20"/>
              </w:rPr>
              <w:lastRenderedPageBreak/>
              <w:t xml:space="preserve">Graf </w:t>
            </w:r>
            <w:r w:rsidRPr="0062680A">
              <w:rPr>
                <w:rFonts w:ascii="Arial Narrow" w:hAnsi="Arial Narrow"/>
                <w:b/>
                <w:bCs/>
                <w:noProof/>
                <w:color w:val="2C9ADC"/>
                <w:sz w:val="20"/>
              </w:rPr>
              <w:fldChar w:fldCharType="begin"/>
            </w:r>
            <w:r w:rsidRPr="0062680A">
              <w:rPr>
                <w:rFonts w:ascii="Arial Narrow" w:hAnsi="Arial Narrow"/>
                <w:b/>
                <w:bCs/>
                <w:noProof/>
                <w:color w:val="2C9ADC"/>
                <w:sz w:val="20"/>
              </w:rPr>
              <w:instrText xml:space="preserve"> SEQ Graf \* ARABIC </w:instrText>
            </w:r>
            <w:r w:rsidRPr="0062680A">
              <w:rPr>
                <w:rFonts w:ascii="Arial Narrow" w:hAnsi="Arial Narrow"/>
                <w:b/>
                <w:bCs/>
                <w:noProof/>
                <w:color w:val="2C9ADC"/>
                <w:sz w:val="20"/>
              </w:rPr>
              <w:fldChar w:fldCharType="separate"/>
            </w:r>
            <w:r w:rsidR="0020148F">
              <w:rPr>
                <w:rFonts w:ascii="Arial Narrow" w:hAnsi="Arial Narrow"/>
                <w:b/>
                <w:bCs/>
                <w:noProof/>
                <w:color w:val="2C9ADC"/>
                <w:sz w:val="20"/>
              </w:rPr>
              <w:t>25</w:t>
            </w:r>
            <w:r w:rsidRPr="0062680A">
              <w:rPr>
                <w:rFonts w:ascii="Arial Narrow" w:hAnsi="Arial Narrow"/>
                <w:b/>
                <w:bCs/>
                <w:noProof/>
                <w:color w:val="2C9ADC"/>
                <w:sz w:val="20"/>
              </w:rPr>
              <w:fldChar w:fldCharType="end"/>
            </w:r>
            <w:r w:rsidRPr="0062680A">
              <w:rPr>
                <w:rFonts w:ascii="Arial Narrow" w:hAnsi="Arial Narrow"/>
                <w:b/>
                <w:bCs/>
                <w:noProof/>
                <w:color w:val="2C9ADC"/>
                <w:sz w:val="20"/>
              </w:rPr>
              <w:t>:</w:t>
            </w:r>
            <w:r w:rsidRPr="0062680A">
              <w:rPr>
                <w:rFonts w:ascii="Arial Narrow" w:hAnsi="Arial Narrow" w:cs="Arial"/>
                <w:b/>
                <w:bCs/>
                <w:color w:val="2C9ADC"/>
                <w:sz w:val="20"/>
              </w:rPr>
              <w:t xml:space="preserve"> Efektívnosť zdravotníctva krajín OECD</w:t>
            </w:r>
            <w:r w:rsidRPr="0062680A">
              <w:rPr>
                <w:rFonts w:ascii="Arial Narrow" w:hAnsi="Arial Narrow" w:cs="Arial"/>
                <w:b/>
                <w:bCs/>
                <w:color w:val="2C9ADC"/>
                <w:sz w:val="20"/>
                <w:vertAlign w:val="superscript"/>
              </w:rPr>
              <w:footnoteReference w:id="96"/>
            </w:r>
            <w:bookmarkEnd w:id="62"/>
          </w:p>
        </w:tc>
        <w:tc>
          <w:tcPr>
            <w:tcW w:w="173" w:type="dxa"/>
            <w:tcBorders>
              <w:top w:val="nil"/>
              <w:left w:val="nil"/>
              <w:bottom w:val="nil"/>
              <w:right w:val="nil"/>
            </w:tcBorders>
            <w:vAlign w:val="center"/>
          </w:tcPr>
          <w:p w14:paraId="74F9FC4D" w14:textId="77777777" w:rsidR="00F856B9" w:rsidRPr="0062680A" w:rsidRDefault="00F856B9" w:rsidP="00763C24">
            <w:pPr>
              <w:spacing w:after="0" w:line="240" w:lineRule="auto"/>
              <w:jc w:val="center"/>
              <w:rPr>
                <w:rFonts w:ascii="Arial Narrow" w:hAnsi="Arial Narrow" w:cs="Arial"/>
                <w:b/>
                <w:sz w:val="20"/>
                <w:highlight w:val="lightGray"/>
              </w:rPr>
            </w:pPr>
          </w:p>
        </w:tc>
        <w:tc>
          <w:tcPr>
            <w:tcW w:w="4369" w:type="dxa"/>
            <w:tcBorders>
              <w:top w:val="nil"/>
              <w:left w:val="nil"/>
              <w:bottom w:val="single" w:sz="4" w:space="0" w:color="auto"/>
              <w:right w:val="nil"/>
            </w:tcBorders>
            <w:vAlign w:val="center"/>
          </w:tcPr>
          <w:p w14:paraId="35510F35" w14:textId="4475DD5E" w:rsidR="00F856B9" w:rsidRPr="0062680A" w:rsidRDefault="00F856B9" w:rsidP="005F2B90">
            <w:pPr>
              <w:spacing w:after="0" w:line="240" w:lineRule="auto"/>
              <w:rPr>
                <w:rFonts w:ascii="Arial Narrow" w:hAnsi="Arial Narrow"/>
                <w:b/>
                <w:bCs/>
                <w:color w:val="2C9ADC"/>
                <w:sz w:val="20"/>
              </w:rPr>
            </w:pPr>
            <w:bookmarkStart w:id="63" w:name="_Toc4625975"/>
            <w:r w:rsidRPr="0062680A">
              <w:rPr>
                <w:rFonts w:ascii="Arial Narrow" w:hAnsi="Arial Narrow"/>
                <w:b/>
                <w:bCs/>
                <w:color w:val="2C9ADC"/>
                <w:sz w:val="20"/>
              </w:rPr>
              <w:t xml:space="preserve">Graf </w:t>
            </w:r>
            <w:r w:rsidRPr="0062680A">
              <w:rPr>
                <w:rFonts w:ascii="Arial Narrow" w:hAnsi="Arial Narrow"/>
                <w:b/>
                <w:bCs/>
                <w:noProof/>
                <w:color w:val="2C9ADC"/>
                <w:sz w:val="20"/>
              </w:rPr>
              <w:fldChar w:fldCharType="begin"/>
            </w:r>
            <w:r w:rsidRPr="0062680A">
              <w:rPr>
                <w:rFonts w:ascii="Arial Narrow" w:hAnsi="Arial Narrow"/>
                <w:b/>
                <w:bCs/>
                <w:noProof/>
                <w:color w:val="2C9ADC"/>
                <w:sz w:val="20"/>
              </w:rPr>
              <w:instrText xml:space="preserve"> SEQ Graf \* ARABIC </w:instrText>
            </w:r>
            <w:r w:rsidRPr="0062680A">
              <w:rPr>
                <w:rFonts w:ascii="Arial Narrow" w:hAnsi="Arial Narrow"/>
                <w:b/>
                <w:bCs/>
                <w:noProof/>
                <w:color w:val="2C9ADC"/>
                <w:sz w:val="20"/>
              </w:rPr>
              <w:fldChar w:fldCharType="separate"/>
            </w:r>
            <w:r w:rsidR="0020148F">
              <w:rPr>
                <w:rFonts w:ascii="Arial Narrow" w:hAnsi="Arial Narrow"/>
                <w:b/>
                <w:bCs/>
                <w:noProof/>
                <w:color w:val="2C9ADC"/>
                <w:sz w:val="20"/>
              </w:rPr>
              <w:t>26</w:t>
            </w:r>
            <w:r w:rsidRPr="0062680A">
              <w:rPr>
                <w:rFonts w:ascii="Arial Narrow" w:hAnsi="Arial Narrow"/>
                <w:b/>
                <w:bCs/>
                <w:noProof/>
                <w:color w:val="2C9ADC"/>
                <w:sz w:val="20"/>
              </w:rPr>
              <w:fldChar w:fldCharType="end"/>
            </w:r>
            <w:r w:rsidRPr="0062680A">
              <w:rPr>
                <w:rFonts w:ascii="Arial Narrow" w:hAnsi="Arial Narrow"/>
                <w:b/>
                <w:bCs/>
                <w:noProof/>
                <w:color w:val="2C9ADC"/>
                <w:sz w:val="20"/>
              </w:rPr>
              <w:t xml:space="preserve">: </w:t>
            </w:r>
            <w:r w:rsidRPr="0062680A">
              <w:rPr>
                <w:rFonts w:ascii="Arial Narrow" w:hAnsi="Arial Narrow"/>
                <w:b/>
                <w:bCs/>
                <w:color w:val="2C9ADC"/>
                <w:sz w:val="20"/>
              </w:rPr>
              <w:t>Záväzky 13 fakultných a univerzitných nemocníc rezortu zdravotníctva (</w:t>
            </w:r>
            <w:r w:rsidR="005F2B90">
              <w:rPr>
                <w:rFonts w:ascii="Arial Narrow" w:hAnsi="Arial Narrow"/>
                <w:b/>
                <w:bCs/>
                <w:color w:val="2C9ADC"/>
                <w:sz w:val="20"/>
              </w:rPr>
              <w:t xml:space="preserve">31.12. </w:t>
            </w:r>
            <w:r w:rsidR="006358B6">
              <w:rPr>
                <w:rFonts w:ascii="Arial Narrow" w:hAnsi="Arial Narrow"/>
                <w:b/>
                <w:bCs/>
                <w:color w:val="2C9ADC"/>
                <w:sz w:val="20"/>
              </w:rPr>
              <w:t>2018</w:t>
            </w:r>
            <w:r w:rsidRPr="0062680A">
              <w:rPr>
                <w:rFonts w:ascii="Arial Narrow" w:hAnsi="Arial Narrow"/>
                <w:b/>
                <w:bCs/>
                <w:color w:val="2C9ADC"/>
                <w:sz w:val="20"/>
              </w:rPr>
              <w:t>, mil. eur)</w:t>
            </w:r>
            <w:bookmarkEnd w:id="63"/>
          </w:p>
        </w:tc>
      </w:tr>
      <w:tr w:rsidR="00F856B9" w:rsidRPr="00E9007D" w14:paraId="08DA6168" w14:textId="77777777" w:rsidTr="00763C24">
        <w:trPr>
          <w:trHeight w:val="2199"/>
          <w:jc w:val="center"/>
        </w:trPr>
        <w:tc>
          <w:tcPr>
            <w:tcW w:w="4246" w:type="dxa"/>
            <w:tcBorders>
              <w:top w:val="single" w:sz="4" w:space="0" w:color="auto"/>
              <w:left w:val="nil"/>
              <w:bottom w:val="single" w:sz="4" w:space="0" w:color="auto"/>
              <w:right w:val="nil"/>
            </w:tcBorders>
            <w:vAlign w:val="center"/>
          </w:tcPr>
          <w:p w14:paraId="6CE2771D" w14:textId="77777777" w:rsidR="00F856B9" w:rsidRPr="00E9007D" w:rsidRDefault="00F856B9" w:rsidP="00763C24">
            <w:pPr>
              <w:spacing w:after="0" w:line="240" w:lineRule="auto"/>
              <w:jc w:val="center"/>
              <w:rPr>
                <w:rFonts w:ascii="Arial Narrow" w:hAnsi="Arial Narrow" w:cs="Arial"/>
                <w:b/>
                <w:highlight w:val="yellow"/>
              </w:rPr>
            </w:pPr>
            <w:r w:rsidRPr="00E9007D">
              <w:rPr>
                <w:rFonts w:ascii="Arial Narrow" w:hAnsi="Arial Narrow"/>
                <w:noProof/>
                <w:lang w:val="en-GB" w:eastAsia="en-GB"/>
              </w:rPr>
              <w:drawing>
                <wp:inline distT="0" distB="0" distL="0" distR="0" wp14:anchorId="447FA09D" wp14:editId="68ED20CE">
                  <wp:extent cx="2607310" cy="2047875"/>
                  <wp:effectExtent l="0" t="0" r="2540" b="0"/>
                  <wp:docPr id="225" name="Graf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173" w:type="dxa"/>
            <w:tcBorders>
              <w:top w:val="nil"/>
              <w:left w:val="nil"/>
              <w:bottom w:val="nil"/>
              <w:right w:val="nil"/>
            </w:tcBorders>
            <w:vAlign w:val="center"/>
          </w:tcPr>
          <w:p w14:paraId="47008368" w14:textId="77777777" w:rsidR="00F856B9" w:rsidRPr="00E9007D" w:rsidRDefault="00F856B9" w:rsidP="00763C24">
            <w:pPr>
              <w:spacing w:after="0" w:line="240" w:lineRule="auto"/>
              <w:jc w:val="center"/>
              <w:rPr>
                <w:rFonts w:ascii="Arial Narrow" w:hAnsi="Arial Narrow" w:cs="Arial"/>
                <w:b/>
                <w:highlight w:val="lightGray"/>
              </w:rPr>
            </w:pPr>
          </w:p>
        </w:tc>
        <w:tc>
          <w:tcPr>
            <w:tcW w:w="4369" w:type="dxa"/>
            <w:tcBorders>
              <w:top w:val="single" w:sz="4" w:space="0" w:color="auto"/>
              <w:left w:val="nil"/>
              <w:bottom w:val="single" w:sz="4" w:space="0" w:color="auto"/>
              <w:right w:val="nil"/>
            </w:tcBorders>
            <w:vAlign w:val="center"/>
          </w:tcPr>
          <w:p w14:paraId="79BDFE86" w14:textId="57E9F49E" w:rsidR="00F856B9" w:rsidRPr="00E9007D" w:rsidRDefault="006358B6" w:rsidP="00763C24">
            <w:pPr>
              <w:spacing w:after="0" w:line="240" w:lineRule="auto"/>
              <w:jc w:val="center"/>
              <w:rPr>
                <w:rFonts w:ascii="Arial Narrow" w:hAnsi="Arial Narrow" w:cs="Arial"/>
                <w:b/>
                <w:highlight w:val="lightGray"/>
              </w:rPr>
            </w:pPr>
            <w:r>
              <w:rPr>
                <w:noProof/>
                <w:lang w:val="en-GB" w:eastAsia="en-GB"/>
              </w:rPr>
              <w:drawing>
                <wp:inline distT="0" distB="0" distL="0" distR="0" wp14:anchorId="455A36F7" wp14:editId="0274C199">
                  <wp:extent cx="2685415" cy="2047875"/>
                  <wp:effectExtent l="0" t="0" r="635"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F856B9" w:rsidRPr="00E9007D" w14:paraId="79AB40B6" w14:textId="77777777" w:rsidTr="00763C24">
        <w:trPr>
          <w:trHeight w:val="114"/>
          <w:jc w:val="center"/>
        </w:trPr>
        <w:tc>
          <w:tcPr>
            <w:tcW w:w="4246" w:type="dxa"/>
            <w:tcBorders>
              <w:top w:val="single" w:sz="4" w:space="0" w:color="auto"/>
              <w:left w:val="nil"/>
              <w:bottom w:val="nil"/>
              <w:right w:val="nil"/>
            </w:tcBorders>
            <w:vAlign w:val="center"/>
          </w:tcPr>
          <w:p w14:paraId="3CD776AC" w14:textId="77777777" w:rsidR="00F856B9" w:rsidRPr="00484218" w:rsidRDefault="00F856B9" w:rsidP="00763C24">
            <w:pPr>
              <w:spacing w:after="0" w:line="240" w:lineRule="auto"/>
              <w:jc w:val="right"/>
              <w:rPr>
                <w:rFonts w:ascii="Arial Narrow" w:hAnsi="Arial Narrow" w:cs="Arial"/>
                <w:i/>
                <w:sz w:val="16"/>
                <w:highlight w:val="lightGray"/>
              </w:rPr>
            </w:pPr>
            <w:r w:rsidRPr="00484218">
              <w:rPr>
                <w:rFonts w:ascii="Arial Narrow" w:hAnsi="Arial Narrow" w:cs="Arial"/>
                <w:i/>
                <w:sz w:val="16"/>
              </w:rPr>
              <w:t xml:space="preserve">Zdroj: IFP na základe údajov z OECD </w:t>
            </w:r>
          </w:p>
        </w:tc>
        <w:tc>
          <w:tcPr>
            <w:tcW w:w="173" w:type="dxa"/>
            <w:tcBorders>
              <w:top w:val="nil"/>
              <w:left w:val="nil"/>
              <w:bottom w:val="nil"/>
              <w:right w:val="nil"/>
            </w:tcBorders>
            <w:vAlign w:val="center"/>
          </w:tcPr>
          <w:p w14:paraId="30F07E8D" w14:textId="77777777" w:rsidR="00F856B9" w:rsidRPr="00484218" w:rsidRDefault="00F856B9" w:rsidP="00763C24">
            <w:pPr>
              <w:spacing w:after="0" w:line="240" w:lineRule="auto"/>
              <w:jc w:val="center"/>
              <w:rPr>
                <w:rFonts w:ascii="Arial Narrow" w:hAnsi="Arial Narrow" w:cs="Arial"/>
                <w:i/>
                <w:sz w:val="16"/>
                <w:highlight w:val="lightGray"/>
              </w:rPr>
            </w:pPr>
          </w:p>
        </w:tc>
        <w:tc>
          <w:tcPr>
            <w:tcW w:w="4369" w:type="dxa"/>
            <w:tcBorders>
              <w:top w:val="single" w:sz="4" w:space="0" w:color="auto"/>
              <w:left w:val="nil"/>
              <w:bottom w:val="nil"/>
              <w:right w:val="nil"/>
            </w:tcBorders>
            <w:vAlign w:val="center"/>
          </w:tcPr>
          <w:p w14:paraId="1533A770" w14:textId="77777777" w:rsidR="00F856B9" w:rsidRPr="00484218" w:rsidRDefault="00F856B9" w:rsidP="00763C24">
            <w:pPr>
              <w:spacing w:after="0" w:line="240" w:lineRule="auto"/>
              <w:jc w:val="right"/>
              <w:rPr>
                <w:rFonts w:ascii="Arial Narrow" w:hAnsi="Arial Narrow" w:cs="Arial"/>
                <w:i/>
                <w:sz w:val="16"/>
                <w:highlight w:val="lightGray"/>
              </w:rPr>
            </w:pPr>
            <w:r w:rsidRPr="00484218">
              <w:rPr>
                <w:rFonts w:ascii="Arial Narrow" w:hAnsi="Arial Narrow" w:cs="Arial"/>
                <w:i/>
                <w:sz w:val="16"/>
              </w:rPr>
              <w:t xml:space="preserve">Poznámka: Lineárna projekcia na roky 2019-2022            Zdroj: MZ SR </w:t>
            </w:r>
          </w:p>
        </w:tc>
      </w:tr>
    </w:tbl>
    <w:p w14:paraId="39DE7BD5" w14:textId="77777777" w:rsidR="00AA0F6C" w:rsidRDefault="00AA0F6C" w:rsidP="00F856B9">
      <w:pPr>
        <w:spacing w:after="0" w:line="240" w:lineRule="auto"/>
        <w:jc w:val="both"/>
        <w:rPr>
          <w:rFonts w:ascii="Arial Narrow" w:eastAsia="Calibri" w:hAnsi="Arial Narrow"/>
          <w:b/>
          <w:i/>
          <w:lang w:eastAsia="en-US"/>
        </w:rPr>
      </w:pPr>
    </w:p>
    <w:p w14:paraId="27415BA5" w14:textId="77777777" w:rsidR="00F856B9" w:rsidRPr="00E9007D" w:rsidRDefault="00F856B9" w:rsidP="00F856B9">
      <w:pPr>
        <w:spacing w:after="0" w:line="240" w:lineRule="auto"/>
        <w:jc w:val="both"/>
        <w:rPr>
          <w:rFonts w:ascii="Arial Narrow" w:eastAsia="Calibri" w:hAnsi="Arial Narrow"/>
          <w:b/>
          <w:i/>
          <w:lang w:eastAsia="en-US"/>
        </w:rPr>
      </w:pPr>
      <w:r w:rsidRPr="00E9007D">
        <w:rPr>
          <w:rFonts w:ascii="Arial Narrow" w:eastAsia="Calibri" w:hAnsi="Arial Narrow"/>
          <w:b/>
          <w:i/>
          <w:lang w:eastAsia="en-US"/>
        </w:rPr>
        <w:t>Nemocnice a poskytovatelia zdravotnej starostlivosti</w:t>
      </w:r>
    </w:p>
    <w:p w14:paraId="3D0F5441" w14:textId="4E34B90A" w:rsidR="006358B6" w:rsidRPr="00E9007D" w:rsidRDefault="00F856B9" w:rsidP="006358B6">
      <w:pPr>
        <w:spacing w:after="0" w:line="240" w:lineRule="auto"/>
        <w:jc w:val="both"/>
        <w:rPr>
          <w:rFonts w:ascii="Arial Narrow" w:hAnsi="Arial Narrow"/>
        </w:rPr>
      </w:pPr>
      <w:r w:rsidRPr="00E9007D">
        <w:rPr>
          <w:rFonts w:ascii="Arial Narrow" w:hAnsi="Arial Narrow"/>
          <w:b/>
        </w:rPr>
        <w:t>Úroveň záväzkov fakultných a univerzitných nemocníc (FAUN) sa aj napriek prvej etape oddlžovania zvýšila.</w:t>
      </w:r>
      <w:r w:rsidR="00C150A7">
        <w:rPr>
          <w:rFonts w:ascii="Arial Narrow" w:hAnsi="Arial Narrow"/>
        </w:rPr>
        <w:t xml:space="preserve"> V novembri 2017 vyslovil parlament </w:t>
      </w:r>
      <w:r w:rsidRPr="00E9007D">
        <w:rPr>
          <w:rFonts w:ascii="Arial Narrow" w:hAnsi="Arial Narrow"/>
        </w:rPr>
        <w:t>súhlas s oddlžením zdravotníckych zariadení</w:t>
      </w:r>
      <w:r w:rsidR="00BB0FDF">
        <w:rPr>
          <w:rFonts w:ascii="Arial Narrow" w:hAnsi="Arial Narrow"/>
        </w:rPr>
        <w:t>. V</w:t>
      </w:r>
      <w:r w:rsidRPr="00E9007D">
        <w:rPr>
          <w:rFonts w:ascii="Arial Narrow" w:hAnsi="Arial Narrow"/>
        </w:rPr>
        <w:t> prvej etape v roku 2018 bolo uhradených 28 mil. eur záväzkov Národnej transfúznej služby a 113 mil. eur záväzkov nemocníc voči ich dodávateľom</w:t>
      </w:r>
      <w:r w:rsidR="00353146">
        <w:rPr>
          <w:rStyle w:val="Odkaznapoznmkupodiarou"/>
          <w:rFonts w:ascii="Arial Narrow" w:hAnsi="Arial Narrow"/>
        </w:rPr>
        <w:footnoteReference w:id="97"/>
      </w:r>
      <w:r w:rsidRPr="00E9007D">
        <w:rPr>
          <w:rFonts w:ascii="Arial Narrow" w:hAnsi="Arial Narrow"/>
        </w:rPr>
        <w:t xml:space="preserve">. Napriek tomu v roku 2018 záväzky </w:t>
      </w:r>
      <w:r w:rsidR="00AC52B5">
        <w:rPr>
          <w:rFonts w:ascii="Arial Narrow" w:hAnsi="Arial Narrow"/>
        </w:rPr>
        <w:t xml:space="preserve">FAUN </w:t>
      </w:r>
      <w:r w:rsidRPr="00E9007D">
        <w:rPr>
          <w:rFonts w:ascii="Arial Narrow" w:hAnsi="Arial Narrow"/>
        </w:rPr>
        <w:t>medziročne opäť vzrástli. Záväzky po lehote splatnosti medziročne vzrástli o 11 mil. eur. a tempo rastu týchto záväzkov sa nespomalilo. V roku 2019 sa bude realizovať d</w:t>
      </w:r>
      <w:r w:rsidR="000366B3">
        <w:rPr>
          <w:rFonts w:ascii="Arial Narrow" w:hAnsi="Arial Narrow"/>
        </w:rPr>
        <w:t>ruhá etapa oddlžovania nemocníc</w:t>
      </w:r>
      <w:r w:rsidR="00AC52B5">
        <w:rPr>
          <w:rStyle w:val="Odkaznapoznmkupodiarou"/>
          <w:rFonts w:ascii="Arial Narrow" w:hAnsi="Arial Narrow"/>
        </w:rPr>
        <w:footnoteReference w:id="98"/>
      </w:r>
      <w:r w:rsidR="000366B3">
        <w:rPr>
          <w:rFonts w:ascii="Arial Narrow" w:hAnsi="Arial Narrow"/>
        </w:rPr>
        <w:t xml:space="preserve">. </w:t>
      </w:r>
      <w:r w:rsidRPr="00E9007D">
        <w:rPr>
          <w:rFonts w:ascii="Arial Narrow" w:hAnsi="Arial Narrow"/>
        </w:rPr>
        <w:t>Podmienkou účasti v tejto etape je, aby nemocnice predložili svoj ozdravný plán</w:t>
      </w:r>
      <w:r w:rsidR="00F13310">
        <w:rPr>
          <w:rFonts w:ascii="Arial Narrow" w:hAnsi="Arial Narrow"/>
        </w:rPr>
        <w:t>, MZ SR ho schválilo,</w:t>
      </w:r>
      <w:r w:rsidRPr="00E9007D">
        <w:rPr>
          <w:rFonts w:ascii="Arial Narrow" w:hAnsi="Arial Narrow"/>
        </w:rPr>
        <w:t xml:space="preserve"> a zriadili dozorný orgán s predsedom nominovaným MZ SR. </w:t>
      </w:r>
      <w:r w:rsidR="006358B6">
        <w:rPr>
          <w:rFonts w:ascii="Arial Narrow" w:hAnsi="Arial Narrow"/>
        </w:rPr>
        <w:t xml:space="preserve">Ak by záväzky po splatnosti napriek oddlžovaniu rástli rovnakým tempom ako doteraz, v roku 2022 by mohol ich objem dosiahnuť až 1,1 mld. eur. </w:t>
      </w:r>
      <w:r w:rsidR="006358B6" w:rsidRPr="00E9007D">
        <w:rPr>
          <w:rFonts w:ascii="Arial Narrow" w:hAnsi="Arial Narrow"/>
        </w:rPr>
        <w:t>S platnosťou od januára 2019 bol</w:t>
      </w:r>
      <w:r w:rsidR="00353146">
        <w:rPr>
          <w:rFonts w:ascii="Arial Narrow" w:hAnsi="Arial Narrow"/>
        </w:rPr>
        <w:t>i</w:t>
      </w:r>
      <w:r w:rsidR="006358B6" w:rsidRPr="00E9007D">
        <w:rPr>
          <w:rFonts w:ascii="Arial Narrow" w:hAnsi="Arial Narrow"/>
        </w:rPr>
        <w:t xml:space="preserve"> schválen</w:t>
      </w:r>
      <w:r w:rsidR="00353146">
        <w:rPr>
          <w:rFonts w:ascii="Arial Narrow" w:hAnsi="Arial Narrow"/>
        </w:rPr>
        <w:t>é</w:t>
      </w:r>
      <w:r w:rsidR="006358B6" w:rsidRPr="00E9007D">
        <w:rPr>
          <w:rFonts w:ascii="Arial Narrow" w:hAnsi="Arial Narrow"/>
        </w:rPr>
        <w:t xml:space="preserve"> jednotn</w:t>
      </w:r>
      <w:r w:rsidR="00353146">
        <w:rPr>
          <w:rFonts w:ascii="Arial Narrow" w:hAnsi="Arial Narrow"/>
        </w:rPr>
        <w:t>é</w:t>
      </w:r>
      <w:r w:rsidR="006358B6" w:rsidRPr="00E9007D">
        <w:rPr>
          <w:rFonts w:ascii="Arial Narrow" w:hAnsi="Arial Narrow"/>
        </w:rPr>
        <w:t xml:space="preserve"> účtovn</w:t>
      </w:r>
      <w:r w:rsidR="00353146">
        <w:rPr>
          <w:rFonts w:ascii="Arial Narrow" w:hAnsi="Arial Narrow"/>
        </w:rPr>
        <w:t>é</w:t>
      </w:r>
      <w:r w:rsidR="006358B6" w:rsidRPr="00E9007D">
        <w:rPr>
          <w:rFonts w:ascii="Arial Narrow" w:hAnsi="Arial Narrow"/>
        </w:rPr>
        <w:t xml:space="preserve"> </w:t>
      </w:r>
      <w:r w:rsidR="00353146">
        <w:rPr>
          <w:rFonts w:ascii="Arial Narrow" w:hAnsi="Arial Narrow"/>
        </w:rPr>
        <w:t>pravidlá</w:t>
      </w:r>
      <w:r w:rsidR="006358B6" w:rsidRPr="00E9007D">
        <w:rPr>
          <w:rFonts w:ascii="Arial Narrow" w:hAnsi="Arial Narrow"/>
        </w:rPr>
        <w:t xml:space="preserve"> pre všetky nemocnice v</w:t>
      </w:r>
      <w:r w:rsidR="00353146">
        <w:rPr>
          <w:rFonts w:ascii="Arial Narrow" w:hAnsi="Arial Narrow"/>
        </w:rPr>
        <w:t xml:space="preserve"> zriaďovateľskej </w:t>
      </w:r>
      <w:r w:rsidR="006358B6" w:rsidRPr="00E9007D">
        <w:rPr>
          <w:rFonts w:ascii="Arial Narrow" w:hAnsi="Arial Narrow"/>
        </w:rPr>
        <w:t xml:space="preserve">pôsobnosti </w:t>
      </w:r>
      <w:r w:rsidR="006358B6">
        <w:rPr>
          <w:rFonts w:ascii="Arial Narrow" w:hAnsi="Arial Narrow"/>
        </w:rPr>
        <w:t>rezortu, čo umožní porovnanie efektivity ich riadenia</w:t>
      </w:r>
      <w:r w:rsidR="00353146">
        <w:rPr>
          <w:rFonts w:ascii="Arial Narrow" w:hAnsi="Arial Narrow"/>
        </w:rPr>
        <w:t xml:space="preserve"> aj prostredníctvom analytického rozúčtovania vnútropodnikového účtovníctva</w:t>
      </w:r>
      <w:r w:rsidR="006358B6" w:rsidRPr="00E9007D">
        <w:rPr>
          <w:rFonts w:ascii="Arial Narrow" w:hAnsi="Arial Narrow"/>
        </w:rPr>
        <w:t>.</w:t>
      </w:r>
      <w:r w:rsidR="006358B6">
        <w:rPr>
          <w:rFonts w:ascii="Arial Narrow" w:hAnsi="Arial Narrow"/>
        </w:rPr>
        <w:t xml:space="preserve"> </w:t>
      </w:r>
      <w:r w:rsidR="006358B6" w:rsidRPr="004C54B9">
        <w:rPr>
          <w:rFonts w:ascii="Arial Narrow" w:eastAsia="Calibri" w:hAnsi="Arial Narrow"/>
          <w:lang w:eastAsia="en-US"/>
        </w:rPr>
        <w:t xml:space="preserve">V nemocniciach je </w:t>
      </w:r>
      <w:r w:rsidR="006358B6">
        <w:rPr>
          <w:rFonts w:ascii="Arial Narrow" w:eastAsia="Calibri" w:hAnsi="Arial Narrow"/>
          <w:lang w:eastAsia="en-US"/>
        </w:rPr>
        <w:t xml:space="preserve">podľa </w:t>
      </w:r>
      <w:r w:rsidR="003143EE">
        <w:rPr>
          <w:rFonts w:ascii="Arial Narrow" w:eastAsia="Calibri" w:hAnsi="Arial Narrow"/>
          <w:lang w:eastAsia="en-US"/>
        </w:rPr>
        <w:t>r</w:t>
      </w:r>
      <w:r w:rsidR="006358B6">
        <w:rPr>
          <w:rFonts w:ascii="Arial Narrow" w:eastAsia="Calibri" w:hAnsi="Arial Narrow"/>
          <w:lang w:eastAsia="en-US"/>
        </w:rPr>
        <w:t xml:space="preserve">evízie výdavkov </w:t>
      </w:r>
      <w:r w:rsidR="006358B6" w:rsidRPr="004C54B9">
        <w:rPr>
          <w:rFonts w:ascii="Arial Narrow" w:eastAsia="Calibri" w:hAnsi="Arial Narrow"/>
          <w:lang w:eastAsia="en-US"/>
        </w:rPr>
        <w:t>možné usporiť 46 mil. eur</w:t>
      </w:r>
      <w:r w:rsidR="006358B6">
        <w:rPr>
          <w:rFonts w:ascii="Arial Narrow" w:eastAsia="Calibri" w:hAnsi="Arial Narrow"/>
          <w:lang w:eastAsia="en-US"/>
        </w:rPr>
        <w:t xml:space="preserve"> ročne</w:t>
      </w:r>
      <w:r w:rsidR="006358B6" w:rsidRPr="004C54B9">
        <w:rPr>
          <w:rFonts w:ascii="Arial Narrow" w:eastAsia="Calibri" w:hAnsi="Arial Narrow"/>
          <w:lang w:eastAsia="en-US"/>
        </w:rPr>
        <w:t>, predovšetkým optimalizáciou procesov a</w:t>
      </w:r>
      <w:r w:rsidR="006358B6">
        <w:rPr>
          <w:rFonts w:ascii="Arial Narrow" w:eastAsia="Calibri" w:hAnsi="Arial Narrow"/>
          <w:lang w:eastAsia="en-US"/>
        </w:rPr>
        <w:t xml:space="preserve"> nákupu </w:t>
      </w:r>
      <w:r w:rsidR="006358B6" w:rsidRPr="004C54B9">
        <w:rPr>
          <w:rFonts w:ascii="Arial Narrow" w:eastAsia="Calibri" w:hAnsi="Arial Narrow"/>
          <w:lang w:eastAsia="en-US"/>
        </w:rPr>
        <w:t>špeciálneho zdravotníckeho materiálu</w:t>
      </w:r>
      <w:r w:rsidR="006358B6">
        <w:rPr>
          <w:rFonts w:ascii="Arial Narrow" w:eastAsia="Calibri" w:hAnsi="Arial Narrow"/>
          <w:lang w:eastAsia="en-US"/>
        </w:rPr>
        <w:t xml:space="preserve"> a liekov</w:t>
      </w:r>
      <w:r w:rsidR="006358B6" w:rsidRPr="004C54B9">
        <w:rPr>
          <w:rFonts w:ascii="Arial Narrow" w:eastAsia="Calibri" w:hAnsi="Arial Narrow"/>
          <w:lang w:eastAsia="en-US"/>
        </w:rPr>
        <w:t>.</w:t>
      </w:r>
    </w:p>
    <w:p w14:paraId="6772C762" w14:textId="77777777" w:rsidR="00F856B9" w:rsidRPr="00E9007D" w:rsidRDefault="00F856B9" w:rsidP="00F856B9">
      <w:pPr>
        <w:spacing w:after="0" w:line="240" w:lineRule="auto"/>
        <w:contextualSpacing/>
        <w:jc w:val="both"/>
        <w:rPr>
          <w:rFonts w:ascii="Arial Narrow" w:hAnsi="Arial Narrow"/>
        </w:rPr>
      </w:pPr>
    </w:p>
    <w:p w14:paraId="3957F39D" w14:textId="34EC6DB4" w:rsidR="00F856B9" w:rsidRPr="00E9007D" w:rsidRDefault="00F856B9" w:rsidP="00F856B9">
      <w:pPr>
        <w:spacing w:after="0" w:line="240" w:lineRule="auto"/>
        <w:contextualSpacing/>
        <w:jc w:val="both"/>
        <w:rPr>
          <w:rFonts w:ascii="Arial Narrow" w:hAnsi="Arial Narrow"/>
        </w:rPr>
      </w:pPr>
      <w:r w:rsidRPr="00E9007D">
        <w:rPr>
          <w:rFonts w:ascii="Arial Narrow" w:hAnsi="Arial Narrow"/>
          <w:b/>
        </w:rPr>
        <w:t xml:space="preserve">Projekt stratifikácie ústavnej zdravotnej starostlivosti má v roku 2019 pokračovať </w:t>
      </w:r>
      <w:r w:rsidR="00751BC7">
        <w:rPr>
          <w:rFonts w:ascii="Arial Narrow" w:hAnsi="Arial Narrow"/>
          <w:b/>
        </w:rPr>
        <w:t xml:space="preserve">schválením potrebnej legislatívy a </w:t>
      </w:r>
      <w:r w:rsidRPr="00E9007D">
        <w:rPr>
          <w:rFonts w:ascii="Arial Narrow" w:hAnsi="Arial Narrow"/>
          <w:b/>
        </w:rPr>
        <w:t xml:space="preserve">zverejnením konkrétneho plánu zmien v sieti nemocníc. </w:t>
      </w:r>
      <w:r w:rsidRPr="00E9007D">
        <w:rPr>
          <w:rFonts w:ascii="Arial Narrow" w:hAnsi="Arial Narrow"/>
        </w:rPr>
        <w:t xml:space="preserve">Realizovaný bude postupne do roku 2030. </w:t>
      </w:r>
      <w:r w:rsidR="00E1383A" w:rsidRPr="00D2365A">
        <w:rPr>
          <w:rFonts w:ascii="Arial Narrow" w:hAnsi="Arial Narrow"/>
        </w:rPr>
        <w:t xml:space="preserve">S počtom výkonov v rámci zariadenia rastie ich kvalita, preto po novom dostanú nemocnice povolenie poskytovať </w:t>
      </w:r>
      <w:r w:rsidR="004B4DF7">
        <w:rPr>
          <w:rFonts w:ascii="Arial Narrow" w:hAnsi="Arial Narrow"/>
        </w:rPr>
        <w:t xml:space="preserve">plánované výkony </w:t>
      </w:r>
      <w:r w:rsidR="00E1383A" w:rsidRPr="00D2365A">
        <w:rPr>
          <w:rFonts w:ascii="Arial Narrow" w:hAnsi="Arial Narrow"/>
        </w:rPr>
        <w:t>iba ak dosiahnu predpísaný minimálny počet výkonov.</w:t>
      </w:r>
      <w:r w:rsidR="00E1383A">
        <w:t xml:space="preserve"> </w:t>
      </w:r>
      <w:r w:rsidRPr="00E9007D">
        <w:rPr>
          <w:rFonts w:ascii="Arial Narrow" w:hAnsi="Arial Narrow"/>
        </w:rPr>
        <w:t>Efektívnejšie procesy a manažment pacientov pomôžu uvoľniť zdroje, ktoré sa dajú lepšie využiť v iných oblastiach zdravotníctva, najmä v dlhodobej starostlivosti. Dôležitým krokom je komunikácia s</w:t>
      </w:r>
      <w:r w:rsidR="004B4DF7">
        <w:rPr>
          <w:rFonts w:ascii="Arial Narrow" w:hAnsi="Arial Narrow"/>
        </w:rPr>
        <w:t xml:space="preserve"> odborníkmi, </w:t>
      </w:r>
      <w:r w:rsidRPr="00E9007D">
        <w:rPr>
          <w:rFonts w:ascii="Arial Narrow" w:hAnsi="Arial Narrow"/>
        </w:rPr>
        <w:t>verejnosťou a samosprávami, keďže v niektorých regiónoch môže dôjsť k </w:t>
      </w:r>
      <w:proofErr w:type="spellStart"/>
      <w:r w:rsidR="00E1383A">
        <w:rPr>
          <w:rFonts w:ascii="Arial Narrow" w:hAnsi="Arial Narrow"/>
        </w:rPr>
        <w:t>reprofilizácii</w:t>
      </w:r>
      <w:proofErr w:type="spellEnd"/>
      <w:r w:rsidRPr="00E9007D">
        <w:rPr>
          <w:rFonts w:ascii="Arial Narrow" w:hAnsi="Arial Narrow"/>
        </w:rPr>
        <w:t xml:space="preserve"> oddelení príp. nemocníc</w:t>
      </w:r>
      <w:r w:rsidR="00E1383A">
        <w:rPr>
          <w:rFonts w:ascii="Arial Narrow" w:hAnsi="Arial Narrow"/>
        </w:rPr>
        <w:t xml:space="preserve"> smerom k zariadeniam dlhodobej starostlivosti a ambulantnej starostlivosti</w:t>
      </w:r>
      <w:r w:rsidR="004B4DF7">
        <w:rPr>
          <w:rFonts w:ascii="Arial Narrow" w:hAnsi="Arial Narrow"/>
        </w:rPr>
        <w:t>.</w:t>
      </w:r>
    </w:p>
    <w:p w14:paraId="7E298EEB" w14:textId="77777777" w:rsidR="00F856B9" w:rsidRPr="00E9007D" w:rsidRDefault="00F856B9" w:rsidP="00F856B9">
      <w:pPr>
        <w:spacing w:after="0" w:line="240" w:lineRule="auto"/>
        <w:contextualSpacing/>
        <w:jc w:val="both"/>
        <w:rPr>
          <w:rFonts w:ascii="Arial Narrow" w:hAnsi="Arial Narrow"/>
        </w:rPr>
      </w:pPr>
    </w:p>
    <w:p w14:paraId="1B5CD91D" w14:textId="55135590" w:rsidR="00F856B9" w:rsidRPr="00E9007D" w:rsidRDefault="00F856B9" w:rsidP="00F856B9">
      <w:pPr>
        <w:spacing w:after="0" w:line="240" w:lineRule="auto"/>
        <w:jc w:val="both"/>
        <w:rPr>
          <w:rFonts w:ascii="Arial Narrow" w:eastAsia="Calibri" w:hAnsi="Arial Narrow"/>
          <w:lang w:eastAsia="en-US"/>
        </w:rPr>
      </w:pPr>
      <w:r w:rsidRPr="00E9007D">
        <w:rPr>
          <w:rFonts w:ascii="Arial Narrow" w:eastAsia="Calibri" w:hAnsi="Arial Narrow"/>
          <w:b/>
          <w:lang w:eastAsia="en-US"/>
        </w:rPr>
        <w:t>Na investície do nemocníc je v rozpočte na rok 2019 vyčlenených 100 mil. eur</w:t>
      </w:r>
      <w:r w:rsidR="00752B46">
        <w:rPr>
          <w:rFonts w:ascii="Arial Narrow" w:eastAsia="Calibri" w:hAnsi="Arial Narrow"/>
          <w:b/>
          <w:lang w:eastAsia="en-US"/>
        </w:rPr>
        <w:t xml:space="preserve"> </w:t>
      </w:r>
      <w:r w:rsidR="00752B46" w:rsidRPr="00752B46">
        <w:rPr>
          <w:rFonts w:ascii="Arial Narrow" w:eastAsia="Calibri" w:hAnsi="Arial Narrow"/>
          <w:lang w:eastAsia="en-US"/>
        </w:rPr>
        <w:t>nad rámec zdravotného poistenia</w:t>
      </w:r>
      <w:r w:rsidRPr="00A43547">
        <w:rPr>
          <w:rFonts w:ascii="Arial Narrow" w:eastAsia="Calibri" w:hAnsi="Arial Narrow"/>
          <w:lang w:eastAsia="en-US"/>
        </w:rPr>
        <w:t>.</w:t>
      </w:r>
      <w:r w:rsidRPr="00E9007D">
        <w:rPr>
          <w:rFonts w:ascii="Arial Narrow" w:eastAsia="Calibri" w:hAnsi="Arial Narrow"/>
          <w:lang w:eastAsia="en-US"/>
        </w:rPr>
        <w:t xml:space="preserve"> Vláda schválila komplexnú rekonštrukciu fakultnej nemocnice v Banskej Bystrici, ktorá by mala byť dokončená do roku 2023. </w:t>
      </w:r>
      <w:r w:rsidR="005F2B90">
        <w:rPr>
          <w:rFonts w:ascii="Arial Narrow" w:eastAsia="Calibri" w:hAnsi="Arial Narrow"/>
          <w:lang w:eastAsia="en-US"/>
        </w:rPr>
        <w:t>Z</w:t>
      </w:r>
      <w:r w:rsidRPr="00E9007D">
        <w:rPr>
          <w:rFonts w:ascii="Arial Narrow" w:eastAsia="Calibri" w:hAnsi="Arial Narrow"/>
          <w:lang w:eastAsia="en-US"/>
        </w:rPr>
        <w:t xml:space="preserve">ároveň </w:t>
      </w:r>
      <w:r w:rsidR="005F2B90">
        <w:rPr>
          <w:rFonts w:ascii="Arial Narrow" w:eastAsia="Calibri" w:hAnsi="Arial Narrow"/>
          <w:lang w:eastAsia="en-US"/>
        </w:rPr>
        <w:t xml:space="preserve">sa </w:t>
      </w:r>
      <w:r w:rsidRPr="00E9007D">
        <w:rPr>
          <w:rFonts w:ascii="Arial Narrow" w:eastAsia="Calibri" w:hAnsi="Arial Narrow"/>
          <w:lang w:eastAsia="en-US"/>
        </w:rPr>
        <w:t xml:space="preserve">pripravuje projekt novej univerzitnej nemocnice v Martine. </w:t>
      </w:r>
    </w:p>
    <w:p w14:paraId="5401FE3B" w14:textId="77777777" w:rsidR="00F856B9" w:rsidRPr="00E9007D" w:rsidRDefault="00F856B9" w:rsidP="00F856B9">
      <w:pPr>
        <w:spacing w:after="0" w:line="240" w:lineRule="auto"/>
        <w:jc w:val="both"/>
        <w:rPr>
          <w:rFonts w:ascii="Arial Narrow" w:eastAsia="Calibri" w:hAnsi="Arial Narrow"/>
          <w:lang w:eastAsia="en-US"/>
        </w:rPr>
      </w:pPr>
    </w:p>
    <w:p w14:paraId="6B830F52" w14:textId="77777777" w:rsidR="00F856B9" w:rsidRDefault="00F856B9" w:rsidP="00F856B9">
      <w:pPr>
        <w:spacing w:after="0" w:line="240" w:lineRule="auto"/>
        <w:contextualSpacing/>
        <w:jc w:val="both"/>
        <w:rPr>
          <w:rFonts w:ascii="Arial Narrow" w:hAnsi="Arial Narrow"/>
        </w:rPr>
      </w:pPr>
      <w:r w:rsidRPr="00E9007D">
        <w:rPr>
          <w:rFonts w:ascii="Arial Narrow" w:hAnsi="Arial Narrow"/>
          <w:b/>
        </w:rPr>
        <w:lastRenderedPageBreak/>
        <w:t>Prvé štandardné diagnostické a liečebné postupy boli schválené a budú sa zavádzať do praxe</w:t>
      </w:r>
      <w:r w:rsidRPr="00E9007D">
        <w:rPr>
          <w:rFonts w:ascii="Arial Narrow" w:hAnsi="Arial Narrow"/>
        </w:rPr>
        <w:t>, ďalšie budú dopĺňané. Umožnia jednoznačné stanovenie potrebnej liečby a vyšetrení v štandardných situáciách a jednoduchšiu orientáciu pacientov i personálu.</w:t>
      </w:r>
    </w:p>
    <w:p w14:paraId="1D2F3A7C" w14:textId="77777777" w:rsidR="002F4FCD" w:rsidRDefault="002F4FCD" w:rsidP="00F856B9">
      <w:pPr>
        <w:spacing w:after="0" w:line="240" w:lineRule="auto"/>
        <w:contextualSpacing/>
        <w:jc w:val="both"/>
        <w:rPr>
          <w:rFonts w:ascii="Arial Narrow" w:hAnsi="Arial Narrow"/>
        </w:rPr>
      </w:pPr>
    </w:p>
    <w:p w14:paraId="37E35BCC" w14:textId="2BFD4749" w:rsidR="002F4FCD" w:rsidRPr="00E9007D" w:rsidRDefault="002F4FCD" w:rsidP="00F856B9">
      <w:pPr>
        <w:spacing w:after="0" w:line="240" w:lineRule="auto"/>
        <w:contextualSpacing/>
        <w:jc w:val="both"/>
        <w:rPr>
          <w:rFonts w:ascii="Arial Narrow" w:hAnsi="Arial Narrow"/>
        </w:rPr>
      </w:pPr>
      <w:r w:rsidRPr="002F4FCD">
        <w:rPr>
          <w:rFonts w:ascii="Arial Narrow" w:hAnsi="Arial Narrow"/>
          <w:b/>
        </w:rPr>
        <w:t xml:space="preserve">Prevencia nádorových ochorení bude posilnená spustením skríningových programov </w:t>
      </w:r>
      <w:r w:rsidRPr="00487203">
        <w:rPr>
          <w:rFonts w:ascii="Arial Narrow" w:hAnsi="Arial Narrow"/>
        </w:rPr>
        <w:t xml:space="preserve">zameraných na ich včasné odhalenie, </w:t>
      </w:r>
      <w:r w:rsidRPr="002F4FCD">
        <w:rPr>
          <w:rFonts w:ascii="Arial Narrow" w:hAnsi="Arial Narrow"/>
        </w:rPr>
        <w:t xml:space="preserve">konkrétne skríningového programu na vyhľadávanie </w:t>
      </w:r>
      <w:proofErr w:type="spellStart"/>
      <w:r w:rsidRPr="002F4FCD">
        <w:rPr>
          <w:rFonts w:ascii="Arial Narrow" w:hAnsi="Arial Narrow"/>
        </w:rPr>
        <w:t>kolorektálneho</w:t>
      </w:r>
      <w:proofErr w:type="spellEnd"/>
      <w:r w:rsidRPr="002F4FCD">
        <w:rPr>
          <w:rFonts w:ascii="Arial Narrow" w:hAnsi="Arial Narrow"/>
        </w:rPr>
        <w:t xml:space="preserve"> karcinómu a karcinómu prsníka u žien.</w:t>
      </w:r>
    </w:p>
    <w:p w14:paraId="1DEFC097" w14:textId="77777777" w:rsidR="00F856B9" w:rsidRPr="00E9007D" w:rsidRDefault="00F856B9" w:rsidP="00F856B9">
      <w:pPr>
        <w:spacing w:after="0" w:line="240" w:lineRule="auto"/>
        <w:contextualSpacing/>
        <w:jc w:val="both"/>
        <w:rPr>
          <w:rFonts w:ascii="Arial Narrow" w:hAnsi="Arial Narrow"/>
        </w:rPr>
      </w:pPr>
    </w:p>
    <w:p w14:paraId="11BC27D1" w14:textId="77777777" w:rsidR="00F856B9" w:rsidRPr="00E9007D" w:rsidRDefault="00F856B9" w:rsidP="00F856B9">
      <w:pPr>
        <w:spacing w:after="0" w:line="240" w:lineRule="auto"/>
        <w:jc w:val="both"/>
        <w:rPr>
          <w:rFonts w:ascii="Arial Narrow" w:hAnsi="Arial Narrow"/>
          <w:b/>
          <w:i/>
        </w:rPr>
      </w:pPr>
      <w:r w:rsidRPr="00E9007D">
        <w:rPr>
          <w:rFonts w:ascii="Arial Narrow" w:hAnsi="Arial Narrow"/>
          <w:b/>
          <w:i/>
        </w:rPr>
        <w:t>Rozpočtovanie založené na výsledkoch</w:t>
      </w:r>
    </w:p>
    <w:p w14:paraId="7A5030EC" w14:textId="77777777" w:rsidR="00F856B9" w:rsidRPr="00E9007D" w:rsidRDefault="00F856B9" w:rsidP="00F856B9">
      <w:pPr>
        <w:spacing w:after="0" w:line="240" w:lineRule="auto"/>
        <w:jc w:val="both"/>
        <w:rPr>
          <w:rFonts w:ascii="Arial Narrow" w:hAnsi="Arial Narrow"/>
        </w:rPr>
      </w:pPr>
      <w:r w:rsidRPr="00E9007D">
        <w:rPr>
          <w:rFonts w:ascii="Arial Narrow" w:hAnsi="Arial Narrow"/>
          <w:b/>
        </w:rPr>
        <w:t>Dôraz na výsledky v zdravotníctve je možné podporiť zlepšením spôsobu rozpočtovania výdavkov na zdravotníctvo.</w:t>
      </w:r>
      <w:r w:rsidRPr="00E9007D">
        <w:rPr>
          <w:rFonts w:ascii="Arial Narrow" w:hAnsi="Arial Narrow"/>
        </w:rPr>
        <w:t xml:space="preserve"> Zavedenie systému </w:t>
      </w:r>
      <w:r w:rsidRPr="00096975">
        <w:rPr>
          <w:rFonts w:ascii="Arial Narrow" w:hAnsi="Arial Narrow"/>
        </w:rPr>
        <w:t>rozpočtovania založeného na výsledkoch</w:t>
      </w:r>
      <w:r w:rsidRPr="00E9007D">
        <w:rPr>
          <w:rFonts w:ascii="Arial Narrow" w:hAnsi="Arial Narrow"/>
        </w:rPr>
        <w:t xml:space="preserve"> pomôže naviazať prideľované zdroje na výsledky. Účinným nástrojom tohto systému je programové rozpočtovanie, ktoré doteraz  v zdravotníctve používané nebolo. Počas roka 2019 prebiehajú prípravy na jeho zavedenie. Rozpočet VZP na rok 2020 bude po prvýkrát v detailnej programovej štruktúre s merateľnými a vyhodnocovanými ukazovateľmi pre každú oblasť zdravotníctva. </w:t>
      </w:r>
    </w:p>
    <w:p w14:paraId="7171D02F" w14:textId="77777777" w:rsidR="00F856B9" w:rsidRPr="00E9007D" w:rsidRDefault="00F856B9" w:rsidP="00F856B9">
      <w:pPr>
        <w:spacing w:after="0" w:line="240" w:lineRule="auto"/>
        <w:jc w:val="both"/>
        <w:rPr>
          <w:rFonts w:ascii="Arial Narrow" w:hAnsi="Arial Narrow"/>
        </w:rPr>
      </w:pPr>
    </w:p>
    <w:p w14:paraId="364C7E0E" w14:textId="7484CEFD" w:rsidR="00F856B9" w:rsidRPr="00E9007D" w:rsidRDefault="00F856B9" w:rsidP="00F856B9">
      <w:pPr>
        <w:spacing w:after="0" w:line="240" w:lineRule="auto"/>
        <w:jc w:val="both"/>
        <w:rPr>
          <w:rFonts w:ascii="Arial Narrow" w:hAnsi="Arial Narrow"/>
        </w:rPr>
      </w:pPr>
      <w:r w:rsidRPr="00096975">
        <w:rPr>
          <w:rFonts w:ascii="Arial Narrow" w:hAnsi="Arial Narrow"/>
          <w:b/>
        </w:rPr>
        <w:t>Zmena spôsobu financovania zdravotníctva umožní lepšie určiť celkový balík výdavkov na zdravotníctvo</w:t>
      </w:r>
      <w:r w:rsidRPr="00E9007D">
        <w:rPr>
          <w:rFonts w:ascii="Arial Narrow" w:hAnsi="Arial Narrow"/>
          <w:b/>
        </w:rPr>
        <w:t xml:space="preserve">. </w:t>
      </w:r>
      <w:r w:rsidR="002B0601" w:rsidRPr="002B0601">
        <w:rPr>
          <w:rFonts w:ascii="Arial Narrow" w:eastAsia="Calibri" w:hAnsi="Arial Narrow"/>
          <w:lang w:eastAsia="en-US"/>
        </w:rPr>
        <w:t xml:space="preserve">Verejné zdravotné poistenie </w:t>
      </w:r>
      <w:r w:rsidR="00AC52B5">
        <w:rPr>
          <w:rFonts w:ascii="Arial Narrow" w:eastAsia="Calibri" w:hAnsi="Arial Narrow"/>
          <w:lang w:eastAsia="en-US"/>
        </w:rPr>
        <w:t>je</w:t>
      </w:r>
      <w:r w:rsidR="002B0601">
        <w:rPr>
          <w:rFonts w:ascii="Arial Narrow" w:eastAsia="Calibri" w:hAnsi="Arial Narrow"/>
          <w:lang w:eastAsia="en-US"/>
        </w:rPr>
        <w:t xml:space="preserve"> </w:t>
      </w:r>
      <w:r w:rsidR="002B0601" w:rsidRPr="002B0601">
        <w:rPr>
          <w:rFonts w:ascii="Arial Narrow" w:eastAsia="Calibri" w:hAnsi="Arial Narrow"/>
          <w:lang w:eastAsia="en-US"/>
        </w:rPr>
        <w:t>financované odvodmi pracujúcich poistencov a platbou štátu za ekonomicky neaktívnych poistencov</w:t>
      </w:r>
      <w:r w:rsidR="002B0601">
        <w:rPr>
          <w:rFonts w:ascii="Arial Narrow" w:eastAsia="Calibri" w:hAnsi="Arial Narrow"/>
          <w:lang w:eastAsia="en-US"/>
        </w:rPr>
        <w:t xml:space="preserve"> (napr. deti, dôchodcovia, študenti), ktorá je </w:t>
      </w:r>
      <w:r w:rsidRPr="00E9007D">
        <w:rPr>
          <w:rFonts w:ascii="Arial Narrow" w:hAnsi="Arial Narrow"/>
        </w:rPr>
        <w:t xml:space="preserve">naviazaná na priemernú mzdu. </w:t>
      </w:r>
      <w:r w:rsidR="00AC52B5">
        <w:rPr>
          <w:rFonts w:ascii="Arial Narrow" w:hAnsi="Arial Narrow"/>
        </w:rPr>
        <w:t xml:space="preserve">Tento systém kopíruje </w:t>
      </w:r>
      <w:r w:rsidR="00AC52B5" w:rsidRPr="00AC52B5">
        <w:rPr>
          <w:rFonts w:ascii="Arial Narrow" w:hAnsi="Arial Narrow"/>
        </w:rPr>
        <w:t>hospodársky cyklus, čím umožňuje míňať viac, keď ekonomika rastie a núti šetriť, keď sa hospodárstvu nedarí. Po novom budú</w:t>
      </w:r>
      <w:r w:rsidR="00AC52B5">
        <w:t xml:space="preserve"> </w:t>
      </w:r>
      <w:r w:rsidR="00AC52B5">
        <w:rPr>
          <w:rFonts w:ascii="Arial Narrow" w:hAnsi="Arial Narrow"/>
        </w:rPr>
        <w:t>v</w:t>
      </w:r>
      <w:r w:rsidRPr="00E9007D">
        <w:rPr>
          <w:rFonts w:ascii="Arial Narrow" w:hAnsi="Arial Narrow"/>
        </w:rPr>
        <w:t>ýchodiskovým bodom v diskusii o každoročnej platbe štátu reálne potreby rezortu, čím sa zníži prepojenie na ekonomický cyklus. Zmena bola v parlamente schválená v novembri 2018</w:t>
      </w:r>
      <w:r w:rsidR="00C150A7">
        <w:rPr>
          <w:rFonts w:ascii="Arial Narrow" w:hAnsi="Arial Narrow"/>
        </w:rPr>
        <w:t xml:space="preserve"> s platnosťou od januára </w:t>
      </w:r>
      <w:r w:rsidR="00C14430">
        <w:rPr>
          <w:rFonts w:ascii="Arial Narrow" w:hAnsi="Arial Narrow"/>
        </w:rPr>
        <w:t>2020</w:t>
      </w:r>
      <w:r w:rsidRPr="00E9007D">
        <w:rPr>
          <w:rFonts w:ascii="Arial Narrow" w:hAnsi="Arial Narrow"/>
        </w:rPr>
        <w:t>.</w:t>
      </w:r>
    </w:p>
    <w:p w14:paraId="2F8CB6FA" w14:textId="77777777" w:rsidR="00F856B9" w:rsidRPr="00E9007D" w:rsidRDefault="00F856B9" w:rsidP="00F856B9">
      <w:pPr>
        <w:spacing w:after="0" w:line="240" w:lineRule="auto"/>
        <w:jc w:val="both"/>
        <w:rPr>
          <w:rFonts w:ascii="Arial Narrow" w:eastAsia="Calibri" w:hAnsi="Arial Narrow"/>
          <w:b/>
          <w:i/>
          <w:lang w:eastAsia="en-US"/>
        </w:rPr>
      </w:pPr>
    </w:p>
    <w:p w14:paraId="44547122" w14:textId="77777777" w:rsidR="00F856B9" w:rsidRPr="00E9007D" w:rsidRDefault="00F856B9" w:rsidP="00F856B9">
      <w:pPr>
        <w:spacing w:after="0" w:line="240" w:lineRule="auto"/>
        <w:jc w:val="both"/>
        <w:rPr>
          <w:rFonts w:ascii="Arial Narrow" w:eastAsia="Calibri" w:hAnsi="Arial Narrow"/>
          <w:b/>
          <w:i/>
          <w:lang w:eastAsia="en-US"/>
        </w:rPr>
      </w:pPr>
      <w:r w:rsidRPr="00E9007D">
        <w:rPr>
          <w:rFonts w:ascii="Arial Narrow" w:eastAsia="Calibri" w:hAnsi="Arial Narrow"/>
          <w:b/>
          <w:i/>
          <w:lang w:eastAsia="en-US"/>
        </w:rPr>
        <w:t>Reformy systému platieb a elektronické zdravotníctvo</w:t>
      </w:r>
    </w:p>
    <w:p w14:paraId="7684F6CC" w14:textId="1B09D9D9" w:rsidR="00F856B9" w:rsidRPr="00E9007D" w:rsidRDefault="00F856B9" w:rsidP="00F856B9">
      <w:pPr>
        <w:spacing w:after="0" w:line="240" w:lineRule="auto"/>
        <w:jc w:val="both"/>
        <w:rPr>
          <w:rFonts w:ascii="Arial Narrow" w:hAnsi="Arial Narrow"/>
        </w:rPr>
      </w:pPr>
      <w:r>
        <w:rPr>
          <w:rFonts w:ascii="Arial Narrow" w:eastAsia="Calibri" w:hAnsi="Arial Narrow"/>
          <w:b/>
          <w:lang w:eastAsia="en-US"/>
        </w:rPr>
        <w:t xml:space="preserve">Elektronická evidencia prispieva k rastu efektivity zdravotníctva, hoci </w:t>
      </w:r>
      <w:r w:rsidR="007010D7">
        <w:rPr>
          <w:rFonts w:ascii="Arial Narrow" w:eastAsia="Calibri" w:hAnsi="Arial Narrow"/>
          <w:b/>
          <w:lang w:eastAsia="en-US"/>
        </w:rPr>
        <w:t>priamo nezavádza úsporné opatrenia</w:t>
      </w:r>
      <w:r w:rsidRPr="00E9007D">
        <w:rPr>
          <w:rFonts w:ascii="Arial Narrow" w:eastAsia="Calibri" w:hAnsi="Arial Narrow"/>
          <w:b/>
          <w:lang w:eastAsia="en-US"/>
        </w:rPr>
        <w:t>.</w:t>
      </w:r>
      <w:r w:rsidRPr="00E9007D">
        <w:rPr>
          <w:rFonts w:ascii="Arial Narrow" w:eastAsia="Calibri" w:hAnsi="Arial Narrow"/>
          <w:lang w:eastAsia="en-US"/>
        </w:rPr>
        <w:t xml:space="preserve"> Hlavné funkcie projektu </w:t>
      </w:r>
      <w:proofErr w:type="spellStart"/>
      <w:r w:rsidRPr="00E9007D">
        <w:rPr>
          <w:rFonts w:ascii="Arial Narrow" w:eastAsia="Calibri" w:hAnsi="Arial Narrow"/>
          <w:i/>
          <w:lang w:eastAsia="en-US"/>
        </w:rPr>
        <w:t>e</w:t>
      </w:r>
      <w:r w:rsidR="00995808">
        <w:rPr>
          <w:rFonts w:ascii="Arial Narrow" w:eastAsia="Calibri" w:hAnsi="Arial Narrow"/>
          <w:i/>
          <w:lang w:eastAsia="en-US"/>
        </w:rPr>
        <w:t>Zdravie</w:t>
      </w:r>
      <w:proofErr w:type="spellEnd"/>
      <w:r w:rsidRPr="00E9007D">
        <w:rPr>
          <w:rFonts w:ascii="Arial Narrow" w:eastAsia="Calibri" w:hAnsi="Arial Narrow"/>
          <w:lang w:eastAsia="en-US"/>
        </w:rPr>
        <w:t xml:space="preserve"> sú spustené od začiatku roka 2018. Elektronizácia zdravotnej dokumentácie a elektronická </w:t>
      </w:r>
      <w:proofErr w:type="spellStart"/>
      <w:r w:rsidRPr="00E9007D">
        <w:rPr>
          <w:rFonts w:ascii="Arial Narrow" w:eastAsia="Calibri" w:hAnsi="Arial Narrow"/>
          <w:lang w:eastAsia="en-US"/>
        </w:rPr>
        <w:t>preskripcia</w:t>
      </w:r>
      <w:proofErr w:type="spellEnd"/>
      <w:r w:rsidRPr="00E9007D">
        <w:rPr>
          <w:rFonts w:ascii="Arial Narrow" w:eastAsia="Calibri" w:hAnsi="Arial Narrow"/>
          <w:lang w:eastAsia="en-US"/>
        </w:rPr>
        <w:t xml:space="preserve"> zlepšuje revíznu činnosť zdravotných poisťovní aj informovanosť lekára o liekoch, ktoré pacient užíva, a tým znižuje počet nežiadúcich interakcií. Aj bez priameho zavedenia limitov na predpisovanie liekov tak rozpočet na rok 2019 počíta s úsporou 30 mil. eur vďaka zavedeniu elektronickej </w:t>
      </w:r>
      <w:proofErr w:type="spellStart"/>
      <w:r w:rsidRPr="00E9007D">
        <w:rPr>
          <w:rFonts w:ascii="Arial Narrow" w:eastAsia="Calibri" w:hAnsi="Arial Narrow"/>
          <w:lang w:eastAsia="en-US"/>
        </w:rPr>
        <w:t>preskripcie</w:t>
      </w:r>
      <w:proofErr w:type="spellEnd"/>
      <w:r w:rsidRPr="00E9007D">
        <w:rPr>
          <w:rFonts w:ascii="Arial Narrow" w:eastAsia="Calibri" w:hAnsi="Arial Narrow"/>
          <w:lang w:eastAsia="en-US"/>
        </w:rPr>
        <w:t xml:space="preserve">. </w:t>
      </w:r>
      <w:r w:rsidR="00C150A7">
        <w:rPr>
          <w:rFonts w:ascii="Arial Narrow" w:hAnsi="Arial Narrow"/>
        </w:rPr>
        <w:t xml:space="preserve">Cieľom na roky 2019 až </w:t>
      </w:r>
      <w:r w:rsidRPr="00E9007D">
        <w:rPr>
          <w:rFonts w:ascii="Arial Narrow" w:hAnsi="Arial Narrow"/>
        </w:rPr>
        <w:t xml:space="preserve">2020 je expanzia </w:t>
      </w:r>
      <w:proofErr w:type="spellStart"/>
      <w:r w:rsidRPr="00E9007D">
        <w:rPr>
          <w:rFonts w:ascii="Arial Narrow" w:hAnsi="Arial Narrow"/>
        </w:rPr>
        <w:t>funckionalít</w:t>
      </w:r>
      <w:proofErr w:type="spellEnd"/>
      <w:r w:rsidRPr="00E9007D">
        <w:rPr>
          <w:rFonts w:ascii="Arial Narrow" w:hAnsi="Arial Narrow"/>
        </w:rPr>
        <w:t xml:space="preserve"> </w:t>
      </w:r>
      <w:proofErr w:type="spellStart"/>
      <w:r w:rsidRPr="00E9007D">
        <w:rPr>
          <w:rFonts w:ascii="Arial Narrow" w:hAnsi="Arial Narrow"/>
          <w:i/>
        </w:rPr>
        <w:t>eZdravia</w:t>
      </w:r>
      <w:proofErr w:type="spellEnd"/>
      <w:r w:rsidRPr="00E9007D">
        <w:rPr>
          <w:rFonts w:ascii="Arial Narrow" w:hAnsi="Arial Narrow"/>
        </w:rPr>
        <w:t xml:space="preserve">, hlavne jednotnej </w:t>
      </w:r>
      <w:proofErr w:type="spellStart"/>
      <w:r w:rsidRPr="00E9007D">
        <w:rPr>
          <w:rFonts w:ascii="Arial Narrow" w:hAnsi="Arial Narrow"/>
          <w:i/>
        </w:rPr>
        <w:t>eLab</w:t>
      </w:r>
      <w:proofErr w:type="spellEnd"/>
      <w:r w:rsidRPr="00E9007D">
        <w:rPr>
          <w:rFonts w:ascii="Arial Narrow" w:hAnsi="Arial Narrow"/>
        </w:rPr>
        <w:t xml:space="preserve"> žiadanky a rozšírenie </w:t>
      </w:r>
      <w:proofErr w:type="spellStart"/>
      <w:r w:rsidRPr="00E9007D">
        <w:rPr>
          <w:rFonts w:ascii="Arial Narrow" w:hAnsi="Arial Narrow"/>
          <w:i/>
        </w:rPr>
        <w:t>eZdravia</w:t>
      </w:r>
      <w:proofErr w:type="spellEnd"/>
      <w:r w:rsidRPr="00E9007D">
        <w:rPr>
          <w:rFonts w:ascii="Arial Narrow" w:hAnsi="Arial Narrow"/>
        </w:rPr>
        <w:t xml:space="preserve"> o</w:t>
      </w:r>
      <w:r w:rsidR="00995808">
        <w:rPr>
          <w:rFonts w:ascii="Arial Narrow" w:hAnsi="Arial Narrow"/>
        </w:rPr>
        <w:t> </w:t>
      </w:r>
      <w:proofErr w:type="spellStart"/>
      <w:r w:rsidR="00995808">
        <w:rPr>
          <w:rFonts w:ascii="Arial Narrow" w:hAnsi="Arial Narrow"/>
        </w:rPr>
        <w:t>personalizovanú</w:t>
      </w:r>
      <w:proofErr w:type="spellEnd"/>
      <w:r w:rsidR="00995808">
        <w:rPr>
          <w:rFonts w:ascii="Arial Narrow" w:hAnsi="Arial Narrow"/>
        </w:rPr>
        <w:t xml:space="preserve"> medicínu a </w:t>
      </w:r>
      <w:r w:rsidRPr="00E9007D">
        <w:rPr>
          <w:rFonts w:ascii="Arial Narrow" w:hAnsi="Arial Narrow"/>
        </w:rPr>
        <w:t>mobilné technológie pre použitie v teréne. Cieľom je taktiež  vykonať jeho komplexnú revíziu, aby sa čo najviac zosúladil dizajn systému s platnými legislatívnymi nariadeniami a metodickými pokynmi.</w:t>
      </w:r>
      <w:r w:rsidR="00995808">
        <w:rPr>
          <w:rFonts w:ascii="Arial Narrow" w:hAnsi="Arial Narrow"/>
        </w:rPr>
        <w:t xml:space="preserve"> Technologicky sa zjednoduší možnosť pripojenia poskytovateľov zdravotnej starostlivosti do systému a zaved</w:t>
      </w:r>
      <w:r w:rsidR="00957E79">
        <w:rPr>
          <w:rFonts w:ascii="Arial Narrow" w:hAnsi="Arial Narrow"/>
        </w:rPr>
        <w:t>i</w:t>
      </w:r>
      <w:r w:rsidR="00995808">
        <w:rPr>
          <w:rFonts w:ascii="Arial Narrow" w:hAnsi="Arial Narrow"/>
        </w:rPr>
        <w:t xml:space="preserve">e sa monitoring koncových pripojení. Vybuduje sa </w:t>
      </w:r>
      <w:proofErr w:type="spellStart"/>
      <w:r w:rsidR="00995808">
        <w:rPr>
          <w:rFonts w:ascii="Arial Narrow" w:hAnsi="Arial Narrow"/>
        </w:rPr>
        <w:t>vysokodostupná</w:t>
      </w:r>
      <w:proofErr w:type="spellEnd"/>
      <w:r w:rsidR="00995808">
        <w:rPr>
          <w:rFonts w:ascii="Arial Narrow" w:hAnsi="Arial Narrow"/>
        </w:rPr>
        <w:t xml:space="preserve"> a bezpečná infraštruktúra pre zabezpečenie plynulosti prevádzky systému a efektívnu prácu s vysoko citlivými zdravotnými údajmi.</w:t>
      </w:r>
    </w:p>
    <w:p w14:paraId="65FCDAF5" w14:textId="77777777" w:rsidR="00F856B9" w:rsidRPr="00E9007D" w:rsidRDefault="00F856B9" w:rsidP="00F856B9">
      <w:pPr>
        <w:spacing w:after="0" w:line="240" w:lineRule="auto"/>
        <w:jc w:val="both"/>
        <w:rPr>
          <w:rFonts w:ascii="Arial Narrow" w:eastAsia="Calibri" w:hAnsi="Arial Narrow"/>
          <w:lang w:eastAsia="en-US"/>
        </w:rPr>
      </w:pPr>
    </w:p>
    <w:p w14:paraId="3068C3BE" w14:textId="1C134FD7" w:rsidR="00F856B9" w:rsidRPr="00E9007D" w:rsidRDefault="00F856B9" w:rsidP="00F856B9">
      <w:pPr>
        <w:spacing w:after="0" w:line="240" w:lineRule="auto"/>
        <w:contextualSpacing/>
        <w:jc w:val="both"/>
        <w:rPr>
          <w:rFonts w:ascii="Arial Narrow" w:eastAsia="Calibri" w:hAnsi="Arial Narrow"/>
          <w:lang w:eastAsia="en-US"/>
        </w:rPr>
      </w:pPr>
      <w:r>
        <w:rPr>
          <w:rFonts w:ascii="Arial Narrow" w:eastAsia="Calibri" w:hAnsi="Arial Narrow"/>
          <w:b/>
          <w:lang w:eastAsia="en-US"/>
        </w:rPr>
        <w:t>Systém platieb nemocniciam podľa diagnóz (</w:t>
      </w:r>
      <w:r w:rsidRPr="00D21A80">
        <w:rPr>
          <w:rFonts w:ascii="Arial Narrow" w:eastAsia="Calibri" w:hAnsi="Arial Narrow"/>
          <w:b/>
          <w:lang w:eastAsia="en-US"/>
        </w:rPr>
        <w:t>DRG</w:t>
      </w:r>
      <w:r>
        <w:rPr>
          <w:rFonts w:ascii="Arial Narrow" w:eastAsia="Calibri" w:hAnsi="Arial Narrow"/>
          <w:b/>
          <w:lang w:eastAsia="en-US"/>
        </w:rPr>
        <w:t>)</w:t>
      </w:r>
      <w:r w:rsidRPr="00D21A80">
        <w:rPr>
          <w:rFonts w:ascii="Arial Narrow" w:eastAsia="Calibri" w:hAnsi="Arial Narrow"/>
          <w:b/>
          <w:lang w:eastAsia="en-US"/>
        </w:rPr>
        <w:t xml:space="preserve"> </w:t>
      </w:r>
      <w:r w:rsidR="00353146">
        <w:rPr>
          <w:rFonts w:ascii="Arial Narrow" w:eastAsia="Calibri" w:hAnsi="Arial Narrow"/>
          <w:b/>
          <w:lang w:eastAsia="en-US"/>
        </w:rPr>
        <w:t xml:space="preserve">má potenciál </w:t>
      </w:r>
      <w:r w:rsidRPr="00D21A80">
        <w:rPr>
          <w:rFonts w:ascii="Arial Narrow" w:eastAsia="Calibri" w:hAnsi="Arial Narrow"/>
          <w:b/>
          <w:lang w:eastAsia="en-US"/>
        </w:rPr>
        <w:t>zvýši</w:t>
      </w:r>
      <w:r w:rsidR="00353146">
        <w:rPr>
          <w:rFonts w:ascii="Arial Narrow" w:eastAsia="Calibri" w:hAnsi="Arial Narrow"/>
          <w:b/>
          <w:lang w:eastAsia="en-US"/>
        </w:rPr>
        <w:t>ť</w:t>
      </w:r>
      <w:r w:rsidRPr="00D21A80">
        <w:rPr>
          <w:rFonts w:ascii="Arial Narrow" w:eastAsia="Calibri" w:hAnsi="Arial Narrow"/>
          <w:b/>
          <w:lang w:eastAsia="en-US"/>
        </w:rPr>
        <w:t xml:space="preserve"> transparentnosť a spravodlivosť platieb za zdravotnú starostlivosť a </w:t>
      </w:r>
      <w:r w:rsidR="00353146">
        <w:rPr>
          <w:rFonts w:ascii="Arial Narrow" w:eastAsia="Calibri" w:hAnsi="Arial Narrow"/>
          <w:b/>
          <w:lang w:eastAsia="en-US"/>
        </w:rPr>
        <w:t>zlepšiť</w:t>
      </w:r>
      <w:r w:rsidRPr="00D21A80">
        <w:rPr>
          <w:rFonts w:ascii="Arial Narrow" w:eastAsia="Calibri" w:hAnsi="Arial Narrow"/>
          <w:b/>
          <w:lang w:eastAsia="en-US"/>
        </w:rPr>
        <w:t xml:space="preserve"> efektívnosť hospodárenia nemocníc.</w:t>
      </w:r>
      <w:r>
        <w:rPr>
          <w:rFonts w:ascii="Arial Narrow" w:eastAsia="Calibri" w:hAnsi="Arial Narrow"/>
          <w:lang w:eastAsia="en-US"/>
        </w:rPr>
        <w:t xml:space="preserve"> </w:t>
      </w:r>
      <w:r w:rsidRPr="00E9007D">
        <w:rPr>
          <w:rFonts w:ascii="Arial Narrow" w:eastAsia="Calibri" w:hAnsi="Arial Narrow"/>
          <w:lang w:eastAsia="en-US"/>
        </w:rPr>
        <w:t xml:space="preserve">V roku 2017 bol spustený mechanizmus úhrad za výkony nemocníc naviazaný na </w:t>
      </w:r>
      <w:r w:rsidRPr="005102B5">
        <w:rPr>
          <w:rFonts w:ascii="Arial Narrow" w:eastAsia="Calibri" w:hAnsi="Arial Narrow"/>
          <w:lang w:eastAsia="en-US"/>
        </w:rPr>
        <w:t>DRG</w:t>
      </w:r>
      <w:r>
        <w:rPr>
          <w:rFonts w:ascii="Arial Narrow" w:eastAsia="Calibri" w:hAnsi="Arial Narrow"/>
          <w:lang w:eastAsia="en-US"/>
        </w:rPr>
        <w:t xml:space="preserve"> (diagnostické skupiny)</w:t>
      </w:r>
      <w:r w:rsidRPr="00E9007D">
        <w:rPr>
          <w:rFonts w:ascii="Arial Narrow" w:eastAsia="Calibri" w:hAnsi="Arial Narrow"/>
          <w:lang w:eastAsia="en-US"/>
        </w:rPr>
        <w:t xml:space="preserve">. Je používaný pre  vykazovanie výkonov, ale platby nemocniciam podľa neho zatiaľ nastavené nie sú. V roku 2018 začal päťročný proces približovania individuálnych sadzieb jednotlivých nemocníc. Cieľom je ich úplná konvergencia do jednej celoslovenskej referenčnej základnej sadzby. </w:t>
      </w:r>
      <w:r w:rsidRPr="00E9007D">
        <w:rPr>
          <w:rFonts w:ascii="Arial Narrow" w:hAnsi="Arial Narrow"/>
        </w:rPr>
        <w:t>V roku 2019 sa nastaví forma financovania diagnostických vyšetrení (laboratórne testy, RTG, CT, MR a pod.) a pripraví sa koncepcia výkonov jednodňovej starostlivosti.</w:t>
      </w:r>
    </w:p>
    <w:p w14:paraId="3E2A2897" w14:textId="77777777" w:rsidR="00F856B9" w:rsidRPr="00E9007D" w:rsidRDefault="00F856B9" w:rsidP="00F856B9">
      <w:pPr>
        <w:spacing w:after="0" w:line="240" w:lineRule="auto"/>
        <w:jc w:val="both"/>
        <w:rPr>
          <w:rFonts w:ascii="Arial Narrow" w:hAnsi="Arial Narrow"/>
          <w:b/>
          <w:i/>
        </w:rPr>
      </w:pPr>
    </w:p>
    <w:p w14:paraId="7263F727" w14:textId="77777777" w:rsidR="00F856B9" w:rsidRPr="00E9007D" w:rsidRDefault="00F856B9" w:rsidP="00F856B9">
      <w:pPr>
        <w:spacing w:after="0" w:line="240" w:lineRule="auto"/>
        <w:contextualSpacing/>
        <w:jc w:val="both"/>
        <w:rPr>
          <w:rFonts w:ascii="Arial Narrow" w:hAnsi="Arial Narrow"/>
          <w:b/>
          <w:i/>
        </w:rPr>
      </w:pPr>
      <w:r w:rsidRPr="00E9007D">
        <w:rPr>
          <w:rFonts w:ascii="Arial Narrow" w:hAnsi="Arial Narrow"/>
          <w:b/>
          <w:i/>
        </w:rPr>
        <w:t>Lieky a zdravotnícke pomôcky</w:t>
      </w:r>
    </w:p>
    <w:p w14:paraId="376CBB9E" w14:textId="25D11B39" w:rsidR="00DA388A" w:rsidRDefault="003143EE" w:rsidP="002B0601">
      <w:pPr>
        <w:spacing w:after="0" w:line="240" w:lineRule="auto"/>
        <w:contextualSpacing/>
        <w:jc w:val="both"/>
        <w:rPr>
          <w:rFonts w:ascii="Arial Narrow" w:eastAsia="Calibri" w:hAnsi="Arial Narrow"/>
          <w:b/>
          <w:lang w:eastAsia="en-US"/>
        </w:rPr>
      </w:pPr>
      <w:r w:rsidRPr="003143EE">
        <w:rPr>
          <w:rFonts w:ascii="Arial Narrow" w:eastAsia="Calibri" w:hAnsi="Arial Narrow"/>
          <w:b/>
          <w:lang w:eastAsia="en-US"/>
        </w:rPr>
        <w:t xml:space="preserve">V roku 2019 budú upravené pravidlá kategorizácie liekov, ktoré umožnia hospodárnejšie využitie prostriedkov zdravotného poistenia. </w:t>
      </w:r>
      <w:r w:rsidRPr="005A735A">
        <w:rPr>
          <w:rFonts w:ascii="Arial Narrow" w:eastAsia="Calibri" w:hAnsi="Arial Narrow"/>
          <w:lang w:eastAsia="en-US"/>
        </w:rPr>
        <w:t xml:space="preserve">Úprava pravidiel kategorizácie liekov v zákone </w:t>
      </w:r>
      <w:r w:rsidR="00353146">
        <w:rPr>
          <w:rFonts w:ascii="Arial Narrow" w:eastAsia="Calibri" w:hAnsi="Arial Narrow"/>
          <w:lang w:eastAsia="en-US"/>
        </w:rPr>
        <w:t xml:space="preserve">zo </w:t>
      </w:r>
      <w:r w:rsidRPr="005A735A">
        <w:rPr>
          <w:rFonts w:ascii="Arial Narrow" w:eastAsia="Calibri" w:hAnsi="Arial Narrow"/>
          <w:lang w:eastAsia="en-US"/>
        </w:rPr>
        <w:t xml:space="preserve">začiatku roka 2018 viedla k zvýšeniu dostupnosti liekov na zriedkavé ochorenia. Počas roka 2018 však na trh neplánovane vstúpili aj lieky so špekulatívne nastavenými indikačnými obmedzeniami, čo spôsobuje nehospodárne </w:t>
      </w:r>
      <w:r w:rsidR="000366B3">
        <w:rPr>
          <w:rFonts w:ascii="Arial Narrow" w:eastAsia="Calibri" w:hAnsi="Arial Narrow"/>
          <w:lang w:eastAsia="en-US"/>
        </w:rPr>
        <w:t xml:space="preserve">použitie </w:t>
      </w:r>
      <w:r w:rsidRPr="005A735A">
        <w:rPr>
          <w:rFonts w:ascii="Arial Narrow" w:eastAsia="Calibri" w:hAnsi="Arial Narrow"/>
          <w:lang w:eastAsia="en-US"/>
        </w:rPr>
        <w:t xml:space="preserve">verejných zdrojov. Zákon bol na konci roka 2018 opäť novelizovaný, čo zabráni ďalšiemu vstupu </w:t>
      </w:r>
      <w:r w:rsidRPr="005A735A">
        <w:rPr>
          <w:rFonts w:ascii="Arial Narrow" w:eastAsia="Calibri" w:hAnsi="Arial Narrow"/>
          <w:lang w:eastAsia="en-US"/>
        </w:rPr>
        <w:lastRenderedPageBreak/>
        <w:t xml:space="preserve">takýchto liekov na trh, ale nerieši výdavky na tie, ktoré už boli kategorizované počas roka 2018. V roku 2019 bude pripravená ďalšia novelu zákona, ktorá nehospodárne </w:t>
      </w:r>
      <w:r w:rsidR="000366B3">
        <w:rPr>
          <w:rFonts w:ascii="Arial Narrow" w:eastAsia="Calibri" w:hAnsi="Arial Narrow"/>
          <w:lang w:eastAsia="en-US"/>
        </w:rPr>
        <w:t xml:space="preserve">použitie </w:t>
      </w:r>
      <w:r w:rsidRPr="005A735A">
        <w:rPr>
          <w:rFonts w:ascii="Arial Narrow" w:eastAsia="Calibri" w:hAnsi="Arial Narrow"/>
          <w:lang w:eastAsia="en-US"/>
        </w:rPr>
        <w:t>zastaví.</w:t>
      </w:r>
      <w:r w:rsidRPr="003143EE" w:rsidDel="003143EE">
        <w:rPr>
          <w:rFonts w:ascii="Arial Narrow" w:eastAsia="Calibri" w:hAnsi="Arial Narrow"/>
          <w:b/>
          <w:lang w:eastAsia="en-US"/>
        </w:rPr>
        <w:t xml:space="preserve"> </w:t>
      </w:r>
    </w:p>
    <w:p w14:paraId="19AE15B1" w14:textId="77777777" w:rsidR="002B0601" w:rsidRPr="00E9007D" w:rsidRDefault="002B0601" w:rsidP="002B0601">
      <w:pPr>
        <w:spacing w:after="0" w:line="240" w:lineRule="auto"/>
        <w:contextualSpacing/>
        <w:jc w:val="both"/>
        <w:rPr>
          <w:rFonts w:ascii="Arial Narrow" w:eastAsia="Calibri" w:hAnsi="Arial Narrow"/>
          <w:lang w:eastAsia="en-US"/>
        </w:rPr>
      </w:pPr>
    </w:p>
    <w:p w14:paraId="0DBCA90D" w14:textId="527B8332" w:rsidR="002B0601" w:rsidRPr="002B0601" w:rsidRDefault="002B0601" w:rsidP="00F856B9">
      <w:pPr>
        <w:pStyle w:val="Odsekzoznamu"/>
        <w:spacing w:after="0" w:line="240" w:lineRule="auto"/>
        <w:ind w:left="0"/>
        <w:contextualSpacing w:val="0"/>
        <w:jc w:val="both"/>
        <w:rPr>
          <w:rFonts w:ascii="Arial Narrow" w:hAnsi="Arial Narrow"/>
        </w:rPr>
      </w:pPr>
      <w:r w:rsidRPr="002B0601">
        <w:rPr>
          <w:rFonts w:ascii="Arial Narrow" w:hAnsi="Arial Narrow"/>
          <w:b/>
        </w:rPr>
        <w:t>Súťaženie o ceny a kvalitu špeciálneho zdravotníckeho materiálu umožní úprava podmienok ich úhrady.</w:t>
      </w:r>
      <w:r w:rsidRPr="002B0601">
        <w:rPr>
          <w:rFonts w:ascii="Arial Narrow" w:hAnsi="Arial Narrow"/>
        </w:rPr>
        <w:t xml:space="preserve"> </w:t>
      </w:r>
      <w:r>
        <w:rPr>
          <w:rFonts w:ascii="Arial Narrow" w:hAnsi="Arial Narrow"/>
        </w:rPr>
        <w:t>V roku 2019 b</w:t>
      </w:r>
      <w:r w:rsidRPr="002B0601">
        <w:rPr>
          <w:rFonts w:ascii="Arial Narrow" w:hAnsi="Arial Narrow"/>
        </w:rPr>
        <w:t>ude vytvorený nový zoznam s definovanými základnými funkčnými typmi plne hradenými z poistenia a ich alternatívami s doplatkom.</w:t>
      </w:r>
    </w:p>
    <w:p w14:paraId="22CA6179" w14:textId="77777777" w:rsidR="00E550DB" w:rsidRPr="004C54B9" w:rsidRDefault="00D14CD3" w:rsidP="004C54B9">
      <w:pPr>
        <w:spacing w:after="0" w:line="240" w:lineRule="auto"/>
        <w:rPr>
          <w:rFonts w:ascii="Arial Narrow" w:hAnsi="Arial Narrow"/>
        </w:rPr>
      </w:pPr>
      <w:r w:rsidRPr="004C54B9">
        <w:rPr>
          <w:rFonts w:ascii="Arial Narrow" w:hAnsi="Arial Narrow"/>
        </w:rPr>
        <w:br w:type="page"/>
      </w:r>
    </w:p>
    <w:p w14:paraId="490A19DA" w14:textId="2CEAD94D" w:rsidR="007D2366" w:rsidRPr="00484218" w:rsidRDefault="00C150A7" w:rsidP="004C54B9">
      <w:pPr>
        <w:pStyle w:val="Nadpis2"/>
        <w:numPr>
          <w:ilvl w:val="1"/>
          <w:numId w:val="1"/>
        </w:numPr>
        <w:spacing w:after="240" w:line="240" w:lineRule="auto"/>
        <w:jc w:val="both"/>
        <w:rPr>
          <w:rFonts w:ascii="Arial Narrow" w:hAnsi="Arial Narrow"/>
          <w:color w:val="2C9ADC"/>
          <w:sz w:val="32"/>
          <w:szCs w:val="22"/>
        </w:rPr>
      </w:pPr>
      <w:bookmarkStart w:id="64" w:name="_Toc448745612"/>
      <w:bookmarkStart w:id="65" w:name="_Toc448745613"/>
      <w:bookmarkStart w:id="66" w:name="_Toc480749813"/>
      <w:bookmarkStart w:id="67" w:name="_Toc4766843"/>
      <w:bookmarkEnd w:id="64"/>
      <w:bookmarkEnd w:id="65"/>
      <w:r>
        <w:rPr>
          <w:rFonts w:ascii="Arial Narrow" w:hAnsi="Arial Narrow"/>
          <w:color w:val="2C9ADC"/>
          <w:sz w:val="32"/>
          <w:szCs w:val="22"/>
        </w:rPr>
        <w:lastRenderedPageBreak/>
        <w:t>Modernizácia verejnej sp</w:t>
      </w:r>
      <w:r w:rsidR="00353146">
        <w:rPr>
          <w:rFonts w:ascii="Arial Narrow" w:hAnsi="Arial Narrow"/>
          <w:color w:val="2C9ADC"/>
          <w:sz w:val="32"/>
          <w:szCs w:val="22"/>
        </w:rPr>
        <w:t>r</w:t>
      </w:r>
      <w:r w:rsidR="007D2366" w:rsidRPr="00484218">
        <w:rPr>
          <w:rFonts w:ascii="Arial Narrow" w:hAnsi="Arial Narrow"/>
          <w:color w:val="2C9ADC"/>
          <w:sz w:val="32"/>
          <w:szCs w:val="22"/>
        </w:rPr>
        <w:t>ávy a podnikateľské prostredie</w:t>
      </w:r>
      <w:bookmarkEnd w:id="66"/>
      <w:bookmarkEnd w:id="67"/>
    </w:p>
    <w:p w14:paraId="238E9ED5" w14:textId="75DF8177" w:rsidR="00C24690" w:rsidRPr="004C54B9" w:rsidRDefault="00C24690" w:rsidP="00C24690">
      <w:pPr>
        <w:spacing w:after="0" w:line="240" w:lineRule="auto"/>
        <w:jc w:val="both"/>
        <w:rPr>
          <w:rFonts w:ascii="Arial Narrow" w:hAnsi="Arial Narrow" w:cs="Arial Narrow"/>
          <w:i/>
        </w:rPr>
      </w:pPr>
      <w:r w:rsidRPr="004C54B9">
        <w:rPr>
          <w:rFonts w:ascii="Arial Narrow" w:hAnsi="Arial Narrow" w:cs="Arial Narrow"/>
          <w:i/>
        </w:rPr>
        <w:t xml:space="preserve">Medzi priority </w:t>
      </w:r>
      <w:r w:rsidR="001C548C">
        <w:rPr>
          <w:rFonts w:ascii="Arial Narrow" w:hAnsi="Arial Narrow" w:cs="Arial Narrow"/>
          <w:i/>
        </w:rPr>
        <w:t>v oblasti súdnictva</w:t>
      </w:r>
      <w:r w:rsidRPr="004C54B9">
        <w:rPr>
          <w:rFonts w:ascii="Arial Narrow" w:hAnsi="Arial Narrow" w:cs="Arial Narrow"/>
          <w:i/>
        </w:rPr>
        <w:t xml:space="preserve"> naďalej patrí</w:t>
      </w:r>
      <w:r w:rsidR="0095474E">
        <w:rPr>
          <w:rFonts w:ascii="Arial Narrow" w:hAnsi="Arial Narrow" w:cs="Arial Narrow"/>
          <w:i/>
        </w:rPr>
        <w:t xml:space="preserve"> </w:t>
      </w:r>
      <w:r w:rsidRPr="004C54B9">
        <w:rPr>
          <w:rFonts w:ascii="Arial Narrow" w:hAnsi="Arial Narrow" w:cs="Arial Narrow"/>
          <w:i/>
        </w:rPr>
        <w:t xml:space="preserve">riešenie starých exekúcií </w:t>
      </w:r>
      <w:r w:rsidR="0095474E">
        <w:rPr>
          <w:rFonts w:ascii="Arial Narrow" w:hAnsi="Arial Narrow" w:cs="Arial Narrow"/>
          <w:i/>
        </w:rPr>
        <w:t>a flexibilnejšie udeľovanie alternatívnych trestov</w:t>
      </w:r>
      <w:r w:rsidRPr="004C54B9">
        <w:rPr>
          <w:rFonts w:ascii="Arial Narrow" w:hAnsi="Arial Narrow" w:cs="Arial Narrow"/>
          <w:i/>
        </w:rPr>
        <w:t>. V roku 2019 bude pokračovať zlepšovanie poskytovania a zvyšovanie dostupnosti právnej pomoci prostredníctvom Centra právnej pomoc</w:t>
      </w:r>
      <w:r w:rsidR="00780749">
        <w:rPr>
          <w:rFonts w:ascii="Arial Narrow" w:hAnsi="Arial Narrow" w:cs="Arial Narrow"/>
          <w:i/>
        </w:rPr>
        <w:t xml:space="preserve">i. </w:t>
      </w:r>
      <w:r w:rsidRPr="004C54B9">
        <w:rPr>
          <w:rFonts w:ascii="Arial Narrow" w:hAnsi="Arial Narrow" w:cs="Arial Narrow"/>
          <w:i/>
        </w:rPr>
        <w:t xml:space="preserve"> Od marca 2019 vstupuje do účinnosti nová právna úprava ochrany oznamovateľov korupcie (</w:t>
      </w:r>
      <w:proofErr w:type="spellStart"/>
      <w:r w:rsidRPr="004C54B9">
        <w:rPr>
          <w:rFonts w:ascii="Arial Narrow" w:hAnsi="Arial Narrow" w:cs="Arial Narrow"/>
          <w:i/>
        </w:rPr>
        <w:t>whistleblower</w:t>
      </w:r>
      <w:proofErr w:type="spellEnd"/>
      <w:r w:rsidRPr="004C54B9">
        <w:rPr>
          <w:rFonts w:ascii="Arial Narrow" w:hAnsi="Arial Narrow" w:cs="Arial Narrow"/>
          <w:i/>
        </w:rPr>
        <w:t xml:space="preserve">). </w:t>
      </w:r>
      <w:r w:rsidR="00E94BD5">
        <w:rPr>
          <w:rFonts w:ascii="Arial Narrow" w:hAnsi="Arial Narrow" w:cs="Arial Narrow"/>
          <w:i/>
        </w:rPr>
        <w:t>P</w:t>
      </w:r>
      <w:r w:rsidRPr="004C54B9">
        <w:rPr>
          <w:rFonts w:ascii="Arial Narrow" w:hAnsi="Arial Narrow" w:cs="Arial Narrow"/>
          <w:i/>
        </w:rPr>
        <w:t xml:space="preserve">okračuje </w:t>
      </w:r>
      <w:r w:rsidR="00E94BD5">
        <w:rPr>
          <w:rFonts w:ascii="Arial Narrow" w:hAnsi="Arial Narrow" w:cs="Arial Narrow"/>
          <w:i/>
        </w:rPr>
        <w:t xml:space="preserve">sa </w:t>
      </w:r>
      <w:r w:rsidRPr="004C54B9">
        <w:rPr>
          <w:rFonts w:ascii="Arial Narrow" w:hAnsi="Arial Narrow" w:cs="Arial Narrow"/>
          <w:i/>
        </w:rPr>
        <w:t>v práci na projekte obchodného registra, ktorého zámerom je znížiť administratívnu záťaž podnikateľov a súdov pri registrácii obchodných spoločností, znížiť poplatky a zlepšiť elektronické služby pre podnikateľov.</w:t>
      </w:r>
      <w:r w:rsidR="00780749">
        <w:rPr>
          <w:rFonts w:ascii="Arial Narrow" w:hAnsi="Arial Narrow" w:cs="Arial Narrow"/>
          <w:i/>
        </w:rPr>
        <w:t xml:space="preserve"> </w:t>
      </w:r>
      <w:r w:rsidR="00780749" w:rsidRPr="00780749">
        <w:rPr>
          <w:rFonts w:ascii="Arial Narrow" w:hAnsi="Arial Narrow" w:cs="Arial Narrow"/>
          <w:i/>
        </w:rPr>
        <w:t>S cieľom zvýšenia účinnosti a efektivity súdnictva bude zriadený inštitút hosťujúceho sudcu.</w:t>
      </w:r>
    </w:p>
    <w:p w14:paraId="317014AA" w14:textId="77777777" w:rsidR="00C24690" w:rsidRPr="004C54B9" w:rsidRDefault="00C24690" w:rsidP="00C24690">
      <w:pPr>
        <w:pStyle w:val="Odsekzoznamu"/>
        <w:spacing w:after="0" w:line="240" w:lineRule="auto"/>
        <w:ind w:left="862"/>
        <w:jc w:val="both"/>
        <w:rPr>
          <w:rFonts w:ascii="Arial Narrow" w:hAnsi="Arial Narrow" w:cs="Arial Narrow"/>
          <w:i/>
        </w:rPr>
      </w:pPr>
    </w:p>
    <w:p w14:paraId="33D59BF2" w14:textId="4BD1F4B9" w:rsidR="00C24690" w:rsidRPr="004C54B9" w:rsidRDefault="00780749" w:rsidP="00C24690">
      <w:pPr>
        <w:spacing w:after="0" w:line="240" w:lineRule="auto"/>
        <w:jc w:val="both"/>
        <w:rPr>
          <w:rFonts w:ascii="Arial Narrow" w:hAnsi="Arial Narrow" w:cs="Arial Narrow"/>
          <w:i/>
        </w:rPr>
      </w:pPr>
      <w:r>
        <w:rPr>
          <w:rFonts w:ascii="Arial Narrow" w:hAnsi="Arial Narrow" w:cs="Arial Narrow"/>
          <w:i/>
        </w:rPr>
        <w:t>Budú implementované opatrenia</w:t>
      </w:r>
      <w:r w:rsidR="00C24690" w:rsidRPr="004C54B9">
        <w:rPr>
          <w:rFonts w:ascii="Arial Narrow" w:hAnsi="Arial Narrow" w:cs="Arial Narrow"/>
          <w:i/>
        </w:rPr>
        <w:t xml:space="preserve"> tzv. druhej vlny znižovania administratívnej záťaže</w:t>
      </w:r>
      <w:r>
        <w:rPr>
          <w:rFonts w:ascii="Arial Narrow" w:hAnsi="Arial Narrow" w:cs="Arial Narrow"/>
          <w:i/>
        </w:rPr>
        <w:t xml:space="preserve"> pri kontakte verejnosti so štátom</w:t>
      </w:r>
      <w:r w:rsidR="00C24690" w:rsidRPr="004C54B9">
        <w:rPr>
          <w:rFonts w:ascii="Arial Narrow" w:hAnsi="Arial Narrow" w:cs="Arial Narrow"/>
          <w:i/>
        </w:rPr>
        <w:t xml:space="preserve">. Finančná správa bude naďalej posilňovať </w:t>
      </w:r>
      <w:proofErr w:type="spellStart"/>
      <w:r w:rsidR="00C24690" w:rsidRPr="004C54B9">
        <w:rPr>
          <w:rFonts w:ascii="Arial Narrow" w:hAnsi="Arial Narrow" w:cs="Arial Narrow"/>
          <w:i/>
        </w:rPr>
        <w:t>proklientský</w:t>
      </w:r>
      <w:proofErr w:type="spellEnd"/>
      <w:r w:rsidR="00C24690" w:rsidRPr="004C54B9">
        <w:rPr>
          <w:rFonts w:ascii="Arial Narrow" w:hAnsi="Arial Narrow" w:cs="Arial Narrow"/>
          <w:i/>
        </w:rPr>
        <w:t xml:space="preserve"> prístup, znižovať administratívnu záťaž ako aj podporovať dobrovoľné plnenie daňových a colných povinností. Pokračovať bude implementácia opatrení z troch vládou schválených balíčkov zameraných na znižovanie administratívnej záťaže podnikateľov. </w:t>
      </w:r>
    </w:p>
    <w:p w14:paraId="24CC52C1" w14:textId="77777777" w:rsidR="00C24690" w:rsidRPr="004C54B9" w:rsidRDefault="00C24690" w:rsidP="00C24690">
      <w:pPr>
        <w:spacing w:after="0" w:line="240" w:lineRule="auto"/>
        <w:jc w:val="both"/>
        <w:rPr>
          <w:rFonts w:ascii="Arial Narrow" w:hAnsi="Arial Narrow" w:cs="Arial Narrow"/>
          <w:i/>
        </w:rPr>
      </w:pPr>
    </w:p>
    <w:tbl>
      <w:tblPr>
        <w:tblW w:w="8607" w:type="dxa"/>
        <w:jc w:val="center"/>
        <w:tblLayout w:type="fixed"/>
        <w:tblCellMar>
          <w:left w:w="70" w:type="dxa"/>
          <w:right w:w="70" w:type="dxa"/>
        </w:tblCellMar>
        <w:tblLook w:val="04A0" w:firstRow="1" w:lastRow="0" w:firstColumn="1" w:lastColumn="0" w:noHBand="0" w:noVBand="1"/>
      </w:tblPr>
      <w:tblGrid>
        <w:gridCol w:w="3080"/>
        <w:gridCol w:w="815"/>
        <w:gridCol w:w="580"/>
        <w:gridCol w:w="580"/>
        <w:gridCol w:w="579"/>
        <w:gridCol w:w="579"/>
        <w:gridCol w:w="579"/>
        <w:gridCol w:w="579"/>
        <w:gridCol w:w="579"/>
        <w:gridCol w:w="657"/>
      </w:tblGrid>
      <w:tr w:rsidR="00D45171" w:rsidRPr="004C54B9" w14:paraId="1834E639" w14:textId="77777777" w:rsidTr="002C7555">
        <w:trPr>
          <w:trHeight w:val="391"/>
          <w:jc w:val="center"/>
        </w:trPr>
        <w:tc>
          <w:tcPr>
            <w:tcW w:w="8607" w:type="dxa"/>
            <w:gridSpan w:val="10"/>
            <w:tcBorders>
              <w:top w:val="nil"/>
              <w:left w:val="nil"/>
              <w:bottom w:val="single" w:sz="4" w:space="0" w:color="auto"/>
              <w:right w:val="nil"/>
            </w:tcBorders>
            <w:shd w:val="clear" w:color="auto" w:fill="auto"/>
            <w:noWrap/>
            <w:vAlign w:val="center"/>
          </w:tcPr>
          <w:p w14:paraId="3D44EC95" w14:textId="741FCA5A" w:rsidR="00D45171" w:rsidRPr="00780749" w:rsidRDefault="00D45171" w:rsidP="00D45171">
            <w:pPr>
              <w:spacing w:after="0" w:line="240" w:lineRule="auto"/>
              <w:rPr>
                <w:rFonts w:ascii="Arial Narrow" w:hAnsi="Arial Narrow"/>
                <w:b/>
                <w:bCs/>
                <w:sz w:val="20"/>
                <w:szCs w:val="20"/>
              </w:rPr>
            </w:pPr>
            <w:r>
              <w:rPr>
                <w:rFonts w:ascii="Arial Narrow" w:hAnsi="Arial Narrow"/>
                <w:b/>
                <w:bCs/>
                <w:color w:val="2C9ADC"/>
                <w:sz w:val="20"/>
              </w:rPr>
              <w:t xml:space="preserve">Výsledkové </w:t>
            </w:r>
            <w:r w:rsidRPr="005B2D64">
              <w:rPr>
                <w:rFonts w:ascii="Arial Narrow" w:hAnsi="Arial Narrow"/>
                <w:b/>
                <w:bCs/>
                <w:color w:val="2C9ADC"/>
                <w:sz w:val="20"/>
              </w:rPr>
              <w:t xml:space="preserve">indikátory pre </w:t>
            </w:r>
            <w:r>
              <w:rPr>
                <w:rFonts w:ascii="Arial Narrow" w:hAnsi="Arial Narrow"/>
                <w:b/>
                <w:bCs/>
                <w:color w:val="2C9ADC"/>
                <w:sz w:val="20"/>
              </w:rPr>
              <w:t>modernizáciu verejnej správy a podnikateľské prostredie</w:t>
            </w:r>
          </w:p>
        </w:tc>
      </w:tr>
      <w:tr w:rsidR="00650B15" w:rsidRPr="004C54B9" w14:paraId="1E61A570" w14:textId="77777777" w:rsidTr="00D45171">
        <w:trPr>
          <w:trHeight w:val="391"/>
          <w:jc w:val="center"/>
        </w:trPr>
        <w:tc>
          <w:tcPr>
            <w:tcW w:w="3080" w:type="dxa"/>
            <w:tcBorders>
              <w:top w:val="nil"/>
              <w:left w:val="nil"/>
              <w:bottom w:val="single" w:sz="4" w:space="0" w:color="auto"/>
              <w:right w:val="nil"/>
            </w:tcBorders>
            <w:shd w:val="clear" w:color="auto" w:fill="auto"/>
            <w:noWrap/>
            <w:vAlign w:val="center"/>
          </w:tcPr>
          <w:p w14:paraId="79C46D02" w14:textId="77777777" w:rsidR="00650B15" w:rsidRPr="00780749" w:rsidRDefault="00650B15" w:rsidP="00B36B07">
            <w:pPr>
              <w:spacing w:after="0" w:line="240" w:lineRule="auto"/>
              <w:rPr>
                <w:rFonts w:ascii="Arial Narrow" w:hAnsi="Arial Narrow"/>
                <w:b/>
                <w:bCs/>
                <w:color w:val="FFFFFF"/>
                <w:sz w:val="20"/>
                <w:szCs w:val="20"/>
              </w:rPr>
            </w:pPr>
            <w:r w:rsidRPr="00780749">
              <w:rPr>
                <w:rFonts w:ascii="Arial Narrow" w:hAnsi="Arial Narrow"/>
                <w:b/>
                <w:bCs/>
                <w:color w:val="FFFFFF"/>
                <w:sz w:val="20"/>
                <w:szCs w:val="20"/>
              </w:rPr>
              <w:t> </w:t>
            </w:r>
          </w:p>
        </w:tc>
        <w:tc>
          <w:tcPr>
            <w:tcW w:w="815" w:type="dxa"/>
            <w:tcBorders>
              <w:top w:val="nil"/>
              <w:left w:val="nil"/>
              <w:bottom w:val="single" w:sz="4" w:space="0" w:color="auto"/>
              <w:right w:val="nil"/>
            </w:tcBorders>
            <w:shd w:val="clear" w:color="auto" w:fill="auto"/>
            <w:noWrap/>
            <w:vAlign w:val="center"/>
          </w:tcPr>
          <w:p w14:paraId="7F96D238" w14:textId="77777777" w:rsidR="00650B15" w:rsidRPr="00780749" w:rsidRDefault="00650B15" w:rsidP="00B36B07">
            <w:pPr>
              <w:spacing w:after="0" w:line="240" w:lineRule="auto"/>
              <w:rPr>
                <w:rFonts w:ascii="Arial Narrow" w:hAnsi="Arial Narrow"/>
                <w:b/>
                <w:bCs/>
                <w:color w:val="FFFFFF"/>
                <w:sz w:val="20"/>
                <w:szCs w:val="20"/>
              </w:rPr>
            </w:pPr>
            <w:r w:rsidRPr="00780749">
              <w:rPr>
                <w:rFonts w:ascii="Arial Narrow" w:hAnsi="Arial Narrow"/>
                <w:b/>
                <w:bCs/>
                <w:color w:val="FFFFFF"/>
                <w:sz w:val="20"/>
                <w:szCs w:val="20"/>
              </w:rPr>
              <w:t> </w:t>
            </w:r>
          </w:p>
        </w:tc>
        <w:tc>
          <w:tcPr>
            <w:tcW w:w="580" w:type="dxa"/>
            <w:tcBorders>
              <w:top w:val="nil"/>
              <w:left w:val="nil"/>
              <w:bottom w:val="single" w:sz="4" w:space="0" w:color="auto"/>
              <w:right w:val="nil"/>
            </w:tcBorders>
            <w:shd w:val="clear" w:color="auto" w:fill="auto"/>
            <w:vAlign w:val="center"/>
          </w:tcPr>
          <w:p w14:paraId="580BAF25" w14:textId="77777777" w:rsidR="00650B15" w:rsidRPr="00780749" w:rsidRDefault="00650B15" w:rsidP="00B36B07">
            <w:pPr>
              <w:spacing w:after="0" w:line="240" w:lineRule="auto"/>
              <w:jc w:val="center"/>
              <w:rPr>
                <w:rFonts w:ascii="Arial Narrow" w:hAnsi="Arial Narrow"/>
                <w:b/>
                <w:bCs/>
                <w:sz w:val="20"/>
                <w:szCs w:val="20"/>
              </w:rPr>
            </w:pPr>
            <w:r w:rsidRPr="00780749">
              <w:rPr>
                <w:rFonts w:ascii="Arial Narrow" w:hAnsi="Arial Narrow"/>
                <w:b/>
                <w:bCs/>
                <w:sz w:val="20"/>
                <w:szCs w:val="20"/>
              </w:rPr>
              <w:t>2012</w:t>
            </w:r>
          </w:p>
        </w:tc>
        <w:tc>
          <w:tcPr>
            <w:tcW w:w="580" w:type="dxa"/>
            <w:tcBorders>
              <w:top w:val="nil"/>
              <w:left w:val="nil"/>
              <w:bottom w:val="single" w:sz="4" w:space="0" w:color="auto"/>
              <w:right w:val="nil"/>
            </w:tcBorders>
            <w:shd w:val="clear" w:color="auto" w:fill="auto"/>
            <w:vAlign w:val="center"/>
          </w:tcPr>
          <w:p w14:paraId="534B0192" w14:textId="77777777" w:rsidR="00650B15" w:rsidRPr="00780749" w:rsidRDefault="00650B15" w:rsidP="00B36B07">
            <w:pPr>
              <w:spacing w:after="0" w:line="240" w:lineRule="auto"/>
              <w:jc w:val="center"/>
              <w:rPr>
                <w:rFonts w:ascii="Arial Narrow" w:hAnsi="Arial Narrow"/>
                <w:b/>
                <w:bCs/>
                <w:sz w:val="20"/>
                <w:szCs w:val="20"/>
              </w:rPr>
            </w:pPr>
            <w:r w:rsidRPr="00780749">
              <w:rPr>
                <w:rFonts w:ascii="Arial Narrow" w:hAnsi="Arial Narrow"/>
                <w:b/>
                <w:bCs/>
                <w:sz w:val="20"/>
                <w:szCs w:val="20"/>
              </w:rPr>
              <w:t>2013</w:t>
            </w:r>
          </w:p>
        </w:tc>
        <w:tc>
          <w:tcPr>
            <w:tcW w:w="579" w:type="dxa"/>
            <w:tcBorders>
              <w:top w:val="nil"/>
              <w:left w:val="nil"/>
              <w:bottom w:val="single" w:sz="4" w:space="0" w:color="auto"/>
              <w:right w:val="nil"/>
            </w:tcBorders>
            <w:shd w:val="clear" w:color="auto" w:fill="auto"/>
            <w:vAlign w:val="center"/>
          </w:tcPr>
          <w:p w14:paraId="7F8823CA" w14:textId="77777777" w:rsidR="00650B15" w:rsidRPr="00780749" w:rsidRDefault="00650B15" w:rsidP="00B36B07">
            <w:pPr>
              <w:spacing w:after="0" w:line="240" w:lineRule="auto"/>
              <w:jc w:val="center"/>
              <w:rPr>
                <w:rFonts w:ascii="Arial Narrow" w:hAnsi="Arial Narrow"/>
                <w:b/>
                <w:bCs/>
                <w:sz w:val="20"/>
                <w:szCs w:val="20"/>
              </w:rPr>
            </w:pPr>
            <w:r w:rsidRPr="00780749">
              <w:rPr>
                <w:rFonts w:ascii="Arial Narrow" w:hAnsi="Arial Narrow"/>
                <w:b/>
                <w:bCs/>
                <w:sz w:val="20"/>
                <w:szCs w:val="20"/>
              </w:rPr>
              <w:t>2014</w:t>
            </w:r>
          </w:p>
        </w:tc>
        <w:tc>
          <w:tcPr>
            <w:tcW w:w="579" w:type="dxa"/>
            <w:tcBorders>
              <w:top w:val="nil"/>
              <w:left w:val="nil"/>
              <w:bottom w:val="single" w:sz="4" w:space="0" w:color="auto"/>
              <w:right w:val="nil"/>
            </w:tcBorders>
            <w:shd w:val="clear" w:color="auto" w:fill="auto"/>
            <w:vAlign w:val="center"/>
          </w:tcPr>
          <w:p w14:paraId="24D1EFD9" w14:textId="77777777" w:rsidR="00650B15" w:rsidRPr="00780749" w:rsidRDefault="00650B15" w:rsidP="00B36B07">
            <w:pPr>
              <w:spacing w:after="0" w:line="240" w:lineRule="auto"/>
              <w:jc w:val="center"/>
              <w:rPr>
                <w:rFonts w:ascii="Arial Narrow" w:hAnsi="Arial Narrow"/>
                <w:b/>
                <w:bCs/>
                <w:sz w:val="20"/>
                <w:szCs w:val="20"/>
              </w:rPr>
            </w:pPr>
            <w:r w:rsidRPr="00780749">
              <w:rPr>
                <w:rFonts w:ascii="Arial Narrow" w:hAnsi="Arial Narrow"/>
                <w:b/>
                <w:bCs/>
                <w:sz w:val="20"/>
                <w:szCs w:val="20"/>
              </w:rPr>
              <w:t>2015</w:t>
            </w:r>
          </w:p>
        </w:tc>
        <w:tc>
          <w:tcPr>
            <w:tcW w:w="579" w:type="dxa"/>
            <w:tcBorders>
              <w:top w:val="nil"/>
              <w:left w:val="nil"/>
              <w:bottom w:val="single" w:sz="4" w:space="0" w:color="auto"/>
              <w:right w:val="nil"/>
            </w:tcBorders>
            <w:shd w:val="clear" w:color="auto" w:fill="auto"/>
            <w:vAlign w:val="center"/>
          </w:tcPr>
          <w:p w14:paraId="24EB2E3A" w14:textId="77777777" w:rsidR="00650B15" w:rsidRPr="00780749" w:rsidRDefault="00650B15" w:rsidP="00B36B07">
            <w:pPr>
              <w:spacing w:after="0" w:line="240" w:lineRule="auto"/>
              <w:jc w:val="center"/>
              <w:rPr>
                <w:rFonts w:ascii="Arial Narrow" w:hAnsi="Arial Narrow"/>
                <w:b/>
                <w:bCs/>
                <w:sz w:val="20"/>
                <w:szCs w:val="20"/>
              </w:rPr>
            </w:pPr>
            <w:r w:rsidRPr="00780749">
              <w:rPr>
                <w:rFonts w:ascii="Arial Narrow" w:hAnsi="Arial Narrow"/>
                <w:b/>
                <w:bCs/>
                <w:sz w:val="20"/>
                <w:szCs w:val="20"/>
              </w:rPr>
              <w:t>2016</w:t>
            </w:r>
          </w:p>
        </w:tc>
        <w:tc>
          <w:tcPr>
            <w:tcW w:w="579" w:type="dxa"/>
            <w:tcBorders>
              <w:top w:val="nil"/>
              <w:left w:val="nil"/>
              <w:bottom w:val="single" w:sz="4" w:space="0" w:color="auto"/>
              <w:right w:val="nil"/>
            </w:tcBorders>
            <w:shd w:val="clear" w:color="auto" w:fill="auto"/>
            <w:vAlign w:val="center"/>
          </w:tcPr>
          <w:p w14:paraId="6D592B1A" w14:textId="77777777" w:rsidR="00650B15" w:rsidRPr="00780749" w:rsidRDefault="00650B15" w:rsidP="00B36B07">
            <w:pPr>
              <w:spacing w:after="0" w:line="240" w:lineRule="auto"/>
              <w:jc w:val="center"/>
              <w:rPr>
                <w:rFonts w:ascii="Arial Narrow" w:hAnsi="Arial Narrow"/>
                <w:b/>
                <w:bCs/>
                <w:sz w:val="20"/>
                <w:szCs w:val="20"/>
              </w:rPr>
            </w:pPr>
            <w:r w:rsidRPr="00780749">
              <w:rPr>
                <w:rFonts w:ascii="Arial Narrow" w:hAnsi="Arial Narrow"/>
                <w:b/>
                <w:bCs/>
                <w:sz w:val="20"/>
                <w:szCs w:val="20"/>
              </w:rPr>
              <w:t>2017</w:t>
            </w:r>
          </w:p>
        </w:tc>
        <w:tc>
          <w:tcPr>
            <w:tcW w:w="579" w:type="dxa"/>
            <w:tcBorders>
              <w:top w:val="nil"/>
              <w:left w:val="nil"/>
              <w:bottom w:val="single" w:sz="4" w:space="0" w:color="auto"/>
              <w:right w:val="nil"/>
            </w:tcBorders>
            <w:shd w:val="clear" w:color="auto" w:fill="auto"/>
            <w:vAlign w:val="center"/>
          </w:tcPr>
          <w:p w14:paraId="10D781F4" w14:textId="77777777" w:rsidR="00650B15" w:rsidRPr="00780749" w:rsidRDefault="00650B15" w:rsidP="00B36B07">
            <w:pPr>
              <w:spacing w:after="0" w:line="240" w:lineRule="auto"/>
              <w:jc w:val="center"/>
              <w:rPr>
                <w:rFonts w:ascii="Arial Narrow" w:hAnsi="Arial Narrow"/>
                <w:b/>
                <w:bCs/>
                <w:sz w:val="20"/>
                <w:szCs w:val="20"/>
              </w:rPr>
            </w:pPr>
            <w:r w:rsidRPr="00780749">
              <w:rPr>
                <w:rFonts w:ascii="Arial Narrow" w:hAnsi="Arial Narrow"/>
                <w:b/>
                <w:bCs/>
                <w:sz w:val="20"/>
                <w:szCs w:val="20"/>
              </w:rPr>
              <w:t>2018</w:t>
            </w:r>
          </w:p>
        </w:tc>
        <w:tc>
          <w:tcPr>
            <w:tcW w:w="657" w:type="dxa"/>
            <w:tcBorders>
              <w:top w:val="nil"/>
              <w:left w:val="nil"/>
              <w:bottom w:val="single" w:sz="4" w:space="0" w:color="auto"/>
              <w:right w:val="nil"/>
            </w:tcBorders>
            <w:vAlign w:val="center"/>
          </w:tcPr>
          <w:p w14:paraId="5FF03D04" w14:textId="77777777" w:rsidR="00650B15" w:rsidRPr="00780749" w:rsidRDefault="00650B15" w:rsidP="00B36B07">
            <w:pPr>
              <w:spacing w:after="0" w:line="240" w:lineRule="auto"/>
              <w:jc w:val="center"/>
              <w:rPr>
                <w:rFonts w:ascii="Arial Narrow" w:hAnsi="Arial Narrow"/>
                <w:b/>
                <w:bCs/>
                <w:sz w:val="20"/>
                <w:szCs w:val="20"/>
              </w:rPr>
            </w:pPr>
            <w:r w:rsidRPr="00780749">
              <w:rPr>
                <w:rFonts w:ascii="Arial Narrow" w:hAnsi="Arial Narrow"/>
                <w:b/>
                <w:bCs/>
                <w:sz w:val="20"/>
                <w:szCs w:val="20"/>
              </w:rPr>
              <w:t xml:space="preserve">Cieľ </w:t>
            </w:r>
            <w:r w:rsidRPr="00780749">
              <w:rPr>
                <w:rFonts w:ascii="Arial Narrow" w:hAnsi="Arial Narrow"/>
                <w:b/>
                <w:bCs/>
                <w:sz w:val="20"/>
                <w:szCs w:val="20"/>
              </w:rPr>
              <w:br/>
              <w:t>2020</w:t>
            </w:r>
          </w:p>
        </w:tc>
      </w:tr>
      <w:tr w:rsidR="00650B15" w:rsidRPr="004C54B9" w14:paraId="5D3871A7" w14:textId="77777777" w:rsidTr="00D45171">
        <w:trPr>
          <w:trHeight w:val="263"/>
          <w:jc w:val="center"/>
        </w:trPr>
        <w:tc>
          <w:tcPr>
            <w:tcW w:w="3080" w:type="dxa"/>
            <w:tcBorders>
              <w:top w:val="single" w:sz="4" w:space="0" w:color="auto"/>
              <w:left w:val="nil"/>
              <w:bottom w:val="nil"/>
              <w:right w:val="nil"/>
            </w:tcBorders>
            <w:shd w:val="clear" w:color="auto" w:fill="auto"/>
            <w:noWrap/>
            <w:vAlign w:val="center"/>
            <w:hideMark/>
          </w:tcPr>
          <w:p w14:paraId="23146B24" w14:textId="77777777" w:rsidR="00650B15" w:rsidRPr="00780749" w:rsidRDefault="00650B15" w:rsidP="00650B15">
            <w:pPr>
              <w:spacing w:after="0" w:line="240" w:lineRule="auto"/>
              <w:jc w:val="both"/>
              <w:rPr>
                <w:rFonts w:ascii="Arial Narrow" w:hAnsi="Arial Narrow"/>
                <w:b/>
                <w:bCs/>
                <w:color w:val="000000"/>
                <w:sz w:val="20"/>
                <w:szCs w:val="20"/>
              </w:rPr>
            </w:pPr>
            <w:proofErr w:type="spellStart"/>
            <w:r w:rsidRPr="00780749">
              <w:rPr>
                <w:rFonts w:ascii="Arial Narrow" w:hAnsi="Arial Narrow"/>
                <w:b/>
                <w:bCs/>
                <w:color w:val="000000"/>
                <w:sz w:val="20"/>
                <w:szCs w:val="20"/>
              </w:rPr>
              <w:t>Doing</w:t>
            </w:r>
            <w:proofErr w:type="spellEnd"/>
            <w:r w:rsidRPr="00780749">
              <w:rPr>
                <w:rFonts w:ascii="Arial Narrow" w:hAnsi="Arial Narrow"/>
                <w:b/>
                <w:bCs/>
                <w:color w:val="000000"/>
                <w:sz w:val="20"/>
                <w:szCs w:val="20"/>
              </w:rPr>
              <w:t xml:space="preserve"> Business</w:t>
            </w:r>
          </w:p>
        </w:tc>
        <w:tc>
          <w:tcPr>
            <w:tcW w:w="815" w:type="dxa"/>
            <w:tcBorders>
              <w:top w:val="single" w:sz="4" w:space="0" w:color="auto"/>
              <w:left w:val="nil"/>
              <w:bottom w:val="nil"/>
              <w:right w:val="nil"/>
            </w:tcBorders>
            <w:shd w:val="clear" w:color="auto" w:fill="auto"/>
            <w:noWrap/>
            <w:vAlign w:val="center"/>
            <w:hideMark/>
          </w:tcPr>
          <w:p w14:paraId="615F196B" w14:textId="77777777" w:rsidR="00650B15" w:rsidRPr="00780749" w:rsidRDefault="00650B15" w:rsidP="00650B15">
            <w:pPr>
              <w:spacing w:after="0" w:line="240" w:lineRule="auto"/>
              <w:jc w:val="center"/>
              <w:rPr>
                <w:rFonts w:ascii="Arial Narrow" w:hAnsi="Arial Narrow"/>
                <w:b/>
                <w:bCs/>
                <w:color w:val="000000"/>
                <w:sz w:val="20"/>
                <w:szCs w:val="20"/>
              </w:rPr>
            </w:pPr>
            <w:r w:rsidRPr="00780749">
              <w:rPr>
                <w:rFonts w:ascii="Arial Narrow" w:hAnsi="Arial Narrow"/>
                <w:b/>
                <w:bCs/>
                <w:color w:val="000000"/>
                <w:sz w:val="20"/>
                <w:szCs w:val="20"/>
              </w:rPr>
              <w:t>SK</w:t>
            </w:r>
          </w:p>
        </w:tc>
        <w:tc>
          <w:tcPr>
            <w:tcW w:w="580" w:type="dxa"/>
            <w:tcBorders>
              <w:top w:val="nil"/>
              <w:left w:val="nil"/>
              <w:bottom w:val="nil"/>
              <w:right w:val="nil"/>
            </w:tcBorders>
            <w:shd w:val="clear" w:color="auto" w:fill="auto"/>
            <w:vAlign w:val="center"/>
            <w:hideMark/>
          </w:tcPr>
          <w:p w14:paraId="185F19CE" w14:textId="77777777" w:rsidR="00650B15" w:rsidRPr="00780749" w:rsidRDefault="00650B15" w:rsidP="00650B15">
            <w:pPr>
              <w:spacing w:after="0" w:line="240" w:lineRule="auto"/>
              <w:jc w:val="center"/>
              <w:rPr>
                <w:rFonts w:ascii="Arial Narrow" w:hAnsi="Arial Narrow"/>
                <w:color w:val="000000"/>
                <w:sz w:val="20"/>
                <w:szCs w:val="20"/>
              </w:rPr>
            </w:pPr>
            <w:r w:rsidRPr="00780749">
              <w:rPr>
                <w:rFonts w:ascii="Arial Narrow" w:hAnsi="Arial Narrow"/>
                <w:color w:val="000000"/>
                <w:sz w:val="20"/>
                <w:szCs w:val="20"/>
              </w:rPr>
              <w:t>-</w:t>
            </w:r>
          </w:p>
        </w:tc>
        <w:tc>
          <w:tcPr>
            <w:tcW w:w="580" w:type="dxa"/>
            <w:tcBorders>
              <w:top w:val="nil"/>
              <w:left w:val="nil"/>
              <w:bottom w:val="nil"/>
              <w:right w:val="nil"/>
            </w:tcBorders>
            <w:shd w:val="clear" w:color="auto" w:fill="auto"/>
            <w:vAlign w:val="center"/>
          </w:tcPr>
          <w:p w14:paraId="136DB7F3" w14:textId="77777777" w:rsidR="00650B15" w:rsidRPr="00780749" w:rsidRDefault="00650B15" w:rsidP="00650B15">
            <w:pPr>
              <w:spacing w:after="0" w:line="240" w:lineRule="auto"/>
              <w:jc w:val="center"/>
              <w:rPr>
                <w:rFonts w:ascii="Arial Narrow" w:hAnsi="Arial Narrow"/>
                <w:color w:val="000000"/>
                <w:sz w:val="20"/>
                <w:szCs w:val="20"/>
              </w:rPr>
            </w:pPr>
            <w:r w:rsidRPr="00780749">
              <w:rPr>
                <w:rFonts w:ascii="Arial Narrow" w:hAnsi="Arial Narrow"/>
                <w:color w:val="000000"/>
                <w:sz w:val="20"/>
                <w:szCs w:val="20"/>
              </w:rPr>
              <w:t>-</w:t>
            </w:r>
          </w:p>
        </w:tc>
        <w:tc>
          <w:tcPr>
            <w:tcW w:w="579" w:type="dxa"/>
            <w:tcBorders>
              <w:top w:val="nil"/>
              <w:left w:val="nil"/>
              <w:bottom w:val="nil"/>
              <w:right w:val="nil"/>
            </w:tcBorders>
            <w:shd w:val="clear" w:color="auto" w:fill="auto"/>
            <w:vAlign w:val="center"/>
          </w:tcPr>
          <w:p w14:paraId="73369D05" w14:textId="77777777" w:rsidR="00650B15" w:rsidRPr="00780749" w:rsidRDefault="00650B15" w:rsidP="00650B15">
            <w:pPr>
              <w:spacing w:after="0" w:line="240" w:lineRule="auto"/>
              <w:jc w:val="center"/>
              <w:rPr>
                <w:rFonts w:ascii="Arial Narrow" w:hAnsi="Arial Narrow"/>
                <w:color w:val="000000"/>
                <w:sz w:val="20"/>
                <w:szCs w:val="20"/>
              </w:rPr>
            </w:pPr>
            <w:r w:rsidRPr="00780749">
              <w:rPr>
                <w:rFonts w:ascii="Arial Narrow" w:hAnsi="Arial Narrow"/>
                <w:color w:val="000000"/>
                <w:sz w:val="20"/>
                <w:szCs w:val="20"/>
              </w:rPr>
              <w:t>-</w:t>
            </w:r>
          </w:p>
        </w:tc>
        <w:tc>
          <w:tcPr>
            <w:tcW w:w="579" w:type="dxa"/>
            <w:tcBorders>
              <w:top w:val="nil"/>
              <w:left w:val="nil"/>
              <w:bottom w:val="nil"/>
              <w:right w:val="nil"/>
            </w:tcBorders>
            <w:shd w:val="clear" w:color="auto" w:fill="auto"/>
            <w:vAlign w:val="center"/>
          </w:tcPr>
          <w:p w14:paraId="1132CE6B" w14:textId="49F8F1D3" w:rsidR="00650B15" w:rsidRPr="00650B15" w:rsidRDefault="00650B15" w:rsidP="00650B15">
            <w:pPr>
              <w:spacing w:after="0" w:line="240" w:lineRule="auto"/>
              <w:jc w:val="center"/>
              <w:rPr>
                <w:rFonts w:ascii="Arial Narrow" w:hAnsi="Arial Narrow"/>
                <w:color w:val="000000"/>
                <w:sz w:val="20"/>
                <w:szCs w:val="20"/>
              </w:rPr>
            </w:pPr>
            <w:r w:rsidRPr="00650B15">
              <w:rPr>
                <w:rFonts w:ascii="Arial Narrow" w:hAnsi="Arial Narrow"/>
                <w:sz w:val="20"/>
              </w:rPr>
              <w:t>34</w:t>
            </w:r>
          </w:p>
        </w:tc>
        <w:tc>
          <w:tcPr>
            <w:tcW w:w="579" w:type="dxa"/>
            <w:tcBorders>
              <w:top w:val="nil"/>
              <w:left w:val="nil"/>
              <w:bottom w:val="nil"/>
              <w:right w:val="nil"/>
            </w:tcBorders>
            <w:shd w:val="clear" w:color="auto" w:fill="auto"/>
            <w:vAlign w:val="center"/>
          </w:tcPr>
          <w:p w14:paraId="65258D40" w14:textId="3FA4F987" w:rsidR="00650B15" w:rsidRPr="00650B15" w:rsidRDefault="00650B15" w:rsidP="00650B15">
            <w:pPr>
              <w:spacing w:after="0" w:line="240" w:lineRule="auto"/>
              <w:jc w:val="center"/>
              <w:rPr>
                <w:rFonts w:ascii="Arial Narrow" w:hAnsi="Arial Narrow"/>
                <w:color w:val="000000"/>
                <w:sz w:val="20"/>
                <w:szCs w:val="20"/>
              </w:rPr>
            </w:pPr>
            <w:r w:rsidRPr="00650B15">
              <w:rPr>
                <w:rFonts w:ascii="Arial Narrow" w:hAnsi="Arial Narrow"/>
                <w:sz w:val="20"/>
              </w:rPr>
              <w:t>36</w:t>
            </w:r>
          </w:p>
        </w:tc>
        <w:tc>
          <w:tcPr>
            <w:tcW w:w="579" w:type="dxa"/>
            <w:tcBorders>
              <w:top w:val="nil"/>
              <w:left w:val="nil"/>
              <w:bottom w:val="nil"/>
              <w:right w:val="nil"/>
            </w:tcBorders>
            <w:shd w:val="clear" w:color="auto" w:fill="auto"/>
            <w:vAlign w:val="center"/>
          </w:tcPr>
          <w:p w14:paraId="6CA8BACC" w14:textId="67A795E1" w:rsidR="00650B15" w:rsidRPr="00650B15" w:rsidRDefault="00650B15" w:rsidP="00650B15">
            <w:pPr>
              <w:spacing w:after="0" w:line="240" w:lineRule="auto"/>
              <w:jc w:val="center"/>
              <w:rPr>
                <w:rFonts w:ascii="Arial Narrow" w:hAnsi="Arial Narrow"/>
                <w:color w:val="000000"/>
                <w:sz w:val="20"/>
                <w:szCs w:val="20"/>
              </w:rPr>
            </w:pPr>
            <w:r w:rsidRPr="00650B15">
              <w:rPr>
                <w:rFonts w:ascii="Arial Narrow" w:hAnsi="Arial Narrow"/>
                <w:sz w:val="20"/>
              </w:rPr>
              <w:t>39</w:t>
            </w:r>
          </w:p>
        </w:tc>
        <w:tc>
          <w:tcPr>
            <w:tcW w:w="579" w:type="dxa"/>
            <w:tcBorders>
              <w:top w:val="nil"/>
              <w:left w:val="nil"/>
              <w:bottom w:val="nil"/>
              <w:right w:val="nil"/>
            </w:tcBorders>
            <w:shd w:val="clear" w:color="auto" w:fill="auto"/>
            <w:vAlign w:val="center"/>
          </w:tcPr>
          <w:p w14:paraId="20130931" w14:textId="2DF7491C" w:rsidR="00650B15" w:rsidRPr="00650B15" w:rsidRDefault="00650B15" w:rsidP="00650B15">
            <w:pPr>
              <w:spacing w:after="0" w:line="240" w:lineRule="auto"/>
              <w:jc w:val="center"/>
              <w:rPr>
                <w:rFonts w:ascii="Arial Narrow" w:hAnsi="Arial Narrow"/>
                <w:color w:val="000000"/>
                <w:sz w:val="20"/>
                <w:szCs w:val="20"/>
              </w:rPr>
            </w:pPr>
            <w:r w:rsidRPr="00650B15">
              <w:rPr>
                <w:rFonts w:ascii="Arial Narrow" w:hAnsi="Arial Narrow"/>
                <w:sz w:val="20"/>
              </w:rPr>
              <w:t>42</w:t>
            </w:r>
          </w:p>
        </w:tc>
        <w:tc>
          <w:tcPr>
            <w:tcW w:w="657" w:type="dxa"/>
            <w:tcBorders>
              <w:top w:val="nil"/>
              <w:left w:val="nil"/>
              <w:bottom w:val="nil"/>
              <w:right w:val="nil"/>
            </w:tcBorders>
            <w:shd w:val="clear" w:color="auto" w:fill="auto"/>
            <w:vAlign w:val="center"/>
          </w:tcPr>
          <w:p w14:paraId="5ECC4323" w14:textId="614E694A" w:rsidR="00650B15" w:rsidRPr="00780749" w:rsidRDefault="00650B15" w:rsidP="00650B15">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r>
      <w:tr w:rsidR="00650B15" w:rsidRPr="004C54B9" w14:paraId="0F23C785" w14:textId="77777777" w:rsidTr="00D45171">
        <w:trPr>
          <w:trHeight w:val="178"/>
          <w:jc w:val="center"/>
        </w:trPr>
        <w:tc>
          <w:tcPr>
            <w:tcW w:w="3080" w:type="dxa"/>
            <w:tcBorders>
              <w:top w:val="nil"/>
              <w:left w:val="nil"/>
              <w:right w:val="nil"/>
            </w:tcBorders>
            <w:shd w:val="clear" w:color="auto" w:fill="auto"/>
            <w:noWrap/>
            <w:vAlign w:val="center"/>
            <w:hideMark/>
          </w:tcPr>
          <w:p w14:paraId="596CE8A3" w14:textId="77777777" w:rsidR="00650B15" w:rsidRPr="00484218" w:rsidRDefault="00650B15" w:rsidP="00650B15">
            <w:pPr>
              <w:spacing w:after="0" w:line="240" w:lineRule="auto"/>
              <w:jc w:val="both"/>
              <w:rPr>
                <w:rFonts w:ascii="Arial Narrow" w:hAnsi="Arial Narrow"/>
                <w:color w:val="000000"/>
                <w:sz w:val="20"/>
                <w:szCs w:val="20"/>
              </w:rPr>
            </w:pPr>
            <w:r w:rsidRPr="00484218">
              <w:rPr>
                <w:rFonts w:ascii="Arial Narrow" w:hAnsi="Arial Narrow"/>
                <w:color w:val="000000"/>
                <w:sz w:val="20"/>
                <w:szCs w:val="20"/>
              </w:rPr>
              <w:t>(poradie v rebríčku Svetovej banky)</w:t>
            </w:r>
          </w:p>
        </w:tc>
        <w:tc>
          <w:tcPr>
            <w:tcW w:w="815" w:type="dxa"/>
            <w:tcBorders>
              <w:top w:val="nil"/>
              <w:left w:val="nil"/>
              <w:right w:val="nil"/>
            </w:tcBorders>
            <w:shd w:val="clear" w:color="auto" w:fill="auto"/>
            <w:noWrap/>
            <w:vAlign w:val="center"/>
            <w:hideMark/>
          </w:tcPr>
          <w:p w14:paraId="42258E4E" w14:textId="77777777" w:rsidR="00650B15" w:rsidRPr="00484218" w:rsidRDefault="00650B15" w:rsidP="00650B15">
            <w:pPr>
              <w:spacing w:after="0" w:line="240" w:lineRule="auto"/>
              <w:jc w:val="center"/>
              <w:rPr>
                <w:rFonts w:ascii="Arial Narrow" w:hAnsi="Arial Narrow"/>
                <w:b/>
                <w:bCs/>
                <w:color w:val="000000"/>
                <w:sz w:val="20"/>
                <w:szCs w:val="20"/>
              </w:rPr>
            </w:pPr>
            <w:r w:rsidRPr="00484218">
              <w:rPr>
                <w:rFonts w:ascii="Arial Narrow" w:hAnsi="Arial Narrow"/>
                <w:b/>
                <w:bCs/>
                <w:color w:val="000000"/>
                <w:sz w:val="20"/>
                <w:szCs w:val="20"/>
              </w:rPr>
              <w:t>EÚ</w:t>
            </w:r>
          </w:p>
        </w:tc>
        <w:tc>
          <w:tcPr>
            <w:tcW w:w="580" w:type="dxa"/>
            <w:tcBorders>
              <w:top w:val="nil"/>
              <w:left w:val="nil"/>
              <w:right w:val="nil"/>
            </w:tcBorders>
            <w:shd w:val="clear" w:color="auto" w:fill="auto"/>
            <w:vAlign w:val="center"/>
            <w:hideMark/>
          </w:tcPr>
          <w:p w14:paraId="35D11F0D" w14:textId="77777777" w:rsidR="00650B15" w:rsidRPr="00484218" w:rsidRDefault="00650B15" w:rsidP="00650B15">
            <w:pPr>
              <w:spacing w:after="0" w:line="240" w:lineRule="auto"/>
              <w:jc w:val="center"/>
              <w:rPr>
                <w:rFonts w:ascii="Arial Narrow" w:hAnsi="Arial Narrow"/>
                <w:color w:val="000000"/>
                <w:sz w:val="20"/>
                <w:szCs w:val="20"/>
                <w:highlight w:val="yellow"/>
              </w:rPr>
            </w:pPr>
            <w:r w:rsidRPr="00484218">
              <w:rPr>
                <w:rFonts w:ascii="Arial Narrow" w:hAnsi="Arial Narrow"/>
                <w:color w:val="000000"/>
                <w:sz w:val="20"/>
                <w:szCs w:val="20"/>
              </w:rPr>
              <w:t>-</w:t>
            </w:r>
          </w:p>
        </w:tc>
        <w:tc>
          <w:tcPr>
            <w:tcW w:w="580" w:type="dxa"/>
            <w:tcBorders>
              <w:top w:val="nil"/>
              <w:left w:val="nil"/>
              <w:right w:val="nil"/>
            </w:tcBorders>
            <w:shd w:val="clear" w:color="auto" w:fill="auto"/>
            <w:vAlign w:val="center"/>
          </w:tcPr>
          <w:p w14:paraId="32A111F6" w14:textId="77777777" w:rsidR="00650B15" w:rsidRPr="00484218" w:rsidRDefault="00650B15" w:rsidP="00650B15">
            <w:pPr>
              <w:spacing w:after="0" w:line="240" w:lineRule="auto"/>
              <w:jc w:val="center"/>
              <w:rPr>
                <w:rFonts w:ascii="Arial Narrow" w:hAnsi="Arial Narrow"/>
                <w:color w:val="000000"/>
                <w:sz w:val="20"/>
                <w:szCs w:val="20"/>
                <w:highlight w:val="yellow"/>
              </w:rPr>
            </w:pPr>
            <w:r w:rsidRPr="00484218">
              <w:rPr>
                <w:rFonts w:ascii="Arial Narrow" w:hAnsi="Arial Narrow"/>
                <w:color w:val="000000"/>
                <w:sz w:val="20"/>
                <w:szCs w:val="20"/>
              </w:rPr>
              <w:t>-</w:t>
            </w:r>
          </w:p>
        </w:tc>
        <w:tc>
          <w:tcPr>
            <w:tcW w:w="579" w:type="dxa"/>
            <w:tcBorders>
              <w:top w:val="nil"/>
              <w:left w:val="nil"/>
              <w:right w:val="nil"/>
            </w:tcBorders>
            <w:shd w:val="clear" w:color="auto" w:fill="auto"/>
            <w:vAlign w:val="center"/>
          </w:tcPr>
          <w:p w14:paraId="683AD4D8" w14:textId="77777777" w:rsidR="00650B15" w:rsidRPr="00484218" w:rsidRDefault="00650B15" w:rsidP="00650B15">
            <w:pPr>
              <w:spacing w:after="0" w:line="240" w:lineRule="auto"/>
              <w:jc w:val="center"/>
              <w:rPr>
                <w:rFonts w:ascii="Arial Narrow" w:hAnsi="Arial Narrow"/>
                <w:color w:val="000000"/>
                <w:sz w:val="20"/>
                <w:szCs w:val="20"/>
                <w:highlight w:val="yellow"/>
              </w:rPr>
            </w:pPr>
            <w:r w:rsidRPr="00484218">
              <w:rPr>
                <w:rFonts w:ascii="Arial Narrow" w:hAnsi="Arial Narrow"/>
                <w:color w:val="000000"/>
                <w:sz w:val="20"/>
                <w:szCs w:val="20"/>
              </w:rPr>
              <w:t>-</w:t>
            </w:r>
          </w:p>
        </w:tc>
        <w:tc>
          <w:tcPr>
            <w:tcW w:w="579" w:type="dxa"/>
            <w:tcBorders>
              <w:top w:val="nil"/>
              <w:left w:val="nil"/>
              <w:right w:val="nil"/>
            </w:tcBorders>
            <w:shd w:val="clear" w:color="auto" w:fill="auto"/>
            <w:vAlign w:val="center"/>
          </w:tcPr>
          <w:p w14:paraId="34045170" w14:textId="1217AB2F" w:rsidR="00650B15" w:rsidRPr="00650B15" w:rsidRDefault="00650B15" w:rsidP="00650B15">
            <w:pPr>
              <w:spacing w:after="0" w:line="240" w:lineRule="auto"/>
              <w:jc w:val="center"/>
              <w:rPr>
                <w:rFonts w:ascii="Arial Narrow" w:hAnsi="Arial Narrow"/>
                <w:color w:val="000000"/>
                <w:sz w:val="20"/>
                <w:szCs w:val="20"/>
                <w:highlight w:val="yellow"/>
              </w:rPr>
            </w:pPr>
            <w:r w:rsidRPr="00650B15">
              <w:rPr>
                <w:rFonts w:ascii="Arial Narrow" w:hAnsi="Arial Narrow"/>
                <w:sz w:val="20"/>
              </w:rPr>
              <w:t>31</w:t>
            </w:r>
          </w:p>
        </w:tc>
        <w:tc>
          <w:tcPr>
            <w:tcW w:w="579" w:type="dxa"/>
            <w:tcBorders>
              <w:top w:val="nil"/>
              <w:left w:val="nil"/>
              <w:right w:val="nil"/>
            </w:tcBorders>
            <w:shd w:val="clear" w:color="auto" w:fill="auto"/>
            <w:vAlign w:val="center"/>
          </w:tcPr>
          <w:p w14:paraId="24B50FE7" w14:textId="264465A3" w:rsidR="00650B15" w:rsidRPr="00650B15" w:rsidRDefault="00650B15" w:rsidP="00650B15">
            <w:pPr>
              <w:spacing w:after="0" w:line="240" w:lineRule="auto"/>
              <w:jc w:val="center"/>
              <w:rPr>
                <w:rFonts w:ascii="Arial Narrow" w:hAnsi="Arial Narrow"/>
                <w:color w:val="000000"/>
                <w:sz w:val="20"/>
                <w:szCs w:val="20"/>
                <w:highlight w:val="yellow"/>
              </w:rPr>
            </w:pPr>
            <w:r w:rsidRPr="00650B15">
              <w:rPr>
                <w:rFonts w:ascii="Arial Narrow" w:hAnsi="Arial Narrow"/>
                <w:sz w:val="20"/>
              </w:rPr>
              <w:t>32</w:t>
            </w:r>
          </w:p>
        </w:tc>
        <w:tc>
          <w:tcPr>
            <w:tcW w:w="579" w:type="dxa"/>
            <w:tcBorders>
              <w:top w:val="nil"/>
              <w:left w:val="nil"/>
              <w:right w:val="nil"/>
            </w:tcBorders>
            <w:shd w:val="clear" w:color="auto" w:fill="auto"/>
            <w:vAlign w:val="center"/>
          </w:tcPr>
          <w:p w14:paraId="512FDF11" w14:textId="608B5AC1" w:rsidR="00650B15" w:rsidRPr="00650B15" w:rsidRDefault="00650B15" w:rsidP="00650B15">
            <w:pPr>
              <w:spacing w:after="0" w:line="240" w:lineRule="auto"/>
              <w:jc w:val="center"/>
              <w:rPr>
                <w:rFonts w:ascii="Arial Narrow" w:hAnsi="Arial Narrow"/>
                <w:color w:val="000000"/>
                <w:sz w:val="20"/>
                <w:szCs w:val="20"/>
                <w:highlight w:val="yellow"/>
              </w:rPr>
            </w:pPr>
            <w:r w:rsidRPr="00650B15">
              <w:rPr>
                <w:rFonts w:ascii="Arial Narrow" w:hAnsi="Arial Narrow"/>
                <w:sz w:val="20"/>
              </w:rPr>
              <w:t>35</w:t>
            </w:r>
          </w:p>
        </w:tc>
        <w:tc>
          <w:tcPr>
            <w:tcW w:w="579" w:type="dxa"/>
            <w:tcBorders>
              <w:top w:val="nil"/>
              <w:left w:val="nil"/>
              <w:right w:val="nil"/>
            </w:tcBorders>
            <w:shd w:val="clear" w:color="auto" w:fill="auto"/>
            <w:vAlign w:val="center"/>
          </w:tcPr>
          <w:p w14:paraId="348D7A53" w14:textId="045A5C14" w:rsidR="00650B15" w:rsidRPr="00650B15" w:rsidRDefault="00650B15" w:rsidP="00650B15">
            <w:pPr>
              <w:spacing w:after="0" w:line="240" w:lineRule="auto"/>
              <w:jc w:val="center"/>
              <w:rPr>
                <w:rFonts w:ascii="Arial Narrow" w:hAnsi="Arial Narrow"/>
                <w:color w:val="000000"/>
                <w:sz w:val="20"/>
                <w:szCs w:val="20"/>
                <w:highlight w:val="yellow"/>
              </w:rPr>
            </w:pPr>
            <w:r w:rsidRPr="00650B15">
              <w:rPr>
                <w:rFonts w:ascii="Arial Narrow" w:hAnsi="Arial Narrow"/>
                <w:sz w:val="20"/>
              </w:rPr>
              <w:t>37</w:t>
            </w:r>
          </w:p>
        </w:tc>
        <w:tc>
          <w:tcPr>
            <w:tcW w:w="657" w:type="dxa"/>
            <w:tcBorders>
              <w:top w:val="nil"/>
              <w:left w:val="nil"/>
              <w:right w:val="nil"/>
            </w:tcBorders>
            <w:vAlign w:val="center"/>
          </w:tcPr>
          <w:p w14:paraId="6EE981C1" w14:textId="77777777" w:rsidR="00650B15" w:rsidRPr="00484218" w:rsidRDefault="00650B15" w:rsidP="00650B15">
            <w:pPr>
              <w:spacing w:after="0" w:line="240" w:lineRule="auto"/>
              <w:jc w:val="center"/>
              <w:rPr>
                <w:rFonts w:ascii="Arial Narrow" w:hAnsi="Arial Narrow"/>
                <w:color w:val="000000"/>
                <w:sz w:val="20"/>
                <w:szCs w:val="20"/>
                <w:highlight w:val="yellow"/>
              </w:rPr>
            </w:pPr>
            <w:r w:rsidRPr="00484218">
              <w:rPr>
                <w:rFonts w:ascii="Arial Narrow" w:hAnsi="Arial Narrow"/>
                <w:color w:val="000000"/>
                <w:sz w:val="20"/>
                <w:szCs w:val="20"/>
              </w:rPr>
              <w:t>-</w:t>
            </w:r>
          </w:p>
        </w:tc>
      </w:tr>
      <w:tr w:rsidR="00650B15" w:rsidRPr="004C54B9" w14:paraId="2BA5B988" w14:textId="77777777" w:rsidTr="00D45171">
        <w:trPr>
          <w:trHeight w:val="263"/>
          <w:jc w:val="center"/>
        </w:trPr>
        <w:tc>
          <w:tcPr>
            <w:tcW w:w="3080" w:type="dxa"/>
            <w:tcBorders>
              <w:top w:val="nil"/>
              <w:left w:val="nil"/>
              <w:bottom w:val="single" w:sz="4" w:space="0" w:color="auto"/>
              <w:right w:val="nil"/>
            </w:tcBorders>
            <w:shd w:val="clear" w:color="auto" w:fill="auto"/>
            <w:noWrap/>
            <w:vAlign w:val="center"/>
          </w:tcPr>
          <w:p w14:paraId="6AA9FD46" w14:textId="77777777" w:rsidR="00650B15" w:rsidRPr="00484218" w:rsidRDefault="00650B15" w:rsidP="00650B15">
            <w:pPr>
              <w:spacing w:after="0" w:line="240" w:lineRule="auto"/>
              <w:jc w:val="both"/>
              <w:rPr>
                <w:rFonts w:ascii="Arial Narrow" w:hAnsi="Arial Narrow"/>
                <w:color w:val="000000"/>
                <w:sz w:val="20"/>
                <w:szCs w:val="20"/>
              </w:rPr>
            </w:pPr>
          </w:p>
        </w:tc>
        <w:tc>
          <w:tcPr>
            <w:tcW w:w="815" w:type="dxa"/>
            <w:tcBorders>
              <w:top w:val="nil"/>
              <w:left w:val="nil"/>
              <w:bottom w:val="single" w:sz="4" w:space="0" w:color="auto"/>
              <w:right w:val="nil"/>
            </w:tcBorders>
            <w:shd w:val="clear" w:color="auto" w:fill="auto"/>
            <w:noWrap/>
            <w:vAlign w:val="center"/>
          </w:tcPr>
          <w:p w14:paraId="16665CF8" w14:textId="77777777" w:rsidR="00650B15" w:rsidRPr="00484218" w:rsidRDefault="00650B15" w:rsidP="00650B15">
            <w:pPr>
              <w:spacing w:after="0" w:line="240" w:lineRule="auto"/>
              <w:jc w:val="center"/>
              <w:rPr>
                <w:rFonts w:ascii="Arial Narrow" w:hAnsi="Arial Narrow"/>
                <w:b/>
                <w:bCs/>
                <w:color w:val="000000"/>
                <w:sz w:val="20"/>
                <w:szCs w:val="20"/>
              </w:rPr>
            </w:pPr>
            <w:r w:rsidRPr="00484218">
              <w:rPr>
                <w:rFonts w:ascii="Arial Narrow" w:hAnsi="Arial Narrow"/>
                <w:b/>
                <w:bCs/>
                <w:color w:val="000000"/>
                <w:sz w:val="20"/>
                <w:szCs w:val="20"/>
              </w:rPr>
              <w:t>V3</w:t>
            </w:r>
          </w:p>
        </w:tc>
        <w:tc>
          <w:tcPr>
            <w:tcW w:w="580" w:type="dxa"/>
            <w:tcBorders>
              <w:top w:val="nil"/>
              <w:left w:val="nil"/>
              <w:bottom w:val="single" w:sz="4" w:space="0" w:color="auto"/>
              <w:right w:val="nil"/>
            </w:tcBorders>
            <w:shd w:val="clear" w:color="auto" w:fill="auto"/>
            <w:vAlign w:val="center"/>
          </w:tcPr>
          <w:p w14:paraId="70095734" w14:textId="77777777" w:rsidR="00650B15" w:rsidRPr="00484218" w:rsidRDefault="00650B15" w:rsidP="00650B15">
            <w:pPr>
              <w:spacing w:after="0" w:line="240" w:lineRule="auto"/>
              <w:jc w:val="center"/>
              <w:rPr>
                <w:rFonts w:ascii="Arial Narrow" w:hAnsi="Arial Narrow"/>
                <w:color w:val="000000"/>
                <w:sz w:val="20"/>
                <w:szCs w:val="20"/>
                <w:highlight w:val="yellow"/>
              </w:rPr>
            </w:pPr>
            <w:r w:rsidRPr="00484218">
              <w:rPr>
                <w:rFonts w:ascii="Arial Narrow" w:hAnsi="Arial Narrow"/>
                <w:color w:val="000000"/>
                <w:sz w:val="20"/>
                <w:szCs w:val="20"/>
              </w:rPr>
              <w:t>-</w:t>
            </w:r>
          </w:p>
        </w:tc>
        <w:tc>
          <w:tcPr>
            <w:tcW w:w="580" w:type="dxa"/>
            <w:tcBorders>
              <w:top w:val="nil"/>
              <w:left w:val="nil"/>
              <w:bottom w:val="single" w:sz="4" w:space="0" w:color="auto"/>
              <w:right w:val="nil"/>
            </w:tcBorders>
            <w:shd w:val="clear" w:color="auto" w:fill="auto"/>
            <w:vAlign w:val="center"/>
          </w:tcPr>
          <w:p w14:paraId="3163602D" w14:textId="77777777" w:rsidR="00650B15" w:rsidRPr="00484218" w:rsidRDefault="00650B15" w:rsidP="00650B15">
            <w:pPr>
              <w:spacing w:after="0" w:line="240" w:lineRule="auto"/>
              <w:jc w:val="center"/>
              <w:rPr>
                <w:rFonts w:ascii="Arial Narrow" w:hAnsi="Arial Narrow"/>
                <w:color w:val="000000"/>
                <w:sz w:val="20"/>
                <w:szCs w:val="20"/>
                <w:highlight w:val="yellow"/>
              </w:rPr>
            </w:pPr>
            <w:r w:rsidRPr="00484218">
              <w:rPr>
                <w:rFonts w:ascii="Arial Narrow" w:hAnsi="Arial Narrow"/>
                <w:color w:val="000000"/>
                <w:sz w:val="20"/>
                <w:szCs w:val="20"/>
              </w:rPr>
              <w:t>-</w:t>
            </w:r>
          </w:p>
        </w:tc>
        <w:tc>
          <w:tcPr>
            <w:tcW w:w="579" w:type="dxa"/>
            <w:tcBorders>
              <w:top w:val="nil"/>
              <w:left w:val="nil"/>
              <w:bottom w:val="single" w:sz="4" w:space="0" w:color="auto"/>
              <w:right w:val="nil"/>
            </w:tcBorders>
            <w:shd w:val="clear" w:color="auto" w:fill="auto"/>
            <w:vAlign w:val="center"/>
          </w:tcPr>
          <w:p w14:paraId="4C6D629B" w14:textId="77777777" w:rsidR="00650B15" w:rsidRPr="00484218" w:rsidRDefault="00650B15" w:rsidP="00650B15">
            <w:pPr>
              <w:spacing w:after="0" w:line="240" w:lineRule="auto"/>
              <w:jc w:val="center"/>
              <w:rPr>
                <w:rFonts w:ascii="Arial Narrow" w:hAnsi="Arial Narrow"/>
                <w:color w:val="000000"/>
                <w:sz w:val="20"/>
                <w:szCs w:val="20"/>
                <w:highlight w:val="yellow"/>
              </w:rPr>
            </w:pPr>
            <w:r w:rsidRPr="00484218">
              <w:rPr>
                <w:rFonts w:ascii="Arial Narrow" w:hAnsi="Arial Narrow"/>
                <w:color w:val="000000"/>
                <w:sz w:val="20"/>
                <w:szCs w:val="20"/>
              </w:rPr>
              <w:t>-</w:t>
            </w:r>
          </w:p>
        </w:tc>
        <w:tc>
          <w:tcPr>
            <w:tcW w:w="579" w:type="dxa"/>
            <w:tcBorders>
              <w:top w:val="nil"/>
              <w:left w:val="nil"/>
              <w:bottom w:val="single" w:sz="4" w:space="0" w:color="auto"/>
              <w:right w:val="nil"/>
            </w:tcBorders>
            <w:shd w:val="clear" w:color="auto" w:fill="auto"/>
            <w:vAlign w:val="center"/>
          </w:tcPr>
          <w:p w14:paraId="1B6CC05C" w14:textId="0B57B77B" w:rsidR="00650B15" w:rsidRPr="00650B15" w:rsidRDefault="00650B15" w:rsidP="00650B15">
            <w:pPr>
              <w:spacing w:after="0" w:line="240" w:lineRule="auto"/>
              <w:jc w:val="center"/>
              <w:rPr>
                <w:rFonts w:ascii="Arial Narrow" w:hAnsi="Arial Narrow"/>
                <w:color w:val="000000"/>
                <w:sz w:val="20"/>
                <w:szCs w:val="20"/>
                <w:highlight w:val="yellow"/>
              </w:rPr>
            </w:pPr>
            <w:r w:rsidRPr="00650B15">
              <w:rPr>
                <w:rFonts w:ascii="Arial Narrow" w:hAnsi="Arial Narrow"/>
                <w:sz w:val="20"/>
              </w:rPr>
              <w:t>33</w:t>
            </w:r>
          </w:p>
        </w:tc>
        <w:tc>
          <w:tcPr>
            <w:tcW w:w="579" w:type="dxa"/>
            <w:tcBorders>
              <w:top w:val="nil"/>
              <w:left w:val="nil"/>
              <w:bottom w:val="single" w:sz="4" w:space="0" w:color="auto"/>
              <w:right w:val="nil"/>
            </w:tcBorders>
            <w:shd w:val="clear" w:color="auto" w:fill="auto"/>
            <w:vAlign w:val="center"/>
          </w:tcPr>
          <w:p w14:paraId="361C3A0D" w14:textId="47A45CDA" w:rsidR="00650B15" w:rsidRPr="00650B15" w:rsidRDefault="00650B15" w:rsidP="00650B15">
            <w:pPr>
              <w:spacing w:after="0" w:line="240" w:lineRule="auto"/>
              <w:jc w:val="center"/>
              <w:rPr>
                <w:rFonts w:ascii="Arial Narrow" w:hAnsi="Arial Narrow"/>
                <w:color w:val="000000"/>
                <w:sz w:val="20"/>
                <w:szCs w:val="20"/>
                <w:highlight w:val="yellow"/>
              </w:rPr>
            </w:pPr>
            <w:r w:rsidRPr="00650B15">
              <w:rPr>
                <w:rFonts w:ascii="Arial Narrow" w:hAnsi="Arial Narrow"/>
                <w:sz w:val="20"/>
              </w:rPr>
              <w:t>35</w:t>
            </w:r>
          </w:p>
        </w:tc>
        <w:tc>
          <w:tcPr>
            <w:tcW w:w="579" w:type="dxa"/>
            <w:tcBorders>
              <w:top w:val="nil"/>
              <w:left w:val="nil"/>
              <w:bottom w:val="single" w:sz="4" w:space="0" w:color="auto"/>
              <w:right w:val="nil"/>
            </w:tcBorders>
            <w:shd w:val="clear" w:color="auto" w:fill="auto"/>
            <w:vAlign w:val="center"/>
          </w:tcPr>
          <w:p w14:paraId="73EBDA23" w14:textId="76C3E9A8" w:rsidR="00650B15" w:rsidRPr="00650B15" w:rsidRDefault="00650B15" w:rsidP="00650B15">
            <w:pPr>
              <w:spacing w:after="0" w:line="240" w:lineRule="auto"/>
              <w:jc w:val="center"/>
              <w:rPr>
                <w:rFonts w:ascii="Arial Narrow" w:hAnsi="Arial Narrow"/>
                <w:color w:val="000000"/>
                <w:sz w:val="20"/>
                <w:szCs w:val="20"/>
                <w:highlight w:val="yellow"/>
              </w:rPr>
            </w:pPr>
            <w:r w:rsidRPr="00650B15">
              <w:rPr>
                <w:rFonts w:ascii="Arial Narrow" w:hAnsi="Arial Narrow"/>
                <w:sz w:val="20"/>
              </w:rPr>
              <w:t>37</w:t>
            </w:r>
          </w:p>
        </w:tc>
        <w:tc>
          <w:tcPr>
            <w:tcW w:w="579" w:type="dxa"/>
            <w:tcBorders>
              <w:top w:val="nil"/>
              <w:left w:val="nil"/>
              <w:bottom w:val="single" w:sz="4" w:space="0" w:color="auto"/>
              <w:right w:val="nil"/>
            </w:tcBorders>
            <w:shd w:val="clear" w:color="auto" w:fill="auto"/>
            <w:vAlign w:val="center"/>
          </w:tcPr>
          <w:p w14:paraId="3A1C739E" w14:textId="5AC70CFF" w:rsidR="00650B15" w:rsidRPr="00650B15" w:rsidRDefault="00650B15" w:rsidP="00650B15">
            <w:pPr>
              <w:spacing w:after="0" w:line="240" w:lineRule="auto"/>
              <w:jc w:val="center"/>
              <w:rPr>
                <w:rFonts w:ascii="Arial Narrow" w:hAnsi="Arial Narrow"/>
                <w:color w:val="000000"/>
                <w:sz w:val="20"/>
                <w:szCs w:val="20"/>
                <w:highlight w:val="yellow"/>
              </w:rPr>
            </w:pPr>
            <w:r w:rsidRPr="00650B15">
              <w:rPr>
                <w:rFonts w:ascii="Arial Narrow" w:hAnsi="Arial Narrow"/>
                <w:sz w:val="20"/>
              </w:rPr>
              <w:t>40</w:t>
            </w:r>
          </w:p>
        </w:tc>
        <w:tc>
          <w:tcPr>
            <w:tcW w:w="657" w:type="dxa"/>
            <w:tcBorders>
              <w:top w:val="nil"/>
              <w:left w:val="nil"/>
              <w:bottom w:val="single" w:sz="4" w:space="0" w:color="auto"/>
              <w:right w:val="nil"/>
            </w:tcBorders>
            <w:vAlign w:val="center"/>
          </w:tcPr>
          <w:p w14:paraId="4DC57852" w14:textId="77777777" w:rsidR="00650B15" w:rsidRPr="00484218" w:rsidRDefault="00650B15" w:rsidP="00650B15">
            <w:pPr>
              <w:spacing w:after="0" w:line="240" w:lineRule="auto"/>
              <w:jc w:val="center"/>
              <w:rPr>
                <w:rFonts w:ascii="Arial Narrow" w:hAnsi="Arial Narrow"/>
                <w:color w:val="000000"/>
                <w:sz w:val="20"/>
                <w:szCs w:val="20"/>
                <w:highlight w:val="yellow"/>
              </w:rPr>
            </w:pPr>
            <w:r w:rsidRPr="00484218">
              <w:rPr>
                <w:rFonts w:ascii="Arial Narrow" w:hAnsi="Arial Narrow"/>
                <w:color w:val="000000"/>
                <w:sz w:val="20"/>
                <w:szCs w:val="20"/>
              </w:rPr>
              <w:t>-</w:t>
            </w:r>
          </w:p>
        </w:tc>
      </w:tr>
      <w:tr w:rsidR="00650B15" w:rsidRPr="004C54B9" w14:paraId="52796E42" w14:textId="77777777" w:rsidTr="00E53C9B">
        <w:trPr>
          <w:trHeight w:val="263"/>
          <w:jc w:val="center"/>
        </w:trPr>
        <w:tc>
          <w:tcPr>
            <w:tcW w:w="3080" w:type="dxa"/>
            <w:tcBorders>
              <w:top w:val="nil"/>
              <w:left w:val="nil"/>
              <w:right w:val="nil"/>
            </w:tcBorders>
            <w:shd w:val="clear" w:color="auto" w:fill="auto"/>
            <w:noWrap/>
            <w:vAlign w:val="center"/>
            <w:hideMark/>
          </w:tcPr>
          <w:p w14:paraId="0FCB64C9" w14:textId="77777777" w:rsidR="00650B15" w:rsidRPr="00D45171" w:rsidRDefault="00650B15" w:rsidP="00B36B07">
            <w:pPr>
              <w:spacing w:after="0" w:line="240" w:lineRule="auto"/>
              <w:rPr>
                <w:rFonts w:ascii="Arial Narrow" w:hAnsi="Arial Narrow"/>
                <w:b/>
                <w:bCs/>
                <w:color w:val="000000"/>
                <w:sz w:val="20"/>
                <w:szCs w:val="20"/>
              </w:rPr>
            </w:pPr>
            <w:r w:rsidRPr="00D45171">
              <w:rPr>
                <w:rFonts w:ascii="Arial Narrow" w:hAnsi="Arial Narrow"/>
                <w:b/>
                <w:bCs/>
                <w:color w:val="000000"/>
                <w:sz w:val="20"/>
                <w:szCs w:val="20"/>
              </w:rPr>
              <w:t>Index regulácie trhu produktov</w:t>
            </w:r>
          </w:p>
        </w:tc>
        <w:tc>
          <w:tcPr>
            <w:tcW w:w="815" w:type="dxa"/>
            <w:tcBorders>
              <w:top w:val="nil"/>
              <w:left w:val="nil"/>
              <w:right w:val="nil"/>
            </w:tcBorders>
            <w:shd w:val="clear" w:color="auto" w:fill="auto"/>
            <w:vAlign w:val="center"/>
            <w:hideMark/>
          </w:tcPr>
          <w:p w14:paraId="08E62659" w14:textId="77777777" w:rsidR="00650B15" w:rsidRPr="00484218" w:rsidRDefault="00650B15" w:rsidP="00B36B07">
            <w:pPr>
              <w:spacing w:after="0" w:line="240" w:lineRule="auto"/>
              <w:jc w:val="center"/>
              <w:rPr>
                <w:rFonts w:ascii="Arial Narrow" w:hAnsi="Arial Narrow"/>
                <w:b/>
                <w:bCs/>
                <w:color w:val="000000"/>
                <w:sz w:val="20"/>
                <w:szCs w:val="20"/>
              </w:rPr>
            </w:pPr>
            <w:r w:rsidRPr="00484218">
              <w:rPr>
                <w:rFonts w:ascii="Arial Narrow" w:hAnsi="Arial Narrow"/>
                <w:b/>
                <w:bCs/>
                <w:color w:val="000000"/>
                <w:sz w:val="20"/>
                <w:szCs w:val="20"/>
              </w:rPr>
              <w:t>SK</w:t>
            </w:r>
          </w:p>
        </w:tc>
        <w:tc>
          <w:tcPr>
            <w:tcW w:w="580" w:type="dxa"/>
            <w:tcBorders>
              <w:top w:val="nil"/>
              <w:left w:val="nil"/>
              <w:right w:val="nil"/>
            </w:tcBorders>
            <w:shd w:val="clear" w:color="auto" w:fill="auto"/>
            <w:noWrap/>
            <w:vAlign w:val="center"/>
            <w:hideMark/>
          </w:tcPr>
          <w:p w14:paraId="0059E812"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 xml:space="preserve"> - </w:t>
            </w:r>
          </w:p>
        </w:tc>
        <w:tc>
          <w:tcPr>
            <w:tcW w:w="580" w:type="dxa"/>
            <w:tcBorders>
              <w:top w:val="nil"/>
              <w:left w:val="nil"/>
              <w:right w:val="nil"/>
            </w:tcBorders>
            <w:shd w:val="clear" w:color="auto" w:fill="auto"/>
            <w:noWrap/>
            <w:vAlign w:val="center"/>
          </w:tcPr>
          <w:p w14:paraId="1428B5CF"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1,29</w:t>
            </w:r>
          </w:p>
        </w:tc>
        <w:tc>
          <w:tcPr>
            <w:tcW w:w="579" w:type="dxa"/>
            <w:tcBorders>
              <w:top w:val="nil"/>
              <w:left w:val="nil"/>
              <w:right w:val="nil"/>
            </w:tcBorders>
            <w:shd w:val="clear" w:color="auto" w:fill="auto"/>
            <w:noWrap/>
            <w:vAlign w:val="center"/>
          </w:tcPr>
          <w:p w14:paraId="78D393AC"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 xml:space="preserve"> - </w:t>
            </w:r>
          </w:p>
        </w:tc>
        <w:tc>
          <w:tcPr>
            <w:tcW w:w="579" w:type="dxa"/>
            <w:tcBorders>
              <w:top w:val="nil"/>
              <w:left w:val="nil"/>
              <w:right w:val="nil"/>
            </w:tcBorders>
            <w:shd w:val="clear" w:color="auto" w:fill="auto"/>
            <w:noWrap/>
            <w:vAlign w:val="center"/>
          </w:tcPr>
          <w:p w14:paraId="67D53502"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w:t>
            </w:r>
          </w:p>
        </w:tc>
        <w:tc>
          <w:tcPr>
            <w:tcW w:w="579" w:type="dxa"/>
            <w:tcBorders>
              <w:top w:val="nil"/>
              <w:left w:val="nil"/>
              <w:right w:val="nil"/>
            </w:tcBorders>
            <w:shd w:val="clear" w:color="auto" w:fill="auto"/>
            <w:noWrap/>
            <w:vAlign w:val="center"/>
          </w:tcPr>
          <w:p w14:paraId="795F85FC"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w:t>
            </w:r>
          </w:p>
        </w:tc>
        <w:tc>
          <w:tcPr>
            <w:tcW w:w="579" w:type="dxa"/>
            <w:tcBorders>
              <w:top w:val="nil"/>
              <w:left w:val="nil"/>
              <w:right w:val="nil"/>
            </w:tcBorders>
            <w:shd w:val="clear" w:color="auto" w:fill="auto"/>
            <w:noWrap/>
            <w:vAlign w:val="center"/>
          </w:tcPr>
          <w:p w14:paraId="60A402D7"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w:t>
            </w:r>
          </w:p>
        </w:tc>
        <w:tc>
          <w:tcPr>
            <w:tcW w:w="579" w:type="dxa"/>
            <w:tcBorders>
              <w:top w:val="nil"/>
              <w:left w:val="nil"/>
              <w:right w:val="nil"/>
            </w:tcBorders>
            <w:shd w:val="clear" w:color="auto" w:fill="auto"/>
            <w:noWrap/>
            <w:vAlign w:val="center"/>
          </w:tcPr>
          <w:p w14:paraId="0F0DDA56" w14:textId="77777777" w:rsidR="00650B15" w:rsidRPr="00E53C9B" w:rsidRDefault="00650B15" w:rsidP="00B36B07">
            <w:pPr>
              <w:spacing w:after="0" w:line="240" w:lineRule="auto"/>
              <w:jc w:val="center"/>
              <w:rPr>
                <w:rFonts w:ascii="Arial Narrow" w:hAnsi="Arial Narrow"/>
                <w:color w:val="000000"/>
                <w:sz w:val="20"/>
                <w:szCs w:val="20"/>
              </w:rPr>
            </w:pPr>
          </w:p>
        </w:tc>
        <w:tc>
          <w:tcPr>
            <w:tcW w:w="657" w:type="dxa"/>
            <w:tcBorders>
              <w:top w:val="nil"/>
              <w:left w:val="nil"/>
              <w:right w:val="nil"/>
            </w:tcBorders>
            <w:vAlign w:val="center"/>
          </w:tcPr>
          <w:p w14:paraId="6F98C2E3"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1,2</w:t>
            </w:r>
          </w:p>
        </w:tc>
      </w:tr>
      <w:tr w:rsidR="00650B15" w:rsidRPr="004C54B9" w14:paraId="3E0148A5" w14:textId="77777777" w:rsidTr="00E53C9B">
        <w:trPr>
          <w:trHeight w:val="263"/>
          <w:jc w:val="center"/>
        </w:trPr>
        <w:tc>
          <w:tcPr>
            <w:tcW w:w="3080" w:type="dxa"/>
            <w:tcBorders>
              <w:top w:val="nil"/>
              <w:left w:val="nil"/>
              <w:bottom w:val="single" w:sz="4" w:space="0" w:color="auto"/>
              <w:right w:val="nil"/>
            </w:tcBorders>
            <w:shd w:val="clear" w:color="auto" w:fill="auto"/>
            <w:noWrap/>
            <w:vAlign w:val="center"/>
            <w:hideMark/>
          </w:tcPr>
          <w:p w14:paraId="1787B41E" w14:textId="77777777" w:rsidR="00650B15" w:rsidRPr="00D45171" w:rsidRDefault="00650B15" w:rsidP="00B36B07">
            <w:pPr>
              <w:spacing w:after="0" w:line="240" w:lineRule="auto"/>
              <w:jc w:val="both"/>
              <w:rPr>
                <w:rFonts w:ascii="Arial Narrow" w:hAnsi="Arial Narrow"/>
                <w:color w:val="000000"/>
                <w:sz w:val="20"/>
                <w:szCs w:val="20"/>
              </w:rPr>
            </w:pPr>
            <w:r w:rsidRPr="00D45171">
              <w:rPr>
                <w:rFonts w:ascii="Arial Narrow" w:hAnsi="Arial Narrow"/>
                <w:color w:val="000000"/>
                <w:sz w:val="20"/>
                <w:szCs w:val="20"/>
              </w:rPr>
              <w:t>(bodové hodnotenie)</w:t>
            </w:r>
          </w:p>
        </w:tc>
        <w:tc>
          <w:tcPr>
            <w:tcW w:w="815" w:type="dxa"/>
            <w:tcBorders>
              <w:top w:val="nil"/>
              <w:left w:val="nil"/>
              <w:bottom w:val="single" w:sz="4" w:space="0" w:color="auto"/>
              <w:right w:val="nil"/>
            </w:tcBorders>
            <w:shd w:val="clear" w:color="auto" w:fill="auto"/>
            <w:vAlign w:val="center"/>
            <w:hideMark/>
          </w:tcPr>
          <w:p w14:paraId="4C15AA14" w14:textId="77777777" w:rsidR="00650B15" w:rsidRPr="00484218" w:rsidRDefault="00650B15" w:rsidP="00B36B07">
            <w:pPr>
              <w:spacing w:after="0" w:line="240" w:lineRule="auto"/>
              <w:jc w:val="center"/>
              <w:rPr>
                <w:rFonts w:ascii="Arial Narrow" w:hAnsi="Arial Narrow"/>
                <w:b/>
                <w:bCs/>
                <w:color w:val="000000"/>
                <w:sz w:val="20"/>
                <w:szCs w:val="20"/>
              </w:rPr>
            </w:pPr>
            <w:r w:rsidRPr="00484218">
              <w:rPr>
                <w:rFonts w:ascii="Arial Narrow" w:hAnsi="Arial Narrow"/>
                <w:b/>
                <w:bCs/>
                <w:color w:val="000000"/>
                <w:sz w:val="20"/>
                <w:szCs w:val="20"/>
              </w:rPr>
              <w:t>OECD</w:t>
            </w:r>
          </w:p>
        </w:tc>
        <w:tc>
          <w:tcPr>
            <w:tcW w:w="580" w:type="dxa"/>
            <w:tcBorders>
              <w:top w:val="nil"/>
              <w:left w:val="nil"/>
              <w:bottom w:val="single" w:sz="4" w:space="0" w:color="auto"/>
              <w:right w:val="nil"/>
            </w:tcBorders>
            <w:shd w:val="clear" w:color="auto" w:fill="auto"/>
            <w:noWrap/>
            <w:vAlign w:val="center"/>
            <w:hideMark/>
          </w:tcPr>
          <w:p w14:paraId="762AB088"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 xml:space="preserve"> - </w:t>
            </w:r>
          </w:p>
        </w:tc>
        <w:tc>
          <w:tcPr>
            <w:tcW w:w="580" w:type="dxa"/>
            <w:tcBorders>
              <w:top w:val="nil"/>
              <w:left w:val="nil"/>
              <w:bottom w:val="single" w:sz="4" w:space="0" w:color="auto"/>
              <w:right w:val="nil"/>
            </w:tcBorders>
            <w:shd w:val="clear" w:color="auto" w:fill="auto"/>
            <w:noWrap/>
            <w:vAlign w:val="center"/>
          </w:tcPr>
          <w:p w14:paraId="5EC3477E"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1,44</w:t>
            </w:r>
          </w:p>
        </w:tc>
        <w:tc>
          <w:tcPr>
            <w:tcW w:w="579" w:type="dxa"/>
            <w:tcBorders>
              <w:top w:val="nil"/>
              <w:left w:val="nil"/>
              <w:bottom w:val="single" w:sz="4" w:space="0" w:color="auto"/>
              <w:right w:val="nil"/>
            </w:tcBorders>
            <w:shd w:val="clear" w:color="auto" w:fill="auto"/>
            <w:noWrap/>
            <w:vAlign w:val="center"/>
          </w:tcPr>
          <w:p w14:paraId="049A90CF"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 xml:space="preserve"> - </w:t>
            </w:r>
          </w:p>
        </w:tc>
        <w:tc>
          <w:tcPr>
            <w:tcW w:w="579" w:type="dxa"/>
            <w:tcBorders>
              <w:top w:val="nil"/>
              <w:left w:val="nil"/>
              <w:bottom w:val="single" w:sz="4" w:space="0" w:color="auto"/>
              <w:right w:val="nil"/>
            </w:tcBorders>
            <w:shd w:val="clear" w:color="auto" w:fill="auto"/>
            <w:noWrap/>
            <w:vAlign w:val="center"/>
          </w:tcPr>
          <w:p w14:paraId="38B1F51F"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w:t>
            </w:r>
          </w:p>
        </w:tc>
        <w:tc>
          <w:tcPr>
            <w:tcW w:w="579" w:type="dxa"/>
            <w:tcBorders>
              <w:top w:val="nil"/>
              <w:left w:val="nil"/>
              <w:bottom w:val="single" w:sz="4" w:space="0" w:color="auto"/>
              <w:right w:val="nil"/>
            </w:tcBorders>
            <w:shd w:val="clear" w:color="auto" w:fill="auto"/>
            <w:noWrap/>
            <w:vAlign w:val="center"/>
          </w:tcPr>
          <w:p w14:paraId="1E156847"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w:t>
            </w:r>
          </w:p>
        </w:tc>
        <w:tc>
          <w:tcPr>
            <w:tcW w:w="579" w:type="dxa"/>
            <w:tcBorders>
              <w:top w:val="nil"/>
              <w:left w:val="nil"/>
              <w:bottom w:val="single" w:sz="4" w:space="0" w:color="auto"/>
              <w:right w:val="nil"/>
            </w:tcBorders>
            <w:shd w:val="clear" w:color="auto" w:fill="auto"/>
            <w:noWrap/>
            <w:vAlign w:val="center"/>
          </w:tcPr>
          <w:p w14:paraId="364E203E"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w:t>
            </w:r>
          </w:p>
        </w:tc>
        <w:tc>
          <w:tcPr>
            <w:tcW w:w="579" w:type="dxa"/>
            <w:tcBorders>
              <w:top w:val="nil"/>
              <w:left w:val="nil"/>
              <w:bottom w:val="single" w:sz="4" w:space="0" w:color="auto"/>
              <w:right w:val="nil"/>
            </w:tcBorders>
            <w:shd w:val="clear" w:color="auto" w:fill="auto"/>
            <w:noWrap/>
            <w:vAlign w:val="center"/>
          </w:tcPr>
          <w:p w14:paraId="6E37CA0E" w14:textId="77777777" w:rsidR="00650B15" w:rsidRPr="00E53C9B" w:rsidRDefault="00650B15" w:rsidP="00B36B07">
            <w:pPr>
              <w:spacing w:after="0" w:line="240" w:lineRule="auto"/>
              <w:jc w:val="center"/>
              <w:rPr>
                <w:rFonts w:ascii="Arial Narrow" w:hAnsi="Arial Narrow"/>
                <w:color w:val="000000"/>
                <w:sz w:val="20"/>
                <w:szCs w:val="20"/>
              </w:rPr>
            </w:pPr>
          </w:p>
        </w:tc>
        <w:tc>
          <w:tcPr>
            <w:tcW w:w="657" w:type="dxa"/>
            <w:tcBorders>
              <w:top w:val="nil"/>
              <w:left w:val="nil"/>
              <w:bottom w:val="single" w:sz="4" w:space="0" w:color="auto"/>
              <w:right w:val="nil"/>
            </w:tcBorders>
            <w:vAlign w:val="center"/>
          </w:tcPr>
          <w:p w14:paraId="1AE0D2BC"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w:t>
            </w:r>
          </w:p>
        </w:tc>
      </w:tr>
      <w:tr w:rsidR="00650B15" w:rsidRPr="004C54B9" w14:paraId="53DA6DF2" w14:textId="77777777" w:rsidTr="00D45171">
        <w:trPr>
          <w:trHeight w:val="263"/>
          <w:jc w:val="center"/>
        </w:trPr>
        <w:tc>
          <w:tcPr>
            <w:tcW w:w="3080" w:type="dxa"/>
            <w:tcBorders>
              <w:top w:val="single" w:sz="4" w:space="0" w:color="auto"/>
              <w:left w:val="nil"/>
              <w:right w:val="nil"/>
            </w:tcBorders>
            <w:shd w:val="clear" w:color="auto" w:fill="auto"/>
            <w:noWrap/>
          </w:tcPr>
          <w:p w14:paraId="524CAD52" w14:textId="77777777" w:rsidR="00650B15" w:rsidRPr="00484218" w:rsidRDefault="00650B15" w:rsidP="00B36B07">
            <w:pPr>
              <w:spacing w:after="0" w:line="240" w:lineRule="auto"/>
              <w:jc w:val="both"/>
              <w:rPr>
                <w:rFonts w:ascii="Arial Narrow" w:hAnsi="Arial Narrow"/>
                <w:b/>
                <w:color w:val="000000"/>
                <w:sz w:val="20"/>
                <w:szCs w:val="20"/>
              </w:rPr>
            </w:pPr>
            <w:r w:rsidRPr="00484218">
              <w:rPr>
                <w:rFonts w:ascii="Arial Narrow" w:hAnsi="Arial Narrow"/>
                <w:b/>
                <w:sz w:val="20"/>
                <w:szCs w:val="20"/>
              </w:rPr>
              <w:t>E-</w:t>
            </w:r>
            <w:proofErr w:type="spellStart"/>
            <w:r w:rsidRPr="00484218">
              <w:rPr>
                <w:rFonts w:ascii="Arial Narrow" w:hAnsi="Arial Narrow"/>
                <w:b/>
                <w:sz w:val="20"/>
                <w:szCs w:val="20"/>
              </w:rPr>
              <w:t>government</w:t>
            </w:r>
            <w:proofErr w:type="spellEnd"/>
            <w:r w:rsidRPr="00484218">
              <w:rPr>
                <w:rFonts w:ascii="Arial Narrow" w:hAnsi="Arial Narrow"/>
                <w:b/>
                <w:sz w:val="20"/>
                <w:szCs w:val="20"/>
              </w:rPr>
              <w:t xml:space="preserve"> index</w:t>
            </w:r>
          </w:p>
        </w:tc>
        <w:tc>
          <w:tcPr>
            <w:tcW w:w="815" w:type="dxa"/>
            <w:tcBorders>
              <w:top w:val="single" w:sz="4" w:space="0" w:color="auto"/>
              <w:left w:val="nil"/>
              <w:right w:val="nil"/>
            </w:tcBorders>
            <w:shd w:val="clear" w:color="auto" w:fill="auto"/>
          </w:tcPr>
          <w:p w14:paraId="62A1F249" w14:textId="77777777" w:rsidR="00650B15" w:rsidRPr="00484218" w:rsidRDefault="00650B15" w:rsidP="00B36B07">
            <w:pPr>
              <w:spacing w:after="0" w:line="240" w:lineRule="auto"/>
              <w:jc w:val="center"/>
              <w:rPr>
                <w:rFonts w:ascii="Arial Narrow" w:hAnsi="Arial Narrow"/>
                <w:b/>
                <w:bCs/>
                <w:color w:val="000000"/>
                <w:sz w:val="20"/>
                <w:szCs w:val="20"/>
              </w:rPr>
            </w:pPr>
            <w:r w:rsidRPr="00484218">
              <w:rPr>
                <w:rFonts w:ascii="Arial Narrow" w:hAnsi="Arial Narrow"/>
                <w:b/>
                <w:sz w:val="20"/>
                <w:szCs w:val="20"/>
              </w:rPr>
              <w:t>SK</w:t>
            </w:r>
          </w:p>
        </w:tc>
        <w:tc>
          <w:tcPr>
            <w:tcW w:w="580" w:type="dxa"/>
            <w:tcBorders>
              <w:top w:val="single" w:sz="4" w:space="0" w:color="auto"/>
              <w:left w:val="nil"/>
              <w:right w:val="nil"/>
            </w:tcBorders>
            <w:shd w:val="clear" w:color="auto" w:fill="auto"/>
            <w:noWrap/>
            <w:vAlign w:val="center"/>
          </w:tcPr>
          <w:p w14:paraId="79D8D001"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sz w:val="20"/>
                <w:szCs w:val="20"/>
              </w:rPr>
              <w:t>42</w:t>
            </w:r>
          </w:p>
        </w:tc>
        <w:tc>
          <w:tcPr>
            <w:tcW w:w="580" w:type="dxa"/>
            <w:tcBorders>
              <w:top w:val="single" w:sz="4" w:space="0" w:color="auto"/>
              <w:left w:val="nil"/>
              <w:right w:val="nil"/>
            </w:tcBorders>
            <w:shd w:val="clear" w:color="auto" w:fill="auto"/>
            <w:noWrap/>
            <w:vAlign w:val="center"/>
          </w:tcPr>
          <w:p w14:paraId="0DB0AF60"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sz w:val="20"/>
                <w:szCs w:val="20"/>
              </w:rPr>
              <w:t>33</w:t>
            </w:r>
          </w:p>
        </w:tc>
        <w:tc>
          <w:tcPr>
            <w:tcW w:w="579" w:type="dxa"/>
            <w:tcBorders>
              <w:top w:val="single" w:sz="4" w:space="0" w:color="auto"/>
              <w:left w:val="nil"/>
              <w:right w:val="nil"/>
            </w:tcBorders>
            <w:shd w:val="clear" w:color="auto" w:fill="auto"/>
            <w:noWrap/>
            <w:vAlign w:val="center"/>
          </w:tcPr>
          <w:p w14:paraId="4E44B6D6"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sz w:val="20"/>
                <w:szCs w:val="20"/>
              </w:rPr>
              <w:t>57</w:t>
            </w:r>
          </w:p>
        </w:tc>
        <w:tc>
          <w:tcPr>
            <w:tcW w:w="579" w:type="dxa"/>
            <w:tcBorders>
              <w:top w:val="single" w:sz="4" w:space="0" w:color="auto"/>
              <w:left w:val="nil"/>
              <w:right w:val="nil"/>
            </w:tcBorders>
            <w:shd w:val="clear" w:color="auto" w:fill="auto"/>
            <w:noWrap/>
            <w:vAlign w:val="center"/>
          </w:tcPr>
          <w:p w14:paraId="3D271C17"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sz w:val="20"/>
                <w:szCs w:val="20"/>
              </w:rPr>
              <w:t>51</w:t>
            </w:r>
          </w:p>
        </w:tc>
        <w:tc>
          <w:tcPr>
            <w:tcW w:w="579" w:type="dxa"/>
            <w:tcBorders>
              <w:top w:val="single" w:sz="4" w:space="0" w:color="auto"/>
              <w:left w:val="nil"/>
              <w:right w:val="nil"/>
            </w:tcBorders>
            <w:shd w:val="clear" w:color="auto" w:fill="auto"/>
            <w:noWrap/>
            <w:vAlign w:val="center"/>
          </w:tcPr>
          <w:p w14:paraId="206D6ADC"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sz w:val="20"/>
                <w:szCs w:val="20"/>
              </w:rPr>
              <w:t>48</w:t>
            </w:r>
          </w:p>
        </w:tc>
        <w:tc>
          <w:tcPr>
            <w:tcW w:w="579" w:type="dxa"/>
            <w:tcBorders>
              <w:top w:val="single" w:sz="4" w:space="0" w:color="auto"/>
              <w:left w:val="nil"/>
              <w:right w:val="nil"/>
            </w:tcBorders>
            <w:shd w:val="clear" w:color="auto" w:fill="auto"/>
            <w:noWrap/>
            <w:vAlign w:val="center"/>
          </w:tcPr>
          <w:p w14:paraId="20A93EDC"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47</w:t>
            </w:r>
          </w:p>
        </w:tc>
        <w:tc>
          <w:tcPr>
            <w:tcW w:w="579" w:type="dxa"/>
            <w:tcBorders>
              <w:top w:val="single" w:sz="4" w:space="0" w:color="auto"/>
              <w:left w:val="nil"/>
              <w:right w:val="nil"/>
            </w:tcBorders>
            <w:shd w:val="clear" w:color="auto" w:fill="auto"/>
            <w:noWrap/>
            <w:vAlign w:val="center"/>
          </w:tcPr>
          <w:p w14:paraId="17DD3599"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51</w:t>
            </w:r>
          </w:p>
        </w:tc>
        <w:tc>
          <w:tcPr>
            <w:tcW w:w="657" w:type="dxa"/>
            <w:tcBorders>
              <w:top w:val="single" w:sz="4" w:space="0" w:color="auto"/>
              <w:left w:val="nil"/>
              <w:right w:val="nil"/>
            </w:tcBorders>
            <w:vAlign w:val="center"/>
          </w:tcPr>
          <w:p w14:paraId="5879CDD6"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71,7</w:t>
            </w:r>
          </w:p>
        </w:tc>
      </w:tr>
      <w:tr w:rsidR="00650B15" w:rsidRPr="004C54B9" w14:paraId="09434CCC" w14:textId="77777777" w:rsidTr="00D45171">
        <w:trPr>
          <w:trHeight w:val="263"/>
          <w:jc w:val="center"/>
        </w:trPr>
        <w:tc>
          <w:tcPr>
            <w:tcW w:w="3080" w:type="dxa"/>
            <w:tcBorders>
              <w:left w:val="nil"/>
              <w:bottom w:val="single" w:sz="4" w:space="0" w:color="auto"/>
              <w:right w:val="nil"/>
            </w:tcBorders>
            <w:shd w:val="clear" w:color="auto" w:fill="auto"/>
            <w:noWrap/>
          </w:tcPr>
          <w:p w14:paraId="7DB8C9A2" w14:textId="77777777" w:rsidR="00650B15" w:rsidRPr="00484218" w:rsidRDefault="00650B15" w:rsidP="00B36B07">
            <w:pPr>
              <w:spacing w:after="0" w:line="240" w:lineRule="auto"/>
              <w:jc w:val="both"/>
              <w:rPr>
                <w:rFonts w:ascii="Arial Narrow" w:hAnsi="Arial Narrow"/>
                <w:color w:val="000000"/>
                <w:sz w:val="20"/>
                <w:szCs w:val="20"/>
              </w:rPr>
            </w:pPr>
            <w:r w:rsidRPr="00484218">
              <w:rPr>
                <w:rFonts w:ascii="Arial Narrow" w:hAnsi="Arial Narrow"/>
                <w:sz w:val="20"/>
                <w:szCs w:val="20"/>
              </w:rPr>
              <w:t>(%)</w:t>
            </w:r>
          </w:p>
        </w:tc>
        <w:tc>
          <w:tcPr>
            <w:tcW w:w="815" w:type="dxa"/>
            <w:tcBorders>
              <w:left w:val="nil"/>
              <w:bottom w:val="single" w:sz="4" w:space="0" w:color="auto"/>
              <w:right w:val="nil"/>
            </w:tcBorders>
            <w:shd w:val="clear" w:color="auto" w:fill="auto"/>
          </w:tcPr>
          <w:p w14:paraId="351C3B32" w14:textId="77777777" w:rsidR="00650B15" w:rsidRPr="00484218" w:rsidRDefault="00650B15" w:rsidP="00B36B07">
            <w:pPr>
              <w:spacing w:after="0" w:line="240" w:lineRule="auto"/>
              <w:jc w:val="center"/>
              <w:rPr>
                <w:rFonts w:ascii="Arial Narrow" w:hAnsi="Arial Narrow"/>
                <w:b/>
                <w:bCs/>
                <w:color w:val="000000"/>
                <w:sz w:val="20"/>
                <w:szCs w:val="20"/>
              </w:rPr>
            </w:pPr>
            <w:r w:rsidRPr="00484218">
              <w:rPr>
                <w:rFonts w:ascii="Arial Narrow" w:hAnsi="Arial Narrow"/>
                <w:b/>
                <w:sz w:val="20"/>
                <w:szCs w:val="20"/>
              </w:rPr>
              <w:t>EÚ</w:t>
            </w:r>
          </w:p>
        </w:tc>
        <w:tc>
          <w:tcPr>
            <w:tcW w:w="580" w:type="dxa"/>
            <w:tcBorders>
              <w:left w:val="nil"/>
              <w:bottom w:val="single" w:sz="4" w:space="0" w:color="auto"/>
              <w:right w:val="nil"/>
            </w:tcBorders>
            <w:shd w:val="clear" w:color="auto" w:fill="auto"/>
            <w:noWrap/>
            <w:vAlign w:val="center"/>
          </w:tcPr>
          <w:p w14:paraId="1717C402"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sz w:val="20"/>
                <w:szCs w:val="20"/>
              </w:rPr>
              <w:t>44</w:t>
            </w:r>
          </w:p>
        </w:tc>
        <w:tc>
          <w:tcPr>
            <w:tcW w:w="580" w:type="dxa"/>
            <w:tcBorders>
              <w:left w:val="nil"/>
              <w:bottom w:val="single" w:sz="4" w:space="0" w:color="auto"/>
              <w:right w:val="nil"/>
            </w:tcBorders>
            <w:shd w:val="clear" w:color="auto" w:fill="auto"/>
            <w:noWrap/>
            <w:vAlign w:val="center"/>
          </w:tcPr>
          <w:p w14:paraId="05C74836"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sz w:val="20"/>
                <w:szCs w:val="20"/>
              </w:rPr>
              <w:t>41</w:t>
            </w:r>
          </w:p>
        </w:tc>
        <w:tc>
          <w:tcPr>
            <w:tcW w:w="579" w:type="dxa"/>
            <w:tcBorders>
              <w:left w:val="nil"/>
              <w:bottom w:val="single" w:sz="4" w:space="0" w:color="auto"/>
              <w:right w:val="nil"/>
            </w:tcBorders>
            <w:shd w:val="clear" w:color="auto" w:fill="auto"/>
            <w:noWrap/>
            <w:vAlign w:val="center"/>
          </w:tcPr>
          <w:p w14:paraId="4929FE08"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sz w:val="20"/>
                <w:szCs w:val="20"/>
              </w:rPr>
              <w:t>47</w:t>
            </w:r>
          </w:p>
        </w:tc>
        <w:tc>
          <w:tcPr>
            <w:tcW w:w="579" w:type="dxa"/>
            <w:tcBorders>
              <w:left w:val="nil"/>
              <w:bottom w:val="single" w:sz="4" w:space="0" w:color="auto"/>
              <w:right w:val="nil"/>
            </w:tcBorders>
            <w:shd w:val="clear" w:color="auto" w:fill="auto"/>
            <w:noWrap/>
            <w:vAlign w:val="center"/>
          </w:tcPr>
          <w:p w14:paraId="6B035E82"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sz w:val="20"/>
                <w:szCs w:val="20"/>
              </w:rPr>
              <w:t>46</w:t>
            </w:r>
          </w:p>
        </w:tc>
        <w:tc>
          <w:tcPr>
            <w:tcW w:w="579" w:type="dxa"/>
            <w:tcBorders>
              <w:left w:val="nil"/>
              <w:bottom w:val="single" w:sz="4" w:space="0" w:color="auto"/>
              <w:right w:val="nil"/>
            </w:tcBorders>
            <w:shd w:val="clear" w:color="auto" w:fill="auto"/>
            <w:noWrap/>
            <w:vAlign w:val="center"/>
          </w:tcPr>
          <w:p w14:paraId="7B4D86C0"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sz w:val="20"/>
                <w:szCs w:val="20"/>
              </w:rPr>
              <w:t>48</w:t>
            </w:r>
          </w:p>
        </w:tc>
        <w:tc>
          <w:tcPr>
            <w:tcW w:w="579" w:type="dxa"/>
            <w:tcBorders>
              <w:left w:val="nil"/>
              <w:bottom w:val="single" w:sz="4" w:space="0" w:color="auto"/>
              <w:right w:val="nil"/>
            </w:tcBorders>
            <w:shd w:val="clear" w:color="auto" w:fill="auto"/>
            <w:noWrap/>
            <w:vAlign w:val="center"/>
          </w:tcPr>
          <w:p w14:paraId="683778BF"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49</w:t>
            </w:r>
          </w:p>
        </w:tc>
        <w:tc>
          <w:tcPr>
            <w:tcW w:w="579" w:type="dxa"/>
            <w:tcBorders>
              <w:left w:val="nil"/>
              <w:bottom w:val="single" w:sz="4" w:space="0" w:color="auto"/>
              <w:right w:val="nil"/>
            </w:tcBorders>
            <w:shd w:val="clear" w:color="auto" w:fill="auto"/>
            <w:noWrap/>
            <w:vAlign w:val="center"/>
          </w:tcPr>
          <w:p w14:paraId="3320211D" w14:textId="77777777" w:rsidR="00650B15" w:rsidRPr="00484218" w:rsidRDefault="00650B15" w:rsidP="00B36B07">
            <w:pPr>
              <w:spacing w:after="0" w:line="240" w:lineRule="auto"/>
              <w:jc w:val="center"/>
              <w:rPr>
                <w:rFonts w:ascii="Arial Narrow" w:hAnsi="Arial Narrow"/>
                <w:color w:val="000000"/>
                <w:sz w:val="20"/>
                <w:szCs w:val="20"/>
              </w:rPr>
            </w:pPr>
            <w:r w:rsidRPr="00484218">
              <w:rPr>
                <w:rFonts w:ascii="Arial Narrow" w:hAnsi="Arial Narrow"/>
                <w:color w:val="000000"/>
                <w:sz w:val="20"/>
                <w:szCs w:val="20"/>
              </w:rPr>
              <w:t>52</w:t>
            </w:r>
          </w:p>
        </w:tc>
        <w:tc>
          <w:tcPr>
            <w:tcW w:w="657" w:type="dxa"/>
            <w:tcBorders>
              <w:left w:val="nil"/>
              <w:bottom w:val="single" w:sz="4" w:space="0" w:color="auto"/>
              <w:right w:val="nil"/>
            </w:tcBorders>
            <w:vAlign w:val="center"/>
          </w:tcPr>
          <w:p w14:paraId="754F963B"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w:t>
            </w:r>
          </w:p>
        </w:tc>
      </w:tr>
      <w:tr w:rsidR="00650B15" w:rsidRPr="004C54B9" w14:paraId="5F2A7FC6" w14:textId="77777777" w:rsidTr="00D45171">
        <w:trPr>
          <w:trHeight w:val="91"/>
          <w:jc w:val="center"/>
        </w:trPr>
        <w:tc>
          <w:tcPr>
            <w:tcW w:w="3080" w:type="dxa"/>
            <w:tcBorders>
              <w:top w:val="single" w:sz="4" w:space="0" w:color="auto"/>
              <w:left w:val="nil"/>
              <w:bottom w:val="nil"/>
              <w:right w:val="nil"/>
            </w:tcBorders>
            <w:shd w:val="clear" w:color="auto" w:fill="auto"/>
            <w:noWrap/>
            <w:vAlign w:val="center"/>
          </w:tcPr>
          <w:p w14:paraId="75E5EF38" w14:textId="77777777" w:rsidR="00650B15" w:rsidRPr="00484218" w:rsidRDefault="00650B15" w:rsidP="00B36B07">
            <w:pPr>
              <w:spacing w:after="0" w:line="240" w:lineRule="auto"/>
              <w:jc w:val="both"/>
              <w:rPr>
                <w:rFonts w:ascii="Arial Narrow" w:hAnsi="Arial Narrow"/>
                <w:color w:val="000000"/>
                <w:sz w:val="20"/>
                <w:szCs w:val="20"/>
              </w:rPr>
            </w:pPr>
            <w:r w:rsidRPr="00484218">
              <w:rPr>
                <w:rFonts w:ascii="Arial Narrow" w:hAnsi="Arial Narrow"/>
                <w:b/>
                <w:bCs/>
                <w:color w:val="000000"/>
                <w:sz w:val="20"/>
                <w:szCs w:val="20"/>
              </w:rPr>
              <w:t>Vnímanie korupcie</w:t>
            </w:r>
          </w:p>
        </w:tc>
        <w:tc>
          <w:tcPr>
            <w:tcW w:w="815" w:type="dxa"/>
            <w:tcBorders>
              <w:top w:val="single" w:sz="4" w:space="0" w:color="auto"/>
              <w:left w:val="nil"/>
              <w:bottom w:val="nil"/>
              <w:right w:val="nil"/>
            </w:tcBorders>
            <w:shd w:val="clear" w:color="auto" w:fill="auto"/>
            <w:vAlign w:val="center"/>
          </w:tcPr>
          <w:p w14:paraId="111731A1" w14:textId="77777777" w:rsidR="00650B15" w:rsidRPr="00484218" w:rsidRDefault="00650B15" w:rsidP="00B36B07">
            <w:pPr>
              <w:spacing w:after="0" w:line="240" w:lineRule="auto"/>
              <w:jc w:val="center"/>
              <w:rPr>
                <w:rFonts w:ascii="Arial Narrow" w:hAnsi="Arial Narrow"/>
                <w:b/>
                <w:bCs/>
                <w:color w:val="000000"/>
                <w:sz w:val="20"/>
                <w:szCs w:val="20"/>
              </w:rPr>
            </w:pPr>
            <w:r w:rsidRPr="00484218">
              <w:rPr>
                <w:rFonts w:ascii="Arial Narrow" w:hAnsi="Arial Narrow"/>
                <w:b/>
                <w:bCs/>
                <w:color w:val="000000"/>
                <w:sz w:val="20"/>
                <w:szCs w:val="20"/>
              </w:rPr>
              <w:t>SK</w:t>
            </w:r>
          </w:p>
        </w:tc>
        <w:tc>
          <w:tcPr>
            <w:tcW w:w="580" w:type="dxa"/>
            <w:tcBorders>
              <w:top w:val="single" w:sz="4" w:space="0" w:color="auto"/>
              <w:left w:val="nil"/>
              <w:bottom w:val="nil"/>
              <w:right w:val="nil"/>
            </w:tcBorders>
            <w:shd w:val="clear" w:color="auto" w:fill="auto"/>
            <w:noWrap/>
            <w:vAlign w:val="center"/>
          </w:tcPr>
          <w:p w14:paraId="41D7B1C0"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46</w:t>
            </w:r>
          </w:p>
        </w:tc>
        <w:tc>
          <w:tcPr>
            <w:tcW w:w="580" w:type="dxa"/>
            <w:tcBorders>
              <w:top w:val="nil"/>
              <w:left w:val="nil"/>
              <w:bottom w:val="nil"/>
              <w:right w:val="nil"/>
            </w:tcBorders>
            <w:shd w:val="clear" w:color="auto" w:fill="auto"/>
            <w:noWrap/>
            <w:vAlign w:val="center"/>
          </w:tcPr>
          <w:p w14:paraId="0ACAD870"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47</w:t>
            </w:r>
          </w:p>
        </w:tc>
        <w:tc>
          <w:tcPr>
            <w:tcW w:w="579" w:type="dxa"/>
            <w:tcBorders>
              <w:top w:val="nil"/>
              <w:left w:val="nil"/>
              <w:bottom w:val="nil"/>
              <w:right w:val="nil"/>
            </w:tcBorders>
            <w:shd w:val="clear" w:color="auto" w:fill="auto"/>
            <w:noWrap/>
            <w:vAlign w:val="center"/>
          </w:tcPr>
          <w:p w14:paraId="22DDF151"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50</w:t>
            </w:r>
          </w:p>
        </w:tc>
        <w:tc>
          <w:tcPr>
            <w:tcW w:w="579" w:type="dxa"/>
            <w:tcBorders>
              <w:top w:val="nil"/>
              <w:left w:val="nil"/>
              <w:bottom w:val="nil"/>
              <w:right w:val="nil"/>
            </w:tcBorders>
            <w:shd w:val="clear" w:color="auto" w:fill="auto"/>
            <w:noWrap/>
            <w:vAlign w:val="center"/>
          </w:tcPr>
          <w:p w14:paraId="377F85D8"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51</w:t>
            </w:r>
          </w:p>
        </w:tc>
        <w:tc>
          <w:tcPr>
            <w:tcW w:w="579" w:type="dxa"/>
            <w:tcBorders>
              <w:top w:val="nil"/>
              <w:left w:val="nil"/>
              <w:bottom w:val="nil"/>
              <w:right w:val="nil"/>
            </w:tcBorders>
            <w:shd w:val="clear" w:color="auto" w:fill="auto"/>
            <w:noWrap/>
            <w:vAlign w:val="center"/>
          </w:tcPr>
          <w:p w14:paraId="323E8C02"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51</w:t>
            </w:r>
          </w:p>
        </w:tc>
        <w:tc>
          <w:tcPr>
            <w:tcW w:w="579" w:type="dxa"/>
            <w:tcBorders>
              <w:top w:val="nil"/>
              <w:left w:val="nil"/>
              <w:bottom w:val="nil"/>
              <w:right w:val="nil"/>
            </w:tcBorders>
            <w:shd w:val="clear" w:color="auto" w:fill="auto"/>
            <w:noWrap/>
            <w:vAlign w:val="center"/>
          </w:tcPr>
          <w:p w14:paraId="248DE8B8"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50</w:t>
            </w:r>
          </w:p>
        </w:tc>
        <w:tc>
          <w:tcPr>
            <w:tcW w:w="579" w:type="dxa"/>
            <w:tcBorders>
              <w:top w:val="single" w:sz="4" w:space="0" w:color="auto"/>
              <w:left w:val="nil"/>
              <w:bottom w:val="nil"/>
              <w:right w:val="nil"/>
            </w:tcBorders>
            <w:shd w:val="clear" w:color="auto" w:fill="auto"/>
            <w:noWrap/>
            <w:vAlign w:val="center"/>
          </w:tcPr>
          <w:p w14:paraId="732592F6"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50</w:t>
            </w:r>
          </w:p>
        </w:tc>
        <w:tc>
          <w:tcPr>
            <w:tcW w:w="657" w:type="dxa"/>
            <w:tcBorders>
              <w:top w:val="single" w:sz="4" w:space="0" w:color="auto"/>
              <w:left w:val="nil"/>
              <w:bottom w:val="nil"/>
              <w:right w:val="nil"/>
            </w:tcBorders>
            <w:vAlign w:val="center"/>
          </w:tcPr>
          <w:p w14:paraId="769F7A7A" w14:textId="77777777" w:rsidR="00650B15" w:rsidRPr="00780749" w:rsidRDefault="00650B15" w:rsidP="00B36B07">
            <w:pPr>
              <w:spacing w:after="0" w:line="240" w:lineRule="auto"/>
              <w:jc w:val="center"/>
              <w:rPr>
                <w:rFonts w:ascii="Arial Narrow" w:hAnsi="Arial Narrow"/>
                <w:color w:val="000000"/>
                <w:sz w:val="20"/>
                <w:szCs w:val="20"/>
              </w:rPr>
            </w:pPr>
            <w:r w:rsidRPr="00780749">
              <w:rPr>
                <w:rFonts w:ascii="Arial Narrow" w:hAnsi="Arial Narrow"/>
                <w:color w:val="000000"/>
                <w:sz w:val="20"/>
                <w:szCs w:val="20"/>
              </w:rPr>
              <w:t>-</w:t>
            </w:r>
          </w:p>
        </w:tc>
      </w:tr>
      <w:tr w:rsidR="00650B15" w:rsidRPr="004C54B9" w14:paraId="50C73AE4" w14:textId="77777777" w:rsidTr="00D45171">
        <w:trPr>
          <w:trHeight w:val="198"/>
          <w:jc w:val="center"/>
        </w:trPr>
        <w:tc>
          <w:tcPr>
            <w:tcW w:w="3080" w:type="dxa"/>
            <w:tcBorders>
              <w:top w:val="nil"/>
              <w:left w:val="nil"/>
              <w:bottom w:val="single" w:sz="4" w:space="0" w:color="auto"/>
              <w:right w:val="nil"/>
            </w:tcBorders>
            <w:shd w:val="clear" w:color="auto" w:fill="auto"/>
            <w:noWrap/>
            <w:vAlign w:val="center"/>
          </w:tcPr>
          <w:p w14:paraId="7C74A6AB" w14:textId="77777777" w:rsidR="00650B15" w:rsidRPr="00484218" w:rsidRDefault="00650B15" w:rsidP="00B36B07">
            <w:pPr>
              <w:spacing w:after="0" w:line="240" w:lineRule="auto"/>
              <w:jc w:val="both"/>
              <w:rPr>
                <w:rFonts w:ascii="Arial Narrow" w:hAnsi="Arial Narrow"/>
                <w:color w:val="000000"/>
                <w:sz w:val="20"/>
                <w:szCs w:val="20"/>
              </w:rPr>
            </w:pPr>
            <w:r w:rsidRPr="00484218">
              <w:rPr>
                <w:rFonts w:ascii="Arial Narrow" w:hAnsi="Arial Narrow"/>
                <w:color w:val="000000"/>
                <w:sz w:val="20"/>
                <w:szCs w:val="20"/>
              </w:rPr>
              <w:t>(bodové hodnotenie)</w:t>
            </w:r>
          </w:p>
        </w:tc>
        <w:tc>
          <w:tcPr>
            <w:tcW w:w="815" w:type="dxa"/>
            <w:tcBorders>
              <w:top w:val="nil"/>
              <w:left w:val="nil"/>
              <w:bottom w:val="single" w:sz="4" w:space="0" w:color="auto"/>
              <w:right w:val="nil"/>
            </w:tcBorders>
            <w:shd w:val="clear" w:color="auto" w:fill="auto"/>
            <w:vAlign w:val="center"/>
          </w:tcPr>
          <w:p w14:paraId="222AE2DD" w14:textId="77777777" w:rsidR="00650B15" w:rsidRPr="00484218" w:rsidRDefault="00650B15" w:rsidP="00B36B07">
            <w:pPr>
              <w:spacing w:after="0" w:line="240" w:lineRule="auto"/>
              <w:jc w:val="center"/>
              <w:rPr>
                <w:rFonts w:ascii="Arial Narrow" w:hAnsi="Arial Narrow"/>
                <w:b/>
                <w:bCs/>
                <w:color w:val="000000"/>
                <w:sz w:val="20"/>
                <w:szCs w:val="20"/>
              </w:rPr>
            </w:pPr>
            <w:r w:rsidRPr="00484218">
              <w:rPr>
                <w:rFonts w:ascii="Arial Narrow" w:hAnsi="Arial Narrow"/>
                <w:b/>
                <w:bCs/>
                <w:color w:val="000000"/>
                <w:sz w:val="20"/>
                <w:szCs w:val="20"/>
              </w:rPr>
              <w:t>EÚ</w:t>
            </w:r>
          </w:p>
        </w:tc>
        <w:tc>
          <w:tcPr>
            <w:tcW w:w="580" w:type="dxa"/>
            <w:tcBorders>
              <w:top w:val="nil"/>
              <w:left w:val="nil"/>
              <w:bottom w:val="single" w:sz="4" w:space="0" w:color="auto"/>
              <w:right w:val="nil"/>
            </w:tcBorders>
            <w:shd w:val="clear" w:color="auto" w:fill="auto"/>
            <w:noWrap/>
            <w:vAlign w:val="center"/>
          </w:tcPr>
          <w:p w14:paraId="624DEBC2"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63</w:t>
            </w:r>
          </w:p>
        </w:tc>
        <w:tc>
          <w:tcPr>
            <w:tcW w:w="580" w:type="dxa"/>
            <w:tcBorders>
              <w:top w:val="nil"/>
              <w:left w:val="nil"/>
              <w:bottom w:val="single" w:sz="4" w:space="0" w:color="auto"/>
              <w:right w:val="nil"/>
            </w:tcBorders>
            <w:shd w:val="clear" w:color="auto" w:fill="auto"/>
            <w:noWrap/>
            <w:vAlign w:val="center"/>
          </w:tcPr>
          <w:p w14:paraId="625A6983"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63</w:t>
            </w:r>
          </w:p>
        </w:tc>
        <w:tc>
          <w:tcPr>
            <w:tcW w:w="579" w:type="dxa"/>
            <w:tcBorders>
              <w:top w:val="nil"/>
              <w:left w:val="nil"/>
              <w:bottom w:val="single" w:sz="4" w:space="0" w:color="auto"/>
              <w:right w:val="nil"/>
            </w:tcBorders>
            <w:shd w:val="clear" w:color="auto" w:fill="auto"/>
            <w:noWrap/>
            <w:vAlign w:val="center"/>
          </w:tcPr>
          <w:p w14:paraId="418E9FFB"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64</w:t>
            </w:r>
          </w:p>
        </w:tc>
        <w:tc>
          <w:tcPr>
            <w:tcW w:w="579" w:type="dxa"/>
            <w:tcBorders>
              <w:top w:val="nil"/>
              <w:left w:val="nil"/>
              <w:bottom w:val="single" w:sz="4" w:space="0" w:color="auto"/>
              <w:right w:val="nil"/>
            </w:tcBorders>
            <w:shd w:val="clear" w:color="auto" w:fill="auto"/>
            <w:noWrap/>
            <w:vAlign w:val="center"/>
          </w:tcPr>
          <w:p w14:paraId="179C2E69"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66</w:t>
            </w:r>
          </w:p>
        </w:tc>
        <w:tc>
          <w:tcPr>
            <w:tcW w:w="579" w:type="dxa"/>
            <w:tcBorders>
              <w:top w:val="nil"/>
              <w:left w:val="nil"/>
              <w:bottom w:val="single" w:sz="4" w:space="0" w:color="auto"/>
              <w:right w:val="nil"/>
            </w:tcBorders>
            <w:shd w:val="clear" w:color="auto" w:fill="auto"/>
            <w:noWrap/>
            <w:vAlign w:val="center"/>
          </w:tcPr>
          <w:p w14:paraId="5DAD3DE5"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65</w:t>
            </w:r>
          </w:p>
        </w:tc>
        <w:tc>
          <w:tcPr>
            <w:tcW w:w="579" w:type="dxa"/>
            <w:tcBorders>
              <w:top w:val="nil"/>
              <w:left w:val="nil"/>
              <w:bottom w:val="single" w:sz="4" w:space="0" w:color="auto"/>
              <w:right w:val="nil"/>
            </w:tcBorders>
            <w:shd w:val="clear" w:color="auto" w:fill="auto"/>
            <w:noWrap/>
            <w:vAlign w:val="center"/>
          </w:tcPr>
          <w:p w14:paraId="5A2C6C88"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65</w:t>
            </w:r>
          </w:p>
        </w:tc>
        <w:tc>
          <w:tcPr>
            <w:tcW w:w="579" w:type="dxa"/>
            <w:tcBorders>
              <w:top w:val="nil"/>
              <w:left w:val="nil"/>
              <w:bottom w:val="single" w:sz="4" w:space="0" w:color="auto"/>
              <w:right w:val="nil"/>
            </w:tcBorders>
            <w:shd w:val="clear" w:color="auto" w:fill="auto"/>
            <w:noWrap/>
            <w:vAlign w:val="center"/>
          </w:tcPr>
          <w:p w14:paraId="754C7E49" w14:textId="77777777" w:rsidR="00650B15" w:rsidRPr="00484218" w:rsidRDefault="00650B15" w:rsidP="00B36B07">
            <w:pPr>
              <w:spacing w:after="0" w:line="240" w:lineRule="auto"/>
              <w:jc w:val="center"/>
              <w:rPr>
                <w:rFonts w:ascii="Arial Narrow" w:hAnsi="Arial Narrow"/>
                <w:sz w:val="20"/>
                <w:szCs w:val="20"/>
              </w:rPr>
            </w:pPr>
            <w:r w:rsidRPr="00484218">
              <w:rPr>
                <w:rFonts w:ascii="Arial Narrow" w:hAnsi="Arial Narrow"/>
                <w:sz w:val="20"/>
                <w:szCs w:val="20"/>
              </w:rPr>
              <w:t>65</w:t>
            </w:r>
          </w:p>
        </w:tc>
        <w:tc>
          <w:tcPr>
            <w:tcW w:w="657" w:type="dxa"/>
            <w:tcBorders>
              <w:top w:val="nil"/>
              <w:left w:val="nil"/>
              <w:bottom w:val="single" w:sz="4" w:space="0" w:color="auto"/>
              <w:right w:val="nil"/>
            </w:tcBorders>
            <w:vAlign w:val="center"/>
          </w:tcPr>
          <w:p w14:paraId="13C39210" w14:textId="77777777" w:rsidR="00650B15" w:rsidRPr="00780749" w:rsidRDefault="00650B15" w:rsidP="00B36B07">
            <w:pPr>
              <w:spacing w:after="0" w:line="240" w:lineRule="auto"/>
              <w:jc w:val="center"/>
              <w:rPr>
                <w:rFonts w:ascii="Arial Narrow" w:hAnsi="Arial Narrow"/>
                <w:color w:val="000000"/>
                <w:sz w:val="20"/>
                <w:szCs w:val="20"/>
              </w:rPr>
            </w:pPr>
            <w:r w:rsidRPr="00780749">
              <w:rPr>
                <w:rFonts w:ascii="Arial Narrow" w:hAnsi="Arial Narrow"/>
                <w:color w:val="000000"/>
                <w:sz w:val="20"/>
                <w:szCs w:val="20"/>
              </w:rPr>
              <w:t>-</w:t>
            </w:r>
          </w:p>
        </w:tc>
      </w:tr>
    </w:tbl>
    <w:p w14:paraId="062B16D2" w14:textId="77777777" w:rsidR="00C24690" w:rsidRPr="004C54B9" w:rsidRDefault="00C24690" w:rsidP="00C24690">
      <w:pPr>
        <w:pStyle w:val="Odsekzoznamu"/>
        <w:spacing w:after="0" w:line="240" w:lineRule="auto"/>
        <w:ind w:left="862"/>
        <w:jc w:val="both"/>
        <w:rPr>
          <w:rFonts w:ascii="Arial Narrow" w:hAnsi="Arial Narrow" w:cs="Arial Narrow"/>
        </w:rPr>
      </w:pPr>
    </w:p>
    <w:p w14:paraId="3E172F89" w14:textId="271E838A" w:rsidR="00C24690" w:rsidRPr="004C54B9" w:rsidRDefault="00C24690" w:rsidP="00C24690">
      <w:pPr>
        <w:spacing w:after="0" w:line="240" w:lineRule="auto"/>
        <w:jc w:val="both"/>
        <w:rPr>
          <w:rFonts w:ascii="Arial Narrow" w:hAnsi="Arial Narrow" w:cs="Arial Narrow"/>
          <w:bCs/>
          <w:lang w:eastAsia="en-US"/>
        </w:rPr>
      </w:pPr>
      <w:r w:rsidRPr="004C54B9">
        <w:rPr>
          <w:rFonts w:ascii="Arial Narrow" w:hAnsi="Arial Narrow" w:cs="Arial Narrow"/>
          <w:lang w:eastAsia="en-US"/>
        </w:rPr>
        <w:t>Slovensko sa v </w:t>
      </w:r>
      <w:r w:rsidRPr="004C54B9">
        <w:rPr>
          <w:rFonts w:ascii="Arial Narrow" w:hAnsi="Arial Narrow" w:cs="Arial Narrow"/>
          <w:b/>
          <w:lang w:eastAsia="en-US"/>
        </w:rPr>
        <w:t>hodnotení regulačného prostredia</w:t>
      </w:r>
      <w:r w:rsidRPr="004C54B9">
        <w:rPr>
          <w:rFonts w:ascii="Arial Narrow" w:hAnsi="Arial Narrow" w:cs="Arial Narrow"/>
          <w:lang w:eastAsia="en-US"/>
        </w:rPr>
        <w:t xml:space="preserve"> </w:t>
      </w:r>
      <w:r w:rsidRPr="004C54B9">
        <w:rPr>
          <w:rFonts w:ascii="Arial Narrow" w:hAnsi="Arial Narrow" w:cs="Arial Narrow"/>
          <w:b/>
          <w:lang w:eastAsia="en-US"/>
        </w:rPr>
        <w:t>pre podnikanie</w:t>
      </w:r>
      <w:r w:rsidRPr="004C54B9">
        <w:rPr>
          <w:rFonts w:ascii="Arial Narrow" w:hAnsi="Arial Narrow" w:cs="Arial Narrow"/>
          <w:lang w:eastAsia="en-US"/>
        </w:rPr>
        <w:t xml:space="preserve"> podľa </w:t>
      </w:r>
      <w:proofErr w:type="spellStart"/>
      <w:r w:rsidRPr="004C54B9">
        <w:rPr>
          <w:rFonts w:ascii="Arial Narrow" w:hAnsi="Arial Narrow" w:cs="Arial Narrow"/>
          <w:lang w:eastAsia="en-US"/>
        </w:rPr>
        <w:t>Doing</w:t>
      </w:r>
      <w:proofErr w:type="spellEnd"/>
      <w:r w:rsidRPr="004C54B9">
        <w:rPr>
          <w:rFonts w:ascii="Arial Narrow" w:hAnsi="Arial Narrow" w:cs="Arial Narrow"/>
          <w:lang w:eastAsia="en-US"/>
        </w:rPr>
        <w:t xml:space="preserve"> Business 2019 umiestnilo na 42. mieste zo 190 hodnotených krajín s celkovým skóre 75,2. </w:t>
      </w:r>
      <w:r w:rsidR="001E0741" w:rsidRPr="004C54B9">
        <w:rPr>
          <w:rFonts w:ascii="Arial Narrow" w:hAnsi="Arial Narrow" w:cs="Arial Narrow"/>
          <w:lang w:eastAsia="en-US"/>
        </w:rPr>
        <w:t xml:space="preserve">Celkové skóre Slovenska sa </w:t>
      </w:r>
      <w:r w:rsidR="001E0741" w:rsidRPr="004C54B9">
        <w:rPr>
          <w:rFonts w:ascii="Arial Narrow" w:hAnsi="Arial Narrow" w:cs="Arial Narrow"/>
          <w:bCs/>
          <w:lang w:eastAsia="en-US"/>
        </w:rPr>
        <w:t>oproti minulému roku mierne zlepšilo (nárast o 0,29 bodu).</w:t>
      </w:r>
      <w:r w:rsidRPr="004C54B9">
        <w:rPr>
          <w:rFonts w:ascii="Arial Narrow" w:hAnsi="Arial Narrow" w:cs="Arial Narrow"/>
          <w:lang w:eastAsia="en-US"/>
        </w:rPr>
        <w:t xml:space="preserve">V porovnaní s predchádzajúcim rokom sme sa </w:t>
      </w:r>
      <w:r w:rsidR="001E0741">
        <w:rPr>
          <w:rFonts w:ascii="Arial Narrow" w:hAnsi="Arial Narrow" w:cs="Arial Narrow"/>
          <w:lang w:eastAsia="en-US"/>
        </w:rPr>
        <w:t xml:space="preserve">však </w:t>
      </w:r>
      <w:r w:rsidRPr="004C54B9">
        <w:rPr>
          <w:rFonts w:ascii="Arial Narrow" w:hAnsi="Arial Narrow" w:cs="Arial Narrow"/>
          <w:lang w:eastAsia="en-US"/>
        </w:rPr>
        <w:t>posunuli o tri miesta nadol (z pozície 39 na 42). V regióne V4 je za nami len Maďarsko (53. miesto).</w:t>
      </w:r>
      <w:r w:rsidRPr="004C54B9">
        <w:rPr>
          <w:rFonts w:ascii="Arial Narrow" w:eastAsiaTheme="minorHAnsi" w:hAnsi="Arial Narrow" w:cstheme="minorBidi"/>
          <w:lang w:eastAsia="en-US"/>
        </w:rPr>
        <w:t xml:space="preserve"> </w:t>
      </w:r>
      <w:r w:rsidRPr="004C54B9">
        <w:rPr>
          <w:rFonts w:ascii="Arial Narrow" w:hAnsi="Arial Narrow" w:cs="Arial Narrow"/>
          <w:lang w:eastAsia="en-US"/>
        </w:rPr>
        <w:t xml:space="preserve">Za poklesom Slovenska v rebríčku stojí najmä zlepšenie skóre ostatných krajín a naša stagnácia vo viacerých hodnotených oblastiach. </w:t>
      </w:r>
    </w:p>
    <w:p w14:paraId="1A876BEB" w14:textId="77777777" w:rsidR="00C24690" w:rsidRPr="004C54B9" w:rsidRDefault="00C24690" w:rsidP="00C24690">
      <w:pPr>
        <w:spacing w:after="0" w:line="240" w:lineRule="auto"/>
        <w:jc w:val="both"/>
        <w:rPr>
          <w:rFonts w:ascii="Arial Narrow" w:hAnsi="Arial Narrow" w:cs="Arial Narrow"/>
          <w:lang w:eastAsia="en-US"/>
        </w:rPr>
      </w:pPr>
    </w:p>
    <w:tbl>
      <w:tblPr>
        <w:tblW w:w="8675" w:type="dxa"/>
        <w:jc w:val="center"/>
        <w:tblLayout w:type="fixed"/>
        <w:tblCellMar>
          <w:top w:w="28" w:type="dxa"/>
          <w:left w:w="70" w:type="dxa"/>
          <w:right w:w="70" w:type="dxa"/>
        </w:tblCellMar>
        <w:tblLook w:val="0000" w:firstRow="0" w:lastRow="0" w:firstColumn="0" w:lastColumn="0" w:noHBand="0" w:noVBand="0"/>
      </w:tblPr>
      <w:tblGrid>
        <w:gridCol w:w="4068"/>
        <w:gridCol w:w="161"/>
        <w:gridCol w:w="76"/>
        <w:gridCol w:w="4370"/>
      </w:tblGrid>
      <w:tr w:rsidR="00C24690" w:rsidRPr="004C54B9" w14:paraId="4973AF41" w14:textId="77777777" w:rsidTr="006F19DC">
        <w:trPr>
          <w:trHeight w:val="269"/>
          <w:jc w:val="center"/>
        </w:trPr>
        <w:tc>
          <w:tcPr>
            <w:tcW w:w="4068" w:type="dxa"/>
            <w:tcBorders>
              <w:top w:val="nil"/>
              <w:left w:val="nil"/>
              <w:bottom w:val="single" w:sz="6" w:space="0" w:color="000000"/>
              <w:right w:val="nil"/>
            </w:tcBorders>
            <w:shd w:val="clear" w:color="auto" w:fill="auto"/>
            <w:vAlign w:val="bottom"/>
          </w:tcPr>
          <w:p w14:paraId="5843E558" w14:textId="66AC2BEC" w:rsidR="00C24690" w:rsidRPr="00484218" w:rsidRDefault="00C24690" w:rsidP="00B36B07">
            <w:pPr>
              <w:spacing w:after="0" w:line="240" w:lineRule="auto"/>
              <w:jc w:val="both"/>
              <w:rPr>
                <w:rFonts w:ascii="Arial Narrow" w:eastAsia="Arial Narrow" w:hAnsi="Arial Narrow" w:cs="Arial Narrow"/>
                <w:b/>
                <w:bCs/>
                <w:color w:val="4F81BD" w:themeColor="accent1"/>
                <w:sz w:val="20"/>
                <w:bdr w:val="nil"/>
              </w:rPr>
            </w:pPr>
            <w:bookmarkStart w:id="68" w:name="_Toc480760516"/>
            <w:bookmarkStart w:id="69" w:name="_Toc4625976"/>
            <w:r w:rsidRPr="00484218">
              <w:rPr>
                <w:rFonts w:ascii="Arial Narrow" w:eastAsia="Calibri" w:hAnsi="Arial Narrow" w:cs="Arial Narrow"/>
                <w:b/>
                <w:bCs/>
                <w:color w:val="2C9ADC"/>
                <w:sz w:val="20"/>
                <w:bdr w:val="nil"/>
                <w:lang w:eastAsia="en-US"/>
              </w:rPr>
              <w:t xml:space="preserve">Graf </w:t>
            </w:r>
            <w:r w:rsidRPr="00484218">
              <w:rPr>
                <w:rFonts w:ascii="Arial Narrow" w:eastAsia="Calibri" w:hAnsi="Arial Narrow" w:cs="Arial Narrow"/>
                <w:b/>
                <w:bCs/>
                <w:color w:val="2C9ADC"/>
                <w:sz w:val="20"/>
                <w:bdr w:val="nil"/>
                <w:lang w:eastAsia="en-US"/>
              </w:rPr>
              <w:fldChar w:fldCharType="begin"/>
            </w:r>
            <w:r w:rsidRPr="00484218">
              <w:rPr>
                <w:rFonts w:ascii="Arial Narrow" w:eastAsia="Calibri" w:hAnsi="Arial Narrow" w:cs="Arial Narrow"/>
                <w:b/>
                <w:bCs/>
                <w:color w:val="2C9ADC"/>
                <w:sz w:val="20"/>
                <w:bdr w:val="nil"/>
                <w:lang w:eastAsia="en-US"/>
              </w:rPr>
              <w:instrText xml:space="preserve"> SEQ GRAF \* ARABIC </w:instrText>
            </w:r>
            <w:r w:rsidRPr="00484218">
              <w:rPr>
                <w:rFonts w:ascii="Arial Narrow" w:eastAsia="Calibri" w:hAnsi="Arial Narrow" w:cs="Arial Narrow"/>
                <w:b/>
                <w:bCs/>
                <w:color w:val="2C9ADC"/>
                <w:sz w:val="20"/>
                <w:bdr w:val="nil"/>
                <w:lang w:eastAsia="en-US"/>
              </w:rPr>
              <w:fldChar w:fldCharType="separate"/>
            </w:r>
            <w:r w:rsidR="0020148F">
              <w:rPr>
                <w:rFonts w:ascii="Arial Narrow" w:eastAsia="Calibri" w:hAnsi="Arial Narrow" w:cs="Arial Narrow"/>
                <w:b/>
                <w:bCs/>
                <w:noProof/>
                <w:color w:val="2C9ADC"/>
                <w:sz w:val="20"/>
                <w:bdr w:val="nil"/>
                <w:lang w:eastAsia="en-US"/>
              </w:rPr>
              <w:t>27</w:t>
            </w:r>
            <w:r w:rsidRPr="00484218">
              <w:rPr>
                <w:rFonts w:ascii="Arial Narrow" w:eastAsia="Calibri" w:hAnsi="Arial Narrow" w:cs="Arial Narrow"/>
                <w:b/>
                <w:bCs/>
                <w:color w:val="2C9ADC"/>
                <w:sz w:val="20"/>
                <w:bdr w:val="nil"/>
                <w:lang w:eastAsia="en-US"/>
              </w:rPr>
              <w:fldChar w:fldCharType="end"/>
            </w:r>
            <w:r w:rsidR="005A735A">
              <w:rPr>
                <w:rFonts w:ascii="Arial Narrow" w:eastAsia="Calibri" w:hAnsi="Arial Narrow" w:cs="Arial Narrow"/>
                <w:b/>
                <w:bCs/>
                <w:color w:val="2C9ADC"/>
                <w:sz w:val="20"/>
                <w:bdr w:val="nil"/>
                <w:lang w:eastAsia="en-US"/>
              </w:rPr>
              <w:t xml:space="preserve">: </w:t>
            </w:r>
            <w:r w:rsidRPr="00484218">
              <w:rPr>
                <w:rFonts w:ascii="Arial Narrow" w:eastAsia="Calibri" w:hAnsi="Arial Narrow" w:cs="Arial Narrow"/>
                <w:b/>
                <w:bCs/>
                <w:color w:val="2C9ADC"/>
                <w:sz w:val="20"/>
                <w:bdr w:val="nil"/>
                <w:lang w:eastAsia="en-US"/>
              </w:rPr>
              <w:t xml:space="preserve">Bodové hodnotenie v rebríčku </w:t>
            </w:r>
            <w:proofErr w:type="spellStart"/>
            <w:r w:rsidRPr="00484218">
              <w:rPr>
                <w:rFonts w:ascii="Arial Narrow" w:eastAsia="Calibri" w:hAnsi="Arial Narrow" w:cs="Arial Narrow"/>
                <w:b/>
                <w:bCs/>
                <w:color w:val="2C9ADC"/>
                <w:sz w:val="20"/>
                <w:bdr w:val="nil"/>
                <w:lang w:eastAsia="en-US"/>
              </w:rPr>
              <w:t>Doing</w:t>
            </w:r>
            <w:proofErr w:type="spellEnd"/>
            <w:r w:rsidRPr="00484218">
              <w:rPr>
                <w:rFonts w:ascii="Arial Narrow" w:eastAsia="Calibri" w:hAnsi="Arial Narrow" w:cs="Arial Narrow"/>
                <w:b/>
                <w:bCs/>
                <w:color w:val="2C9ADC"/>
                <w:sz w:val="20"/>
                <w:bdr w:val="nil"/>
                <w:lang w:eastAsia="en-US"/>
              </w:rPr>
              <w:t xml:space="preserve"> Business (metodika DB 2019)</w:t>
            </w:r>
            <w:bookmarkEnd w:id="68"/>
            <w:bookmarkEnd w:id="69"/>
          </w:p>
        </w:tc>
        <w:tc>
          <w:tcPr>
            <w:tcW w:w="161" w:type="dxa"/>
            <w:tcBorders>
              <w:top w:val="nil"/>
              <w:left w:val="nil"/>
              <w:bottom w:val="nil"/>
              <w:right w:val="nil"/>
            </w:tcBorders>
            <w:shd w:val="clear" w:color="auto" w:fill="auto"/>
            <w:vAlign w:val="center"/>
          </w:tcPr>
          <w:p w14:paraId="3FC24C0B" w14:textId="77777777" w:rsidR="00C24690" w:rsidRPr="00484218" w:rsidRDefault="00C24690" w:rsidP="00B36B07">
            <w:pPr>
              <w:spacing w:after="0" w:line="240" w:lineRule="auto"/>
              <w:rPr>
                <w:rFonts w:ascii="Arial Narrow" w:eastAsia="Arial Narrow" w:hAnsi="Arial Narrow" w:cs="Arial Narrow"/>
                <w:b/>
                <w:bCs/>
                <w:color w:val="4F81BD" w:themeColor="accent1"/>
                <w:sz w:val="20"/>
                <w:bdr w:val="nil"/>
              </w:rPr>
            </w:pPr>
          </w:p>
        </w:tc>
        <w:tc>
          <w:tcPr>
            <w:tcW w:w="4446" w:type="dxa"/>
            <w:gridSpan w:val="2"/>
            <w:tcBorders>
              <w:top w:val="nil"/>
              <w:left w:val="nil"/>
              <w:bottom w:val="single" w:sz="6" w:space="0" w:color="000000"/>
              <w:right w:val="nil"/>
            </w:tcBorders>
            <w:shd w:val="clear" w:color="auto" w:fill="auto"/>
            <w:vAlign w:val="bottom"/>
          </w:tcPr>
          <w:p w14:paraId="1BEC0B21" w14:textId="77777777" w:rsidR="00C24690" w:rsidRPr="00484218" w:rsidRDefault="00C24690" w:rsidP="00B36B07">
            <w:pPr>
              <w:spacing w:after="0" w:line="240" w:lineRule="auto"/>
              <w:jc w:val="both"/>
              <w:rPr>
                <w:rFonts w:ascii="Arial Narrow" w:eastAsia="Arial Narrow" w:hAnsi="Arial Narrow" w:cs="Arial Narrow"/>
                <w:b/>
                <w:bCs/>
                <w:color w:val="4F81BD" w:themeColor="accent1"/>
                <w:sz w:val="20"/>
                <w:bdr w:val="nil"/>
              </w:rPr>
            </w:pPr>
            <w:bookmarkStart w:id="70" w:name="_Toc480760517"/>
            <w:bookmarkStart w:id="71" w:name="_Toc4625977"/>
            <w:r w:rsidRPr="00484218">
              <w:rPr>
                <w:rFonts w:ascii="Arial Narrow" w:eastAsia="Calibri" w:hAnsi="Arial Narrow" w:cs="Arial Narrow"/>
                <w:b/>
                <w:bCs/>
                <w:color w:val="2C9ADC"/>
                <w:sz w:val="20"/>
                <w:bdr w:val="nil"/>
                <w:lang w:eastAsia="en-US"/>
              </w:rPr>
              <w:t xml:space="preserve">Graf </w:t>
            </w:r>
            <w:r w:rsidRPr="00484218">
              <w:rPr>
                <w:rFonts w:ascii="Arial Narrow" w:eastAsia="Calibri" w:hAnsi="Arial Narrow" w:cs="Arial Narrow"/>
                <w:b/>
                <w:bCs/>
                <w:color w:val="2C9ADC"/>
                <w:sz w:val="20"/>
                <w:bdr w:val="nil"/>
                <w:lang w:eastAsia="en-US"/>
              </w:rPr>
              <w:fldChar w:fldCharType="begin"/>
            </w:r>
            <w:r w:rsidRPr="00484218">
              <w:rPr>
                <w:rFonts w:ascii="Arial Narrow" w:eastAsia="Calibri" w:hAnsi="Arial Narrow" w:cs="Arial Narrow"/>
                <w:b/>
                <w:bCs/>
                <w:color w:val="2C9ADC"/>
                <w:sz w:val="20"/>
                <w:bdr w:val="nil"/>
                <w:lang w:eastAsia="en-US"/>
              </w:rPr>
              <w:instrText xml:space="preserve"> SEQ GRAF \* ARABIC </w:instrText>
            </w:r>
            <w:r w:rsidRPr="00484218">
              <w:rPr>
                <w:rFonts w:ascii="Arial Narrow" w:eastAsia="Calibri" w:hAnsi="Arial Narrow" w:cs="Arial Narrow"/>
                <w:b/>
                <w:bCs/>
                <w:color w:val="2C9ADC"/>
                <w:sz w:val="20"/>
                <w:bdr w:val="nil"/>
                <w:lang w:eastAsia="en-US"/>
              </w:rPr>
              <w:fldChar w:fldCharType="separate"/>
            </w:r>
            <w:r w:rsidR="0020148F">
              <w:rPr>
                <w:rFonts w:ascii="Arial Narrow" w:eastAsia="Calibri" w:hAnsi="Arial Narrow" w:cs="Arial Narrow"/>
                <w:b/>
                <w:bCs/>
                <w:noProof/>
                <w:color w:val="2C9ADC"/>
                <w:sz w:val="20"/>
                <w:bdr w:val="nil"/>
                <w:lang w:eastAsia="en-US"/>
              </w:rPr>
              <w:t>28</w:t>
            </w:r>
            <w:r w:rsidRPr="00484218">
              <w:rPr>
                <w:rFonts w:ascii="Arial Narrow" w:eastAsia="Calibri" w:hAnsi="Arial Narrow" w:cs="Arial Narrow"/>
                <w:b/>
                <w:bCs/>
                <w:color w:val="2C9ADC"/>
                <w:sz w:val="20"/>
                <w:bdr w:val="nil"/>
                <w:lang w:eastAsia="en-US"/>
              </w:rPr>
              <w:fldChar w:fldCharType="end"/>
            </w:r>
            <w:r w:rsidRPr="00484218">
              <w:rPr>
                <w:rFonts w:ascii="Arial Narrow" w:eastAsia="Calibri" w:hAnsi="Arial Narrow" w:cs="Arial Narrow"/>
                <w:b/>
                <w:bCs/>
                <w:color w:val="2C9ADC"/>
                <w:sz w:val="20"/>
                <w:bdr w:val="nil"/>
                <w:lang w:eastAsia="en-US"/>
              </w:rPr>
              <w:t xml:space="preserve">: Porovnanie jednotlivých oblastí SK v rebríčku </w:t>
            </w:r>
            <w:proofErr w:type="spellStart"/>
            <w:r w:rsidRPr="00484218">
              <w:rPr>
                <w:rFonts w:ascii="Arial Narrow" w:eastAsia="Calibri" w:hAnsi="Arial Narrow" w:cs="Arial Narrow"/>
                <w:b/>
                <w:bCs/>
                <w:color w:val="2C9ADC"/>
                <w:sz w:val="20"/>
                <w:bdr w:val="nil"/>
                <w:lang w:eastAsia="en-US"/>
              </w:rPr>
              <w:t>Doing</w:t>
            </w:r>
            <w:proofErr w:type="spellEnd"/>
            <w:r w:rsidRPr="00484218">
              <w:rPr>
                <w:rFonts w:ascii="Arial Narrow" w:eastAsia="Calibri" w:hAnsi="Arial Narrow" w:cs="Arial Narrow"/>
                <w:b/>
                <w:bCs/>
                <w:color w:val="2C9ADC"/>
                <w:sz w:val="20"/>
                <w:bdr w:val="nil"/>
                <w:lang w:eastAsia="en-US"/>
              </w:rPr>
              <w:t xml:space="preserve"> Business (</w:t>
            </w:r>
            <w:proofErr w:type="spellStart"/>
            <w:r w:rsidRPr="00484218">
              <w:rPr>
                <w:rFonts w:ascii="Arial Narrow" w:eastAsia="Calibri" w:hAnsi="Arial Narrow" w:cs="Arial Narrow"/>
                <w:b/>
                <w:bCs/>
                <w:color w:val="2C9ADC"/>
                <w:sz w:val="20"/>
                <w:bdr w:val="nil"/>
                <w:lang w:eastAsia="en-US"/>
              </w:rPr>
              <w:t>štand</w:t>
            </w:r>
            <w:proofErr w:type="spellEnd"/>
            <w:r w:rsidRPr="00484218">
              <w:rPr>
                <w:rFonts w:ascii="Arial Narrow" w:eastAsia="Calibri" w:hAnsi="Arial Narrow" w:cs="Arial Narrow"/>
                <w:b/>
                <w:bCs/>
                <w:color w:val="2C9ADC"/>
                <w:sz w:val="20"/>
                <w:bdr w:val="nil"/>
                <w:lang w:eastAsia="en-US"/>
              </w:rPr>
              <w:t>. odchýlka od priemeru OECD)</w:t>
            </w:r>
            <w:bookmarkEnd w:id="70"/>
            <w:bookmarkEnd w:id="71"/>
          </w:p>
        </w:tc>
      </w:tr>
      <w:tr w:rsidR="00C24690" w:rsidRPr="004C54B9" w14:paraId="4BC579EE" w14:textId="77777777" w:rsidTr="006F19DC">
        <w:trPr>
          <w:trHeight w:val="2641"/>
          <w:jc w:val="center"/>
        </w:trPr>
        <w:tc>
          <w:tcPr>
            <w:tcW w:w="4068" w:type="dxa"/>
            <w:tcBorders>
              <w:top w:val="single" w:sz="6" w:space="0" w:color="000000"/>
              <w:left w:val="nil"/>
              <w:bottom w:val="single" w:sz="8" w:space="0" w:color="000000"/>
              <w:right w:val="nil"/>
            </w:tcBorders>
            <w:shd w:val="clear" w:color="auto" w:fill="auto"/>
            <w:vAlign w:val="center"/>
          </w:tcPr>
          <w:p w14:paraId="76172847" w14:textId="77777777" w:rsidR="00C24690" w:rsidRPr="004C54B9" w:rsidRDefault="00C24690" w:rsidP="00B36B07">
            <w:pPr>
              <w:spacing w:after="0" w:line="240" w:lineRule="auto"/>
              <w:jc w:val="center"/>
              <w:rPr>
                <w:rFonts w:ascii="Arial Narrow" w:hAnsi="Arial Narrow"/>
                <w:highlight w:val="yellow"/>
              </w:rPr>
            </w:pPr>
            <w:r w:rsidRPr="004C54B9">
              <w:rPr>
                <w:rFonts w:ascii="Arial Narrow" w:hAnsi="Arial Narrow"/>
                <w:noProof/>
                <w:lang w:val="en-GB" w:eastAsia="en-GB"/>
              </w:rPr>
              <w:drawing>
                <wp:inline distT="0" distB="0" distL="0" distR="0" wp14:anchorId="3A3A74EA" wp14:editId="6ED9766D">
                  <wp:extent cx="2494280" cy="2160396"/>
                  <wp:effectExtent l="0" t="0" r="127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237" w:type="dxa"/>
            <w:gridSpan w:val="2"/>
            <w:tcBorders>
              <w:top w:val="nil"/>
              <w:left w:val="nil"/>
              <w:bottom w:val="nil"/>
              <w:right w:val="nil"/>
            </w:tcBorders>
            <w:shd w:val="clear" w:color="auto" w:fill="auto"/>
          </w:tcPr>
          <w:p w14:paraId="7171198F" w14:textId="77777777" w:rsidR="00C24690" w:rsidRPr="004C54B9" w:rsidRDefault="00C24690" w:rsidP="00B36B07">
            <w:pPr>
              <w:spacing w:after="0" w:line="240" w:lineRule="auto"/>
              <w:rPr>
                <w:rFonts w:ascii="Arial Narrow" w:hAnsi="Arial Narrow"/>
                <w:highlight w:val="yellow"/>
              </w:rPr>
            </w:pPr>
          </w:p>
        </w:tc>
        <w:tc>
          <w:tcPr>
            <w:tcW w:w="4370" w:type="dxa"/>
            <w:tcBorders>
              <w:top w:val="single" w:sz="6" w:space="0" w:color="000000"/>
              <w:left w:val="nil"/>
              <w:bottom w:val="single" w:sz="8" w:space="0" w:color="000000"/>
              <w:right w:val="nil"/>
            </w:tcBorders>
            <w:shd w:val="clear" w:color="auto" w:fill="auto"/>
            <w:vAlign w:val="center"/>
          </w:tcPr>
          <w:p w14:paraId="1AEE8733" w14:textId="77777777" w:rsidR="00C24690" w:rsidRPr="004C54B9" w:rsidRDefault="00C24690" w:rsidP="00B36B07">
            <w:pPr>
              <w:spacing w:after="0" w:line="240" w:lineRule="auto"/>
              <w:jc w:val="center"/>
              <w:rPr>
                <w:rFonts w:ascii="Arial Narrow" w:hAnsi="Arial Narrow"/>
                <w:highlight w:val="yellow"/>
              </w:rPr>
            </w:pPr>
            <w:r w:rsidRPr="004C54B9">
              <w:rPr>
                <w:rFonts w:ascii="Arial Narrow" w:hAnsi="Arial Narrow"/>
                <w:noProof/>
                <w:lang w:val="en-GB" w:eastAsia="en-GB"/>
              </w:rPr>
              <w:drawing>
                <wp:inline distT="0" distB="0" distL="0" distR="0" wp14:anchorId="052D9D3F" wp14:editId="147274D6">
                  <wp:extent cx="2686050" cy="2280850"/>
                  <wp:effectExtent l="0" t="0" r="0" b="571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C24690" w:rsidRPr="004C54B9" w14:paraId="4C33D84C" w14:textId="77777777" w:rsidTr="006F19DC">
        <w:trPr>
          <w:trHeight w:val="58"/>
          <w:jc w:val="center"/>
        </w:trPr>
        <w:tc>
          <w:tcPr>
            <w:tcW w:w="4068" w:type="dxa"/>
            <w:tcBorders>
              <w:top w:val="single" w:sz="8" w:space="0" w:color="000000"/>
              <w:left w:val="nil"/>
              <w:bottom w:val="nil"/>
              <w:right w:val="nil"/>
            </w:tcBorders>
            <w:shd w:val="clear" w:color="auto" w:fill="auto"/>
            <w:vAlign w:val="center"/>
          </w:tcPr>
          <w:p w14:paraId="71E38775" w14:textId="77777777" w:rsidR="00C24690" w:rsidRPr="00484218" w:rsidRDefault="00C24690" w:rsidP="00B36B07">
            <w:pPr>
              <w:spacing w:after="0" w:line="240" w:lineRule="auto"/>
              <w:jc w:val="right"/>
              <w:rPr>
                <w:rFonts w:ascii="Arial Narrow" w:hAnsi="Arial Narrow"/>
                <w:sz w:val="16"/>
              </w:rPr>
            </w:pPr>
            <w:r w:rsidRPr="00484218">
              <w:rPr>
                <w:rFonts w:ascii="Arial Narrow" w:eastAsia="Calibri" w:hAnsi="Arial Narrow"/>
                <w:i/>
                <w:iCs/>
                <w:sz w:val="16"/>
                <w:lang w:eastAsia="en-US"/>
              </w:rPr>
              <w:t xml:space="preserve">Zdroj: </w:t>
            </w:r>
            <w:hyperlink r:id="rId44" w:history="1">
              <w:r w:rsidRPr="00484218">
                <w:rPr>
                  <w:rStyle w:val="Hypertextovprepojenie"/>
                  <w:rFonts w:ascii="Arial Narrow" w:eastAsia="Calibri" w:hAnsi="Arial Narrow"/>
                  <w:i/>
                  <w:iCs/>
                  <w:color w:val="2C9ADC"/>
                  <w:sz w:val="16"/>
                  <w:lang w:eastAsia="en-US"/>
                </w:rPr>
                <w:t>DB 2019</w:t>
              </w:r>
            </w:hyperlink>
          </w:p>
        </w:tc>
        <w:tc>
          <w:tcPr>
            <w:tcW w:w="161" w:type="dxa"/>
            <w:tcBorders>
              <w:top w:val="nil"/>
              <w:left w:val="nil"/>
              <w:bottom w:val="nil"/>
              <w:right w:val="nil"/>
            </w:tcBorders>
            <w:shd w:val="clear" w:color="auto" w:fill="auto"/>
            <w:vAlign w:val="center"/>
          </w:tcPr>
          <w:p w14:paraId="40D09834" w14:textId="77777777" w:rsidR="00C24690" w:rsidRPr="00484218" w:rsidRDefault="00C24690" w:rsidP="00B36B07">
            <w:pPr>
              <w:spacing w:after="0" w:line="240" w:lineRule="auto"/>
              <w:jc w:val="center"/>
              <w:rPr>
                <w:rFonts w:ascii="Arial Narrow" w:hAnsi="Arial Narrow"/>
                <w:sz w:val="16"/>
              </w:rPr>
            </w:pPr>
          </w:p>
        </w:tc>
        <w:tc>
          <w:tcPr>
            <w:tcW w:w="4446" w:type="dxa"/>
            <w:gridSpan w:val="2"/>
            <w:tcBorders>
              <w:top w:val="single" w:sz="8" w:space="0" w:color="000000"/>
              <w:left w:val="nil"/>
              <w:bottom w:val="nil"/>
              <w:right w:val="nil"/>
            </w:tcBorders>
            <w:shd w:val="clear" w:color="auto" w:fill="auto"/>
            <w:vAlign w:val="center"/>
          </w:tcPr>
          <w:p w14:paraId="1D6BD0BE" w14:textId="77777777" w:rsidR="00C24690" w:rsidRPr="00484218" w:rsidRDefault="00C24690" w:rsidP="00B36B07">
            <w:pPr>
              <w:spacing w:after="0" w:line="240" w:lineRule="auto"/>
              <w:jc w:val="right"/>
              <w:rPr>
                <w:rFonts w:ascii="Arial Narrow" w:hAnsi="Arial Narrow"/>
                <w:sz w:val="16"/>
              </w:rPr>
            </w:pPr>
            <w:r w:rsidRPr="00484218">
              <w:rPr>
                <w:rFonts w:ascii="Arial Narrow" w:hAnsi="Arial Narrow"/>
                <w:i/>
                <w:sz w:val="16"/>
              </w:rPr>
              <w:t xml:space="preserve">                  </w:t>
            </w:r>
            <w:r w:rsidRPr="00484218">
              <w:rPr>
                <w:rFonts w:ascii="Arial Narrow" w:eastAsia="Calibri" w:hAnsi="Arial Narrow"/>
                <w:i/>
                <w:iCs/>
                <w:sz w:val="16"/>
                <w:lang w:eastAsia="en-US"/>
              </w:rPr>
              <w:t xml:space="preserve">Zdroj: </w:t>
            </w:r>
            <w:hyperlink r:id="rId45" w:history="1">
              <w:r w:rsidRPr="00484218">
                <w:rPr>
                  <w:rStyle w:val="Hypertextovprepojenie"/>
                  <w:rFonts w:ascii="Arial Narrow" w:eastAsia="Calibri" w:hAnsi="Arial Narrow"/>
                  <w:i/>
                  <w:iCs/>
                  <w:color w:val="2C9ADC"/>
                  <w:sz w:val="16"/>
                  <w:lang w:eastAsia="en-US"/>
                </w:rPr>
                <w:t>DB 2019</w:t>
              </w:r>
            </w:hyperlink>
          </w:p>
        </w:tc>
      </w:tr>
    </w:tbl>
    <w:p w14:paraId="7BFDBC30" w14:textId="77777777" w:rsidR="00B36B07" w:rsidRDefault="00B36B07" w:rsidP="00C24690">
      <w:pPr>
        <w:spacing w:after="0" w:line="240" w:lineRule="auto"/>
        <w:jc w:val="both"/>
        <w:rPr>
          <w:rFonts w:ascii="Arial Narrow" w:hAnsi="Arial Narrow"/>
        </w:rPr>
      </w:pPr>
    </w:p>
    <w:p w14:paraId="502982CF" w14:textId="77777777" w:rsidR="00C24690" w:rsidRPr="004C54B9" w:rsidRDefault="00C24690" w:rsidP="00C24690">
      <w:pPr>
        <w:spacing w:after="0" w:line="240" w:lineRule="auto"/>
        <w:jc w:val="both"/>
        <w:rPr>
          <w:rFonts w:ascii="Arial Narrow" w:hAnsi="Arial Narrow"/>
          <w:highlight w:val="yellow"/>
        </w:rPr>
      </w:pPr>
      <w:r w:rsidRPr="004C54B9">
        <w:rPr>
          <w:rFonts w:ascii="Arial Narrow" w:hAnsi="Arial Narrow"/>
        </w:rPr>
        <w:lastRenderedPageBreak/>
        <w:t xml:space="preserve">Bodovo si Slovensko polepšilo v 6 z 10 oblastí (4 oblasti zostali nezmenené). Najväčším pozitívom je zlepšenie vo vymáhaní plnenia zmlúv vďaka elektronizácii súdnych konaní. Medzi najzaostávajúcejšie oblasti podľa </w:t>
      </w:r>
      <w:proofErr w:type="spellStart"/>
      <w:r w:rsidRPr="004C54B9">
        <w:rPr>
          <w:rFonts w:ascii="Arial Narrow" w:hAnsi="Arial Narrow"/>
        </w:rPr>
        <w:t>Doing</w:t>
      </w:r>
      <w:proofErr w:type="spellEnd"/>
      <w:r w:rsidRPr="004C54B9">
        <w:rPr>
          <w:rFonts w:ascii="Arial Narrow" w:hAnsi="Arial Narrow"/>
        </w:rPr>
        <w:t xml:space="preserve"> Business patrí získavanie stavebných povolení, začatie podnikania a ochrana minoritných investorov. Do budúcna by mohli pomôcť plánované opatrenia týkajúce sa stavebného zákona.</w:t>
      </w:r>
    </w:p>
    <w:p w14:paraId="638C2553" w14:textId="77777777" w:rsidR="00C24690" w:rsidRPr="004C54B9" w:rsidRDefault="00C24690" w:rsidP="00C24690">
      <w:pPr>
        <w:spacing w:after="0" w:line="240" w:lineRule="auto"/>
        <w:jc w:val="both"/>
        <w:rPr>
          <w:rFonts w:ascii="Arial Narrow" w:hAnsi="Arial Narrow"/>
        </w:rPr>
      </w:pPr>
    </w:p>
    <w:p w14:paraId="1280D119" w14:textId="4CA9D7E8" w:rsidR="00C24690" w:rsidRPr="004C54B9" w:rsidRDefault="00C24690" w:rsidP="00C24690">
      <w:pPr>
        <w:spacing w:after="0" w:line="240" w:lineRule="auto"/>
        <w:jc w:val="both"/>
        <w:rPr>
          <w:rFonts w:ascii="Arial Narrow" w:hAnsi="Arial Narrow"/>
        </w:rPr>
      </w:pPr>
      <w:r>
        <w:rPr>
          <w:rFonts w:ascii="Arial Narrow" w:hAnsi="Arial Narrow"/>
          <w:b/>
        </w:rPr>
        <w:t>P</w:t>
      </w:r>
      <w:r w:rsidRPr="00B36B07">
        <w:rPr>
          <w:rFonts w:ascii="Arial Narrow" w:hAnsi="Arial Narrow"/>
          <w:b/>
        </w:rPr>
        <w:t>re</w:t>
      </w:r>
      <w:r>
        <w:rPr>
          <w:rFonts w:ascii="Arial Narrow" w:hAnsi="Arial Narrow"/>
          <w:b/>
        </w:rPr>
        <w:t>dpokladom</w:t>
      </w:r>
      <w:r w:rsidRPr="00B36B07">
        <w:rPr>
          <w:rFonts w:ascii="Arial Narrow" w:hAnsi="Arial Narrow"/>
          <w:b/>
        </w:rPr>
        <w:t xml:space="preserve"> dobre fungujúce</w:t>
      </w:r>
      <w:r>
        <w:rPr>
          <w:rFonts w:ascii="Arial Narrow" w:hAnsi="Arial Narrow"/>
          <w:b/>
        </w:rPr>
        <w:t>ho</w:t>
      </w:r>
      <w:r w:rsidRPr="00B36B07">
        <w:rPr>
          <w:rFonts w:ascii="Arial Narrow" w:hAnsi="Arial Narrow"/>
          <w:b/>
        </w:rPr>
        <w:t xml:space="preserve"> podnikateľské</w:t>
      </w:r>
      <w:r>
        <w:rPr>
          <w:rFonts w:ascii="Arial Narrow" w:hAnsi="Arial Narrow"/>
          <w:b/>
        </w:rPr>
        <w:t>ho</w:t>
      </w:r>
      <w:r w:rsidRPr="00B36B07">
        <w:rPr>
          <w:rFonts w:ascii="Arial Narrow" w:hAnsi="Arial Narrow"/>
          <w:b/>
        </w:rPr>
        <w:t xml:space="preserve"> prostredi</w:t>
      </w:r>
      <w:r>
        <w:rPr>
          <w:rFonts w:ascii="Arial Narrow" w:hAnsi="Arial Narrow"/>
          <w:b/>
        </w:rPr>
        <w:t>a je vymožiteľnosť práva, pri ktorej zohráva zásadnú rolu dĺžka súdnych konaní</w:t>
      </w:r>
      <w:r w:rsidRPr="00B36B07">
        <w:rPr>
          <w:rFonts w:ascii="Arial Narrow" w:hAnsi="Arial Narrow"/>
          <w:b/>
        </w:rPr>
        <w:t xml:space="preserve">. </w:t>
      </w:r>
      <w:r w:rsidRPr="004C54B9">
        <w:rPr>
          <w:rFonts w:ascii="Arial Narrow" w:hAnsi="Arial Narrow"/>
        </w:rPr>
        <w:t>Slovenské súdnictvo posledné roky zaostávalo za najlepšími krajinami hlavne v dĺžke súdnych konaní a v miere vybavenosti konaní</w:t>
      </w:r>
      <w:r w:rsidR="000366B3">
        <w:rPr>
          <w:rFonts w:ascii="Arial Narrow" w:hAnsi="Arial Narrow"/>
        </w:rPr>
        <w:t xml:space="preserve">. Výrazne zlepšenie v poslednom </w:t>
      </w:r>
      <w:r w:rsidRPr="004C54B9">
        <w:rPr>
          <w:rFonts w:ascii="Arial Narrow" w:hAnsi="Arial Narrow"/>
        </w:rPr>
        <w:t>hodnotiacom kole je výsledkom zvýšenej efektívnosti slovenských súdov, ale aj zmenou metodiky vykazovania údajov</w:t>
      </w:r>
      <w:r w:rsidRPr="004C54B9">
        <w:rPr>
          <w:rStyle w:val="Odkaznapoznmkupodiarou"/>
          <w:rFonts w:ascii="Arial Narrow" w:hAnsi="Arial Narrow"/>
        </w:rPr>
        <w:footnoteReference w:id="99"/>
      </w:r>
      <w:r w:rsidRPr="004C54B9">
        <w:rPr>
          <w:rFonts w:ascii="Arial Narrow" w:hAnsi="Arial Narrow"/>
        </w:rPr>
        <w:t>.</w:t>
      </w:r>
    </w:p>
    <w:p w14:paraId="72E26DCB" w14:textId="77777777" w:rsidR="00C24690" w:rsidRPr="004C54B9" w:rsidRDefault="00C24690" w:rsidP="00C24690">
      <w:pPr>
        <w:pStyle w:val="Odsekzoznamu"/>
        <w:spacing w:after="0" w:line="240" w:lineRule="auto"/>
        <w:ind w:left="862"/>
        <w:jc w:val="both"/>
        <w:rPr>
          <w:rFonts w:ascii="Arial Narrow" w:hAnsi="Arial Narrow"/>
          <w:highlight w:val="yellow"/>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135"/>
        <w:gridCol w:w="171"/>
        <w:gridCol w:w="4258"/>
      </w:tblGrid>
      <w:tr w:rsidR="00C24690" w:rsidRPr="004C54B9" w14:paraId="0C59936D" w14:textId="77777777" w:rsidTr="006F19DC">
        <w:trPr>
          <w:trHeight w:val="495"/>
          <w:jc w:val="center"/>
        </w:trPr>
        <w:tc>
          <w:tcPr>
            <w:tcW w:w="4135" w:type="dxa"/>
            <w:tcBorders>
              <w:top w:val="nil"/>
              <w:left w:val="nil"/>
              <w:bottom w:val="single" w:sz="4" w:space="0" w:color="auto"/>
              <w:right w:val="nil"/>
            </w:tcBorders>
            <w:vAlign w:val="center"/>
          </w:tcPr>
          <w:p w14:paraId="739AEA0C" w14:textId="0C849950" w:rsidR="00C24690" w:rsidRPr="00484218" w:rsidRDefault="00C24690" w:rsidP="00B36B07">
            <w:pPr>
              <w:pStyle w:val="Popis"/>
              <w:rPr>
                <w:rFonts w:cs="Arial"/>
                <w:szCs w:val="22"/>
                <w:highlight w:val="yellow"/>
              </w:rPr>
            </w:pPr>
            <w:bookmarkStart w:id="72" w:name="_Toc480760518"/>
            <w:bookmarkStart w:id="73" w:name="_Toc4625978"/>
            <w:r w:rsidRPr="00484218">
              <w:rPr>
                <w:szCs w:val="22"/>
              </w:rPr>
              <w:t xml:space="preserve">Graf </w:t>
            </w:r>
            <w:r w:rsidRPr="00484218">
              <w:rPr>
                <w:noProof/>
                <w:szCs w:val="22"/>
              </w:rPr>
              <w:fldChar w:fldCharType="begin"/>
            </w:r>
            <w:r w:rsidRPr="00484218">
              <w:rPr>
                <w:noProof/>
                <w:szCs w:val="22"/>
              </w:rPr>
              <w:instrText xml:space="preserve"> SEQ Graf \* ARABIC </w:instrText>
            </w:r>
            <w:r w:rsidRPr="00484218">
              <w:rPr>
                <w:noProof/>
                <w:szCs w:val="22"/>
              </w:rPr>
              <w:fldChar w:fldCharType="separate"/>
            </w:r>
            <w:r w:rsidR="0020148F">
              <w:rPr>
                <w:noProof/>
                <w:szCs w:val="22"/>
              </w:rPr>
              <w:t>29</w:t>
            </w:r>
            <w:r w:rsidRPr="00484218">
              <w:rPr>
                <w:noProof/>
                <w:szCs w:val="22"/>
              </w:rPr>
              <w:fldChar w:fldCharType="end"/>
            </w:r>
            <w:r w:rsidRPr="00484218">
              <w:rPr>
                <w:noProof/>
                <w:szCs w:val="22"/>
              </w:rPr>
              <w:t>:</w:t>
            </w:r>
            <w:r w:rsidR="005A735A">
              <w:rPr>
                <w:szCs w:val="22"/>
              </w:rPr>
              <w:t xml:space="preserve"> </w:t>
            </w:r>
            <w:r w:rsidR="000366B3">
              <w:rPr>
                <w:szCs w:val="22"/>
              </w:rPr>
              <w:t xml:space="preserve">Teoretická dĺžka </w:t>
            </w:r>
            <w:r w:rsidRPr="00484218">
              <w:rPr>
                <w:szCs w:val="22"/>
              </w:rPr>
              <w:t>občianskych a obchodných vecí v dňoch (</w:t>
            </w:r>
            <w:proofErr w:type="spellStart"/>
            <w:r w:rsidRPr="00484218">
              <w:rPr>
                <w:i/>
                <w:szCs w:val="22"/>
              </w:rPr>
              <w:t>Disposition</w:t>
            </w:r>
            <w:proofErr w:type="spellEnd"/>
            <w:r w:rsidRPr="00484218">
              <w:rPr>
                <w:i/>
                <w:szCs w:val="22"/>
              </w:rPr>
              <w:t xml:space="preserve"> </w:t>
            </w:r>
            <w:proofErr w:type="spellStart"/>
            <w:r w:rsidRPr="00484218">
              <w:rPr>
                <w:i/>
                <w:szCs w:val="22"/>
              </w:rPr>
              <w:t>time</w:t>
            </w:r>
            <w:proofErr w:type="spellEnd"/>
            <w:r w:rsidRPr="00484218">
              <w:rPr>
                <w:szCs w:val="22"/>
              </w:rPr>
              <w:t>)</w:t>
            </w:r>
            <w:r w:rsidRPr="00484218">
              <w:rPr>
                <w:rStyle w:val="Odkaznapoznmkupodiarou"/>
                <w:szCs w:val="22"/>
              </w:rPr>
              <w:footnoteReference w:id="100"/>
            </w:r>
            <w:r w:rsidRPr="00484218">
              <w:rPr>
                <w:szCs w:val="22"/>
              </w:rPr>
              <w:t>, 201</w:t>
            </w:r>
            <w:bookmarkEnd w:id="72"/>
            <w:r w:rsidRPr="00484218">
              <w:rPr>
                <w:szCs w:val="22"/>
              </w:rPr>
              <w:t>6</w:t>
            </w:r>
            <w:bookmarkEnd w:id="73"/>
          </w:p>
        </w:tc>
        <w:tc>
          <w:tcPr>
            <w:tcW w:w="171" w:type="dxa"/>
            <w:tcBorders>
              <w:top w:val="nil"/>
              <w:left w:val="nil"/>
              <w:bottom w:val="nil"/>
              <w:right w:val="nil"/>
            </w:tcBorders>
            <w:vAlign w:val="center"/>
          </w:tcPr>
          <w:p w14:paraId="1911BE61" w14:textId="77777777" w:rsidR="00C24690" w:rsidRPr="00484218" w:rsidRDefault="00C24690" w:rsidP="00B36B07">
            <w:pPr>
              <w:spacing w:after="0" w:line="240" w:lineRule="auto"/>
              <w:jc w:val="center"/>
              <w:rPr>
                <w:rFonts w:ascii="Arial Narrow" w:hAnsi="Arial Narrow" w:cs="Arial"/>
                <w:b/>
                <w:sz w:val="20"/>
                <w:highlight w:val="yellow"/>
              </w:rPr>
            </w:pPr>
          </w:p>
        </w:tc>
        <w:tc>
          <w:tcPr>
            <w:tcW w:w="4258" w:type="dxa"/>
            <w:tcBorders>
              <w:top w:val="nil"/>
              <w:left w:val="nil"/>
              <w:bottom w:val="single" w:sz="4" w:space="0" w:color="auto"/>
              <w:right w:val="nil"/>
            </w:tcBorders>
            <w:shd w:val="clear" w:color="auto" w:fill="auto"/>
            <w:vAlign w:val="center"/>
          </w:tcPr>
          <w:p w14:paraId="58C157FE" w14:textId="77777777" w:rsidR="00C24690" w:rsidRPr="00484218" w:rsidRDefault="00C24690" w:rsidP="00B36B07">
            <w:pPr>
              <w:pStyle w:val="Popis"/>
              <w:rPr>
                <w:szCs w:val="22"/>
              </w:rPr>
            </w:pPr>
            <w:bookmarkStart w:id="74" w:name="_Toc480760519"/>
            <w:bookmarkStart w:id="75" w:name="_Toc4625979"/>
            <w:r w:rsidRPr="00484218">
              <w:rPr>
                <w:szCs w:val="22"/>
              </w:rPr>
              <w:t xml:space="preserve">Graf </w:t>
            </w:r>
            <w:r w:rsidRPr="00484218">
              <w:rPr>
                <w:noProof/>
                <w:szCs w:val="22"/>
              </w:rPr>
              <w:fldChar w:fldCharType="begin"/>
            </w:r>
            <w:r w:rsidRPr="00484218">
              <w:rPr>
                <w:noProof/>
                <w:szCs w:val="22"/>
              </w:rPr>
              <w:instrText xml:space="preserve"> SEQ Graf \* ARABIC </w:instrText>
            </w:r>
            <w:r w:rsidRPr="00484218">
              <w:rPr>
                <w:noProof/>
                <w:szCs w:val="22"/>
              </w:rPr>
              <w:fldChar w:fldCharType="separate"/>
            </w:r>
            <w:r w:rsidR="0020148F">
              <w:rPr>
                <w:noProof/>
                <w:szCs w:val="22"/>
              </w:rPr>
              <w:t>30</w:t>
            </w:r>
            <w:r w:rsidRPr="00484218">
              <w:rPr>
                <w:noProof/>
                <w:szCs w:val="22"/>
              </w:rPr>
              <w:fldChar w:fldCharType="end"/>
            </w:r>
            <w:r w:rsidRPr="00484218">
              <w:rPr>
                <w:noProof/>
                <w:szCs w:val="22"/>
              </w:rPr>
              <w:t>: Miera vybavenosti konaní V4, občianske a obchodné veci v %, 2010-2016</w:t>
            </w:r>
            <w:bookmarkEnd w:id="74"/>
            <w:bookmarkEnd w:id="75"/>
          </w:p>
        </w:tc>
      </w:tr>
      <w:tr w:rsidR="00C24690" w:rsidRPr="004C54B9" w14:paraId="161955DB" w14:textId="77777777" w:rsidTr="006F19DC">
        <w:trPr>
          <w:trHeight w:val="917"/>
          <w:jc w:val="center"/>
        </w:trPr>
        <w:tc>
          <w:tcPr>
            <w:tcW w:w="4135" w:type="dxa"/>
            <w:tcBorders>
              <w:top w:val="single" w:sz="4" w:space="0" w:color="auto"/>
              <w:left w:val="nil"/>
              <w:bottom w:val="single" w:sz="4" w:space="0" w:color="auto"/>
              <w:right w:val="nil"/>
            </w:tcBorders>
            <w:vAlign w:val="center"/>
          </w:tcPr>
          <w:p w14:paraId="63798281" w14:textId="77777777" w:rsidR="00C24690" w:rsidRPr="004C54B9" w:rsidRDefault="00C24690" w:rsidP="00B36B07">
            <w:pPr>
              <w:spacing w:after="0" w:line="240" w:lineRule="auto"/>
              <w:jc w:val="center"/>
              <w:rPr>
                <w:rFonts w:ascii="Arial Narrow" w:hAnsi="Arial Narrow" w:cs="Arial"/>
                <w:b/>
                <w:highlight w:val="yellow"/>
              </w:rPr>
            </w:pPr>
            <w:r w:rsidRPr="004C54B9">
              <w:rPr>
                <w:rFonts w:ascii="Arial Narrow" w:hAnsi="Arial Narrow"/>
                <w:noProof/>
                <w:lang w:val="en-GB" w:eastAsia="en-GB"/>
              </w:rPr>
              <w:drawing>
                <wp:inline distT="0" distB="0" distL="0" distR="0" wp14:anchorId="1E0305C4" wp14:editId="242D73E0">
                  <wp:extent cx="2536825" cy="2049291"/>
                  <wp:effectExtent l="0" t="0" r="0" b="825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c>
          <w:tcPr>
            <w:tcW w:w="171" w:type="dxa"/>
            <w:tcBorders>
              <w:top w:val="nil"/>
              <w:left w:val="nil"/>
              <w:bottom w:val="nil"/>
              <w:right w:val="nil"/>
            </w:tcBorders>
            <w:vAlign w:val="center"/>
          </w:tcPr>
          <w:p w14:paraId="47907AC3" w14:textId="77777777" w:rsidR="00C24690" w:rsidRPr="004C54B9" w:rsidRDefault="00C24690" w:rsidP="00B36B07">
            <w:pPr>
              <w:spacing w:after="0" w:line="240" w:lineRule="auto"/>
              <w:jc w:val="center"/>
              <w:rPr>
                <w:rFonts w:ascii="Arial Narrow" w:hAnsi="Arial Narrow" w:cs="Arial"/>
                <w:b/>
                <w:highlight w:val="yellow"/>
              </w:rPr>
            </w:pPr>
          </w:p>
        </w:tc>
        <w:tc>
          <w:tcPr>
            <w:tcW w:w="4258" w:type="dxa"/>
            <w:tcBorders>
              <w:top w:val="single" w:sz="4" w:space="0" w:color="auto"/>
              <w:left w:val="nil"/>
              <w:bottom w:val="single" w:sz="4" w:space="0" w:color="auto"/>
              <w:right w:val="nil"/>
            </w:tcBorders>
            <w:vAlign w:val="center"/>
          </w:tcPr>
          <w:p w14:paraId="0CC253E6" w14:textId="77777777" w:rsidR="00C24690" w:rsidRPr="004C54B9" w:rsidRDefault="00C24690" w:rsidP="00B36B07">
            <w:pPr>
              <w:spacing w:after="0" w:line="240" w:lineRule="auto"/>
              <w:jc w:val="center"/>
              <w:rPr>
                <w:rFonts w:ascii="Arial Narrow" w:hAnsi="Arial Narrow" w:cs="Arial"/>
                <w:b/>
                <w:highlight w:val="yellow"/>
              </w:rPr>
            </w:pPr>
            <w:r w:rsidRPr="004C54B9">
              <w:rPr>
                <w:rFonts w:ascii="Arial Narrow" w:hAnsi="Arial Narrow"/>
                <w:noProof/>
                <w:lang w:val="en-GB" w:eastAsia="en-GB"/>
              </w:rPr>
              <w:drawing>
                <wp:inline distT="0" distB="0" distL="0" distR="0" wp14:anchorId="42C5E6DC" wp14:editId="33A7E612">
                  <wp:extent cx="2614930" cy="2120202"/>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r w:rsidR="00C24690" w:rsidRPr="004C54B9" w14:paraId="320C670D" w14:textId="77777777" w:rsidTr="006F19DC">
        <w:trPr>
          <w:trHeight w:val="253"/>
          <w:jc w:val="center"/>
        </w:trPr>
        <w:tc>
          <w:tcPr>
            <w:tcW w:w="4135" w:type="dxa"/>
            <w:tcBorders>
              <w:top w:val="single" w:sz="4" w:space="0" w:color="auto"/>
              <w:left w:val="nil"/>
              <w:bottom w:val="nil"/>
              <w:right w:val="nil"/>
            </w:tcBorders>
            <w:vAlign w:val="center"/>
          </w:tcPr>
          <w:p w14:paraId="64FF67FB" w14:textId="77777777" w:rsidR="00C24690" w:rsidRPr="00484218" w:rsidRDefault="00C24690" w:rsidP="00B36B07">
            <w:pPr>
              <w:spacing w:after="0" w:line="240" w:lineRule="auto"/>
              <w:jc w:val="right"/>
              <w:rPr>
                <w:rFonts w:ascii="Arial Narrow" w:hAnsi="Arial Narrow" w:cs="Arial"/>
                <w:i/>
                <w:sz w:val="16"/>
              </w:rPr>
            </w:pPr>
            <w:r w:rsidRPr="00484218">
              <w:rPr>
                <w:rFonts w:ascii="Arial Narrow" w:hAnsi="Arial Narrow" w:cs="Arial"/>
                <w:i/>
                <w:sz w:val="16"/>
              </w:rPr>
              <w:t>Zdroj: CEPEJ 2018</w:t>
            </w:r>
            <w:r w:rsidRPr="00484218">
              <w:rPr>
                <w:rStyle w:val="Odkaznapoznmkupodiarou"/>
                <w:rFonts w:ascii="Arial Narrow" w:hAnsi="Arial Narrow" w:cs="Arial"/>
                <w:i/>
                <w:sz w:val="16"/>
              </w:rPr>
              <w:footnoteReference w:id="101"/>
            </w:r>
            <w:r w:rsidRPr="00484218">
              <w:rPr>
                <w:rFonts w:ascii="Arial Narrow" w:hAnsi="Arial Narrow" w:cs="Arial"/>
                <w:i/>
                <w:sz w:val="16"/>
              </w:rPr>
              <w:t xml:space="preserve">  </w:t>
            </w:r>
          </w:p>
        </w:tc>
        <w:tc>
          <w:tcPr>
            <w:tcW w:w="171" w:type="dxa"/>
            <w:tcBorders>
              <w:top w:val="nil"/>
              <w:left w:val="nil"/>
              <w:bottom w:val="nil"/>
              <w:right w:val="nil"/>
            </w:tcBorders>
            <w:vAlign w:val="center"/>
          </w:tcPr>
          <w:p w14:paraId="3544F594" w14:textId="77777777" w:rsidR="00C24690" w:rsidRPr="00484218" w:rsidRDefault="00C24690" w:rsidP="00B36B07">
            <w:pPr>
              <w:spacing w:after="0" w:line="240" w:lineRule="auto"/>
              <w:jc w:val="center"/>
              <w:rPr>
                <w:rFonts w:ascii="Arial Narrow" w:hAnsi="Arial Narrow" w:cs="Arial"/>
                <w:i/>
                <w:sz w:val="16"/>
              </w:rPr>
            </w:pPr>
          </w:p>
        </w:tc>
        <w:tc>
          <w:tcPr>
            <w:tcW w:w="4258" w:type="dxa"/>
            <w:tcBorders>
              <w:top w:val="single" w:sz="4" w:space="0" w:color="auto"/>
              <w:left w:val="nil"/>
              <w:bottom w:val="nil"/>
              <w:right w:val="nil"/>
            </w:tcBorders>
            <w:vAlign w:val="center"/>
          </w:tcPr>
          <w:p w14:paraId="318E1019" w14:textId="77777777" w:rsidR="00C24690" w:rsidRPr="00484218" w:rsidRDefault="00C24690" w:rsidP="00B36B07">
            <w:pPr>
              <w:spacing w:after="0" w:line="240" w:lineRule="auto"/>
              <w:jc w:val="right"/>
              <w:rPr>
                <w:rFonts w:ascii="Arial Narrow" w:hAnsi="Arial Narrow" w:cs="Arial"/>
                <w:i/>
                <w:sz w:val="16"/>
              </w:rPr>
            </w:pPr>
            <w:r w:rsidRPr="00484218">
              <w:rPr>
                <w:rFonts w:ascii="Arial Narrow" w:hAnsi="Arial Narrow" w:cs="Arial"/>
                <w:i/>
                <w:sz w:val="16"/>
              </w:rPr>
              <w:t>Zdroj: CEPEJ 2018</w:t>
            </w:r>
            <w:r w:rsidRPr="00484218">
              <w:rPr>
                <w:rStyle w:val="Odkaznapoznmkupodiarou"/>
                <w:rFonts w:ascii="Arial Narrow" w:hAnsi="Arial Narrow" w:cs="Arial"/>
                <w:i/>
                <w:sz w:val="16"/>
              </w:rPr>
              <w:footnoteReference w:id="102"/>
            </w:r>
            <w:r w:rsidRPr="00484218">
              <w:rPr>
                <w:rFonts w:ascii="Arial Narrow" w:hAnsi="Arial Narrow" w:cs="Arial"/>
                <w:i/>
                <w:sz w:val="16"/>
              </w:rPr>
              <w:t xml:space="preserve"> </w:t>
            </w:r>
          </w:p>
        </w:tc>
      </w:tr>
    </w:tbl>
    <w:p w14:paraId="20DA1AA4" w14:textId="77777777" w:rsidR="00336293" w:rsidRDefault="00336293" w:rsidP="00C24690">
      <w:pPr>
        <w:spacing w:after="0" w:line="240" w:lineRule="auto"/>
        <w:jc w:val="both"/>
        <w:rPr>
          <w:rFonts w:ascii="Arial Narrow" w:hAnsi="Arial Narrow"/>
          <w:b/>
          <w:i/>
        </w:rPr>
      </w:pPr>
    </w:p>
    <w:p w14:paraId="6A3CD2E7" w14:textId="2A5DFF1A" w:rsidR="00484218" w:rsidRDefault="00336293" w:rsidP="00C24690">
      <w:pPr>
        <w:spacing w:after="0" w:line="240" w:lineRule="auto"/>
        <w:jc w:val="both"/>
        <w:rPr>
          <w:rFonts w:ascii="Arial Narrow" w:hAnsi="Arial Narrow"/>
        </w:rPr>
      </w:pPr>
      <w:r w:rsidRPr="0062680A">
        <w:rPr>
          <w:rFonts w:ascii="Arial Narrow" w:hAnsi="Arial Narrow"/>
        </w:rPr>
        <w:t>Transparentné a nekorupčné prostredie vplýva pozitívne na hospodársky rast cez kľúčové faktory, akými sú verejné a súkromné investície, rozvoj ľudského kapitálu a makroekonomická a finančná stabilita.</w:t>
      </w:r>
      <w:r w:rsidR="000E1F6E">
        <w:rPr>
          <w:rFonts w:ascii="Arial Narrow" w:hAnsi="Arial Narrow"/>
        </w:rPr>
        <w:t xml:space="preserve"> V indikátore vnímania korupcie Slovensko zaostáva za ostatnými krajinami EÚ</w:t>
      </w:r>
      <w:r w:rsidR="002E0CC6">
        <w:rPr>
          <w:rStyle w:val="Odkaznapoznmkupodiarou"/>
          <w:rFonts w:ascii="Arial Narrow" w:hAnsi="Arial Narrow"/>
        </w:rPr>
        <w:footnoteReference w:id="103"/>
      </w:r>
      <w:r w:rsidR="002E0CC6">
        <w:rPr>
          <w:rFonts w:ascii="Arial Narrow" w:hAnsi="Arial Narrow"/>
        </w:rPr>
        <w:t xml:space="preserve">. </w:t>
      </w:r>
      <w:r w:rsidRPr="0062680A">
        <w:rPr>
          <w:rFonts w:ascii="Arial Narrow" w:hAnsi="Arial Narrow"/>
        </w:rPr>
        <w:t>Efektívny boj s korupciou si vyžaduje zvýšenie transparentnosti, kvalitné verejné inštitúcie a zúženie priestoru pre nekalé aktivity pri akomkoľvek nakladaní s majetkom štátu, verejných inštitúcií a samospráv.</w:t>
      </w:r>
    </w:p>
    <w:p w14:paraId="6E116D08" w14:textId="1B34EB0B" w:rsidR="00C24690" w:rsidRPr="00B01BC7" w:rsidRDefault="00B01BC7" w:rsidP="00B01BC7">
      <w:pPr>
        <w:spacing w:after="0" w:line="240" w:lineRule="auto"/>
        <w:rPr>
          <w:rFonts w:ascii="Arial Narrow" w:hAnsi="Arial Narrow"/>
        </w:rPr>
      </w:pPr>
      <w:r w:rsidRPr="00B01BC7">
        <w:rPr>
          <w:rFonts w:ascii="Arial Narrow" w:hAnsi="Arial Narrow"/>
        </w:rPr>
        <w:br w:type="page"/>
      </w:r>
    </w:p>
    <w:p w14:paraId="0877E326" w14:textId="77777777" w:rsidR="00C24690" w:rsidRPr="00484218" w:rsidRDefault="00C24690" w:rsidP="00C24690">
      <w:pPr>
        <w:pStyle w:val="Nadpis2"/>
        <w:numPr>
          <w:ilvl w:val="2"/>
          <w:numId w:val="1"/>
        </w:numPr>
        <w:spacing w:after="240" w:line="240" w:lineRule="auto"/>
        <w:ind w:left="720"/>
        <w:jc w:val="both"/>
        <w:rPr>
          <w:rFonts w:ascii="Arial Narrow" w:hAnsi="Arial Narrow"/>
          <w:color w:val="2C9ADC"/>
          <w:sz w:val="28"/>
          <w:szCs w:val="22"/>
        </w:rPr>
      </w:pPr>
      <w:bookmarkStart w:id="76" w:name="_Toc480749814"/>
      <w:bookmarkStart w:id="77" w:name="_Toc4766844"/>
      <w:r w:rsidRPr="00484218">
        <w:rPr>
          <w:rFonts w:ascii="Arial Narrow" w:hAnsi="Arial Narrow"/>
          <w:color w:val="2C9ADC"/>
          <w:sz w:val="28"/>
          <w:szCs w:val="22"/>
        </w:rPr>
        <w:lastRenderedPageBreak/>
        <w:t>Modernizácia verejnej správy</w:t>
      </w:r>
      <w:bookmarkEnd w:id="76"/>
      <w:bookmarkEnd w:id="77"/>
    </w:p>
    <w:p w14:paraId="7A51DED3" w14:textId="77777777" w:rsidR="00C24690" w:rsidRPr="004C54B9" w:rsidRDefault="00C24690" w:rsidP="00C24690">
      <w:pPr>
        <w:spacing w:after="0" w:line="240" w:lineRule="auto"/>
        <w:jc w:val="both"/>
        <w:rPr>
          <w:rStyle w:val="Siln"/>
          <w:rFonts w:ascii="Arial Narrow" w:hAnsi="Arial Narrow"/>
          <w:bCs w:val="0"/>
          <w:i/>
        </w:rPr>
      </w:pPr>
      <w:r w:rsidRPr="004C54B9">
        <w:rPr>
          <w:rFonts w:ascii="Arial Narrow" w:hAnsi="Arial Narrow"/>
          <w:b/>
          <w:i/>
        </w:rPr>
        <w:t>Súdnictvo</w:t>
      </w:r>
    </w:p>
    <w:p w14:paraId="31DE436F" w14:textId="1A76B8E1" w:rsidR="00C24690" w:rsidRPr="004C54B9" w:rsidRDefault="00C24690" w:rsidP="00C24690">
      <w:pPr>
        <w:spacing w:after="0" w:line="240" w:lineRule="auto"/>
        <w:jc w:val="both"/>
        <w:rPr>
          <w:rFonts w:ascii="Arial Narrow" w:hAnsi="Arial Narrow"/>
        </w:rPr>
      </w:pPr>
      <w:r w:rsidRPr="004C54B9">
        <w:rPr>
          <w:rFonts w:ascii="Arial Narrow" w:hAnsi="Arial Narrow"/>
          <w:b/>
        </w:rPr>
        <w:t>V oblasti súdnictva je naďalej prioritou</w:t>
      </w:r>
      <w:r>
        <w:rPr>
          <w:rFonts w:ascii="Arial Narrow" w:hAnsi="Arial Narrow"/>
          <w:b/>
        </w:rPr>
        <w:t xml:space="preserve"> </w:t>
      </w:r>
      <w:r w:rsidRPr="004C54B9">
        <w:rPr>
          <w:rFonts w:ascii="Arial Narrow" w:hAnsi="Arial Narrow"/>
          <w:b/>
        </w:rPr>
        <w:t>riešenie starých exekúcií</w:t>
      </w:r>
      <w:r w:rsidRPr="004C54B9">
        <w:rPr>
          <w:rFonts w:ascii="Arial Narrow" w:hAnsi="Arial Narrow"/>
        </w:rPr>
        <w:t>. Viac ako 3 mil. exekúcií výrazne zaťažuje prácu sudcov a súdneho personálu a narušuje tak efektívny chod súdneho systému. Z týchto dôvodov bol v roku 2018 predložený návrh zákona o </w:t>
      </w:r>
      <w:r w:rsidR="0095474E">
        <w:rPr>
          <w:rFonts w:ascii="Arial Narrow" w:hAnsi="Arial Narrow"/>
        </w:rPr>
        <w:t>zastavení</w:t>
      </w:r>
      <w:r w:rsidR="0095474E" w:rsidRPr="004C54B9">
        <w:rPr>
          <w:rFonts w:ascii="Arial Narrow" w:hAnsi="Arial Narrow"/>
        </w:rPr>
        <w:t xml:space="preserve"> </w:t>
      </w:r>
      <w:r w:rsidRPr="004C54B9">
        <w:rPr>
          <w:rFonts w:ascii="Arial Narrow" w:hAnsi="Arial Narrow"/>
        </w:rPr>
        <w:t xml:space="preserve">starých exekúcií; finálne znenie zákona by malo byť známe v priebehu roka 2019. </w:t>
      </w:r>
    </w:p>
    <w:p w14:paraId="36CDB9B0" w14:textId="77777777" w:rsidR="00C24690" w:rsidRPr="004C54B9" w:rsidRDefault="00C24690" w:rsidP="00C24690">
      <w:pPr>
        <w:spacing w:after="0" w:line="240" w:lineRule="auto"/>
        <w:jc w:val="both"/>
        <w:rPr>
          <w:rFonts w:ascii="Arial Narrow" w:hAnsi="Arial Narrow"/>
        </w:rPr>
      </w:pPr>
    </w:p>
    <w:p w14:paraId="0D596FE7" w14:textId="27BB4E42" w:rsidR="001C548C" w:rsidRPr="001C548C" w:rsidRDefault="00C24690" w:rsidP="001C548C">
      <w:pPr>
        <w:spacing w:after="0" w:line="240" w:lineRule="auto"/>
        <w:jc w:val="both"/>
        <w:rPr>
          <w:rFonts w:ascii="Arial Narrow" w:hAnsi="Arial Narrow"/>
        </w:rPr>
      </w:pPr>
      <w:r w:rsidRPr="004C54B9">
        <w:rPr>
          <w:rFonts w:ascii="Arial Narrow" w:hAnsi="Arial Narrow"/>
          <w:b/>
        </w:rPr>
        <w:t>N</w:t>
      </w:r>
      <w:r w:rsidRPr="00CA5331">
        <w:rPr>
          <w:rFonts w:ascii="Arial Narrow" w:hAnsi="Arial Narrow"/>
          <w:b/>
        </w:rPr>
        <w:t xml:space="preserve">aďalej pokračuje audit v spolupráci </w:t>
      </w:r>
      <w:r w:rsidRPr="004C54B9">
        <w:rPr>
          <w:rFonts w:ascii="Arial Narrow" w:hAnsi="Arial Narrow"/>
          <w:b/>
        </w:rPr>
        <w:t xml:space="preserve">s </w:t>
      </w:r>
      <w:r w:rsidRPr="00CA5331">
        <w:rPr>
          <w:rFonts w:ascii="Arial Narrow" w:hAnsi="Arial Narrow"/>
          <w:b/>
        </w:rPr>
        <w:t>Európskou komisiou pre efektívnu justíciu (CEPEJ).</w:t>
      </w:r>
      <w:r w:rsidRPr="004C54B9">
        <w:rPr>
          <w:rFonts w:ascii="Arial Narrow" w:hAnsi="Arial Narrow"/>
        </w:rPr>
        <w:t xml:space="preserve"> Projekt zahŕňa najmä mapovanie aktuálneho stavu súdneho manažmentu na jednotlivých súdoch a efektívnosť nastavenia personálnych tímov sudcov na vybraných súdoch. </w:t>
      </w:r>
      <w:r w:rsidR="001C548C">
        <w:rPr>
          <w:rFonts w:ascii="Arial Narrow" w:hAnsi="Arial Narrow"/>
        </w:rPr>
        <w:t xml:space="preserve">V nadväznosti na </w:t>
      </w:r>
      <w:r w:rsidR="001C548C" w:rsidRPr="0062680A">
        <w:rPr>
          <w:rFonts w:ascii="Arial Narrow" w:hAnsi="Arial Narrow"/>
          <w:i/>
        </w:rPr>
        <w:t>Akčný plán</w:t>
      </w:r>
      <w:r w:rsidR="001C548C" w:rsidRPr="0062680A">
        <w:rPr>
          <w:i/>
        </w:rPr>
        <w:t xml:space="preserve"> </w:t>
      </w:r>
      <w:r w:rsidR="001C548C" w:rsidRPr="0062680A">
        <w:rPr>
          <w:rFonts w:ascii="Arial Narrow" w:hAnsi="Arial Narrow"/>
          <w:i/>
        </w:rPr>
        <w:t>implementácie nových opatrení pre súdy</w:t>
      </w:r>
      <w:r w:rsidR="001C548C">
        <w:rPr>
          <w:rFonts w:ascii="Arial Narrow" w:hAnsi="Arial Narrow"/>
        </w:rPr>
        <w:t xml:space="preserve"> </w:t>
      </w:r>
      <w:r w:rsidR="001C548C" w:rsidRPr="001C548C">
        <w:t xml:space="preserve"> </w:t>
      </w:r>
      <w:r w:rsidR="001C548C">
        <w:rPr>
          <w:rFonts w:ascii="Arial Narrow" w:hAnsi="Arial Narrow"/>
        </w:rPr>
        <w:t>sa bude ministerstvo</w:t>
      </w:r>
      <w:r w:rsidR="001C548C" w:rsidRPr="001C548C">
        <w:rPr>
          <w:rFonts w:ascii="Arial Narrow" w:hAnsi="Arial Narrow"/>
        </w:rPr>
        <w:t xml:space="preserve"> </w:t>
      </w:r>
      <w:r w:rsidR="001C548C">
        <w:rPr>
          <w:rFonts w:ascii="Arial Narrow" w:hAnsi="Arial Narrow"/>
        </w:rPr>
        <w:t>sp</w:t>
      </w:r>
      <w:r w:rsidR="001C548C" w:rsidRPr="001C548C">
        <w:rPr>
          <w:rFonts w:ascii="Arial Narrow" w:hAnsi="Arial Narrow"/>
        </w:rPr>
        <w:t xml:space="preserve">ravodlivosti </w:t>
      </w:r>
      <w:r w:rsidR="001C548C">
        <w:rPr>
          <w:rFonts w:ascii="Arial Narrow" w:hAnsi="Arial Narrow"/>
        </w:rPr>
        <w:t>okrem riešenia starých exekúcií venovať aj téme</w:t>
      </w:r>
      <w:r w:rsidR="001C548C" w:rsidRPr="001C548C">
        <w:rPr>
          <w:rFonts w:ascii="Arial Narrow" w:hAnsi="Arial Narrow"/>
        </w:rPr>
        <w:t xml:space="preserve"> špecializácie súdov a</w:t>
      </w:r>
      <w:r w:rsidR="001C548C">
        <w:rPr>
          <w:rFonts w:ascii="Arial Narrow" w:hAnsi="Arial Narrow"/>
        </w:rPr>
        <w:t> </w:t>
      </w:r>
      <w:r w:rsidR="001C548C" w:rsidRPr="001C548C">
        <w:rPr>
          <w:rFonts w:ascii="Arial Narrow" w:hAnsi="Arial Narrow"/>
        </w:rPr>
        <w:t>sudcov</w:t>
      </w:r>
      <w:r w:rsidR="001C548C">
        <w:rPr>
          <w:rFonts w:ascii="Arial Narrow" w:hAnsi="Arial Narrow"/>
        </w:rPr>
        <w:t xml:space="preserve"> či </w:t>
      </w:r>
      <w:r w:rsidR="00336293">
        <w:rPr>
          <w:rFonts w:ascii="Arial Narrow" w:hAnsi="Arial Narrow"/>
        </w:rPr>
        <w:t>analytickému zberu dát na lepšie vyhodnocovanie práce súdov a sudcov.</w:t>
      </w:r>
      <w:r w:rsidR="0095474E">
        <w:rPr>
          <w:rFonts w:ascii="Arial Narrow" w:hAnsi="Arial Narrow"/>
        </w:rPr>
        <w:t xml:space="preserve"> Rezort spravodlivosti taktiež začal </w:t>
      </w:r>
      <w:r w:rsidR="0095474E" w:rsidRPr="004C54B9">
        <w:rPr>
          <w:rFonts w:ascii="Arial Narrow" w:hAnsi="Arial Narrow"/>
        </w:rPr>
        <w:t>budovať a posilňovať</w:t>
      </w:r>
      <w:r w:rsidR="0095474E">
        <w:rPr>
          <w:rFonts w:ascii="Arial Narrow" w:hAnsi="Arial Narrow"/>
        </w:rPr>
        <w:t xml:space="preserve"> analytické kapacity.</w:t>
      </w:r>
    </w:p>
    <w:p w14:paraId="3B26B807" w14:textId="77777777" w:rsidR="00C24690" w:rsidRDefault="001C548C" w:rsidP="00C24690">
      <w:pPr>
        <w:spacing w:after="0" w:line="240" w:lineRule="auto"/>
        <w:jc w:val="both"/>
        <w:rPr>
          <w:rFonts w:ascii="Arial Narrow" w:hAnsi="Arial Narrow"/>
        </w:rPr>
      </w:pPr>
      <w:r w:rsidRPr="001C548C">
        <w:rPr>
          <w:rFonts w:ascii="Arial Narrow" w:hAnsi="Arial Narrow"/>
        </w:rPr>
        <w:t xml:space="preserve"> </w:t>
      </w:r>
    </w:p>
    <w:p w14:paraId="04D0F40C" w14:textId="1F7E47BE" w:rsidR="00780749" w:rsidRDefault="00780749" w:rsidP="00C24690">
      <w:pPr>
        <w:spacing w:after="0" w:line="240" w:lineRule="auto"/>
        <w:jc w:val="both"/>
        <w:rPr>
          <w:rFonts w:ascii="Arial Narrow" w:hAnsi="Arial Narrow"/>
        </w:rPr>
      </w:pPr>
      <w:r>
        <w:rPr>
          <w:rFonts w:ascii="Arial Narrow" w:hAnsi="Arial Narrow"/>
          <w:b/>
        </w:rPr>
        <w:t>S</w:t>
      </w:r>
      <w:r w:rsidRPr="004C54B9">
        <w:rPr>
          <w:rFonts w:ascii="Arial Narrow" w:hAnsi="Arial Narrow"/>
          <w:b/>
        </w:rPr>
        <w:t xml:space="preserve"> cieľom zvýšenia účinnosti a efektivity súdnictva</w:t>
      </w:r>
      <w:r>
        <w:rPr>
          <w:rFonts w:ascii="Arial Narrow" w:hAnsi="Arial Narrow"/>
          <w:b/>
        </w:rPr>
        <w:t xml:space="preserve"> bude zriadený inštitút hosťujúceho sudcu. </w:t>
      </w:r>
      <w:r w:rsidRPr="004C54B9">
        <w:rPr>
          <w:rFonts w:ascii="Arial Narrow" w:hAnsi="Arial Narrow"/>
        </w:rPr>
        <w:t>Cieľom novely je vytvoriť predpoklady pre riešenie situácií, ktoré negatívne ovplyvňujú fungovanie súdov tým, že spôsobujú dočasnú absenciu zákonného sudcu (napríklad materská alebo rodičovská dovolenka, prerušenie výkonu funkcie sudcu, stáž sudcu a pod.)</w:t>
      </w:r>
      <w:r w:rsidRPr="004C54B9">
        <w:rPr>
          <w:rStyle w:val="Odkaznapoznmkupodiarou"/>
          <w:rFonts w:ascii="Arial Narrow" w:hAnsi="Arial Narrow"/>
        </w:rPr>
        <w:footnoteReference w:id="104"/>
      </w:r>
      <w:r w:rsidRPr="004C54B9">
        <w:rPr>
          <w:rFonts w:ascii="Arial Narrow" w:hAnsi="Arial Narrow"/>
        </w:rPr>
        <w:t>.</w:t>
      </w:r>
      <w:r>
        <w:rPr>
          <w:rFonts w:ascii="Arial Narrow" w:hAnsi="Arial Narrow"/>
        </w:rPr>
        <w:t xml:space="preserve"> Možnosť presunu sudcov bude zaveden</w:t>
      </w:r>
      <w:r w:rsidR="003143EE">
        <w:rPr>
          <w:rFonts w:ascii="Arial Narrow" w:hAnsi="Arial Narrow"/>
        </w:rPr>
        <w:t>á</w:t>
      </w:r>
      <w:r>
        <w:rPr>
          <w:rFonts w:ascii="Arial Narrow" w:hAnsi="Arial Narrow"/>
        </w:rPr>
        <w:t xml:space="preserve"> podľa regionálnej potreby v rámci limitov rozpočtu.</w:t>
      </w:r>
    </w:p>
    <w:p w14:paraId="5F2F1D3D" w14:textId="77777777" w:rsidR="00780749" w:rsidRPr="004C54B9" w:rsidRDefault="00780749" w:rsidP="00C24690">
      <w:pPr>
        <w:spacing w:after="0" w:line="240" w:lineRule="auto"/>
        <w:jc w:val="both"/>
        <w:rPr>
          <w:rFonts w:ascii="Arial Narrow" w:hAnsi="Arial Narrow"/>
        </w:rPr>
      </w:pPr>
    </w:p>
    <w:p w14:paraId="576EA67B" w14:textId="406DBD3C" w:rsidR="00C24690" w:rsidRPr="004C54B9" w:rsidRDefault="00C24690" w:rsidP="00C24690">
      <w:pPr>
        <w:spacing w:after="0" w:line="240" w:lineRule="auto"/>
        <w:jc w:val="both"/>
        <w:rPr>
          <w:rFonts w:ascii="Arial Narrow" w:hAnsi="Arial Narrow"/>
        </w:rPr>
      </w:pPr>
      <w:r w:rsidRPr="004C54B9">
        <w:rPr>
          <w:rFonts w:ascii="Arial Narrow" w:hAnsi="Arial Narrow"/>
          <w:b/>
        </w:rPr>
        <w:t>V roku 2019 bude pokračovať projekt, ktorého cieľom je zle</w:t>
      </w:r>
      <w:r w:rsidR="000366B3">
        <w:rPr>
          <w:rFonts w:ascii="Arial Narrow" w:hAnsi="Arial Narrow"/>
          <w:b/>
        </w:rPr>
        <w:t>pšenie poskytovania a zvyšovanie</w:t>
      </w:r>
      <w:r w:rsidRPr="004C54B9">
        <w:rPr>
          <w:rFonts w:ascii="Arial Narrow" w:hAnsi="Arial Narrow"/>
          <w:b/>
        </w:rPr>
        <w:t xml:space="preserve"> dostupnosti právnej pomoci prostredníctvom Centra právnej pomoci. </w:t>
      </w:r>
      <w:r w:rsidRPr="004C54B9">
        <w:rPr>
          <w:rFonts w:ascii="Arial Narrow" w:hAnsi="Arial Narrow"/>
        </w:rPr>
        <w:t>Je zameraný pre sociálne a ekonomické vylúčené skupiny obyvateľstva. Zámerom projektu je v tejto fáze nielen vybudovan</w:t>
      </w:r>
      <w:r w:rsidR="00C150A7">
        <w:rPr>
          <w:rFonts w:ascii="Arial Narrow" w:hAnsi="Arial Narrow"/>
        </w:rPr>
        <w:t>ie ďalších kontaktných miest Centra právnej pomoci</w:t>
      </w:r>
      <w:r w:rsidRPr="004C54B9">
        <w:rPr>
          <w:rFonts w:ascii="Arial Narrow" w:hAnsi="Arial Narrow"/>
        </w:rPr>
        <w:t xml:space="preserve">, ale aj infraštruktúry v podobe web stránky, </w:t>
      </w:r>
      <w:proofErr w:type="spellStart"/>
      <w:r w:rsidRPr="004C54B9">
        <w:rPr>
          <w:rFonts w:ascii="Arial Narrow" w:hAnsi="Arial Narrow"/>
        </w:rPr>
        <w:t>call</w:t>
      </w:r>
      <w:proofErr w:type="spellEnd"/>
      <w:r w:rsidRPr="004C54B9">
        <w:rPr>
          <w:rFonts w:ascii="Arial Narrow" w:hAnsi="Arial Narrow"/>
        </w:rPr>
        <w:t xml:space="preserve"> centra, či zasieťovania s relevantnými inštitúciami.</w:t>
      </w:r>
    </w:p>
    <w:p w14:paraId="4AF59087" w14:textId="77777777" w:rsidR="00C24690" w:rsidRPr="004C54B9" w:rsidRDefault="00C24690" w:rsidP="00C24690">
      <w:pPr>
        <w:spacing w:after="0" w:line="240" w:lineRule="auto"/>
        <w:jc w:val="both"/>
        <w:rPr>
          <w:rFonts w:ascii="Arial Narrow" w:hAnsi="Arial Narrow"/>
        </w:rPr>
      </w:pPr>
    </w:p>
    <w:p w14:paraId="49B66EB3" w14:textId="57B5FB17" w:rsidR="00C24690" w:rsidRPr="004C54B9" w:rsidRDefault="00C24690" w:rsidP="00C24690">
      <w:pPr>
        <w:spacing w:after="0" w:line="240" w:lineRule="auto"/>
        <w:jc w:val="both"/>
        <w:rPr>
          <w:rFonts w:ascii="Arial Narrow" w:hAnsi="Arial Narrow"/>
        </w:rPr>
      </w:pPr>
      <w:r w:rsidRPr="004C54B9">
        <w:rPr>
          <w:rFonts w:ascii="Arial Narrow" w:hAnsi="Arial Narrow"/>
          <w:b/>
        </w:rPr>
        <w:t>S cieľom zlepšenia kvality súdnictva r</w:t>
      </w:r>
      <w:r w:rsidRPr="00CA5331">
        <w:rPr>
          <w:rFonts w:ascii="Arial Narrow" w:hAnsi="Arial Narrow"/>
          <w:b/>
        </w:rPr>
        <w:t>ezort spravodlivosti pripravuje zákon o justičnej štátnej službe.</w:t>
      </w:r>
      <w:r w:rsidRPr="004C54B9">
        <w:rPr>
          <w:rFonts w:ascii="Arial Narrow" w:hAnsi="Arial Narrow"/>
        </w:rPr>
        <w:t xml:space="preserve"> Záujmom je komplexne riešiť problematiku postavenia justičných zamestnancov, vrátane ich kariérneho rastu.</w:t>
      </w:r>
    </w:p>
    <w:p w14:paraId="76C192D4" w14:textId="77777777" w:rsidR="00C24690" w:rsidRPr="004C54B9" w:rsidRDefault="00C24690" w:rsidP="00C24690">
      <w:pPr>
        <w:spacing w:after="0" w:line="240" w:lineRule="auto"/>
        <w:jc w:val="both"/>
        <w:rPr>
          <w:rFonts w:ascii="Arial Narrow" w:hAnsi="Arial Narrow"/>
        </w:rPr>
      </w:pPr>
    </w:p>
    <w:p w14:paraId="467F19A0" w14:textId="730641E8" w:rsidR="00952AC5" w:rsidRDefault="000E0382" w:rsidP="00952AC5">
      <w:pPr>
        <w:spacing w:after="0" w:line="240" w:lineRule="auto"/>
        <w:jc w:val="both"/>
        <w:rPr>
          <w:rFonts w:ascii="Arial Narrow" w:hAnsi="Arial Narrow" w:cs="Arial Narrow"/>
        </w:rPr>
      </w:pPr>
      <w:r w:rsidRPr="00D504AA">
        <w:rPr>
          <w:rFonts w:ascii="Arial Narrow" w:hAnsi="Arial Narrow"/>
          <w:b/>
        </w:rPr>
        <w:t>Od roku 2017 sa tiež implementuje spoločný projekt s OECD</w:t>
      </w:r>
      <w:r w:rsidR="00952AC5" w:rsidRPr="00952AC5">
        <w:rPr>
          <w:rStyle w:val="Odkaznapoznmkupodiarou"/>
          <w:rFonts w:ascii="Arial Narrow" w:hAnsi="Arial Narrow"/>
        </w:rPr>
        <w:footnoteReference w:id="105"/>
      </w:r>
      <w:r w:rsidRPr="00D504AA">
        <w:rPr>
          <w:rFonts w:ascii="Arial Narrow" w:hAnsi="Arial Narrow"/>
          <w:b/>
        </w:rPr>
        <w:t xml:space="preserve"> týkajúci sa protikorupčných opatrení</w:t>
      </w:r>
      <w:r w:rsidR="00952AC5">
        <w:rPr>
          <w:rFonts w:ascii="Arial Narrow" w:hAnsi="Arial Narrow"/>
          <w:b/>
        </w:rPr>
        <w:t>.</w:t>
      </w:r>
      <w:r w:rsidR="00952AC5">
        <w:rPr>
          <w:rFonts w:ascii="Arial Narrow" w:hAnsi="Arial Narrow"/>
        </w:rPr>
        <w:t xml:space="preserve"> Je zameraný na </w:t>
      </w:r>
      <w:r w:rsidR="00952AC5" w:rsidRPr="004626D1">
        <w:rPr>
          <w:rFonts w:ascii="Arial Narrow" w:hAnsi="Arial Narrow"/>
        </w:rPr>
        <w:t>posilneni</w:t>
      </w:r>
      <w:r w:rsidR="00952AC5">
        <w:rPr>
          <w:rFonts w:ascii="Arial Narrow" w:hAnsi="Arial Narrow"/>
        </w:rPr>
        <w:t>e</w:t>
      </w:r>
      <w:r w:rsidR="00952AC5" w:rsidRPr="004626D1">
        <w:rPr>
          <w:rFonts w:ascii="Arial Narrow" w:hAnsi="Arial Narrow"/>
        </w:rPr>
        <w:t xml:space="preserve"> účinnosti a koherentnosti všeobecných stratégií na riadenie rizík spojených s podvodmi a korupciou, zavedeni</w:t>
      </w:r>
      <w:r w:rsidR="00952AC5">
        <w:rPr>
          <w:rFonts w:ascii="Arial Narrow" w:hAnsi="Arial Narrow"/>
        </w:rPr>
        <w:t>e</w:t>
      </w:r>
      <w:r w:rsidR="00952AC5" w:rsidRPr="004626D1">
        <w:rPr>
          <w:rFonts w:ascii="Arial Narrow" w:hAnsi="Arial Narrow"/>
        </w:rPr>
        <w:t xml:space="preserve"> kontrolných činností, identifikáci</w:t>
      </w:r>
      <w:r w:rsidR="00952AC5">
        <w:rPr>
          <w:rFonts w:ascii="Arial Narrow" w:hAnsi="Arial Narrow"/>
        </w:rPr>
        <w:t>u</w:t>
      </w:r>
      <w:r w:rsidR="00952AC5" w:rsidRPr="004626D1">
        <w:rPr>
          <w:rFonts w:ascii="Arial Narrow" w:hAnsi="Arial Narrow"/>
        </w:rPr>
        <w:t xml:space="preserve"> a posudzovani</w:t>
      </w:r>
      <w:r w:rsidR="00952AC5">
        <w:rPr>
          <w:rFonts w:ascii="Arial Narrow" w:hAnsi="Arial Narrow"/>
        </w:rPr>
        <w:t>e</w:t>
      </w:r>
      <w:r w:rsidR="00952AC5" w:rsidRPr="004626D1">
        <w:rPr>
          <w:rFonts w:ascii="Arial Narrow" w:hAnsi="Arial Narrow"/>
        </w:rPr>
        <w:t xml:space="preserve"> rizík spojených s podvodmi. Závery projektu budú súčasťou národnej </w:t>
      </w:r>
      <w:r w:rsidR="00952AC5" w:rsidRPr="004626D1">
        <w:rPr>
          <w:rFonts w:ascii="Arial Narrow" w:hAnsi="Arial Narrow"/>
          <w:i/>
        </w:rPr>
        <w:t>Stratégie boja s korupciou a podvodmi pri fondoch EÚ</w:t>
      </w:r>
      <w:r w:rsidR="00952AC5">
        <w:rPr>
          <w:rFonts w:ascii="Arial Narrow" w:hAnsi="Arial Narrow"/>
        </w:rPr>
        <w:t>.</w:t>
      </w:r>
    </w:p>
    <w:p w14:paraId="7B2ACBFE" w14:textId="01B5C4B5" w:rsidR="000E0382" w:rsidRDefault="000E0382" w:rsidP="00484218">
      <w:pPr>
        <w:spacing w:after="0" w:line="240" w:lineRule="auto"/>
        <w:jc w:val="both"/>
        <w:rPr>
          <w:rFonts w:ascii="Arial Narrow" w:hAnsi="Arial Narrow"/>
        </w:rPr>
      </w:pPr>
      <w:r>
        <w:rPr>
          <w:rFonts w:ascii="Arial Narrow" w:hAnsi="Arial Narrow"/>
        </w:rPr>
        <w:t xml:space="preserve">V roku 2019 </w:t>
      </w:r>
      <w:r w:rsidR="00952AC5">
        <w:rPr>
          <w:rFonts w:ascii="Arial Narrow" w:hAnsi="Arial Narrow"/>
        </w:rPr>
        <w:t>bude</w:t>
      </w:r>
      <w:r>
        <w:rPr>
          <w:rFonts w:ascii="Arial Narrow" w:hAnsi="Arial Narrow"/>
        </w:rPr>
        <w:t xml:space="preserve"> hl</w:t>
      </w:r>
      <w:r w:rsidR="00952AC5">
        <w:rPr>
          <w:rFonts w:ascii="Arial Narrow" w:hAnsi="Arial Narrow"/>
        </w:rPr>
        <w:t xml:space="preserve">avným výstupom projektu aj </w:t>
      </w:r>
      <w:r w:rsidRPr="004C54B9">
        <w:rPr>
          <w:rFonts w:ascii="Arial Narrow" w:hAnsi="Arial Narrow"/>
        </w:rPr>
        <w:t xml:space="preserve">akčný plán </w:t>
      </w:r>
      <w:r w:rsidR="00952AC5">
        <w:rPr>
          <w:rFonts w:ascii="Arial Narrow" w:hAnsi="Arial Narrow"/>
        </w:rPr>
        <w:t>na posilnenie boja proti korupcii a podvodom.</w:t>
      </w:r>
    </w:p>
    <w:p w14:paraId="2F582B45" w14:textId="77777777" w:rsidR="00B01BC7" w:rsidRDefault="00B01BC7" w:rsidP="00484218">
      <w:pPr>
        <w:spacing w:after="0" w:line="240" w:lineRule="auto"/>
        <w:jc w:val="both"/>
        <w:rPr>
          <w:rFonts w:ascii="Arial Narrow" w:hAnsi="Arial Narrow"/>
        </w:rPr>
      </w:pPr>
    </w:p>
    <w:p w14:paraId="6480B3A8" w14:textId="38EFD642" w:rsidR="00B01BC7" w:rsidRDefault="00B01BC7" w:rsidP="00484218">
      <w:pPr>
        <w:spacing w:after="0" w:line="240" w:lineRule="auto"/>
        <w:jc w:val="both"/>
        <w:rPr>
          <w:rFonts w:ascii="Arial Narrow" w:hAnsi="Arial Narrow" w:cs="Arial"/>
          <w:b/>
          <w:i/>
          <w:lang w:eastAsia="cs-CZ"/>
        </w:rPr>
      </w:pPr>
      <w:r w:rsidRPr="00B01BC7">
        <w:rPr>
          <w:rFonts w:ascii="Arial Narrow" w:hAnsi="Arial Narrow" w:cs="Arial"/>
          <w:b/>
          <w:i/>
          <w:lang w:eastAsia="cs-CZ"/>
        </w:rPr>
        <w:t>Budovanie kapacít a zlepšenie efektivity verejnej správy</w:t>
      </w:r>
    </w:p>
    <w:p w14:paraId="4605F8CA" w14:textId="4694826B" w:rsidR="00442057" w:rsidRPr="00442057" w:rsidRDefault="00442057" w:rsidP="00442057">
      <w:pPr>
        <w:pStyle w:val="Default"/>
        <w:jc w:val="both"/>
        <w:rPr>
          <w:rFonts w:ascii="Arial Narrow" w:hAnsi="Arial Narrow"/>
          <w:sz w:val="22"/>
          <w:szCs w:val="22"/>
        </w:rPr>
      </w:pPr>
      <w:r w:rsidRPr="00442057">
        <w:rPr>
          <w:rFonts w:ascii="Arial Narrow" w:hAnsi="Arial Narrow"/>
          <w:b/>
          <w:bCs/>
          <w:iCs/>
          <w:sz w:val="22"/>
          <w:szCs w:val="22"/>
        </w:rPr>
        <w:t>Prebieha posilňovanie kapacít a koordinácia analytických jednotiek štátnej správy.</w:t>
      </w:r>
      <w:r>
        <w:rPr>
          <w:rFonts w:ascii="Arial Narrow" w:hAnsi="Arial Narrow"/>
          <w:sz w:val="22"/>
          <w:szCs w:val="22"/>
        </w:rPr>
        <w:t xml:space="preserve"> Praktické fungovanie analytických jednotiek, vrátane druhu úloh, kvality a zverejňovania ich výstupov je nateraz </w:t>
      </w:r>
      <w:r w:rsidRPr="00442057">
        <w:rPr>
          <w:rFonts w:ascii="Arial Narrow" w:hAnsi="Arial Narrow"/>
          <w:sz w:val="22"/>
          <w:szCs w:val="22"/>
        </w:rPr>
        <w:t>rôznorodé. Prostredníctvom nezáväznej</w:t>
      </w:r>
      <w:r w:rsidRPr="00442057">
        <w:rPr>
          <w:rFonts w:ascii="Arial Narrow" w:hAnsi="Arial Narrow"/>
          <w:b/>
          <w:bCs/>
          <w:sz w:val="22"/>
          <w:szCs w:val="22"/>
        </w:rPr>
        <w:t xml:space="preserve"> </w:t>
      </w:r>
      <w:r w:rsidRPr="00442057">
        <w:rPr>
          <w:rFonts w:ascii="Arial Narrow" w:hAnsi="Arial Narrow"/>
          <w:bCs/>
          <w:i/>
          <w:sz w:val="22"/>
          <w:szCs w:val="22"/>
        </w:rPr>
        <w:t>Metodiky pre budovanie analytických kapacít vo verejnej správe</w:t>
      </w:r>
      <w:r w:rsidRPr="00442057">
        <w:rPr>
          <w:rFonts w:ascii="Arial Narrow" w:hAnsi="Arial Narrow"/>
          <w:bCs/>
          <w:sz w:val="22"/>
          <w:szCs w:val="22"/>
        </w:rPr>
        <w:t xml:space="preserve"> s</w:t>
      </w:r>
      <w:r w:rsidRPr="00442057">
        <w:rPr>
          <w:rFonts w:ascii="Arial Narrow" w:hAnsi="Arial Narrow"/>
          <w:sz w:val="22"/>
          <w:szCs w:val="22"/>
        </w:rPr>
        <w:t>a však postupne darí rozdiely eliminovať a procesy zjednocovať a koordinovať. Metodika kladie dôraz na koordináciu vzťahov a procesov medzi analytickými jednotkami, ako aj na kvalitu výberu analytikov a mechanizmus zabezpečenia kvality výz</w:t>
      </w:r>
      <w:r w:rsidR="005E6EFA">
        <w:rPr>
          <w:rFonts w:ascii="Arial Narrow" w:hAnsi="Arial Narrow"/>
          <w:sz w:val="22"/>
          <w:szCs w:val="22"/>
        </w:rPr>
        <w:t xml:space="preserve">namných výstupov (napr. </w:t>
      </w:r>
      <w:proofErr w:type="spellStart"/>
      <w:r w:rsidR="005E6EFA">
        <w:rPr>
          <w:rFonts w:ascii="Arial Narrow" w:hAnsi="Arial Narrow"/>
          <w:sz w:val="22"/>
          <w:szCs w:val="22"/>
        </w:rPr>
        <w:t>peer</w:t>
      </w:r>
      <w:proofErr w:type="spellEnd"/>
      <w:r w:rsidR="005E6EFA">
        <w:rPr>
          <w:rFonts w:ascii="Arial Narrow" w:hAnsi="Arial Narrow"/>
          <w:sz w:val="22"/>
          <w:szCs w:val="22"/>
        </w:rPr>
        <w:t xml:space="preserve"> </w:t>
      </w:r>
      <w:proofErr w:type="spellStart"/>
      <w:r w:rsidRPr="00442057">
        <w:rPr>
          <w:rFonts w:ascii="Arial Narrow" w:hAnsi="Arial Narrow"/>
          <w:sz w:val="22"/>
          <w:szCs w:val="22"/>
        </w:rPr>
        <w:t>review</w:t>
      </w:r>
      <w:proofErr w:type="spellEnd"/>
      <w:r w:rsidRPr="00442057">
        <w:rPr>
          <w:rFonts w:ascii="Arial Narrow" w:hAnsi="Arial Narrow"/>
          <w:sz w:val="22"/>
          <w:szCs w:val="22"/>
        </w:rPr>
        <w:t xml:space="preserve">). V roku 2019 sa predbežne nepočíta so vznikom ďalších analytických jednotiek, ale skôr s posilňovaním personálnych kapacít existujúcich. </w:t>
      </w:r>
      <w:r w:rsidRPr="00442057">
        <w:rPr>
          <w:rFonts w:ascii="Arial Narrow" w:hAnsi="Arial Narrow"/>
          <w:bCs/>
          <w:sz w:val="22"/>
          <w:szCs w:val="22"/>
        </w:rPr>
        <w:t>Analytické kapacity na posudzovanie vplyvov (</w:t>
      </w:r>
      <w:r w:rsidRPr="00442057">
        <w:rPr>
          <w:rFonts w:ascii="Arial Narrow" w:hAnsi="Arial Narrow"/>
          <w:bCs/>
          <w:i/>
          <w:iCs/>
          <w:sz w:val="22"/>
          <w:szCs w:val="22"/>
        </w:rPr>
        <w:t>RIA</w:t>
      </w:r>
      <w:r w:rsidRPr="00442057">
        <w:rPr>
          <w:rFonts w:ascii="Arial Narrow" w:hAnsi="Arial Narrow"/>
          <w:bCs/>
          <w:sz w:val="22"/>
          <w:szCs w:val="22"/>
        </w:rPr>
        <w:t xml:space="preserve">) </w:t>
      </w:r>
      <w:r w:rsidRPr="00442057">
        <w:rPr>
          <w:rFonts w:ascii="Arial Narrow" w:hAnsi="Arial Narrow"/>
          <w:sz w:val="22"/>
          <w:szCs w:val="22"/>
        </w:rPr>
        <w:t>by sa mohli posilniť o ostávajúcich 12 miest.</w:t>
      </w:r>
      <w:r w:rsidR="005E6EFA">
        <w:rPr>
          <w:rFonts w:ascii="Arial Narrow" w:hAnsi="Arial Narrow"/>
          <w:sz w:val="22"/>
          <w:szCs w:val="22"/>
        </w:rPr>
        <w:t xml:space="preserve"> </w:t>
      </w:r>
      <w:r w:rsidR="005E6EFA" w:rsidRPr="005E6EFA">
        <w:rPr>
          <w:rFonts w:ascii="Arial Narrow" w:hAnsi="Arial Narrow"/>
          <w:sz w:val="22"/>
          <w:szCs w:val="22"/>
        </w:rPr>
        <w:t xml:space="preserve">V rámci programovej stratégie OP </w:t>
      </w:r>
      <w:r w:rsidR="005E6EFA" w:rsidRPr="005E6EFA">
        <w:rPr>
          <w:rFonts w:ascii="Arial Narrow" w:hAnsi="Arial Narrow"/>
          <w:i/>
          <w:sz w:val="22"/>
          <w:szCs w:val="22"/>
        </w:rPr>
        <w:t>Efektívna verejná správa</w:t>
      </w:r>
      <w:r w:rsidR="005E6EFA" w:rsidRPr="005E6EFA">
        <w:rPr>
          <w:rFonts w:ascii="Arial Narrow" w:hAnsi="Arial Narrow"/>
          <w:sz w:val="22"/>
          <w:szCs w:val="22"/>
        </w:rPr>
        <w:t xml:space="preserve"> bude možné zabezpečiť financovanie aj iných opatrení reflektujúcich odporúčania, hodnotenia, potreby a výzvy komplexnej reformy verejnej správy.</w:t>
      </w:r>
    </w:p>
    <w:p w14:paraId="26489738" w14:textId="77777777" w:rsidR="00442057" w:rsidRPr="00B01BC7" w:rsidRDefault="00442057" w:rsidP="00484218">
      <w:pPr>
        <w:spacing w:after="0" w:line="240" w:lineRule="auto"/>
        <w:jc w:val="both"/>
        <w:rPr>
          <w:rFonts w:ascii="Arial Narrow" w:hAnsi="Arial Narrow" w:cs="Arial"/>
          <w:b/>
          <w:i/>
          <w:lang w:eastAsia="cs-CZ"/>
        </w:rPr>
      </w:pPr>
    </w:p>
    <w:p w14:paraId="33E0CE94" w14:textId="065EDBDA" w:rsidR="00C24690" w:rsidRDefault="00405261" w:rsidP="0062680A">
      <w:pPr>
        <w:spacing w:after="0" w:line="240" w:lineRule="auto"/>
        <w:jc w:val="both"/>
        <w:rPr>
          <w:rFonts w:ascii="Arial Narrow" w:hAnsi="Arial Narrow"/>
        </w:rPr>
      </w:pPr>
      <w:r>
        <w:rPr>
          <w:rFonts w:ascii="Arial Narrow" w:hAnsi="Arial Narrow"/>
          <w:b/>
        </w:rPr>
        <w:t xml:space="preserve">V roku 2018 </w:t>
      </w:r>
      <w:r w:rsidR="00B01BC7" w:rsidRPr="00B01BC7">
        <w:rPr>
          <w:rFonts w:ascii="Arial Narrow" w:hAnsi="Arial Narrow"/>
          <w:b/>
        </w:rPr>
        <w:t xml:space="preserve">pokračovala </w:t>
      </w:r>
      <w:r>
        <w:rPr>
          <w:rFonts w:ascii="Arial Narrow" w:hAnsi="Arial Narrow"/>
          <w:b/>
        </w:rPr>
        <w:t xml:space="preserve">EK </w:t>
      </w:r>
      <w:r w:rsidR="00B01BC7" w:rsidRPr="00B01BC7">
        <w:rPr>
          <w:rFonts w:ascii="Arial Narrow" w:hAnsi="Arial Narrow"/>
          <w:b/>
        </w:rPr>
        <w:t xml:space="preserve">v </w:t>
      </w:r>
      <w:r w:rsidR="00B01BC7" w:rsidRPr="00B01BC7">
        <w:rPr>
          <w:rFonts w:ascii="Arial Narrow" w:hAnsi="Arial Narrow"/>
          <w:b/>
          <w:i/>
        </w:rPr>
        <w:t>Programe na podporu štrukturálnych reforiem 2017-2020</w:t>
      </w:r>
      <w:r w:rsidR="00B01BC7" w:rsidRPr="00B91269">
        <w:rPr>
          <w:rFonts w:ascii="Arial Narrow" w:hAnsi="Arial Narrow"/>
        </w:rPr>
        <w:t xml:space="preserve"> </w:t>
      </w:r>
      <w:r w:rsidR="00B01BC7">
        <w:rPr>
          <w:rFonts w:ascii="Arial Narrow" w:hAnsi="Arial Narrow"/>
        </w:rPr>
        <w:t>(</w:t>
      </w:r>
      <w:proofErr w:type="spellStart"/>
      <w:r w:rsidR="00B01BC7" w:rsidRPr="00B01BC7">
        <w:rPr>
          <w:rFonts w:ascii="Arial Narrow" w:hAnsi="Arial Narrow"/>
          <w:i/>
        </w:rPr>
        <w:t>Structural</w:t>
      </w:r>
      <w:proofErr w:type="spellEnd"/>
      <w:r w:rsidR="00B01BC7" w:rsidRPr="00B01BC7">
        <w:rPr>
          <w:rFonts w:ascii="Arial Narrow" w:hAnsi="Arial Narrow"/>
          <w:i/>
        </w:rPr>
        <w:t xml:space="preserve"> </w:t>
      </w:r>
      <w:proofErr w:type="spellStart"/>
      <w:r w:rsidR="00B01BC7" w:rsidRPr="00B01BC7">
        <w:rPr>
          <w:rFonts w:ascii="Arial Narrow" w:hAnsi="Arial Narrow"/>
          <w:i/>
        </w:rPr>
        <w:t>Reform</w:t>
      </w:r>
      <w:proofErr w:type="spellEnd"/>
      <w:r w:rsidR="00B01BC7" w:rsidRPr="00B01BC7">
        <w:rPr>
          <w:rFonts w:ascii="Arial Narrow" w:hAnsi="Arial Narrow"/>
          <w:i/>
        </w:rPr>
        <w:t xml:space="preserve"> </w:t>
      </w:r>
      <w:proofErr w:type="spellStart"/>
      <w:r w:rsidR="00B01BC7" w:rsidRPr="00B01BC7">
        <w:rPr>
          <w:rFonts w:ascii="Arial Narrow" w:hAnsi="Arial Narrow"/>
          <w:i/>
        </w:rPr>
        <w:t>Support</w:t>
      </w:r>
      <w:proofErr w:type="spellEnd"/>
      <w:r w:rsidR="00B01BC7" w:rsidRPr="00B01BC7">
        <w:rPr>
          <w:rFonts w:ascii="Arial Narrow" w:hAnsi="Arial Narrow"/>
          <w:i/>
        </w:rPr>
        <w:t xml:space="preserve"> </w:t>
      </w:r>
      <w:proofErr w:type="spellStart"/>
      <w:r w:rsidR="00B01BC7" w:rsidRPr="00B01BC7">
        <w:rPr>
          <w:rFonts w:ascii="Arial Narrow" w:hAnsi="Arial Narrow"/>
          <w:i/>
        </w:rPr>
        <w:t>Programme</w:t>
      </w:r>
      <w:proofErr w:type="spellEnd"/>
      <w:r w:rsidR="00B01BC7">
        <w:rPr>
          <w:rFonts w:ascii="Arial Narrow" w:hAnsi="Arial Narrow"/>
        </w:rPr>
        <w:t>)</w:t>
      </w:r>
      <w:r w:rsidR="00B01BC7">
        <w:rPr>
          <w:rStyle w:val="Odkaznapoznmkupodiarou"/>
          <w:rFonts w:ascii="Arial Narrow" w:hAnsi="Arial Narrow"/>
        </w:rPr>
        <w:footnoteReference w:id="106"/>
      </w:r>
      <w:r w:rsidR="00B01BC7" w:rsidRPr="0049702D">
        <w:rPr>
          <w:rFonts w:ascii="Arial Narrow" w:hAnsi="Arial Narrow"/>
        </w:rPr>
        <w:t>.</w:t>
      </w:r>
      <w:r w:rsidR="00B01BC7">
        <w:rPr>
          <w:rFonts w:ascii="Arial Narrow" w:hAnsi="Arial Narrow"/>
        </w:rPr>
        <w:t xml:space="preserve"> Cieľom programu </w:t>
      </w:r>
      <w:r w:rsidR="00B01BC7" w:rsidRPr="0049702D">
        <w:rPr>
          <w:rFonts w:ascii="Arial Narrow" w:hAnsi="Arial Narrow"/>
        </w:rPr>
        <w:t xml:space="preserve">je prispieť k inštitucionálnym, administratívnym a </w:t>
      </w:r>
      <w:r w:rsidR="00B01BC7" w:rsidRPr="0049702D">
        <w:rPr>
          <w:rFonts w:ascii="Arial Narrow" w:hAnsi="Arial Narrow"/>
        </w:rPr>
        <w:lastRenderedPageBreak/>
        <w:t>štrukturálnym reformám v členských štátoch formou technickej asistencie.</w:t>
      </w:r>
      <w:r w:rsidR="00B01BC7">
        <w:rPr>
          <w:rFonts w:ascii="Arial Narrow" w:hAnsi="Arial Narrow"/>
        </w:rPr>
        <w:t xml:space="preserve"> </w:t>
      </w:r>
      <w:r w:rsidR="00B01BC7" w:rsidRPr="00B91269">
        <w:rPr>
          <w:rFonts w:ascii="Arial Narrow" w:hAnsi="Arial Narrow"/>
        </w:rPr>
        <w:t xml:space="preserve">Slovensko sa do </w:t>
      </w:r>
      <w:r w:rsidR="003143EE">
        <w:rPr>
          <w:rFonts w:ascii="Arial Narrow" w:hAnsi="Arial Narrow"/>
        </w:rPr>
        <w:t>p</w:t>
      </w:r>
      <w:r w:rsidR="00B01BC7" w:rsidRPr="00B91269">
        <w:rPr>
          <w:rFonts w:ascii="Arial Narrow" w:hAnsi="Arial Narrow"/>
        </w:rPr>
        <w:t xml:space="preserve">rogramu v októbri </w:t>
      </w:r>
      <w:r w:rsidR="003143EE">
        <w:rPr>
          <w:rFonts w:ascii="Arial Narrow" w:hAnsi="Arial Narrow"/>
        </w:rPr>
        <w:t>2018</w:t>
      </w:r>
      <w:r w:rsidR="00B01BC7" w:rsidRPr="00B91269">
        <w:rPr>
          <w:rFonts w:ascii="Arial Narrow" w:hAnsi="Arial Narrow"/>
        </w:rPr>
        <w:t xml:space="preserve"> zapojilo už po tretí krát</w:t>
      </w:r>
      <w:r w:rsidR="003143EE">
        <w:rPr>
          <w:rFonts w:ascii="Arial Narrow" w:hAnsi="Arial Narrow"/>
        </w:rPr>
        <w:t xml:space="preserve">. Prostredníctvom programu </w:t>
      </w:r>
      <w:r w:rsidR="00B01BC7" w:rsidRPr="00B91269">
        <w:rPr>
          <w:rFonts w:ascii="Arial Narrow" w:hAnsi="Arial Narrow"/>
        </w:rPr>
        <w:t xml:space="preserve"> </w:t>
      </w:r>
      <w:r w:rsidR="003143EE">
        <w:rPr>
          <w:rFonts w:ascii="Arial Narrow" w:hAnsi="Arial Narrow"/>
        </w:rPr>
        <w:t xml:space="preserve">sa bude realizovať </w:t>
      </w:r>
      <w:r w:rsidR="00B01BC7" w:rsidRPr="00B91269">
        <w:rPr>
          <w:rFonts w:ascii="Arial Narrow" w:hAnsi="Arial Narrow"/>
        </w:rPr>
        <w:t xml:space="preserve">11 </w:t>
      </w:r>
      <w:r w:rsidR="003143EE">
        <w:rPr>
          <w:rFonts w:ascii="Arial Narrow" w:hAnsi="Arial Narrow"/>
        </w:rPr>
        <w:t>projektov</w:t>
      </w:r>
      <w:r w:rsidR="00B01BC7" w:rsidRPr="00B91269">
        <w:rPr>
          <w:rFonts w:ascii="Arial Narrow" w:hAnsi="Arial Narrow"/>
        </w:rPr>
        <w:t xml:space="preserve"> v celkovej výške 3 miliónov </w:t>
      </w:r>
      <w:r w:rsidR="003143EE">
        <w:rPr>
          <w:rFonts w:ascii="Arial Narrow" w:hAnsi="Arial Narrow"/>
        </w:rPr>
        <w:t>eur</w:t>
      </w:r>
      <w:r w:rsidR="00B01BC7" w:rsidRPr="00B91269">
        <w:rPr>
          <w:rFonts w:ascii="Arial Narrow" w:hAnsi="Arial Narrow"/>
        </w:rPr>
        <w:t xml:space="preserve"> na zlepšenie administratívnych kapacít pri príprave opatrení na trhu práce, v podnikateľskom prostredí, justícii, miestnej samospráve, či </w:t>
      </w:r>
      <w:r w:rsidR="008064BF">
        <w:rPr>
          <w:rFonts w:ascii="Arial Narrow" w:hAnsi="Arial Narrow"/>
        </w:rPr>
        <w:t xml:space="preserve">na zlepšenie </w:t>
      </w:r>
      <w:r w:rsidR="00B01BC7" w:rsidRPr="00B91269">
        <w:rPr>
          <w:rFonts w:ascii="Arial Narrow" w:hAnsi="Arial Narrow"/>
        </w:rPr>
        <w:t>kvalit</w:t>
      </w:r>
      <w:r w:rsidR="008064BF">
        <w:rPr>
          <w:rFonts w:ascii="Arial Narrow" w:hAnsi="Arial Narrow"/>
        </w:rPr>
        <w:t>y</w:t>
      </w:r>
      <w:r w:rsidR="00B01BC7" w:rsidRPr="00B91269">
        <w:rPr>
          <w:rFonts w:ascii="Arial Narrow" w:hAnsi="Arial Narrow"/>
        </w:rPr>
        <w:t xml:space="preserve"> ovzdušia.</w:t>
      </w:r>
    </w:p>
    <w:p w14:paraId="32F0AFB7" w14:textId="77777777" w:rsidR="00B01BC7" w:rsidRDefault="00B01BC7" w:rsidP="0062680A">
      <w:pPr>
        <w:spacing w:after="0" w:line="240" w:lineRule="auto"/>
        <w:jc w:val="both"/>
        <w:rPr>
          <w:rFonts w:ascii="Arial Narrow" w:hAnsi="Arial Narrow"/>
        </w:rPr>
      </w:pPr>
    </w:p>
    <w:p w14:paraId="7F014CF6" w14:textId="37B40320" w:rsidR="00B01BC7" w:rsidRDefault="00B01BC7" w:rsidP="0062680A">
      <w:pPr>
        <w:spacing w:after="0" w:line="240" w:lineRule="auto"/>
        <w:jc w:val="both"/>
        <w:rPr>
          <w:rFonts w:ascii="Arial Narrow" w:hAnsi="Arial Narrow"/>
        </w:rPr>
      </w:pPr>
      <w:r w:rsidRPr="00F4423C">
        <w:rPr>
          <w:rFonts w:ascii="Arial Narrow" w:hAnsi="Arial Narrow"/>
          <w:b/>
          <w:color w:val="2C9ADC"/>
          <w:sz w:val="20"/>
        </w:rPr>
        <w:t xml:space="preserve">Projekty v rámci Programu na podporu štrukturálnych reforiem </w:t>
      </w:r>
      <w:r>
        <w:rPr>
          <w:rFonts w:ascii="Arial Narrow" w:hAnsi="Arial Narrow"/>
          <w:b/>
          <w:color w:val="2C9ADC"/>
          <w:sz w:val="20"/>
        </w:rPr>
        <w:t>v roku 2019</w:t>
      </w:r>
    </w:p>
    <w:tbl>
      <w:tblPr>
        <w:tblW w:w="8618" w:type="dxa"/>
        <w:jc w:val="center"/>
        <w:tblLook w:val="04A0" w:firstRow="1" w:lastRow="0" w:firstColumn="1" w:lastColumn="0" w:noHBand="0" w:noVBand="1"/>
      </w:tblPr>
      <w:tblGrid>
        <w:gridCol w:w="7087"/>
        <w:gridCol w:w="1531"/>
      </w:tblGrid>
      <w:tr w:rsidR="00B01BC7" w:rsidRPr="00632906" w14:paraId="419A7568" w14:textId="77777777" w:rsidTr="005E6EFA">
        <w:trPr>
          <w:trHeight w:val="162"/>
          <w:jc w:val="center"/>
        </w:trPr>
        <w:tc>
          <w:tcPr>
            <w:tcW w:w="6536" w:type="dxa"/>
            <w:tcBorders>
              <w:top w:val="single" w:sz="8" w:space="0" w:color="auto"/>
              <w:left w:val="single" w:sz="8" w:space="0" w:color="auto"/>
              <w:bottom w:val="single" w:sz="8" w:space="0" w:color="auto"/>
              <w:right w:val="nil"/>
            </w:tcBorders>
            <w:shd w:val="clear" w:color="auto" w:fill="auto"/>
            <w:noWrap/>
            <w:vAlign w:val="center"/>
            <w:hideMark/>
          </w:tcPr>
          <w:p w14:paraId="5829B2A0" w14:textId="77777777" w:rsidR="00B01BC7" w:rsidRPr="00632906" w:rsidRDefault="00B01BC7" w:rsidP="000148DD">
            <w:pPr>
              <w:spacing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Stručný opis projektu</w:t>
            </w:r>
          </w:p>
        </w:tc>
        <w:tc>
          <w:tcPr>
            <w:tcW w:w="14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695B7" w14:textId="77777777" w:rsidR="00B01BC7" w:rsidRPr="00632906" w:rsidRDefault="00B01BC7" w:rsidP="000148DD">
            <w:pPr>
              <w:spacing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Rezort</w:t>
            </w:r>
          </w:p>
        </w:tc>
      </w:tr>
      <w:tr w:rsidR="00B01BC7" w:rsidRPr="00B91269" w14:paraId="2B8A3653" w14:textId="77777777" w:rsidTr="005E6EFA">
        <w:trPr>
          <w:trHeight w:val="251"/>
          <w:jc w:val="center"/>
        </w:trPr>
        <w:tc>
          <w:tcPr>
            <w:tcW w:w="6536" w:type="dxa"/>
            <w:tcBorders>
              <w:top w:val="nil"/>
              <w:left w:val="single" w:sz="8" w:space="0" w:color="auto"/>
              <w:bottom w:val="single" w:sz="4" w:space="0" w:color="auto"/>
              <w:right w:val="nil"/>
            </w:tcBorders>
            <w:shd w:val="clear" w:color="auto" w:fill="auto"/>
            <w:vAlign w:val="center"/>
          </w:tcPr>
          <w:p w14:paraId="5D96EE25" w14:textId="70F997CE" w:rsidR="00B01BC7" w:rsidRPr="00B91269" w:rsidRDefault="00B01BC7" w:rsidP="000148DD">
            <w:pPr>
              <w:spacing w:after="0" w:line="240" w:lineRule="auto"/>
              <w:rPr>
                <w:rFonts w:ascii="Arial Narrow" w:hAnsi="Arial Narrow"/>
                <w:bCs/>
                <w:color w:val="000000"/>
                <w:sz w:val="20"/>
                <w:szCs w:val="20"/>
                <w:lang w:eastAsia="en-US"/>
              </w:rPr>
            </w:pPr>
            <w:r w:rsidRPr="00B91269">
              <w:rPr>
                <w:rFonts w:ascii="Arial Narrow" w:hAnsi="Arial Narrow"/>
                <w:bCs/>
                <w:color w:val="000000"/>
                <w:sz w:val="20"/>
                <w:szCs w:val="20"/>
                <w:lang w:eastAsia="en-US"/>
              </w:rPr>
              <w:t>Budovanie kapacít pri riadení komplexných PPP projektov</w:t>
            </w:r>
            <w:r>
              <w:rPr>
                <w:rFonts w:ascii="Arial Narrow" w:hAnsi="Arial Narrow"/>
                <w:bCs/>
                <w:color w:val="000000"/>
                <w:sz w:val="20"/>
                <w:szCs w:val="20"/>
                <w:lang w:eastAsia="en-US"/>
              </w:rPr>
              <w:t xml:space="preserve"> </w:t>
            </w:r>
            <w:r w:rsidRPr="00B91269">
              <w:rPr>
                <w:rFonts w:ascii="Arial Narrow" w:hAnsi="Arial Narrow"/>
                <w:bCs/>
                <w:color w:val="000000"/>
                <w:sz w:val="20"/>
                <w:szCs w:val="20"/>
                <w:lang w:eastAsia="en-US"/>
              </w:rPr>
              <w:t>z hľadiska ich dopadu na verejné financie a hodnotu za peniaze</w:t>
            </w:r>
            <w:r w:rsidR="00A43C8C">
              <w:rPr>
                <w:rFonts w:ascii="Arial Narrow" w:hAnsi="Arial Narrow"/>
                <w:bCs/>
                <w:color w:val="000000"/>
                <w:sz w:val="20"/>
                <w:szCs w:val="20"/>
                <w:lang w:eastAsia="en-US"/>
              </w:rPr>
              <w:t>.</w:t>
            </w:r>
          </w:p>
        </w:tc>
        <w:tc>
          <w:tcPr>
            <w:tcW w:w="1412" w:type="dxa"/>
            <w:tcBorders>
              <w:top w:val="nil"/>
              <w:left w:val="single" w:sz="8" w:space="0" w:color="auto"/>
              <w:bottom w:val="single" w:sz="4" w:space="0" w:color="auto"/>
              <w:right w:val="single" w:sz="8" w:space="0" w:color="auto"/>
            </w:tcBorders>
            <w:shd w:val="clear" w:color="auto" w:fill="auto"/>
            <w:vAlign w:val="center"/>
          </w:tcPr>
          <w:p w14:paraId="023AF9B5" w14:textId="376D5F4F" w:rsidR="00B01BC7" w:rsidRPr="00B91269" w:rsidRDefault="00B01BC7" w:rsidP="000148DD">
            <w:pPr>
              <w:spacing w:after="0" w:line="240" w:lineRule="auto"/>
              <w:rPr>
                <w:rFonts w:ascii="Arial Narrow" w:hAnsi="Arial Narrow"/>
                <w:color w:val="000000"/>
                <w:sz w:val="20"/>
                <w:szCs w:val="20"/>
                <w:lang w:eastAsia="en-US"/>
              </w:rPr>
            </w:pPr>
            <w:r>
              <w:rPr>
                <w:rFonts w:ascii="Arial Narrow" w:hAnsi="Arial Narrow" w:cs="Arial"/>
                <w:sz w:val="20"/>
                <w:szCs w:val="20"/>
              </w:rPr>
              <w:t>MF SR</w:t>
            </w:r>
          </w:p>
        </w:tc>
      </w:tr>
      <w:tr w:rsidR="00B01BC7" w:rsidRPr="00B91269" w14:paraId="742354A9" w14:textId="77777777" w:rsidTr="005E6EFA">
        <w:trPr>
          <w:trHeight w:val="251"/>
          <w:jc w:val="center"/>
        </w:trPr>
        <w:tc>
          <w:tcPr>
            <w:tcW w:w="6536" w:type="dxa"/>
            <w:tcBorders>
              <w:top w:val="nil"/>
              <w:left w:val="single" w:sz="8" w:space="0" w:color="auto"/>
              <w:bottom w:val="single" w:sz="4" w:space="0" w:color="auto"/>
              <w:right w:val="nil"/>
            </w:tcBorders>
            <w:shd w:val="clear" w:color="auto" w:fill="auto"/>
            <w:vAlign w:val="center"/>
          </w:tcPr>
          <w:p w14:paraId="7052D004" w14:textId="3241A79B" w:rsidR="00B01BC7" w:rsidRPr="00B91269" w:rsidRDefault="00B01BC7" w:rsidP="000148DD">
            <w:pPr>
              <w:spacing w:after="0" w:line="240" w:lineRule="auto"/>
              <w:rPr>
                <w:rFonts w:ascii="Arial Narrow" w:hAnsi="Arial Narrow"/>
                <w:b/>
                <w:bCs/>
                <w:color w:val="000000"/>
                <w:sz w:val="20"/>
                <w:szCs w:val="20"/>
                <w:lang w:eastAsia="en-US"/>
              </w:rPr>
            </w:pPr>
            <w:r>
              <w:rPr>
                <w:rFonts w:ascii="Arial Narrow" w:hAnsi="Arial Narrow" w:cs="Arial"/>
                <w:sz w:val="20"/>
                <w:szCs w:val="20"/>
                <w:shd w:val="clear" w:color="auto" w:fill="FFFFFF"/>
              </w:rPr>
              <w:t>A</w:t>
            </w:r>
            <w:r w:rsidRPr="00B91269">
              <w:rPr>
                <w:rFonts w:ascii="Arial Narrow" w:hAnsi="Arial Narrow" w:cs="Arial"/>
                <w:sz w:val="20"/>
                <w:szCs w:val="20"/>
                <w:shd w:val="clear" w:color="auto" w:fill="FFFFFF"/>
              </w:rPr>
              <w:t>nalýza mobility na trhu práce v súvislosti so vstupom pracovníkov z tretích krajín</w:t>
            </w:r>
            <w:r w:rsidR="00A43C8C">
              <w:rPr>
                <w:rFonts w:ascii="Arial Narrow" w:hAnsi="Arial Narrow" w:cs="Arial"/>
                <w:sz w:val="20"/>
                <w:szCs w:val="20"/>
                <w:shd w:val="clear" w:color="auto" w:fill="FFFFFF"/>
              </w:rPr>
              <w:t>.</w:t>
            </w:r>
          </w:p>
        </w:tc>
        <w:tc>
          <w:tcPr>
            <w:tcW w:w="1412" w:type="dxa"/>
            <w:tcBorders>
              <w:top w:val="nil"/>
              <w:left w:val="single" w:sz="8" w:space="0" w:color="auto"/>
              <w:bottom w:val="single" w:sz="4" w:space="0" w:color="auto"/>
              <w:right w:val="single" w:sz="8" w:space="0" w:color="auto"/>
            </w:tcBorders>
            <w:shd w:val="clear" w:color="auto" w:fill="auto"/>
            <w:vAlign w:val="center"/>
          </w:tcPr>
          <w:p w14:paraId="34030D55" w14:textId="3F172B04" w:rsidR="00B01BC7" w:rsidRPr="00B91269" w:rsidRDefault="00B01BC7" w:rsidP="000148DD">
            <w:pPr>
              <w:spacing w:after="0" w:line="240" w:lineRule="auto"/>
              <w:rPr>
                <w:rFonts w:ascii="Arial Narrow" w:hAnsi="Arial Narrow"/>
                <w:color w:val="000000"/>
                <w:sz w:val="20"/>
                <w:szCs w:val="20"/>
                <w:lang w:eastAsia="en-US"/>
              </w:rPr>
            </w:pPr>
            <w:r>
              <w:rPr>
                <w:rFonts w:ascii="Arial Narrow" w:hAnsi="Arial Narrow" w:cs="Arial"/>
                <w:sz w:val="20"/>
                <w:szCs w:val="20"/>
                <w:shd w:val="clear" w:color="auto" w:fill="FFFFFF"/>
              </w:rPr>
              <w:t>MPSVR SR</w:t>
            </w:r>
          </w:p>
        </w:tc>
      </w:tr>
      <w:tr w:rsidR="00B01BC7" w:rsidRPr="00B91269" w14:paraId="5F7A3793" w14:textId="77777777" w:rsidTr="005E6EFA">
        <w:trPr>
          <w:trHeight w:val="166"/>
          <w:jc w:val="center"/>
        </w:trPr>
        <w:tc>
          <w:tcPr>
            <w:tcW w:w="6536" w:type="dxa"/>
            <w:tcBorders>
              <w:top w:val="nil"/>
              <w:left w:val="single" w:sz="8" w:space="0" w:color="auto"/>
              <w:bottom w:val="single" w:sz="4" w:space="0" w:color="auto"/>
              <w:right w:val="nil"/>
            </w:tcBorders>
            <w:shd w:val="clear" w:color="auto" w:fill="auto"/>
            <w:vAlign w:val="center"/>
          </w:tcPr>
          <w:p w14:paraId="0A73CEFC" w14:textId="1BC7C332" w:rsidR="00B01BC7" w:rsidRPr="00B91269" w:rsidRDefault="00B01BC7" w:rsidP="000148DD">
            <w:pPr>
              <w:spacing w:after="0" w:line="240" w:lineRule="auto"/>
              <w:rPr>
                <w:rFonts w:ascii="Arial Narrow" w:hAnsi="Arial Narrow"/>
                <w:b/>
                <w:bCs/>
                <w:color w:val="000000"/>
                <w:sz w:val="20"/>
                <w:szCs w:val="20"/>
                <w:lang w:eastAsia="en-US"/>
              </w:rPr>
            </w:pPr>
            <w:r>
              <w:rPr>
                <w:rFonts w:ascii="Arial Narrow" w:hAnsi="Arial Narrow" w:cs="Arial"/>
                <w:sz w:val="20"/>
                <w:szCs w:val="20"/>
                <w:shd w:val="clear" w:color="auto" w:fill="FFFFFF"/>
              </w:rPr>
              <w:t>Systém monitorovania</w:t>
            </w:r>
            <w:r w:rsidRPr="00B91269">
              <w:rPr>
                <w:rFonts w:ascii="Arial Narrow" w:hAnsi="Arial Narrow" w:cs="Arial"/>
                <w:sz w:val="20"/>
                <w:szCs w:val="20"/>
                <w:shd w:val="clear" w:color="auto" w:fill="FFFFFF"/>
              </w:rPr>
              <w:t xml:space="preserve"> a hodnotenia prechodu z inštitucionálnej starostlivosti o deti  v náhradnej starostlivosti na komunitnú</w:t>
            </w:r>
            <w:r w:rsidR="00A43C8C">
              <w:rPr>
                <w:rFonts w:ascii="Arial Narrow" w:hAnsi="Arial Narrow" w:cs="Arial"/>
                <w:sz w:val="20"/>
                <w:szCs w:val="20"/>
                <w:shd w:val="clear" w:color="auto" w:fill="FFFFFF"/>
              </w:rPr>
              <w:t>.</w:t>
            </w:r>
          </w:p>
        </w:tc>
        <w:tc>
          <w:tcPr>
            <w:tcW w:w="1412" w:type="dxa"/>
            <w:tcBorders>
              <w:top w:val="nil"/>
              <w:left w:val="single" w:sz="8" w:space="0" w:color="auto"/>
              <w:bottom w:val="single" w:sz="4" w:space="0" w:color="auto"/>
              <w:right w:val="single" w:sz="8" w:space="0" w:color="auto"/>
            </w:tcBorders>
            <w:shd w:val="clear" w:color="auto" w:fill="auto"/>
            <w:vAlign w:val="center"/>
          </w:tcPr>
          <w:p w14:paraId="17D84921" w14:textId="27641444" w:rsidR="00B01BC7" w:rsidRPr="00B91269" w:rsidRDefault="00B01BC7" w:rsidP="000148DD">
            <w:pPr>
              <w:spacing w:after="0" w:line="240" w:lineRule="auto"/>
              <w:rPr>
                <w:rFonts w:ascii="Arial Narrow" w:hAnsi="Arial Narrow"/>
                <w:color w:val="000000"/>
                <w:sz w:val="20"/>
                <w:szCs w:val="20"/>
                <w:lang w:eastAsia="en-US"/>
              </w:rPr>
            </w:pPr>
            <w:r>
              <w:rPr>
                <w:rFonts w:ascii="Arial Narrow" w:hAnsi="Arial Narrow" w:cs="Arial"/>
                <w:sz w:val="20"/>
                <w:szCs w:val="20"/>
                <w:shd w:val="clear" w:color="auto" w:fill="FFFFFF"/>
              </w:rPr>
              <w:t>MPSVR SR</w:t>
            </w:r>
          </w:p>
        </w:tc>
      </w:tr>
      <w:tr w:rsidR="00B01BC7" w:rsidRPr="00B91269" w14:paraId="79FCDB68" w14:textId="77777777" w:rsidTr="005E6EFA">
        <w:trPr>
          <w:trHeight w:val="180"/>
          <w:jc w:val="center"/>
        </w:trPr>
        <w:tc>
          <w:tcPr>
            <w:tcW w:w="6536" w:type="dxa"/>
            <w:tcBorders>
              <w:top w:val="nil"/>
              <w:left w:val="single" w:sz="8" w:space="0" w:color="auto"/>
              <w:bottom w:val="single" w:sz="4" w:space="0" w:color="auto"/>
              <w:right w:val="nil"/>
            </w:tcBorders>
            <w:shd w:val="clear" w:color="auto" w:fill="auto"/>
            <w:vAlign w:val="center"/>
          </w:tcPr>
          <w:p w14:paraId="6EB2F245" w14:textId="59981F7E" w:rsidR="00B01BC7" w:rsidRPr="00B91269" w:rsidRDefault="00B01BC7" w:rsidP="000148DD">
            <w:pPr>
              <w:spacing w:after="0" w:line="240" w:lineRule="auto"/>
              <w:rPr>
                <w:rFonts w:ascii="Arial Narrow" w:hAnsi="Arial Narrow"/>
                <w:b/>
                <w:bCs/>
                <w:color w:val="000000"/>
                <w:sz w:val="20"/>
                <w:szCs w:val="20"/>
                <w:lang w:eastAsia="en-US"/>
              </w:rPr>
            </w:pPr>
            <w:r>
              <w:rPr>
                <w:rFonts w:ascii="Arial Narrow" w:hAnsi="Arial Narrow" w:cs="Arial"/>
                <w:sz w:val="20"/>
                <w:szCs w:val="20"/>
                <w:shd w:val="clear" w:color="auto" w:fill="FFFFFF"/>
              </w:rPr>
              <w:t>Príprava s</w:t>
            </w:r>
            <w:r w:rsidRPr="00B91269">
              <w:rPr>
                <w:rFonts w:ascii="Arial Narrow" w:hAnsi="Arial Narrow" w:cs="Arial"/>
                <w:sz w:val="20"/>
                <w:szCs w:val="20"/>
                <w:shd w:val="clear" w:color="auto" w:fill="FFFFFF"/>
              </w:rPr>
              <w:t>tratégi</w:t>
            </w:r>
            <w:r>
              <w:rPr>
                <w:rFonts w:ascii="Arial Narrow" w:hAnsi="Arial Narrow" w:cs="Arial"/>
                <w:sz w:val="20"/>
                <w:szCs w:val="20"/>
                <w:shd w:val="clear" w:color="auto" w:fill="FFFFFF"/>
              </w:rPr>
              <w:t>e</w:t>
            </w:r>
            <w:r w:rsidRPr="00B91269">
              <w:rPr>
                <w:rFonts w:ascii="Arial Narrow" w:hAnsi="Arial Narrow" w:cs="Arial"/>
                <w:sz w:val="20"/>
                <w:szCs w:val="20"/>
                <w:shd w:val="clear" w:color="auto" w:fill="FFFFFF"/>
              </w:rPr>
              <w:t xml:space="preserve"> na</w:t>
            </w:r>
            <w:r>
              <w:rPr>
                <w:rFonts w:ascii="Arial Narrow" w:hAnsi="Arial Narrow" w:cs="Arial"/>
                <w:sz w:val="20"/>
                <w:szCs w:val="20"/>
                <w:shd w:val="clear" w:color="auto" w:fill="FFFFFF"/>
              </w:rPr>
              <w:t xml:space="preserve"> posilnenie miestnej samosprávy</w:t>
            </w:r>
            <w:r w:rsidR="00A43C8C">
              <w:rPr>
                <w:rFonts w:ascii="Arial Narrow" w:hAnsi="Arial Narrow" w:cs="Arial"/>
                <w:sz w:val="20"/>
                <w:szCs w:val="20"/>
                <w:shd w:val="clear" w:color="auto" w:fill="FFFFFF"/>
              </w:rPr>
              <w:t>.</w:t>
            </w:r>
          </w:p>
        </w:tc>
        <w:tc>
          <w:tcPr>
            <w:tcW w:w="1412" w:type="dxa"/>
            <w:tcBorders>
              <w:top w:val="nil"/>
              <w:left w:val="single" w:sz="8" w:space="0" w:color="auto"/>
              <w:bottom w:val="single" w:sz="4" w:space="0" w:color="auto"/>
              <w:right w:val="single" w:sz="8" w:space="0" w:color="auto"/>
            </w:tcBorders>
            <w:shd w:val="clear" w:color="auto" w:fill="auto"/>
            <w:vAlign w:val="center"/>
          </w:tcPr>
          <w:p w14:paraId="6205222C" w14:textId="154C361C" w:rsidR="00B01BC7" w:rsidRPr="00B91269" w:rsidRDefault="00B01BC7" w:rsidP="000148DD">
            <w:pPr>
              <w:spacing w:after="0" w:line="240" w:lineRule="auto"/>
              <w:rPr>
                <w:rFonts w:ascii="Arial Narrow" w:hAnsi="Arial Narrow"/>
                <w:color w:val="000000"/>
                <w:sz w:val="20"/>
                <w:szCs w:val="20"/>
                <w:lang w:eastAsia="en-US"/>
              </w:rPr>
            </w:pPr>
            <w:r>
              <w:rPr>
                <w:rFonts w:ascii="Arial Narrow" w:hAnsi="Arial Narrow" w:cs="Arial"/>
                <w:sz w:val="20"/>
                <w:szCs w:val="20"/>
                <w:shd w:val="clear" w:color="auto" w:fill="FFFFFF"/>
              </w:rPr>
              <w:t>MV SR</w:t>
            </w:r>
          </w:p>
        </w:tc>
      </w:tr>
      <w:tr w:rsidR="00B01BC7" w:rsidRPr="00B91269" w14:paraId="4849F8B6" w14:textId="77777777" w:rsidTr="005E6EFA">
        <w:trPr>
          <w:trHeight w:val="166"/>
          <w:jc w:val="center"/>
        </w:trPr>
        <w:tc>
          <w:tcPr>
            <w:tcW w:w="6536" w:type="dxa"/>
            <w:tcBorders>
              <w:top w:val="nil"/>
              <w:left w:val="single" w:sz="8" w:space="0" w:color="auto"/>
              <w:bottom w:val="nil"/>
              <w:right w:val="nil"/>
            </w:tcBorders>
            <w:shd w:val="clear" w:color="auto" w:fill="auto"/>
            <w:vAlign w:val="center"/>
          </w:tcPr>
          <w:p w14:paraId="747A146C" w14:textId="3BFD05CE" w:rsidR="00B01BC7" w:rsidRPr="00B91269" w:rsidRDefault="00B01BC7" w:rsidP="000148DD">
            <w:pPr>
              <w:spacing w:after="0" w:line="240" w:lineRule="auto"/>
              <w:rPr>
                <w:rFonts w:ascii="Arial Narrow" w:hAnsi="Arial Narrow"/>
                <w:b/>
                <w:bCs/>
                <w:color w:val="000000"/>
                <w:sz w:val="20"/>
                <w:szCs w:val="20"/>
                <w:lang w:eastAsia="en-US"/>
              </w:rPr>
            </w:pPr>
            <w:r>
              <w:rPr>
                <w:rFonts w:ascii="Arial Narrow" w:hAnsi="Arial Narrow" w:cs="Arial"/>
                <w:sz w:val="20"/>
                <w:szCs w:val="20"/>
              </w:rPr>
              <w:t>Tvorba inovatívneho</w:t>
            </w:r>
            <w:r w:rsidRPr="00B91269">
              <w:rPr>
                <w:rFonts w:ascii="Arial Narrow" w:hAnsi="Arial Narrow" w:cs="Arial"/>
                <w:sz w:val="20"/>
                <w:szCs w:val="20"/>
              </w:rPr>
              <w:t xml:space="preserve"> model</w:t>
            </w:r>
            <w:r>
              <w:rPr>
                <w:rFonts w:ascii="Arial Narrow" w:hAnsi="Arial Narrow" w:cs="Arial"/>
                <w:sz w:val="20"/>
                <w:szCs w:val="20"/>
              </w:rPr>
              <w:t>u hodnotiaceho</w:t>
            </w:r>
            <w:r w:rsidRPr="00B91269">
              <w:rPr>
                <w:rFonts w:ascii="Arial Narrow" w:hAnsi="Arial Narrow" w:cs="Arial"/>
                <w:sz w:val="20"/>
                <w:szCs w:val="20"/>
              </w:rPr>
              <w:t xml:space="preserve"> vplyv znečistenia ovzdušia na zdravie</w:t>
            </w:r>
            <w:r w:rsidR="00A43C8C">
              <w:rPr>
                <w:rFonts w:ascii="Arial Narrow" w:hAnsi="Arial Narrow" w:cs="Arial"/>
                <w:sz w:val="20"/>
                <w:szCs w:val="20"/>
              </w:rPr>
              <w:t>.</w:t>
            </w:r>
          </w:p>
        </w:tc>
        <w:tc>
          <w:tcPr>
            <w:tcW w:w="1412" w:type="dxa"/>
            <w:tcBorders>
              <w:top w:val="nil"/>
              <w:left w:val="single" w:sz="8" w:space="0" w:color="auto"/>
              <w:bottom w:val="single" w:sz="4" w:space="0" w:color="auto"/>
              <w:right w:val="single" w:sz="8" w:space="0" w:color="auto"/>
            </w:tcBorders>
            <w:shd w:val="clear" w:color="auto" w:fill="auto"/>
            <w:vAlign w:val="center"/>
          </w:tcPr>
          <w:p w14:paraId="0A6E65F4" w14:textId="171F75DF" w:rsidR="00B01BC7" w:rsidRPr="00B91269" w:rsidRDefault="00B01BC7" w:rsidP="000148DD">
            <w:pPr>
              <w:spacing w:after="0" w:line="240" w:lineRule="auto"/>
              <w:rPr>
                <w:rFonts w:ascii="Arial Narrow" w:hAnsi="Arial Narrow"/>
                <w:color w:val="000000"/>
                <w:sz w:val="20"/>
                <w:szCs w:val="20"/>
                <w:lang w:eastAsia="en-US"/>
              </w:rPr>
            </w:pPr>
            <w:r>
              <w:rPr>
                <w:rFonts w:ascii="Arial Narrow" w:hAnsi="Arial Narrow" w:cs="Arial"/>
                <w:sz w:val="20"/>
                <w:szCs w:val="20"/>
              </w:rPr>
              <w:t>MŽP SR</w:t>
            </w:r>
          </w:p>
        </w:tc>
      </w:tr>
      <w:tr w:rsidR="00B01BC7" w:rsidRPr="00B91269" w14:paraId="15277EEC" w14:textId="77777777" w:rsidTr="005E6EFA">
        <w:trPr>
          <w:trHeight w:val="166"/>
          <w:jc w:val="center"/>
        </w:trPr>
        <w:tc>
          <w:tcPr>
            <w:tcW w:w="6536" w:type="dxa"/>
            <w:tcBorders>
              <w:top w:val="single" w:sz="4" w:space="0" w:color="auto"/>
              <w:left w:val="single" w:sz="8" w:space="0" w:color="auto"/>
              <w:bottom w:val="single" w:sz="4" w:space="0" w:color="auto"/>
              <w:right w:val="nil"/>
            </w:tcBorders>
            <w:shd w:val="clear" w:color="auto" w:fill="auto"/>
            <w:vAlign w:val="center"/>
          </w:tcPr>
          <w:p w14:paraId="58D74B5D" w14:textId="77777777" w:rsidR="00B01BC7" w:rsidRPr="00B91269" w:rsidRDefault="00B01BC7" w:rsidP="000148DD">
            <w:pPr>
              <w:spacing w:after="0" w:line="240" w:lineRule="auto"/>
              <w:rPr>
                <w:rFonts w:ascii="Arial Narrow" w:hAnsi="Arial Narrow"/>
                <w:b/>
                <w:bCs/>
                <w:color w:val="000000"/>
                <w:sz w:val="20"/>
                <w:szCs w:val="20"/>
                <w:lang w:eastAsia="en-US"/>
              </w:rPr>
            </w:pPr>
            <w:r w:rsidRPr="00B91269">
              <w:rPr>
                <w:rFonts w:ascii="Arial Narrow" w:hAnsi="Arial Narrow" w:cs="Arial"/>
                <w:sz w:val="20"/>
                <w:szCs w:val="20"/>
              </w:rPr>
              <w:t xml:space="preserve">Príprava aktualizovanej </w:t>
            </w:r>
            <w:r w:rsidRPr="001B292A">
              <w:rPr>
                <w:rFonts w:ascii="Arial Narrow" w:hAnsi="Arial Narrow" w:cs="Arial"/>
                <w:i/>
                <w:sz w:val="20"/>
                <w:szCs w:val="20"/>
              </w:rPr>
              <w:t>Stratégie inteligentnej špecializácie pre roky 2021-27</w:t>
            </w:r>
            <w:r w:rsidRPr="00B91269">
              <w:rPr>
                <w:rFonts w:ascii="Arial Narrow" w:hAnsi="Arial Narrow" w:cs="Arial"/>
                <w:sz w:val="20"/>
                <w:szCs w:val="20"/>
              </w:rPr>
              <w:t>.</w:t>
            </w:r>
          </w:p>
        </w:tc>
        <w:tc>
          <w:tcPr>
            <w:tcW w:w="1412" w:type="dxa"/>
            <w:tcBorders>
              <w:top w:val="nil"/>
              <w:left w:val="single" w:sz="8" w:space="0" w:color="auto"/>
              <w:bottom w:val="single" w:sz="4" w:space="0" w:color="auto"/>
              <w:right w:val="single" w:sz="8" w:space="0" w:color="auto"/>
            </w:tcBorders>
            <w:shd w:val="clear" w:color="auto" w:fill="auto"/>
            <w:vAlign w:val="center"/>
          </w:tcPr>
          <w:p w14:paraId="5673022E" w14:textId="5AFD1DC6" w:rsidR="00B01BC7" w:rsidRPr="00B91269" w:rsidRDefault="00EE676F" w:rsidP="000148DD">
            <w:pPr>
              <w:spacing w:after="0" w:line="240" w:lineRule="auto"/>
              <w:rPr>
                <w:rFonts w:ascii="Arial Narrow" w:hAnsi="Arial Narrow"/>
                <w:color w:val="000000"/>
                <w:sz w:val="20"/>
                <w:szCs w:val="20"/>
                <w:lang w:eastAsia="en-US"/>
              </w:rPr>
            </w:pPr>
            <w:r>
              <w:rPr>
                <w:rFonts w:ascii="Arial Narrow" w:hAnsi="Arial Narrow" w:cs="Arial"/>
                <w:sz w:val="20"/>
                <w:szCs w:val="20"/>
              </w:rPr>
              <w:t>ÚPVII</w:t>
            </w:r>
          </w:p>
        </w:tc>
      </w:tr>
      <w:tr w:rsidR="00B01BC7" w:rsidRPr="00B91269" w14:paraId="26AE5F97" w14:textId="77777777" w:rsidTr="005E6EFA">
        <w:trPr>
          <w:trHeight w:val="213"/>
          <w:jc w:val="center"/>
        </w:trPr>
        <w:tc>
          <w:tcPr>
            <w:tcW w:w="6536" w:type="dxa"/>
            <w:tcBorders>
              <w:top w:val="nil"/>
              <w:left w:val="single" w:sz="8" w:space="0" w:color="auto"/>
              <w:bottom w:val="single" w:sz="4" w:space="0" w:color="auto"/>
              <w:right w:val="nil"/>
            </w:tcBorders>
            <w:shd w:val="clear" w:color="auto" w:fill="auto"/>
            <w:vAlign w:val="center"/>
          </w:tcPr>
          <w:p w14:paraId="273CDFE7" w14:textId="250CD49C" w:rsidR="00B01BC7" w:rsidRPr="00B91269" w:rsidRDefault="00B01BC7" w:rsidP="000148DD">
            <w:pPr>
              <w:spacing w:after="0" w:line="240" w:lineRule="auto"/>
              <w:rPr>
                <w:rFonts w:ascii="Arial Narrow" w:hAnsi="Arial Narrow"/>
                <w:b/>
                <w:bCs/>
                <w:color w:val="000000"/>
                <w:sz w:val="20"/>
                <w:szCs w:val="20"/>
                <w:lang w:eastAsia="en-US"/>
              </w:rPr>
            </w:pPr>
            <w:r>
              <w:rPr>
                <w:rFonts w:ascii="Arial Narrow" w:hAnsi="Arial Narrow" w:cs="Arial"/>
                <w:sz w:val="20"/>
                <w:szCs w:val="20"/>
                <w:shd w:val="clear" w:color="auto" w:fill="FFFFFF"/>
              </w:rPr>
              <w:t xml:space="preserve">Pokračovanie prebiehajúcej reformy justície </w:t>
            </w:r>
            <w:r w:rsidRPr="00997CB5">
              <w:rPr>
                <w:rFonts w:ascii="Arial Narrow" w:hAnsi="Arial Narrow" w:cs="Arial"/>
                <w:sz w:val="20"/>
                <w:szCs w:val="20"/>
                <w:shd w:val="clear" w:color="auto" w:fill="FFFFFF"/>
              </w:rPr>
              <w:t>vrátane imple</w:t>
            </w:r>
            <w:r>
              <w:rPr>
                <w:rFonts w:ascii="Arial Narrow" w:hAnsi="Arial Narrow" w:cs="Arial"/>
                <w:sz w:val="20"/>
                <w:szCs w:val="20"/>
                <w:shd w:val="clear" w:color="auto" w:fill="FFFFFF"/>
              </w:rPr>
              <w:t>mentácie odporúčaní Rady Európy</w:t>
            </w:r>
            <w:r w:rsidR="00A43C8C">
              <w:rPr>
                <w:rFonts w:ascii="Arial Narrow" w:hAnsi="Arial Narrow" w:cs="Arial"/>
                <w:sz w:val="20"/>
                <w:szCs w:val="20"/>
                <w:shd w:val="clear" w:color="auto" w:fill="FFFFFF"/>
              </w:rPr>
              <w:t>.</w:t>
            </w:r>
          </w:p>
        </w:tc>
        <w:tc>
          <w:tcPr>
            <w:tcW w:w="1412" w:type="dxa"/>
            <w:tcBorders>
              <w:top w:val="nil"/>
              <w:left w:val="single" w:sz="8" w:space="0" w:color="auto"/>
              <w:bottom w:val="single" w:sz="4" w:space="0" w:color="auto"/>
              <w:right w:val="single" w:sz="8" w:space="0" w:color="auto"/>
            </w:tcBorders>
            <w:shd w:val="clear" w:color="auto" w:fill="auto"/>
            <w:vAlign w:val="center"/>
          </w:tcPr>
          <w:p w14:paraId="65667549" w14:textId="48EC4C6A" w:rsidR="00B01BC7" w:rsidRPr="00B91269" w:rsidRDefault="00B01BC7" w:rsidP="000148DD">
            <w:pPr>
              <w:spacing w:after="0" w:line="240" w:lineRule="auto"/>
              <w:rPr>
                <w:rFonts w:ascii="Arial Narrow" w:hAnsi="Arial Narrow"/>
                <w:color w:val="000000"/>
                <w:sz w:val="20"/>
                <w:szCs w:val="20"/>
                <w:lang w:eastAsia="en-US"/>
              </w:rPr>
            </w:pPr>
            <w:r>
              <w:rPr>
                <w:rFonts w:ascii="Arial Narrow" w:hAnsi="Arial Narrow" w:cs="Arial"/>
                <w:sz w:val="20"/>
                <w:szCs w:val="20"/>
                <w:shd w:val="clear" w:color="auto" w:fill="FFFFFF"/>
              </w:rPr>
              <w:t>MS SR</w:t>
            </w:r>
          </w:p>
        </w:tc>
      </w:tr>
      <w:tr w:rsidR="00B01BC7" w:rsidRPr="00B91269" w14:paraId="29C52B25" w14:textId="77777777" w:rsidTr="005E6EFA">
        <w:trPr>
          <w:trHeight w:val="224"/>
          <w:jc w:val="center"/>
        </w:trPr>
        <w:tc>
          <w:tcPr>
            <w:tcW w:w="6536" w:type="dxa"/>
            <w:tcBorders>
              <w:top w:val="nil"/>
              <w:left w:val="single" w:sz="8" w:space="0" w:color="auto"/>
              <w:bottom w:val="single" w:sz="4" w:space="0" w:color="auto"/>
              <w:right w:val="nil"/>
            </w:tcBorders>
            <w:shd w:val="clear" w:color="auto" w:fill="auto"/>
            <w:vAlign w:val="center"/>
          </w:tcPr>
          <w:p w14:paraId="0A95F72E" w14:textId="78453345" w:rsidR="00B01BC7" w:rsidRPr="00B91269" w:rsidRDefault="00B01BC7" w:rsidP="000148DD">
            <w:pPr>
              <w:spacing w:after="0" w:line="240" w:lineRule="auto"/>
              <w:rPr>
                <w:rFonts w:ascii="Arial Narrow" w:hAnsi="Arial Narrow"/>
                <w:b/>
                <w:bCs/>
                <w:color w:val="000000"/>
                <w:sz w:val="20"/>
                <w:szCs w:val="20"/>
                <w:lang w:eastAsia="en-US"/>
              </w:rPr>
            </w:pPr>
            <w:r>
              <w:rPr>
                <w:rFonts w:ascii="Arial Narrow" w:hAnsi="Arial Narrow" w:cs="Arial"/>
                <w:sz w:val="20"/>
                <w:szCs w:val="20"/>
                <w:shd w:val="clear" w:color="auto" w:fill="FFFFFF"/>
              </w:rPr>
              <w:t>Implementácia agilných</w:t>
            </w:r>
            <w:r w:rsidRPr="00B91269">
              <w:rPr>
                <w:rFonts w:ascii="Arial Narrow" w:hAnsi="Arial Narrow" w:cs="Arial"/>
                <w:sz w:val="20"/>
                <w:szCs w:val="20"/>
                <w:shd w:val="clear" w:color="auto" w:fill="FFFFFF"/>
              </w:rPr>
              <w:t xml:space="preserve"> </w:t>
            </w:r>
            <w:r>
              <w:rPr>
                <w:rFonts w:ascii="Arial Narrow" w:hAnsi="Arial Narrow" w:cs="Arial"/>
                <w:sz w:val="20"/>
                <w:szCs w:val="20"/>
                <w:shd w:val="clear" w:color="auto" w:fill="FFFFFF"/>
              </w:rPr>
              <w:t>metód</w:t>
            </w:r>
            <w:r w:rsidRPr="00B91269">
              <w:rPr>
                <w:rFonts w:ascii="Arial Narrow" w:hAnsi="Arial Narrow" w:cs="Arial"/>
                <w:sz w:val="20"/>
                <w:szCs w:val="20"/>
                <w:shd w:val="clear" w:color="auto" w:fill="FFFFFF"/>
              </w:rPr>
              <w:t xml:space="preserve"> do vývoja informačných systémov vo verejnej správe</w:t>
            </w:r>
            <w:r w:rsidR="00A43C8C">
              <w:rPr>
                <w:rFonts w:ascii="Arial Narrow" w:hAnsi="Arial Narrow" w:cs="Arial"/>
                <w:sz w:val="20"/>
                <w:szCs w:val="20"/>
                <w:shd w:val="clear" w:color="auto" w:fill="FFFFFF"/>
              </w:rPr>
              <w:t>.</w:t>
            </w:r>
          </w:p>
        </w:tc>
        <w:tc>
          <w:tcPr>
            <w:tcW w:w="1412" w:type="dxa"/>
            <w:tcBorders>
              <w:top w:val="nil"/>
              <w:left w:val="single" w:sz="8" w:space="0" w:color="auto"/>
              <w:bottom w:val="single" w:sz="4" w:space="0" w:color="auto"/>
              <w:right w:val="single" w:sz="8" w:space="0" w:color="auto"/>
            </w:tcBorders>
            <w:shd w:val="clear" w:color="auto" w:fill="auto"/>
            <w:vAlign w:val="center"/>
          </w:tcPr>
          <w:p w14:paraId="36385297" w14:textId="2530EC36" w:rsidR="00B01BC7" w:rsidRPr="00B91269" w:rsidRDefault="00B01BC7" w:rsidP="000148DD">
            <w:pPr>
              <w:spacing w:after="0" w:line="240" w:lineRule="auto"/>
              <w:rPr>
                <w:rFonts w:ascii="Arial Narrow" w:hAnsi="Arial Narrow"/>
                <w:color w:val="000000"/>
                <w:sz w:val="20"/>
                <w:szCs w:val="20"/>
                <w:lang w:eastAsia="en-US"/>
              </w:rPr>
            </w:pPr>
            <w:r>
              <w:rPr>
                <w:rFonts w:ascii="Arial Narrow" w:hAnsi="Arial Narrow" w:cs="Arial"/>
                <w:sz w:val="20"/>
                <w:szCs w:val="20"/>
                <w:shd w:val="clear" w:color="auto" w:fill="FFFFFF"/>
              </w:rPr>
              <w:t>ÚVO</w:t>
            </w:r>
          </w:p>
        </w:tc>
      </w:tr>
      <w:tr w:rsidR="00B01BC7" w:rsidRPr="00B91269" w14:paraId="56C1CDEF" w14:textId="77777777" w:rsidTr="005E6EFA">
        <w:trPr>
          <w:trHeight w:val="166"/>
          <w:jc w:val="center"/>
        </w:trPr>
        <w:tc>
          <w:tcPr>
            <w:tcW w:w="6536" w:type="dxa"/>
            <w:tcBorders>
              <w:top w:val="nil"/>
              <w:left w:val="single" w:sz="8" w:space="0" w:color="auto"/>
              <w:bottom w:val="single" w:sz="4" w:space="0" w:color="auto"/>
              <w:right w:val="nil"/>
            </w:tcBorders>
            <w:shd w:val="clear" w:color="auto" w:fill="auto"/>
            <w:vAlign w:val="center"/>
          </w:tcPr>
          <w:p w14:paraId="0C14FE71" w14:textId="11CCCCAA" w:rsidR="00B01BC7" w:rsidRPr="00B91269" w:rsidRDefault="00B01BC7" w:rsidP="000148DD">
            <w:pPr>
              <w:spacing w:after="0" w:line="240" w:lineRule="auto"/>
              <w:rPr>
                <w:rFonts w:ascii="Arial Narrow" w:hAnsi="Arial Narrow"/>
                <w:b/>
                <w:bCs/>
                <w:color w:val="000000"/>
                <w:sz w:val="20"/>
                <w:szCs w:val="20"/>
                <w:lang w:eastAsia="en-US"/>
              </w:rPr>
            </w:pPr>
            <w:r>
              <w:rPr>
                <w:rFonts w:ascii="Arial Narrow" w:hAnsi="Arial Narrow" w:cs="Arial"/>
                <w:sz w:val="20"/>
                <w:szCs w:val="20"/>
                <w:shd w:val="clear" w:color="auto" w:fill="FFFFFF"/>
              </w:rPr>
              <w:t>Z</w:t>
            </w:r>
            <w:r w:rsidRPr="00B91269">
              <w:rPr>
                <w:rFonts w:ascii="Arial Narrow" w:hAnsi="Arial Narrow" w:cs="Arial"/>
                <w:sz w:val="20"/>
                <w:szCs w:val="20"/>
                <w:shd w:val="clear" w:color="auto" w:fill="FFFFFF"/>
              </w:rPr>
              <w:t xml:space="preserve">efektívnenie činnosti </w:t>
            </w:r>
            <w:r>
              <w:rPr>
                <w:rFonts w:ascii="Arial Narrow" w:hAnsi="Arial Narrow" w:cs="Arial"/>
                <w:sz w:val="20"/>
                <w:szCs w:val="20"/>
                <w:shd w:val="clear" w:color="auto" w:fill="FFFFFF"/>
              </w:rPr>
              <w:t>Rady</w:t>
            </w:r>
            <w:r w:rsidRPr="00B91269">
              <w:rPr>
                <w:rFonts w:ascii="Arial Narrow" w:hAnsi="Arial Narrow" w:cs="Arial"/>
                <w:sz w:val="20"/>
                <w:szCs w:val="20"/>
                <w:shd w:val="clear" w:color="auto" w:fill="FFFFFF"/>
              </w:rPr>
              <w:t xml:space="preserve"> pre rozpočtovú zodpovednosť</w:t>
            </w:r>
            <w:r w:rsidR="00A43C8C">
              <w:rPr>
                <w:rFonts w:ascii="Arial Narrow" w:hAnsi="Arial Narrow" w:cs="Arial"/>
                <w:sz w:val="20"/>
                <w:szCs w:val="20"/>
                <w:shd w:val="clear" w:color="auto" w:fill="FFFFFF"/>
              </w:rPr>
              <w:t>.</w:t>
            </w:r>
          </w:p>
        </w:tc>
        <w:tc>
          <w:tcPr>
            <w:tcW w:w="1412" w:type="dxa"/>
            <w:tcBorders>
              <w:top w:val="nil"/>
              <w:left w:val="single" w:sz="8" w:space="0" w:color="auto"/>
              <w:bottom w:val="single" w:sz="4" w:space="0" w:color="auto"/>
              <w:right w:val="single" w:sz="8" w:space="0" w:color="auto"/>
            </w:tcBorders>
            <w:shd w:val="clear" w:color="auto" w:fill="auto"/>
            <w:vAlign w:val="center"/>
          </w:tcPr>
          <w:p w14:paraId="1C71D9EB" w14:textId="6E84E875" w:rsidR="00B01BC7" w:rsidRPr="00B91269" w:rsidRDefault="00B01BC7" w:rsidP="000148DD">
            <w:pPr>
              <w:spacing w:after="0" w:line="240" w:lineRule="auto"/>
              <w:rPr>
                <w:rFonts w:ascii="Arial Narrow" w:hAnsi="Arial Narrow"/>
                <w:color w:val="000000"/>
                <w:sz w:val="20"/>
                <w:szCs w:val="20"/>
                <w:lang w:eastAsia="en-US"/>
              </w:rPr>
            </w:pPr>
            <w:r>
              <w:rPr>
                <w:rFonts w:ascii="Arial Narrow" w:hAnsi="Arial Narrow" w:cs="Arial"/>
                <w:sz w:val="20"/>
                <w:szCs w:val="20"/>
                <w:shd w:val="clear" w:color="auto" w:fill="FFFFFF"/>
              </w:rPr>
              <w:t>RRZ</w:t>
            </w:r>
          </w:p>
        </w:tc>
      </w:tr>
      <w:tr w:rsidR="00B01BC7" w:rsidRPr="00B91269" w14:paraId="1DBD68F6" w14:textId="77777777" w:rsidTr="005E6EFA">
        <w:trPr>
          <w:trHeight w:val="166"/>
          <w:jc w:val="center"/>
        </w:trPr>
        <w:tc>
          <w:tcPr>
            <w:tcW w:w="6536" w:type="dxa"/>
            <w:tcBorders>
              <w:top w:val="nil"/>
              <w:left w:val="single" w:sz="8" w:space="0" w:color="auto"/>
              <w:bottom w:val="single" w:sz="4" w:space="0" w:color="auto"/>
              <w:right w:val="nil"/>
            </w:tcBorders>
            <w:shd w:val="clear" w:color="auto" w:fill="auto"/>
            <w:vAlign w:val="center"/>
          </w:tcPr>
          <w:p w14:paraId="64062130" w14:textId="78D44D20" w:rsidR="00B01BC7" w:rsidRPr="00B91269" w:rsidRDefault="00B01BC7" w:rsidP="000148DD">
            <w:pPr>
              <w:spacing w:after="0" w:line="240" w:lineRule="auto"/>
              <w:rPr>
                <w:rFonts w:ascii="Arial Narrow" w:hAnsi="Arial Narrow"/>
                <w:b/>
                <w:bCs/>
                <w:color w:val="000000"/>
                <w:sz w:val="20"/>
                <w:szCs w:val="20"/>
                <w:lang w:eastAsia="en-US"/>
              </w:rPr>
            </w:pPr>
            <w:r>
              <w:rPr>
                <w:rFonts w:ascii="Arial Narrow" w:hAnsi="Arial Narrow" w:cs="Arial"/>
                <w:iCs/>
                <w:sz w:val="20"/>
                <w:szCs w:val="20"/>
                <w:shd w:val="clear" w:color="auto" w:fill="FFFFFF"/>
              </w:rPr>
              <w:t>Tvorba</w:t>
            </w:r>
            <w:r w:rsidRPr="00B91269">
              <w:rPr>
                <w:rFonts w:ascii="Arial Narrow" w:hAnsi="Arial Narrow" w:cs="Arial"/>
                <w:iCs/>
                <w:sz w:val="20"/>
                <w:szCs w:val="20"/>
                <w:shd w:val="clear" w:color="auto" w:fill="FFFFFF"/>
              </w:rPr>
              <w:t> analýzy</w:t>
            </w:r>
            <w:r>
              <w:rPr>
                <w:rFonts w:ascii="Arial Narrow" w:hAnsi="Arial Narrow" w:cs="Arial"/>
                <w:iCs/>
                <w:sz w:val="20"/>
                <w:szCs w:val="20"/>
                <w:shd w:val="clear" w:color="auto" w:fill="FFFFFF"/>
              </w:rPr>
              <w:t xml:space="preserve"> pre účely reformy</w:t>
            </w:r>
            <w:r w:rsidRPr="00B91269">
              <w:rPr>
                <w:rFonts w:ascii="Arial Narrow" w:hAnsi="Arial Narrow" w:cs="Arial"/>
                <w:iCs/>
                <w:sz w:val="20"/>
                <w:szCs w:val="20"/>
                <w:shd w:val="clear" w:color="auto" w:fill="FFFFFF"/>
              </w:rPr>
              <w:t> systému odmeňovania s cieľom posilnenia motivácie, kariérneho rastu a rozvoj</w:t>
            </w:r>
            <w:r>
              <w:rPr>
                <w:rFonts w:ascii="Arial Narrow" w:hAnsi="Arial Narrow" w:cs="Arial"/>
                <w:iCs/>
                <w:sz w:val="20"/>
                <w:szCs w:val="20"/>
                <w:shd w:val="clear" w:color="auto" w:fill="FFFFFF"/>
              </w:rPr>
              <w:t>a zamestnancov v štátnej službe</w:t>
            </w:r>
            <w:r w:rsidR="00A43C8C">
              <w:rPr>
                <w:rFonts w:ascii="Arial Narrow" w:hAnsi="Arial Narrow" w:cs="Arial"/>
                <w:iCs/>
                <w:sz w:val="20"/>
                <w:szCs w:val="20"/>
                <w:shd w:val="clear" w:color="auto" w:fill="FFFFFF"/>
              </w:rPr>
              <w:t>.</w:t>
            </w:r>
          </w:p>
        </w:tc>
        <w:tc>
          <w:tcPr>
            <w:tcW w:w="1412" w:type="dxa"/>
            <w:tcBorders>
              <w:top w:val="nil"/>
              <w:left w:val="single" w:sz="8" w:space="0" w:color="auto"/>
              <w:bottom w:val="single" w:sz="4" w:space="0" w:color="auto"/>
              <w:right w:val="single" w:sz="8" w:space="0" w:color="auto"/>
            </w:tcBorders>
            <w:shd w:val="clear" w:color="auto" w:fill="auto"/>
            <w:vAlign w:val="center"/>
          </w:tcPr>
          <w:p w14:paraId="5A3426B2" w14:textId="76BBF36B" w:rsidR="00B01BC7" w:rsidRPr="00B91269" w:rsidRDefault="00B01BC7" w:rsidP="000148DD">
            <w:pPr>
              <w:spacing w:after="0" w:line="240" w:lineRule="auto"/>
              <w:rPr>
                <w:rFonts w:ascii="Arial Narrow" w:hAnsi="Arial Narrow"/>
                <w:color w:val="000000"/>
                <w:sz w:val="20"/>
                <w:szCs w:val="20"/>
                <w:lang w:eastAsia="en-US"/>
              </w:rPr>
            </w:pPr>
            <w:r>
              <w:rPr>
                <w:rFonts w:ascii="Arial Narrow" w:hAnsi="Arial Narrow" w:cs="Arial"/>
                <w:iCs/>
                <w:sz w:val="20"/>
                <w:szCs w:val="20"/>
                <w:shd w:val="clear" w:color="auto" w:fill="FFFFFF"/>
              </w:rPr>
              <w:t>ÚV SR</w:t>
            </w:r>
          </w:p>
        </w:tc>
      </w:tr>
      <w:tr w:rsidR="00B01BC7" w:rsidRPr="00B91269" w14:paraId="0F0BDEC1" w14:textId="77777777" w:rsidTr="005E6EFA">
        <w:trPr>
          <w:trHeight w:val="355"/>
          <w:jc w:val="center"/>
        </w:trPr>
        <w:tc>
          <w:tcPr>
            <w:tcW w:w="6536" w:type="dxa"/>
            <w:tcBorders>
              <w:top w:val="nil"/>
              <w:left w:val="single" w:sz="8" w:space="0" w:color="auto"/>
              <w:bottom w:val="nil"/>
              <w:right w:val="nil"/>
            </w:tcBorders>
            <w:shd w:val="clear" w:color="auto" w:fill="auto"/>
            <w:vAlign w:val="center"/>
          </w:tcPr>
          <w:p w14:paraId="21350F50" w14:textId="039FCDBF" w:rsidR="00B01BC7" w:rsidRPr="00B01BC7" w:rsidRDefault="00B01BC7" w:rsidP="00B01BC7">
            <w:pPr>
              <w:spacing w:after="0" w:line="240" w:lineRule="auto"/>
              <w:ind w:right="-7"/>
              <w:jc w:val="both"/>
              <w:rPr>
                <w:rFonts w:ascii="Arial Narrow" w:hAnsi="Arial Narrow" w:cs="Arial"/>
                <w:sz w:val="20"/>
                <w:szCs w:val="20"/>
                <w:shd w:val="clear" w:color="auto" w:fill="FFFFFF"/>
              </w:rPr>
            </w:pPr>
            <w:r>
              <w:rPr>
                <w:rFonts w:ascii="Arial Narrow" w:hAnsi="Arial Narrow" w:cs="Arial"/>
                <w:sz w:val="20"/>
                <w:szCs w:val="20"/>
                <w:shd w:val="clear" w:color="auto" w:fill="FFFFFF"/>
              </w:rPr>
              <w:t>P</w:t>
            </w:r>
            <w:r w:rsidRPr="00B91269">
              <w:rPr>
                <w:rFonts w:ascii="Arial Narrow" w:hAnsi="Arial Narrow" w:cs="Arial"/>
                <w:sz w:val="20"/>
                <w:szCs w:val="20"/>
                <w:shd w:val="clear" w:color="auto" w:fill="FFFFFF"/>
              </w:rPr>
              <w:t>osilnenie odborných kapacít Centra lepšej regulácie s cieľom zvýšiť kvalitu testovania dopadov regulácií na malých a stredných podnikateľov a limitovať neopodstatnené</w:t>
            </w:r>
            <w:r>
              <w:rPr>
                <w:rFonts w:ascii="Arial Narrow" w:hAnsi="Arial Narrow" w:cs="Arial"/>
                <w:sz w:val="20"/>
                <w:szCs w:val="20"/>
                <w:shd w:val="clear" w:color="auto" w:fill="FFFFFF"/>
              </w:rPr>
              <w:t xml:space="preserve"> regulačné zaťaženie podnikania</w:t>
            </w:r>
            <w:r w:rsidR="00A43C8C">
              <w:rPr>
                <w:rFonts w:ascii="Arial Narrow" w:hAnsi="Arial Narrow" w:cs="Arial"/>
                <w:sz w:val="20"/>
                <w:szCs w:val="20"/>
                <w:shd w:val="clear" w:color="auto" w:fill="FFFFFF"/>
              </w:rPr>
              <w:t>.</w:t>
            </w:r>
          </w:p>
        </w:tc>
        <w:tc>
          <w:tcPr>
            <w:tcW w:w="1412" w:type="dxa"/>
            <w:tcBorders>
              <w:top w:val="nil"/>
              <w:left w:val="single" w:sz="8" w:space="0" w:color="auto"/>
              <w:bottom w:val="nil"/>
              <w:right w:val="single" w:sz="8" w:space="0" w:color="auto"/>
            </w:tcBorders>
            <w:shd w:val="clear" w:color="auto" w:fill="auto"/>
            <w:vAlign w:val="center"/>
          </w:tcPr>
          <w:p w14:paraId="0B99317A" w14:textId="77777777" w:rsidR="00B01BC7" w:rsidRPr="00B91269" w:rsidRDefault="00B01BC7" w:rsidP="000148DD">
            <w:pPr>
              <w:spacing w:after="0" w:line="240" w:lineRule="auto"/>
              <w:rPr>
                <w:rFonts w:ascii="Arial Narrow" w:hAnsi="Arial Narrow"/>
                <w:color w:val="000000"/>
                <w:sz w:val="20"/>
                <w:szCs w:val="20"/>
                <w:lang w:eastAsia="en-US"/>
              </w:rPr>
            </w:pPr>
            <w:r w:rsidRPr="00B91269">
              <w:rPr>
                <w:rFonts w:ascii="Arial Narrow" w:hAnsi="Arial Narrow" w:cs="Arial"/>
                <w:sz w:val="20"/>
                <w:szCs w:val="20"/>
                <w:shd w:val="clear" w:color="auto" w:fill="FFFFFF"/>
              </w:rPr>
              <w:t xml:space="preserve">Slovak Business </w:t>
            </w:r>
            <w:proofErr w:type="spellStart"/>
            <w:r w:rsidRPr="00B91269">
              <w:rPr>
                <w:rFonts w:ascii="Arial Narrow" w:hAnsi="Arial Narrow" w:cs="Arial"/>
                <w:sz w:val="20"/>
                <w:szCs w:val="20"/>
                <w:shd w:val="clear" w:color="auto" w:fill="FFFFFF"/>
              </w:rPr>
              <w:t>Agency</w:t>
            </w:r>
            <w:proofErr w:type="spellEnd"/>
          </w:p>
        </w:tc>
      </w:tr>
      <w:tr w:rsidR="001B292A" w:rsidRPr="00B91269" w14:paraId="1167846F" w14:textId="77777777" w:rsidTr="005E6EFA">
        <w:trPr>
          <w:trHeight w:val="355"/>
          <w:jc w:val="center"/>
        </w:trPr>
        <w:tc>
          <w:tcPr>
            <w:tcW w:w="6536" w:type="dxa"/>
            <w:tcBorders>
              <w:top w:val="nil"/>
              <w:left w:val="single" w:sz="8" w:space="0" w:color="auto"/>
              <w:bottom w:val="single" w:sz="4" w:space="0" w:color="auto"/>
              <w:right w:val="nil"/>
            </w:tcBorders>
            <w:shd w:val="clear" w:color="auto" w:fill="auto"/>
            <w:vAlign w:val="center"/>
          </w:tcPr>
          <w:p w14:paraId="41C0EE8A" w14:textId="5E206FAF" w:rsidR="001B292A" w:rsidRDefault="001B292A" w:rsidP="00B01BC7">
            <w:pPr>
              <w:spacing w:after="0" w:line="240" w:lineRule="auto"/>
              <w:ind w:right="-7"/>
              <w:jc w:val="both"/>
              <w:rPr>
                <w:rFonts w:ascii="Arial Narrow" w:hAnsi="Arial Narrow" w:cs="Arial"/>
                <w:sz w:val="20"/>
                <w:szCs w:val="20"/>
                <w:shd w:val="clear" w:color="auto" w:fill="FFFFFF"/>
              </w:rPr>
            </w:pPr>
            <w:r w:rsidRPr="001B292A">
              <w:rPr>
                <w:rFonts w:ascii="Arial Narrow" w:hAnsi="Arial Narrow" w:cs="Arial"/>
                <w:sz w:val="20"/>
                <w:szCs w:val="20"/>
                <w:shd w:val="clear" w:color="auto" w:fill="FFFFFF"/>
              </w:rPr>
              <w:t xml:space="preserve">Vypracovanie </w:t>
            </w:r>
            <w:r w:rsidRPr="001B292A">
              <w:rPr>
                <w:rFonts w:ascii="Arial Narrow" w:hAnsi="Arial Narrow" w:cs="Arial"/>
                <w:i/>
                <w:sz w:val="20"/>
                <w:szCs w:val="20"/>
                <w:shd w:val="clear" w:color="auto" w:fill="FFFFFF"/>
              </w:rPr>
              <w:t>Stratégie dobrovoľného plnenia daňových povinností</w:t>
            </w:r>
            <w:r w:rsidRPr="001B292A">
              <w:rPr>
                <w:rFonts w:ascii="Arial Narrow" w:hAnsi="Arial Narrow" w:cs="Arial"/>
                <w:sz w:val="20"/>
                <w:szCs w:val="20"/>
                <w:shd w:val="clear" w:color="auto" w:fill="FFFFFF"/>
              </w:rPr>
              <w:t xml:space="preserve"> a akčného plánu implementácie tejto stratégie</w:t>
            </w:r>
            <w:r w:rsidRPr="001B292A">
              <w:rPr>
                <w:rFonts w:ascii="Arial Narrow" w:hAnsi="Arial Narrow" w:cs="Arial"/>
                <w:sz w:val="20"/>
                <w:szCs w:val="20"/>
                <w:shd w:val="clear" w:color="auto" w:fill="FFFFFF"/>
              </w:rPr>
              <w:tab/>
              <w:t>FR SR</w:t>
            </w:r>
            <w:r w:rsidR="005E6EFA">
              <w:rPr>
                <w:rFonts w:ascii="Arial Narrow" w:hAnsi="Arial Narrow" w:cs="Arial"/>
                <w:sz w:val="20"/>
                <w:szCs w:val="20"/>
                <w:shd w:val="clear" w:color="auto" w:fill="FFFFFF"/>
              </w:rPr>
              <w:t>.</w:t>
            </w:r>
          </w:p>
        </w:tc>
        <w:tc>
          <w:tcPr>
            <w:tcW w:w="1412" w:type="dxa"/>
            <w:tcBorders>
              <w:top w:val="nil"/>
              <w:left w:val="single" w:sz="8" w:space="0" w:color="auto"/>
              <w:bottom w:val="single" w:sz="4" w:space="0" w:color="auto"/>
              <w:right w:val="single" w:sz="8" w:space="0" w:color="auto"/>
            </w:tcBorders>
            <w:shd w:val="clear" w:color="auto" w:fill="auto"/>
            <w:vAlign w:val="center"/>
          </w:tcPr>
          <w:p w14:paraId="218BF5F5" w14:textId="0A13B1AB" w:rsidR="001B292A" w:rsidRPr="00B91269" w:rsidRDefault="001B292A" w:rsidP="000148DD">
            <w:pPr>
              <w:spacing w:after="0" w:line="240" w:lineRule="auto"/>
              <w:rPr>
                <w:rFonts w:ascii="Arial Narrow" w:hAnsi="Arial Narrow" w:cs="Arial"/>
                <w:sz w:val="20"/>
                <w:szCs w:val="20"/>
                <w:shd w:val="clear" w:color="auto" w:fill="FFFFFF"/>
              </w:rPr>
            </w:pPr>
            <w:r>
              <w:rPr>
                <w:rFonts w:ascii="Arial Narrow" w:hAnsi="Arial Narrow" w:cs="Arial"/>
                <w:sz w:val="20"/>
                <w:szCs w:val="20"/>
                <w:shd w:val="clear" w:color="auto" w:fill="FFFFFF"/>
              </w:rPr>
              <w:t>FR SR</w:t>
            </w:r>
          </w:p>
        </w:tc>
      </w:tr>
    </w:tbl>
    <w:p w14:paraId="5691C277" w14:textId="77777777" w:rsidR="00B01BC7" w:rsidRPr="004C54B9" w:rsidRDefault="00B01BC7" w:rsidP="0062680A">
      <w:pPr>
        <w:spacing w:after="0" w:line="240" w:lineRule="auto"/>
        <w:jc w:val="both"/>
        <w:rPr>
          <w:rFonts w:ascii="Arial Narrow" w:hAnsi="Arial Narrow"/>
        </w:rPr>
      </w:pPr>
    </w:p>
    <w:p w14:paraId="5261CE9E" w14:textId="77777777" w:rsidR="00C24690" w:rsidRPr="00484218" w:rsidRDefault="00C24690" w:rsidP="00C24690">
      <w:pPr>
        <w:pStyle w:val="Nadpis2"/>
        <w:numPr>
          <w:ilvl w:val="2"/>
          <w:numId w:val="1"/>
        </w:numPr>
        <w:spacing w:after="240" w:line="240" w:lineRule="auto"/>
        <w:ind w:left="720"/>
        <w:jc w:val="both"/>
        <w:rPr>
          <w:rFonts w:ascii="Arial Narrow" w:hAnsi="Arial Narrow"/>
          <w:color w:val="2C9ADC"/>
          <w:sz w:val="28"/>
          <w:szCs w:val="28"/>
        </w:rPr>
      </w:pPr>
      <w:bookmarkStart w:id="78" w:name="_Toc480749815"/>
      <w:bookmarkStart w:id="79" w:name="_Toc4766845"/>
      <w:r w:rsidRPr="00484218">
        <w:rPr>
          <w:rFonts w:ascii="Arial Narrow" w:hAnsi="Arial Narrow"/>
          <w:color w:val="2C9ADC"/>
          <w:sz w:val="28"/>
          <w:szCs w:val="28"/>
        </w:rPr>
        <w:t>Podnikateľské prostredie</w:t>
      </w:r>
      <w:bookmarkEnd w:id="78"/>
      <w:bookmarkEnd w:id="79"/>
    </w:p>
    <w:p w14:paraId="0D406ED9" w14:textId="77777777" w:rsidR="00C24690" w:rsidRPr="004C54B9" w:rsidRDefault="00C24690" w:rsidP="00C24690">
      <w:pPr>
        <w:spacing w:after="0" w:line="240" w:lineRule="auto"/>
        <w:jc w:val="both"/>
        <w:rPr>
          <w:rFonts w:ascii="Arial Narrow" w:hAnsi="Arial Narrow"/>
          <w:b/>
          <w:i/>
        </w:rPr>
      </w:pPr>
      <w:r w:rsidRPr="004C54B9">
        <w:rPr>
          <w:rFonts w:ascii="Arial Narrow" w:hAnsi="Arial Narrow"/>
          <w:b/>
          <w:i/>
        </w:rPr>
        <w:t>Znižovanie administratívnej záťaže podnikateľov a lepšia regulácia</w:t>
      </w:r>
    </w:p>
    <w:p w14:paraId="7BE94070" w14:textId="69AC97D0" w:rsidR="008C4873" w:rsidRPr="004C54B9" w:rsidRDefault="00C24690" w:rsidP="008C4873">
      <w:pPr>
        <w:spacing w:after="0" w:line="240" w:lineRule="auto"/>
        <w:jc w:val="both"/>
        <w:rPr>
          <w:rFonts w:ascii="Arial Narrow" w:hAnsi="Arial Narrow"/>
        </w:rPr>
      </w:pPr>
      <w:r>
        <w:rPr>
          <w:rFonts w:ascii="Arial Narrow" w:hAnsi="Arial Narrow"/>
          <w:b/>
        </w:rPr>
        <w:t xml:space="preserve">Opatrenia </w:t>
      </w:r>
      <w:r w:rsidRPr="00CA5331">
        <w:rPr>
          <w:rFonts w:ascii="Arial Narrow" w:hAnsi="Arial Narrow"/>
          <w:b/>
        </w:rPr>
        <w:t xml:space="preserve">finančnej správy </w:t>
      </w:r>
      <w:r w:rsidR="005E4888">
        <w:rPr>
          <w:rFonts w:ascii="Arial Narrow" w:hAnsi="Arial Narrow"/>
          <w:b/>
        </w:rPr>
        <w:t xml:space="preserve">sa zameriavajú </w:t>
      </w:r>
      <w:r>
        <w:rPr>
          <w:rFonts w:ascii="Arial Narrow" w:hAnsi="Arial Narrow"/>
          <w:b/>
        </w:rPr>
        <w:t>na ďalšie</w:t>
      </w:r>
      <w:r w:rsidRPr="00CA5331">
        <w:rPr>
          <w:rFonts w:ascii="Arial Narrow" w:hAnsi="Arial Narrow"/>
          <w:b/>
        </w:rPr>
        <w:t xml:space="preserve"> posil</w:t>
      </w:r>
      <w:r>
        <w:rPr>
          <w:rFonts w:ascii="Arial Narrow" w:hAnsi="Arial Narrow"/>
          <w:b/>
        </w:rPr>
        <w:t>nenie</w:t>
      </w:r>
      <w:r w:rsidRPr="00CA5331">
        <w:rPr>
          <w:rFonts w:ascii="Arial Narrow" w:hAnsi="Arial Narrow"/>
          <w:b/>
        </w:rPr>
        <w:t xml:space="preserve"> </w:t>
      </w:r>
      <w:proofErr w:type="spellStart"/>
      <w:r w:rsidRPr="00CA5331">
        <w:rPr>
          <w:rFonts w:ascii="Arial Narrow" w:hAnsi="Arial Narrow"/>
          <w:b/>
        </w:rPr>
        <w:t>proklientsk</w:t>
      </w:r>
      <w:r w:rsidR="000366B3">
        <w:rPr>
          <w:rFonts w:ascii="Arial Narrow" w:hAnsi="Arial Narrow"/>
          <w:b/>
        </w:rPr>
        <w:t>é</w:t>
      </w:r>
      <w:r>
        <w:rPr>
          <w:rFonts w:ascii="Arial Narrow" w:hAnsi="Arial Narrow"/>
          <w:b/>
        </w:rPr>
        <w:t>ho</w:t>
      </w:r>
      <w:proofErr w:type="spellEnd"/>
      <w:r w:rsidRPr="00CA5331">
        <w:rPr>
          <w:rFonts w:ascii="Arial Narrow" w:hAnsi="Arial Narrow"/>
          <w:b/>
        </w:rPr>
        <w:t xml:space="preserve"> prístup</w:t>
      </w:r>
      <w:r>
        <w:rPr>
          <w:rFonts w:ascii="Arial Narrow" w:hAnsi="Arial Narrow"/>
          <w:b/>
        </w:rPr>
        <w:t>u</w:t>
      </w:r>
      <w:r w:rsidRPr="00CA5331">
        <w:rPr>
          <w:rFonts w:ascii="Arial Narrow" w:hAnsi="Arial Narrow"/>
          <w:b/>
        </w:rPr>
        <w:t xml:space="preserve">, </w:t>
      </w:r>
      <w:r w:rsidR="00C15B29" w:rsidRPr="00CA5331">
        <w:rPr>
          <w:rFonts w:ascii="Arial Narrow" w:hAnsi="Arial Narrow"/>
          <w:b/>
        </w:rPr>
        <w:t>zníž</w:t>
      </w:r>
      <w:r w:rsidR="00C15B29">
        <w:rPr>
          <w:rFonts w:ascii="Arial Narrow" w:hAnsi="Arial Narrow"/>
          <w:b/>
        </w:rPr>
        <w:t>enie</w:t>
      </w:r>
      <w:r w:rsidRPr="00CA5331">
        <w:rPr>
          <w:rFonts w:ascii="Arial Narrow" w:hAnsi="Arial Narrow"/>
          <w:b/>
        </w:rPr>
        <w:t xml:space="preserve"> administratívn</w:t>
      </w:r>
      <w:r>
        <w:rPr>
          <w:rFonts w:ascii="Arial Narrow" w:hAnsi="Arial Narrow"/>
          <w:b/>
        </w:rPr>
        <w:t>ej</w:t>
      </w:r>
      <w:r w:rsidRPr="00CA5331">
        <w:rPr>
          <w:rFonts w:ascii="Arial Narrow" w:hAnsi="Arial Narrow"/>
          <w:b/>
        </w:rPr>
        <w:t xml:space="preserve"> záťaž</w:t>
      </w:r>
      <w:r>
        <w:rPr>
          <w:rFonts w:ascii="Arial Narrow" w:hAnsi="Arial Narrow"/>
          <w:b/>
        </w:rPr>
        <w:t>e</w:t>
      </w:r>
      <w:r w:rsidRPr="00CA5331">
        <w:rPr>
          <w:rFonts w:ascii="Arial Narrow" w:hAnsi="Arial Narrow"/>
          <w:b/>
        </w:rPr>
        <w:t xml:space="preserve"> </w:t>
      </w:r>
      <w:r>
        <w:rPr>
          <w:rFonts w:ascii="Arial Narrow" w:hAnsi="Arial Narrow"/>
          <w:b/>
        </w:rPr>
        <w:t>a</w:t>
      </w:r>
      <w:r w:rsidRPr="00CA5331">
        <w:rPr>
          <w:rFonts w:ascii="Arial Narrow" w:hAnsi="Arial Narrow"/>
          <w:b/>
        </w:rPr>
        <w:t xml:space="preserve"> podpor</w:t>
      </w:r>
      <w:r>
        <w:rPr>
          <w:rFonts w:ascii="Arial Narrow" w:hAnsi="Arial Narrow"/>
          <w:b/>
        </w:rPr>
        <w:t>u</w:t>
      </w:r>
      <w:r w:rsidRPr="00CA5331">
        <w:rPr>
          <w:rFonts w:ascii="Arial Narrow" w:hAnsi="Arial Narrow"/>
          <w:b/>
        </w:rPr>
        <w:t xml:space="preserve"> dobrovoľné</w:t>
      </w:r>
      <w:r>
        <w:rPr>
          <w:rFonts w:ascii="Arial Narrow" w:hAnsi="Arial Narrow"/>
          <w:b/>
        </w:rPr>
        <w:t>ho</w:t>
      </w:r>
      <w:r w:rsidRPr="00CA5331">
        <w:rPr>
          <w:rFonts w:ascii="Arial Narrow" w:hAnsi="Arial Narrow"/>
          <w:b/>
        </w:rPr>
        <w:t xml:space="preserve"> </w:t>
      </w:r>
      <w:r w:rsidR="00C15B29" w:rsidRPr="00CA5331">
        <w:rPr>
          <w:rFonts w:ascii="Arial Narrow" w:hAnsi="Arial Narrow"/>
          <w:b/>
        </w:rPr>
        <w:t>p</w:t>
      </w:r>
      <w:r w:rsidR="00C15B29">
        <w:rPr>
          <w:rFonts w:ascii="Arial Narrow" w:hAnsi="Arial Narrow"/>
          <w:b/>
        </w:rPr>
        <w:t>l</w:t>
      </w:r>
      <w:r w:rsidR="00C15B29" w:rsidRPr="00CA5331">
        <w:rPr>
          <w:rFonts w:ascii="Arial Narrow" w:hAnsi="Arial Narrow"/>
          <w:b/>
        </w:rPr>
        <w:t>n</w:t>
      </w:r>
      <w:r w:rsidR="00C15B29">
        <w:rPr>
          <w:rFonts w:ascii="Arial Narrow" w:hAnsi="Arial Narrow"/>
          <w:b/>
        </w:rPr>
        <w:t>enia</w:t>
      </w:r>
      <w:r w:rsidRPr="00CA5331">
        <w:rPr>
          <w:rFonts w:ascii="Arial Narrow" w:hAnsi="Arial Narrow"/>
          <w:b/>
        </w:rPr>
        <w:t xml:space="preserve"> daňových a colných povinností.</w:t>
      </w:r>
      <w:r w:rsidRPr="004C54B9">
        <w:rPr>
          <w:rFonts w:ascii="Arial Narrow" w:hAnsi="Arial Narrow"/>
        </w:rPr>
        <w:t xml:space="preserve"> </w:t>
      </w:r>
      <w:r w:rsidRPr="00890313">
        <w:rPr>
          <w:rFonts w:ascii="Arial Narrow" w:hAnsi="Arial Narrow"/>
        </w:rPr>
        <w:t>Finančná správa bude pokračovať v</w:t>
      </w:r>
      <w:r w:rsidRPr="00CA5331">
        <w:rPr>
          <w:rFonts w:ascii="Arial Narrow" w:hAnsi="Arial Narrow"/>
        </w:rPr>
        <w:t xml:space="preserve"> rozširovaní obojsmernej elektronickej komunikácie </w:t>
      </w:r>
      <w:r w:rsidRPr="00890313">
        <w:rPr>
          <w:rFonts w:ascii="Arial Narrow" w:hAnsi="Arial Narrow"/>
        </w:rPr>
        <w:t>s klientmi finančnej správy ako aj  v</w:t>
      </w:r>
      <w:r w:rsidRPr="00CA5331">
        <w:rPr>
          <w:rFonts w:ascii="Arial Narrow" w:hAnsi="Arial Narrow"/>
        </w:rPr>
        <w:t xml:space="preserve"> posilňovaní  princípu </w:t>
      </w:r>
      <w:proofErr w:type="spellStart"/>
      <w:r w:rsidRPr="00CA5331">
        <w:rPr>
          <w:rFonts w:ascii="Arial Narrow" w:hAnsi="Arial Narrow"/>
        </w:rPr>
        <w:t>predvyplnenia</w:t>
      </w:r>
      <w:proofErr w:type="spellEnd"/>
      <w:r w:rsidRPr="00CA5331">
        <w:rPr>
          <w:rFonts w:ascii="Arial Narrow" w:hAnsi="Arial Narrow"/>
        </w:rPr>
        <w:t xml:space="preserve"> dokumentov údajmi</w:t>
      </w:r>
      <w:r w:rsidRPr="00890313">
        <w:rPr>
          <w:rFonts w:ascii="Arial Narrow" w:hAnsi="Arial Narrow"/>
        </w:rPr>
        <w:t xml:space="preserve">, ktoré sú dostupné v jej interných systémoch alebo v systémoch verejnej správy. Pokračovať bude tiež realizácia projektu </w:t>
      </w:r>
      <w:r w:rsidR="00C15B29">
        <w:rPr>
          <w:rFonts w:ascii="Arial Narrow" w:hAnsi="Arial Narrow"/>
          <w:i/>
        </w:rPr>
        <w:t>S</w:t>
      </w:r>
      <w:r w:rsidRPr="00890313">
        <w:rPr>
          <w:rFonts w:ascii="Arial Narrow" w:hAnsi="Arial Narrow"/>
          <w:i/>
        </w:rPr>
        <w:t xml:space="preserve">oft </w:t>
      </w:r>
      <w:proofErr w:type="spellStart"/>
      <w:r w:rsidR="00C15B29">
        <w:rPr>
          <w:rFonts w:ascii="Arial Narrow" w:hAnsi="Arial Narrow"/>
          <w:i/>
        </w:rPr>
        <w:t>w</w:t>
      </w:r>
      <w:r w:rsidRPr="00890313">
        <w:rPr>
          <w:rFonts w:ascii="Arial Narrow" w:hAnsi="Arial Narrow"/>
          <w:i/>
        </w:rPr>
        <w:t>arning</w:t>
      </w:r>
      <w:proofErr w:type="spellEnd"/>
      <w:r w:rsidRPr="00890313">
        <w:rPr>
          <w:rFonts w:ascii="Arial Narrow" w:hAnsi="Arial Narrow"/>
        </w:rPr>
        <w:t xml:space="preserve"> s cieľom zasielať individualizované upozorňujúce správy</w:t>
      </w:r>
      <w:r w:rsidRPr="00C150A7">
        <w:rPr>
          <w:rStyle w:val="Odkaznapoznmkupodiarou"/>
          <w:rFonts w:ascii="Arial Narrow" w:hAnsi="Arial Narrow"/>
        </w:rPr>
        <w:footnoteReference w:id="107"/>
      </w:r>
      <w:r w:rsidRPr="00890313">
        <w:rPr>
          <w:rFonts w:ascii="Arial Narrow" w:hAnsi="Arial Narrow"/>
        </w:rPr>
        <w:t xml:space="preserve"> daňovým subjektom, pričom v roku 2019 budú implementované nové typy upozornení. Naplánované je taktiež zjednodušenie postupov pri registrácii daňových subjektov </w:t>
      </w:r>
      <w:r w:rsidR="005E4888">
        <w:rPr>
          <w:rFonts w:ascii="Arial Narrow" w:hAnsi="Arial Narrow"/>
        </w:rPr>
        <w:t>na zníženie</w:t>
      </w:r>
      <w:r w:rsidRPr="00890313">
        <w:rPr>
          <w:rFonts w:ascii="Arial Narrow" w:hAnsi="Arial Narrow"/>
        </w:rPr>
        <w:t xml:space="preserve"> administratívnej záťaže podnikateľského prostredia pri správe daní</w:t>
      </w:r>
      <w:r w:rsidR="008C4873">
        <w:rPr>
          <w:rFonts w:ascii="Arial Narrow" w:hAnsi="Arial Narrow"/>
          <w:b/>
        </w:rPr>
        <w:t xml:space="preserve">. </w:t>
      </w:r>
      <w:r w:rsidR="008C4873" w:rsidRPr="0062680A">
        <w:rPr>
          <w:rFonts w:ascii="Arial Narrow" w:hAnsi="Arial Narrow"/>
        </w:rPr>
        <w:t>Finančná správa alokuje kapacity na agendu vybraných hospodárskych subjektov</w:t>
      </w:r>
      <w:r w:rsidR="008C4873" w:rsidRPr="00233360">
        <w:rPr>
          <w:rFonts w:ascii="Arial Narrow" w:hAnsi="Arial Narrow"/>
        </w:rPr>
        <w:t xml:space="preserve"> s cieľom</w:t>
      </w:r>
      <w:r w:rsidR="008C4873" w:rsidRPr="005E6415">
        <w:rPr>
          <w:rFonts w:ascii="Arial Narrow" w:hAnsi="Arial Narrow"/>
        </w:rPr>
        <w:t xml:space="preserve"> </w:t>
      </w:r>
      <w:r w:rsidR="008C4873" w:rsidRPr="0037389A">
        <w:rPr>
          <w:rFonts w:ascii="Arial Narrow" w:hAnsi="Arial Narrow"/>
        </w:rPr>
        <w:t xml:space="preserve">zavedenia konceptu </w:t>
      </w:r>
      <w:proofErr w:type="spellStart"/>
      <w:r w:rsidR="008C4873" w:rsidRPr="0037389A">
        <w:rPr>
          <w:rFonts w:ascii="Arial Narrow" w:hAnsi="Arial Narrow"/>
          <w:i/>
        </w:rPr>
        <w:t>cooperative</w:t>
      </w:r>
      <w:proofErr w:type="spellEnd"/>
      <w:r w:rsidR="008C4873" w:rsidRPr="0037389A">
        <w:rPr>
          <w:rFonts w:ascii="Arial Narrow" w:hAnsi="Arial Narrow"/>
          <w:i/>
        </w:rPr>
        <w:t xml:space="preserve"> </w:t>
      </w:r>
      <w:proofErr w:type="spellStart"/>
      <w:r w:rsidR="008C4873" w:rsidRPr="0037389A">
        <w:rPr>
          <w:rFonts w:ascii="Arial Narrow" w:hAnsi="Arial Narrow"/>
          <w:i/>
        </w:rPr>
        <w:t>compliance</w:t>
      </w:r>
      <w:proofErr w:type="spellEnd"/>
      <w:r w:rsidR="008C4873" w:rsidRPr="0037389A">
        <w:rPr>
          <w:rFonts w:ascii="Arial Narrow" w:hAnsi="Arial Narrow"/>
        </w:rPr>
        <w:t xml:space="preserve"> pre významné podniky</w:t>
      </w:r>
      <w:r w:rsidR="008C4873">
        <w:rPr>
          <w:rFonts w:ascii="Arial Narrow" w:hAnsi="Arial Narrow"/>
        </w:rPr>
        <w:t>.</w:t>
      </w:r>
      <w:r w:rsidR="003504D2">
        <w:rPr>
          <w:rFonts w:ascii="Arial Narrow" w:hAnsi="Arial Narrow"/>
        </w:rPr>
        <w:t xml:space="preserve"> Vypracuje sa </w:t>
      </w:r>
      <w:r w:rsidR="00537BED">
        <w:rPr>
          <w:rFonts w:ascii="Arial Narrow" w:hAnsi="Arial Narrow"/>
        </w:rPr>
        <w:t xml:space="preserve">návrh </w:t>
      </w:r>
      <w:r w:rsidR="00686B93">
        <w:rPr>
          <w:rFonts w:ascii="Arial Narrow" w:hAnsi="Arial Narrow"/>
        </w:rPr>
        <w:t xml:space="preserve">zákona o </w:t>
      </w:r>
      <w:r w:rsidR="003504D2">
        <w:rPr>
          <w:rFonts w:ascii="Arial Narrow" w:hAnsi="Arial Narrow"/>
        </w:rPr>
        <w:t xml:space="preserve">dani z príjmov, </w:t>
      </w:r>
      <w:r w:rsidR="005E4888">
        <w:rPr>
          <w:rFonts w:ascii="Arial Narrow" w:hAnsi="Arial Narrow"/>
        </w:rPr>
        <w:t>ktorý</w:t>
      </w:r>
      <w:r w:rsidR="00686B93">
        <w:rPr>
          <w:rFonts w:ascii="Arial Narrow" w:hAnsi="Arial Narrow"/>
        </w:rPr>
        <w:t xml:space="preserve"> malým a stredným podnikom uľahč</w:t>
      </w:r>
      <w:r w:rsidR="000148DD">
        <w:rPr>
          <w:rFonts w:ascii="Arial Narrow" w:hAnsi="Arial Narrow"/>
        </w:rPr>
        <w:t>í</w:t>
      </w:r>
      <w:r w:rsidR="00686B93">
        <w:rPr>
          <w:rFonts w:ascii="Arial Narrow" w:hAnsi="Arial Narrow"/>
        </w:rPr>
        <w:t xml:space="preserve"> plnenie daňových povinností </w:t>
      </w:r>
      <w:r w:rsidR="003504D2">
        <w:rPr>
          <w:rFonts w:ascii="Arial Narrow" w:hAnsi="Arial Narrow"/>
        </w:rPr>
        <w:t>v</w:t>
      </w:r>
      <w:r w:rsidR="00686B93">
        <w:rPr>
          <w:rFonts w:ascii="Arial Narrow" w:hAnsi="Arial Narrow"/>
        </w:rPr>
        <w:t xml:space="preserve"> </w:t>
      </w:r>
      <w:r w:rsidR="003504D2">
        <w:rPr>
          <w:rFonts w:ascii="Arial Narrow" w:hAnsi="Arial Narrow"/>
        </w:rPr>
        <w:t>podobe zjednodušenia</w:t>
      </w:r>
      <w:r w:rsidR="00686B93">
        <w:rPr>
          <w:rFonts w:ascii="Arial Narrow" w:hAnsi="Arial Narrow"/>
        </w:rPr>
        <w:t xml:space="preserve"> pravidiel pre základ</w:t>
      </w:r>
      <w:r w:rsidR="003504D2">
        <w:rPr>
          <w:rFonts w:ascii="Arial Narrow" w:hAnsi="Arial Narrow"/>
        </w:rPr>
        <w:t xml:space="preserve"> dane.</w:t>
      </w:r>
    </w:p>
    <w:p w14:paraId="3E59FF13" w14:textId="77777777" w:rsidR="00C24690" w:rsidRPr="004C54B9" w:rsidRDefault="00C24690" w:rsidP="00C24690">
      <w:pPr>
        <w:spacing w:after="0" w:line="240" w:lineRule="auto"/>
        <w:jc w:val="both"/>
        <w:rPr>
          <w:rFonts w:ascii="Arial Narrow" w:hAnsi="Arial Narrow"/>
        </w:rPr>
      </w:pPr>
    </w:p>
    <w:p w14:paraId="22D2238B" w14:textId="77777777" w:rsidR="005E6EFA" w:rsidRDefault="008C4873" w:rsidP="00C24690">
      <w:pPr>
        <w:spacing w:after="0" w:line="240" w:lineRule="auto"/>
        <w:jc w:val="both"/>
        <w:rPr>
          <w:rFonts w:ascii="Arial Narrow" w:hAnsi="Arial Narrow"/>
        </w:rPr>
      </w:pPr>
      <w:r>
        <w:rPr>
          <w:rFonts w:ascii="Arial Narrow" w:hAnsi="Arial Narrow"/>
          <w:b/>
        </w:rPr>
        <w:t>I</w:t>
      </w:r>
      <w:r w:rsidR="00C24690" w:rsidRPr="004C54B9">
        <w:rPr>
          <w:rFonts w:ascii="Arial Narrow" w:hAnsi="Arial Narrow"/>
          <w:b/>
        </w:rPr>
        <w:t>mplement</w:t>
      </w:r>
      <w:r>
        <w:rPr>
          <w:rFonts w:ascii="Arial Narrow" w:hAnsi="Arial Narrow"/>
          <w:b/>
        </w:rPr>
        <w:t>ujú sa</w:t>
      </w:r>
      <w:r w:rsidR="00C24690" w:rsidRPr="004C54B9">
        <w:rPr>
          <w:rFonts w:ascii="Arial Narrow" w:hAnsi="Arial Narrow"/>
          <w:b/>
        </w:rPr>
        <w:t xml:space="preserve"> opatren</w:t>
      </w:r>
      <w:r>
        <w:rPr>
          <w:rFonts w:ascii="Arial Narrow" w:hAnsi="Arial Narrow"/>
          <w:b/>
        </w:rPr>
        <w:t>ia</w:t>
      </w:r>
      <w:r w:rsidR="00C24690" w:rsidRPr="004C54B9">
        <w:rPr>
          <w:rFonts w:ascii="Arial Narrow" w:hAnsi="Arial Narrow"/>
          <w:b/>
        </w:rPr>
        <w:t xml:space="preserve"> z troch schválených balíčkov zameraných na znižovanie administratívnej </w:t>
      </w:r>
      <w:r w:rsidR="00407378">
        <w:rPr>
          <w:rFonts w:ascii="Arial Narrow" w:hAnsi="Arial Narrow"/>
          <w:b/>
        </w:rPr>
        <w:t xml:space="preserve">a regulačnej </w:t>
      </w:r>
      <w:r w:rsidR="00C24690" w:rsidRPr="004C54B9">
        <w:rPr>
          <w:rFonts w:ascii="Arial Narrow" w:hAnsi="Arial Narrow"/>
          <w:b/>
        </w:rPr>
        <w:t>záťaže podnikateľov</w:t>
      </w:r>
      <w:r w:rsidR="00C24690" w:rsidRPr="004C54B9">
        <w:rPr>
          <w:rFonts w:ascii="Arial Narrow" w:hAnsi="Arial Narrow"/>
        </w:rPr>
        <w:t>. V najbližšom roku by tak malo prísť k zefektívneniu procesu získavania stavebných povolení, či zjednodušeniu</w:t>
      </w:r>
      <w:r w:rsidR="00C24690" w:rsidRPr="004C54B9">
        <w:rPr>
          <w:rStyle w:val="Odkaznapoznmkupodiarou"/>
          <w:rFonts w:ascii="Arial Narrow" w:hAnsi="Arial Narrow"/>
        </w:rPr>
        <w:footnoteReference w:id="108"/>
      </w:r>
      <w:r w:rsidR="00C24690" w:rsidRPr="004C54B9">
        <w:rPr>
          <w:rFonts w:ascii="Arial Narrow" w:hAnsi="Arial Narrow"/>
        </w:rPr>
        <w:t xml:space="preserve"> rodinného podnikania. MH SR zároveň plánuje v prvej polovici roku 2019 predložiť odpočet plnenia úloh z </w:t>
      </w:r>
      <w:r w:rsidR="00B816E2">
        <w:rPr>
          <w:rFonts w:ascii="Arial Narrow" w:hAnsi="Arial Narrow"/>
        </w:rPr>
        <w:t>prvých dvoch</w:t>
      </w:r>
      <w:r w:rsidR="00C24690" w:rsidRPr="004C54B9">
        <w:rPr>
          <w:rFonts w:ascii="Arial Narrow" w:hAnsi="Arial Narrow"/>
        </w:rPr>
        <w:t xml:space="preserve"> </w:t>
      </w:r>
      <w:proofErr w:type="spellStart"/>
      <w:r w:rsidR="00C24690" w:rsidRPr="004C54B9">
        <w:rPr>
          <w:rFonts w:ascii="Arial Narrow" w:hAnsi="Arial Narrow"/>
        </w:rPr>
        <w:t>antibyrokratick</w:t>
      </w:r>
      <w:r w:rsidR="00B816E2">
        <w:rPr>
          <w:rFonts w:ascii="Arial Narrow" w:hAnsi="Arial Narrow"/>
        </w:rPr>
        <w:t>ých</w:t>
      </w:r>
      <w:proofErr w:type="spellEnd"/>
      <w:r w:rsidR="00C24690" w:rsidRPr="004C54B9">
        <w:rPr>
          <w:rFonts w:ascii="Arial Narrow" w:hAnsi="Arial Narrow"/>
        </w:rPr>
        <w:t xml:space="preserve"> podnikateľsk</w:t>
      </w:r>
      <w:r w:rsidR="00B816E2">
        <w:rPr>
          <w:rFonts w:ascii="Arial Narrow" w:hAnsi="Arial Narrow"/>
        </w:rPr>
        <w:t>ých</w:t>
      </w:r>
      <w:r w:rsidR="00C24690" w:rsidRPr="004C54B9">
        <w:rPr>
          <w:rFonts w:ascii="Arial Narrow" w:hAnsi="Arial Narrow"/>
        </w:rPr>
        <w:t xml:space="preserve"> balíčk</w:t>
      </w:r>
      <w:r w:rsidR="00B816E2">
        <w:rPr>
          <w:rFonts w:ascii="Arial Narrow" w:hAnsi="Arial Narrow"/>
        </w:rPr>
        <w:t>ov</w:t>
      </w:r>
      <w:r w:rsidR="00C24690" w:rsidRPr="004C54B9">
        <w:rPr>
          <w:rFonts w:ascii="Arial Narrow" w:hAnsi="Arial Narrow"/>
        </w:rPr>
        <w:t xml:space="preserve">, ktorý bude predmetom </w:t>
      </w:r>
      <w:r w:rsidR="00C24690" w:rsidRPr="000E0382">
        <w:rPr>
          <w:rFonts w:ascii="Arial Narrow" w:hAnsi="Arial Narrow"/>
          <w:i/>
        </w:rPr>
        <w:t>Správy o stave podnikateľského prostredia</w:t>
      </w:r>
      <w:r w:rsidR="00C24690" w:rsidRPr="004C54B9">
        <w:rPr>
          <w:rFonts w:ascii="Arial Narrow" w:hAnsi="Arial Narrow"/>
        </w:rPr>
        <w:t>.</w:t>
      </w:r>
    </w:p>
    <w:p w14:paraId="58BCCD65" w14:textId="77777777" w:rsidR="005E6EFA" w:rsidRDefault="005E6EFA" w:rsidP="00C24690">
      <w:pPr>
        <w:spacing w:after="0" w:line="240" w:lineRule="auto"/>
        <w:jc w:val="both"/>
        <w:rPr>
          <w:rFonts w:ascii="Arial Narrow" w:hAnsi="Arial Narrow"/>
        </w:rPr>
      </w:pPr>
    </w:p>
    <w:p w14:paraId="2AF33C2B" w14:textId="72AA4BB5" w:rsidR="00C24690" w:rsidRPr="004C54B9" w:rsidRDefault="008C4873" w:rsidP="00C24690">
      <w:pPr>
        <w:spacing w:after="0" w:line="240" w:lineRule="auto"/>
        <w:jc w:val="both"/>
        <w:rPr>
          <w:rFonts w:ascii="Arial Narrow" w:hAnsi="Arial Narrow"/>
        </w:rPr>
      </w:pPr>
      <w:r w:rsidRPr="0062680A">
        <w:rPr>
          <w:rFonts w:ascii="Arial Narrow" w:hAnsi="Arial Narrow"/>
          <w:b/>
        </w:rPr>
        <w:t xml:space="preserve">Prebehne </w:t>
      </w:r>
      <w:r w:rsidRPr="00233360">
        <w:rPr>
          <w:rFonts w:ascii="Arial Narrow" w:hAnsi="Arial Narrow"/>
          <w:b/>
        </w:rPr>
        <w:t>a</w:t>
      </w:r>
      <w:r w:rsidR="00C24690" w:rsidRPr="00233360">
        <w:rPr>
          <w:rFonts w:ascii="Arial Narrow" w:hAnsi="Arial Narrow"/>
          <w:b/>
        </w:rPr>
        <w:t>udit</w:t>
      </w:r>
      <w:r w:rsidR="00C24690" w:rsidRPr="005E6415">
        <w:rPr>
          <w:rFonts w:ascii="Arial Narrow" w:hAnsi="Arial Narrow"/>
          <w:b/>
        </w:rPr>
        <w:t xml:space="preserve"> legislatívy z pohľadu </w:t>
      </w:r>
      <w:proofErr w:type="spellStart"/>
      <w:r w:rsidR="00C24690" w:rsidRPr="005E6415">
        <w:rPr>
          <w:rFonts w:ascii="Arial Narrow" w:hAnsi="Arial Narrow"/>
          <w:b/>
          <w:i/>
        </w:rPr>
        <w:t>goldplatingu</w:t>
      </w:r>
      <w:proofErr w:type="spellEnd"/>
      <w:r w:rsidR="008D44FD" w:rsidRPr="000338FC">
        <w:rPr>
          <w:rStyle w:val="Odkaznapoznmkupodiarou"/>
          <w:rFonts w:ascii="Arial Narrow" w:hAnsi="Arial Narrow"/>
        </w:rPr>
        <w:footnoteReference w:id="109"/>
      </w:r>
      <w:r w:rsidR="008D44FD" w:rsidRPr="000338FC">
        <w:rPr>
          <w:rFonts w:ascii="Arial Narrow" w:hAnsi="Arial Narrow"/>
        </w:rPr>
        <w:t>.</w:t>
      </w:r>
      <w:r w:rsidR="008D44FD">
        <w:rPr>
          <w:rFonts w:ascii="Arial Narrow" w:hAnsi="Arial Narrow"/>
          <w:b/>
          <w:i/>
        </w:rPr>
        <w:t xml:space="preserve"> </w:t>
      </w:r>
      <w:r w:rsidR="00C24690" w:rsidRPr="004C54B9">
        <w:rPr>
          <w:rFonts w:ascii="Arial Narrow" w:hAnsi="Arial Narrow"/>
        </w:rPr>
        <w:t xml:space="preserve">Ide o identifikáciu </w:t>
      </w:r>
      <w:proofErr w:type="spellStart"/>
      <w:r w:rsidR="00C24690" w:rsidRPr="004C54B9">
        <w:rPr>
          <w:rFonts w:ascii="Arial Narrow" w:hAnsi="Arial Narrow"/>
          <w:i/>
        </w:rPr>
        <w:t>goldplatingu</w:t>
      </w:r>
      <w:proofErr w:type="spellEnd"/>
      <w:r w:rsidR="008D44FD" w:rsidRPr="004C54B9">
        <w:rPr>
          <w:rStyle w:val="Odkaznapoznmkupodiarou"/>
          <w:rFonts w:ascii="Arial Narrow" w:hAnsi="Arial Narrow"/>
        </w:rPr>
        <w:footnoteReference w:id="110"/>
      </w:r>
      <w:r w:rsidR="00C24690" w:rsidRPr="004C54B9">
        <w:rPr>
          <w:rFonts w:ascii="Arial Narrow" w:hAnsi="Arial Narrow"/>
        </w:rPr>
        <w:t xml:space="preserve"> v právnych predpisoch v pôsobnosti jednotlivých ministerstiev a ostatných ústredných orgánov štátnej správy, ktorý </w:t>
      </w:r>
      <w:r w:rsidR="00C24690" w:rsidRPr="004C54B9">
        <w:rPr>
          <w:rFonts w:ascii="Arial Narrow" w:hAnsi="Arial Narrow"/>
        </w:rPr>
        <w:lastRenderedPageBreak/>
        <w:t>obsahuje konkrétne opatrenia s cieľom odstrániť identifikovanú neopodstatnenú regulačnú záťaž na podnikateľské subjekty.</w:t>
      </w:r>
    </w:p>
    <w:p w14:paraId="50581762" w14:textId="77777777" w:rsidR="00C24690" w:rsidRPr="004C54B9" w:rsidRDefault="00C24690" w:rsidP="00C24690">
      <w:pPr>
        <w:spacing w:after="0" w:line="240" w:lineRule="auto"/>
        <w:jc w:val="both"/>
        <w:rPr>
          <w:rFonts w:ascii="Arial Narrow" w:hAnsi="Arial Narrow"/>
          <w:b/>
        </w:rPr>
      </w:pPr>
    </w:p>
    <w:p w14:paraId="5E85FBAB" w14:textId="7B865C6E" w:rsidR="00C24690" w:rsidRDefault="008C4873" w:rsidP="00C24690">
      <w:pPr>
        <w:spacing w:after="0" w:line="240" w:lineRule="auto"/>
        <w:jc w:val="both"/>
        <w:rPr>
          <w:rFonts w:ascii="Arial Narrow" w:hAnsi="Arial Narrow"/>
        </w:rPr>
      </w:pPr>
      <w:r>
        <w:rPr>
          <w:rFonts w:ascii="Arial Narrow" w:hAnsi="Arial Narrow"/>
          <w:b/>
        </w:rPr>
        <w:t>Zlepšia sa služby</w:t>
      </w:r>
      <w:r w:rsidR="00C24690" w:rsidRPr="004C54B9">
        <w:rPr>
          <w:rFonts w:ascii="Arial Narrow" w:hAnsi="Arial Narrow"/>
          <w:b/>
        </w:rPr>
        <w:t xml:space="preserve"> obchodného registra</w:t>
      </w:r>
      <w:r>
        <w:rPr>
          <w:rFonts w:ascii="Arial Narrow" w:hAnsi="Arial Narrow"/>
          <w:b/>
        </w:rPr>
        <w:t>.</w:t>
      </w:r>
      <w:r w:rsidR="00C24690" w:rsidRPr="004C54B9">
        <w:rPr>
          <w:rFonts w:ascii="Arial Narrow" w:hAnsi="Arial Narrow"/>
        </w:rPr>
        <w:t xml:space="preserve"> </w:t>
      </w:r>
      <w:r>
        <w:rPr>
          <w:rFonts w:ascii="Arial Narrow" w:hAnsi="Arial Narrow"/>
        </w:rPr>
        <w:t>Z</w:t>
      </w:r>
      <w:r w:rsidR="00C24690" w:rsidRPr="004C54B9">
        <w:rPr>
          <w:rFonts w:ascii="Arial Narrow" w:hAnsi="Arial Narrow"/>
        </w:rPr>
        <w:t>ní</w:t>
      </w:r>
      <w:r>
        <w:rPr>
          <w:rFonts w:ascii="Arial Narrow" w:hAnsi="Arial Narrow"/>
        </w:rPr>
        <w:t>žia sa</w:t>
      </w:r>
      <w:r w:rsidR="00C24690" w:rsidRPr="004C54B9">
        <w:rPr>
          <w:rFonts w:ascii="Arial Narrow" w:hAnsi="Arial Narrow"/>
        </w:rPr>
        <w:t xml:space="preserve"> poplatky a</w:t>
      </w:r>
      <w:r>
        <w:rPr>
          <w:rFonts w:ascii="Arial Narrow" w:hAnsi="Arial Narrow"/>
        </w:rPr>
        <w:t> </w:t>
      </w:r>
      <w:r w:rsidR="00C24690" w:rsidRPr="004C54B9">
        <w:rPr>
          <w:rFonts w:ascii="Arial Narrow" w:hAnsi="Arial Narrow"/>
        </w:rPr>
        <w:t>zlepš</w:t>
      </w:r>
      <w:r>
        <w:rPr>
          <w:rFonts w:ascii="Arial Narrow" w:hAnsi="Arial Narrow"/>
        </w:rPr>
        <w:t>ia sa</w:t>
      </w:r>
      <w:r w:rsidR="00C24690" w:rsidRPr="004C54B9">
        <w:rPr>
          <w:rFonts w:ascii="Arial Narrow" w:hAnsi="Arial Narrow"/>
        </w:rPr>
        <w:t xml:space="preserve"> elektr</w:t>
      </w:r>
      <w:r w:rsidR="0055551E">
        <w:rPr>
          <w:rFonts w:ascii="Arial Narrow" w:hAnsi="Arial Narrow"/>
        </w:rPr>
        <w:t>onické služby pre podnikateľov. Z</w:t>
      </w:r>
      <w:r w:rsidR="0055551E" w:rsidRPr="0055551E">
        <w:rPr>
          <w:rFonts w:ascii="Arial Narrow" w:hAnsi="Arial Narrow"/>
        </w:rPr>
        <w:t>avedením výlučnej elektro</w:t>
      </w:r>
      <w:r w:rsidR="0055551E">
        <w:rPr>
          <w:rFonts w:ascii="Arial Narrow" w:hAnsi="Arial Narrow"/>
        </w:rPr>
        <w:t xml:space="preserve">nickej formy podávania návrhov </w:t>
      </w:r>
      <w:r w:rsidR="0055551E" w:rsidRPr="0055551E">
        <w:rPr>
          <w:rFonts w:ascii="Arial Narrow" w:hAnsi="Arial Narrow"/>
        </w:rPr>
        <w:t>dochádza k úprave sadzby súdnych poplatkov s ich znížením na polovicu tak, že zodpovedajú poplatkom, ktoré sa už v súčasnosti uhrádzajú za návrhy podávané do Obchodného registra elektronickými prostriedkami.</w:t>
      </w:r>
      <w:r w:rsidR="0055551E">
        <w:rPr>
          <w:rFonts w:ascii="Arial Narrow" w:hAnsi="Arial Narrow"/>
        </w:rPr>
        <w:t xml:space="preserve"> </w:t>
      </w:r>
      <w:r w:rsidR="00C24690" w:rsidRPr="004C54B9">
        <w:rPr>
          <w:rFonts w:ascii="Arial Narrow" w:hAnsi="Arial Narrow"/>
        </w:rPr>
        <w:t>Taktiež sa plánuje rozšíriť dostupnosť služieb rozšírením počtu externých registrátorov, ktorý budú môcť zapísať subjekt do obchodného registra.</w:t>
      </w:r>
    </w:p>
    <w:p w14:paraId="5514ACA1" w14:textId="77777777" w:rsidR="00484218" w:rsidRPr="004C54B9" w:rsidRDefault="00484218" w:rsidP="00C24690">
      <w:pPr>
        <w:spacing w:after="0" w:line="240" w:lineRule="auto"/>
        <w:jc w:val="both"/>
        <w:rPr>
          <w:rFonts w:ascii="Arial Narrow" w:hAnsi="Arial Narrow"/>
        </w:rPr>
      </w:pPr>
    </w:p>
    <w:p w14:paraId="152F90B4" w14:textId="77777777" w:rsidR="00C24690" w:rsidRPr="00484218" w:rsidRDefault="00C24690" w:rsidP="00C24690">
      <w:pPr>
        <w:pStyle w:val="Nadpis2"/>
        <w:numPr>
          <w:ilvl w:val="2"/>
          <w:numId w:val="1"/>
        </w:numPr>
        <w:spacing w:after="240" w:line="240" w:lineRule="auto"/>
        <w:ind w:left="720"/>
        <w:jc w:val="both"/>
        <w:rPr>
          <w:rFonts w:ascii="Arial Narrow" w:hAnsi="Arial Narrow"/>
          <w:color w:val="2C9ADC"/>
          <w:sz w:val="28"/>
          <w:szCs w:val="22"/>
        </w:rPr>
      </w:pPr>
      <w:bookmarkStart w:id="80" w:name="_Toc4766846"/>
      <w:r w:rsidRPr="00484218">
        <w:rPr>
          <w:rFonts w:ascii="Arial Narrow" w:hAnsi="Arial Narrow"/>
          <w:color w:val="2C9ADC"/>
          <w:sz w:val="28"/>
          <w:szCs w:val="22"/>
        </w:rPr>
        <w:t>IT a dopravná infraštruktúra</w:t>
      </w:r>
      <w:bookmarkEnd w:id="80"/>
    </w:p>
    <w:p w14:paraId="5CCF18AA" w14:textId="77777777" w:rsidR="00C24690" w:rsidRPr="004C54B9" w:rsidRDefault="00C24690" w:rsidP="00C24690">
      <w:pPr>
        <w:spacing w:after="0" w:line="240" w:lineRule="auto"/>
        <w:jc w:val="both"/>
        <w:rPr>
          <w:rFonts w:ascii="Arial Narrow" w:hAnsi="Arial Narrow"/>
          <w:b/>
          <w:i/>
          <w:color w:val="000000" w:themeColor="text1"/>
        </w:rPr>
      </w:pPr>
      <w:r w:rsidRPr="004C54B9">
        <w:rPr>
          <w:rFonts w:ascii="Arial Narrow" w:hAnsi="Arial Narrow"/>
          <w:b/>
          <w:i/>
          <w:color w:val="000000" w:themeColor="text1"/>
        </w:rPr>
        <w:t>Informatizácia verejnej správy</w:t>
      </w:r>
    </w:p>
    <w:p w14:paraId="0FF21258" w14:textId="408C1FE1" w:rsidR="00C24690" w:rsidRPr="004C54B9" w:rsidRDefault="00C24690" w:rsidP="00C24690">
      <w:pPr>
        <w:spacing w:after="0" w:line="240" w:lineRule="auto"/>
        <w:jc w:val="both"/>
        <w:rPr>
          <w:rFonts w:ascii="Arial Narrow" w:hAnsi="Arial Narrow"/>
          <w:color w:val="000000" w:themeColor="text1"/>
        </w:rPr>
      </w:pPr>
      <w:r w:rsidRPr="004C54B9">
        <w:rPr>
          <w:rFonts w:ascii="Arial Narrow" w:hAnsi="Arial Narrow"/>
          <w:b/>
          <w:color w:val="000000" w:themeColor="text1"/>
        </w:rPr>
        <w:t>Vláda SR bude pokračovať v plnení revízie výdavkov na informatizáciu</w:t>
      </w:r>
      <w:r w:rsidR="008D44FD">
        <w:rPr>
          <w:rFonts w:ascii="Arial Narrow" w:hAnsi="Arial Narrow"/>
          <w:b/>
          <w:color w:val="000000" w:themeColor="text1"/>
        </w:rPr>
        <w:t xml:space="preserve">. </w:t>
      </w:r>
      <w:r w:rsidR="008D44FD" w:rsidRPr="0062680A">
        <w:rPr>
          <w:rFonts w:ascii="Arial Narrow" w:hAnsi="Arial Narrow"/>
          <w:color w:val="000000" w:themeColor="text1"/>
        </w:rPr>
        <w:t>H</w:t>
      </w:r>
      <w:r w:rsidR="00CB2D91" w:rsidRPr="0062680A">
        <w:rPr>
          <w:rFonts w:ascii="Arial Narrow" w:hAnsi="Arial Narrow"/>
          <w:color w:val="000000" w:themeColor="text1"/>
        </w:rPr>
        <w:t xml:space="preserve">lavnými cieľmi </w:t>
      </w:r>
      <w:r w:rsidR="008D44FD" w:rsidRPr="0062680A">
        <w:rPr>
          <w:rFonts w:ascii="Arial Narrow" w:hAnsi="Arial Narrow"/>
          <w:color w:val="000000" w:themeColor="text1"/>
        </w:rPr>
        <w:t xml:space="preserve">revízie </w:t>
      </w:r>
      <w:r w:rsidR="00CB2D91" w:rsidRPr="0062680A">
        <w:rPr>
          <w:rFonts w:ascii="Arial Narrow" w:hAnsi="Arial Narrow"/>
          <w:color w:val="000000" w:themeColor="text1"/>
        </w:rPr>
        <w:t>je vytvorenie dodatočného fiškálneho priestoru, vyš</w:t>
      </w:r>
      <w:r w:rsidR="00EF344D" w:rsidRPr="0062680A">
        <w:rPr>
          <w:rFonts w:ascii="Arial Narrow" w:hAnsi="Arial Narrow"/>
          <w:color w:val="000000" w:themeColor="text1"/>
        </w:rPr>
        <w:t>šia</w:t>
      </w:r>
      <w:r w:rsidR="00CB2D91" w:rsidRPr="0062680A">
        <w:rPr>
          <w:rFonts w:ascii="Arial Narrow" w:hAnsi="Arial Narrow"/>
          <w:color w:val="000000" w:themeColor="text1"/>
        </w:rPr>
        <w:t xml:space="preserve"> hodnotu investícií a prijatie  metodických opatrení na  efektívnejšie hodnotenie a riadenie štátneho IT</w:t>
      </w:r>
      <w:r w:rsidRPr="0062680A">
        <w:rPr>
          <w:rFonts w:ascii="Arial Narrow" w:hAnsi="Arial Narrow"/>
          <w:color w:val="000000" w:themeColor="text1"/>
        </w:rPr>
        <w:t>.</w:t>
      </w:r>
      <w:r w:rsidRPr="004C54B9">
        <w:rPr>
          <w:rFonts w:ascii="Arial Narrow" w:hAnsi="Arial Narrow"/>
          <w:b/>
          <w:color w:val="000000" w:themeColor="text1"/>
        </w:rPr>
        <w:t xml:space="preserve"> </w:t>
      </w:r>
      <w:r w:rsidRPr="004C54B9">
        <w:rPr>
          <w:rFonts w:ascii="Arial Narrow" w:hAnsi="Arial Narrow"/>
          <w:color w:val="000000" w:themeColor="text1"/>
        </w:rPr>
        <w:t xml:space="preserve">Vypracovanie záväzného plánu migrácie do </w:t>
      </w:r>
      <w:proofErr w:type="spellStart"/>
      <w:r w:rsidRPr="004C54B9">
        <w:rPr>
          <w:rFonts w:ascii="Arial Narrow" w:hAnsi="Arial Narrow"/>
          <w:color w:val="000000" w:themeColor="text1"/>
        </w:rPr>
        <w:t>cloudu</w:t>
      </w:r>
      <w:proofErr w:type="spellEnd"/>
      <w:r w:rsidRPr="004C54B9">
        <w:rPr>
          <w:rFonts w:ascii="Arial Narrow" w:hAnsi="Arial Narrow"/>
          <w:color w:val="000000" w:themeColor="text1"/>
        </w:rPr>
        <w:t xml:space="preserve"> a naviazanie </w:t>
      </w:r>
      <w:r w:rsidRPr="00233360">
        <w:rPr>
          <w:rFonts w:ascii="Arial Narrow" w:hAnsi="Arial Narrow"/>
          <w:color w:val="000000" w:themeColor="text1"/>
        </w:rPr>
        <w:t xml:space="preserve">na IT rozpočty, </w:t>
      </w:r>
      <w:r w:rsidR="0004113F">
        <w:rPr>
          <w:rFonts w:ascii="Arial Narrow" w:hAnsi="Arial Narrow"/>
          <w:color w:val="000000" w:themeColor="text1"/>
        </w:rPr>
        <w:t>zverejnenie</w:t>
      </w:r>
      <w:r w:rsidR="0004113F" w:rsidRPr="00233360">
        <w:rPr>
          <w:rFonts w:ascii="Arial Narrow" w:hAnsi="Arial Narrow"/>
          <w:color w:val="000000" w:themeColor="text1"/>
        </w:rPr>
        <w:t xml:space="preserve"> </w:t>
      </w:r>
      <w:r w:rsidRPr="00233360">
        <w:rPr>
          <w:rFonts w:ascii="Arial Narrow" w:hAnsi="Arial Narrow"/>
          <w:color w:val="000000" w:themeColor="text1"/>
        </w:rPr>
        <w:t xml:space="preserve">zásobníka </w:t>
      </w:r>
      <w:r w:rsidR="0004113F">
        <w:rPr>
          <w:rFonts w:ascii="Arial Narrow" w:hAnsi="Arial Narrow"/>
          <w:color w:val="000000" w:themeColor="text1"/>
        </w:rPr>
        <w:t xml:space="preserve">IT </w:t>
      </w:r>
      <w:r w:rsidRPr="00233360">
        <w:rPr>
          <w:rFonts w:ascii="Arial Narrow" w:hAnsi="Arial Narrow"/>
          <w:color w:val="000000" w:themeColor="text1"/>
        </w:rPr>
        <w:t>projektov a jeho verejn</w:t>
      </w:r>
      <w:r w:rsidR="0004113F">
        <w:rPr>
          <w:rFonts w:ascii="Arial Narrow" w:hAnsi="Arial Narrow"/>
          <w:color w:val="000000" w:themeColor="text1"/>
        </w:rPr>
        <w:t>ý</w:t>
      </w:r>
      <w:r w:rsidR="000366B3">
        <w:rPr>
          <w:rFonts w:ascii="Arial Narrow" w:hAnsi="Arial Narrow"/>
          <w:color w:val="000000" w:themeColor="text1"/>
        </w:rPr>
        <w:t xml:space="preserve"> odpoč</w:t>
      </w:r>
      <w:r w:rsidR="0004113F">
        <w:rPr>
          <w:rFonts w:ascii="Arial Narrow" w:hAnsi="Arial Narrow"/>
          <w:color w:val="000000" w:themeColor="text1"/>
        </w:rPr>
        <w:t>et</w:t>
      </w:r>
      <w:r w:rsidRPr="00233360">
        <w:rPr>
          <w:rFonts w:ascii="Arial Narrow" w:hAnsi="Arial Narrow"/>
          <w:color w:val="000000" w:themeColor="text1"/>
        </w:rPr>
        <w:t xml:space="preserve"> a preskúmanie alternatívnych spôsobov overenia identity voči </w:t>
      </w:r>
      <w:proofErr w:type="spellStart"/>
      <w:r w:rsidRPr="00233360">
        <w:rPr>
          <w:rFonts w:ascii="Arial Narrow" w:hAnsi="Arial Narrow"/>
          <w:color w:val="000000" w:themeColor="text1"/>
        </w:rPr>
        <w:t>eID</w:t>
      </w:r>
      <w:proofErr w:type="spellEnd"/>
      <w:r w:rsidRPr="00233360">
        <w:rPr>
          <w:rFonts w:ascii="Arial Narrow" w:hAnsi="Arial Narrow"/>
          <w:color w:val="000000" w:themeColor="text1"/>
        </w:rPr>
        <w:t xml:space="preserve"> sú prioritami na ďalšie mesiace. Tieto opat</w:t>
      </w:r>
      <w:r w:rsidRPr="0037389A">
        <w:rPr>
          <w:rFonts w:ascii="Arial Narrow" w:hAnsi="Arial Narrow"/>
          <w:color w:val="000000" w:themeColor="text1"/>
        </w:rPr>
        <w:t xml:space="preserve">renia môžu priniesť potenciálne benefity pre občanov a zlepšenie riadenia štátneho IT. V </w:t>
      </w:r>
      <w:r w:rsidR="004E295E">
        <w:rPr>
          <w:rFonts w:ascii="Arial Narrow" w:hAnsi="Arial Narrow"/>
          <w:color w:val="000000" w:themeColor="text1"/>
        </w:rPr>
        <w:t>druhom polroku</w:t>
      </w:r>
      <w:r w:rsidR="004E295E" w:rsidRPr="0037389A">
        <w:rPr>
          <w:rFonts w:ascii="Arial Narrow" w:hAnsi="Arial Narrow"/>
          <w:color w:val="000000" w:themeColor="text1"/>
        </w:rPr>
        <w:t xml:space="preserve"> </w:t>
      </w:r>
      <w:r w:rsidRPr="0037389A">
        <w:rPr>
          <w:rFonts w:ascii="Arial Narrow" w:hAnsi="Arial Narrow"/>
          <w:color w:val="000000" w:themeColor="text1"/>
        </w:rPr>
        <w:t xml:space="preserve">2019 nadobudne účinnosť novela </w:t>
      </w:r>
      <w:r w:rsidRPr="0062680A">
        <w:rPr>
          <w:rFonts w:ascii="Arial Narrow" w:hAnsi="Arial Narrow"/>
          <w:color w:val="000000" w:themeColor="text1"/>
        </w:rPr>
        <w:t>zákona o e-</w:t>
      </w:r>
      <w:proofErr w:type="spellStart"/>
      <w:r w:rsidRPr="0062680A">
        <w:rPr>
          <w:rFonts w:ascii="Arial Narrow" w:hAnsi="Arial Narrow"/>
          <w:color w:val="000000" w:themeColor="text1"/>
        </w:rPr>
        <w:t>Governmente</w:t>
      </w:r>
      <w:proofErr w:type="spellEnd"/>
      <w:r w:rsidRPr="00233360">
        <w:rPr>
          <w:rFonts w:ascii="Arial Narrow" w:hAnsi="Arial Narrow"/>
          <w:color w:val="000000" w:themeColor="text1"/>
        </w:rPr>
        <w:t>, ktorého cieľom je zjednotiť používanie ustanovených nástrojov</w:t>
      </w:r>
      <w:r w:rsidR="008D44FD">
        <w:rPr>
          <w:rFonts w:ascii="Arial Narrow" w:hAnsi="Arial Narrow"/>
          <w:color w:val="000000" w:themeColor="text1"/>
        </w:rPr>
        <w:t>, ro</w:t>
      </w:r>
      <w:r w:rsidRPr="00233360">
        <w:rPr>
          <w:rFonts w:ascii="Arial Narrow" w:hAnsi="Arial Narrow"/>
          <w:color w:val="000000" w:themeColor="text1"/>
        </w:rPr>
        <w:t>z</w:t>
      </w:r>
      <w:r w:rsidR="008D44FD">
        <w:rPr>
          <w:rFonts w:ascii="Arial Narrow" w:hAnsi="Arial Narrow"/>
          <w:color w:val="000000" w:themeColor="text1"/>
        </w:rPr>
        <w:t>šíriť a z</w:t>
      </w:r>
      <w:r w:rsidRPr="00233360">
        <w:rPr>
          <w:rFonts w:ascii="Arial Narrow" w:hAnsi="Arial Narrow"/>
          <w:color w:val="000000" w:themeColor="text1"/>
        </w:rPr>
        <w:t>jednodušiť využívanie elektronických služieb</w:t>
      </w:r>
      <w:r w:rsidR="008D44FD">
        <w:rPr>
          <w:rFonts w:ascii="Arial Narrow" w:hAnsi="Arial Narrow"/>
          <w:color w:val="000000" w:themeColor="text1"/>
        </w:rPr>
        <w:t xml:space="preserve"> (</w:t>
      </w:r>
      <w:proofErr w:type="spellStart"/>
      <w:r w:rsidR="008D44FD" w:rsidRPr="00233360">
        <w:rPr>
          <w:rFonts w:ascii="Arial Narrow" w:hAnsi="Arial Narrow"/>
          <w:color w:val="000000" w:themeColor="text1"/>
        </w:rPr>
        <w:t>eID</w:t>
      </w:r>
      <w:proofErr w:type="spellEnd"/>
      <w:r w:rsidR="008D44FD">
        <w:rPr>
          <w:rFonts w:ascii="Arial Narrow" w:hAnsi="Arial Narrow"/>
          <w:color w:val="000000" w:themeColor="text1"/>
        </w:rPr>
        <w:t>, elektronické schránky a pod.)</w:t>
      </w:r>
      <w:r w:rsidRPr="00233360">
        <w:rPr>
          <w:rFonts w:ascii="Arial Narrow" w:hAnsi="Arial Narrow"/>
          <w:color w:val="000000" w:themeColor="text1"/>
        </w:rPr>
        <w:t>.</w:t>
      </w:r>
      <w:r w:rsidRPr="004C54B9">
        <w:rPr>
          <w:rFonts w:ascii="Arial Narrow" w:hAnsi="Arial Narrow"/>
          <w:color w:val="000000" w:themeColor="text1"/>
        </w:rPr>
        <w:t xml:space="preserve"> </w:t>
      </w:r>
    </w:p>
    <w:p w14:paraId="54B6729D" w14:textId="77777777" w:rsidR="00C24690" w:rsidRPr="004C54B9" w:rsidRDefault="00C24690" w:rsidP="00C24690">
      <w:pPr>
        <w:spacing w:after="0" w:line="240" w:lineRule="auto"/>
        <w:jc w:val="both"/>
        <w:rPr>
          <w:rFonts w:ascii="Arial Narrow" w:hAnsi="Arial Narrow"/>
          <w:b/>
          <w:color w:val="000000" w:themeColor="text1"/>
        </w:rPr>
      </w:pPr>
    </w:p>
    <w:p w14:paraId="7657D729" w14:textId="77777777" w:rsidR="00E2644F" w:rsidRDefault="00C24690" w:rsidP="00C24690">
      <w:pPr>
        <w:spacing w:after="0" w:line="240" w:lineRule="auto"/>
        <w:jc w:val="both"/>
        <w:rPr>
          <w:rFonts w:ascii="Arial Narrow" w:hAnsi="Arial Narrow"/>
          <w:color w:val="000000" w:themeColor="text1"/>
        </w:rPr>
      </w:pPr>
      <w:r w:rsidRPr="004C54B9">
        <w:rPr>
          <w:rFonts w:ascii="Arial Narrow" w:hAnsi="Arial Narrow"/>
          <w:b/>
          <w:color w:val="000000" w:themeColor="text1"/>
        </w:rPr>
        <w:t xml:space="preserve">Projekty informatizácie verejnej správy prispejú v ďalšej fáze k odbúraniu byrokracie. </w:t>
      </w:r>
      <w:r w:rsidRPr="004C54B9">
        <w:rPr>
          <w:rFonts w:ascii="Arial Narrow" w:hAnsi="Arial Narrow"/>
          <w:color w:val="000000" w:themeColor="text1"/>
        </w:rPr>
        <w:t xml:space="preserve">Implementujú </w:t>
      </w:r>
      <w:r w:rsidRPr="00233360">
        <w:rPr>
          <w:rFonts w:ascii="Arial Narrow" w:hAnsi="Arial Narrow"/>
          <w:color w:val="000000" w:themeColor="text1"/>
        </w:rPr>
        <w:t xml:space="preserve">sa </w:t>
      </w:r>
      <w:r w:rsidRPr="0062680A">
        <w:rPr>
          <w:rFonts w:ascii="Arial Narrow" w:hAnsi="Arial Narrow"/>
          <w:color w:val="000000" w:themeColor="text1"/>
        </w:rPr>
        <w:t>opatrenia tzv. druhej vlny znižovania administratívnej záťaže</w:t>
      </w:r>
      <w:r w:rsidRPr="00233360">
        <w:rPr>
          <w:rFonts w:ascii="Arial Narrow" w:hAnsi="Arial Narrow"/>
          <w:color w:val="000000" w:themeColor="text1"/>
        </w:rPr>
        <w:t xml:space="preserve">, </w:t>
      </w:r>
      <w:r w:rsidRPr="004C54B9">
        <w:rPr>
          <w:rFonts w:ascii="Arial Narrow" w:hAnsi="Arial Narrow"/>
          <w:color w:val="000000" w:themeColor="text1"/>
        </w:rPr>
        <w:t xml:space="preserve">ktoré by mali s účinnosťou od septembra 2019 obsahovať zrušenie predkladania ďalších dokladov (napríklad potvrdenie o návšteve školy, potvrdenie o daňových nedoplatkoch, nedoplatkoch na sociálnom a zdravotnom poistení). </w:t>
      </w:r>
    </w:p>
    <w:p w14:paraId="22E62FD7" w14:textId="77777777" w:rsidR="00E2644F" w:rsidRDefault="00E2644F" w:rsidP="00C24690">
      <w:pPr>
        <w:spacing w:after="0" w:line="240" w:lineRule="auto"/>
        <w:jc w:val="both"/>
        <w:rPr>
          <w:rFonts w:ascii="Arial Narrow" w:hAnsi="Arial Narrow"/>
          <w:color w:val="000000" w:themeColor="text1"/>
        </w:rPr>
      </w:pPr>
    </w:p>
    <w:p w14:paraId="73C60CF7" w14:textId="2597EDA8" w:rsidR="00E2644F" w:rsidRDefault="008D44FD" w:rsidP="00C24690">
      <w:pPr>
        <w:spacing w:after="0" w:line="240" w:lineRule="auto"/>
        <w:jc w:val="both"/>
        <w:rPr>
          <w:rFonts w:ascii="Arial Narrow" w:hAnsi="Arial Narrow"/>
          <w:color w:val="000000" w:themeColor="text1"/>
        </w:rPr>
      </w:pPr>
      <w:r w:rsidRPr="0062680A">
        <w:rPr>
          <w:rFonts w:ascii="Arial Narrow" w:hAnsi="Arial Narrow"/>
          <w:b/>
          <w:color w:val="000000" w:themeColor="text1"/>
        </w:rPr>
        <w:t>Pripraví sa</w:t>
      </w:r>
      <w:r w:rsidRPr="00233360">
        <w:rPr>
          <w:rFonts w:ascii="Arial Narrow" w:hAnsi="Arial Narrow"/>
          <w:b/>
          <w:color w:val="000000" w:themeColor="text1"/>
        </w:rPr>
        <w:t xml:space="preserve"> vízia</w:t>
      </w:r>
      <w:r w:rsidRPr="0062680A">
        <w:rPr>
          <w:rFonts w:ascii="Arial Narrow" w:hAnsi="Arial Narrow"/>
          <w:b/>
          <w:color w:val="000000" w:themeColor="text1"/>
        </w:rPr>
        <w:t xml:space="preserve"> digitálnej transformácie v oblastiach hospodárstva, verejnej správy, občanov, územia a vedy a výskumu. </w:t>
      </w:r>
      <w:r w:rsidR="00C24690" w:rsidRPr="004C54B9">
        <w:rPr>
          <w:rFonts w:ascii="Arial Narrow" w:hAnsi="Arial Narrow"/>
          <w:color w:val="000000" w:themeColor="text1"/>
        </w:rPr>
        <w:t xml:space="preserve">Koncom roka 2018 začala príprava </w:t>
      </w:r>
      <w:r w:rsidR="00C24690" w:rsidRPr="0062680A">
        <w:rPr>
          <w:rFonts w:ascii="Arial Narrow" w:hAnsi="Arial Narrow"/>
          <w:i/>
          <w:color w:val="000000" w:themeColor="text1"/>
        </w:rPr>
        <w:t>Stratégie digitálnej transformácie Slovensk</w:t>
      </w:r>
      <w:r w:rsidR="00C24690" w:rsidRPr="0062680A">
        <w:rPr>
          <w:rFonts w:ascii="Arial Narrow" w:hAnsi="Arial Narrow"/>
          <w:color w:val="000000" w:themeColor="text1"/>
        </w:rPr>
        <w:t>a</w:t>
      </w:r>
      <w:r w:rsidR="00C24690" w:rsidRPr="00233360">
        <w:rPr>
          <w:rFonts w:ascii="Arial Narrow" w:hAnsi="Arial Narrow"/>
          <w:color w:val="000000" w:themeColor="text1"/>
        </w:rPr>
        <w:t xml:space="preserve"> a </w:t>
      </w:r>
      <w:r w:rsidR="00C24690" w:rsidRPr="0062680A">
        <w:rPr>
          <w:rFonts w:ascii="Arial Narrow" w:hAnsi="Arial Narrow"/>
          <w:i/>
          <w:color w:val="000000" w:themeColor="text1"/>
        </w:rPr>
        <w:t>Akčný plán digitálnej transformácie Slovenska na roky 2019 – 2022</w:t>
      </w:r>
      <w:r w:rsidR="00C24690" w:rsidRPr="00233360">
        <w:rPr>
          <w:rFonts w:ascii="Arial Narrow" w:hAnsi="Arial Narrow"/>
          <w:color w:val="000000" w:themeColor="text1"/>
        </w:rPr>
        <w:t xml:space="preserve">. </w:t>
      </w:r>
      <w:r w:rsidR="00E2644F">
        <w:rPr>
          <w:rFonts w:ascii="Arial Narrow" w:hAnsi="Arial Narrow"/>
          <w:color w:val="000000" w:themeColor="text1"/>
        </w:rPr>
        <w:t>Akčný plán obsahuje opatrenia na rozvoj digitálnych zručností vo vzdelávaní</w:t>
      </w:r>
      <w:r>
        <w:rPr>
          <w:rFonts w:ascii="Arial Narrow" w:hAnsi="Arial Narrow"/>
          <w:color w:val="000000" w:themeColor="text1"/>
        </w:rPr>
        <w:t xml:space="preserve"> a na trhu práce, </w:t>
      </w:r>
      <w:r w:rsidR="000366B3">
        <w:rPr>
          <w:rFonts w:ascii="Arial Narrow" w:hAnsi="Arial Narrow"/>
          <w:color w:val="000000" w:themeColor="text1"/>
        </w:rPr>
        <w:t>čo</w:t>
      </w:r>
      <w:r w:rsidR="00E2644F">
        <w:rPr>
          <w:rFonts w:ascii="Arial Narrow" w:hAnsi="Arial Narrow"/>
          <w:color w:val="000000" w:themeColor="text1"/>
        </w:rPr>
        <w:t xml:space="preserve"> podporí rozvoj digitálneho hospodárstva. </w:t>
      </w:r>
    </w:p>
    <w:p w14:paraId="0FEC52F9" w14:textId="77777777" w:rsidR="00C24690" w:rsidRPr="004C54B9" w:rsidRDefault="00C24690" w:rsidP="00C24690">
      <w:pPr>
        <w:spacing w:after="0" w:line="240" w:lineRule="auto"/>
        <w:jc w:val="both"/>
        <w:rPr>
          <w:rFonts w:ascii="Arial Narrow" w:hAnsi="Arial Narrow"/>
          <w:b/>
          <w:color w:val="000000" w:themeColor="text1"/>
        </w:rPr>
      </w:pPr>
    </w:p>
    <w:p w14:paraId="7837DC04" w14:textId="77777777" w:rsidR="00C24690" w:rsidRPr="004C54B9" w:rsidRDefault="00C24690" w:rsidP="00C24690">
      <w:pPr>
        <w:spacing w:after="0" w:line="240" w:lineRule="auto"/>
        <w:jc w:val="both"/>
        <w:rPr>
          <w:rFonts w:ascii="Arial Narrow" w:hAnsi="Arial Narrow"/>
          <w:b/>
          <w:i/>
          <w:color w:val="000000" w:themeColor="text1"/>
        </w:rPr>
      </w:pPr>
      <w:r w:rsidRPr="004C54B9">
        <w:rPr>
          <w:rFonts w:ascii="Arial Narrow" w:hAnsi="Arial Narrow"/>
          <w:b/>
          <w:i/>
          <w:color w:val="000000" w:themeColor="text1"/>
        </w:rPr>
        <w:t>Dopravné projekty</w:t>
      </w:r>
    </w:p>
    <w:p w14:paraId="12008330" w14:textId="1D8B6096" w:rsidR="00A161F2" w:rsidRDefault="006D080B" w:rsidP="00C24690">
      <w:pPr>
        <w:spacing w:after="0" w:line="240" w:lineRule="auto"/>
        <w:jc w:val="both"/>
        <w:rPr>
          <w:rFonts w:ascii="Arial Narrow" w:hAnsi="Arial Narrow"/>
          <w:color w:val="000000" w:themeColor="text1"/>
        </w:rPr>
      </w:pPr>
      <w:r>
        <w:rPr>
          <w:rFonts w:ascii="Arial Narrow" w:hAnsi="Arial Narrow"/>
          <w:b/>
          <w:color w:val="000000" w:themeColor="text1"/>
        </w:rPr>
        <w:t xml:space="preserve">Posilnia sa </w:t>
      </w:r>
      <w:r w:rsidR="00C24690" w:rsidRPr="004C54B9">
        <w:rPr>
          <w:rFonts w:ascii="Arial Narrow" w:hAnsi="Arial Narrow"/>
          <w:b/>
          <w:color w:val="000000" w:themeColor="text1"/>
        </w:rPr>
        <w:t xml:space="preserve">princípy </w:t>
      </w:r>
      <w:r w:rsidRPr="0062680A">
        <w:rPr>
          <w:rFonts w:ascii="Arial Narrow" w:hAnsi="Arial Narrow"/>
          <w:b/>
          <w:i/>
          <w:color w:val="000000" w:themeColor="text1"/>
        </w:rPr>
        <w:t>H</w:t>
      </w:r>
      <w:r w:rsidR="00C24690" w:rsidRPr="0062680A">
        <w:rPr>
          <w:rFonts w:ascii="Arial Narrow" w:hAnsi="Arial Narrow"/>
          <w:b/>
          <w:i/>
          <w:color w:val="000000" w:themeColor="text1"/>
        </w:rPr>
        <w:t>odnoty za peniaze</w:t>
      </w:r>
      <w:r w:rsidR="00C24690" w:rsidRPr="004C54B9">
        <w:rPr>
          <w:rFonts w:ascii="Arial Narrow" w:hAnsi="Arial Narrow"/>
          <w:b/>
          <w:color w:val="000000" w:themeColor="text1"/>
        </w:rPr>
        <w:t xml:space="preserve"> v doprave pomocou </w:t>
      </w:r>
      <w:proofErr w:type="spellStart"/>
      <w:r w:rsidR="00C24690" w:rsidRPr="004C54B9">
        <w:rPr>
          <w:rFonts w:ascii="Arial Narrow" w:hAnsi="Arial Narrow"/>
          <w:b/>
          <w:color w:val="000000" w:themeColor="text1"/>
        </w:rPr>
        <w:t>prioritizácie</w:t>
      </w:r>
      <w:proofErr w:type="spellEnd"/>
      <w:r w:rsidR="00C24690" w:rsidRPr="004C54B9">
        <w:rPr>
          <w:rFonts w:ascii="Arial Narrow" w:hAnsi="Arial Narrow"/>
          <w:b/>
          <w:color w:val="000000" w:themeColor="text1"/>
        </w:rPr>
        <w:t xml:space="preserve"> produktívnych investícií</w:t>
      </w:r>
      <w:r w:rsidR="00C24690" w:rsidRPr="004C54B9">
        <w:rPr>
          <w:rFonts w:ascii="Arial Narrow" w:hAnsi="Arial Narrow"/>
          <w:color w:val="000000" w:themeColor="text1"/>
        </w:rPr>
        <w:t xml:space="preserve">. Ministerstvo financií v spolupráci s ministerstvom dopravy a výstavby navrhnú analyticky podložený zoznam priorít a plán prípravy a výstavby ciest a diaľnic na Slovensku do roku 2030. Základom pre plánovanie výstavby bude výpočet spoločenskej návratnosti projektu. Výber priorít zohľadní dopravné hľadisko, spoločenský prínos projektov, kapacity štátu pripraviť projekty, rozpočtové obmedzenia, kapacitu stavebného sektora a ekonomický cyklus a potenciál pre rozvoj regiónov. </w:t>
      </w:r>
    </w:p>
    <w:p w14:paraId="69EB3AD1" w14:textId="77777777" w:rsidR="007F3916" w:rsidRDefault="007F3916">
      <w:pPr>
        <w:spacing w:after="0" w:line="240" w:lineRule="auto"/>
        <w:rPr>
          <w:rFonts w:ascii="Arial Narrow" w:hAnsi="Arial Narrow"/>
          <w:b/>
          <w:i/>
        </w:rPr>
      </w:pPr>
    </w:p>
    <w:p w14:paraId="76942F21" w14:textId="77777777" w:rsidR="00B34A7D" w:rsidRDefault="00ED64EF" w:rsidP="00ED64EF">
      <w:pPr>
        <w:spacing w:after="0" w:line="240" w:lineRule="auto"/>
        <w:jc w:val="both"/>
        <w:rPr>
          <w:rFonts w:ascii="Arial Narrow" w:hAnsi="Arial Narrow"/>
        </w:rPr>
      </w:pPr>
      <w:r w:rsidRPr="00ED64EF">
        <w:rPr>
          <w:rFonts w:ascii="Arial Narrow" w:hAnsi="Arial Narrow"/>
          <w:b/>
        </w:rPr>
        <w:t xml:space="preserve">Lepšia </w:t>
      </w:r>
      <w:proofErr w:type="spellStart"/>
      <w:r w:rsidRPr="00ED64EF">
        <w:rPr>
          <w:rFonts w:ascii="Arial Narrow" w:hAnsi="Arial Narrow"/>
          <w:b/>
        </w:rPr>
        <w:t>prioritizácia</w:t>
      </w:r>
      <w:proofErr w:type="spellEnd"/>
      <w:r w:rsidRPr="00ED64EF">
        <w:rPr>
          <w:rFonts w:ascii="Arial Narrow" w:hAnsi="Arial Narrow"/>
          <w:b/>
        </w:rPr>
        <w:t xml:space="preserve"> projektov umožní zintenzívniť výstavbu v cestnej doprave pri udržaní výšky zdrojov.</w:t>
      </w:r>
      <w:r w:rsidRPr="00ED64EF">
        <w:rPr>
          <w:rFonts w:ascii="Arial Narrow" w:hAnsi="Arial Narrow"/>
        </w:rPr>
        <w:t xml:space="preserve"> D</w:t>
      </w:r>
      <w:r w:rsidR="007F3916" w:rsidRPr="00ED64EF">
        <w:rPr>
          <w:rFonts w:ascii="Arial Narrow" w:hAnsi="Arial Narrow"/>
        </w:rPr>
        <w:t xml:space="preserve">o roku 2030 je podľa odhadov MF SR možné spustiť výstavbu 427 km diaľnic, rýchlostných ciest a ciest I. triedy, čo je o 140 km viac ako za predchádzajúce desaťročné obdobie. Zároveň by zostal dodatočný priestor na ďalšie projekty, ktoré predstavujú priority pre rozvoj dopravnej siete na Slovensku. </w:t>
      </w:r>
    </w:p>
    <w:p w14:paraId="2B68E7CB" w14:textId="77777777" w:rsidR="00B34A7D" w:rsidRDefault="00B34A7D" w:rsidP="00ED64EF">
      <w:pPr>
        <w:spacing w:after="0" w:line="240" w:lineRule="auto"/>
        <w:jc w:val="both"/>
        <w:rPr>
          <w:rFonts w:ascii="Arial Narrow" w:hAnsi="Arial Narrow"/>
        </w:rPr>
      </w:pPr>
    </w:p>
    <w:p w14:paraId="7291329B" w14:textId="64F183A6" w:rsidR="00B34A7D" w:rsidRPr="009C1596" w:rsidRDefault="00B34A7D" w:rsidP="00B34A7D">
      <w:pPr>
        <w:spacing w:after="0" w:line="240" w:lineRule="auto"/>
        <w:jc w:val="both"/>
        <w:rPr>
          <w:rFonts w:ascii="Arial Narrow" w:hAnsi="Arial Narrow"/>
        </w:rPr>
      </w:pPr>
      <w:r w:rsidRPr="00442057">
        <w:rPr>
          <w:rFonts w:ascii="Arial Narrow" w:hAnsi="Arial Narrow"/>
          <w:b/>
        </w:rPr>
        <w:t>Podpor</w:t>
      </w:r>
      <w:r w:rsidR="00442057" w:rsidRPr="00442057">
        <w:rPr>
          <w:rFonts w:ascii="Arial Narrow" w:hAnsi="Arial Narrow"/>
          <w:b/>
        </w:rPr>
        <w:t>í sa</w:t>
      </w:r>
      <w:r w:rsidRPr="00442057">
        <w:rPr>
          <w:rFonts w:ascii="Arial Narrow" w:hAnsi="Arial Narrow"/>
          <w:b/>
        </w:rPr>
        <w:t xml:space="preserve"> presun</w:t>
      </w:r>
      <w:r w:rsidR="00442057" w:rsidRPr="00442057">
        <w:rPr>
          <w:rFonts w:ascii="Arial Narrow" w:hAnsi="Arial Narrow"/>
          <w:b/>
        </w:rPr>
        <w:t xml:space="preserve"> </w:t>
      </w:r>
      <w:r w:rsidRPr="00442057">
        <w:rPr>
          <w:rFonts w:ascii="Arial Narrow" w:hAnsi="Arial Narrow"/>
          <w:b/>
        </w:rPr>
        <w:t>z cestnej dopravy na železničnú dopravu</w:t>
      </w:r>
      <w:r w:rsidR="00442057" w:rsidRPr="00442057">
        <w:rPr>
          <w:rFonts w:ascii="Arial Narrow" w:hAnsi="Arial Narrow"/>
          <w:b/>
        </w:rPr>
        <w:t>.</w:t>
      </w:r>
      <w:r>
        <w:rPr>
          <w:rFonts w:ascii="Arial Narrow" w:hAnsi="Arial Narrow"/>
        </w:rPr>
        <w:t xml:space="preserve"> </w:t>
      </w:r>
      <w:r w:rsidR="00442057">
        <w:rPr>
          <w:rFonts w:ascii="Arial Narrow" w:hAnsi="Arial Narrow"/>
        </w:rPr>
        <w:t xml:space="preserve">Bude sa pokračovať </w:t>
      </w:r>
      <w:r>
        <w:rPr>
          <w:rFonts w:ascii="Arial Narrow" w:hAnsi="Arial Narrow"/>
        </w:rPr>
        <w:t>o</w:t>
      </w:r>
      <w:r w:rsidRPr="009C1596">
        <w:rPr>
          <w:rFonts w:ascii="Arial Narrow" w:hAnsi="Arial Narrow"/>
        </w:rPr>
        <w:t>bnoven</w:t>
      </w:r>
      <w:r>
        <w:rPr>
          <w:rFonts w:ascii="Arial Narrow" w:hAnsi="Arial Narrow"/>
        </w:rPr>
        <w:t>ím</w:t>
      </w:r>
      <w:r w:rsidRPr="009C1596">
        <w:rPr>
          <w:rFonts w:ascii="Arial Narrow" w:hAnsi="Arial Narrow"/>
        </w:rPr>
        <w:t xml:space="preserve"> osobnej železničnej dopravy na vybraných úsekoch</w:t>
      </w:r>
      <w:r>
        <w:rPr>
          <w:rFonts w:ascii="Arial Narrow" w:hAnsi="Arial Narrow"/>
        </w:rPr>
        <w:t xml:space="preserve"> ako sú </w:t>
      </w:r>
      <w:r w:rsidRPr="009C1596">
        <w:rPr>
          <w:rFonts w:ascii="Arial Narrow" w:hAnsi="Arial Narrow"/>
        </w:rPr>
        <w:t xml:space="preserve">Zvolen – Šahy, Bánovce nad Ondavou – Veľké Kapušany, Poprad – Plaveč – </w:t>
      </w:r>
      <w:proofErr w:type="spellStart"/>
      <w:r w:rsidRPr="009C1596">
        <w:rPr>
          <w:rFonts w:ascii="Arial Narrow" w:hAnsi="Arial Narrow"/>
        </w:rPr>
        <w:t>Muszyna</w:t>
      </w:r>
      <w:proofErr w:type="spellEnd"/>
      <w:r w:rsidRPr="009C1596">
        <w:rPr>
          <w:rFonts w:ascii="Arial Narrow" w:hAnsi="Arial Narrow"/>
        </w:rPr>
        <w:t xml:space="preserve"> a plánuje sa zavedenie nového spojenia Košice – </w:t>
      </w:r>
      <w:proofErr w:type="spellStart"/>
      <w:r w:rsidRPr="009C1596">
        <w:rPr>
          <w:rFonts w:ascii="Arial Narrow" w:hAnsi="Arial Narrow"/>
        </w:rPr>
        <w:t>Mukačevo</w:t>
      </w:r>
      <w:proofErr w:type="spellEnd"/>
      <w:r w:rsidRPr="009C1596">
        <w:rPr>
          <w:rFonts w:ascii="Arial Narrow" w:hAnsi="Arial Narrow"/>
        </w:rPr>
        <w:t xml:space="preserve">. </w:t>
      </w:r>
      <w:r>
        <w:rPr>
          <w:rFonts w:ascii="Arial Narrow" w:hAnsi="Arial Narrow"/>
        </w:rPr>
        <w:t xml:space="preserve">Okrem toho sa </w:t>
      </w:r>
      <w:r w:rsidR="000366B3">
        <w:rPr>
          <w:rFonts w:ascii="Arial Narrow" w:hAnsi="Arial Narrow"/>
        </w:rPr>
        <w:t>zaháji príprava</w:t>
      </w:r>
      <w:r w:rsidRPr="009C1596">
        <w:rPr>
          <w:rFonts w:ascii="Arial Narrow" w:hAnsi="Arial Narrow"/>
        </w:rPr>
        <w:t xml:space="preserve"> spracovania </w:t>
      </w:r>
      <w:r w:rsidRPr="00442057">
        <w:rPr>
          <w:rFonts w:ascii="Arial Narrow" w:hAnsi="Arial Narrow"/>
          <w:i/>
        </w:rPr>
        <w:t>Koncepcie rozvoja kombinovanej dopravy</w:t>
      </w:r>
      <w:r w:rsidRPr="009C1596">
        <w:rPr>
          <w:rFonts w:ascii="Arial Narrow" w:hAnsi="Arial Narrow"/>
        </w:rPr>
        <w:t xml:space="preserve"> s cieľom umožniť poskytovanie dotácií na podporu zavádzania a rozvoja liniek kombinovanej dopravy </w:t>
      </w:r>
      <w:r>
        <w:rPr>
          <w:rFonts w:ascii="Arial Narrow" w:hAnsi="Arial Narrow"/>
        </w:rPr>
        <w:t xml:space="preserve"> za účelom </w:t>
      </w:r>
      <w:r w:rsidRPr="009C1596">
        <w:rPr>
          <w:rFonts w:ascii="Arial Narrow" w:hAnsi="Arial Narrow"/>
        </w:rPr>
        <w:t>zvyšovania prepravy nákladov po železnici.</w:t>
      </w:r>
    </w:p>
    <w:p w14:paraId="7D64E214" w14:textId="5B6195F6" w:rsidR="00A161F2" w:rsidRPr="00ED64EF" w:rsidRDefault="00B34A7D" w:rsidP="00ED64EF">
      <w:pPr>
        <w:spacing w:after="0" w:line="240" w:lineRule="auto"/>
        <w:jc w:val="both"/>
        <w:rPr>
          <w:rFonts w:ascii="Arial Narrow" w:hAnsi="Arial Narrow"/>
        </w:rPr>
      </w:pPr>
      <w:r w:rsidRPr="00ED64EF">
        <w:rPr>
          <w:rFonts w:ascii="Arial Narrow" w:hAnsi="Arial Narrow"/>
        </w:rPr>
        <w:br w:type="page"/>
      </w:r>
    </w:p>
    <w:p w14:paraId="2242205D" w14:textId="77777777" w:rsidR="007D2366" w:rsidRPr="00484218" w:rsidRDefault="007D2366" w:rsidP="004C54B9">
      <w:pPr>
        <w:pStyle w:val="Nadpis2"/>
        <w:numPr>
          <w:ilvl w:val="1"/>
          <w:numId w:val="1"/>
        </w:numPr>
        <w:spacing w:after="240" w:line="240" w:lineRule="auto"/>
        <w:jc w:val="both"/>
        <w:rPr>
          <w:rFonts w:ascii="Arial Narrow" w:hAnsi="Arial Narrow"/>
          <w:color w:val="2C9ADC"/>
          <w:sz w:val="32"/>
          <w:szCs w:val="22"/>
        </w:rPr>
      </w:pPr>
      <w:bookmarkStart w:id="81" w:name="_Toc480749817"/>
      <w:bookmarkStart w:id="82" w:name="_Toc4766847"/>
      <w:r w:rsidRPr="00484218">
        <w:rPr>
          <w:rFonts w:ascii="Arial Narrow" w:hAnsi="Arial Narrow"/>
          <w:color w:val="2C9ADC"/>
          <w:sz w:val="32"/>
          <w:szCs w:val="22"/>
        </w:rPr>
        <w:lastRenderedPageBreak/>
        <w:t>Environmentálna udržateľnosť a</w:t>
      </w:r>
      <w:r w:rsidR="00BA5914" w:rsidRPr="00484218">
        <w:rPr>
          <w:rFonts w:ascii="Arial Narrow" w:hAnsi="Arial Narrow"/>
          <w:color w:val="2C9ADC"/>
          <w:sz w:val="32"/>
          <w:szCs w:val="22"/>
        </w:rPr>
        <w:t> </w:t>
      </w:r>
      <w:r w:rsidRPr="00484218">
        <w:rPr>
          <w:rFonts w:ascii="Arial Narrow" w:hAnsi="Arial Narrow"/>
          <w:color w:val="2C9ADC"/>
          <w:sz w:val="32"/>
          <w:szCs w:val="22"/>
        </w:rPr>
        <w:t>energetika</w:t>
      </w:r>
      <w:bookmarkEnd w:id="81"/>
      <w:bookmarkEnd w:id="82"/>
    </w:p>
    <w:p w14:paraId="4FF97265" w14:textId="11AD2C35" w:rsidR="00541050" w:rsidRPr="00541050" w:rsidRDefault="00541050" w:rsidP="00541050">
      <w:pPr>
        <w:spacing w:after="0" w:line="240" w:lineRule="auto"/>
        <w:jc w:val="both"/>
        <w:rPr>
          <w:rFonts w:ascii="Arial Narrow" w:hAnsi="Arial Narrow"/>
          <w:i/>
          <w:iCs/>
          <w:lang w:eastAsia="cs-CZ"/>
        </w:rPr>
      </w:pPr>
      <w:bookmarkStart w:id="83" w:name="_Toc480749818"/>
      <w:r>
        <w:rPr>
          <w:rFonts w:ascii="Arial Narrow" w:hAnsi="Arial Narrow"/>
          <w:i/>
          <w:iCs/>
          <w:lang w:eastAsia="cs-CZ"/>
        </w:rPr>
        <w:t xml:space="preserve">Najväčšími výzvami ochrany životného prostredia na Slovensku sú kvalita ovzdušia a odpady. Pre ich komplexné riešenie boli v roku 2019 schválené stratégie a ďalej budú rozpracované do jednotlivých opatrení a zákonov. V oblasti odpadového hospodárstva sa prijatím zákona o zálohovaní jednorazových nápojových obalov zlepší ich recyklácia a prijmú sa ďalšie opatrenia k minimalizácii vzniku odpadu. </w:t>
      </w:r>
      <w:r>
        <w:rPr>
          <w:rFonts w:ascii="Arial Narrow" w:hAnsi="Arial Narrow"/>
          <w:i/>
          <w:iCs/>
          <w:color w:val="000000"/>
        </w:rPr>
        <w:t xml:space="preserve">Bude sa posilňovať úloha zeleného verejného obstarávania a obehového hospodárstva vo všetkých sektoroch, s dôrazom na štátnu a verejnú správu. </w:t>
      </w:r>
      <w:r>
        <w:rPr>
          <w:rFonts w:ascii="Arial Narrow" w:hAnsi="Arial Narrow"/>
          <w:i/>
          <w:iCs/>
          <w:lang w:eastAsia="cs-CZ"/>
        </w:rPr>
        <w:t xml:space="preserve">K zvýšeniu kvality ovzdušia a dosahovaniu medzinárodných záväzkov SR v oblasti znižovania emisií prispeje podpora prechodu na </w:t>
      </w:r>
      <w:proofErr w:type="spellStart"/>
      <w:r>
        <w:rPr>
          <w:rFonts w:ascii="Arial Narrow" w:hAnsi="Arial Narrow"/>
          <w:i/>
          <w:iCs/>
          <w:lang w:eastAsia="cs-CZ"/>
        </w:rPr>
        <w:t>nízkouhlíkové</w:t>
      </w:r>
      <w:proofErr w:type="spellEnd"/>
      <w:r>
        <w:rPr>
          <w:rFonts w:ascii="Arial Narrow" w:hAnsi="Arial Narrow"/>
          <w:i/>
          <w:iCs/>
          <w:lang w:eastAsia="cs-CZ"/>
        </w:rPr>
        <w:t xml:space="preserve"> obehové hospodárstvo a rozvoj </w:t>
      </w:r>
      <w:proofErr w:type="spellStart"/>
      <w:r>
        <w:rPr>
          <w:rFonts w:ascii="Arial Narrow" w:hAnsi="Arial Narrow"/>
          <w:i/>
          <w:iCs/>
          <w:lang w:eastAsia="cs-CZ"/>
        </w:rPr>
        <w:t>elektromobility</w:t>
      </w:r>
      <w:proofErr w:type="spellEnd"/>
      <w:r>
        <w:rPr>
          <w:rFonts w:ascii="Arial Narrow" w:hAnsi="Arial Narrow"/>
          <w:i/>
          <w:iCs/>
          <w:lang w:eastAsia="cs-CZ"/>
        </w:rPr>
        <w:t>, či  trhu s alternatívnymi  palivami. N</w:t>
      </w:r>
      <w:r>
        <w:rPr>
          <w:rFonts w:ascii="Arial Narrow" w:hAnsi="Arial Narrow"/>
          <w:i/>
          <w:iCs/>
          <w:color w:val="000000"/>
        </w:rPr>
        <w:t>ovela zákona o ochrane prírody a krajiny zefektívni systém manažmentu a ochrany chránených území. Zároveň sa zintenzívni riešenie otázky vlastníckych vzťahov v chránených územiach.</w:t>
      </w:r>
    </w:p>
    <w:p w14:paraId="026111E9" w14:textId="77777777" w:rsidR="00D652E3" w:rsidRPr="00D652E3" w:rsidRDefault="00D652E3" w:rsidP="00541050">
      <w:pPr>
        <w:spacing w:after="0" w:line="240" w:lineRule="auto"/>
        <w:jc w:val="both"/>
        <w:rPr>
          <w:rFonts w:ascii="Arial Narrow" w:hAnsi="Arial Narrow"/>
          <w:i/>
          <w:lang w:eastAsia="cs-CZ"/>
        </w:rPr>
      </w:pPr>
    </w:p>
    <w:tbl>
      <w:tblPr>
        <w:tblW w:w="5131" w:type="pct"/>
        <w:tblLayout w:type="fixed"/>
        <w:tblCellMar>
          <w:left w:w="70" w:type="dxa"/>
          <w:right w:w="70" w:type="dxa"/>
        </w:tblCellMar>
        <w:tblLook w:val="04A0" w:firstRow="1" w:lastRow="0" w:firstColumn="1" w:lastColumn="0" w:noHBand="0" w:noVBand="1"/>
      </w:tblPr>
      <w:tblGrid>
        <w:gridCol w:w="4107"/>
        <w:gridCol w:w="455"/>
        <w:gridCol w:w="515"/>
        <w:gridCol w:w="515"/>
        <w:gridCol w:w="515"/>
        <w:gridCol w:w="515"/>
        <w:gridCol w:w="515"/>
        <w:gridCol w:w="515"/>
        <w:gridCol w:w="566"/>
        <w:gridCol w:w="508"/>
        <w:gridCol w:w="62"/>
      </w:tblGrid>
      <w:tr w:rsidR="00D652E3" w:rsidRPr="00484218" w14:paraId="40A417D2" w14:textId="77777777" w:rsidTr="00484218">
        <w:trPr>
          <w:trHeight w:val="54"/>
        </w:trPr>
        <w:tc>
          <w:tcPr>
            <w:tcW w:w="5000" w:type="pct"/>
            <w:gridSpan w:val="11"/>
            <w:tcBorders>
              <w:top w:val="nil"/>
              <w:left w:val="nil"/>
              <w:bottom w:val="single" w:sz="4" w:space="0" w:color="auto"/>
              <w:right w:val="nil"/>
            </w:tcBorders>
            <w:vAlign w:val="center"/>
          </w:tcPr>
          <w:p w14:paraId="60F8B77D" w14:textId="77777777" w:rsidR="00D652E3" w:rsidRPr="00484218" w:rsidRDefault="00D652E3" w:rsidP="00D652E3">
            <w:pPr>
              <w:spacing w:after="0" w:line="240" w:lineRule="auto"/>
              <w:rPr>
                <w:rFonts w:ascii="Arial Narrow" w:hAnsi="Arial Narrow" w:cs="Calibri"/>
                <w:b/>
                <w:bCs/>
                <w:color w:val="000000"/>
                <w:sz w:val="20"/>
                <w:szCs w:val="20"/>
              </w:rPr>
            </w:pPr>
            <w:r w:rsidRPr="00484218">
              <w:rPr>
                <w:rFonts w:ascii="Arial Narrow" w:hAnsi="Arial Narrow"/>
                <w:b/>
                <w:bCs/>
                <w:color w:val="2C9ADC"/>
                <w:sz w:val="20"/>
                <w:szCs w:val="20"/>
              </w:rPr>
              <w:t>Výsledkové indikátory pre environmentálnu udržateľnosť a energetiku</w:t>
            </w:r>
          </w:p>
        </w:tc>
      </w:tr>
      <w:tr w:rsidR="00D652E3" w:rsidRPr="00D652E3" w14:paraId="5B7E9311" w14:textId="77777777" w:rsidTr="002C7555">
        <w:trPr>
          <w:gridAfter w:val="1"/>
          <w:wAfter w:w="35" w:type="pct"/>
          <w:trHeight w:val="54"/>
        </w:trPr>
        <w:tc>
          <w:tcPr>
            <w:tcW w:w="2337" w:type="pct"/>
            <w:tcBorders>
              <w:top w:val="single" w:sz="4" w:space="0" w:color="auto"/>
              <w:left w:val="nil"/>
              <w:bottom w:val="single" w:sz="4" w:space="0" w:color="auto"/>
              <w:right w:val="nil"/>
            </w:tcBorders>
            <w:noWrap/>
            <w:vAlign w:val="center"/>
          </w:tcPr>
          <w:p w14:paraId="7232A2DC" w14:textId="77777777" w:rsidR="00D652E3" w:rsidRPr="00780749" w:rsidRDefault="00D652E3" w:rsidP="00D652E3">
            <w:pPr>
              <w:spacing w:after="0" w:line="240" w:lineRule="auto"/>
              <w:rPr>
                <w:rFonts w:ascii="Arial Narrow" w:hAnsi="Arial Narrow" w:cs="Calibri"/>
                <w:color w:val="000000"/>
                <w:sz w:val="20"/>
                <w:szCs w:val="20"/>
              </w:rPr>
            </w:pPr>
          </w:p>
        </w:tc>
        <w:tc>
          <w:tcPr>
            <w:tcW w:w="259" w:type="pct"/>
            <w:tcBorders>
              <w:top w:val="single" w:sz="4" w:space="0" w:color="auto"/>
              <w:left w:val="nil"/>
              <w:bottom w:val="single" w:sz="4" w:space="0" w:color="auto"/>
              <w:right w:val="nil"/>
            </w:tcBorders>
            <w:noWrap/>
            <w:vAlign w:val="center"/>
          </w:tcPr>
          <w:p w14:paraId="1B9ECE61" w14:textId="77777777" w:rsidR="00D652E3" w:rsidRPr="00780749" w:rsidRDefault="00D652E3" w:rsidP="00D652E3">
            <w:pPr>
              <w:spacing w:after="0" w:line="240" w:lineRule="auto"/>
              <w:rPr>
                <w:rFonts w:ascii="Arial Narrow" w:hAnsi="Arial Narrow" w:cs="Calibri"/>
                <w:color w:val="000000"/>
                <w:sz w:val="20"/>
                <w:szCs w:val="20"/>
              </w:rPr>
            </w:pPr>
            <w:r w:rsidRPr="00780749" w:rsidDel="008F7E29">
              <w:rPr>
                <w:rFonts w:ascii="Arial Narrow" w:hAnsi="Arial Narrow" w:cs="Calibri"/>
                <w:color w:val="000000"/>
                <w:sz w:val="20"/>
                <w:szCs w:val="20"/>
              </w:rPr>
              <w:t> </w:t>
            </w:r>
          </w:p>
        </w:tc>
        <w:tc>
          <w:tcPr>
            <w:tcW w:w="293" w:type="pct"/>
            <w:tcBorders>
              <w:top w:val="single" w:sz="4" w:space="0" w:color="auto"/>
              <w:left w:val="nil"/>
              <w:bottom w:val="single" w:sz="4" w:space="0" w:color="auto"/>
              <w:right w:val="nil"/>
            </w:tcBorders>
            <w:noWrap/>
            <w:vAlign w:val="center"/>
          </w:tcPr>
          <w:p w14:paraId="36602DD7" w14:textId="77777777" w:rsidR="00D652E3" w:rsidRPr="00780749" w:rsidRDefault="00D652E3" w:rsidP="00D652E3">
            <w:pPr>
              <w:spacing w:after="0" w:line="240" w:lineRule="auto"/>
              <w:rPr>
                <w:rFonts w:ascii="Arial Narrow" w:hAnsi="Arial Narrow" w:cs="Calibri"/>
                <w:b/>
                <w:color w:val="000000"/>
                <w:sz w:val="20"/>
                <w:szCs w:val="20"/>
              </w:rPr>
            </w:pPr>
            <w:r w:rsidRPr="00780749">
              <w:rPr>
                <w:rFonts w:ascii="Arial Narrow" w:hAnsi="Arial Narrow" w:cs="Calibri"/>
                <w:b/>
                <w:color w:val="000000"/>
                <w:sz w:val="20"/>
                <w:szCs w:val="20"/>
              </w:rPr>
              <w:t>2011</w:t>
            </w:r>
          </w:p>
        </w:tc>
        <w:tc>
          <w:tcPr>
            <w:tcW w:w="293" w:type="pct"/>
            <w:tcBorders>
              <w:top w:val="single" w:sz="4" w:space="0" w:color="auto"/>
              <w:left w:val="nil"/>
              <w:bottom w:val="single" w:sz="4" w:space="0" w:color="auto"/>
              <w:right w:val="nil"/>
            </w:tcBorders>
            <w:noWrap/>
            <w:vAlign w:val="center"/>
          </w:tcPr>
          <w:p w14:paraId="22CB5957" w14:textId="77777777" w:rsidR="00D652E3" w:rsidRPr="00780749" w:rsidRDefault="00D652E3" w:rsidP="00D652E3">
            <w:pPr>
              <w:spacing w:after="0" w:line="240" w:lineRule="auto"/>
              <w:jc w:val="center"/>
              <w:rPr>
                <w:rFonts w:ascii="Arial Narrow" w:hAnsi="Arial Narrow" w:cs="Calibri"/>
                <w:b/>
                <w:color w:val="000000"/>
                <w:sz w:val="20"/>
                <w:szCs w:val="20"/>
              </w:rPr>
            </w:pPr>
            <w:r w:rsidRPr="00780749">
              <w:rPr>
                <w:rFonts w:ascii="Arial Narrow" w:hAnsi="Arial Narrow" w:cs="Calibri"/>
                <w:b/>
                <w:color w:val="000000"/>
                <w:sz w:val="20"/>
                <w:szCs w:val="20"/>
              </w:rPr>
              <w:t>2012</w:t>
            </w:r>
          </w:p>
        </w:tc>
        <w:tc>
          <w:tcPr>
            <w:tcW w:w="293" w:type="pct"/>
            <w:tcBorders>
              <w:top w:val="single" w:sz="4" w:space="0" w:color="auto"/>
              <w:left w:val="nil"/>
              <w:bottom w:val="single" w:sz="4" w:space="0" w:color="auto"/>
              <w:right w:val="nil"/>
            </w:tcBorders>
            <w:noWrap/>
            <w:vAlign w:val="center"/>
          </w:tcPr>
          <w:p w14:paraId="6E2F15FA" w14:textId="77777777" w:rsidR="00D652E3" w:rsidRPr="00780749" w:rsidRDefault="00D652E3" w:rsidP="00D652E3">
            <w:pPr>
              <w:spacing w:after="0" w:line="240" w:lineRule="auto"/>
              <w:jc w:val="center"/>
              <w:rPr>
                <w:rFonts w:ascii="Arial Narrow" w:hAnsi="Arial Narrow" w:cs="Calibri"/>
                <w:b/>
                <w:color w:val="000000"/>
                <w:sz w:val="20"/>
                <w:szCs w:val="20"/>
              </w:rPr>
            </w:pPr>
            <w:r w:rsidRPr="00780749">
              <w:rPr>
                <w:rFonts w:ascii="Arial Narrow" w:hAnsi="Arial Narrow" w:cs="Calibri"/>
                <w:b/>
                <w:color w:val="000000"/>
                <w:sz w:val="20"/>
                <w:szCs w:val="20"/>
              </w:rPr>
              <w:t>2013</w:t>
            </w:r>
          </w:p>
        </w:tc>
        <w:tc>
          <w:tcPr>
            <w:tcW w:w="293" w:type="pct"/>
            <w:tcBorders>
              <w:top w:val="single" w:sz="4" w:space="0" w:color="auto"/>
              <w:left w:val="nil"/>
              <w:bottom w:val="single" w:sz="4" w:space="0" w:color="auto"/>
              <w:right w:val="nil"/>
            </w:tcBorders>
            <w:noWrap/>
            <w:vAlign w:val="center"/>
          </w:tcPr>
          <w:p w14:paraId="1F6AFA94" w14:textId="77777777" w:rsidR="00D652E3" w:rsidRPr="00780749" w:rsidRDefault="00D652E3" w:rsidP="00D652E3">
            <w:pPr>
              <w:spacing w:after="0" w:line="240" w:lineRule="auto"/>
              <w:jc w:val="center"/>
              <w:rPr>
                <w:rFonts w:ascii="Arial Narrow" w:hAnsi="Arial Narrow" w:cs="Calibri"/>
                <w:b/>
                <w:color w:val="000000"/>
                <w:sz w:val="20"/>
                <w:szCs w:val="20"/>
              </w:rPr>
            </w:pPr>
            <w:r w:rsidRPr="00780749">
              <w:rPr>
                <w:rFonts w:ascii="Arial Narrow" w:hAnsi="Arial Narrow" w:cs="Calibri"/>
                <w:b/>
                <w:color w:val="000000"/>
                <w:sz w:val="20"/>
                <w:szCs w:val="20"/>
              </w:rPr>
              <w:t>2014</w:t>
            </w:r>
          </w:p>
        </w:tc>
        <w:tc>
          <w:tcPr>
            <w:tcW w:w="293" w:type="pct"/>
            <w:tcBorders>
              <w:top w:val="single" w:sz="4" w:space="0" w:color="auto"/>
              <w:left w:val="nil"/>
              <w:bottom w:val="single" w:sz="4" w:space="0" w:color="auto"/>
              <w:right w:val="nil"/>
            </w:tcBorders>
            <w:noWrap/>
            <w:vAlign w:val="center"/>
          </w:tcPr>
          <w:p w14:paraId="661BC2D3" w14:textId="77777777" w:rsidR="00D652E3" w:rsidRPr="00780749" w:rsidRDefault="00D652E3" w:rsidP="00D652E3">
            <w:pPr>
              <w:spacing w:after="0" w:line="240" w:lineRule="auto"/>
              <w:jc w:val="center"/>
              <w:rPr>
                <w:rFonts w:ascii="Arial Narrow" w:hAnsi="Arial Narrow" w:cs="Calibri"/>
                <w:b/>
                <w:color w:val="000000"/>
                <w:sz w:val="20"/>
                <w:szCs w:val="20"/>
              </w:rPr>
            </w:pPr>
            <w:r w:rsidRPr="00780749">
              <w:rPr>
                <w:rFonts w:ascii="Arial Narrow" w:hAnsi="Arial Narrow" w:cs="Calibri"/>
                <w:b/>
                <w:color w:val="000000"/>
                <w:sz w:val="20"/>
                <w:szCs w:val="20"/>
              </w:rPr>
              <w:t>2015</w:t>
            </w:r>
          </w:p>
        </w:tc>
        <w:tc>
          <w:tcPr>
            <w:tcW w:w="293" w:type="pct"/>
            <w:tcBorders>
              <w:top w:val="single" w:sz="4" w:space="0" w:color="auto"/>
              <w:left w:val="nil"/>
              <w:bottom w:val="single" w:sz="4" w:space="0" w:color="auto"/>
              <w:right w:val="nil"/>
            </w:tcBorders>
            <w:noWrap/>
            <w:vAlign w:val="center"/>
          </w:tcPr>
          <w:p w14:paraId="520E084B" w14:textId="77777777" w:rsidR="00D652E3" w:rsidRPr="00780749" w:rsidRDefault="00D652E3" w:rsidP="00D652E3">
            <w:pPr>
              <w:spacing w:after="0" w:line="240" w:lineRule="auto"/>
              <w:jc w:val="center"/>
              <w:rPr>
                <w:rFonts w:ascii="Arial Narrow" w:hAnsi="Arial Narrow" w:cs="Calibri"/>
                <w:b/>
                <w:color w:val="000000"/>
                <w:sz w:val="20"/>
                <w:szCs w:val="20"/>
              </w:rPr>
            </w:pPr>
            <w:r w:rsidRPr="00780749">
              <w:rPr>
                <w:rFonts w:ascii="Arial Narrow" w:hAnsi="Arial Narrow" w:cs="Calibri"/>
                <w:b/>
                <w:color w:val="000000"/>
                <w:sz w:val="20"/>
                <w:szCs w:val="20"/>
              </w:rPr>
              <w:t>2016</w:t>
            </w:r>
          </w:p>
        </w:tc>
        <w:tc>
          <w:tcPr>
            <w:tcW w:w="322" w:type="pct"/>
            <w:tcBorders>
              <w:top w:val="single" w:sz="4" w:space="0" w:color="auto"/>
              <w:left w:val="nil"/>
              <w:bottom w:val="single" w:sz="4" w:space="0" w:color="auto"/>
              <w:right w:val="nil"/>
            </w:tcBorders>
            <w:vAlign w:val="center"/>
          </w:tcPr>
          <w:p w14:paraId="7F6117CF" w14:textId="77777777" w:rsidR="00D652E3" w:rsidRPr="00780749" w:rsidRDefault="00D652E3" w:rsidP="00D652E3">
            <w:pPr>
              <w:spacing w:after="0" w:line="240" w:lineRule="auto"/>
              <w:jc w:val="center"/>
              <w:rPr>
                <w:rFonts w:ascii="Arial Narrow" w:hAnsi="Arial Narrow" w:cs="Calibri"/>
                <w:b/>
                <w:color w:val="000000"/>
                <w:sz w:val="20"/>
                <w:szCs w:val="20"/>
              </w:rPr>
            </w:pPr>
            <w:r w:rsidRPr="00780749">
              <w:rPr>
                <w:rFonts w:ascii="Arial Narrow" w:hAnsi="Arial Narrow" w:cs="Calibri"/>
                <w:b/>
                <w:color w:val="000000"/>
                <w:sz w:val="20"/>
                <w:szCs w:val="20"/>
              </w:rPr>
              <w:t>2017</w:t>
            </w:r>
          </w:p>
        </w:tc>
        <w:tc>
          <w:tcPr>
            <w:tcW w:w="289" w:type="pct"/>
            <w:tcBorders>
              <w:top w:val="single" w:sz="4" w:space="0" w:color="auto"/>
              <w:left w:val="nil"/>
              <w:bottom w:val="single" w:sz="4" w:space="0" w:color="auto"/>
              <w:right w:val="nil"/>
            </w:tcBorders>
            <w:vAlign w:val="center"/>
          </w:tcPr>
          <w:p w14:paraId="4ADB55FC" w14:textId="77777777" w:rsidR="00D652E3" w:rsidRPr="00780749" w:rsidRDefault="00D652E3" w:rsidP="00D652E3">
            <w:pPr>
              <w:spacing w:after="0" w:line="240" w:lineRule="auto"/>
              <w:jc w:val="center"/>
              <w:rPr>
                <w:rFonts w:ascii="Arial Narrow" w:hAnsi="Arial Narrow" w:cs="Calibri"/>
                <w:b/>
                <w:color w:val="000000"/>
                <w:sz w:val="20"/>
                <w:szCs w:val="20"/>
              </w:rPr>
            </w:pPr>
            <w:r w:rsidRPr="00780749">
              <w:rPr>
                <w:rFonts w:ascii="Arial Narrow" w:hAnsi="Arial Narrow" w:cs="Calibri"/>
                <w:b/>
                <w:color w:val="000000"/>
                <w:sz w:val="20"/>
                <w:szCs w:val="20"/>
              </w:rPr>
              <w:t>Cieľ 2020</w:t>
            </w:r>
          </w:p>
        </w:tc>
      </w:tr>
      <w:tr w:rsidR="00D652E3" w:rsidRPr="00D652E3" w14:paraId="40173AEC" w14:textId="77777777" w:rsidTr="002C7555">
        <w:trPr>
          <w:gridAfter w:val="1"/>
          <w:wAfter w:w="35" w:type="pct"/>
          <w:trHeight w:val="54"/>
        </w:trPr>
        <w:tc>
          <w:tcPr>
            <w:tcW w:w="2337" w:type="pct"/>
            <w:vMerge w:val="restart"/>
            <w:tcBorders>
              <w:top w:val="single" w:sz="4" w:space="0" w:color="auto"/>
            </w:tcBorders>
            <w:noWrap/>
            <w:vAlign w:val="center"/>
            <w:hideMark/>
          </w:tcPr>
          <w:p w14:paraId="21DCC9F2" w14:textId="77777777" w:rsidR="00D652E3" w:rsidRPr="00780749" w:rsidRDefault="00D652E3" w:rsidP="00D652E3">
            <w:pPr>
              <w:spacing w:after="0" w:line="240" w:lineRule="auto"/>
              <w:rPr>
                <w:rFonts w:ascii="Arial Narrow" w:hAnsi="Arial Narrow" w:cs="Calibri"/>
                <w:b/>
                <w:color w:val="000000"/>
                <w:sz w:val="20"/>
                <w:szCs w:val="20"/>
              </w:rPr>
            </w:pPr>
            <w:r w:rsidRPr="00780749">
              <w:rPr>
                <w:rFonts w:ascii="Arial Narrow" w:hAnsi="Arial Narrow" w:cs="Calibri"/>
                <w:b/>
                <w:color w:val="000000"/>
                <w:sz w:val="20"/>
                <w:szCs w:val="20"/>
              </w:rPr>
              <w:t>Emisie skleníkových plynov mimo ETS</w:t>
            </w:r>
            <w:r w:rsidRPr="002C7555">
              <w:rPr>
                <w:rFonts w:ascii="Arial Narrow" w:hAnsi="Arial Narrow" w:cs="Calibri"/>
                <w:color w:val="000000"/>
                <w:sz w:val="20"/>
                <w:szCs w:val="20"/>
                <w:vertAlign w:val="superscript"/>
              </w:rPr>
              <w:footnoteReference w:id="111"/>
            </w:r>
          </w:p>
          <w:p w14:paraId="2E3C096E" w14:textId="77777777" w:rsidR="00D652E3" w:rsidRPr="00780749" w:rsidRDefault="00D652E3" w:rsidP="00D652E3">
            <w:pPr>
              <w:spacing w:after="0" w:line="240" w:lineRule="auto"/>
              <w:rPr>
                <w:rFonts w:ascii="Arial Narrow" w:hAnsi="Arial Narrow" w:cs="Calibri"/>
                <w:color w:val="000000"/>
                <w:sz w:val="20"/>
                <w:szCs w:val="20"/>
              </w:rPr>
            </w:pPr>
            <w:r w:rsidRPr="00780749">
              <w:rPr>
                <w:rFonts w:ascii="Arial Narrow" w:hAnsi="Arial Narrow" w:cs="Calibri"/>
                <w:i/>
                <w:iCs/>
                <w:color w:val="000000"/>
                <w:sz w:val="20"/>
                <w:szCs w:val="20"/>
              </w:rPr>
              <w:t>(%, zmena voči roku 2005)</w:t>
            </w:r>
          </w:p>
        </w:tc>
        <w:tc>
          <w:tcPr>
            <w:tcW w:w="259" w:type="pct"/>
            <w:tcBorders>
              <w:top w:val="single" w:sz="4" w:space="0" w:color="auto"/>
            </w:tcBorders>
            <w:noWrap/>
            <w:vAlign w:val="center"/>
            <w:hideMark/>
          </w:tcPr>
          <w:p w14:paraId="5042837F" w14:textId="77777777" w:rsidR="00D652E3" w:rsidRPr="002C7555" w:rsidRDefault="00D652E3" w:rsidP="00D652E3">
            <w:pPr>
              <w:spacing w:after="0" w:line="240" w:lineRule="auto"/>
              <w:rPr>
                <w:rFonts w:ascii="Arial Narrow" w:hAnsi="Arial Narrow" w:cs="Calibri"/>
                <w:color w:val="000000"/>
                <w:sz w:val="20"/>
                <w:szCs w:val="20"/>
              </w:rPr>
            </w:pPr>
            <w:r w:rsidRPr="002C7555">
              <w:rPr>
                <w:rFonts w:ascii="Arial Narrow" w:hAnsi="Arial Narrow" w:cs="Calibri"/>
                <w:color w:val="000000"/>
                <w:sz w:val="20"/>
                <w:szCs w:val="20"/>
              </w:rPr>
              <w:t>SK</w:t>
            </w:r>
          </w:p>
        </w:tc>
        <w:tc>
          <w:tcPr>
            <w:tcW w:w="293" w:type="pct"/>
            <w:tcBorders>
              <w:top w:val="single" w:sz="4" w:space="0" w:color="auto"/>
            </w:tcBorders>
            <w:noWrap/>
            <w:vAlign w:val="center"/>
            <w:hideMark/>
          </w:tcPr>
          <w:p w14:paraId="22BB845E"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-0,8</w:t>
            </w:r>
          </w:p>
        </w:tc>
        <w:tc>
          <w:tcPr>
            <w:tcW w:w="293" w:type="pct"/>
            <w:tcBorders>
              <w:top w:val="single" w:sz="4" w:space="0" w:color="auto"/>
            </w:tcBorders>
            <w:noWrap/>
            <w:vAlign w:val="center"/>
            <w:hideMark/>
          </w:tcPr>
          <w:p w14:paraId="0ED1CCD7"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-4,5</w:t>
            </w:r>
          </w:p>
        </w:tc>
        <w:tc>
          <w:tcPr>
            <w:tcW w:w="293" w:type="pct"/>
            <w:tcBorders>
              <w:top w:val="single" w:sz="4" w:space="0" w:color="auto"/>
            </w:tcBorders>
            <w:noWrap/>
            <w:vAlign w:val="center"/>
            <w:hideMark/>
          </w:tcPr>
          <w:p w14:paraId="21ABFA8C"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-4,6</w:t>
            </w:r>
          </w:p>
        </w:tc>
        <w:tc>
          <w:tcPr>
            <w:tcW w:w="293" w:type="pct"/>
            <w:tcBorders>
              <w:top w:val="single" w:sz="4" w:space="0" w:color="auto"/>
            </w:tcBorders>
            <w:noWrap/>
            <w:vAlign w:val="center"/>
            <w:hideMark/>
          </w:tcPr>
          <w:p w14:paraId="5DB7874D"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-10,5</w:t>
            </w:r>
          </w:p>
        </w:tc>
        <w:tc>
          <w:tcPr>
            <w:tcW w:w="293" w:type="pct"/>
            <w:tcBorders>
              <w:top w:val="single" w:sz="4" w:space="0" w:color="auto"/>
            </w:tcBorders>
            <w:noWrap/>
            <w:vAlign w:val="center"/>
            <w:hideMark/>
          </w:tcPr>
          <w:p w14:paraId="64CE88E3"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-9,1</w:t>
            </w:r>
          </w:p>
        </w:tc>
        <w:tc>
          <w:tcPr>
            <w:tcW w:w="293" w:type="pct"/>
            <w:tcBorders>
              <w:top w:val="single" w:sz="4" w:space="0" w:color="auto"/>
            </w:tcBorders>
            <w:noWrap/>
            <w:vAlign w:val="center"/>
            <w:hideMark/>
          </w:tcPr>
          <w:p w14:paraId="6266463A"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-10,6</w:t>
            </w:r>
          </w:p>
        </w:tc>
        <w:tc>
          <w:tcPr>
            <w:tcW w:w="322" w:type="pct"/>
            <w:tcBorders>
              <w:top w:val="single" w:sz="4" w:space="0" w:color="auto"/>
            </w:tcBorders>
          </w:tcPr>
          <w:p w14:paraId="08A11024"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-10,6</w:t>
            </w:r>
          </w:p>
        </w:tc>
        <w:tc>
          <w:tcPr>
            <w:tcW w:w="289" w:type="pct"/>
            <w:tcBorders>
              <w:top w:val="single" w:sz="4" w:space="0" w:color="auto"/>
            </w:tcBorders>
            <w:noWrap/>
            <w:vAlign w:val="center"/>
            <w:hideMark/>
          </w:tcPr>
          <w:p w14:paraId="25F4EC3A"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13</w:t>
            </w:r>
          </w:p>
        </w:tc>
      </w:tr>
      <w:tr w:rsidR="00D652E3" w:rsidRPr="00D652E3" w14:paraId="2233FB57" w14:textId="77777777" w:rsidTr="002C7555">
        <w:trPr>
          <w:gridAfter w:val="1"/>
          <w:wAfter w:w="35" w:type="pct"/>
          <w:trHeight w:val="54"/>
        </w:trPr>
        <w:tc>
          <w:tcPr>
            <w:tcW w:w="2337" w:type="pct"/>
            <w:vMerge/>
            <w:tcBorders>
              <w:bottom w:val="single" w:sz="4" w:space="0" w:color="auto"/>
            </w:tcBorders>
            <w:vAlign w:val="center"/>
            <w:hideMark/>
          </w:tcPr>
          <w:p w14:paraId="563C3F02" w14:textId="77777777" w:rsidR="00D652E3" w:rsidRPr="00780749" w:rsidRDefault="00D652E3" w:rsidP="00D652E3">
            <w:pPr>
              <w:spacing w:after="0" w:line="240" w:lineRule="auto"/>
              <w:rPr>
                <w:rFonts w:ascii="Arial Narrow" w:hAnsi="Arial Narrow" w:cs="Calibri"/>
                <w:color w:val="000000"/>
                <w:sz w:val="20"/>
                <w:szCs w:val="20"/>
              </w:rPr>
            </w:pPr>
          </w:p>
        </w:tc>
        <w:tc>
          <w:tcPr>
            <w:tcW w:w="259" w:type="pct"/>
            <w:tcBorders>
              <w:bottom w:val="single" w:sz="4" w:space="0" w:color="auto"/>
            </w:tcBorders>
            <w:noWrap/>
            <w:vAlign w:val="center"/>
            <w:hideMark/>
          </w:tcPr>
          <w:p w14:paraId="604A104F" w14:textId="77777777" w:rsidR="00D652E3" w:rsidRPr="002C7555" w:rsidRDefault="00D652E3" w:rsidP="00D652E3">
            <w:pPr>
              <w:spacing w:after="0" w:line="240" w:lineRule="auto"/>
              <w:rPr>
                <w:rFonts w:ascii="Arial Narrow" w:hAnsi="Arial Narrow" w:cs="Calibri"/>
                <w:color w:val="000000"/>
                <w:sz w:val="20"/>
                <w:szCs w:val="20"/>
              </w:rPr>
            </w:pPr>
            <w:r w:rsidRPr="002C7555">
              <w:rPr>
                <w:rFonts w:ascii="Arial Narrow" w:hAnsi="Arial Narrow" w:cs="Calibri"/>
                <w:color w:val="000000"/>
                <w:sz w:val="20"/>
                <w:szCs w:val="20"/>
              </w:rPr>
              <w:t>EÚ</w:t>
            </w:r>
          </w:p>
        </w:tc>
        <w:tc>
          <w:tcPr>
            <w:tcW w:w="293" w:type="pct"/>
            <w:tcBorders>
              <w:bottom w:val="single" w:sz="4" w:space="0" w:color="auto"/>
            </w:tcBorders>
            <w:noWrap/>
            <w:vAlign w:val="center"/>
            <w:hideMark/>
          </w:tcPr>
          <w:p w14:paraId="146085B6"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-8,3</w:t>
            </w:r>
          </w:p>
        </w:tc>
        <w:tc>
          <w:tcPr>
            <w:tcW w:w="293" w:type="pct"/>
            <w:tcBorders>
              <w:bottom w:val="single" w:sz="4" w:space="0" w:color="auto"/>
            </w:tcBorders>
            <w:noWrap/>
            <w:vAlign w:val="center"/>
            <w:hideMark/>
          </w:tcPr>
          <w:p w14:paraId="55F656E1"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-9,0</w:t>
            </w:r>
          </w:p>
        </w:tc>
        <w:tc>
          <w:tcPr>
            <w:tcW w:w="293" w:type="pct"/>
            <w:tcBorders>
              <w:bottom w:val="single" w:sz="4" w:space="0" w:color="auto"/>
            </w:tcBorders>
            <w:noWrap/>
            <w:vAlign w:val="center"/>
            <w:hideMark/>
          </w:tcPr>
          <w:p w14:paraId="666FE5AE"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-10,1</w:t>
            </w:r>
          </w:p>
        </w:tc>
        <w:tc>
          <w:tcPr>
            <w:tcW w:w="293" w:type="pct"/>
            <w:tcBorders>
              <w:bottom w:val="single" w:sz="4" w:space="0" w:color="auto"/>
            </w:tcBorders>
            <w:noWrap/>
            <w:vAlign w:val="center"/>
            <w:hideMark/>
          </w:tcPr>
          <w:p w14:paraId="6DCB2C49"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-13,2</w:t>
            </w:r>
          </w:p>
        </w:tc>
        <w:tc>
          <w:tcPr>
            <w:tcW w:w="293" w:type="pct"/>
            <w:tcBorders>
              <w:bottom w:val="single" w:sz="4" w:space="0" w:color="auto"/>
            </w:tcBorders>
            <w:noWrap/>
            <w:vAlign w:val="center"/>
            <w:hideMark/>
          </w:tcPr>
          <w:p w14:paraId="266ED1D3"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-11,8</w:t>
            </w:r>
          </w:p>
        </w:tc>
        <w:tc>
          <w:tcPr>
            <w:tcW w:w="293" w:type="pct"/>
            <w:tcBorders>
              <w:bottom w:val="single" w:sz="4" w:space="0" w:color="auto"/>
            </w:tcBorders>
            <w:noWrap/>
            <w:vAlign w:val="center"/>
            <w:hideMark/>
          </w:tcPr>
          <w:p w14:paraId="04745550"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-10,5</w:t>
            </w:r>
          </w:p>
        </w:tc>
        <w:tc>
          <w:tcPr>
            <w:tcW w:w="322" w:type="pct"/>
            <w:tcBorders>
              <w:bottom w:val="single" w:sz="4" w:space="0" w:color="auto"/>
            </w:tcBorders>
          </w:tcPr>
          <w:p w14:paraId="7DF98060"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-9,9</w:t>
            </w:r>
          </w:p>
        </w:tc>
        <w:tc>
          <w:tcPr>
            <w:tcW w:w="289" w:type="pct"/>
            <w:tcBorders>
              <w:bottom w:val="single" w:sz="4" w:space="0" w:color="auto"/>
            </w:tcBorders>
            <w:noWrap/>
            <w:vAlign w:val="center"/>
            <w:hideMark/>
          </w:tcPr>
          <w:p w14:paraId="67BEEA6B"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-10</w:t>
            </w:r>
          </w:p>
        </w:tc>
      </w:tr>
      <w:tr w:rsidR="00D652E3" w:rsidRPr="00D652E3" w14:paraId="059B9FB2" w14:textId="77777777" w:rsidTr="002C7555">
        <w:trPr>
          <w:gridAfter w:val="1"/>
          <w:wAfter w:w="35" w:type="pct"/>
          <w:trHeight w:val="54"/>
        </w:trPr>
        <w:tc>
          <w:tcPr>
            <w:tcW w:w="2337" w:type="pct"/>
            <w:vMerge w:val="restart"/>
            <w:tcBorders>
              <w:top w:val="single" w:sz="4" w:space="0" w:color="auto"/>
            </w:tcBorders>
            <w:noWrap/>
            <w:vAlign w:val="center"/>
            <w:hideMark/>
          </w:tcPr>
          <w:p w14:paraId="3F3E04BC" w14:textId="77777777" w:rsidR="00D652E3" w:rsidRPr="00780749" w:rsidRDefault="00D652E3" w:rsidP="00D652E3">
            <w:pPr>
              <w:spacing w:after="0" w:line="240" w:lineRule="auto"/>
              <w:rPr>
                <w:rFonts w:ascii="Arial Narrow" w:hAnsi="Arial Narrow" w:cs="Calibri"/>
                <w:b/>
                <w:color w:val="000000"/>
                <w:sz w:val="20"/>
                <w:szCs w:val="20"/>
              </w:rPr>
            </w:pPr>
            <w:r w:rsidRPr="00780749">
              <w:rPr>
                <w:rFonts w:ascii="Arial Narrow" w:hAnsi="Arial Narrow" w:cs="Calibri"/>
                <w:b/>
                <w:color w:val="000000"/>
                <w:sz w:val="20"/>
                <w:szCs w:val="20"/>
              </w:rPr>
              <w:t>Podiel OZE</w:t>
            </w:r>
            <w:r w:rsidRPr="002C7555">
              <w:rPr>
                <w:rFonts w:ascii="Arial Narrow" w:hAnsi="Arial Narrow" w:cs="Calibri"/>
                <w:color w:val="000000"/>
                <w:sz w:val="20"/>
                <w:szCs w:val="20"/>
                <w:vertAlign w:val="superscript"/>
              </w:rPr>
              <w:footnoteReference w:id="112"/>
            </w:r>
            <w:r w:rsidRPr="00780749">
              <w:rPr>
                <w:rFonts w:ascii="Arial Narrow" w:hAnsi="Arial Narrow" w:cs="Calibri"/>
                <w:b/>
                <w:color w:val="000000"/>
                <w:sz w:val="20"/>
                <w:szCs w:val="20"/>
              </w:rPr>
              <w:t xml:space="preserve"> na hrubej konečnej spotrebe energie</w:t>
            </w:r>
          </w:p>
          <w:p w14:paraId="494868C1" w14:textId="77777777" w:rsidR="00D652E3" w:rsidRPr="00780749" w:rsidRDefault="00D652E3" w:rsidP="00D652E3">
            <w:pPr>
              <w:spacing w:after="0" w:line="240" w:lineRule="auto"/>
              <w:rPr>
                <w:rFonts w:ascii="Arial Narrow" w:hAnsi="Arial Narrow" w:cs="Calibri"/>
                <w:color w:val="000000"/>
                <w:sz w:val="20"/>
                <w:szCs w:val="20"/>
              </w:rPr>
            </w:pPr>
            <w:r w:rsidRPr="00780749">
              <w:rPr>
                <w:rFonts w:ascii="Arial Narrow" w:hAnsi="Arial Narrow" w:cs="Calibri"/>
                <w:i/>
                <w:iCs/>
                <w:color w:val="000000"/>
                <w:sz w:val="20"/>
                <w:szCs w:val="20"/>
              </w:rPr>
              <w:t>(%)</w:t>
            </w:r>
          </w:p>
        </w:tc>
        <w:tc>
          <w:tcPr>
            <w:tcW w:w="259" w:type="pct"/>
            <w:tcBorders>
              <w:top w:val="single" w:sz="4" w:space="0" w:color="auto"/>
            </w:tcBorders>
            <w:noWrap/>
            <w:vAlign w:val="center"/>
            <w:hideMark/>
          </w:tcPr>
          <w:p w14:paraId="79E78063" w14:textId="77777777" w:rsidR="00D652E3" w:rsidRPr="002C7555" w:rsidRDefault="00D652E3" w:rsidP="00D652E3">
            <w:pPr>
              <w:spacing w:after="0" w:line="240" w:lineRule="auto"/>
              <w:rPr>
                <w:rFonts w:ascii="Arial Narrow" w:hAnsi="Arial Narrow" w:cs="Calibri"/>
                <w:color w:val="000000"/>
                <w:sz w:val="20"/>
                <w:szCs w:val="20"/>
              </w:rPr>
            </w:pPr>
            <w:r w:rsidRPr="002C7555">
              <w:rPr>
                <w:rFonts w:ascii="Arial Narrow" w:hAnsi="Arial Narrow" w:cs="Calibri"/>
                <w:color w:val="000000"/>
                <w:sz w:val="20"/>
                <w:szCs w:val="20"/>
              </w:rPr>
              <w:t>SK</w:t>
            </w:r>
          </w:p>
        </w:tc>
        <w:tc>
          <w:tcPr>
            <w:tcW w:w="293" w:type="pct"/>
            <w:tcBorders>
              <w:top w:val="single" w:sz="4" w:space="0" w:color="auto"/>
            </w:tcBorders>
            <w:noWrap/>
            <w:vAlign w:val="center"/>
            <w:hideMark/>
          </w:tcPr>
          <w:p w14:paraId="413552B9"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10,3</w:t>
            </w:r>
          </w:p>
        </w:tc>
        <w:tc>
          <w:tcPr>
            <w:tcW w:w="293" w:type="pct"/>
            <w:tcBorders>
              <w:top w:val="single" w:sz="4" w:space="0" w:color="auto"/>
            </w:tcBorders>
            <w:noWrap/>
            <w:vAlign w:val="center"/>
            <w:hideMark/>
          </w:tcPr>
          <w:p w14:paraId="35B34751"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10,4</w:t>
            </w:r>
          </w:p>
        </w:tc>
        <w:tc>
          <w:tcPr>
            <w:tcW w:w="293" w:type="pct"/>
            <w:tcBorders>
              <w:top w:val="single" w:sz="4" w:space="0" w:color="auto"/>
            </w:tcBorders>
            <w:noWrap/>
            <w:vAlign w:val="center"/>
            <w:hideMark/>
          </w:tcPr>
          <w:p w14:paraId="39C3CC89"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10,1</w:t>
            </w:r>
          </w:p>
        </w:tc>
        <w:tc>
          <w:tcPr>
            <w:tcW w:w="293" w:type="pct"/>
            <w:tcBorders>
              <w:top w:val="single" w:sz="4" w:space="0" w:color="auto"/>
            </w:tcBorders>
            <w:noWrap/>
            <w:vAlign w:val="center"/>
            <w:hideMark/>
          </w:tcPr>
          <w:p w14:paraId="278A8301"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11,7</w:t>
            </w:r>
          </w:p>
        </w:tc>
        <w:tc>
          <w:tcPr>
            <w:tcW w:w="293" w:type="pct"/>
            <w:tcBorders>
              <w:top w:val="single" w:sz="4" w:space="0" w:color="auto"/>
            </w:tcBorders>
            <w:noWrap/>
            <w:vAlign w:val="center"/>
            <w:hideMark/>
          </w:tcPr>
          <w:p w14:paraId="07D09209"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12,9</w:t>
            </w:r>
          </w:p>
        </w:tc>
        <w:tc>
          <w:tcPr>
            <w:tcW w:w="293" w:type="pct"/>
            <w:tcBorders>
              <w:top w:val="single" w:sz="4" w:space="0" w:color="auto"/>
            </w:tcBorders>
            <w:noWrap/>
            <w:vAlign w:val="center"/>
            <w:hideMark/>
          </w:tcPr>
          <w:p w14:paraId="677F207C"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12,0</w:t>
            </w:r>
          </w:p>
        </w:tc>
        <w:tc>
          <w:tcPr>
            <w:tcW w:w="322" w:type="pct"/>
            <w:tcBorders>
              <w:top w:val="single" w:sz="4" w:space="0" w:color="auto"/>
            </w:tcBorders>
          </w:tcPr>
          <w:p w14:paraId="130E1E40"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w:t>
            </w:r>
          </w:p>
        </w:tc>
        <w:tc>
          <w:tcPr>
            <w:tcW w:w="289" w:type="pct"/>
            <w:tcBorders>
              <w:top w:val="single" w:sz="4" w:space="0" w:color="auto"/>
            </w:tcBorders>
            <w:noWrap/>
            <w:vAlign w:val="center"/>
            <w:hideMark/>
          </w:tcPr>
          <w:p w14:paraId="1FAB31A1"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14</w:t>
            </w:r>
          </w:p>
        </w:tc>
      </w:tr>
      <w:tr w:rsidR="00D652E3" w:rsidRPr="00D652E3" w14:paraId="502FA5DC" w14:textId="77777777" w:rsidTr="002C7555">
        <w:trPr>
          <w:gridAfter w:val="1"/>
          <w:wAfter w:w="35" w:type="pct"/>
          <w:trHeight w:val="54"/>
        </w:trPr>
        <w:tc>
          <w:tcPr>
            <w:tcW w:w="2337" w:type="pct"/>
            <w:vMerge/>
            <w:tcBorders>
              <w:bottom w:val="single" w:sz="4" w:space="0" w:color="auto"/>
            </w:tcBorders>
            <w:vAlign w:val="center"/>
            <w:hideMark/>
          </w:tcPr>
          <w:p w14:paraId="3E4A179A" w14:textId="77777777" w:rsidR="00D652E3" w:rsidRPr="00780749" w:rsidRDefault="00D652E3" w:rsidP="00D652E3">
            <w:pPr>
              <w:spacing w:after="0" w:line="240" w:lineRule="auto"/>
              <w:rPr>
                <w:rFonts w:ascii="Arial Narrow" w:hAnsi="Arial Narrow" w:cs="Calibri"/>
                <w:color w:val="000000"/>
                <w:sz w:val="20"/>
                <w:szCs w:val="20"/>
              </w:rPr>
            </w:pPr>
          </w:p>
        </w:tc>
        <w:tc>
          <w:tcPr>
            <w:tcW w:w="259" w:type="pct"/>
            <w:tcBorders>
              <w:bottom w:val="single" w:sz="4" w:space="0" w:color="auto"/>
            </w:tcBorders>
            <w:noWrap/>
            <w:vAlign w:val="center"/>
            <w:hideMark/>
          </w:tcPr>
          <w:p w14:paraId="3B7841AB" w14:textId="77777777" w:rsidR="00D652E3" w:rsidRPr="002C7555" w:rsidRDefault="00D652E3" w:rsidP="00D652E3">
            <w:pPr>
              <w:spacing w:after="0" w:line="240" w:lineRule="auto"/>
              <w:rPr>
                <w:rFonts w:ascii="Arial Narrow" w:hAnsi="Arial Narrow" w:cs="Calibri"/>
                <w:color w:val="000000"/>
                <w:sz w:val="20"/>
                <w:szCs w:val="20"/>
              </w:rPr>
            </w:pPr>
            <w:r w:rsidRPr="002C7555">
              <w:rPr>
                <w:rFonts w:ascii="Arial Narrow" w:hAnsi="Arial Narrow" w:cs="Calibri"/>
                <w:color w:val="000000"/>
                <w:sz w:val="20"/>
                <w:szCs w:val="20"/>
              </w:rPr>
              <w:t>EÚ</w:t>
            </w:r>
          </w:p>
        </w:tc>
        <w:tc>
          <w:tcPr>
            <w:tcW w:w="293" w:type="pct"/>
            <w:tcBorders>
              <w:bottom w:val="single" w:sz="4" w:space="0" w:color="auto"/>
            </w:tcBorders>
            <w:noWrap/>
            <w:vAlign w:val="center"/>
            <w:hideMark/>
          </w:tcPr>
          <w:p w14:paraId="0F7C04FB"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13,2</w:t>
            </w:r>
          </w:p>
        </w:tc>
        <w:tc>
          <w:tcPr>
            <w:tcW w:w="293" w:type="pct"/>
            <w:tcBorders>
              <w:bottom w:val="single" w:sz="4" w:space="0" w:color="auto"/>
            </w:tcBorders>
            <w:noWrap/>
            <w:vAlign w:val="center"/>
            <w:hideMark/>
          </w:tcPr>
          <w:p w14:paraId="23D7CC14"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14,4</w:t>
            </w:r>
          </w:p>
        </w:tc>
        <w:tc>
          <w:tcPr>
            <w:tcW w:w="293" w:type="pct"/>
            <w:tcBorders>
              <w:bottom w:val="single" w:sz="4" w:space="0" w:color="auto"/>
            </w:tcBorders>
            <w:noWrap/>
            <w:vAlign w:val="center"/>
            <w:hideMark/>
          </w:tcPr>
          <w:p w14:paraId="28BCEC44"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15,2</w:t>
            </w:r>
          </w:p>
        </w:tc>
        <w:tc>
          <w:tcPr>
            <w:tcW w:w="293" w:type="pct"/>
            <w:tcBorders>
              <w:bottom w:val="single" w:sz="4" w:space="0" w:color="auto"/>
            </w:tcBorders>
            <w:noWrap/>
            <w:vAlign w:val="center"/>
            <w:hideMark/>
          </w:tcPr>
          <w:p w14:paraId="72C0ADBD"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16,1</w:t>
            </w:r>
          </w:p>
        </w:tc>
        <w:tc>
          <w:tcPr>
            <w:tcW w:w="293" w:type="pct"/>
            <w:tcBorders>
              <w:bottom w:val="single" w:sz="4" w:space="0" w:color="auto"/>
            </w:tcBorders>
            <w:noWrap/>
            <w:vAlign w:val="center"/>
            <w:hideMark/>
          </w:tcPr>
          <w:p w14:paraId="64D61EF9"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16,7</w:t>
            </w:r>
          </w:p>
        </w:tc>
        <w:tc>
          <w:tcPr>
            <w:tcW w:w="293" w:type="pct"/>
            <w:tcBorders>
              <w:bottom w:val="single" w:sz="4" w:space="0" w:color="auto"/>
            </w:tcBorders>
            <w:noWrap/>
            <w:vAlign w:val="center"/>
            <w:hideMark/>
          </w:tcPr>
          <w:p w14:paraId="056F2548"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17,0</w:t>
            </w:r>
          </w:p>
        </w:tc>
        <w:tc>
          <w:tcPr>
            <w:tcW w:w="322" w:type="pct"/>
            <w:tcBorders>
              <w:bottom w:val="single" w:sz="4" w:space="0" w:color="auto"/>
            </w:tcBorders>
          </w:tcPr>
          <w:p w14:paraId="13F5E113"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w:t>
            </w:r>
          </w:p>
        </w:tc>
        <w:tc>
          <w:tcPr>
            <w:tcW w:w="289" w:type="pct"/>
            <w:tcBorders>
              <w:bottom w:val="single" w:sz="4" w:space="0" w:color="auto"/>
            </w:tcBorders>
            <w:noWrap/>
            <w:vAlign w:val="center"/>
            <w:hideMark/>
          </w:tcPr>
          <w:p w14:paraId="5AC845EE"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20</w:t>
            </w:r>
          </w:p>
        </w:tc>
      </w:tr>
      <w:tr w:rsidR="00D652E3" w:rsidRPr="00D652E3" w14:paraId="6383936A" w14:textId="77777777" w:rsidTr="002C7555">
        <w:trPr>
          <w:gridAfter w:val="1"/>
          <w:wAfter w:w="35" w:type="pct"/>
          <w:trHeight w:val="54"/>
        </w:trPr>
        <w:tc>
          <w:tcPr>
            <w:tcW w:w="2337" w:type="pct"/>
            <w:vMerge w:val="restart"/>
            <w:tcBorders>
              <w:top w:val="single" w:sz="4" w:space="0" w:color="auto"/>
              <w:left w:val="nil"/>
              <w:bottom w:val="single" w:sz="4" w:space="0" w:color="auto"/>
              <w:right w:val="nil"/>
            </w:tcBorders>
            <w:noWrap/>
            <w:vAlign w:val="center"/>
            <w:hideMark/>
          </w:tcPr>
          <w:p w14:paraId="4EFAC010" w14:textId="77777777" w:rsidR="00D652E3" w:rsidRPr="00780749" w:rsidRDefault="00D652E3" w:rsidP="00D652E3">
            <w:pPr>
              <w:spacing w:after="0" w:line="240" w:lineRule="auto"/>
              <w:rPr>
                <w:rFonts w:ascii="Arial Narrow" w:hAnsi="Arial Narrow" w:cs="Calibri"/>
                <w:b/>
                <w:color w:val="000000"/>
                <w:sz w:val="20"/>
                <w:szCs w:val="20"/>
              </w:rPr>
            </w:pPr>
            <w:r w:rsidRPr="00780749">
              <w:rPr>
                <w:rFonts w:ascii="Arial Narrow" w:hAnsi="Arial Narrow" w:cs="Calibri"/>
                <w:b/>
                <w:color w:val="000000"/>
                <w:sz w:val="20"/>
                <w:szCs w:val="20"/>
              </w:rPr>
              <w:t>Konečná energetická spotreba</w:t>
            </w:r>
          </w:p>
          <w:p w14:paraId="04A7092C" w14:textId="77777777" w:rsidR="00D652E3" w:rsidRPr="00780749" w:rsidRDefault="00D652E3" w:rsidP="00D652E3">
            <w:pPr>
              <w:spacing w:after="0" w:line="240" w:lineRule="auto"/>
              <w:rPr>
                <w:rFonts w:ascii="Arial Narrow" w:hAnsi="Arial Narrow" w:cs="Calibri"/>
                <w:color w:val="000000"/>
                <w:sz w:val="20"/>
                <w:szCs w:val="20"/>
              </w:rPr>
            </w:pPr>
            <w:r w:rsidRPr="00780749">
              <w:rPr>
                <w:rFonts w:ascii="Arial Narrow" w:hAnsi="Arial Narrow" w:cs="Calibri"/>
                <w:i/>
                <w:iCs/>
                <w:color w:val="000000"/>
                <w:sz w:val="20"/>
                <w:szCs w:val="20"/>
              </w:rPr>
              <w:t>(%, zmena voči priemeru rokov 2001- 2005)</w:t>
            </w:r>
          </w:p>
        </w:tc>
        <w:tc>
          <w:tcPr>
            <w:tcW w:w="259" w:type="pct"/>
            <w:tcBorders>
              <w:top w:val="single" w:sz="4" w:space="0" w:color="auto"/>
            </w:tcBorders>
            <w:noWrap/>
            <w:vAlign w:val="center"/>
            <w:hideMark/>
          </w:tcPr>
          <w:p w14:paraId="17178AEB" w14:textId="77777777" w:rsidR="00D652E3" w:rsidRPr="002C7555" w:rsidRDefault="00D652E3" w:rsidP="00D652E3">
            <w:pPr>
              <w:spacing w:after="0" w:line="240" w:lineRule="auto"/>
              <w:rPr>
                <w:rFonts w:ascii="Arial Narrow" w:hAnsi="Arial Narrow" w:cs="Calibri"/>
                <w:color w:val="000000"/>
                <w:sz w:val="20"/>
                <w:szCs w:val="20"/>
              </w:rPr>
            </w:pPr>
            <w:r w:rsidRPr="002C7555">
              <w:rPr>
                <w:rFonts w:ascii="Arial Narrow" w:hAnsi="Arial Narrow" w:cs="Calibri"/>
                <w:color w:val="000000"/>
                <w:sz w:val="20"/>
                <w:szCs w:val="20"/>
              </w:rPr>
              <w:t>SK</w:t>
            </w:r>
          </w:p>
        </w:tc>
        <w:tc>
          <w:tcPr>
            <w:tcW w:w="293" w:type="pct"/>
            <w:tcBorders>
              <w:top w:val="single" w:sz="4" w:space="0" w:color="auto"/>
            </w:tcBorders>
            <w:noWrap/>
            <w:vAlign w:val="center"/>
            <w:hideMark/>
          </w:tcPr>
          <w:p w14:paraId="7D391A1B"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-5,3</w:t>
            </w:r>
          </w:p>
        </w:tc>
        <w:tc>
          <w:tcPr>
            <w:tcW w:w="293" w:type="pct"/>
            <w:tcBorders>
              <w:top w:val="single" w:sz="4" w:space="0" w:color="auto"/>
            </w:tcBorders>
            <w:noWrap/>
            <w:vAlign w:val="center"/>
            <w:hideMark/>
          </w:tcPr>
          <w:p w14:paraId="12AB7B9E"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-9,6</w:t>
            </w:r>
          </w:p>
        </w:tc>
        <w:tc>
          <w:tcPr>
            <w:tcW w:w="293" w:type="pct"/>
            <w:tcBorders>
              <w:top w:val="single" w:sz="4" w:space="0" w:color="auto"/>
            </w:tcBorders>
            <w:noWrap/>
            <w:vAlign w:val="center"/>
            <w:hideMark/>
          </w:tcPr>
          <w:p w14:paraId="57B20EF9"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-7,0</w:t>
            </w:r>
          </w:p>
        </w:tc>
        <w:tc>
          <w:tcPr>
            <w:tcW w:w="293" w:type="pct"/>
            <w:tcBorders>
              <w:top w:val="single" w:sz="4" w:space="0" w:color="auto"/>
            </w:tcBorders>
            <w:noWrap/>
            <w:vAlign w:val="center"/>
            <w:hideMark/>
          </w:tcPr>
          <w:p w14:paraId="64F55799"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-12,3</w:t>
            </w:r>
          </w:p>
        </w:tc>
        <w:tc>
          <w:tcPr>
            <w:tcW w:w="293" w:type="pct"/>
            <w:tcBorders>
              <w:top w:val="single" w:sz="4" w:space="0" w:color="auto"/>
            </w:tcBorders>
            <w:noWrap/>
            <w:vAlign w:val="center"/>
            <w:hideMark/>
          </w:tcPr>
          <w:p w14:paraId="332E6D10"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-11,4</w:t>
            </w:r>
          </w:p>
        </w:tc>
        <w:tc>
          <w:tcPr>
            <w:tcW w:w="293" w:type="pct"/>
            <w:tcBorders>
              <w:top w:val="single" w:sz="4" w:space="0" w:color="auto"/>
            </w:tcBorders>
            <w:noWrap/>
            <w:vAlign w:val="center"/>
            <w:hideMark/>
          </w:tcPr>
          <w:p w14:paraId="171AC88B"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-8,8</w:t>
            </w:r>
          </w:p>
        </w:tc>
        <w:tc>
          <w:tcPr>
            <w:tcW w:w="322" w:type="pct"/>
            <w:tcBorders>
              <w:top w:val="single" w:sz="4" w:space="0" w:color="auto"/>
            </w:tcBorders>
          </w:tcPr>
          <w:p w14:paraId="798C4C24"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w:t>
            </w:r>
          </w:p>
        </w:tc>
        <w:tc>
          <w:tcPr>
            <w:tcW w:w="289" w:type="pct"/>
            <w:tcBorders>
              <w:top w:val="single" w:sz="4" w:space="0" w:color="auto"/>
            </w:tcBorders>
            <w:noWrap/>
            <w:vAlign w:val="center"/>
            <w:hideMark/>
          </w:tcPr>
          <w:p w14:paraId="16520481"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s="Calibri"/>
                <w:color w:val="000000"/>
                <w:sz w:val="20"/>
                <w:szCs w:val="20"/>
              </w:rPr>
              <w:t>-11</w:t>
            </w:r>
          </w:p>
        </w:tc>
      </w:tr>
      <w:tr w:rsidR="00D652E3" w:rsidRPr="00D652E3" w14:paraId="46BAE2E8" w14:textId="77777777" w:rsidTr="00484218">
        <w:trPr>
          <w:gridAfter w:val="1"/>
          <w:wAfter w:w="35" w:type="pct"/>
          <w:trHeight w:val="54"/>
        </w:trPr>
        <w:tc>
          <w:tcPr>
            <w:tcW w:w="2337" w:type="pct"/>
            <w:vMerge/>
            <w:tcBorders>
              <w:top w:val="nil"/>
              <w:left w:val="nil"/>
              <w:bottom w:val="single" w:sz="4" w:space="0" w:color="auto"/>
              <w:right w:val="nil"/>
            </w:tcBorders>
            <w:vAlign w:val="center"/>
            <w:hideMark/>
          </w:tcPr>
          <w:p w14:paraId="49BB3F72" w14:textId="77777777" w:rsidR="00D652E3" w:rsidRPr="00780749" w:rsidRDefault="00D652E3" w:rsidP="00D652E3">
            <w:pPr>
              <w:spacing w:after="0" w:line="240" w:lineRule="auto"/>
              <w:rPr>
                <w:rFonts w:ascii="Arial Narrow" w:hAnsi="Arial Narrow" w:cs="Calibri"/>
                <w:color w:val="000000"/>
                <w:sz w:val="20"/>
                <w:szCs w:val="20"/>
              </w:rPr>
            </w:pPr>
          </w:p>
        </w:tc>
        <w:tc>
          <w:tcPr>
            <w:tcW w:w="259" w:type="pct"/>
            <w:tcBorders>
              <w:top w:val="nil"/>
              <w:left w:val="nil"/>
              <w:bottom w:val="single" w:sz="4" w:space="0" w:color="auto"/>
              <w:right w:val="nil"/>
            </w:tcBorders>
            <w:noWrap/>
            <w:vAlign w:val="center"/>
            <w:hideMark/>
          </w:tcPr>
          <w:p w14:paraId="2F7DCE82" w14:textId="77777777" w:rsidR="00D652E3" w:rsidRPr="002C7555" w:rsidRDefault="00D652E3" w:rsidP="00D652E3">
            <w:pPr>
              <w:spacing w:after="0" w:line="240" w:lineRule="auto"/>
              <w:rPr>
                <w:rFonts w:ascii="Arial Narrow" w:hAnsi="Arial Narrow" w:cs="Calibri"/>
                <w:color w:val="000000"/>
                <w:sz w:val="20"/>
                <w:szCs w:val="20"/>
              </w:rPr>
            </w:pPr>
            <w:r w:rsidRPr="002C7555">
              <w:rPr>
                <w:rFonts w:ascii="Arial Narrow" w:hAnsi="Arial Narrow" w:cs="Calibri"/>
                <w:color w:val="000000"/>
                <w:sz w:val="20"/>
                <w:szCs w:val="20"/>
              </w:rPr>
              <w:t>EÚ</w:t>
            </w:r>
          </w:p>
        </w:tc>
        <w:tc>
          <w:tcPr>
            <w:tcW w:w="293" w:type="pct"/>
            <w:tcBorders>
              <w:top w:val="nil"/>
              <w:left w:val="nil"/>
              <w:bottom w:val="single" w:sz="4" w:space="0" w:color="auto"/>
              <w:right w:val="nil"/>
            </w:tcBorders>
            <w:shd w:val="clear" w:color="auto" w:fill="auto"/>
            <w:noWrap/>
            <w:vAlign w:val="center"/>
            <w:hideMark/>
          </w:tcPr>
          <w:p w14:paraId="08681FC1"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olor w:val="000000"/>
                <w:sz w:val="20"/>
                <w:szCs w:val="20"/>
              </w:rPr>
              <w:t>-5,3</w:t>
            </w:r>
          </w:p>
        </w:tc>
        <w:tc>
          <w:tcPr>
            <w:tcW w:w="293" w:type="pct"/>
            <w:tcBorders>
              <w:top w:val="nil"/>
              <w:left w:val="nil"/>
              <w:bottom w:val="single" w:sz="4" w:space="0" w:color="auto"/>
              <w:right w:val="nil"/>
            </w:tcBorders>
            <w:shd w:val="clear" w:color="auto" w:fill="auto"/>
            <w:noWrap/>
            <w:vAlign w:val="center"/>
            <w:hideMark/>
          </w:tcPr>
          <w:p w14:paraId="1D96F061"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olor w:val="000000"/>
                <w:sz w:val="20"/>
                <w:szCs w:val="20"/>
              </w:rPr>
              <w:t>-5,4</w:t>
            </w:r>
          </w:p>
        </w:tc>
        <w:tc>
          <w:tcPr>
            <w:tcW w:w="293" w:type="pct"/>
            <w:tcBorders>
              <w:top w:val="nil"/>
              <w:left w:val="nil"/>
              <w:bottom w:val="single" w:sz="4" w:space="0" w:color="auto"/>
              <w:right w:val="nil"/>
            </w:tcBorders>
            <w:shd w:val="clear" w:color="auto" w:fill="auto"/>
            <w:noWrap/>
            <w:vAlign w:val="center"/>
            <w:hideMark/>
          </w:tcPr>
          <w:p w14:paraId="429074BB"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olor w:val="000000"/>
                <w:sz w:val="20"/>
                <w:szCs w:val="20"/>
              </w:rPr>
              <w:t>-5,4</w:t>
            </w:r>
          </w:p>
        </w:tc>
        <w:tc>
          <w:tcPr>
            <w:tcW w:w="293" w:type="pct"/>
            <w:tcBorders>
              <w:top w:val="nil"/>
              <w:left w:val="nil"/>
              <w:bottom w:val="single" w:sz="4" w:space="0" w:color="auto"/>
              <w:right w:val="nil"/>
            </w:tcBorders>
            <w:shd w:val="clear" w:color="auto" w:fill="auto"/>
            <w:noWrap/>
            <w:vAlign w:val="center"/>
            <w:hideMark/>
          </w:tcPr>
          <w:p w14:paraId="3ADB0C51"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olor w:val="000000"/>
                <w:sz w:val="20"/>
                <w:szCs w:val="20"/>
              </w:rPr>
              <w:t>-9,3</w:t>
            </w:r>
          </w:p>
        </w:tc>
        <w:tc>
          <w:tcPr>
            <w:tcW w:w="293" w:type="pct"/>
            <w:tcBorders>
              <w:top w:val="nil"/>
              <w:left w:val="nil"/>
              <w:bottom w:val="single" w:sz="4" w:space="0" w:color="auto"/>
              <w:right w:val="nil"/>
            </w:tcBorders>
            <w:shd w:val="clear" w:color="auto" w:fill="auto"/>
            <w:noWrap/>
            <w:vAlign w:val="center"/>
            <w:hideMark/>
          </w:tcPr>
          <w:p w14:paraId="007445DD"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olor w:val="000000"/>
                <w:sz w:val="20"/>
                <w:szCs w:val="20"/>
              </w:rPr>
              <w:t>-7,3</w:t>
            </w:r>
          </w:p>
        </w:tc>
        <w:tc>
          <w:tcPr>
            <w:tcW w:w="293" w:type="pct"/>
            <w:tcBorders>
              <w:top w:val="nil"/>
              <w:left w:val="nil"/>
              <w:bottom w:val="single" w:sz="4" w:space="0" w:color="auto"/>
              <w:right w:val="nil"/>
            </w:tcBorders>
            <w:shd w:val="clear" w:color="auto" w:fill="auto"/>
            <w:noWrap/>
            <w:vAlign w:val="center"/>
            <w:hideMark/>
          </w:tcPr>
          <w:p w14:paraId="07A8D8E0"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olor w:val="000000"/>
                <w:sz w:val="20"/>
                <w:szCs w:val="20"/>
              </w:rPr>
              <w:t>-5,5</w:t>
            </w:r>
          </w:p>
        </w:tc>
        <w:tc>
          <w:tcPr>
            <w:tcW w:w="322" w:type="pct"/>
            <w:tcBorders>
              <w:top w:val="nil"/>
              <w:left w:val="nil"/>
              <w:bottom w:val="single" w:sz="4" w:space="0" w:color="auto"/>
              <w:right w:val="nil"/>
            </w:tcBorders>
          </w:tcPr>
          <w:p w14:paraId="7394B595" w14:textId="77777777" w:rsidR="00D652E3" w:rsidRPr="002C7555" w:rsidRDefault="00D652E3" w:rsidP="00D652E3">
            <w:pPr>
              <w:spacing w:after="0" w:line="240" w:lineRule="auto"/>
              <w:jc w:val="center"/>
              <w:rPr>
                <w:rFonts w:ascii="Arial Narrow" w:hAnsi="Arial Narrow"/>
                <w:color w:val="000000"/>
                <w:sz w:val="20"/>
                <w:szCs w:val="20"/>
              </w:rPr>
            </w:pPr>
            <w:r w:rsidRPr="002C7555">
              <w:rPr>
                <w:rFonts w:ascii="Arial Narrow" w:hAnsi="Arial Narrow"/>
                <w:color w:val="000000"/>
                <w:sz w:val="20"/>
                <w:szCs w:val="20"/>
              </w:rPr>
              <w:t>-</w:t>
            </w:r>
          </w:p>
        </w:tc>
        <w:tc>
          <w:tcPr>
            <w:tcW w:w="289" w:type="pct"/>
            <w:tcBorders>
              <w:top w:val="nil"/>
              <w:left w:val="nil"/>
              <w:bottom w:val="single" w:sz="4" w:space="0" w:color="auto"/>
              <w:right w:val="nil"/>
            </w:tcBorders>
            <w:shd w:val="clear" w:color="auto" w:fill="auto"/>
            <w:noWrap/>
            <w:vAlign w:val="center"/>
            <w:hideMark/>
          </w:tcPr>
          <w:p w14:paraId="2B0700EA" w14:textId="77777777" w:rsidR="00D652E3" w:rsidRPr="002C7555" w:rsidRDefault="00D652E3" w:rsidP="00D652E3">
            <w:pPr>
              <w:spacing w:after="0" w:line="240" w:lineRule="auto"/>
              <w:jc w:val="center"/>
              <w:rPr>
                <w:rFonts w:ascii="Arial Narrow" w:hAnsi="Arial Narrow" w:cs="Calibri"/>
                <w:color w:val="000000"/>
                <w:sz w:val="20"/>
                <w:szCs w:val="20"/>
              </w:rPr>
            </w:pPr>
            <w:r w:rsidRPr="002C7555">
              <w:rPr>
                <w:rFonts w:ascii="Arial Narrow" w:hAnsi="Arial Narrow"/>
                <w:color w:val="000000"/>
                <w:sz w:val="20"/>
                <w:szCs w:val="20"/>
              </w:rPr>
              <w:t>-7,3</w:t>
            </w:r>
          </w:p>
        </w:tc>
      </w:tr>
    </w:tbl>
    <w:p w14:paraId="0A9FA637" w14:textId="77777777" w:rsidR="00D652E3" w:rsidRPr="00D652E3" w:rsidRDefault="00D652E3" w:rsidP="00D652E3">
      <w:pPr>
        <w:spacing w:after="0" w:line="240" w:lineRule="auto"/>
        <w:jc w:val="both"/>
        <w:rPr>
          <w:rFonts w:ascii="Arial Narrow" w:hAnsi="Arial Narrow" w:cstheme="minorHAnsi"/>
          <w:lang w:eastAsia="cs-CZ"/>
        </w:rPr>
      </w:pPr>
    </w:p>
    <w:p w14:paraId="29B84DD8" w14:textId="4140401E" w:rsidR="00D652E3" w:rsidRPr="00D652E3" w:rsidRDefault="00D652E3" w:rsidP="00D652E3">
      <w:pPr>
        <w:spacing w:after="0" w:line="240" w:lineRule="auto"/>
        <w:jc w:val="both"/>
        <w:rPr>
          <w:rFonts w:ascii="Arial Narrow" w:hAnsi="Arial Narrow"/>
          <w:lang w:eastAsia="cs-CZ"/>
        </w:rPr>
      </w:pPr>
      <w:r w:rsidRPr="00D652E3">
        <w:rPr>
          <w:rFonts w:ascii="Arial Narrow" w:hAnsi="Arial Narrow"/>
          <w:lang w:eastAsia="cs-CZ"/>
        </w:rPr>
        <w:t>V roku 2018 bola, na základe kompozitného indexu EPI</w:t>
      </w:r>
      <w:r w:rsidRPr="00D652E3">
        <w:rPr>
          <w:rFonts w:ascii="Arial Narrow" w:hAnsi="Arial Narrow"/>
          <w:vertAlign w:val="superscript"/>
          <w:lang w:eastAsia="cs-CZ"/>
        </w:rPr>
        <w:footnoteReference w:id="113"/>
      </w:r>
      <w:r w:rsidRPr="00D652E3">
        <w:rPr>
          <w:rFonts w:ascii="Arial Narrow" w:hAnsi="Arial Narrow"/>
          <w:lang w:eastAsia="cs-CZ"/>
        </w:rPr>
        <w:t>, celková kvalita životného prostredia na Slovensku hodnotená ako 28. najlepšia na svete, čo predstavuje zhoršenie o štyri miesta v porovnaní s rokom 2016. Aj naďalej existujú oblasti ako odpadové hospodárstvo a kvalita ovzdušia, v ktorých výrazne zaostávame. Slov</w:t>
      </w:r>
      <w:r w:rsidR="000366B3">
        <w:rPr>
          <w:rFonts w:ascii="Arial Narrow" w:hAnsi="Arial Narrow"/>
          <w:lang w:eastAsia="cs-CZ"/>
        </w:rPr>
        <w:t>ensko je pod priemerom krajín EÚ</w:t>
      </w:r>
      <w:r w:rsidRPr="00D652E3">
        <w:rPr>
          <w:rFonts w:ascii="Arial Narrow" w:hAnsi="Arial Narrow"/>
          <w:lang w:eastAsia="cs-CZ"/>
        </w:rPr>
        <w:t xml:space="preserve"> a V3 v miere recyklácie, hoci sa zlepšuje viac ako je priemerná zmena v EÚ. Nadpriemerne veľa obyvateľov Slovenska je vystavených škodlivým prachovým časticiam PM2,5.</w:t>
      </w:r>
    </w:p>
    <w:p w14:paraId="1E8F2459" w14:textId="77777777" w:rsidR="00D652E3" w:rsidRPr="00D652E3" w:rsidRDefault="00D652E3" w:rsidP="00D652E3">
      <w:pPr>
        <w:spacing w:after="0" w:line="240" w:lineRule="auto"/>
        <w:jc w:val="both"/>
        <w:rPr>
          <w:rFonts w:ascii="Arial Narrow" w:hAnsi="Arial Narrow"/>
          <w:lang w:eastAsia="cs-CZ"/>
        </w:rPr>
      </w:pPr>
    </w:p>
    <w:tbl>
      <w:tblPr>
        <w:tblpPr w:leftFromText="141" w:rightFromText="141" w:bottomFromText="60" w:vertAnchor="text" w:horzAnchor="margin" w:tblpXSpec="center" w:tblpY="19"/>
        <w:tblOverlap w:val="never"/>
        <w:tblW w:w="502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3994"/>
        <w:gridCol w:w="157"/>
        <w:gridCol w:w="4451"/>
      </w:tblGrid>
      <w:tr w:rsidR="00D652E3" w:rsidRPr="00D652E3" w14:paraId="6EC0CE5B" w14:textId="77777777" w:rsidTr="00AA3001">
        <w:trPr>
          <w:trHeight w:hRule="exact" w:val="556"/>
        </w:trPr>
        <w:tc>
          <w:tcPr>
            <w:tcW w:w="2322" w:type="pct"/>
            <w:tcBorders>
              <w:top w:val="nil"/>
              <w:left w:val="nil"/>
              <w:bottom w:val="single" w:sz="4" w:space="0" w:color="auto"/>
              <w:right w:val="nil"/>
            </w:tcBorders>
            <w:vAlign w:val="center"/>
            <w:hideMark/>
          </w:tcPr>
          <w:p w14:paraId="74722BBE" w14:textId="77777777" w:rsidR="00D652E3" w:rsidRPr="00484218" w:rsidRDefault="00D652E3" w:rsidP="00D652E3">
            <w:pPr>
              <w:spacing w:after="0" w:line="240" w:lineRule="auto"/>
              <w:rPr>
                <w:rFonts w:ascii="Arial Narrow" w:hAnsi="Arial Narrow"/>
                <w:b/>
                <w:bCs/>
                <w:color w:val="2C9ADC"/>
                <w:sz w:val="20"/>
                <w:lang w:eastAsia="en-US"/>
              </w:rPr>
            </w:pPr>
            <w:bookmarkStart w:id="84" w:name="_Toc4625980"/>
            <w:r w:rsidRPr="00484218">
              <w:rPr>
                <w:rFonts w:ascii="Arial Narrow" w:hAnsi="Arial Narrow"/>
                <w:b/>
                <w:bCs/>
                <w:color w:val="2C9ADC"/>
                <w:sz w:val="20"/>
              </w:rPr>
              <w:t xml:space="preserve">Graf </w:t>
            </w:r>
            <w:r w:rsidRPr="00484218">
              <w:rPr>
                <w:rFonts w:ascii="Arial Narrow" w:hAnsi="Arial Narrow"/>
                <w:b/>
                <w:bCs/>
                <w:noProof/>
                <w:color w:val="2C9ADC"/>
                <w:sz w:val="20"/>
              </w:rPr>
              <w:fldChar w:fldCharType="begin"/>
            </w:r>
            <w:r w:rsidRPr="00484218">
              <w:rPr>
                <w:rFonts w:ascii="Arial Narrow" w:hAnsi="Arial Narrow"/>
                <w:b/>
                <w:bCs/>
                <w:noProof/>
                <w:color w:val="2C9ADC"/>
                <w:sz w:val="20"/>
              </w:rPr>
              <w:instrText xml:space="preserve"> SEQ Graf \* ARABIC </w:instrText>
            </w:r>
            <w:r w:rsidRPr="00484218">
              <w:rPr>
                <w:rFonts w:ascii="Arial Narrow" w:hAnsi="Arial Narrow"/>
                <w:b/>
                <w:bCs/>
                <w:noProof/>
                <w:color w:val="2C9ADC"/>
                <w:sz w:val="20"/>
              </w:rPr>
              <w:fldChar w:fldCharType="separate"/>
            </w:r>
            <w:r w:rsidR="0020148F">
              <w:rPr>
                <w:rFonts w:ascii="Arial Narrow" w:hAnsi="Arial Narrow"/>
                <w:b/>
                <w:bCs/>
                <w:noProof/>
                <w:color w:val="2C9ADC"/>
                <w:sz w:val="20"/>
              </w:rPr>
              <w:t>31</w:t>
            </w:r>
            <w:r w:rsidRPr="00484218">
              <w:rPr>
                <w:rFonts w:ascii="Arial Narrow" w:hAnsi="Arial Narrow"/>
                <w:b/>
                <w:bCs/>
                <w:noProof/>
                <w:color w:val="2C9ADC"/>
                <w:sz w:val="20"/>
              </w:rPr>
              <w:fldChar w:fldCharType="end"/>
            </w:r>
            <w:r w:rsidRPr="00484218">
              <w:rPr>
                <w:rFonts w:ascii="Arial Narrow" w:hAnsi="Arial Narrow"/>
                <w:b/>
                <w:bCs/>
                <w:color w:val="2C9ADC"/>
                <w:sz w:val="20"/>
              </w:rPr>
              <w:t>: Miera recyklácie komunálneho odpadu (%)</w:t>
            </w:r>
            <w:bookmarkEnd w:id="84"/>
          </w:p>
        </w:tc>
        <w:tc>
          <w:tcPr>
            <w:tcW w:w="91" w:type="pct"/>
            <w:tcBorders>
              <w:top w:val="nil"/>
              <w:left w:val="nil"/>
              <w:bottom w:val="nil"/>
              <w:right w:val="nil"/>
            </w:tcBorders>
            <w:vAlign w:val="center"/>
          </w:tcPr>
          <w:p w14:paraId="5B0507D1" w14:textId="77777777" w:rsidR="00D652E3" w:rsidRPr="00484218" w:rsidRDefault="00D652E3" w:rsidP="00D652E3">
            <w:pPr>
              <w:spacing w:after="0" w:line="240" w:lineRule="auto"/>
              <w:jc w:val="both"/>
              <w:rPr>
                <w:rFonts w:ascii="Arial Narrow" w:hAnsi="Arial Narrow" w:cs="Arial"/>
                <w:b/>
                <w:color w:val="2C9ADC"/>
                <w:sz w:val="20"/>
                <w:lang w:eastAsia="en-US"/>
              </w:rPr>
            </w:pPr>
          </w:p>
        </w:tc>
        <w:tc>
          <w:tcPr>
            <w:tcW w:w="2587" w:type="pct"/>
            <w:tcBorders>
              <w:top w:val="nil"/>
              <w:left w:val="nil"/>
              <w:bottom w:val="single" w:sz="4" w:space="0" w:color="auto"/>
              <w:right w:val="nil"/>
            </w:tcBorders>
            <w:vAlign w:val="center"/>
            <w:hideMark/>
          </w:tcPr>
          <w:p w14:paraId="6B09B710" w14:textId="77777777" w:rsidR="00D652E3" w:rsidRPr="00484218" w:rsidRDefault="00D652E3" w:rsidP="00D652E3">
            <w:pPr>
              <w:spacing w:after="0" w:line="240" w:lineRule="auto"/>
              <w:rPr>
                <w:rFonts w:ascii="Arial Narrow" w:hAnsi="Arial Narrow"/>
                <w:b/>
                <w:bCs/>
                <w:color w:val="2C9ADC"/>
                <w:sz w:val="20"/>
              </w:rPr>
            </w:pPr>
            <w:bookmarkStart w:id="85" w:name="_Toc4625981"/>
            <w:r w:rsidRPr="00484218">
              <w:rPr>
                <w:rFonts w:ascii="Arial Narrow" w:hAnsi="Arial Narrow"/>
                <w:b/>
                <w:bCs/>
                <w:color w:val="2C9ADC"/>
                <w:sz w:val="20"/>
              </w:rPr>
              <w:t xml:space="preserve">Graf </w:t>
            </w:r>
            <w:r w:rsidRPr="00484218">
              <w:rPr>
                <w:rFonts w:ascii="Arial Narrow" w:hAnsi="Arial Narrow"/>
                <w:b/>
                <w:bCs/>
                <w:noProof/>
                <w:color w:val="2C9ADC"/>
                <w:sz w:val="20"/>
              </w:rPr>
              <w:fldChar w:fldCharType="begin"/>
            </w:r>
            <w:r w:rsidRPr="00484218">
              <w:rPr>
                <w:rFonts w:ascii="Arial Narrow" w:hAnsi="Arial Narrow"/>
                <w:b/>
                <w:bCs/>
                <w:noProof/>
                <w:color w:val="2C9ADC"/>
                <w:sz w:val="20"/>
              </w:rPr>
              <w:instrText xml:space="preserve"> SEQ Graf \* ARABIC </w:instrText>
            </w:r>
            <w:r w:rsidRPr="00484218">
              <w:rPr>
                <w:rFonts w:ascii="Arial Narrow" w:hAnsi="Arial Narrow"/>
                <w:b/>
                <w:bCs/>
                <w:noProof/>
                <w:color w:val="2C9ADC"/>
                <w:sz w:val="20"/>
              </w:rPr>
              <w:fldChar w:fldCharType="separate"/>
            </w:r>
            <w:r w:rsidR="0020148F">
              <w:rPr>
                <w:rFonts w:ascii="Arial Narrow" w:hAnsi="Arial Narrow"/>
                <w:b/>
                <w:bCs/>
                <w:noProof/>
                <w:color w:val="2C9ADC"/>
                <w:sz w:val="20"/>
              </w:rPr>
              <w:t>32</w:t>
            </w:r>
            <w:r w:rsidRPr="00484218">
              <w:rPr>
                <w:rFonts w:ascii="Arial Narrow" w:hAnsi="Arial Narrow"/>
                <w:b/>
                <w:bCs/>
                <w:noProof/>
                <w:color w:val="2C9ADC"/>
                <w:sz w:val="20"/>
              </w:rPr>
              <w:fldChar w:fldCharType="end"/>
            </w:r>
            <w:r w:rsidRPr="00484218">
              <w:rPr>
                <w:rFonts w:ascii="Arial Narrow" w:hAnsi="Arial Narrow"/>
                <w:b/>
                <w:bCs/>
                <w:color w:val="2C9ADC"/>
                <w:sz w:val="20"/>
              </w:rPr>
              <w:t>: Priemerné vystavenie obyvateľstva PM2,5 v µg/m3 (2015, odhadované hodnoty)</w:t>
            </w:r>
            <w:bookmarkEnd w:id="85"/>
          </w:p>
        </w:tc>
      </w:tr>
      <w:tr w:rsidR="00D652E3" w:rsidRPr="00D652E3" w14:paraId="2B450E41" w14:textId="77777777" w:rsidTr="00AA3001">
        <w:trPr>
          <w:trHeight w:val="2855"/>
        </w:trPr>
        <w:tc>
          <w:tcPr>
            <w:tcW w:w="2322" w:type="pct"/>
            <w:tcBorders>
              <w:top w:val="single" w:sz="4" w:space="0" w:color="auto"/>
              <w:left w:val="nil"/>
              <w:bottom w:val="single" w:sz="4" w:space="0" w:color="auto"/>
              <w:right w:val="nil"/>
            </w:tcBorders>
            <w:vAlign w:val="center"/>
            <w:hideMark/>
          </w:tcPr>
          <w:p w14:paraId="75B96879" w14:textId="77777777" w:rsidR="00D652E3" w:rsidRPr="00D652E3" w:rsidRDefault="00D652E3" w:rsidP="00D652E3">
            <w:pPr>
              <w:spacing w:after="0" w:line="240" w:lineRule="auto"/>
              <w:jc w:val="both"/>
              <w:rPr>
                <w:rFonts w:ascii="Arial Narrow" w:hAnsi="Arial Narrow" w:cs="Arial"/>
                <w:b/>
                <w:lang w:eastAsia="en-US"/>
              </w:rPr>
            </w:pPr>
            <w:r w:rsidRPr="00D652E3">
              <w:rPr>
                <w:rFonts w:ascii="Arial Narrow" w:hAnsi="Arial Narrow"/>
                <w:noProof/>
                <w:lang w:val="en-GB" w:eastAsia="en-GB"/>
              </w:rPr>
              <w:drawing>
                <wp:inline distT="0" distB="0" distL="0" distR="0" wp14:anchorId="69B41121" wp14:editId="4AA94036">
                  <wp:extent cx="2438400" cy="2038350"/>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91" w:type="pct"/>
            <w:tcBorders>
              <w:top w:val="nil"/>
              <w:left w:val="nil"/>
              <w:bottom w:val="nil"/>
              <w:right w:val="nil"/>
            </w:tcBorders>
            <w:vAlign w:val="center"/>
          </w:tcPr>
          <w:p w14:paraId="64E9EE0E" w14:textId="77777777" w:rsidR="00D652E3" w:rsidRPr="00D652E3" w:rsidRDefault="00D652E3" w:rsidP="00D652E3">
            <w:pPr>
              <w:spacing w:after="0" w:line="240" w:lineRule="auto"/>
              <w:jc w:val="both"/>
              <w:rPr>
                <w:rFonts w:ascii="Arial Narrow" w:hAnsi="Arial Narrow" w:cs="Arial"/>
                <w:b/>
              </w:rPr>
            </w:pPr>
          </w:p>
        </w:tc>
        <w:tc>
          <w:tcPr>
            <w:tcW w:w="2587" w:type="pct"/>
            <w:tcBorders>
              <w:top w:val="single" w:sz="4" w:space="0" w:color="auto"/>
              <w:left w:val="nil"/>
              <w:bottom w:val="single" w:sz="4" w:space="0" w:color="auto"/>
              <w:right w:val="nil"/>
            </w:tcBorders>
            <w:vAlign w:val="center"/>
            <w:hideMark/>
          </w:tcPr>
          <w:p w14:paraId="7D5E71EA" w14:textId="77777777" w:rsidR="00D652E3" w:rsidRPr="00D652E3" w:rsidRDefault="00D652E3" w:rsidP="00D652E3">
            <w:pPr>
              <w:spacing w:after="0" w:line="240" w:lineRule="auto"/>
              <w:jc w:val="center"/>
              <w:rPr>
                <w:rFonts w:ascii="Arial Narrow" w:hAnsi="Arial Narrow" w:cs="Arial"/>
                <w:b/>
              </w:rPr>
            </w:pPr>
            <w:r w:rsidRPr="00D652E3">
              <w:rPr>
                <w:rFonts w:ascii="Arial Narrow" w:hAnsi="Arial Narrow"/>
                <w:noProof/>
                <w:lang w:val="en-GB" w:eastAsia="en-GB"/>
              </w:rPr>
              <w:drawing>
                <wp:inline distT="0" distB="0" distL="0" distR="0" wp14:anchorId="386DACBB" wp14:editId="1805C9F5">
                  <wp:extent cx="2722712" cy="1895475"/>
                  <wp:effectExtent l="0" t="0" r="1905"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D652E3" w:rsidRPr="00D652E3" w14:paraId="376F2198" w14:textId="77777777" w:rsidTr="00AA3001">
        <w:trPr>
          <w:trHeight w:hRule="exact" w:val="272"/>
        </w:trPr>
        <w:tc>
          <w:tcPr>
            <w:tcW w:w="2322" w:type="pct"/>
            <w:tcBorders>
              <w:top w:val="single" w:sz="4" w:space="0" w:color="auto"/>
              <w:left w:val="nil"/>
              <w:bottom w:val="nil"/>
              <w:right w:val="nil"/>
            </w:tcBorders>
            <w:vAlign w:val="center"/>
            <w:hideMark/>
          </w:tcPr>
          <w:p w14:paraId="13408AFD" w14:textId="77777777" w:rsidR="00D652E3" w:rsidRPr="00484218" w:rsidRDefault="00D652E3" w:rsidP="00D652E3">
            <w:pPr>
              <w:spacing w:after="0" w:line="240" w:lineRule="auto"/>
              <w:contextualSpacing/>
              <w:jc w:val="right"/>
              <w:rPr>
                <w:rFonts w:ascii="Arial Narrow" w:hAnsi="Arial Narrow" w:cs="Arial"/>
                <w:i/>
                <w:sz w:val="16"/>
              </w:rPr>
            </w:pPr>
            <w:r w:rsidRPr="00484218">
              <w:rPr>
                <w:rFonts w:ascii="Arial Narrow" w:hAnsi="Arial Narrow" w:cs="Arial"/>
                <w:i/>
                <w:iCs/>
                <w:sz w:val="16"/>
              </w:rPr>
              <w:t xml:space="preserve">Zdroj: </w:t>
            </w:r>
            <w:proofErr w:type="spellStart"/>
            <w:r w:rsidRPr="00484218">
              <w:rPr>
                <w:rFonts w:ascii="Arial Narrow" w:hAnsi="Arial Narrow" w:cs="Arial"/>
                <w:i/>
                <w:iCs/>
                <w:sz w:val="16"/>
              </w:rPr>
              <w:t>Eurostat</w:t>
            </w:r>
            <w:proofErr w:type="spellEnd"/>
          </w:p>
        </w:tc>
        <w:tc>
          <w:tcPr>
            <w:tcW w:w="91" w:type="pct"/>
            <w:tcBorders>
              <w:top w:val="nil"/>
              <w:left w:val="nil"/>
              <w:bottom w:val="nil"/>
              <w:right w:val="nil"/>
            </w:tcBorders>
            <w:vAlign w:val="center"/>
          </w:tcPr>
          <w:p w14:paraId="2E20C84E" w14:textId="77777777" w:rsidR="00D652E3" w:rsidRPr="00484218" w:rsidRDefault="00D652E3" w:rsidP="00D652E3">
            <w:pPr>
              <w:spacing w:after="0" w:line="240" w:lineRule="auto"/>
              <w:contextualSpacing/>
              <w:jc w:val="right"/>
              <w:rPr>
                <w:rFonts w:ascii="Arial Narrow" w:hAnsi="Arial Narrow" w:cs="Arial"/>
                <w:i/>
                <w:sz w:val="16"/>
              </w:rPr>
            </w:pPr>
          </w:p>
        </w:tc>
        <w:tc>
          <w:tcPr>
            <w:tcW w:w="2587" w:type="pct"/>
            <w:tcBorders>
              <w:top w:val="single" w:sz="4" w:space="0" w:color="auto"/>
              <w:left w:val="nil"/>
              <w:bottom w:val="nil"/>
              <w:right w:val="nil"/>
            </w:tcBorders>
            <w:vAlign w:val="center"/>
            <w:hideMark/>
          </w:tcPr>
          <w:p w14:paraId="3AB11B3F" w14:textId="77777777" w:rsidR="00D652E3" w:rsidRPr="00484218" w:rsidRDefault="00D652E3" w:rsidP="00D652E3">
            <w:pPr>
              <w:spacing w:after="0" w:line="240" w:lineRule="auto"/>
              <w:contextualSpacing/>
              <w:jc w:val="right"/>
              <w:rPr>
                <w:rFonts w:ascii="Arial Narrow" w:hAnsi="Arial Narrow" w:cs="Arial"/>
                <w:i/>
                <w:sz w:val="16"/>
              </w:rPr>
            </w:pPr>
            <w:r w:rsidRPr="00484218">
              <w:rPr>
                <w:rFonts w:ascii="Arial Narrow" w:hAnsi="Arial Narrow" w:cs="Arial"/>
                <w:i/>
                <w:iCs/>
                <w:sz w:val="16"/>
              </w:rPr>
              <w:t xml:space="preserve">Zdroj: OECD </w:t>
            </w:r>
            <w:r w:rsidRPr="00484218">
              <w:rPr>
                <w:rFonts w:ascii="Arial Narrow" w:hAnsi="Arial Narrow" w:cs="Arial"/>
                <w:i/>
                <w:sz w:val="16"/>
              </w:rPr>
              <w:t xml:space="preserve"> </w:t>
            </w:r>
          </w:p>
        </w:tc>
      </w:tr>
    </w:tbl>
    <w:p w14:paraId="3D6898AA" w14:textId="77777777" w:rsidR="00D652E3" w:rsidRPr="00D652E3" w:rsidRDefault="00D652E3" w:rsidP="00D652E3">
      <w:pPr>
        <w:spacing w:after="0" w:line="240" w:lineRule="auto"/>
        <w:jc w:val="both"/>
        <w:rPr>
          <w:rFonts w:ascii="Arial Narrow" w:hAnsi="Arial Narrow" w:cstheme="minorHAnsi"/>
          <w:b/>
          <w:i/>
          <w:lang w:eastAsia="cs-CZ"/>
        </w:rPr>
      </w:pPr>
    </w:p>
    <w:p w14:paraId="08EE1A98" w14:textId="77777777" w:rsidR="00A161F2" w:rsidRDefault="00A161F2">
      <w:pPr>
        <w:spacing w:after="0" w:line="240" w:lineRule="auto"/>
        <w:rPr>
          <w:rFonts w:ascii="Arial Narrow" w:hAnsi="Arial Narrow"/>
          <w:b/>
          <w:i/>
          <w:lang w:eastAsia="cs-CZ"/>
        </w:rPr>
      </w:pPr>
      <w:r>
        <w:rPr>
          <w:rFonts w:ascii="Arial Narrow" w:hAnsi="Arial Narrow"/>
          <w:b/>
          <w:i/>
          <w:lang w:eastAsia="cs-CZ"/>
        </w:rPr>
        <w:br w:type="page"/>
      </w:r>
    </w:p>
    <w:p w14:paraId="70B5806E" w14:textId="491D6D12" w:rsidR="00D652E3" w:rsidRPr="00D652E3" w:rsidRDefault="00D652E3" w:rsidP="008F2050">
      <w:pPr>
        <w:spacing w:after="0" w:line="240" w:lineRule="auto"/>
        <w:jc w:val="both"/>
        <w:rPr>
          <w:rFonts w:ascii="Arial Narrow" w:hAnsi="Arial Narrow"/>
          <w:b/>
          <w:i/>
          <w:lang w:eastAsia="cs-CZ"/>
        </w:rPr>
      </w:pPr>
      <w:r w:rsidRPr="00D652E3">
        <w:rPr>
          <w:rFonts w:ascii="Arial Narrow" w:hAnsi="Arial Narrow"/>
          <w:b/>
          <w:i/>
          <w:lang w:eastAsia="cs-CZ"/>
        </w:rPr>
        <w:lastRenderedPageBreak/>
        <w:t>Implementácia revízie výdavkov</w:t>
      </w:r>
    </w:p>
    <w:p w14:paraId="7E0CF185" w14:textId="6CCB4CC1" w:rsidR="00D652E3" w:rsidRPr="00D652E3" w:rsidRDefault="00D652E3" w:rsidP="008F2050">
      <w:pPr>
        <w:spacing w:after="0" w:line="240" w:lineRule="auto"/>
        <w:jc w:val="both"/>
        <w:rPr>
          <w:rFonts w:ascii="Arial Narrow" w:hAnsi="Arial Narrow"/>
          <w:lang w:eastAsia="cs-CZ"/>
        </w:rPr>
      </w:pPr>
      <w:r w:rsidRPr="00D652E3">
        <w:rPr>
          <w:rFonts w:ascii="Arial Narrow" w:hAnsi="Arial Narrow"/>
          <w:b/>
          <w:lang w:eastAsia="cs-CZ"/>
        </w:rPr>
        <w:t>V ďalšom období budú realizované opatrenia revízie</w:t>
      </w:r>
      <w:r w:rsidR="000366B3">
        <w:rPr>
          <w:rFonts w:ascii="Arial Narrow" w:hAnsi="Arial Narrow"/>
          <w:b/>
          <w:lang w:eastAsia="cs-CZ"/>
        </w:rPr>
        <w:t xml:space="preserve"> výdavkov na životné prostredie</w:t>
      </w:r>
      <w:r w:rsidRPr="00D652E3">
        <w:rPr>
          <w:rFonts w:ascii="Arial Narrow" w:hAnsi="Arial Narrow"/>
          <w:lang w:eastAsia="cs-CZ"/>
        </w:rPr>
        <w:t xml:space="preserve">. </w:t>
      </w:r>
      <w:r w:rsidR="00AC771F">
        <w:rPr>
          <w:rFonts w:ascii="Arial Narrow" w:hAnsi="Arial Narrow"/>
          <w:lang w:eastAsia="cs-CZ"/>
        </w:rPr>
        <w:t>V Slovenskom vodohospodárskom podniku prebehol audit, ktorý navrhol opatrenia na zefektívnenie prevádzky. Revízia navrhla</w:t>
      </w:r>
      <w:r w:rsidR="00233360">
        <w:rPr>
          <w:rFonts w:ascii="Arial Narrow" w:hAnsi="Arial Narrow"/>
          <w:lang w:eastAsia="cs-CZ"/>
        </w:rPr>
        <w:t xml:space="preserve"> tiež</w:t>
      </w:r>
      <w:r w:rsidR="00AC771F">
        <w:rPr>
          <w:rFonts w:ascii="Arial Narrow" w:hAnsi="Arial Narrow"/>
          <w:lang w:eastAsia="cs-CZ"/>
        </w:rPr>
        <w:t xml:space="preserve"> opatrenia na zlepšenie manažmentu odpadov a skvalitnenie ovzdušia. </w:t>
      </w:r>
      <w:r w:rsidRPr="00D652E3">
        <w:rPr>
          <w:rFonts w:ascii="Arial Narrow" w:hAnsi="Arial Narrow"/>
          <w:lang w:eastAsia="cs-CZ"/>
        </w:rPr>
        <w:t>Ich realizácia povedie k zvýšeniu hodnoty v oblasti zlepšovania kvality životného prostredia</w:t>
      </w:r>
      <w:r w:rsidR="00237AEE">
        <w:rPr>
          <w:rFonts w:ascii="Arial Narrow" w:hAnsi="Arial Narrow"/>
          <w:lang w:eastAsia="cs-CZ"/>
        </w:rPr>
        <w:t>.</w:t>
      </w:r>
      <w:r w:rsidRPr="00D652E3">
        <w:rPr>
          <w:rFonts w:ascii="Arial Narrow" w:hAnsi="Arial Narrow"/>
          <w:lang w:eastAsia="cs-CZ"/>
        </w:rPr>
        <w:t xml:space="preserve"> </w:t>
      </w:r>
    </w:p>
    <w:p w14:paraId="519A7B5E" w14:textId="77777777" w:rsidR="00D652E3" w:rsidRPr="00D652E3" w:rsidRDefault="00D652E3" w:rsidP="00D652E3">
      <w:pPr>
        <w:spacing w:after="0" w:line="240" w:lineRule="auto"/>
        <w:rPr>
          <w:rFonts w:ascii="Arial Narrow" w:hAnsi="Arial Narrow"/>
          <w:b/>
          <w:i/>
          <w:lang w:eastAsia="cs-CZ"/>
        </w:rPr>
      </w:pPr>
    </w:p>
    <w:p w14:paraId="2E7BAF53" w14:textId="77777777" w:rsidR="00D652E3" w:rsidRPr="00D652E3" w:rsidRDefault="00D652E3" w:rsidP="00D652E3">
      <w:pPr>
        <w:spacing w:after="0" w:line="240" w:lineRule="auto"/>
        <w:jc w:val="both"/>
        <w:rPr>
          <w:rFonts w:ascii="Arial Narrow" w:hAnsi="Arial Narrow"/>
          <w:b/>
          <w:i/>
          <w:lang w:eastAsia="cs-CZ"/>
        </w:rPr>
      </w:pPr>
      <w:r w:rsidRPr="00D652E3">
        <w:rPr>
          <w:rFonts w:ascii="Arial Narrow" w:hAnsi="Arial Narrow"/>
          <w:b/>
          <w:i/>
          <w:lang w:eastAsia="cs-CZ"/>
        </w:rPr>
        <w:t>Environmentálne stratégie</w:t>
      </w:r>
    </w:p>
    <w:p w14:paraId="5A01C563" w14:textId="374030BE" w:rsidR="00D652E3" w:rsidRPr="00D652E3" w:rsidRDefault="00D652E3" w:rsidP="00D652E3">
      <w:pPr>
        <w:spacing w:after="0" w:line="240" w:lineRule="auto"/>
        <w:jc w:val="both"/>
        <w:rPr>
          <w:rFonts w:ascii="Arial Narrow" w:hAnsi="Arial Narrow"/>
          <w:lang w:eastAsia="cs-CZ"/>
        </w:rPr>
      </w:pPr>
      <w:r w:rsidRPr="00D652E3">
        <w:rPr>
          <w:rFonts w:ascii="Arial Narrow" w:hAnsi="Arial Narrow" w:cstheme="minorHAnsi"/>
          <w:b/>
          <w:lang w:eastAsia="cs-CZ"/>
        </w:rPr>
        <w:t xml:space="preserve">Budú predstavené dôležite strategické dokumenty na riešenie hlavných výziev životného prostredia – kvalita ovzdušia a odpady. </w:t>
      </w:r>
      <w:r w:rsidRPr="00D652E3">
        <w:rPr>
          <w:rFonts w:ascii="Arial Narrow" w:hAnsi="Arial Narrow"/>
          <w:lang w:eastAsia="cs-CZ"/>
        </w:rPr>
        <w:t>V</w:t>
      </w:r>
      <w:r w:rsidR="008F2050">
        <w:rPr>
          <w:rFonts w:ascii="Arial Narrow" w:hAnsi="Arial Narrow"/>
          <w:lang w:eastAsia="cs-CZ"/>
        </w:rPr>
        <w:t>o februári</w:t>
      </w:r>
      <w:r w:rsidRPr="00D652E3">
        <w:rPr>
          <w:rFonts w:ascii="Arial Narrow" w:hAnsi="Arial Narrow"/>
          <w:lang w:eastAsia="cs-CZ"/>
        </w:rPr>
        <w:t xml:space="preserve"> 2019 b</w:t>
      </w:r>
      <w:r w:rsidR="008F2050">
        <w:rPr>
          <w:rFonts w:ascii="Arial Narrow" w:hAnsi="Arial Narrow"/>
          <w:lang w:eastAsia="cs-CZ"/>
        </w:rPr>
        <w:t>ola</w:t>
      </w:r>
      <w:r w:rsidRPr="00D652E3">
        <w:rPr>
          <w:rFonts w:ascii="Arial Narrow" w:hAnsi="Arial Narrow"/>
          <w:lang w:eastAsia="cs-CZ"/>
        </w:rPr>
        <w:t xml:space="preserve"> </w:t>
      </w:r>
      <w:r w:rsidR="00233360">
        <w:rPr>
          <w:rFonts w:ascii="Arial Narrow" w:hAnsi="Arial Narrow"/>
          <w:lang w:eastAsia="cs-CZ"/>
        </w:rPr>
        <w:t>schválená</w:t>
      </w:r>
      <w:r w:rsidRPr="00D652E3">
        <w:rPr>
          <w:rFonts w:ascii="Arial Narrow" w:hAnsi="Arial Narrow"/>
          <w:lang w:eastAsia="cs-CZ"/>
        </w:rPr>
        <w:t xml:space="preserve"> </w:t>
      </w:r>
      <w:r w:rsidRPr="008F2050">
        <w:rPr>
          <w:rFonts w:ascii="Arial Narrow" w:hAnsi="Arial Narrow"/>
          <w:i/>
          <w:lang w:eastAsia="cs-CZ"/>
        </w:rPr>
        <w:t>Stratégia environmentálnej politiky do roku 2030</w:t>
      </w:r>
      <w:r w:rsidRPr="00D652E3">
        <w:rPr>
          <w:rFonts w:ascii="Arial Narrow" w:hAnsi="Arial Narrow"/>
          <w:lang w:eastAsia="cs-CZ"/>
        </w:rPr>
        <w:t>, ktorá nastav</w:t>
      </w:r>
      <w:r w:rsidR="00233360">
        <w:rPr>
          <w:rFonts w:ascii="Arial Narrow" w:hAnsi="Arial Narrow"/>
          <w:lang w:eastAsia="cs-CZ"/>
        </w:rPr>
        <w:t>uje</w:t>
      </w:r>
      <w:r w:rsidRPr="00D652E3">
        <w:rPr>
          <w:rFonts w:ascii="Arial Narrow" w:hAnsi="Arial Narrow"/>
          <w:lang w:eastAsia="cs-CZ"/>
        </w:rPr>
        <w:t xml:space="preserve"> merateľné ciele a navrhuje systémové riešenia pre najväčšie environmentálne výzvy Slovenska ako kvalitu ovzdušia, odpady a ochranu prírodných biotopov. </w:t>
      </w:r>
      <w:r w:rsidR="0016312D">
        <w:rPr>
          <w:rFonts w:ascii="Arial Narrow" w:hAnsi="Arial Narrow" w:cstheme="minorHAnsi"/>
          <w:lang w:eastAsia="cs-CZ"/>
        </w:rPr>
        <w:t xml:space="preserve">V marci </w:t>
      </w:r>
      <w:r w:rsidR="002E0FF2">
        <w:rPr>
          <w:rFonts w:ascii="Arial Narrow" w:hAnsi="Arial Narrow" w:cstheme="minorHAnsi"/>
          <w:lang w:eastAsia="cs-CZ"/>
        </w:rPr>
        <w:t xml:space="preserve">2019 </w:t>
      </w:r>
      <w:r w:rsidR="0016312D">
        <w:rPr>
          <w:rFonts w:ascii="Arial Narrow" w:hAnsi="Arial Narrow" w:cstheme="minorHAnsi"/>
          <w:lang w:eastAsia="cs-CZ"/>
        </w:rPr>
        <w:t xml:space="preserve">bol vládou schválený </w:t>
      </w:r>
      <w:r w:rsidR="0016312D" w:rsidRPr="0016312D">
        <w:rPr>
          <w:rFonts w:ascii="Arial Narrow" w:hAnsi="Arial Narrow" w:cstheme="minorHAnsi"/>
          <w:i/>
          <w:lang w:eastAsia="cs-CZ"/>
        </w:rPr>
        <w:t>Návrh</w:t>
      </w:r>
      <w:r w:rsidR="0016312D">
        <w:rPr>
          <w:rFonts w:ascii="Arial Narrow" w:hAnsi="Arial Narrow" w:cstheme="minorHAnsi"/>
          <w:i/>
          <w:lang w:eastAsia="cs-CZ"/>
        </w:rPr>
        <w:t xml:space="preserve"> </w:t>
      </w:r>
      <w:r w:rsidR="0016312D" w:rsidRPr="0016312D">
        <w:rPr>
          <w:rFonts w:ascii="Arial Narrow" w:hAnsi="Arial Narrow" w:cstheme="minorHAnsi"/>
          <w:i/>
          <w:lang w:eastAsia="cs-CZ"/>
        </w:rPr>
        <w:t>a</w:t>
      </w:r>
      <w:r w:rsidRPr="0016312D">
        <w:rPr>
          <w:rFonts w:ascii="Arial Narrow" w:hAnsi="Arial Narrow" w:cstheme="minorHAnsi"/>
          <w:i/>
          <w:lang w:eastAsia="cs-CZ"/>
        </w:rPr>
        <w:t>kčn</w:t>
      </w:r>
      <w:r w:rsidR="0016312D" w:rsidRPr="00ED64EF">
        <w:rPr>
          <w:rFonts w:ascii="Arial Narrow" w:hAnsi="Arial Narrow" w:cstheme="minorHAnsi"/>
          <w:i/>
          <w:lang w:eastAsia="cs-CZ"/>
        </w:rPr>
        <w:t xml:space="preserve">ého </w:t>
      </w:r>
      <w:r w:rsidRPr="00ED64EF">
        <w:rPr>
          <w:rFonts w:ascii="Arial Narrow" w:hAnsi="Arial Narrow" w:cstheme="minorHAnsi"/>
          <w:i/>
          <w:lang w:eastAsia="cs-CZ"/>
        </w:rPr>
        <w:t>plán</w:t>
      </w:r>
      <w:r w:rsidR="0016312D" w:rsidRPr="00ED64EF">
        <w:rPr>
          <w:rFonts w:ascii="Arial Narrow" w:hAnsi="Arial Narrow" w:cstheme="minorHAnsi"/>
          <w:i/>
          <w:lang w:eastAsia="cs-CZ"/>
        </w:rPr>
        <w:t>u</w:t>
      </w:r>
      <w:r w:rsidRPr="00766651">
        <w:rPr>
          <w:rFonts w:ascii="Arial Narrow" w:hAnsi="Arial Narrow" w:cstheme="minorHAnsi"/>
          <w:i/>
          <w:lang w:eastAsia="cs-CZ"/>
        </w:rPr>
        <w:t xml:space="preserve"> rozvoja </w:t>
      </w:r>
      <w:proofErr w:type="spellStart"/>
      <w:r w:rsidRPr="00766651">
        <w:rPr>
          <w:rFonts w:ascii="Arial Narrow" w:hAnsi="Arial Narrow" w:cstheme="minorHAnsi"/>
          <w:i/>
          <w:lang w:eastAsia="cs-CZ"/>
        </w:rPr>
        <w:t>elektromobility</w:t>
      </w:r>
      <w:proofErr w:type="spellEnd"/>
      <w:r w:rsidRPr="00766651">
        <w:rPr>
          <w:rFonts w:ascii="Arial Narrow" w:hAnsi="Arial Narrow" w:cstheme="minorHAnsi"/>
          <w:i/>
          <w:lang w:eastAsia="cs-CZ"/>
        </w:rPr>
        <w:t xml:space="preserve"> v Slovenskej republike</w:t>
      </w:r>
      <w:r w:rsidRPr="00766651">
        <w:rPr>
          <w:rFonts w:ascii="Arial Narrow" w:hAnsi="Arial Narrow" w:cstheme="minorHAnsi"/>
          <w:vertAlign w:val="superscript"/>
          <w:lang w:eastAsia="cs-CZ"/>
        </w:rPr>
        <w:footnoteReference w:id="114"/>
      </w:r>
      <w:r w:rsidR="002E0FF2">
        <w:rPr>
          <w:rFonts w:ascii="Arial Narrow" w:hAnsi="Arial Narrow" w:cstheme="minorHAnsi"/>
          <w:lang w:eastAsia="cs-CZ"/>
        </w:rPr>
        <w:t>, ktorého cieľom je</w:t>
      </w:r>
      <w:r w:rsidRPr="00D652E3">
        <w:rPr>
          <w:rFonts w:ascii="Arial Narrow" w:hAnsi="Arial Narrow" w:cstheme="minorHAnsi"/>
          <w:lang w:eastAsia="cs-CZ"/>
        </w:rPr>
        <w:t xml:space="preserve"> zadefinovanie </w:t>
      </w:r>
      <w:r w:rsidR="002E0FF2">
        <w:rPr>
          <w:rFonts w:ascii="Arial Narrow" w:hAnsi="Arial Narrow" w:cstheme="minorHAnsi"/>
          <w:lang w:eastAsia="cs-CZ"/>
        </w:rPr>
        <w:t>konkrétnych opatrení</w:t>
      </w:r>
      <w:r w:rsidRPr="00D652E3">
        <w:rPr>
          <w:rFonts w:ascii="Arial Narrow" w:hAnsi="Arial Narrow" w:cstheme="minorHAnsi"/>
          <w:lang w:eastAsia="cs-CZ"/>
        </w:rPr>
        <w:t xml:space="preserve"> </w:t>
      </w:r>
      <w:r w:rsidR="002E0FF2">
        <w:rPr>
          <w:rFonts w:ascii="Arial Narrow" w:hAnsi="Arial Narrow" w:cstheme="minorHAnsi"/>
          <w:lang w:eastAsia="cs-CZ"/>
        </w:rPr>
        <w:t>na</w:t>
      </w:r>
      <w:r w:rsidRPr="00D652E3">
        <w:rPr>
          <w:rFonts w:ascii="Arial Narrow" w:hAnsi="Arial Narrow" w:cstheme="minorHAnsi"/>
          <w:lang w:eastAsia="cs-CZ"/>
        </w:rPr>
        <w:t xml:space="preserve"> podpor</w:t>
      </w:r>
      <w:r w:rsidR="002E0FF2">
        <w:rPr>
          <w:rFonts w:ascii="Arial Narrow" w:hAnsi="Arial Narrow" w:cstheme="minorHAnsi"/>
          <w:lang w:eastAsia="cs-CZ"/>
        </w:rPr>
        <w:t>u</w:t>
      </w:r>
      <w:r w:rsidRPr="00D652E3">
        <w:rPr>
          <w:rFonts w:ascii="Arial Narrow" w:hAnsi="Arial Narrow" w:cstheme="minorHAnsi"/>
          <w:lang w:eastAsia="cs-CZ"/>
        </w:rPr>
        <w:t xml:space="preserve"> rozvoja </w:t>
      </w:r>
      <w:proofErr w:type="spellStart"/>
      <w:r w:rsidRPr="00D652E3">
        <w:rPr>
          <w:rFonts w:ascii="Arial Narrow" w:hAnsi="Arial Narrow" w:cstheme="minorHAnsi"/>
          <w:lang w:eastAsia="cs-CZ"/>
        </w:rPr>
        <w:t>elektromobility</w:t>
      </w:r>
      <w:proofErr w:type="spellEnd"/>
      <w:r w:rsidRPr="00D652E3">
        <w:rPr>
          <w:rFonts w:ascii="Arial Narrow" w:hAnsi="Arial Narrow" w:cstheme="minorHAnsi"/>
          <w:lang w:eastAsia="cs-CZ"/>
        </w:rPr>
        <w:t xml:space="preserve">. V oblasti podpory používania alternatívnych palív je vypracovaný </w:t>
      </w:r>
      <w:r w:rsidRPr="00D652E3">
        <w:rPr>
          <w:rFonts w:ascii="Arial Narrow" w:hAnsi="Arial Narrow" w:cstheme="minorHAnsi"/>
          <w:i/>
          <w:lang w:eastAsia="cs-CZ"/>
        </w:rPr>
        <w:t>Národný politický rámec pre rozvoj trhu s alternatívnymi palivami</w:t>
      </w:r>
      <w:r w:rsidRPr="00D652E3">
        <w:rPr>
          <w:rFonts w:ascii="Arial Narrow" w:hAnsi="Arial Narrow"/>
          <w:i/>
        </w:rPr>
        <w:t>.</w:t>
      </w:r>
      <w:r w:rsidRPr="00D652E3">
        <w:rPr>
          <w:rFonts w:ascii="Arial Narrow" w:hAnsi="Arial Narrow"/>
        </w:rPr>
        <w:t xml:space="preserve"> </w:t>
      </w:r>
      <w:r w:rsidRPr="00D652E3">
        <w:rPr>
          <w:rFonts w:ascii="Arial Narrow" w:hAnsi="Arial Narrow" w:cstheme="minorHAnsi"/>
          <w:lang w:eastAsia="cs-CZ"/>
        </w:rPr>
        <w:t>Dokument zhodnotí opatrenia pre splnenie národných cieľov a opatrenia na podporu zavádzania infraštruktúry pre alternatívne palivá.</w:t>
      </w:r>
      <w:r w:rsidRPr="00D652E3">
        <w:rPr>
          <w:rFonts w:ascii="Arial Narrow" w:hAnsi="Arial Narrow"/>
          <w:b/>
          <w:i/>
          <w:lang w:eastAsia="cs-CZ"/>
        </w:rPr>
        <w:t xml:space="preserve"> </w:t>
      </w:r>
      <w:r w:rsidRPr="00D652E3">
        <w:rPr>
          <w:rFonts w:ascii="Arial Narrow" w:hAnsi="Arial Narrow"/>
          <w:lang w:eastAsia="cs-CZ"/>
        </w:rPr>
        <w:t xml:space="preserve">Okrem toho bude vypracovaná </w:t>
      </w:r>
      <w:proofErr w:type="spellStart"/>
      <w:r w:rsidRPr="008F2050">
        <w:rPr>
          <w:rFonts w:ascii="Arial Narrow" w:hAnsi="Arial Narrow"/>
          <w:i/>
          <w:lang w:eastAsia="cs-CZ"/>
        </w:rPr>
        <w:t>Nízkouhlíková</w:t>
      </w:r>
      <w:proofErr w:type="spellEnd"/>
      <w:r w:rsidRPr="008F2050">
        <w:rPr>
          <w:rFonts w:ascii="Arial Narrow" w:hAnsi="Arial Narrow"/>
          <w:i/>
          <w:lang w:eastAsia="cs-CZ"/>
        </w:rPr>
        <w:t xml:space="preserve"> stratégia</w:t>
      </w:r>
      <w:r w:rsidRPr="00D652E3">
        <w:rPr>
          <w:rFonts w:ascii="Arial Narrow" w:hAnsi="Arial Narrow"/>
          <w:lang w:eastAsia="cs-CZ"/>
        </w:rPr>
        <w:t>, ktorá identifikuje možnosti rozvoja slovenskej ekonomiky s výhľadom do roku 2050. Národný program riadenia znečisťovania ovzdušia a </w:t>
      </w:r>
      <w:r w:rsidRPr="00D652E3">
        <w:rPr>
          <w:rFonts w:ascii="Arial Narrow" w:hAnsi="Arial Narrow"/>
          <w:i/>
          <w:lang w:eastAsia="cs-CZ"/>
        </w:rPr>
        <w:t>Stratégia na zlepšenie kvality ovzdušia</w:t>
      </w:r>
      <w:r w:rsidRPr="00D652E3">
        <w:rPr>
          <w:rFonts w:ascii="Arial Narrow" w:hAnsi="Arial Narrow"/>
          <w:lang w:eastAsia="cs-CZ"/>
        </w:rPr>
        <w:t xml:space="preserve"> budú schválené vládou a tým prispejú k zvýšeniu kvality ovzdušia a dosahovaniu medzinárodných záväzkov SR v oblasti znižovania emisií.</w:t>
      </w:r>
    </w:p>
    <w:p w14:paraId="10FE56B0" w14:textId="77777777" w:rsidR="00D652E3" w:rsidRPr="00D652E3" w:rsidRDefault="00D652E3" w:rsidP="00D652E3">
      <w:pPr>
        <w:spacing w:after="0" w:line="240" w:lineRule="auto"/>
        <w:jc w:val="both"/>
        <w:rPr>
          <w:rFonts w:ascii="Arial Narrow" w:hAnsi="Arial Narrow"/>
          <w:lang w:eastAsia="cs-CZ"/>
        </w:rPr>
      </w:pPr>
    </w:p>
    <w:p w14:paraId="08504AC0" w14:textId="77777777" w:rsidR="00D652E3" w:rsidRPr="00D652E3" w:rsidRDefault="00D652E3" w:rsidP="00D652E3">
      <w:pPr>
        <w:autoSpaceDE w:val="0"/>
        <w:autoSpaceDN w:val="0"/>
        <w:adjustRightInd w:val="0"/>
        <w:spacing w:after="0" w:line="240" w:lineRule="auto"/>
        <w:jc w:val="both"/>
        <w:rPr>
          <w:rFonts w:ascii="Arial Narrow" w:hAnsi="Arial Narrow" w:cs="Arial"/>
          <w:b/>
          <w:bCs/>
          <w:i/>
          <w:color w:val="000000"/>
        </w:rPr>
      </w:pPr>
      <w:r w:rsidRPr="00D652E3">
        <w:rPr>
          <w:rFonts w:ascii="Arial Narrow" w:hAnsi="Arial Narrow"/>
          <w:b/>
          <w:bCs/>
          <w:i/>
          <w:color w:val="000000"/>
        </w:rPr>
        <w:t>Ochrana prírody a biodiverzity</w:t>
      </w:r>
    </w:p>
    <w:p w14:paraId="0B504CB1" w14:textId="77777777" w:rsidR="00484218" w:rsidRDefault="00D652E3" w:rsidP="00D652E3">
      <w:pPr>
        <w:spacing w:after="0" w:line="240" w:lineRule="auto"/>
        <w:jc w:val="both"/>
        <w:rPr>
          <w:rFonts w:ascii="Arial Narrow" w:hAnsi="Arial Narrow"/>
          <w:bCs/>
          <w:color w:val="000000"/>
        </w:rPr>
      </w:pPr>
      <w:r w:rsidRPr="00D652E3">
        <w:rPr>
          <w:rFonts w:ascii="Arial Narrow" w:hAnsi="Arial Narrow"/>
          <w:b/>
          <w:bCs/>
          <w:color w:val="000000"/>
        </w:rPr>
        <w:t>Dôležitou výzvou životného prostredia bude riešenie ochrany chránených území.</w:t>
      </w:r>
      <w:r w:rsidRPr="00D652E3">
        <w:rPr>
          <w:rFonts w:ascii="Arial Narrow" w:hAnsi="Arial Narrow"/>
          <w:bCs/>
          <w:color w:val="000000"/>
        </w:rPr>
        <w:t xml:space="preserve"> Vláde bude na schválenie predložená </w:t>
      </w:r>
      <w:r w:rsidRPr="000366B3">
        <w:rPr>
          <w:rFonts w:ascii="Arial Narrow" w:hAnsi="Arial Narrow"/>
          <w:bCs/>
          <w:color w:val="000000"/>
        </w:rPr>
        <w:t>novela zákona o ochrane prírody a krajiny</w:t>
      </w:r>
      <w:r w:rsidRPr="00D652E3">
        <w:rPr>
          <w:rFonts w:ascii="Arial Narrow" w:hAnsi="Arial Narrow"/>
          <w:bCs/>
          <w:color w:val="000000"/>
        </w:rPr>
        <w:t>, ktorá zefektívni systém manažmentu a ochrany chránených území. Zintenzívni sa riešenie otázky vlastníckych vzťahov v chránených územiach. Zváži sa zavedenie inovatívnych zdrojov financovania ochrany prírody.</w:t>
      </w:r>
    </w:p>
    <w:p w14:paraId="229AEAD5" w14:textId="77777777" w:rsidR="00D652E3" w:rsidRPr="00D652E3" w:rsidRDefault="00D652E3" w:rsidP="00D652E3">
      <w:pPr>
        <w:spacing w:after="0" w:line="240" w:lineRule="auto"/>
        <w:jc w:val="both"/>
        <w:rPr>
          <w:rFonts w:ascii="Arial Narrow" w:hAnsi="Arial Narrow"/>
          <w:lang w:eastAsia="cs-CZ"/>
        </w:rPr>
      </w:pPr>
    </w:p>
    <w:p w14:paraId="2C2FC0A0" w14:textId="77777777" w:rsidR="00D652E3" w:rsidRPr="00D652E3" w:rsidRDefault="00D652E3" w:rsidP="00D652E3">
      <w:pPr>
        <w:spacing w:after="0" w:line="240" w:lineRule="auto"/>
        <w:jc w:val="both"/>
        <w:rPr>
          <w:rFonts w:ascii="Arial Narrow" w:eastAsiaTheme="minorHAnsi" w:hAnsi="Arial Narrow"/>
          <w:b/>
          <w:i/>
          <w:lang w:eastAsia="en-US"/>
        </w:rPr>
      </w:pPr>
      <w:r w:rsidRPr="00D652E3">
        <w:rPr>
          <w:rFonts w:ascii="Arial Narrow" w:hAnsi="Arial Narrow"/>
          <w:b/>
          <w:i/>
        </w:rPr>
        <w:t>Obehové hospodárstvo</w:t>
      </w:r>
    </w:p>
    <w:p w14:paraId="3EFD8C66" w14:textId="1889EA6E" w:rsidR="00D652E3" w:rsidRPr="00541050" w:rsidRDefault="00D652E3" w:rsidP="00F51C1B">
      <w:pPr>
        <w:spacing w:after="0" w:line="240" w:lineRule="auto"/>
        <w:jc w:val="both"/>
        <w:rPr>
          <w:rFonts w:ascii="Arial Narrow" w:hAnsi="Arial Narrow"/>
          <w:color w:val="000000"/>
        </w:rPr>
      </w:pPr>
      <w:r w:rsidRPr="00D652E3">
        <w:rPr>
          <w:rFonts w:ascii="Arial Narrow" w:hAnsi="Arial Narrow"/>
          <w:b/>
          <w:color w:val="000000"/>
        </w:rPr>
        <w:t>Prechod na obehové hospodárstvo bude nástrojom nielen environmentálnej, ale najmä hospodárskej politiky štátu.</w:t>
      </w:r>
      <w:r w:rsidRPr="00D652E3">
        <w:rPr>
          <w:rFonts w:ascii="Arial Narrow" w:hAnsi="Arial Narrow"/>
          <w:color w:val="000000"/>
        </w:rPr>
        <w:t xml:space="preserve"> Bude sa posilňovať úloha zeleného verejného obstarávania, environmentálneho označovania a environmentálneho manažmentu vo všetkých sektoroch s dôrazom na štátnu a verejnú správu.</w:t>
      </w:r>
      <w:r w:rsidR="00541050">
        <w:rPr>
          <w:rFonts w:ascii="Arial Narrow" w:hAnsi="Arial Narrow"/>
          <w:color w:val="000000"/>
        </w:rPr>
        <w:t xml:space="preserve"> Vo februári 2019 bol vládou SR schválený </w:t>
      </w:r>
      <w:r w:rsidR="00541050">
        <w:rPr>
          <w:rFonts w:ascii="Arial Narrow" w:hAnsi="Arial Narrow"/>
          <w:i/>
          <w:iCs/>
          <w:color w:val="000000"/>
        </w:rPr>
        <w:t>Program predchádzania vzniku odpadu Slovenskej republiky</w:t>
      </w:r>
      <w:r w:rsidR="00541050">
        <w:rPr>
          <w:rFonts w:ascii="Arial Narrow" w:hAnsi="Arial Narrow"/>
          <w:color w:val="000000"/>
        </w:rPr>
        <w:t xml:space="preserve"> na roky 2019-2025. </w:t>
      </w:r>
      <w:r w:rsidRPr="00D652E3">
        <w:rPr>
          <w:rFonts w:ascii="Arial Narrow" w:hAnsi="Arial Narrow"/>
          <w:bCs/>
          <w:color w:val="000000"/>
        </w:rPr>
        <w:t xml:space="preserve">Cieľom programu bude </w:t>
      </w:r>
      <w:r w:rsidRPr="00D652E3">
        <w:rPr>
          <w:rFonts w:ascii="Arial Narrow" w:hAnsi="Arial Narrow"/>
          <w:color w:val="000000"/>
        </w:rPr>
        <w:t>minimalizácia tvorby odpadu a dôsledné dodržiavanie hierarchie odpadového hospodárstva</w:t>
      </w:r>
      <w:r w:rsidRPr="00D652E3">
        <w:rPr>
          <w:rFonts w:ascii="Arial Narrow" w:hAnsi="Arial Narrow"/>
          <w:bCs/>
          <w:color w:val="000000"/>
        </w:rPr>
        <w:t xml:space="preserve">. Nový informačný systém odpadového hospodárstva pomôže zlepšiť kontrolu nad tokmi odpadov. </w:t>
      </w:r>
      <w:r w:rsidR="004E390C">
        <w:rPr>
          <w:rFonts w:ascii="Arial Narrow" w:hAnsi="Arial Narrow"/>
          <w:color w:val="000000"/>
        </w:rPr>
        <w:t>Nový zákon o zálohovaní jednorazových nápojových obalov bude schválený v priebehu roka 2019 a s predpokladanou účinnosťou od januára 2020 zavedie osobitný zálohový systém zberu pre PET fľaše a plechovky.</w:t>
      </w:r>
    </w:p>
    <w:p w14:paraId="1FFFE977" w14:textId="77777777" w:rsidR="00D652E3" w:rsidRPr="00D652E3" w:rsidRDefault="00D652E3" w:rsidP="00D652E3">
      <w:pPr>
        <w:autoSpaceDE w:val="0"/>
        <w:autoSpaceDN w:val="0"/>
        <w:adjustRightInd w:val="0"/>
        <w:spacing w:after="0" w:line="240" w:lineRule="auto"/>
        <w:jc w:val="both"/>
        <w:rPr>
          <w:rFonts w:ascii="Arial Narrow" w:hAnsi="Arial Narrow"/>
          <w:bCs/>
          <w:color w:val="000000"/>
        </w:rPr>
      </w:pPr>
    </w:p>
    <w:p w14:paraId="5EA62DE9" w14:textId="77777777" w:rsidR="00D652E3" w:rsidRDefault="00D652E3" w:rsidP="00D652E3">
      <w:pPr>
        <w:autoSpaceDE w:val="0"/>
        <w:autoSpaceDN w:val="0"/>
        <w:adjustRightInd w:val="0"/>
        <w:spacing w:after="0" w:line="240" w:lineRule="auto"/>
        <w:jc w:val="both"/>
        <w:rPr>
          <w:rFonts w:ascii="Arial Narrow" w:hAnsi="Arial Narrow" w:cstheme="minorHAnsi"/>
          <w:lang w:eastAsia="cs-CZ"/>
        </w:rPr>
      </w:pPr>
    </w:p>
    <w:p w14:paraId="283C2B92" w14:textId="77777777" w:rsidR="005E6415" w:rsidRPr="004C54B9" w:rsidRDefault="005E6415" w:rsidP="005E6415">
      <w:pPr>
        <w:autoSpaceDE w:val="0"/>
        <w:autoSpaceDN w:val="0"/>
        <w:adjustRightInd w:val="0"/>
        <w:spacing w:after="0" w:line="240" w:lineRule="auto"/>
        <w:jc w:val="both"/>
        <w:rPr>
          <w:rFonts w:ascii="Arial Narrow" w:hAnsi="Arial Narrow"/>
        </w:rPr>
      </w:pPr>
      <w:r w:rsidRPr="004C54B9">
        <w:rPr>
          <w:rFonts w:ascii="Arial Narrow" w:hAnsi="Arial Narrow"/>
        </w:rPr>
        <w:t xml:space="preserve"> </w:t>
      </w:r>
    </w:p>
    <w:p w14:paraId="27605768" w14:textId="77777777" w:rsidR="00D14CD3" w:rsidRPr="004C54B9" w:rsidRDefault="00D14CD3" w:rsidP="004C54B9">
      <w:pPr>
        <w:pStyle w:val="Default"/>
        <w:jc w:val="both"/>
        <w:rPr>
          <w:rFonts w:ascii="Arial Narrow" w:eastAsiaTheme="majorEastAsia" w:hAnsi="Arial Narrow" w:cstheme="majorBidi"/>
          <w:b/>
          <w:bCs/>
          <w:sz w:val="22"/>
          <w:szCs w:val="22"/>
        </w:rPr>
      </w:pPr>
      <w:r w:rsidRPr="004C54B9">
        <w:rPr>
          <w:rFonts w:ascii="Arial Narrow" w:hAnsi="Arial Narrow"/>
          <w:sz w:val="22"/>
          <w:szCs w:val="22"/>
        </w:rPr>
        <w:br w:type="page"/>
      </w:r>
    </w:p>
    <w:p w14:paraId="360602AE" w14:textId="77777777" w:rsidR="007D2366" w:rsidRPr="00484218" w:rsidRDefault="007D2366" w:rsidP="004C54B9">
      <w:pPr>
        <w:pStyle w:val="Nadpis1"/>
        <w:numPr>
          <w:ilvl w:val="0"/>
          <w:numId w:val="1"/>
        </w:numPr>
        <w:spacing w:line="240" w:lineRule="auto"/>
        <w:rPr>
          <w:rFonts w:ascii="Arial Narrow" w:hAnsi="Arial Narrow"/>
          <w:color w:val="auto"/>
          <w:sz w:val="32"/>
          <w:szCs w:val="32"/>
        </w:rPr>
      </w:pPr>
      <w:bookmarkStart w:id="86" w:name="_Toc4766848"/>
      <w:r w:rsidRPr="00484218">
        <w:rPr>
          <w:rFonts w:ascii="Arial Narrow" w:hAnsi="Arial Narrow"/>
          <w:color w:val="auto"/>
          <w:sz w:val="32"/>
          <w:szCs w:val="32"/>
        </w:rPr>
        <w:lastRenderedPageBreak/>
        <w:t>Politika súdržnosti EÚ</w:t>
      </w:r>
      <w:bookmarkEnd w:id="83"/>
      <w:bookmarkEnd w:id="86"/>
      <w:r w:rsidRPr="00484218">
        <w:rPr>
          <w:rFonts w:ascii="Arial Narrow" w:hAnsi="Arial Narrow"/>
          <w:color w:val="auto"/>
          <w:sz w:val="32"/>
          <w:szCs w:val="32"/>
        </w:rPr>
        <w:t xml:space="preserve"> </w:t>
      </w:r>
    </w:p>
    <w:p w14:paraId="1FA19525" w14:textId="77777777" w:rsidR="005571ED" w:rsidRDefault="005571ED" w:rsidP="004C54B9">
      <w:pPr>
        <w:spacing w:line="240" w:lineRule="auto"/>
        <w:rPr>
          <w:rFonts w:ascii="Arial Narrow" w:hAnsi="Arial Narrow"/>
        </w:rPr>
      </w:pPr>
    </w:p>
    <w:p w14:paraId="5BE0DBB6" w14:textId="3DCF9299" w:rsidR="004E295E" w:rsidRPr="0088662B" w:rsidRDefault="00E64732" w:rsidP="004E295E">
      <w:pPr>
        <w:spacing w:after="0" w:line="240" w:lineRule="auto"/>
        <w:jc w:val="both"/>
        <w:rPr>
          <w:rFonts w:ascii="Arial Narrow" w:hAnsi="Arial Narrow"/>
        </w:rPr>
      </w:pPr>
      <w:r w:rsidRPr="00E64732">
        <w:rPr>
          <w:rFonts w:ascii="Arial Narrow" w:hAnsi="Arial Narrow"/>
        </w:rPr>
        <w:t>Politika súdržnosti EÚ dlhodobo patrí medzi kľúčové nástroje soc</w:t>
      </w:r>
      <w:r w:rsidR="00C150A7">
        <w:rPr>
          <w:rFonts w:ascii="Arial Narrow" w:hAnsi="Arial Narrow"/>
        </w:rPr>
        <w:t xml:space="preserve">iálno-ekonomického rozvoja SR. </w:t>
      </w:r>
      <w:r w:rsidRPr="00E64732">
        <w:rPr>
          <w:rFonts w:ascii="Arial Narrow" w:hAnsi="Arial Narrow"/>
        </w:rPr>
        <w:t>Fondy politiky súdržnosti sú naďalej hlavným zdrojom financovania verejných investícií na Slovensku, výrazne prispievajú k  napĺňaniu cieľov stratégie Európa 2020 a plneniu časti opatrení každoročných špecifických odporúčaní Rady EÚ pre SR.</w:t>
      </w:r>
      <w:r w:rsidR="0088662B">
        <w:rPr>
          <w:rFonts w:ascii="Arial Narrow" w:hAnsi="Arial Narrow"/>
        </w:rPr>
        <w:t xml:space="preserve"> </w:t>
      </w:r>
      <w:r w:rsidR="004E295E" w:rsidRPr="00CD14EE">
        <w:rPr>
          <w:rFonts w:ascii="Arial Narrow" w:hAnsi="Arial Narrow" w:cs="Arial"/>
          <w:color w:val="1F1F1F"/>
        </w:rPr>
        <w:t xml:space="preserve">Koordináciu a metodické usmerňovanie prípravy a implementácie fondov politiky súdržnosti má v kompetencii </w:t>
      </w:r>
      <w:r w:rsidR="00EE676F">
        <w:rPr>
          <w:rFonts w:ascii="Arial Narrow" w:hAnsi="Arial Narrow" w:cs="Arial"/>
          <w:color w:val="1F1F1F"/>
        </w:rPr>
        <w:t>ÚPVII</w:t>
      </w:r>
      <w:r w:rsidR="004E295E">
        <w:rPr>
          <w:rFonts w:ascii="Arial Narrow" w:hAnsi="Arial Narrow" w:cs="Arial"/>
          <w:color w:val="1F1F1F"/>
        </w:rPr>
        <w:t>, ktorý vznikol v júni 2016</w:t>
      </w:r>
      <w:r w:rsidR="004E295E" w:rsidRPr="00CD14EE">
        <w:rPr>
          <w:rFonts w:ascii="Arial Narrow" w:hAnsi="Arial Narrow" w:cs="Arial"/>
          <w:color w:val="1F1F1F"/>
        </w:rPr>
        <w:t xml:space="preserve">. Za stratégiu a systém finančného riadenia </w:t>
      </w:r>
      <w:r w:rsidR="004E295E">
        <w:rPr>
          <w:rFonts w:ascii="Arial Narrow" w:hAnsi="Arial Narrow" w:cs="Arial"/>
          <w:color w:val="1F1F1F"/>
        </w:rPr>
        <w:t>zodpovedá MF</w:t>
      </w:r>
      <w:r w:rsidR="004E295E" w:rsidRPr="00CD14EE">
        <w:rPr>
          <w:rFonts w:ascii="Arial Narrow" w:hAnsi="Arial Narrow" w:cs="Arial"/>
          <w:color w:val="1F1F1F"/>
        </w:rPr>
        <w:t xml:space="preserve"> SR</w:t>
      </w:r>
      <w:r w:rsidR="004E295E">
        <w:rPr>
          <w:rFonts w:ascii="Arial Narrow" w:hAnsi="Arial Narrow" w:cs="Arial"/>
          <w:color w:val="1F1F1F"/>
        </w:rPr>
        <w:t xml:space="preserve">, v kompetencii ktorého je aj certifikačný orgán a orgán auditu </w:t>
      </w:r>
      <w:r w:rsidR="004E295E" w:rsidRPr="0089031B">
        <w:rPr>
          <w:rFonts w:ascii="Arial Narrow" w:hAnsi="Arial Narrow" w:cs="Arial"/>
          <w:color w:val="1F1F1F"/>
        </w:rPr>
        <w:t>týchto fondov</w:t>
      </w:r>
      <w:r w:rsidR="004E295E">
        <w:rPr>
          <w:rFonts w:ascii="Arial Narrow" w:hAnsi="Arial Narrow" w:cs="Arial"/>
          <w:color w:val="1F1F1F"/>
        </w:rPr>
        <w:t xml:space="preserve">. </w:t>
      </w:r>
    </w:p>
    <w:p w14:paraId="740B7336" w14:textId="77777777" w:rsidR="00E64732" w:rsidRPr="00E64732" w:rsidRDefault="00E64732" w:rsidP="00E64732">
      <w:pPr>
        <w:spacing w:after="0" w:line="240" w:lineRule="auto"/>
        <w:jc w:val="both"/>
        <w:rPr>
          <w:rFonts w:ascii="Arial Narrow" w:hAnsi="Arial Narrow"/>
        </w:rPr>
      </w:pPr>
    </w:p>
    <w:p w14:paraId="764FC664" w14:textId="39DDE640" w:rsidR="00E64732" w:rsidRDefault="00E64732" w:rsidP="00E64732">
      <w:pPr>
        <w:spacing w:after="0" w:line="240" w:lineRule="auto"/>
        <w:jc w:val="both"/>
        <w:rPr>
          <w:rFonts w:ascii="Arial Narrow" w:hAnsi="Arial Narrow"/>
        </w:rPr>
      </w:pPr>
      <w:r w:rsidRPr="00153D52">
        <w:rPr>
          <w:rFonts w:ascii="Arial Narrow" w:hAnsi="Arial Narrow"/>
          <w:b/>
        </w:rPr>
        <w:t xml:space="preserve">V priebehu roka 2018 prebiehala intenzívna komunikácia s EK ohľadom uzatvárania programového obdobia 2007 </w:t>
      </w:r>
      <w:r w:rsidR="00153D52">
        <w:rPr>
          <w:rFonts w:ascii="Arial Narrow" w:hAnsi="Arial Narrow"/>
          <w:b/>
        </w:rPr>
        <w:t xml:space="preserve">– </w:t>
      </w:r>
      <w:r w:rsidRPr="00153D52">
        <w:rPr>
          <w:rFonts w:ascii="Arial Narrow" w:hAnsi="Arial Narrow"/>
          <w:b/>
        </w:rPr>
        <w:t>2013.</w:t>
      </w:r>
      <w:r w:rsidRPr="00E64732">
        <w:rPr>
          <w:rFonts w:ascii="Arial Narrow" w:hAnsi="Arial Narrow"/>
        </w:rPr>
        <w:t xml:space="preserve"> EK zaslala</w:t>
      </w:r>
      <w:r w:rsidR="00153D52">
        <w:rPr>
          <w:rFonts w:ascii="Arial Narrow" w:hAnsi="Arial Narrow"/>
        </w:rPr>
        <w:t xml:space="preserve"> slovenským orgánom na odsúhlasenie predbežné bilancie 7 programov financovaných z Európskeho fondu regionálneho rozvoja</w:t>
      </w:r>
      <w:r w:rsidRPr="00E64732">
        <w:rPr>
          <w:rFonts w:ascii="Arial Narrow" w:hAnsi="Arial Narrow"/>
        </w:rPr>
        <w:t>.  K</w:t>
      </w:r>
      <w:r w:rsidR="00153D52">
        <w:rPr>
          <w:rFonts w:ascii="Arial Narrow" w:hAnsi="Arial Narrow"/>
        </w:rPr>
        <w:t>u koncu roka</w:t>
      </w:r>
      <w:r w:rsidRPr="00E64732">
        <w:rPr>
          <w:rFonts w:ascii="Arial Narrow" w:hAnsi="Arial Narrow"/>
        </w:rPr>
        <w:t xml:space="preserve"> 2018 bol zo strany EK rovnako ako pred rokom uzatvorený len jeden operačný program obdobia 2007 – 2013: INTERACT II.</w:t>
      </w:r>
    </w:p>
    <w:p w14:paraId="0B7D6104" w14:textId="77777777" w:rsidR="002F6125" w:rsidRDefault="002F6125" w:rsidP="00E64732">
      <w:pPr>
        <w:spacing w:after="0" w:line="240" w:lineRule="auto"/>
        <w:jc w:val="both"/>
        <w:rPr>
          <w:rFonts w:ascii="Arial Narrow" w:hAnsi="Arial Narrow"/>
        </w:rPr>
      </w:pPr>
    </w:p>
    <w:p w14:paraId="60635E37" w14:textId="5FBFBD64" w:rsidR="002F6125" w:rsidRPr="00DD185D" w:rsidRDefault="002F6125" w:rsidP="002F6125">
      <w:pPr>
        <w:pStyle w:val="Popis"/>
        <w:rPr>
          <w:rFonts w:cs="Arial"/>
          <w:szCs w:val="20"/>
        </w:rPr>
      </w:pPr>
      <w:bookmarkStart w:id="87" w:name="_Toc4625982"/>
      <w:r w:rsidRPr="003418D8">
        <w:t xml:space="preserve">Graf </w:t>
      </w:r>
      <w:r w:rsidR="00D8488B">
        <w:rPr>
          <w:noProof/>
        </w:rPr>
        <w:fldChar w:fldCharType="begin"/>
      </w:r>
      <w:r w:rsidR="00D8488B">
        <w:rPr>
          <w:noProof/>
        </w:rPr>
        <w:instrText xml:space="preserve"> SEQ Graf \* ARABIC </w:instrText>
      </w:r>
      <w:r w:rsidR="00D8488B">
        <w:rPr>
          <w:noProof/>
        </w:rPr>
        <w:fldChar w:fldCharType="separate"/>
      </w:r>
      <w:r w:rsidR="0020148F">
        <w:rPr>
          <w:noProof/>
        </w:rPr>
        <w:t>33</w:t>
      </w:r>
      <w:r w:rsidR="00D8488B">
        <w:rPr>
          <w:noProof/>
        </w:rPr>
        <w:fldChar w:fldCharType="end"/>
      </w:r>
      <w:r>
        <w:rPr>
          <w:rFonts w:cs="Arial"/>
          <w:b w:val="0"/>
          <w:szCs w:val="20"/>
        </w:rPr>
        <w:t xml:space="preserve">: </w:t>
      </w:r>
      <w:r>
        <w:rPr>
          <w:rFonts w:cs="Arial"/>
          <w:szCs w:val="20"/>
        </w:rPr>
        <w:t>Vývoj implementácie EŠIF (mil. eur)</w:t>
      </w:r>
      <w:bookmarkEnd w:id="87"/>
    </w:p>
    <w:tbl>
      <w:tblPr>
        <w:tblW w:w="8624" w:type="dxa"/>
        <w:jc w:val="center"/>
        <w:tblLayout w:type="fixed"/>
        <w:tblLook w:val="04A0" w:firstRow="1" w:lastRow="0" w:firstColumn="1" w:lastColumn="0" w:noHBand="0" w:noVBand="1"/>
      </w:tblPr>
      <w:tblGrid>
        <w:gridCol w:w="8624"/>
      </w:tblGrid>
      <w:tr w:rsidR="002F6125" w:rsidRPr="003418D8" w14:paraId="3F9373FF" w14:textId="77777777" w:rsidTr="00A32820">
        <w:trPr>
          <w:trHeight w:val="269"/>
          <w:jc w:val="center"/>
        </w:trPr>
        <w:tc>
          <w:tcPr>
            <w:tcW w:w="8624" w:type="dxa"/>
            <w:tcBorders>
              <w:top w:val="single" w:sz="4" w:space="0" w:color="auto"/>
              <w:bottom w:val="single" w:sz="4" w:space="0" w:color="auto"/>
            </w:tcBorders>
            <w:noWrap/>
            <w:vAlign w:val="center"/>
            <w:hideMark/>
          </w:tcPr>
          <w:p w14:paraId="5F223D38" w14:textId="03C1D147" w:rsidR="002F6125" w:rsidRPr="003418D8" w:rsidRDefault="00A32820" w:rsidP="0020148F">
            <w:pPr>
              <w:spacing w:after="0" w:line="240" w:lineRule="auto"/>
              <w:rPr>
                <w:rFonts w:ascii="Arial Narrow" w:hAnsi="Arial Narrow"/>
                <w:b/>
                <w:bCs/>
                <w:color w:val="000000"/>
                <w:sz w:val="20"/>
                <w:szCs w:val="20"/>
              </w:rPr>
            </w:pPr>
            <w:r>
              <w:rPr>
                <w:noProof/>
                <w:lang w:val="en-GB" w:eastAsia="en-GB"/>
              </w:rPr>
              <w:drawing>
                <wp:inline distT="0" distB="0" distL="0" distR="0" wp14:anchorId="3D864BC3" wp14:editId="473B8FCE">
                  <wp:extent cx="5359400" cy="230505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2F6125" w:rsidRPr="002F6125" w14:paraId="23D7FF15" w14:textId="77777777" w:rsidTr="0020148F">
        <w:tblPrEx>
          <w:tblCellMar>
            <w:left w:w="70" w:type="dxa"/>
            <w:right w:w="70" w:type="dxa"/>
          </w:tblCellMar>
        </w:tblPrEx>
        <w:trPr>
          <w:trHeight w:val="269"/>
          <w:jc w:val="center"/>
        </w:trPr>
        <w:tc>
          <w:tcPr>
            <w:tcW w:w="8624" w:type="dxa"/>
            <w:tcBorders>
              <w:top w:val="single" w:sz="4" w:space="0" w:color="auto"/>
            </w:tcBorders>
            <w:noWrap/>
            <w:vAlign w:val="center"/>
          </w:tcPr>
          <w:p w14:paraId="16D5D1A2" w14:textId="7A9AF737" w:rsidR="002F6125" w:rsidRPr="002F6125" w:rsidRDefault="002F6125" w:rsidP="0020148F">
            <w:pPr>
              <w:spacing w:after="0" w:line="240" w:lineRule="auto"/>
              <w:jc w:val="right"/>
              <w:rPr>
                <w:rFonts w:ascii="Arial Narrow" w:hAnsi="Arial Narrow"/>
                <w:bCs/>
                <w:i/>
                <w:color w:val="000000"/>
                <w:sz w:val="20"/>
                <w:szCs w:val="20"/>
              </w:rPr>
            </w:pPr>
            <w:r w:rsidRPr="002F6125">
              <w:rPr>
                <w:rFonts w:ascii="Arial Narrow" w:hAnsi="Arial Narrow"/>
                <w:bCs/>
                <w:i/>
                <w:color w:val="000000"/>
                <w:sz w:val="16"/>
                <w:szCs w:val="20"/>
              </w:rPr>
              <w:t>Zdroj: CKO</w:t>
            </w:r>
            <w:r w:rsidR="00320FFD">
              <w:rPr>
                <w:rFonts w:ascii="Arial Narrow" w:hAnsi="Arial Narrow"/>
                <w:bCs/>
                <w:i/>
                <w:color w:val="000000"/>
                <w:sz w:val="16"/>
                <w:szCs w:val="20"/>
              </w:rPr>
              <w:t xml:space="preserve"> (</w:t>
            </w:r>
            <w:r w:rsidR="00EE676F">
              <w:rPr>
                <w:rFonts w:ascii="Arial Narrow" w:hAnsi="Arial Narrow"/>
                <w:bCs/>
                <w:i/>
                <w:color w:val="000000"/>
                <w:sz w:val="16"/>
                <w:szCs w:val="20"/>
              </w:rPr>
              <w:t>ÚPVII</w:t>
            </w:r>
            <w:r w:rsidR="00320FFD">
              <w:rPr>
                <w:rFonts w:ascii="Arial Narrow" w:hAnsi="Arial Narrow"/>
                <w:bCs/>
                <w:i/>
                <w:color w:val="000000"/>
                <w:sz w:val="16"/>
                <w:szCs w:val="20"/>
              </w:rPr>
              <w:t>)</w:t>
            </w:r>
          </w:p>
        </w:tc>
      </w:tr>
    </w:tbl>
    <w:p w14:paraId="6D7ADA32" w14:textId="77777777" w:rsidR="00E64732" w:rsidRPr="00E64732" w:rsidRDefault="00E64732" w:rsidP="00E64732">
      <w:pPr>
        <w:spacing w:after="0" w:line="240" w:lineRule="auto"/>
        <w:jc w:val="both"/>
        <w:rPr>
          <w:rFonts w:ascii="Arial Narrow" w:hAnsi="Arial Narrow"/>
        </w:rPr>
      </w:pPr>
    </w:p>
    <w:p w14:paraId="1D119159" w14:textId="6BDEFA42" w:rsidR="00E64732" w:rsidRPr="00A807F0" w:rsidRDefault="00A807F0" w:rsidP="00E64732">
      <w:pPr>
        <w:spacing w:after="0" w:line="240" w:lineRule="auto"/>
        <w:jc w:val="both"/>
        <w:rPr>
          <w:rFonts w:ascii="Arial Narrow" w:hAnsi="Arial Narrow"/>
        </w:rPr>
      </w:pPr>
      <w:r w:rsidRPr="00A807F0">
        <w:rPr>
          <w:rFonts w:ascii="Arial Narrow" w:hAnsi="Arial Narrow"/>
          <w:b/>
        </w:rPr>
        <w:t xml:space="preserve">Pokračovalo </w:t>
      </w:r>
      <w:proofErr w:type="spellStart"/>
      <w:r w:rsidRPr="00A807F0">
        <w:rPr>
          <w:rFonts w:ascii="Arial Narrow" w:hAnsi="Arial Narrow"/>
          <w:b/>
        </w:rPr>
        <w:t>zazmluvňovanie</w:t>
      </w:r>
      <w:proofErr w:type="spellEnd"/>
      <w:r w:rsidRPr="00A807F0">
        <w:rPr>
          <w:rFonts w:ascii="Arial Narrow" w:hAnsi="Arial Narrow"/>
          <w:b/>
        </w:rPr>
        <w:t xml:space="preserve"> projektov v</w:t>
      </w:r>
      <w:r w:rsidR="00E64732" w:rsidRPr="00A807F0">
        <w:rPr>
          <w:rFonts w:ascii="Arial Narrow" w:hAnsi="Arial Narrow"/>
          <w:b/>
        </w:rPr>
        <w:t xml:space="preserve"> rámci programového obdobia 2014 – 2020</w:t>
      </w:r>
      <w:r w:rsidRPr="00A807F0">
        <w:rPr>
          <w:rFonts w:ascii="Arial Narrow" w:hAnsi="Arial Narrow"/>
          <w:b/>
        </w:rPr>
        <w:t>.</w:t>
      </w:r>
      <w:r w:rsidR="00E64732" w:rsidRPr="00A807F0">
        <w:rPr>
          <w:rFonts w:ascii="Arial Narrow" w:hAnsi="Arial Narrow"/>
          <w:b/>
        </w:rPr>
        <w:t xml:space="preserve"> </w:t>
      </w:r>
      <w:r w:rsidRPr="00A807F0">
        <w:rPr>
          <w:rFonts w:ascii="Arial Narrow" w:hAnsi="Arial Narrow"/>
        </w:rPr>
        <w:t xml:space="preserve">Z </w:t>
      </w:r>
      <w:r w:rsidR="00EE676F">
        <w:rPr>
          <w:rFonts w:ascii="Arial Narrow" w:hAnsi="Arial Narrow"/>
        </w:rPr>
        <w:t xml:space="preserve">celkovej alokácie 12 operačných programov </w:t>
      </w:r>
      <w:r w:rsidRPr="00A807F0">
        <w:rPr>
          <w:rFonts w:ascii="Arial Narrow" w:hAnsi="Arial Narrow"/>
        </w:rPr>
        <w:t>(vrátane</w:t>
      </w:r>
      <w:r w:rsidR="00E64732" w:rsidRPr="00A807F0">
        <w:rPr>
          <w:rFonts w:ascii="Arial Narrow" w:hAnsi="Arial Narrow"/>
        </w:rPr>
        <w:t xml:space="preserve"> </w:t>
      </w:r>
      <w:r w:rsidR="00E64732" w:rsidRPr="00A807F0">
        <w:rPr>
          <w:rFonts w:ascii="Arial Narrow" w:hAnsi="Arial Narrow"/>
          <w:i/>
        </w:rPr>
        <w:t>Programu rozvoja vidieka</w:t>
      </w:r>
      <w:r w:rsidR="00E64732" w:rsidRPr="00A807F0">
        <w:rPr>
          <w:rFonts w:ascii="Arial Narrow" w:hAnsi="Arial Narrow"/>
        </w:rPr>
        <w:t>) v objeme 15,5 mld. eur ku koncu roka 2018 vyčerpaných 3,3 mld. eur, čo predstavuje čerpanie na úrovn</w:t>
      </w:r>
      <w:r w:rsidR="00C150A7" w:rsidRPr="00A807F0">
        <w:rPr>
          <w:rFonts w:ascii="Arial Narrow" w:hAnsi="Arial Narrow"/>
        </w:rPr>
        <w:t>i 21,</w:t>
      </w:r>
      <w:r w:rsidR="00E64732" w:rsidRPr="00A807F0">
        <w:rPr>
          <w:rFonts w:ascii="Arial Narrow" w:hAnsi="Arial Narrow"/>
        </w:rPr>
        <w:t xml:space="preserve">7 %. Celkový objem </w:t>
      </w:r>
      <w:proofErr w:type="spellStart"/>
      <w:r w:rsidR="00E64732" w:rsidRPr="00A807F0">
        <w:rPr>
          <w:rFonts w:ascii="Arial Narrow" w:hAnsi="Arial Narrow"/>
        </w:rPr>
        <w:t>zazmluvnených</w:t>
      </w:r>
      <w:proofErr w:type="spellEnd"/>
      <w:r w:rsidR="00E64732" w:rsidRPr="00A807F0">
        <w:rPr>
          <w:rFonts w:ascii="Arial Narrow" w:hAnsi="Arial Narrow"/>
        </w:rPr>
        <w:t xml:space="preserve"> projektov do</w:t>
      </w:r>
      <w:r w:rsidR="00C150A7" w:rsidRPr="00A807F0">
        <w:rPr>
          <w:rFonts w:ascii="Arial Narrow" w:hAnsi="Arial Narrow"/>
        </w:rPr>
        <w:t xml:space="preserve">siahol 8,4 mld. eur, čo je </w:t>
      </w:r>
      <w:r w:rsidR="000A1EBA">
        <w:rPr>
          <w:rFonts w:ascii="Arial Narrow" w:hAnsi="Arial Narrow"/>
        </w:rPr>
        <w:t>54,3</w:t>
      </w:r>
      <w:r w:rsidR="00C150A7" w:rsidRPr="00A807F0">
        <w:rPr>
          <w:rFonts w:ascii="Arial Narrow" w:hAnsi="Arial Narrow"/>
        </w:rPr>
        <w:t xml:space="preserve"> </w:t>
      </w:r>
      <w:r w:rsidR="00E64732" w:rsidRPr="00A807F0">
        <w:rPr>
          <w:rFonts w:ascii="Arial Narrow" w:hAnsi="Arial Narrow"/>
        </w:rPr>
        <w:t xml:space="preserve">% z celkovej alokácie. </w:t>
      </w:r>
    </w:p>
    <w:p w14:paraId="4601CD70" w14:textId="77777777" w:rsidR="00E64732" w:rsidRPr="00E64732" w:rsidRDefault="00E64732" w:rsidP="00E64732">
      <w:pPr>
        <w:spacing w:after="0" w:line="240" w:lineRule="auto"/>
        <w:rPr>
          <w:rFonts w:ascii="Arial Narrow" w:hAnsi="Arial Narrow" w:cs="Arial Narrow"/>
          <w:bCs/>
        </w:rPr>
      </w:pPr>
    </w:p>
    <w:tbl>
      <w:tblPr>
        <w:tblW w:w="8647" w:type="dxa"/>
        <w:jc w:val="center"/>
        <w:tblLook w:val="04A0" w:firstRow="1" w:lastRow="0" w:firstColumn="1" w:lastColumn="0" w:noHBand="0" w:noVBand="1"/>
      </w:tblPr>
      <w:tblGrid>
        <w:gridCol w:w="2268"/>
        <w:gridCol w:w="1134"/>
        <w:gridCol w:w="1843"/>
        <w:gridCol w:w="1701"/>
        <w:gridCol w:w="1701"/>
      </w:tblGrid>
      <w:tr w:rsidR="0088662B" w:rsidRPr="00E64732" w14:paraId="4FAB22E1" w14:textId="77777777" w:rsidTr="00575968">
        <w:trPr>
          <w:trHeight w:val="129"/>
          <w:jc w:val="center"/>
        </w:trPr>
        <w:tc>
          <w:tcPr>
            <w:tcW w:w="8647" w:type="dxa"/>
            <w:gridSpan w:val="5"/>
            <w:tcBorders>
              <w:top w:val="nil"/>
              <w:left w:val="nil"/>
              <w:bottom w:val="nil"/>
              <w:right w:val="nil"/>
            </w:tcBorders>
            <w:shd w:val="clear" w:color="auto" w:fill="auto"/>
            <w:noWrap/>
            <w:vAlign w:val="bottom"/>
            <w:hideMark/>
          </w:tcPr>
          <w:p w14:paraId="17A5D362" w14:textId="58820B89" w:rsidR="0088662B" w:rsidRPr="00484218" w:rsidRDefault="0088662B" w:rsidP="00E64732">
            <w:pPr>
              <w:spacing w:after="0" w:line="240" w:lineRule="auto"/>
              <w:rPr>
                <w:rFonts w:ascii="Arial Narrow" w:hAnsi="Arial Narrow"/>
                <w:b/>
                <w:bCs/>
                <w:color w:val="2C9ADC"/>
                <w:sz w:val="20"/>
                <w:szCs w:val="20"/>
                <w:highlight w:val="yellow"/>
                <w:lang w:val="en-US"/>
              </w:rPr>
            </w:pPr>
            <w:proofErr w:type="spellStart"/>
            <w:r w:rsidRPr="0088662B">
              <w:rPr>
                <w:rFonts w:ascii="Arial Narrow" w:hAnsi="Arial Narrow"/>
                <w:b/>
                <w:bCs/>
                <w:color w:val="2C9ADC"/>
                <w:sz w:val="20"/>
                <w:szCs w:val="20"/>
                <w:lang w:val="en-US"/>
              </w:rPr>
              <w:t>Stav</w:t>
            </w:r>
            <w:proofErr w:type="spellEnd"/>
            <w:r w:rsidRPr="0088662B">
              <w:rPr>
                <w:rFonts w:ascii="Arial Narrow" w:hAnsi="Arial Narrow"/>
                <w:b/>
                <w:bCs/>
                <w:color w:val="2C9ADC"/>
                <w:sz w:val="20"/>
                <w:szCs w:val="20"/>
                <w:lang w:val="en-US"/>
              </w:rPr>
              <w:t xml:space="preserve"> </w:t>
            </w:r>
            <w:proofErr w:type="spellStart"/>
            <w:r w:rsidRPr="0088662B">
              <w:rPr>
                <w:rFonts w:ascii="Arial Narrow" w:hAnsi="Arial Narrow"/>
                <w:b/>
                <w:bCs/>
                <w:color w:val="2C9ADC"/>
                <w:sz w:val="20"/>
                <w:szCs w:val="20"/>
                <w:lang w:val="en-US"/>
              </w:rPr>
              <w:t>čerpania</w:t>
            </w:r>
            <w:proofErr w:type="spellEnd"/>
            <w:r w:rsidRPr="0088662B">
              <w:rPr>
                <w:rFonts w:ascii="Arial Narrow" w:hAnsi="Arial Narrow"/>
                <w:b/>
                <w:bCs/>
                <w:color w:val="2C9ADC"/>
                <w:sz w:val="20"/>
                <w:szCs w:val="20"/>
                <w:lang w:val="en-US"/>
              </w:rPr>
              <w:t xml:space="preserve"> a </w:t>
            </w:r>
            <w:proofErr w:type="spellStart"/>
            <w:r w:rsidRPr="0088662B">
              <w:rPr>
                <w:rFonts w:ascii="Arial Narrow" w:hAnsi="Arial Narrow"/>
                <w:b/>
                <w:bCs/>
                <w:color w:val="2C9ADC"/>
                <w:sz w:val="20"/>
                <w:szCs w:val="20"/>
                <w:lang w:val="en-US"/>
              </w:rPr>
              <w:t>zazmluvnenia</w:t>
            </w:r>
            <w:proofErr w:type="spellEnd"/>
            <w:r w:rsidRPr="0088662B">
              <w:rPr>
                <w:rFonts w:ascii="Arial Narrow" w:hAnsi="Arial Narrow"/>
                <w:b/>
                <w:bCs/>
                <w:color w:val="2C9ADC"/>
                <w:sz w:val="20"/>
                <w:szCs w:val="20"/>
                <w:lang w:val="en-US"/>
              </w:rPr>
              <w:t xml:space="preserve"> </w:t>
            </w:r>
            <w:proofErr w:type="spellStart"/>
            <w:r w:rsidRPr="0088662B">
              <w:rPr>
                <w:rFonts w:ascii="Arial Narrow" w:hAnsi="Arial Narrow"/>
                <w:b/>
                <w:bCs/>
                <w:color w:val="2C9ADC"/>
                <w:sz w:val="20"/>
                <w:szCs w:val="20"/>
                <w:lang w:val="en-US"/>
              </w:rPr>
              <w:t>projektov</w:t>
            </w:r>
            <w:proofErr w:type="spellEnd"/>
            <w:r w:rsidRPr="0088662B">
              <w:rPr>
                <w:rFonts w:ascii="Arial Narrow" w:hAnsi="Arial Narrow"/>
                <w:b/>
                <w:bCs/>
                <w:color w:val="2C9ADC"/>
                <w:sz w:val="20"/>
                <w:szCs w:val="20"/>
                <w:lang w:val="en-US"/>
              </w:rPr>
              <w:t xml:space="preserve"> k 31. 12. 2018</w:t>
            </w:r>
            <w:r>
              <w:rPr>
                <w:rFonts w:ascii="Arial Narrow" w:hAnsi="Arial Narrow"/>
                <w:b/>
                <w:bCs/>
                <w:color w:val="2C9ADC"/>
                <w:sz w:val="20"/>
                <w:szCs w:val="20"/>
                <w:lang w:val="en-US"/>
              </w:rPr>
              <w:t xml:space="preserve"> </w:t>
            </w:r>
            <w:r w:rsidRPr="0088662B">
              <w:rPr>
                <w:rFonts w:ascii="Arial Narrow" w:hAnsi="Arial Narrow"/>
                <w:bCs/>
                <w:i/>
                <w:color w:val="000000" w:themeColor="text1"/>
                <w:sz w:val="20"/>
                <w:szCs w:val="20"/>
                <w:lang w:val="en-US"/>
              </w:rPr>
              <w:t>(</w:t>
            </w:r>
            <w:proofErr w:type="spellStart"/>
            <w:r w:rsidRPr="0088662B">
              <w:rPr>
                <w:rFonts w:ascii="Arial Narrow" w:hAnsi="Arial Narrow"/>
                <w:bCs/>
                <w:i/>
                <w:color w:val="000000" w:themeColor="text1"/>
                <w:sz w:val="20"/>
                <w:szCs w:val="20"/>
                <w:lang w:val="en-US"/>
              </w:rPr>
              <w:t>bude</w:t>
            </w:r>
            <w:proofErr w:type="spellEnd"/>
            <w:r w:rsidRPr="0088662B">
              <w:rPr>
                <w:rFonts w:ascii="Arial Narrow" w:hAnsi="Arial Narrow"/>
                <w:bCs/>
                <w:i/>
                <w:color w:val="000000" w:themeColor="text1"/>
                <w:sz w:val="20"/>
                <w:szCs w:val="20"/>
                <w:lang w:val="en-US"/>
              </w:rPr>
              <w:t xml:space="preserve"> </w:t>
            </w:r>
            <w:proofErr w:type="spellStart"/>
            <w:r w:rsidRPr="0088662B">
              <w:rPr>
                <w:rFonts w:ascii="Arial Narrow" w:hAnsi="Arial Narrow"/>
                <w:bCs/>
                <w:i/>
                <w:color w:val="000000" w:themeColor="text1"/>
                <w:sz w:val="20"/>
                <w:szCs w:val="20"/>
                <w:lang w:val="en-US"/>
              </w:rPr>
              <w:t>aktualizované</w:t>
            </w:r>
            <w:proofErr w:type="spellEnd"/>
            <w:r w:rsidRPr="0088662B">
              <w:rPr>
                <w:rFonts w:ascii="Arial Narrow" w:hAnsi="Arial Narrow"/>
                <w:bCs/>
                <w:i/>
                <w:color w:val="000000" w:themeColor="text1"/>
                <w:sz w:val="20"/>
                <w:szCs w:val="20"/>
                <w:lang w:val="en-US"/>
              </w:rPr>
              <w:t xml:space="preserve"> </w:t>
            </w:r>
            <w:proofErr w:type="spellStart"/>
            <w:r w:rsidRPr="0088662B">
              <w:rPr>
                <w:rFonts w:ascii="Arial Narrow" w:hAnsi="Arial Narrow"/>
                <w:bCs/>
                <w:i/>
                <w:color w:val="000000" w:themeColor="text1"/>
                <w:sz w:val="20"/>
                <w:szCs w:val="20"/>
                <w:lang w:val="en-US"/>
              </w:rPr>
              <w:t>ku</w:t>
            </w:r>
            <w:proofErr w:type="spellEnd"/>
            <w:r w:rsidRPr="0088662B">
              <w:rPr>
                <w:rFonts w:ascii="Arial Narrow" w:hAnsi="Arial Narrow"/>
                <w:bCs/>
                <w:i/>
                <w:color w:val="000000" w:themeColor="text1"/>
                <w:sz w:val="20"/>
                <w:szCs w:val="20"/>
                <w:lang w:val="en-US"/>
              </w:rPr>
              <w:t xml:space="preserve"> </w:t>
            </w:r>
            <w:proofErr w:type="spellStart"/>
            <w:r w:rsidRPr="0088662B">
              <w:rPr>
                <w:rFonts w:ascii="Arial Narrow" w:hAnsi="Arial Narrow"/>
                <w:bCs/>
                <w:i/>
                <w:color w:val="000000" w:themeColor="text1"/>
                <w:sz w:val="20"/>
                <w:szCs w:val="20"/>
                <w:lang w:val="en-US"/>
              </w:rPr>
              <w:t>koncu</w:t>
            </w:r>
            <w:proofErr w:type="spellEnd"/>
            <w:r w:rsidRPr="0088662B">
              <w:rPr>
                <w:rFonts w:ascii="Arial Narrow" w:hAnsi="Arial Narrow"/>
                <w:bCs/>
                <w:i/>
                <w:color w:val="000000" w:themeColor="text1"/>
                <w:sz w:val="20"/>
                <w:szCs w:val="20"/>
                <w:lang w:val="en-US"/>
              </w:rPr>
              <w:t xml:space="preserve"> </w:t>
            </w:r>
            <w:proofErr w:type="spellStart"/>
            <w:r w:rsidRPr="0088662B">
              <w:rPr>
                <w:rFonts w:ascii="Arial Narrow" w:hAnsi="Arial Narrow"/>
                <w:bCs/>
                <w:i/>
                <w:color w:val="000000" w:themeColor="text1"/>
                <w:sz w:val="20"/>
                <w:szCs w:val="20"/>
                <w:lang w:val="en-US"/>
              </w:rPr>
              <w:t>marca</w:t>
            </w:r>
            <w:proofErr w:type="spellEnd"/>
            <w:r w:rsidRPr="0088662B">
              <w:rPr>
                <w:rFonts w:ascii="Arial Narrow" w:hAnsi="Arial Narrow"/>
                <w:bCs/>
                <w:i/>
                <w:color w:val="000000" w:themeColor="text1"/>
                <w:sz w:val="20"/>
                <w:szCs w:val="20"/>
                <w:lang w:val="en-US"/>
              </w:rPr>
              <w:t>)</w:t>
            </w:r>
          </w:p>
        </w:tc>
      </w:tr>
      <w:tr w:rsidR="00E64732" w:rsidRPr="00E64732" w14:paraId="3BEFB753" w14:textId="77777777" w:rsidTr="00575968">
        <w:trPr>
          <w:trHeight w:val="440"/>
          <w:jc w:val="center"/>
        </w:trPr>
        <w:tc>
          <w:tcPr>
            <w:tcW w:w="2268" w:type="dxa"/>
            <w:tcBorders>
              <w:top w:val="single" w:sz="4" w:space="0" w:color="auto"/>
              <w:left w:val="nil"/>
              <w:bottom w:val="single" w:sz="4" w:space="0" w:color="auto"/>
              <w:right w:val="nil"/>
            </w:tcBorders>
            <w:shd w:val="clear" w:color="auto" w:fill="auto"/>
            <w:vAlign w:val="center"/>
            <w:hideMark/>
          </w:tcPr>
          <w:p w14:paraId="7365E821" w14:textId="287A89C0" w:rsidR="00E64732" w:rsidRPr="00484218" w:rsidRDefault="00E64732" w:rsidP="00575968">
            <w:pPr>
              <w:spacing w:after="0" w:line="240" w:lineRule="auto"/>
              <w:jc w:val="center"/>
              <w:rPr>
                <w:rFonts w:ascii="Arial Narrow" w:hAnsi="Arial Narrow"/>
                <w:b/>
                <w:bCs/>
                <w:color w:val="000000"/>
                <w:sz w:val="20"/>
                <w:szCs w:val="20"/>
                <w:lang w:val="en-US"/>
              </w:rPr>
            </w:pPr>
            <w:r w:rsidRPr="00484218">
              <w:rPr>
                <w:rFonts w:ascii="Arial Narrow" w:hAnsi="Arial Narrow" w:cs="Arial"/>
                <w:b/>
                <w:bCs/>
                <w:color w:val="000000"/>
                <w:sz w:val="20"/>
                <w:szCs w:val="20"/>
              </w:rPr>
              <w:t>Operačný program</w:t>
            </w:r>
          </w:p>
        </w:tc>
        <w:tc>
          <w:tcPr>
            <w:tcW w:w="1134" w:type="dxa"/>
            <w:tcBorders>
              <w:top w:val="single" w:sz="4" w:space="0" w:color="auto"/>
              <w:left w:val="nil"/>
              <w:bottom w:val="single" w:sz="4" w:space="0" w:color="auto"/>
              <w:right w:val="nil"/>
            </w:tcBorders>
            <w:shd w:val="clear" w:color="auto" w:fill="auto"/>
            <w:vAlign w:val="center"/>
            <w:hideMark/>
          </w:tcPr>
          <w:p w14:paraId="27872463" w14:textId="00035B4D" w:rsidR="00E64732" w:rsidRPr="00484218" w:rsidRDefault="00E64732" w:rsidP="00575968">
            <w:pPr>
              <w:spacing w:after="0" w:line="240" w:lineRule="auto"/>
              <w:jc w:val="center"/>
              <w:rPr>
                <w:rFonts w:ascii="Arial Narrow" w:hAnsi="Arial Narrow"/>
                <w:b/>
                <w:bCs/>
                <w:color w:val="000000"/>
                <w:sz w:val="20"/>
                <w:szCs w:val="20"/>
                <w:lang w:val="en-US"/>
              </w:rPr>
            </w:pPr>
            <w:r w:rsidRPr="00484218">
              <w:rPr>
                <w:rFonts w:ascii="Arial Narrow" w:hAnsi="Arial Narrow" w:cs="Arial"/>
                <w:b/>
                <w:bCs/>
                <w:color w:val="000000"/>
                <w:sz w:val="20"/>
                <w:szCs w:val="20"/>
              </w:rPr>
              <w:t>Riadiaci orgán</w:t>
            </w:r>
          </w:p>
        </w:tc>
        <w:tc>
          <w:tcPr>
            <w:tcW w:w="1843" w:type="dxa"/>
            <w:tcBorders>
              <w:top w:val="single" w:sz="4" w:space="0" w:color="auto"/>
              <w:left w:val="nil"/>
              <w:bottom w:val="single" w:sz="4" w:space="0" w:color="auto"/>
              <w:right w:val="nil"/>
            </w:tcBorders>
            <w:shd w:val="clear" w:color="auto" w:fill="auto"/>
            <w:vAlign w:val="center"/>
            <w:hideMark/>
          </w:tcPr>
          <w:p w14:paraId="068BC11C" w14:textId="77777777" w:rsidR="00E64732" w:rsidRPr="00484218" w:rsidRDefault="00E64732" w:rsidP="00575968">
            <w:pPr>
              <w:spacing w:after="0" w:line="240" w:lineRule="auto"/>
              <w:jc w:val="center"/>
              <w:rPr>
                <w:rFonts w:ascii="Arial Narrow" w:hAnsi="Arial Narrow"/>
                <w:b/>
                <w:bCs/>
                <w:color w:val="000000"/>
                <w:sz w:val="20"/>
                <w:szCs w:val="20"/>
                <w:lang w:val="en-US"/>
              </w:rPr>
            </w:pPr>
            <w:r w:rsidRPr="00484218">
              <w:rPr>
                <w:rFonts w:ascii="Arial Narrow" w:hAnsi="Arial Narrow"/>
                <w:b/>
                <w:bCs/>
                <w:color w:val="000000" w:themeColor="text1"/>
                <w:sz w:val="20"/>
                <w:szCs w:val="20"/>
              </w:rPr>
              <w:t>Alokácia zo zdrojov EÚ (mil. eur)</w:t>
            </w:r>
          </w:p>
        </w:tc>
        <w:tc>
          <w:tcPr>
            <w:tcW w:w="1701" w:type="dxa"/>
            <w:tcBorders>
              <w:top w:val="single" w:sz="4" w:space="0" w:color="auto"/>
              <w:left w:val="nil"/>
              <w:bottom w:val="single" w:sz="4" w:space="0" w:color="auto"/>
              <w:right w:val="nil"/>
            </w:tcBorders>
            <w:shd w:val="clear" w:color="auto" w:fill="auto"/>
            <w:vAlign w:val="center"/>
            <w:hideMark/>
          </w:tcPr>
          <w:p w14:paraId="3A7C0C2A" w14:textId="77777777" w:rsidR="00E64732" w:rsidRPr="00484218" w:rsidRDefault="00E64732" w:rsidP="00575968">
            <w:pPr>
              <w:spacing w:after="0" w:line="240" w:lineRule="auto"/>
              <w:jc w:val="center"/>
              <w:rPr>
                <w:rFonts w:ascii="Arial Narrow" w:hAnsi="Arial Narrow"/>
                <w:b/>
                <w:bCs/>
                <w:color w:val="000000"/>
                <w:sz w:val="20"/>
                <w:szCs w:val="20"/>
                <w:lang w:val="en-US"/>
              </w:rPr>
            </w:pPr>
            <w:r w:rsidRPr="00484218">
              <w:rPr>
                <w:rFonts w:ascii="Arial Narrow" w:hAnsi="Arial Narrow"/>
                <w:b/>
                <w:bCs/>
                <w:color w:val="000000" w:themeColor="text1"/>
                <w:sz w:val="20"/>
                <w:szCs w:val="20"/>
              </w:rPr>
              <w:t>Čerpanie (mil. eur)</w:t>
            </w:r>
          </w:p>
        </w:tc>
        <w:tc>
          <w:tcPr>
            <w:tcW w:w="1701" w:type="dxa"/>
            <w:tcBorders>
              <w:top w:val="single" w:sz="4" w:space="0" w:color="auto"/>
              <w:left w:val="nil"/>
              <w:bottom w:val="single" w:sz="4" w:space="0" w:color="auto"/>
              <w:right w:val="nil"/>
            </w:tcBorders>
            <w:shd w:val="clear" w:color="auto" w:fill="auto"/>
            <w:vAlign w:val="center"/>
            <w:hideMark/>
          </w:tcPr>
          <w:p w14:paraId="43EB7B8D" w14:textId="77777777" w:rsidR="00E64732" w:rsidRPr="00484218" w:rsidRDefault="00E64732" w:rsidP="00575968">
            <w:pPr>
              <w:spacing w:after="0" w:line="240" w:lineRule="auto"/>
              <w:jc w:val="center"/>
              <w:rPr>
                <w:rFonts w:ascii="Arial Narrow" w:hAnsi="Arial Narrow"/>
                <w:b/>
                <w:bCs/>
                <w:color w:val="000000"/>
                <w:sz w:val="20"/>
                <w:szCs w:val="20"/>
                <w:lang w:val="en-US"/>
              </w:rPr>
            </w:pPr>
            <w:proofErr w:type="spellStart"/>
            <w:r w:rsidRPr="00484218">
              <w:rPr>
                <w:rFonts w:ascii="Arial Narrow" w:hAnsi="Arial Narrow"/>
                <w:b/>
                <w:bCs/>
                <w:color w:val="000000" w:themeColor="text1"/>
                <w:sz w:val="20"/>
                <w:szCs w:val="20"/>
              </w:rPr>
              <w:t>Zazmluvnenosť</w:t>
            </w:r>
            <w:proofErr w:type="spellEnd"/>
            <w:r w:rsidRPr="00484218">
              <w:rPr>
                <w:rFonts w:ascii="Arial Narrow" w:hAnsi="Arial Narrow"/>
                <w:b/>
                <w:bCs/>
                <w:color w:val="000000" w:themeColor="text1"/>
                <w:sz w:val="20"/>
                <w:szCs w:val="20"/>
              </w:rPr>
              <w:t xml:space="preserve"> projektov (mil. eur)</w:t>
            </w:r>
          </w:p>
        </w:tc>
      </w:tr>
      <w:tr w:rsidR="00E64732" w:rsidRPr="00E64732" w14:paraId="7AAEDF4A" w14:textId="77777777" w:rsidTr="00575968">
        <w:trPr>
          <w:trHeight w:val="220"/>
          <w:jc w:val="center"/>
        </w:trPr>
        <w:tc>
          <w:tcPr>
            <w:tcW w:w="2268" w:type="dxa"/>
            <w:tcBorders>
              <w:top w:val="nil"/>
              <w:left w:val="nil"/>
              <w:bottom w:val="nil"/>
              <w:right w:val="nil"/>
            </w:tcBorders>
            <w:shd w:val="clear" w:color="auto" w:fill="auto"/>
            <w:hideMark/>
          </w:tcPr>
          <w:p w14:paraId="7658C297" w14:textId="77777777" w:rsidR="00E64732" w:rsidRPr="00484218" w:rsidRDefault="00E64732" w:rsidP="00E64732">
            <w:pPr>
              <w:spacing w:after="0" w:line="240" w:lineRule="auto"/>
              <w:jc w:val="both"/>
              <w:rPr>
                <w:rFonts w:ascii="Arial Narrow" w:hAnsi="Arial Narrow"/>
                <w:color w:val="000000"/>
                <w:sz w:val="20"/>
                <w:szCs w:val="20"/>
                <w:lang w:val="en-US"/>
              </w:rPr>
            </w:pPr>
            <w:r w:rsidRPr="00484218">
              <w:rPr>
                <w:rFonts w:ascii="Arial Narrow" w:hAnsi="Arial Narrow" w:cs="Arial"/>
                <w:color w:val="000000"/>
                <w:sz w:val="20"/>
                <w:szCs w:val="20"/>
              </w:rPr>
              <w:t xml:space="preserve">Výskum a inovácie </w:t>
            </w:r>
          </w:p>
        </w:tc>
        <w:tc>
          <w:tcPr>
            <w:tcW w:w="1134" w:type="dxa"/>
            <w:tcBorders>
              <w:top w:val="nil"/>
              <w:left w:val="nil"/>
              <w:bottom w:val="nil"/>
              <w:right w:val="nil"/>
            </w:tcBorders>
            <w:shd w:val="clear" w:color="auto" w:fill="auto"/>
            <w:hideMark/>
          </w:tcPr>
          <w:p w14:paraId="462E1A15"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MŠVVŠ SR </w:t>
            </w:r>
          </w:p>
        </w:tc>
        <w:tc>
          <w:tcPr>
            <w:tcW w:w="1843" w:type="dxa"/>
            <w:tcBorders>
              <w:top w:val="nil"/>
              <w:left w:val="nil"/>
              <w:bottom w:val="nil"/>
              <w:right w:val="nil"/>
            </w:tcBorders>
            <w:shd w:val="clear" w:color="auto" w:fill="auto"/>
            <w:hideMark/>
          </w:tcPr>
          <w:p w14:paraId="71AB81F3"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2 204,1 </w:t>
            </w:r>
          </w:p>
        </w:tc>
        <w:tc>
          <w:tcPr>
            <w:tcW w:w="1701" w:type="dxa"/>
            <w:tcBorders>
              <w:top w:val="nil"/>
              <w:left w:val="nil"/>
              <w:bottom w:val="nil"/>
              <w:right w:val="nil"/>
            </w:tcBorders>
            <w:shd w:val="clear" w:color="auto" w:fill="auto"/>
            <w:hideMark/>
          </w:tcPr>
          <w:p w14:paraId="5BA53DD0"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210,7</w:t>
            </w:r>
          </w:p>
        </w:tc>
        <w:tc>
          <w:tcPr>
            <w:tcW w:w="1701" w:type="dxa"/>
            <w:tcBorders>
              <w:top w:val="nil"/>
              <w:left w:val="nil"/>
              <w:bottom w:val="nil"/>
              <w:right w:val="nil"/>
            </w:tcBorders>
            <w:shd w:val="clear" w:color="auto" w:fill="auto"/>
            <w:hideMark/>
          </w:tcPr>
          <w:p w14:paraId="6D413C30"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767,4</w:t>
            </w:r>
          </w:p>
        </w:tc>
      </w:tr>
      <w:tr w:rsidR="00E64732" w:rsidRPr="00E64732" w14:paraId="2ACC6BE4" w14:textId="77777777" w:rsidTr="00575968">
        <w:trPr>
          <w:trHeight w:val="80"/>
          <w:jc w:val="center"/>
        </w:trPr>
        <w:tc>
          <w:tcPr>
            <w:tcW w:w="2268" w:type="dxa"/>
            <w:tcBorders>
              <w:top w:val="nil"/>
              <w:left w:val="nil"/>
              <w:bottom w:val="nil"/>
              <w:right w:val="nil"/>
            </w:tcBorders>
            <w:shd w:val="clear" w:color="auto" w:fill="auto"/>
            <w:hideMark/>
          </w:tcPr>
          <w:p w14:paraId="21B922C7" w14:textId="77777777" w:rsidR="00E64732" w:rsidRPr="00484218" w:rsidRDefault="00E64732" w:rsidP="00E64732">
            <w:pPr>
              <w:spacing w:after="0" w:line="240" w:lineRule="auto"/>
              <w:jc w:val="both"/>
              <w:rPr>
                <w:rFonts w:ascii="Arial Narrow" w:hAnsi="Arial Narrow"/>
                <w:color w:val="000000"/>
                <w:sz w:val="20"/>
                <w:szCs w:val="20"/>
                <w:lang w:val="en-US"/>
              </w:rPr>
            </w:pPr>
            <w:r w:rsidRPr="00484218">
              <w:rPr>
                <w:rFonts w:ascii="Arial Narrow" w:hAnsi="Arial Narrow" w:cs="Arial"/>
                <w:color w:val="000000"/>
                <w:sz w:val="20"/>
                <w:szCs w:val="20"/>
              </w:rPr>
              <w:t xml:space="preserve">Integrovaná infraštruktúra </w:t>
            </w:r>
          </w:p>
        </w:tc>
        <w:tc>
          <w:tcPr>
            <w:tcW w:w="1134" w:type="dxa"/>
            <w:tcBorders>
              <w:top w:val="nil"/>
              <w:left w:val="nil"/>
              <w:bottom w:val="nil"/>
              <w:right w:val="nil"/>
            </w:tcBorders>
            <w:shd w:val="clear" w:color="auto" w:fill="auto"/>
            <w:hideMark/>
          </w:tcPr>
          <w:p w14:paraId="567800BC"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MDV SR </w:t>
            </w:r>
          </w:p>
        </w:tc>
        <w:tc>
          <w:tcPr>
            <w:tcW w:w="1843" w:type="dxa"/>
            <w:tcBorders>
              <w:top w:val="nil"/>
              <w:left w:val="nil"/>
              <w:bottom w:val="nil"/>
              <w:right w:val="nil"/>
            </w:tcBorders>
            <w:shd w:val="clear" w:color="auto" w:fill="auto"/>
            <w:hideMark/>
          </w:tcPr>
          <w:p w14:paraId="54C12155"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3 949,2 </w:t>
            </w:r>
          </w:p>
        </w:tc>
        <w:tc>
          <w:tcPr>
            <w:tcW w:w="1701" w:type="dxa"/>
            <w:tcBorders>
              <w:top w:val="nil"/>
              <w:left w:val="nil"/>
              <w:bottom w:val="nil"/>
              <w:right w:val="nil"/>
            </w:tcBorders>
            <w:shd w:val="clear" w:color="auto" w:fill="auto"/>
            <w:hideMark/>
          </w:tcPr>
          <w:p w14:paraId="1028AF72"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1 203,7</w:t>
            </w:r>
          </w:p>
        </w:tc>
        <w:tc>
          <w:tcPr>
            <w:tcW w:w="1701" w:type="dxa"/>
            <w:tcBorders>
              <w:top w:val="nil"/>
              <w:left w:val="nil"/>
              <w:bottom w:val="nil"/>
              <w:right w:val="nil"/>
            </w:tcBorders>
            <w:shd w:val="clear" w:color="auto" w:fill="auto"/>
            <w:hideMark/>
          </w:tcPr>
          <w:p w14:paraId="03DF5BAB"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2 456,7</w:t>
            </w:r>
          </w:p>
        </w:tc>
      </w:tr>
      <w:tr w:rsidR="00E64732" w:rsidRPr="00E64732" w14:paraId="30BB5C9E" w14:textId="77777777" w:rsidTr="00575968">
        <w:trPr>
          <w:trHeight w:val="220"/>
          <w:jc w:val="center"/>
        </w:trPr>
        <w:tc>
          <w:tcPr>
            <w:tcW w:w="2268" w:type="dxa"/>
            <w:tcBorders>
              <w:top w:val="nil"/>
              <w:left w:val="nil"/>
              <w:bottom w:val="nil"/>
              <w:right w:val="nil"/>
            </w:tcBorders>
            <w:shd w:val="clear" w:color="auto" w:fill="auto"/>
            <w:hideMark/>
          </w:tcPr>
          <w:p w14:paraId="7F53C937" w14:textId="77777777" w:rsidR="00E64732" w:rsidRPr="00484218" w:rsidRDefault="00E64732" w:rsidP="00E64732">
            <w:pPr>
              <w:spacing w:after="0" w:line="240" w:lineRule="auto"/>
              <w:jc w:val="both"/>
              <w:rPr>
                <w:rFonts w:ascii="Arial Narrow" w:hAnsi="Arial Narrow"/>
                <w:color w:val="000000"/>
                <w:sz w:val="20"/>
                <w:szCs w:val="20"/>
                <w:lang w:val="en-US"/>
              </w:rPr>
            </w:pPr>
            <w:r w:rsidRPr="00484218">
              <w:rPr>
                <w:rFonts w:ascii="Arial Narrow" w:hAnsi="Arial Narrow" w:cs="Arial"/>
                <w:color w:val="000000"/>
                <w:sz w:val="20"/>
                <w:szCs w:val="20"/>
              </w:rPr>
              <w:t xml:space="preserve">Ľudské zdroje </w:t>
            </w:r>
          </w:p>
        </w:tc>
        <w:tc>
          <w:tcPr>
            <w:tcW w:w="1134" w:type="dxa"/>
            <w:tcBorders>
              <w:top w:val="nil"/>
              <w:left w:val="nil"/>
              <w:bottom w:val="nil"/>
              <w:right w:val="nil"/>
            </w:tcBorders>
            <w:shd w:val="clear" w:color="auto" w:fill="auto"/>
            <w:hideMark/>
          </w:tcPr>
          <w:p w14:paraId="4C5B3672"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MPSVR SR </w:t>
            </w:r>
          </w:p>
        </w:tc>
        <w:tc>
          <w:tcPr>
            <w:tcW w:w="1843" w:type="dxa"/>
            <w:tcBorders>
              <w:top w:val="nil"/>
              <w:left w:val="nil"/>
              <w:bottom w:val="nil"/>
              <w:right w:val="nil"/>
            </w:tcBorders>
            <w:shd w:val="clear" w:color="auto" w:fill="auto"/>
            <w:hideMark/>
          </w:tcPr>
          <w:p w14:paraId="624489CE"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2 217,3 </w:t>
            </w:r>
          </w:p>
        </w:tc>
        <w:tc>
          <w:tcPr>
            <w:tcW w:w="1701" w:type="dxa"/>
            <w:tcBorders>
              <w:top w:val="nil"/>
              <w:left w:val="nil"/>
              <w:bottom w:val="nil"/>
              <w:right w:val="nil"/>
            </w:tcBorders>
            <w:shd w:val="clear" w:color="auto" w:fill="auto"/>
            <w:hideMark/>
          </w:tcPr>
          <w:p w14:paraId="7A678E3B"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516,7</w:t>
            </w:r>
          </w:p>
        </w:tc>
        <w:tc>
          <w:tcPr>
            <w:tcW w:w="1701" w:type="dxa"/>
            <w:tcBorders>
              <w:top w:val="nil"/>
              <w:left w:val="nil"/>
              <w:bottom w:val="nil"/>
              <w:right w:val="nil"/>
            </w:tcBorders>
            <w:shd w:val="clear" w:color="auto" w:fill="auto"/>
            <w:hideMark/>
          </w:tcPr>
          <w:p w14:paraId="71C86AF0"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1 446,6</w:t>
            </w:r>
          </w:p>
        </w:tc>
      </w:tr>
      <w:tr w:rsidR="00E64732" w:rsidRPr="00E64732" w14:paraId="2AFD2A9C" w14:textId="77777777" w:rsidTr="00575968">
        <w:trPr>
          <w:trHeight w:val="184"/>
          <w:jc w:val="center"/>
        </w:trPr>
        <w:tc>
          <w:tcPr>
            <w:tcW w:w="2268" w:type="dxa"/>
            <w:tcBorders>
              <w:top w:val="nil"/>
              <w:left w:val="nil"/>
              <w:bottom w:val="nil"/>
              <w:right w:val="nil"/>
            </w:tcBorders>
            <w:shd w:val="clear" w:color="auto" w:fill="auto"/>
            <w:hideMark/>
          </w:tcPr>
          <w:p w14:paraId="1EDCF4BD" w14:textId="77777777" w:rsidR="00E64732" w:rsidRPr="00484218" w:rsidRDefault="00E64732" w:rsidP="00E64732">
            <w:pPr>
              <w:spacing w:after="0" w:line="240" w:lineRule="auto"/>
              <w:jc w:val="both"/>
              <w:rPr>
                <w:rFonts w:ascii="Arial Narrow" w:hAnsi="Arial Narrow"/>
                <w:color w:val="000000"/>
                <w:sz w:val="20"/>
                <w:szCs w:val="20"/>
                <w:lang w:val="en-US"/>
              </w:rPr>
            </w:pPr>
            <w:r w:rsidRPr="00484218">
              <w:rPr>
                <w:rFonts w:ascii="Arial Narrow" w:hAnsi="Arial Narrow" w:cs="Arial"/>
                <w:color w:val="000000"/>
                <w:sz w:val="20"/>
                <w:szCs w:val="20"/>
              </w:rPr>
              <w:t xml:space="preserve">Kvalita životného prostredia </w:t>
            </w:r>
          </w:p>
        </w:tc>
        <w:tc>
          <w:tcPr>
            <w:tcW w:w="1134" w:type="dxa"/>
            <w:tcBorders>
              <w:top w:val="nil"/>
              <w:left w:val="nil"/>
              <w:bottom w:val="nil"/>
              <w:right w:val="nil"/>
            </w:tcBorders>
            <w:shd w:val="clear" w:color="auto" w:fill="auto"/>
            <w:hideMark/>
          </w:tcPr>
          <w:p w14:paraId="1DA5BA3F"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MŽP SR </w:t>
            </w:r>
          </w:p>
        </w:tc>
        <w:tc>
          <w:tcPr>
            <w:tcW w:w="1843" w:type="dxa"/>
            <w:tcBorders>
              <w:top w:val="nil"/>
              <w:left w:val="nil"/>
              <w:bottom w:val="nil"/>
              <w:right w:val="nil"/>
            </w:tcBorders>
            <w:shd w:val="clear" w:color="auto" w:fill="auto"/>
            <w:hideMark/>
          </w:tcPr>
          <w:p w14:paraId="79E6D694"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3 137,9 </w:t>
            </w:r>
          </w:p>
        </w:tc>
        <w:tc>
          <w:tcPr>
            <w:tcW w:w="1701" w:type="dxa"/>
            <w:tcBorders>
              <w:top w:val="nil"/>
              <w:left w:val="nil"/>
              <w:bottom w:val="nil"/>
              <w:right w:val="nil"/>
            </w:tcBorders>
            <w:shd w:val="clear" w:color="auto" w:fill="auto"/>
            <w:hideMark/>
          </w:tcPr>
          <w:p w14:paraId="27C2E7D9"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505,7</w:t>
            </w:r>
          </w:p>
        </w:tc>
        <w:tc>
          <w:tcPr>
            <w:tcW w:w="1701" w:type="dxa"/>
            <w:tcBorders>
              <w:top w:val="nil"/>
              <w:left w:val="nil"/>
              <w:bottom w:val="nil"/>
              <w:right w:val="nil"/>
            </w:tcBorders>
            <w:shd w:val="clear" w:color="auto" w:fill="auto"/>
            <w:hideMark/>
          </w:tcPr>
          <w:p w14:paraId="7B4541E0"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1 596,5</w:t>
            </w:r>
          </w:p>
        </w:tc>
      </w:tr>
      <w:tr w:rsidR="00E64732" w:rsidRPr="00E64732" w14:paraId="4CC99253" w14:textId="77777777" w:rsidTr="00575968">
        <w:trPr>
          <w:trHeight w:val="146"/>
          <w:jc w:val="center"/>
        </w:trPr>
        <w:tc>
          <w:tcPr>
            <w:tcW w:w="2268" w:type="dxa"/>
            <w:tcBorders>
              <w:top w:val="nil"/>
              <w:left w:val="nil"/>
              <w:bottom w:val="nil"/>
              <w:right w:val="nil"/>
            </w:tcBorders>
            <w:shd w:val="clear" w:color="auto" w:fill="auto"/>
            <w:hideMark/>
          </w:tcPr>
          <w:p w14:paraId="4D585C71" w14:textId="77777777" w:rsidR="00E64732" w:rsidRPr="00484218" w:rsidRDefault="00E64732" w:rsidP="00E64732">
            <w:pPr>
              <w:spacing w:after="0" w:line="240" w:lineRule="auto"/>
              <w:jc w:val="both"/>
              <w:rPr>
                <w:rFonts w:ascii="Arial Narrow" w:hAnsi="Arial Narrow"/>
                <w:color w:val="000000"/>
                <w:sz w:val="20"/>
                <w:szCs w:val="20"/>
                <w:lang w:val="en-US"/>
              </w:rPr>
            </w:pPr>
            <w:r w:rsidRPr="00484218">
              <w:rPr>
                <w:rFonts w:ascii="Arial Narrow" w:hAnsi="Arial Narrow" w:cs="Arial"/>
                <w:color w:val="000000"/>
                <w:sz w:val="20"/>
                <w:szCs w:val="20"/>
              </w:rPr>
              <w:t xml:space="preserve">Integrovaný regionálny OP </w:t>
            </w:r>
          </w:p>
        </w:tc>
        <w:tc>
          <w:tcPr>
            <w:tcW w:w="1134" w:type="dxa"/>
            <w:tcBorders>
              <w:top w:val="nil"/>
              <w:left w:val="nil"/>
              <w:bottom w:val="nil"/>
              <w:right w:val="nil"/>
            </w:tcBorders>
            <w:shd w:val="clear" w:color="auto" w:fill="auto"/>
            <w:hideMark/>
          </w:tcPr>
          <w:p w14:paraId="51DF369D"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MPRV SR </w:t>
            </w:r>
          </w:p>
        </w:tc>
        <w:tc>
          <w:tcPr>
            <w:tcW w:w="1843" w:type="dxa"/>
            <w:tcBorders>
              <w:top w:val="nil"/>
              <w:left w:val="nil"/>
              <w:bottom w:val="nil"/>
              <w:right w:val="nil"/>
            </w:tcBorders>
            <w:shd w:val="clear" w:color="auto" w:fill="auto"/>
            <w:hideMark/>
          </w:tcPr>
          <w:p w14:paraId="7B3EFD86"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1 738,8 </w:t>
            </w:r>
          </w:p>
        </w:tc>
        <w:tc>
          <w:tcPr>
            <w:tcW w:w="1701" w:type="dxa"/>
            <w:tcBorders>
              <w:top w:val="nil"/>
              <w:left w:val="nil"/>
              <w:bottom w:val="nil"/>
              <w:right w:val="nil"/>
            </w:tcBorders>
            <w:shd w:val="clear" w:color="auto" w:fill="auto"/>
            <w:hideMark/>
          </w:tcPr>
          <w:p w14:paraId="3A90EB60"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210,2</w:t>
            </w:r>
          </w:p>
        </w:tc>
        <w:tc>
          <w:tcPr>
            <w:tcW w:w="1701" w:type="dxa"/>
            <w:tcBorders>
              <w:top w:val="nil"/>
              <w:left w:val="nil"/>
              <w:bottom w:val="nil"/>
              <w:right w:val="nil"/>
            </w:tcBorders>
            <w:shd w:val="clear" w:color="auto" w:fill="auto"/>
            <w:hideMark/>
          </w:tcPr>
          <w:p w14:paraId="64A298B7"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838,3</w:t>
            </w:r>
          </w:p>
        </w:tc>
      </w:tr>
      <w:tr w:rsidR="00E64732" w:rsidRPr="00E64732" w14:paraId="39616792" w14:textId="77777777" w:rsidTr="00575968">
        <w:trPr>
          <w:trHeight w:val="104"/>
          <w:jc w:val="center"/>
        </w:trPr>
        <w:tc>
          <w:tcPr>
            <w:tcW w:w="2268" w:type="dxa"/>
            <w:tcBorders>
              <w:top w:val="nil"/>
              <w:left w:val="nil"/>
              <w:bottom w:val="nil"/>
              <w:right w:val="nil"/>
            </w:tcBorders>
            <w:shd w:val="clear" w:color="auto" w:fill="auto"/>
            <w:hideMark/>
          </w:tcPr>
          <w:p w14:paraId="6BFF5EEE" w14:textId="77777777" w:rsidR="00E64732" w:rsidRPr="00484218" w:rsidRDefault="00E64732" w:rsidP="00E64732">
            <w:pPr>
              <w:spacing w:after="0" w:line="240" w:lineRule="auto"/>
              <w:jc w:val="both"/>
              <w:rPr>
                <w:rFonts w:ascii="Arial Narrow" w:hAnsi="Arial Narrow"/>
                <w:color w:val="000000"/>
                <w:sz w:val="20"/>
                <w:szCs w:val="20"/>
                <w:lang w:val="en-US"/>
              </w:rPr>
            </w:pPr>
            <w:r w:rsidRPr="00484218">
              <w:rPr>
                <w:rFonts w:ascii="Arial Narrow" w:hAnsi="Arial Narrow" w:cs="Arial"/>
                <w:color w:val="000000"/>
                <w:sz w:val="20"/>
                <w:szCs w:val="20"/>
              </w:rPr>
              <w:t xml:space="preserve">Efektívna verejná správa </w:t>
            </w:r>
          </w:p>
        </w:tc>
        <w:tc>
          <w:tcPr>
            <w:tcW w:w="1134" w:type="dxa"/>
            <w:tcBorders>
              <w:top w:val="nil"/>
              <w:left w:val="nil"/>
              <w:bottom w:val="nil"/>
              <w:right w:val="nil"/>
            </w:tcBorders>
            <w:shd w:val="clear" w:color="auto" w:fill="auto"/>
            <w:hideMark/>
          </w:tcPr>
          <w:p w14:paraId="3EE9B610"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MV SR </w:t>
            </w:r>
          </w:p>
        </w:tc>
        <w:tc>
          <w:tcPr>
            <w:tcW w:w="1843" w:type="dxa"/>
            <w:tcBorders>
              <w:top w:val="nil"/>
              <w:left w:val="nil"/>
              <w:bottom w:val="nil"/>
              <w:right w:val="nil"/>
            </w:tcBorders>
            <w:shd w:val="clear" w:color="auto" w:fill="auto"/>
            <w:hideMark/>
          </w:tcPr>
          <w:p w14:paraId="26FA6958"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278,4 </w:t>
            </w:r>
          </w:p>
        </w:tc>
        <w:tc>
          <w:tcPr>
            <w:tcW w:w="1701" w:type="dxa"/>
            <w:tcBorders>
              <w:top w:val="nil"/>
              <w:left w:val="nil"/>
              <w:bottom w:val="nil"/>
              <w:right w:val="nil"/>
            </w:tcBorders>
            <w:shd w:val="clear" w:color="auto" w:fill="auto"/>
            <w:hideMark/>
          </w:tcPr>
          <w:p w14:paraId="6FA80D2A"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40,3</w:t>
            </w:r>
          </w:p>
        </w:tc>
        <w:tc>
          <w:tcPr>
            <w:tcW w:w="1701" w:type="dxa"/>
            <w:tcBorders>
              <w:top w:val="nil"/>
              <w:left w:val="nil"/>
              <w:bottom w:val="nil"/>
              <w:right w:val="nil"/>
            </w:tcBorders>
            <w:shd w:val="clear" w:color="auto" w:fill="auto"/>
            <w:hideMark/>
          </w:tcPr>
          <w:p w14:paraId="1D0DE6F1"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158,4</w:t>
            </w:r>
          </w:p>
        </w:tc>
      </w:tr>
      <w:tr w:rsidR="00E64732" w:rsidRPr="00E64732" w14:paraId="01F86553" w14:textId="77777777" w:rsidTr="00575968">
        <w:trPr>
          <w:trHeight w:val="220"/>
          <w:jc w:val="center"/>
        </w:trPr>
        <w:tc>
          <w:tcPr>
            <w:tcW w:w="2268" w:type="dxa"/>
            <w:tcBorders>
              <w:top w:val="nil"/>
              <w:left w:val="nil"/>
              <w:bottom w:val="nil"/>
              <w:right w:val="nil"/>
            </w:tcBorders>
            <w:shd w:val="clear" w:color="auto" w:fill="auto"/>
            <w:hideMark/>
          </w:tcPr>
          <w:p w14:paraId="68CF1278" w14:textId="77777777" w:rsidR="00E64732" w:rsidRPr="00484218" w:rsidRDefault="00E64732" w:rsidP="00E64732">
            <w:pPr>
              <w:spacing w:after="0" w:line="240" w:lineRule="auto"/>
              <w:jc w:val="both"/>
              <w:rPr>
                <w:rFonts w:ascii="Arial Narrow" w:hAnsi="Arial Narrow"/>
                <w:color w:val="000000"/>
                <w:sz w:val="20"/>
                <w:szCs w:val="20"/>
                <w:lang w:val="en-US"/>
              </w:rPr>
            </w:pPr>
            <w:r w:rsidRPr="00484218">
              <w:rPr>
                <w:rFonts w:ascii="Arial Narrow" w:hAnsi="Arial Narrow" w:cs="Arial"/>
                <w:color w:val="000000"/>
                <w:sz w:val="20"/>
                <w:szCs w:val="20"/>
              </w:rPr>
              <w:t xml:space="preserve">Technická pomoc </w:t>
            </w:r>
          </w:p>
        </w:tc>
        <w:tc>
          <w:tcPr>
            <w:tcW w:w="1134" w:type="dxa"/>
            <w:tcBorders>
              <w:top w:val="nil"/>
              <w:left w:val="nil"/>
              <w:bottom w:val="nil"/>
              <w:right w:val="nil"/>
            </w:tcBorders>
            <w:shd w:val="clear" w:color="auto" w:fill="auto"/>
            <w:hideMark/>
          </w:tcPr>
          <w:p w14:paraId="6B047BE7"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ÚV SR </w:t>
            </w:r>
          </w:p>
        </w:tc>
        <w:tc>
          <w:tcPr>
            <w:tcW w:w="1843" w:type="dxa"/>
            <w:tcBorders>
              <w:top w:val="nil"/>
              <w:left w:val="nil"/>
              <w:bottom w:val="nil"/>
              <w:right w:val="nil"/>
            </w:tcBorders>
            <w:shd w:val="clear" w:color="auto" w:fill="auto"/>
            <w:hideMark/>
          </w:tcPr>
          <w:p w14:paraId="261245DB"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159,1 </w:t>
            </w:r>
          </w:p>
        </w:tc>
        <w:tc>
          <w:tcPr>
            <w:tcW w:w="1701" w:type="dxa"/>
            <w:tcBorders>
              <w:top w:val="nil"/>
              <w:left w:val="nil"/>
              <w:bottom w:val="nil"/>
              <w:right w:val="nil"/>
            </w:tcBorders>
            <w:shd w:val="clear" w:color="auto" w:fill="auto"/>
            <w:hideMark/>
          </w:tcPr>
          <w:p w14:paraId="260E9CA1"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54,8</w:t>
            </w:r>
          </w:p>
        </w:tc>
        <w:tc>
          <w:tcPr>
            <w:tcW w:w="1701" w:type="dxa"/>
            <w:tcBorders>
              <w:top w:val="nil"/>
              <w:left w:val="nil"/>
              <w:bottom w:val="nil"/>
              <w:right w:val="nil"/>
            </w:tcBorders>
            <w:shd w:val="clear" w:color="auto" w:fill="auto"/>
            <w:hideMark/>
          </w:tcPr>
          <w:p w14:paraId="199B9D90"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82,1</w:t>
            </w:r>
          </w:p>
        </w:tc>
      </w:tr>
      <w:tr w:rsidR="00E64732" w:rsidRPr="00E64732" w14:paraId="2EAC2E4E" w14:textId="77777777" w:rsidTr="00575968">
        <w:trPr>
          <w:trHeight w:val="126"/>
          <w:jc w:val="center"/>
        </w:trPr>
        <w:tc>
          <w:tcPr>
            <w:tcW w:w="2268" w:type="dxa"/>
            <w:tcBorders>
              <w:top w:val="nil"/>
              <w:left w:val="nil"/>
              <w:bottom w:val="nil"/>
              <w:right w:val="nil"/>
            </w:tcBorders>
            <w:shd w:val="clear" w:color="auto" w:fill="auto"/>
            <w:hideMark/>
          </w:tcPr>
          <w:p w14:paraId="3153C39F" w14:textId="77777777" w:rsidR="00E64732" w:rsidRPr="00484218" w:rsidRDefault="00E64732" w:rsidP="00E64732">
            <w:pPr>
              <w:spacing w:after="0" w:line="240" w:lineRule="auto"/>
              <w:jc w:val="both"/>
              <w:rPr>
                <w:rFonts w:ascii="Arial Narrow" w:hAnsi="Arial Narrow"/>
                <w:color w:val="000000"/>
                <w:sz w:val="20"/>
                <w:szCs w:val="20"/>
                <w:lang w:val="en-US"/>
              </w:rPr>
            </w:pPr>
            <w:r w:rsidRPr="00484218">
              <w:rPr>
                <w:rFonts w:ascii="Arial Narrow" w:hAnsi="Arial Narrow" w:cs="Arial"/>
                <w:color w:val="000000"/>
                <w:sz w:val="20"/>
                <w:szCs w:val="20"/>
              </w:rPr>
              <w:t xml:space="preserve">Rybné hospodárstvo </w:t>
            </w:r>
          </w:p>
        </w:tc>
        <w:tc>
          <w:tcPr>
            <w:tcW w:w="1134" w:type="dxa"/>
            <w:tcBorders>
              <w:top w:val="nil"/>
              <w:left w:val="nil"/>
              <w:bottom w:val="nil"/>
              <w:right w:val="nil"/>
            </w:tcBorders>
            <w:shd w:val="clear" w:color="auto" w:fill="auto"/>
            <w:hideMark/>
          </w:tcPr>
          <w:p w14:paraId="75847384"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MPRV SR </w:t>
            </w:r>
          </w:p>
        </w:tc>
        <w:tc>
          <w:tcPr>
            <w:tcW w:w="1843" w:type="dxa"/>
            <w:tcBorders>
              <w:top w:val="nil"/>
              <w:left w:val="nil"/>
              <w:bottom w:val="nil"/>
              <w:right w:val="nil"/>
            </w:tcBorders>
            <w:shd w:val="clear" w:color="auto" w:fill="auto"/>
            <w:hideMark/>
          </w:tcPr>
          <w:p w14:paraId="75508E1A"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15,8 </w:t>
            </w:r>
          </w:p>
        </w:tc>
        <w:tc>
          <w:tcPr>
            <w:tcW w:w="1701" w:type="dxa"/>
            <w:tcBorders>
              <w:top w:val="nil"/>
              <w:left w:val="nil"/>
              <w:bottom w:val="nil"/>
              <w:right w:val="nil"/>
            </w:tcBorders>
            <w:shd w:val="clear" w:color="auto" w:fill="auto"/>
            <w:hideMark/>
          </w:tcPr>
          <w:p w14:paraId="2E688517"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0,7</w:t>
            </w:r>
          </w:p>
        </w:tc>
        <w:tc>
          <w:tcPr>
            <w:tcW w:w="1701" w:type="dxa"/>
            <w:tcBorders>
              <w:top w:val="nil"/>
              <w:left w:val="nil"/>
              <w:bottom w:val="nil"/>
              <w:right w:val="nil"/>
            </w:tcBorders>
            <w:shd w:val="clear" w:color="auto" w:fill="auto"/>
            <w:hideMark/>
          </w:tcPr>
          <w:p w14:paraId="7AC690C1"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1,4</w:t>
            </w:r>
          </w:p>
        </w:tc>
      </w:tr>
      <w:tr w:rsidR="00E64732" w:rsidRPr="00E64732" w14:paraId="25935F59" w14:textId="77777777" w:rsidTr="00575968">
        <w:trPr>
          <w:trHeight w:val="220"/>
          <w:jc w:val="center"/>
        </w:trPr>
        <w:tc>
          <w:tcPr>
            <w:tcW w:w="2268" w:type="dxa"/>
            <w:tcBorders>
              <w:top w:val="nil"/>
              <w:left w:val="nil"/>
              <w:bottom w:val="nil"/>
              <w:right w:val="nil"/>
            </w:tcBorders>
            <w:shd w:val="clear" w:color="auto" w:fill="auto"/>
            <w:hideMark/>
          </w:tcPr>
          <w:p w14:paraId="1E793949" w14:textId="77777777" w:rsidR="00E64732" w:rsidRPr="00484218" w:rsidRDefault="00E64732" w:rsidP="00E64732">
            <w:pPr>
              <w:spacing w:after="0" w:line="240" w:lineRule="auto"/>
              <w:jc w:val="both"/>
              <w:rPr>
                <w:rFonts w:ascii="Arial Narrow" w:hAnsi="Arial Narrow"/>
                <w:color w:val="000000"/>
                <w:sz w:val="20"/>
                <w:szCs w:val="20"/>
                <w:lang w:val="en-US"/>
              </w:rPr>
            </w:pPr>
            <w:proofErr w:type="spellStart"/>
            <w:r w:rsidRPr="00484218">
              <w:rPr>
                <w:rFonts w:ascii="Arial Narrow" w:hAnsi="Arial Narrow" w:cs="Arial"/>
                <w:color w:val="000000"/>
                <w:sz w:val="20"/>
                <w:szCs w:val="20"/>
              </w:rPr>
              <w:t>Interreg</w:t>
            </w:r>
            <w:proofErr w:type="spellEnd"/>
            <w:r w:rsidRPr="00484218">
              <w:rPr>
                <w:rFonts w:ascii="Arial Narrow" w:hAnsi="Arial Narrow" w:cs="Arial"/>
                <w:color w:val="000000"/>
                <w:sz w:val="20"/>
                <w:szCs w:val="20"/>
              </w:rPr>
              <w:t xml:space="preserve"> V-A SK-CZ </w:t>
            </w:r>
          </w:p>
        </w:tc>
        <w:tc>
          <w:tcPr>
            <w:tcW w:w="1134" w:type="dxa"/>
            <w:tcBorders>
              <w:top w:val="nil"/>
              <w:left w:val="nil"/>
              <w:bottom w:val="nil"/>
              <w:right w:val="nil"/>
            </w:tcBorders>
            <w:shd w:val="clear" w:color="auto" w:fill="auto"/>
            <w:hideMark/>
          </w:tcPr>
          <w:p w14:paraId="2B975BEB"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MPRV SR </w:t>
            </w:r>
          </w:p>
        </w:tc>
        <w:tc>
          <w:tcPr>
            <w:tcW w:w="1843" w:type="dxa"/>
            <w:tcBorders>
              <w:top w:val="nil"/>
              <w:left w:val="nil"/>
              <w:bottom w:val="nil"/>
              <w:right w:val="nil"/>
            </w:tcBorders>
            <w:shd w:val="clear" w:color="auto" w:fill="auto"/>
            <w:hideMark/>
          </w:tcPr>
          <w:p w14:paraId="68AE1B43"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90,1 </w:t>
            </w:r>
          </w:p>
        </w:tc>
        <w:tc>
          <w:tcPr>
            <w:tcW w:w="1701" w:type="dxa"/>
            <w:tcBorders>
              <w:top w:val="nil"/>
              <w:left w:val="nil"/>
              <w:bottom w:val="nil"/>
              <w:right w:val="nil"/>
            </w:tcBorders>
            <w:shd w:val="clear" w:color="auto" w:fill="auto"/>
            <w:hideMark/>
          </w:tcPr>
          <w:p w14:paraId="7A58D1D2"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2,2</w:t>
            </w:r>
          </w:p>
        </w:tc>
        <w:tc>
          <w:tcPr>
            <w:tcW w:w="1701" w:type="dxa"/>
            <w:tcBorders>
              <w:top w:val="nil"/>
              <w:left w:val="nil"/>
              <w:bottom w:val="nil"/>
              <w:right w:val="nil"/>
            </w:tcBorders>
            <w:shd w:val="clear" w:color="auto" w:fill="auto"/>
            <w:hideMark/>
          </w:tcPr>
          <w:p w14:paraId="3C76687D"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46,3</w:t>
            </w:r>
          </w:p>
        </w:tc>
      </w:tr>
      <w:tr w:rsidR="00E64732" w:rsidRPr="00E64732" w14:paraId="7B8307B0" w14:textId="77777777" w:rsidTr="00575968">
        <w:trPr>
          <w:trHeight w:val="220"/>
          <w:jc w:val="center"/>
        </w:trPr>
        <w:tc>
          <w:tcPr>
            <w:tcW w:w="2268" w:type="dxa"/>
            <w:tcBorders>
              <w:top w:val="nil"/>
              <w:left w:val="nil"/>
              <w:bottom w:val="nil"/>
              <w:right w:val="nil"/>
            </w:tcBorders>
            <w:shd w:val="clear" w:color="auto" w:fill="auto"/>
            <w:hideMark/>
          </w:tcPr>
          <w:p w14:paraId="21BDAE4E" w14:textId="77777777" w:rsidR="00E64732" w:rsidRPr="00484218" w:rsidRDefault="00E64732" w:rsidP="00E64732">
            <w:pPr>
              <w:spacing w:after="0" w:line="240" w:lineRule="auto"/>
              <w:jc w:val="both"/>
              <w:rPr>
                <w:rFonts w:ascii="Arial Narrow" w:hAnsi="Arial Narrow"/>
                <w:color w:val="000000"/>
                <w:sz w:val="20"/>
                <w:szCs w:val="20"/>
                <w:lang w:val="en-US"/>
              </w:rPr>
            </w:pPr>
            <w:proofErr w:type="spellStart"/>
            <w:r w:rsidRPr="00484218">
              <w:rPr>
                <w:rFonts w:ascii="Arial Narrow" w:hAnsi="Arial Narrow" w:cs="Arial"/>
                <w:color w:val="000000"/>
                <w:sz w:val="20"/>
                <w:szCs w:val="20"/>
              </w:rPr>
              <w:t>Interreg</w:t>
            </w:r>
            <w:proofErr w:type="spellEnd"/>
            <w:r w:rsidRPr="00484218">
              <w:rPr>
                <w:rFonts w:ascii="Arial Narrow" w:hAnsi="Arial Narrow" w:cs="Arial"/>
                <w:color w:val="000000"/>
                <w:sz w:val="20"/>
                <w:szCs w:val="20"/>
              </w:rPr>
              <w:t xml:space="preserve"> V-A SK-AT </w:t>
            </w:r>
          </w:p>
        </w:tc>
        <w:tc>
          <w:tcPr>
            <w:tcW w:w="1134" w:type="dxa"/>
            <w:tcBorders>
              <w:top w:val="nil"/>
              <w:left w:val="nil"/>
              <w:bottom w:val="nil"/>
              <w:right w:val="nil"/>
            </w:tcBorders>
            <w:shd w:val="clear" w:color="auto" w:fill="auto"/>
            <w:hideMark/>
          </w:tcPr>
          <w:p w14:paraId="04D49911"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MPRV SR </w:t>
            </w:r>
          </w:p>
        </w:tc>
        <w:tc>
          <w:tcPr>
            <w:tcW w:w="1843" w:type="dxa"/>
            <w:tcBorders>
              <w:top w:val="nil"/>
              <w:left w:val="nil"/>
              <w:bottom w:val="nil"/>
              <w:right w:val="nil"/>
            </w:tcBorders>
            <w:shd w:val="clear" w:color="auto" w:fill="auto"/>
            <w:hideMark/>
          </w:tcPr>
          <w:p w14:paraId="6B00D386"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75,9 </w:t>
            </w:r>
          </w:p>
        </w:tc>
        <w:tc>
          <w:tcPr>
            <w:tcW w:w="1701" w:type="dxa"/>
            <w:tcBorders>
              <w:top w:val="nil"/>
              <w:left w:val="nil"/>
              <w:bottom w:val="nil"/>
              <w:right w:val="nil"/>
            </w:tcBorders>
            <w:shd w:val="clear" w:color="auto" w:fill="auto"/>
            <w:hideMark/>
          </w:tcPr>
          <w:p w14:paraId="19BFBE48"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1,9</w:t>
            </w:r>
          </w:p>
        </w:tc>
        <w:tc>
          <w:tcPr>
            <w:tcW w:w="1701" w:type="dxa"/>
            <w:tcBorders>
              <w:top w:val="nil"/>
              <w:left w:val="nil"/>
              <w:bottom w:val="nil"/>
              <w:right w:val="nil"/>
            </w:tcBorders>
            <w:shd w:val="clear" w:color="auto" w:fill="auto"/>
            <w:hideMark/>
          </w:tcPr>
          <w:p w14:paraId="6BF39AB5"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36,6</w:t>
            </w:r>
          </w:p>
        </w:tc>
      </w:tr>
      <w:tr w:rsidR="00E64732" w:rsidRPr="00E64732" w14:paraId="071EB166" w14:textId="77777777" w:rsidTr="00575968">
        <w:trPr>
          <w:trHeight w:val="80"/>
          <w:jc w:val="center"/>
        </w:trPr>
        <w:tc>
          <w:tcPr>
            <w:tcW w:w="2268" w:type="dxa"/>
            <w:tcBorders>
              <w:top w:val="nil"/>
              <w:left w:val="nil"/>
              <w:bottom w:val="nil"/>
              <w:right w:val="nil"/>
            </w:tcBorders>
            <w:shd w:val="clear" w:color="auto" w:fill="auto"/>
            <w:hideMark/>
          </w:tcPr>
          <w:p w14:paraId="6CCAE78A" w14:textId="77777777" w:rsidR="00E64732" w:rsidRPr="00484218" w:rsidRDefault="00E64732" w:rsidP="00E64732">
            <w:pPr>
              <w:spacing w:after="0" w:line="240" w:lineRule="auto"/>
              <w:jc w:val="both"/>
              <w:rPr>
                <w:rFonts w:ascii="Arial Narrow" w:hAnsi="Arial Narrow"/>
                <w:color w:val="000000"/>
                <w:sz w:val="20"/>
                <w:szCs w:val="20"/>
                <w:lang w:val="en-US"/>
              </w:rPr>
            </w:pPr>
            <w:r w:rsidRPr="00484218">
              <w:rPr>
                <w:rFonts w:ascii="Arial Narrow" w:hAnsi="Arial Narrow" w:cs="Arial"/>
                <w:color w:val="000000"/>
                <w:sz w:val="20"/>
                <w:szCs w:val="20"/>
              </w:rPr>
              <w:t xml:space="preserve">PS INTERACT III </w:t>
            </w:r>
          </w:p>
        </w:tc>
        <w:tc>
          <w:tcPr>
            <w:tcW w:w="1134" w:type="dxa"/>
            <w:tcBorders>
              <w:top w:val="nil"/>
              <w:left w:val="nil"/>
              <w:bottom w:val="nil"/>
              <w:right w:val="nil"/>
            </w:tcBorders>
            <w:shd w:val="clear" w:color="auto" w:fill="auto"/>
            <w:hideMark/>
          </w:tcPr>
          <w:p w14:paraId="3F219C08"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BSK </w:t>
            </w:r>
          </w:p>
        </w:tc>
        <w:tc>
          <w:tcPr>
            <w:tcW w:w="1843" w:type="dxa"/>
            <w:tcBorders>
              <w:top w:val="nil"/>
              <w:left w:val="nil"/>
              <w:bottom w:val="nil"/>
              <w:right w:val="nil"/>
            </w:tcBorders>
            <w:shd w:val="clear" w:color="auto" w:fill="auto"/>
            <w:hideMark/>
          </w:tcPr>
          <w:p w14:paraId="076BC556"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 xml:space="preserve">39,4 </w:t>
            </w:r>
          </w:p>
        </w:tc>
        <w:tc>
          <w:tcPr>
            <w:tcW w:w="1701" w:type="dxa"/>
            <w:tcBorders>
              <w:top w:val="nil"/>
              <w:left w:val="nil"/>
              <w:bottom w:val="nil"/>
              <w:right w:val="nil"/>
            </w:tcBorders>
            <w:shd w:val="clear" w:color="auto" w:fill="auto"/>
            <w:hideMark/>
          </w:tcPr>
          <w:p w14:paraId="4C7E3355"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11,9</w:t>
            </w:r>
          </w:p>
        </w:tc>
        <w:tc>
          <w:tcPr>
            <w:tcW w:w="1701" w:type="dxa"/>
            <w:tcBorders>
              <w:top w:val="nil"/>
              <w:left w:val="nil"/>
              <w:bottom w:val="nil"/>
              <w:right w:val="nil"/>
            </w:tcBorders>
            <w:shd w:val="clear" w:color="auto" w:fill="auto"/>
            <w:hideMark/>
          </w:tcPr>
          <w:p w14:paraId="20841B79"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39,4</w:t>
            </w:r>
          </w:p>
        </w:tc>
      </w:tr>
      <w:tr w:rsidR="00E64732" w:rsidRPr="00E64732" w14:paraId="40628BB3" w14:textId="77777777" w:rsidTr="00575968">
        <w:trPr>
          <w:trHeight w:val="129"/>
          <w:jc w:val="center"/>
        </w:trPr>
        <w:tc>
          <w:tcPr>
            <w:tcW w:w="2268" w:type="dxa"/>
            <w:tcBorders>
              <w:top w:val="single" w:sz="4" w:space="0" w:color="auto"/>
              <w:left w:val="nil"/>
              <w:bottom w:val="single" w:sz="4" w:space="0" w:color="auto"/>
              <w:right w:val="nil"/>
            </w:tcBorders>
            <w:shd w:val="clear" w:color="auto" w:fill="auto"/>
            <w:vAlign w:val="center"/>
            <w:hideMark/>
          </w:tcPr>
          <w:p w14:paraId="3F88519F" w14:textId="77777777" w:rsidR="00E64732" w:rsidRPr="00484218" w:rsidRDefault="00E64732" w:rsidP="00E64732">
            <w:pPr>
              <w:spacing w:after="0" w:line="240" w:lineRule="auto"/>
              <w:rPr>
                <w:rFonts w:ascii="Arial Narrow" w:hAnsi="Arial Narrow"/>
                <w:b/>
                <w:bCs/>
                <w:color w:val="000000"/>
                <w:sz w:val="20"/>
                <w:szCs w:val="20"/>
                <w:lang w:val="en-US"/>
              </w:rPr>
            </w:pPr>
            <w:r w:rsidRPr="00484218">
              <w:rPr>
                <w:rFonts w:ascii="Arial Narrow" w:hAnsi="Arial Narrow" w:cs="Arial"/>
                <w:b/>
                <w:bCs/>
                <w:color w:val="000000"/>
                <w:sz w:val="20"/>
                <w:szCs w:val="20"/>
              </w:rPr>
              <w:t>Spolu</w:t>
            </w:r>
          </w:p>
        </w:tc>
        <w:tc>
          <w:tcPr>
            <w:tcW w:w="1134" w:type="dxa"/>
            <w:tcBorders>
              <w:top w:val="single" w:sz="4" w:space="0" w:color="auto"/>
              <w:left w:val="nil"/>
              <w:bottom w:val="single" w:sz="4" w:space="0" w:color="auto"/>
              <w:right w:val="nil"/>
            </w:tcBorders>
            <w:shd w:val="clear" w:color="auto" w:fill="auto"/>
            <w:vAlign w:val="center"/>
            <w:hideMark/>
          </w:tcPr>
          <w:p w14:paraId="6BB02A1C" w14:textId="77777777" w:rsidR="00E64732" w:rsidRPr="00484218" w:rsidRDefault="00E64732" w:rsidP="00E64732">
            <w:pPr>
              <w:spacing w:after="0" w:line="240" w:lineRule="auto"/>
              <w:jc w:val="center"/>
              <w:rPr>
                <w:rFonts w:ascii="Arial Narrow" w:hAnsi="Arial Narrow"/>
                <w:b/>
                <w:bCs/>
                <w:color w:val="2C9ADC"/>
                <w:sz w:val="20"/>
                <w:szCs w:val="20"/>
                <w:lang w:val="en-US"/>
              </w:rPr>
            </w:pPr>
          </w:p>
        </w:tc>
        <w:tc>
          <w:tcPr>
            <w:tcW w:w="1843" w:type="dxa"/>
            <w:tcBorders>
              <w:top w:val="single" w:sz="4" w:space="0" w:color="auto"/>
              <w:left w:val="nil"/>
              <w:bottom w:val="single" w:sz="4" w:space="0" w:color="auto"/>
              <w:right w:val="nil"/>
            </w:tcBorders>
            <w:shd w:val="clear" w:color="auto" w:fill="auto"/>
            <w:vAlign w:val="center"/>
            <w:hideMark/>
          </w:tcPr>
          <w:p w14:paraId="604C5CD8"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olor w:val="000000"/>
                <w:sz w:val="20"/>
                <w:szCs w:val="20"/>
              </w:rPr>
              <w:t>13 906,0</w:t>
            </w:r>
          </w:p>
        </w:tc>
        <w:tc>
          <w:tcPr>
            <w:tcW w:w="1701" w:type="dxa"/>
            <w:tcBorders>
              <w:top w:val="single" w:sz="4" w:space="0" w:color="auto"/>
              <w:left w:val="nil"/>
              <w:bottom w:val="single" w:sz="4" w:space="0" w:color="auto"/>
              <w:right w:val="nil"/>
            </w:tcBorders>
            <w:shd w:val="clear" w:color="auto" w:fill="auto"/>
            <w:vAlign w:val="center"/>
            <w:hideMark/>
          </w:tcPr>
          <w:p w14:paraId="6C92C13A"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2 758,8</w:t>
            </w:r>
          </w:p>
        </w:tc>
        <w:tc>
          <w:tcPr>
            <w:tcW w:w="1701" w:type="dxa"/>
            <w:tcBorders>
              <w:top w:val="single" w:sz="4" w:space="0" w:color="auto"/>
              <w:left w:val="nil"/>
              <w:bottom w:val="single" w:sz="4" w:space="0" w:color="auto"/>
              <w:right w:val="nil"/>
            </w:tcBorders>
            <w:shd w:val="clear" w:color="auto" w:fill="auto"/>
            <w:vAlign w:val="center"/>
            <w:hideMark/>
          </w:tcPr>
          <w:p w14:paraId="550BCA73"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7 469,6</w:t>
            </w:r>
          </w:p>
        </w:tc>
      </w:tr>
      <w:tr w:rsidR="00E64732" w:rsidRPr="00E64732" w14:paraId="5D731FF0" w14:textId="77777777" w:rsidTr="00575968">
        <w:trPr>
          <w:trHeight w:val="284"/>
          <w:jc w:val="center"/>
        </w:trPr>
        <w:tc>
          <w:tcPr>
            <w:tcW w:w="2268" w:type="dxa"/>
            <w:tcBorders>
              <w:top w:val="nil"/>
              <w:left w:val="nil"/>
              <w:bottom w:val="nil"/>
              <w:right w:val="nil"/>
            </w:tcBorders>
            <w:shd w:val="clear" w:color="auto" w:fill="auto"/>
            <w:vAlign w:val="center"/>
            <w:hideMark/>
          </w:tcPr>
          <w:p w14:paraId="1F96176A" w14:textId="77777777" w:rsidR="00E64732" w:rsidRPr="00484218" w:rsidRDefault="00E64732" w:rsidP="00E64732">
            <w:pPr>
              <w:spacing w:after="0" w:line="240" w:lineRule="auto"/>
              <w:rPr>
                <w:rFonts w:ascii="Arial Narrow" w:hAnsi="Arial Narrow"/>
                <w:color w:val="000000"/>
                <w:sz w:val="20"/>
                <w:szCs w:val="20"/>
                <w:lang w:val="en-US"/>
              </w:rPr>
            </w:pPr>
            <w:r w:rsidRPr="00484218">
              <w:rPr>
                <w:rFonts w:ascii="Arial Narrow" w:hAnsi="Arial Narrow" w:cs="Arial"/>
                <w:color w:val="000000"/>
                <w:sz w:val="20"/>
                <w:szCs w:val="20"/>
              </w:rPr>
              <w:t>Program rozvoja vidieka</w:t>
            </w:r>
          </w:p>
        </w:tc>
        <w:tc>
          <w:tcPr>
            <w:tcW w:w="1134" w:type="dxa"/>
            <w:tcBorders>
              <w:top w:val="nil"/>
              <w:left w:val="nil"/>
              <w:bottom w:val="nil"/>
              <w:right w:val="nil"/>
            </w:tcBorders>
            <w:shd w:val="clear" w:color="auto" w:fill="auto"/>
            <w:vAlign w:val="center"/>
            <w:hideMark/>
          </w:tcPr>
          <w:p w14:paraId="5C0CF8A0"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MPRV SR</w:t>
            </w:r>
          </w:p>
        </w:tc>
        <w:tc>
          <w:tcPr>
            <w:tcW w:w="1843" w:type="dxa"/>
            <w:tcBorders>
              <w:top w:val="nil"/>
              <w:left w:val="nil"/>
              <w:bottom w:val="nil"/>
              <w:right w:val="nil"/>
            </w:tcBorders>
            <w:shd w:val="clear" w:color="auto" w:fill="auto"/>
            <w:vAlign w:val="center"/>
            <w:hideMark/>
          </w:tcPr>
          <w:p w14:paraId="78AAF806"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olor w:val="000000"/>
                <w:sz w:val="20"/>
                <w:szCs w:val="20"/>
              </w:rPr>
              <w:t>1 559,7</w:t>
            </w:r>
          </w:p>
        </w:tc>
        <w:tc>
          <w:tcPr>
            <w:tcW w:w="1701" w:type="dxa"/>
            <w:tcBorders>
              <w:top w:val="nil"/>
              <w:left w:val="nil"/>
              <w:bottom w:val="nil"/>
              <w:right w:val="nil"/>
            </w:tcBorders>
            <w:shd w:val="clear" w:color="auto" w:fill="auto"/>
            <w:vAlign w:val="center"/>
            <w:hideMark/>
          </w:tcPr>
          <w:p w14:paraId="51F9FF95"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592,0</w:t>
            </w:r>
          </w:p>
        </w:tc>
        <w:tc>
          <w:tcPr>
            <w:tcW w:w="1701" w:type="dxa"/>
            <w:tcBorders>
              <w:top w:val="nil"/>
              <w:left w:val="nil"/>
              <w:bottom w:val="nil"/>
              <w:right w:val="nil"/>
            </w:tcBorders>
            <w:shd w:val="clear" w:color="auto" w:fill="auto"/>
            <w:vAlign w:val="center"/>
            <w:hideMark/>
          </w:tcPr>
          <w:p w14:paraId="7ECEC547" w14:textId="77777777" w:rsidR="00E64732" w:rsidRPr="00484218" w:rsidRDefault="00E64732" w:rsidP="00E64732">
            <w:pPr>
              <w:spacing w:after="0" w:line="240" w:lineRule="auto"/>
              <w:jc w:val="center"/>
              <w:rPr>
                <w:rFonts w:ascii="Arial Narrow" w:hAnsi="Arial Narrow"/>
                <w:color w:val="000000"/>
                <w:sz w:val="20"/>
                <w:szCs w:val="20"/>
                <w:lang w:val="en-US"/>
              </w:rPr>
            </w:pPr>
            <w:r w:rsidRPr="00484218">
              <w:rPr>
                <w:rFonts w:ascii="Arial Narrow" w:hAnsi="Arial Narrow" w:cs="Arial"/>
                <w:color w:val="000000"/>
                <w:sz w:val="20"/>
                <w:szCs w:val="20"/>
              </w:rPr>
              <w:t>935,3</w:t>
            </w:r>
          </w:p>
        </w:tc>
      </w:tr>
      <w:tr w:rsidR="00E64732" w:rsidRPr="00E64732" w14:paraId="1AA2FF90" w14:textId="77777777" w:rsidTr="00575968">
        <w:trPr>
          <w:trHeight w:val="70"/>
          <w:jc w:val="center"/>
        </w:trPr>
        <w:tc>
          <w:tcPr>
            <w:tcW w:w="2268" w:type="dxa"/>
            <w:tcBorders>
              <w:top w:val="single" w:sz="4" w:space="0" w:color="auto"/>
              <w:left w:val="nil"/>
              <w:bottom w:val="single" w:sz="4" w:space="0" w:color="auto"/>
              <w:right w:val="nil"/>
            </w:tcBorders>
            <w:shd w:val="clear" w:color="auto" w:fill="auto"/>
            <w:hideMark/>
          </w:tcPr>
          <w:p w14:paraId="249D30CD" w14:textId="77777777" w:rsidR="00E64732" w:rsidRPr="00484218" w:rsidRDefault="00E64732" w:rsidP="00E64732">
            <w:pPr>
              <w:spacing w:after="0" w:line="240" w:lineRule="auto"/>
              <w:jc w:val="both"/>
              <w:rPr>
                <w:rFonts w:ascii="Arial Narrow" w:hAnsi="Arial Narrow"/>
                <w:b/>
                <w:bCs/>
                <w:color w:val="000000"/>
                <w:sz w:val="20"/>
                <w:szCs w:val="20"/>
                <w:lang w:val="en-US"/>
              </w:rPr>
            </w:pPr>
            <w:r w:rsidRPr="00484218">
              <w:rPr>
                <w:rFonts w:ascii="Arial Narrow" w:hAnsi="Arial Narrow" w:cs="Arial"/>
                <w:b/>
                <w:bCs/>
                <w:color w:val="000000"/>
                <w:sz w:val="20"/>
                <w:szCs w:val="20"/>
              </w:rPr>
              <w:t xml:space="preserve">Spolu </w:t>
            </w:r>
          </w:p>
        </w:tc>
        <w:tc>
          <w:tcPr>
            <w:tcW w:w="1134" w:type="dxa"/>
            <w:tcBorders>
              <w:top w:val="single" w:sz="4" w:space="0" w:color="auto"/>
              <w:left w:val="nil"/>
              <w:bottom w:val="single" w:sz="4" w:space="0" w:color="auto"/>
              <w:right w:val="nil"/>
            </w:tcBorders>
            <w:shd w:val="clear" w:color="auto" w:fill="auto"/>
            <w:vAlign w:val="center"/>
            <w:hideMark/>
          </w:tcPr>
          <w:p w14:paraId="3D65F08E" w14:textId="77777777" w:rsidR="00E64732" w:rsidRPr="00484218" w:rsidRDefault="00E64732" w:rsidP="00E64732">
            <w:pPr>
              <w:spacing w:after="0" w:line="240" w:lineRule="auto"/>
              <w:jc w:val="center"/>
              <w:rPr>
                <w:rFonts w:ascii="Arial Narrow" w:hAnsi="Arial Narrow"/>
                <w:color w:val="000000"/>
                <w:sz w:val="20"/>
                <w:szCs w:val="20"/>
                <w:lang w:val="en-US"/>
              </w:rPr>
            </w:pPr>
          </w:p>
        </w:tc>
        <w:tc>
          <w:tcPr>
            <w:tcW w:w="1843" w:type="dxa"/>
            <w:tcBorders>
              <w:top w:val="single" w:sz="4" w:space="0" w:color="auto"/>
              <w:left w:val="nil"/>
              <w:bottom w:val="single" w:sz="4" w:space="0" w:color="auto"/>
              <w:right w:val="nil"/>
            </w:tcBorders>
            <w:shd w:val="clear" w:color="auto" w:fill="auto"/>
            <w:vAlign w:val="center"/>
            <w:hideMark/>
          </w:tcPr>
          <w:p w14:paraId="0ACA4763" w14:textId="77777777" w:rsidR="00E64732" w:rsidRPr="00484218" w:rsidRDefault="00E64732" w:rsidP="00E64732">
            <w:pPr>
              <w:spacing w:after="0" w:line="240" w:lineRule="auto"/>
              <w:jc w:val="center"/>
              <w:rPr>
                <w:rFonts w:ascii="Arial Narrow" w:hAnsi="Arial Narrow"/>
                <w:b/>
                <w:bCs/>
                <w:color w:val="000000"/>
                <w:sz w:val="20"/>
                <w:szCs w:val="20"/>
                <w:lang w:val="en-US"/>
              </w:rPr>
            </w:pPr>
            <w:r w:rsidRPr="00484218">
              <w:rPr>
                <w:rFonts w:ascii="Arial Narrow" w:hAnsi="Arial Narrow"/>
                <w:b/>
                <w:bCs/>
                <w:color w:val="000000"/>
                <w:sz w:val="20"/>
                <w:szCs w:val="20"/>
              </w:rPr>
              <w:t>15 465,8</w:t>
            </w:r>
          </w:p>
        </w:tc>
        <w:tc>
          <w:tcPr>
            <w:tcW w:w="1701" w:type="dxa"/>
            <w:tcBorders>
              <w:top w:val="single" w:sz="4" w:space="0" w:color="auto"/>
              <w:left w:val="nil"/>
              <w:bottom w:val="single" w:sz="4" w:space="0" w:color="auto"/>
              <w:right w:val="nil"/>
            </w:tcBorders>
            <w:shd w:val="clear" w:color="auto" w:fill="auto"/>
            <w:hideMark/>
          </w:tcPr>
          <w:p w14:paraId="0D21659A" w14:textId="77777777" w:rsidR="00E64732" w:rsidRPr="00484218" w:rsidRDefault="00E64732" w:rsidP="00E64732">
            <w:pPr>
              <w:spacing w:after="0" w:line="240" w:lineRule="auto"/>
              <w:jc w:val="center"/>
              <w:rPr>
                <w:rFonts w:ascii="Arial Narrow" w:hAnsi="Arial Narrow"/>
                <w:b/>
                <w:bCs/>
                <w:color w:val="000000"/>
                <w:sz w:val="20"/>
                <w:szCs w:val="20"/>
                <w:lang w:val="en-US"/>
              </w:rPr>
            </w:pPr>
            <w:r w:rsidRPr="00484218">
              <w:rPr>
                <w:rFonts w:ascii="Arial Narrow" w:hAnsi="Arial Narrow" w:cs="Arial"/>
                <w:b/>
                <w:bCs/>
                <w:color w:val="000000"/>
                <w:sz w:val="20"/>
                <w:szCs w:val="20"/>
              </w:rPr>
              <w:t>3 350,8</w:t>
            </w:r>
          </w:p>
        </w:tc>
        <w:tc>
          <w:tcPr>
            <w:tcW w:w="1701" w:type="dxa"/>
            <w:tcBorders>
              <w:top w:val="single" w:sz="4" w:space="0" w:color="auto"/>
              <w:left w:val="nil"/>
              <w:bottom w:val="single" w:sz="4" w:space="0" w:color="auto"/>
              <w:right w:val="nil"/>
            </w:tcBorders>
            <w:shd w:val="clear" w:color="auto" w:fill="auto"/>
            <w:hideMark/>
          </w:tcPr>
          <w:p w14:paraId="5543871B" w14:textId="77777777" w:rsidR="00E64732" w:rsidRPr="00484218" w:rsidRDefault="00E64732" w:rsidP="00E64732">
            <w:pPr>
              <w:spacing w:after="0" w:line="240" w:lineRule="auto"/>
              <w:jc w:val="center"/>
              <w:rPr>
                <w:rFonts w:ascii="Arial Narrow" w:hAnsi="Arial Narrow"/>
                <w:b/>
                <w:bCs/>
                <w:color w:val="000000"/>
                <w:sz w:val="20"/>
                <w:szCs w:val="20"/>
                <w:lang w:val="en-US"/>
              </w:rPr>
            </w:pPr>
            <w:r w:rsidRPr="00484218">
              <w:rPr>
                <w:rFonts w:ascii="Arial Narrow" w:hAnsi="Arial Narrow" w:cs="Arial"/>
                <w:b/>
                <w:bCs/>
                <w:color w:val="000000"/>
                <w:sz w:val="20"/>
                <w:szCs w:val="20"/>
              </w:rPr>
              <w:t xml:space="preserve">8 404,9 </w:t>
            </w:r>
          </w:p>
        </w:tc>
      </w:tr>
    </w:tbl>
    <w:p w14:paraId="7A32E83D" w14:textId="0C6E2430" w:rsidR="00E64732" w:rsidRPr="004E295E" w:rsidRDefault="004E295E" w:rsidP="004E295E">
      <w:pPr>
        <w:spacing w:after="0" w:line="240" w:lineRule="auto"/>
        <w:jc w:val="right"/>
        <w:rPr>
          <w:rFonts w:ascii="Arial Narrow" w:hAnsi="Arial Narrow" w:cs="Arial Narrow"/>
          <w:bCs/>
          <w:i/>
          <w:sz w:val="16"/>
        </w:rPr>
      </w:pPr>
      <w:r w:rsidRPr="004E295E">
        <w:rPr>
          <w:rFonts w:ascii="Arial Narrow" w:hAnsi="Arial Narrow" w:cs="Arial Narrow"/>
          <w:bCs/>
          <w:i/>
          <w:sz w:val="16"/>
        </w:rPr>
        <w:t>Zdroj: CKO (</w:t>
      </w:r>
      <w:r w:rsidR="00EE676F">
        <w:rPr>
          <w:rFonts w:ascii="Arial Narrow" w:hAnsi="Arial Narrow" w:cs="Arial Narrow"/>
          <w:bCs/>
          <w:i/>
          <w:sz w:val="16"/>
        </w:rPr>
        <w:t>ÚPVII</w:t>
      </w:r>
      <w:r w:rsidRPr="004E295E">
        <w:rPr>
          <w:rFonts w:ascii="Arial Narrow" w:hAnsi="Arial Narrow" w:cs="Arial Narrow"/>
          <w:bCs/>
          <w:i/>
          <w:sz w:val="16"/>
        </w:rPr>
        <w:t>)</w:t>
      </w:r>
    </w:p>
    <w:p w14:paraId="70009728" w14:textId="77777777" w:rsidR="00575968" w:rsidRDefault="00575968" w:rsidP="00E64732">
      <w:pPr>
        <w:spacing w:after="0" w:line="240" w:lineRule="auto"/>
        <w:rPr>
          <w:rFonts w:ascii="Arial Narrow" w:hAnsi="Arial Narrow" w:cs="Arial Narrow"/>
          <w:bCs/>
        </w:rPr>
      </w:pPr>
    </w:p>
    <w:p w14:paraId="0E045D75" w14:textId="341EA6C9" w:rsidR="00E64732" w:rsidRDefault="00E64732" w:rsidP="002E2572">
      <w:pPr>
        <w:autoSpaceDE w:val="0"/>
        <w:autoSpaceDN w:val="0"/>
        <w:adjustRightInd w:val="0"/>
        <w:spacing w:after="0" w:line="240" w:lineRule="auto"/>
        <w:jc w:val="both"/>
        <w:rPr>
          <w:rFonts w:ascii="Arial Narrow" w:hAnsi="Arial Narrow"/>
        </w:rPr>
      </w:pPr>
      <w:r w:rsidRPr="00153D52">
        <w:rPr>
          <w:rFonts w:ascii="Arial Narrow" w:hAnsi="Arial Narrow"/>
          <w:b/>
        </w:rPr>
        <w:t>Rok 2018 bol kľúčovým z hľadiska dosiahnutia cieľov</w:t>
      </w:r>
      <w:r w:rsidRPr="00E64732">
        <w:rPr>
          <w:rFonts w:ascii="Arial Narrow" w:hAnsi="Arial Narrow"/>
        </w:rPr>
        <w:t xml:space="preserve"> </w:t>
      </w:r>
      <w:r w:rsidRPr="00E64732">
        <w:rPr>
          <w:rFonts w:ascii="Arial Narrow" w:hAnsi="Arial Narrow"/>
          <w:b/>
        </w:rPr>
        <w:t>výkonnostného rámca</w:t>
      </w:r>
      <w:r w:rsidRPr="00E64732">
        <w:rPr>
          <w:rFonts w:ascii="Arial Narrow" w:hAnsi="Arial Narrow"/>
        </w:rPr>
        <w:t xml:space="preserve">. Na základe dosiahnutých hodnôt, ktoré budú uvedené vo výročných správach o vykonávaní operačných programov za rok 2018 predkladaných </w:t>
      </w:r>
      <w:r w:rsidR="00396DCE">
        <w:rPr>
          <w:rFonts w:ascii="Arial Narrow" w:hAnsi="Arial Narrow"/>
        </w:rPr>
        <w:t>najneskôr do</w:t>
      </w:r>
      <w:r w:rsidRPr="00E64732">
        <w:rPr>
          <w:rFonts w:ascii="Arial Narrow" w:hAnsi="Arial Narrow"/>
        </w:rPr>
        <w:t> jún</w:t>
      </w:r>
      <w:r w:rsidR="00396DCE">
        <w:rPr>
          <w:rFonts w:ascii="Arial Narrow" w:hAnsi="Arial Narrow"/>
        </w:rPr>
        <w:t>a</w:t>
      </w:r>
      <w:r w:rsidRPr="00E64732">
        <w:rPr>
          <w:rFonts w:ascii="Arial Narrow" w:hAnsi="Arial Narrow"/>
        </w:rPr>
        <w:t xml:space="preserve"> 2019, EK posúdi plnenie čiastkových cieľov a rozhodne o pridelení alebo nepridelení výkonnostnej rezervy pre prioritné osi jednotlivých operačných programov. </w:t>
      </w:r>
    </w:p>
    <w:p w14:paraId="680AC0DE" w14:textId="77777777" w:rsidR="0088662B" w:rsidRPr="00E64732" w:rsidRDefault="0088662B" w:rsidP="002E2572">
      <w:pPr>
        <w:autoSpaceDE w:val="0"/>
        <w:autoSpaceDN w:val="0"/>
        <w:adjustRightInd w:val="0"/>
        <w:spacing w:after="0" w:line="240" w:lineRule="auto"/>
        <w:jc w:val="both"/>
        <w:rPr>
          <w:rFonts w:ascii="Arial Narrow" w:hAnsi="Arial Narrow"/>
        </w:rPr>
      </w:pPr>
    </w:p>
    <w:p w14:paraId="433106C0" w14:textId="56BFBE9D" w:rsidR="0088662B" w:rsidRDefault="00EE676F" w:rsidP="002E2572">
      <w:pPr>
        <w:spacing w:after="0" w:line="240" w:lineRule="auto"/>
        <w:jc w:val="both"/>
        <w:rPr>
          <w:rFonts w:ascii="Arial Narrow" w:hAnsi="Arial Narrow" w:cs="Arial"/>
          <w:color w:val="1F1F1F"/>
        </w:rPr>
      </w:pPr>
      <w:r>
        <w:rPr>
          <w:rFonts w:ascii="Arial Narrow" w:hAnsi="Arial Narrow" w:cs="Arial"/>
          <w:b/>
          <w:color w:val="1F1F1F"/>
        </w:rPr>
        <w:t>ÚPVII</w:t>
      </w:r>
      <w:r w:rsidR="00E64732" w:rsidRPr="00153D52">
        <w:rPr>
          <w:rFonts w:ascii="Arial Narrow" w:hAnsi="Arial Narrow" w:cs="Arial"/>
          <w:b/>
          <w:color w:val="1F1F1F"/>
        </w:rPr>
        <w:t xml:space="preserve"> postupne od roku 2016 zriadil Integrovanú sieť Informačno-poradenských centier</w:t>
      </w:r>
      <w:r w:rsidR="00E64732" w:rsidRPr="00E64732">
        <w:rPr>
          <w:rFonts w:ascii="Arial Narrow" w:hAnsi="Arial Narrow" w:cs="Arial"/>
          <w:color w:val="1F1F1F"/>
        </w:rPr>
        <w:t xml:space="preserve"> (IPC), ktoré s výnimkou Bratislavy  pokrývajú všetky samosprávne kraje. </w:t>
      </w:r>
      <w:r w:rsidR="00E64732" w:rsidRPr="00153D52">
        <w:rPr>
          <w:rFonts w:ascii="Arial Narrow" w:hAnsi="Arial Narrow" w:cs="Arial"/>
          <w:bCs/>
          <w:color w:val="1F1F1F"/>
        </w:rPr>
        <w:t>IPC zabezpečujú bezplatné poradenstvo a pomoc žiadateľom i prijímateľom nenávratného finančného príspevku v oblasti prípravy a predloženia žiadostí o príspevok, implementácie projektu a verejného obstarávania.</w:t>
      </w:r>
      <w:r w:rsidR="00E64732" w:rsidRPr="00E64732">
        <w:rPr>
          <w:rFonts w:ascii="Arial Narrow" w:hAnsi="Arial Narrow" w:cs="Arial"/>
          <w:color w:val="1F1F1F"/>
        </w:rPr>
        <w:t xml:space="preserve"> Od januára 2018 bolo sprístupnené samostatné webové sídlo IPC. Vzhľadom na pozitívne odozvy je existencia IPC predĺžená do konca roku 2021. </w:t>
      </w:r>
    </w:p>
    <w:p w14:paraId="12F8F4D8" w14:textId="77777777" w:rsidR="0088662B" w:rsidRPr="0088662B" w:rsidRDefault="0088662B" w:rsidP="0088662B">
      <w:pPr>
        <w:spacing w:after="0" w:line="240" w:lineRule="auto"/>
        <w:jc w:val="both"/>
        <w:rPr>
          <w:rFonts w:ascii="Arial Narrow" w:hAnsi="Arial Narrow" w:cs="Arial"/>
          <w:color w:val="1F1F1F"/>
        </w:rPr>
      </w:pPr>
    </w:p>
    <w:p w14:paraId="74A6100E" w14:textId="518AA5D2" w:rsidR="00153D52" w:rsidRPr="0088662B" w:rsidRDefault="0088662B" w:rsidP="0088662B">
      <w:pPr>
        <w:spacing w:after="240" w:line="240" w:lineRule="auto"/>
        <w:jc w:val="both"/>
        <w:rPr>
          <w:rFonts w:ascii="Arial Narrow" w:hAnsi="Arial Narrow" w:cs="Arial"/>
          <w:color w:val="000000"/>
          <w:lang w:eastAsia="cs-CZ"/>
        </w:rPr>
      </w:pPr>
      <w:r w:rsidRPr="0088662B">
        <w:rPr>
          <w:rFonts w:ascii="Arial Narrow" w:hAnsi="Arial Narrow" w:cs="Arial"/>
          <w:b/>
          <w:color w:val="1F1F1F"/>
        </w:rPr>
        <w:t>Implementuje sa viacero projektov v kontexte zvyšovania informovanosti a transparentnosti čerpania eurofondov.</w:t>
      </w:r>
      <w:r>
        <w:rPr>
          <w:rFonts w:ascii="Arial Narrow" w:hAnsi="Arial Narrow" w:cs="Arial"/>
          <w:color w:val="1F1F1F"/>
        </w:rPr>
        <w:t xml:space="preserve"> </w:t>
      </w:r>
      <w:r w:rsidR="00EE676F">
        <w:rPr>
          <w:rFonts w:ascii="Arial Narrow" w:hAnsi="Arial Narrow" w:cs="Arial"/>
          <w:color w:val="1F1F1F"/>
        </w:rPr>
        <w:t>ÚPVII</w:t>
      </w:r>
      <w:r w:rsidR="00E64732" w:rsidRPr="0088662B">
        <w:rPr>
          <w:rFonts w:ascii="Arial Narrow" w:hAnsi="Arial Narrow" w:cs="Arial"/>
          <w:color w:val="1F1F1F"/>
        </w:rPr>
        <w:t xml:space="preserve"> v partnerstve s vysokými školami od jesene 2017 implementuje projekt, ktorého cieľom je </w:t>
      </w:r>
      <w:r w:rsidR="00E64732" w:rsidRPr="0088662B">
        <w:rPr>
          <w:rFonts w:ascii="Arial Narrow" w:hAnsi="Arial Narrow" w:cs="Arial"/>
          <w:color w:val="000000"/>
          <w:lang w:eastAsia="cs-CZ"/>
        </w:rPr>
        <w:t>vytvorenie nového predmetu venujúc</w:t>
      </w:r>
      <w:r w:rsidRPr="0088662B">
        <w:rPr>
          <w:rFonts w:ascii="Arial Narrow" w:hAnsi="Arial Narrow" w:cs="Arial"/>
          <w:color w:val="000000"/>
          <w:lang w:eastAsia="cs-CZ"/>
        </w:rPr>
        <w:t xml:space="preserve">eho sa problematike eurofondov. </w:t>
      </w:r>
      <w:r w:rsidR="00E64732" w:rsidRPr="0088662B">
        <w:rPr>
          <w:rFonts w:ascii="Arial Narrow" w:hAnsi="Arial Narrow" w:cs="Arial"/>
          <w:color w:val="000000"/>
          <w:lang w:eastAsia="cs-CZ"/>
        </w:rPr>
        <w:t xml:space="preserve">V realizácii je aj projekt technickej pomoci </w:t>
      </w:r>
      <w:r w:rsidR="00E64732" w:rsidRPr="0088662B">
        <w:rPr>
          <w:rFonts w:ascii="Arial Narrow" w:hAnsi="Arial Narrow" w:cs="Arial"/>
          <w:i/>
          <w:color w:val="000000"/>
          <w:lang w:eastAsia="cs-CZ"/>
        </w:rPr>
        <w:t xml:space="preserve">Efektívne zapojenie občianskej spoločnosti do implementácie a monitorovania EŠIF zavádzaním </w:t>
      </w:r>
      <w:proofErr w:type="spellStart"/>
      <w:r w:rsidR="00E64732" w:rsidRPr="0088662B">
        <w:rPr>
          <w:rFonts w:ascii="Arial Narrow" w:hAnsi="Arial Narrow" w:cs="Arial"/>
          <w:i/>
          <w:color w:val="000000"/>
          <w:lang w:eastAsia="cs-CZ"/>
        </w:rPr>
        <w:t>participatívnych</w:t>
      </w:r>
      <w:proofErr w:type="spellEnd"/>
      <w:r w:rsidR="00E64732" w:rsidRPr="0088662B">
        <w:rPr>
          <w:rFonts w:ascii="Arial Narrow" w:hAnsi="Arial Narrow" w:cs="Arial"/>
          <w:i/>
          <w:color w:val="000000"/>
          <w:lang w:eastAsia="cs-CZ"/>
        </w:rPr>
        <w:t xml:space="preserve"> postupov</w:t>
      </w:r>
      <w:r w:rsidR="00E64732" w:rsidRPr="0088662B">
        <w:rPr>
          <w:rFonts w:ascii="Arial Narrow" w:hAnsi="Arial Narrow" w:cs="Arial"/>
          <w:color w:val="000000"/>
          <w:lang w:eastAsia="cs-CZ"/>
        </w:rPr>
        <w:t xml:space="preserve">. Projekt vedie rada zložená zo zástupcov </w:t>
      </w:r>
      <w:r w:rsidR="00EE676F">
        <w:rPr>
          <w:rFonts w:ascii="Arial Narrow" w:hAnsi="Arial Narrow" w:cs="Arial"/>
          <w:color w:val="000000"/>
          <w:lang w:eastAsia="cs-CZ"/>
        </w:rPr>
        <w:t>ÚPVII</w:t>
      </w:r>
      <w:r w:rsidR="00E64732" w:rsidRPr="0088662B">
        <w:rPr>
          <w:rFonts w:ascii="Arial Narrow" w:hAnsi="Arial Narrow" w:cs="Arial"/>
          <w:color w:val="000000"/>
          <w:lang w:eastAsia="cs-CZ"/>
        </w:rPr>
        <w:t xml:space="preserve"> a Úradu splnomocnenca SR pre rozvoj občianskej spoločnosti. Cieľom je komplexné zmonitorovanie doterajších postupov zapájania partnerov do implementácie a monitorovania EŠIF, ich vyhodnotenie a</w:t>
      </w:r>
      <w:r w:rsidRPr="0088662B">
        <w:rPr>
          <w:rFonts w:ascii="Arial Narrow" w:hAnsi="Arial Narrow" w:cs="Arial"/>
          <w:color w:val="000000"/>
          <w:lang w:eastAsia="cs-CZ"/>
        </w:rPr>
        <w:t xml:space="preserve"> konkrétne návrhy na zlepšenie. </w:t>
      </w:r>
      <w:r w:rsidR="00C150A7" w:rsidRPr="0088662B">
        <w:rPr>
          <w:rFonts w:ascii="Arial Narrow" w:hAnsi="Arial Narrow" w:cs="Arial"/>
        </w:rPr>
        <w:t xml:space="preserve">V roku 2018 sa priebežne plnil </w:t>
      </w:r>
      <w:r w:rsidR="00E64732" w:rsidRPr="0088662B">
        <w:rPr>
          <w:rFonts w:ascii="Arial Narrow" w:hAnsi="Arial Narrow" w:cs="Arial"/>
          <w:i/>
        </w:rPr>
        <w:t>Akčný plán n</w:t>
      </w:r>
      <w:r w:rsidR="00DA6440" w:rsidRPr="0088662B">
        <w:rPr>
          <w:rFonts w:ascii="Arial Narrow" w:hAnsi="Arial Narrow" w:cs="Arial"/>
          <w:i/>
        </w:rPr>
        <w:t xml:space="preserve">a posilnenie transparentnosti a </w:t>
      </w:r>
      <w:r w:rsidR="00E64732" w:rsidRPr="0088662B">
        <w:rPr>
          <w:rFonts w:ascii="Arial Narrow" w:hAnsi="Arial Narrow" w:cs="Arial"/>
          <w:i/>
        </w:rPr>
        <w:t>zjednodušenia implementácie EŠIF</w:t>
      </w:r>
      <w:r w:rsidR="00E64732" w:rsidRPr="0088662B">
        <w:rPr>
          <w:rFonts w:ascii="Arial Narrow" w:hAnsi="Arial Narrow" w:cs="Arial"/>
        </w:rPr>
        <w:t xml:space="preserve"> schválený vl</w:t>
      </w:r>
      <w:r w:rsidRPr="0088662B">
        <w:rPr>
          <w:rFonts w:ascii="Arial Narrow" w:hAnsi="Arial Narrow" w:cs="Arial"/>
        </w:rPr>
        <w:t xml:space="preserve">ádou SR v septembri 2017. Plán </w:t>
      </w:r>
      <w:r w:rsidR="00E64732" w:rsidRPr="0088662B">
        <w:rPr>
          <w:rFonts w:ascii="Arial Narrow" w:hAnsi="Arial Narrow" w:cs="Arial"/>
        </w:rPr>
        <w:t xml:space="preserve">obsahuje celkovo </w:t>
      </w:r>
      <w:r w:rsidRPr="0088662B">
        <w:rPr>
          <w:rFonts w:ascii="Arial Narrow" w:hAnsi="Arial Narrow" w:cs="Arial"/>
        </w:rPr>
        <w:t>38 opatrení v rámci 26</w:t>
      </w:r>
      <w:r w:rsidR="00575968">
        <w:rPr>
          <w:rStyle w:val="Odkaznapoznmkupodiarou"/>
          <w:rFonts w:ascii="Arial Narrow" w:hAnsi="Arial Narrow" w:cs="Arial"/>
        </w:rPr>
        <w:footnoteReference w:id="115"/>
      </w:r>
      <w:r w:rsidRPr="0088662B">
        <w:rPr>
          <w:rFonts w:ascii="Arial Narrow" w:hAnsi="Arial Narrow" w:cs="Arial"/>
        </w:rPr>
        <w:t xml:space="preserve"> oblastí, za ktorých</w:t>
      </w:r>
      <w:r w:rsidR="00E64732" w:rsidRPr="0088662B">
        <w:rPr>
          <w:rFonts w:ascii="Arial Narrow" w:hAnsi="Arial Narrow" w:cs="Arial"/>
        </w:rPr>
        <w:t xml:space="preserve"> zavedenie do praxe je zodpovedný hlavne </w:t>
      </w:r>
      <w:r w:rsidR="00EE676F">
        <w:rPr>
          <w:rFonts w:ascii="Arial Narrow" w:hAnsi="Arial Narrow" w:cs="Arial"/>
        </w:rPr>
        <w:t>ÚPVII</w:t>
      </w:r>
      <w:r w:rsidR="00E64732" w:rsidRPr="0088662B">
        <w:rPr>
          <w:rFonts w:ascii="Arial Narrow" w:hAnsi="Arial Narrow" w:cs="Arial"/>
        </w:rPr>
        <w:t xml:space="preserve">. </w:t>
      </w:r>
      <w:r w:rsidRPr="0088662B">
        <w:rPr>
          <w:rFonts w:ascii="Arial Narrow" w:hAnsi="Arial Narrow" w:cs="Arial"/>
          <w:color w:val="000000"/>
          <w:lang w:eastAsia="cs-CZ"/>
        </w:rPr>
        <w:t xml:space="preserve"> </w:t>
      </w:r>
      <w:r w:rsidR="00E64732" w:rsidRPr="0088662B">
        <w:rPr>
          <w:rFonts w:ascii="Arial Narrow" w:hAnsi="Arial Narrow" w:cs="Arial"/>
        </w:rPr>
        <w:t xml:space="preserve">Na zabezpečenie koordinácie v SR a vytvorenie jednotnej platformy priamo riadených programov s cieľom zlepšiť informovanosť odbornej i laickej verejnosti sa pripravuje národný projekt OP EVS s predpokladom začiatku realizácie v roku 2019. </w:t>
      </w:r>
    </w:p>
    <w:p w14:paraId="5D7CCE97" w14:textId="25F0499A" w:rsidR="00E64732" w:rsidRDefault="00E64732" w:rsidP="0088662B">
      <w:pPr>
        <w:suppressAutoHyphens/>
        <w:spacing w:after="120" w:line="240" w:lineRule="auto"/>
        <w:jc w:val="both"/>
        <w:rPr>
          <w:rFonts w:ascii="Arial Narrow" w:hAnsi="Arial Narrow"/>
          <w:iCs/>
          <w:color w:val="000000" w:themeColor="text1"/>
        </w:rPr>
      </w:pPr>
      <w:r w:rsidRPr="0088662B">
        <w:rPr>
          <w:rFonts w:ascii="Arial Narrow" w:hAnsi="Arial Narrow" w:cs="Arial"/>
          <w:b/>
        </w:rPr>
        <w:t>Za intenzívnej účasti SR pokračuje príprava budúcej podoby politiky súdržnosti po roku 2020.</w:t>
      </w:r>
      <w:r w:rsidRPr="00E64732">
        <w:rPr>
          <w:rFonts w:ascii="Arial Narrow" w:hAnsi="Arial Narrow" w:cs="Arial"/>
        </w:rPr>
        <w:t xml:space="preserve"> </w:t>
      </w:r>
      <w:r w:rsidR="00EE676F">
        <w:rPr>
          <w:rFonts w:ascii="Arial Narrow" w:hAnsi="Arial Narrow" w:cs="Arial"/>
        </w:rPr>
        <w:t>ÚPVII</w:t>
      </w:r>
      <w:r w:rsidRPr="00E64732">
        <w:rPr>
          <w:rFonts w:ascii="Arial Narrow" w:hAnsi="Arial Narrow" w:cs="Arial"/>
        </w:rPr>
        <w:t xml:space="preserve"> pripravilo </w:t>
      </w:r>
      <w:r w:rsidRPr="00DA6440">
        <w:rPr>
          <w:rFonts w:ascii="Arial Narrow" w:hAnsi="Arial Narrow" w:cs="Arial"/>
          <w:i/>
        </w:rPr>
        <w:t>Návrh východiskovej pozície SR k politike súdržnosti po roku 2020</w:t>
      </w:r>
      <w:r w:rsidRPr="00E64732">
        <w:rPr>
          <w:rFonts w:ascii="Arial Narrow" w:hAnsi="Arial Narrow" w:cs="Arial"/>
        </w:rPr>
        <w:t xml:space="preserve">, ktorý v januári 2018 schválila vláda SR. V marci 2018 vláda schválila Východiská Slovenskej republiky pre rokovania o viacročnom finančnom rámci Európskej únie po roku 2020. </w:t>
      </w:r>
      <w:r w:rsidR="00EE676F">
        <w:rPr>
          <w:rFonts w:ascii="Arial Narrow" w:hAnsi="Arial Narrow" w:cs="Arial"/>
        </w:rPr>
        <w:t>ÚPVII</w:t>
      </w:r>
      <w:r w:rsidRPr="00E64732">
        <w:rPr>
          <w:rFonts w:ascii="Arial Narrow" w:hAnsi="Arial Narrow" w:cs="Arial"/>
        </w:rPr>
        <w:t xml:space="preserve"> vedie Rezortnú koordinačnú skupinu, členovia ktorej sa priebežne vyjadrujú k legislatívnym návrhom pre politiku súdržnosti EÚ 2020+. </w:t>
      </w:r>
      <w:r w:rsidR="0088662B" w:rsidRPr="0088662B">
        <w:rPr>
          <w:rFonts w:ascii="Arial Narrow" w:hAnsi="Arial Narrow"/>
          <w:iCs/>
          <w:color w:val="000000" w:themeColor="text1"/>
        </w:rPr>
        <w:t xml:space="preserve">Do procesu prípravy programového obdobia 2021 až 2027 sú aktívne zapájaní aj sociálno-ekonomickí partneri v rámci pracovnej skupiny Partnerstvo pre politiku súdržnosti 2020+,  vytvorenej </w:t>
      </w:r>
      <w:r w:rsidR="00EE676F">
        <w:rPr>
          <w:rFonts w:ascii="Arial Narrow" w:hAnsi="Arial Narrow"/>
          <w:iCs/>
          <w:color w:val="000000" w:themeColor="text1"/>
        </w:rPr>
        <w:t>ÚPVII</w:t>
      </w:r>
      <w:r w:rsidR="0088662B" w:rsidRPr="0088662B">
        <w:rPr>
          <w:rFonts w:ascii="Arial Narrow" w:hAnsi="Arial Narrow"/>
          <w:iCs/>
          <w:color w:val="000000" w:themeColor="text1"/>
        </w:rPr>
        <w:t xml:space="preserve">. V marci 2019 bola zriadená Rada vlády Slovenskej republiky pre politiku súdržnosti 2021 až 2027 ako koordinačný, poradný a iniciatívny orgán vlády SR pre otázky týkajúce sa politiky súdržnosti v programovom období 2021 až 2027. </w:t>
      </w:r>
      <w:r w:rsidR="00EE676F">
        <w:rPr>
          <w:rFonts w:ascii="Arial Narrow" w:hAnsi="Arial Narrow"/>
          <w:iCs/>
          <w:color w:val="000000" w:themeColor="text1"/>
        </w:rPr>
        <w:t>ÚPVII</w:t>
      </w:r>
      <w:r w:rsidR="0088662B" w:rsidRPr="0088662B">
        <w:rPr>
          <w:rFonts w:ascii="Arial Narrow" w:hAnsi="Arial Narrow"/>
          <w:iCs/>
          <w:color w:val="000000" w:themeColor="text1"/>
        </w:rPr>
        <w:t xml:space="preserve"> pri koordinácii prípravy budúceho programového obdobia zdôrazňuje potrebu zjednodušovania procesov a dokumentov, ako aj ďalšieho posilňovania výsledkového zamerania fondov politiky súdržnosti.</w:t>
      </w:r>
    </w:p>
    <w:p w14:paraId="0FBC8E13" w14:textId="40599210" w:rsidR="002E2572" w:rsidRPr="0088662B" w:rsidRDefault="002E2572" w:rsidP="0088662B">
      <w:pPr>
        <w:suppressAutoHyphens/>
        <w:spacing w:after="120" w:line="240" w:lineRule="auto"/>
        <w:jc w:val="both"/>
        <w:rPr>
          <w:rFonts w:ascii="Arial Narrow" w:hAnsi="Arial Narrow"/>
          <w:iCs/>
          <w:color w:val="000000" w:themeColor="text1"/>
        </w:rPr>
      </w:pPr>
      <w:r>
        <w:rPr>
          <w:rFonts w:ascii="Arial Narrow" w:hAnsi="Arial Narrow"/>
          <w:b/>
          <w:bCs/>
        </w:rPr>
        <w:t>Príprava budúcej podoby politiky súdržnosti je užšie ako kedykoľvek predtým prepojená s európskym semestrom zavedeným stratégiou Európa 2020</w:t>
      </w:r>
      <w:r>
        <w:rPr>
          <w:rFonts w:ascii="Arial Narrow" w:hAnsi="Arial Narrow"/>
        </w:rPr>
        <w:t xml:space="preserve">. </w:t>
      </w:r>
      <w:hyperlink r:id="rId51" w:history="1">
        <w:r w:rsidRPr="002E2572">
          <w:rPr>
            <w:rStyle w:val="Hypertextovprepojenie"/>
            <w:rFonts w:ascii="Arial Narrow" w:hAnsi="Arial Narrow"/>
            <w:i/>
            <w:color w:val="2C9ADC"/>
          </w:rPr>
          <w:t>Správa o Slovensku 2019</w:t>
        </w:r>
      </w:hyperlink>
      <w:r>
        <w:rPr>
          <w:rFonts w:ascii="Arial Narrow" w:hAnsi="Arial Narrow"/>
        </w:rPr>
        <w:t>, okrem zhodnotenia dosiahnutého pokroku v plnení špecifických odporúčaní pre Slovensko a cieľov stratégie Európa 2020, predstavuje päť politických cieľov budúcej politiky súdržnosti (</w:t>
      </w:r>
      <w:r>
        <w:rPr>
          <w:rFonts w:ascii="Arial Narrow" w:hAnsi="Arial Narrow"/>
          <w:i/>
          <w:iCs/>
        </w:rPr>
        <w:t>Inteligentnejšia Európa</w:t>
      </w:r>
      <w:r>
        <w:rPr>
          <w:rFonts w:ascii="Arial Narrow" w:hAnsi="Arial Narrow"/>
        </w:rPr>
        <w:t xml:space="preserve">, </w:t>
      </w:r>
      <w:proofErr w:type="spellStart"/>
      <w:r>
        <w:rPr>
          <w:rFonts w:ascii="Arial Narrow" w:hAnsi="Arial Narrow"/>
          <w:i/>
          <w:iCs/>
        </w:rPr>
        <w:t>Nízkouhlíková</w:t>
      </w:r>
      <w:proofErr w:type="spellEnd"/>
      <w:r>
        <w:rPr>
          <w:rFonts w:ascii="Arial Narrow" w:hAnsi="Arial Narrow"/>
          <w:i/>
          <w:iCs/>
        </w:rPr>
        <w:t xml:space="preserve"> a ekologickejšia Európa</w:t>
      </w:r>
      <w:r>
        <w:rPr>
          <w:rFonts w:ascii="Arial Narrow" w:hAnsi="Arial Narrow"/>
        </w:rPr>
        <w:t xml:space="preserve">, </w:t>
      </w:r>
      <w:r>
        <w:rPr>
          <w:rFonts w:ascii="Arial Narrow" w:hAnsi="Arial Narrow"/>
          <w:i/>
          <w:iCs/>
        </w:rPr>
        <w:t>Prepojenejšia Európa</w:t>
      </w:r>
      <w:r>
        <w:rPr>
          <w:rFonts w:ascii="Arial Narrow" w:hAnsi="Arial Narrow"/>
        </w:rPr>
        <w:t xml:space="preserve">, </w:t>
      </w:r>
      <w:r>
        <w:rPr>
          <w:rFonts w:ascii="Arial Narrow" w:hAnsi="Arial Narrow"/>
          <w:i/>
          <w:iCs/>
        </w:rPr>
        <w:t>Sociálnejšia Európa</w:t>
      </w:r>
      <w:r>
        <w:rPr>
          <w:rFonts w:ascii="Arial Narrow" w:hAnsi="Arial Narrow"/>
        </w:rPr>
        <w:t xml:space="preserve">, </w:t>
      </w:r>
      <w:r>
        <w:rPr>
          <w:rFonts w:ascii="Arial Narrow" w:hAnsi="Arial Narrow"/>
          <w:i/>
          <w:iCs/>
        </w:rPr>
        <w:t>Európa bližšie k občanom</w:t>
      </w:r>
      <w:r>
        <w:rPr>
          <w:rFonts w:ascii="Arial Narrow" w:hAnsi="Arial Narrow"/>
        </w:rPr>
        <w:t>)</w:t>
      </w:r>
      <w:r w:rsidR="00711C88">
        <w:rPr>
          <w:rFonts w:ascii="Arial Narrow" w:hAnsi="Arial Narrow"/>
        </w:rPr>
        <w:t xml:space="preserve">. </w:t>
      </w:r>
      <w:r>
        <w:rPr>
          <w:rFonts w:ascii="Arial Narrow" w:hAnsi="Arial Narrow"/>
        </w:rPr>
        <w:t xml:space="preserve">V rámci nich sú predstavené hlavné investičné potreby ako základ ďalšieho dialógu medzi členskými štátmi EÚ a útvarmi EK o programovaní fondov politiky súdržnosti na roky 2021 - 2027 (Európsky fond regionálneho rozvoja, Kohézny fond a Európsky sociálny fond plus). </w:t>
      </w:r>
      <w:r w:rsidRPr="002E2572">
        <w:rPr>
          <w:rFonts w:ascii="Arial Narrow" w:hAnsi="Arial Narrow"/>
          <w:i/>
        </w:rPr>
        <w:t>Správa o krajine 2019</w:t>
      </w:r>
      <w:r>
        <w:rPr>
          <w:rFonts w:ascii="Arial Narrow" w:hAnsi="Arial Narrow"/>
        </w:rPr>
        <w:t xml:space="preserve"> a budúcnosť politiky súdržnosti boli predmetom  diskusie aj na prvom zasadnutí Rady vlády SR pre politiku súdržnosti 2021 až 2027 a následnom rokovaní s EK v marci 2019.  Slovensko svoje investičné potreby v kontexte piatich cieľov budúcej politiky súdržnosti predstavilo EK po prvýkrát v decembri 2018.</w:t>
      </w:r>
    </w:p>
    <w:p w14:paraId="795FC124" w14:textId="6741988C" w:rsidR="00E64732" w:rsidRPr="00484218" w:rsidRDefault="002E2572" w:rsidP="00E64732">
      <w:pPr>
        <w:keepNext/>
        <w:keepLines/>
        <w:numPr>
          <w:ilvl w:val="0"/>
          <w:numId w:val="1"/>
        </w:numPr>
        <w:spacing w:before="480" w:after="0" w:line="240" w:lineRule="auto"/>
        <w:ind w:left="851" w:hanging="709"/>
        <w:outlineLvl w:val="0"/>
        <w:rPr>
          <w:rFonts w:ascii="Arial Narrow" w:eastAsiaTheme="majorEastAsia" w:hAnsi="Arial Narrow" w:cs="Arial Narrow"/>
          <w:b/>
          <w:color w:val="2C9ADC"/>
          <w:sz w:val="32"/>
        </w:rPr>
      </w:pPr>
      <w:bookmarkStart w:id="88" w:name="_Toc480749819"/>
      <w:bookmarkStart w:id="89" w:name="_Toc4766849"/>
      <w:r>
        <w:rPr>
          <w:rFonts w:ascii="Arial Narrow" w:eastAsiaTheme="majorEastAsia" w:hAnsi="Arial Narrow" w:cstheme="majorBidi"/>
          <w:b/>
          <w:bCs/>
          <w:sz w:val="32"/>
        </w:rPr>
        <w:lastRenderedPageBreak/>
        <w:t>I</w:t>
      </w:r>
      <w:r w:rsidR="00E64732" w:rsidRPr="00484218">
        <w:rPr>
          <w:rFonts w:ascii="Arial Narrow" w:eastAsiaTheme="majorEastAsia" w:hAnsi="Arial Narrow" w:cstheme="majorBidi"/>
          <w:b/>
          <w:bCs/>
          <w:sz w:val="32"/>
        </w:rPr>
        <w:t>nštitucionálny rámec stratégie Európa 2020 a NPR</w:t>
      </w:r>
      <w:bookmarkEnd w:id="88"/>
      <w:bookmarkEnd w:id="89"/>
    </w:p>
    <w:p w14:paraId="6981837A" w14:textId="77777777" w:rsidR="00E64732" w:rsidRPr="00E64732" w:rsidRDefault="00E64732" w:rsidP="00E64732">
      <w:pPr>
        <w:spacing w:after="0" w:line="240" w:lineRule="auto"/>
        <w:rPr>
          <w:rFonts w:ascii="Arial Narrow" w:hAnsi="Arial Narrow" w:cs="Arial Narrow"/>
          <w:bCs/>
        </w:rPr>
      </w:pPr>
    </w:p>
    <w:p w14:paraId="289DD3D6" w14:textId="59089F8D" w:rsidR="00E64732" w:rsidRPr="00E64732" w:rsidRDefault="00E64732" w:rsidP="00E64732">
      <w:pPr>
        <w:spacing w:after="0" w:line="240" w:lineRule="auto"/>
        <w:jc w:val="both"/>
        <w:rPr>
          <w:rFonts w:ascii="Arial Narrow" w:hAnsi="Arial Narrow"/>
        </w:rPr>
      </w:pPr>
      <w:r w:rsidRPr="00E64732">
        <w:rPr>
          <w:rFonts w:ascii="Arial Narrow" w:hAnsi="Arial Narrow"/>
        </w:rPr>
        <w:t>NPR vychádza z nového Programového vyhlásenia vlády SR, ktoré si stanovilo za priority posilniť spoločenskú a politickú stabilitu, pružne reagovať na príležitosti a negatíva vonkajšieho prostredia, plynule pokračovať v podpore hospodárskeho, sociálneho a environmentálneho rozvoja,</w:t>
      </w:r>
      <w:r w:rsidR="000A1EBA">
        <w:rPr>
          <w:rFonts w:ascii="Arial Narrow" w:hAnsi="Arial Narrow"/>
        </w:rPr>
        <w:t xml:space="preserve"> prehĺbiť hospodársku, sociálnu </w:t>
      </w:r>
      <w:r w:rsidRPr="00E64732">
        <w:rPr>
          <w:rFonts w:ascii="Arial Narrow" w:hAnsi="Arial Narrow"/>
        </w:rPr>
        <w:t xml:space="preserve">a územnú súdržnosť Slovenska, posilniť úlohu štátu a ochranu verejného záujmu. Základné smerovanie opatrení zahrnutých v NPR tiež určujú sektorové stratégie. Koordinátorom NPR je podpredseda vlády a minister financií SR. </w:t>
      </w:r>
      <w:r w:rsidR="000A1EBA">
        <w:rPr>
          <w:rFonts w:ascii="Arial Narrow" w:hAnsi="Arial Narrow"/>
        </w:rPr>
        <w:t>ÚPVII</w:t>
      </w:r>
      <w:r w:rsidRPr="00E64732">
        <w:rPr>
          <w:rFonts w:ascii="Arial Narrow" w:hAnsi="Arial Narrow"/>
        </w:rPr>
        <w:t xml:space="preserve"> priebežne dohliada na premietnutie stratégie do ŠF, KF a EŠIF.</w:t>
      </w:r>
    </w:p>
    <w:p w14:paraId="49D47D87" w14:textId="77777777" w:rsidR="00E64732" w:rsidRPr="00E64732" w:rsidRDefault="00E64732" w:rsidP="00E64732">
      <w:pPr>
        <w:spacing w:after="0" w:line="240" w:lineRule="auto"/>
        <w:jc w:val="both"/>
        <w:rPr>
          <w:rFonts w:ascii="Arial Narrow" w:hAnsi="Arial Narrow"/>
        </w:rPr>
      </w:pPr>
    </w:p>
    <w:p w14:paraId="77E07423" w14:textId="77777777" w:rsidR="00E64732" w:rsidRPr="00E64732" w:rsidRDefault="00E64732" w:rsidP="00E64732">
      <w:pPr>
        <w:spacing w:after="0" w:line="240" w:lineRule="auto"/>
        <w:jc w:val="both"/>
        <w:rPr>
          <w:rFonts w:ascii="Arial Narrow" w:hAnsi="Arial Narrow"/>
        </w:rPr>
      </w:pPr>
      <w:r w:rsidRPr="00E64732">
        <w:rPr>
          <w:rFonts w:ascii="Arial Narrow" w:hAnsi="Arial Narrow"/>
        </w:rPr>
        <w:t>Do prípravy a realizácie NPR sú primárne zapojení ministri zodpovední za ekonomickú, sociálnu a školskú agendu. Ostatní ministri, splnomocnenci vlády a zástupcovia ostatných orgánov štátnej správy sa podieľajú na plnení stratégie v rámci spolupráce vo vybraných oblastiach. Konzultácie s partnermi, vrátane tretieho sektora, prebiehajú priebežne počas roka. Počas prípravy NPR prebehlo stretnutie štátnych tajomníkov všetkých zapojených rezortov. Financovanie opatrení NPR bude zabezpečené v rámci stanovených limitov výdavkov a počtu zamestnancov kapitol štátneho rozpočtu.</w:t>
      </w:r>
    </w:p>
    <w:p w14:paraId="78D46995" w14:textId="77777777" w:rsidR="00E64732" w:rsidRPr="00E64732" w:rsidRDefault="00E64732" w:rsidP="00E64732">
      <w:pPr>
        <w:spacing w:after="0" w:line="240" w:lineRule="auto"/>
        <w:jc w:val="both"/>
        <w:rPr>
          <w:rFonts w:ascii="Arial Narrow" w:hAnsi="Arial Narrow"/>
        </w:rPr>
      </w:pPr>
    </w:p>
    <w:p w14:paraId="07E37789" w14:textId="40C5C1C9" w:rsidR="00E64732" w:rsidRPr="00E64732" w:rsidRDefault="00E64732" w:rsidP="00E64732">
      <w:pPr>
        <w:spacing w:after="0" w:line="240" w:lineRule="auto"/>
        <w:jc w:val="both"/>
        <w:rPr>
          <w:rFonts w:ascii="Arial Narrow" w:hAnsi="Arial Narrow"/>
        </w:rPr>
      </w:pPr>
      <w:r w:rsidRPr="00E64732">
        <w:rPr>
          <w:rFonts w:ascii="Arial Narrow" w:hAnsi="Arial Narrow"/>
        </w:rPr>
        <w:t xml:space="preserve">Na medzinárodnej úrovni predstavuje tento materiál opatrenia na naplnenie cieľov obsiahnutých v stratégii Európa 2020 definovaných v </w:t>
      </w:r>
      <w:r w:rsidRPr="000366B3">
        <w:rPr>
          <w:rFonts w:ascii="Arial Narrow" w:hAnsi="Arial Narrow"/>
          <w:i/>
        </w:rPr>
        <w:t>Ročnom prieskume rastu 2019</w:t>
      </w:r>
      <w:r w:rsidR="008D77FF">
        <w:rPr>
          <w:rStyle w:val="Odkaznapoznmkupodiarou"/>
          <w:rFonts w:ascii="Arial Narrow" w:hAnsi="Arial Narrow"/>
          <w:i/>
        </w:rPr>
        <w:footnoteReference w:id="116"/>
      </w:r>
      <w:r w:rsidRPr="00E64732">
        <w:rPr>
          <w:rFonts w:ascii="Arial Narrow" w:hAnsi="Arial Narrow"/>
        </w:rPr>
        <w:t xml:space="preserve"> a </w:t>
      </w:r>
      <w:r w:rsidRPr="000366B3">
        <w:rPr>
          <w:rFonts w:ascii="Arial Narrow" w:hAnsi="Arial Narrow"/>
          <w:i/>
        </w:rPr>
        <w:t>Integrovaných usmerneniach pre stratégiu Európa 2020</w:t>
      </w:r>
      <w:r w:rsidRPr="00E64732">
        <w:rPr>
          <w:rFonts w:ascii="Arial Narrow" w:hAnsi="Arial Narrow"/>
        </w:rPr>
        <w:t xml:space="preserve">, ako aj na splnenie špecifických odporúčaní Rady pre SR. NPR tiež reaguje na hodnotenie plnenia špecifických odporúčaní z roku 2018 </w:t>
      </w:r>
      <w:r w:rsidR="000366B3">
        <w:rPr>
          <w:rFonts w:ascii="Arial Narrow" w:hAnsi="Arial Narrow"/>
        </w:rPr>
        <w:t>EK zverejnených vo februári</w:t>
      </w:r>
      <w:r w:rsidR="00401C38" w:rsidRPr="004C54B9">
        <w:rPr>
          <w:rFonts w:ascii="Arial Narrow" w:hAnsi="Arial Narrow"/>
        </w:rPr>
        <w:t xml:space="preserve"> 2019</w:t>
      </w:r>
      <w:r w:rsidR="00401C38" w:rsidRPr="004C54B9">
        <w:rPr>
          <w:rStyle w:val="Odkaznapoznmkupodiarou"/>
          <w:rFonts w:ascii="Arial Narrow" w:hAnsi="Arial Narrow"/>
        </w:rPr>
        <w:footnoteReference w:id="117"/>
      </w:r>
      <w:r w:rsidRPr="00E64732">
        <w:rPr>
          <w:rFonts w:ascii="Arial Narrow" w:hAnsi="Arial Narrow"/>
        </w:rPr>
        <w:t xml:space="preserve">. Dôležitým nástrojom na plnenie cieľov stratégie je politika súdržnosti. </w:t>
      </w:r>
    </w:p>
    <w:p w14:paraId="3C6D86BB" w14:textId="77777777" w:rsidR="00E64732" w:rsidRPr="00E64732" w:rsidRDefault="00E64732" w:rsidP="00E64732">
      <w:pPr>
        <w:spacing w:after="0" w:line="240" w:lineRule="auto"/>
        <w:jc w:val="both"/>
        <w:rPr>
          <w:rFonts w:ascii="Arial Narrow" w:hAnsi="Arial Narrow"/>
        </w:rPr>
      </w:pPr>
    </w:p>
    <w:p w14:paraId="50D6841B" w14:textId="77777777" w:rsidR="00E64732" w:rsidRPr="00E64732" w:rsidRDefault="00E64732" w:rsidP="00E64732">
      <w:pPr>
        <w:spacing w:after="0" w:line="240" w:lineRule="auto"/>
        <w:jc w:val="both"/>
        <w:rPr>
          <w:rFonts w:ascii="Arial Narrow" w:hAnsi="Arial Narrow"/>
        </w:rPr>
      </w:pPr>
      <w:r w:rsidRPr="00E64732">
        <w:rPr>
          <w:rFonts w:ascii="Arial Narrow" w:hAnsi="Arial Narrow"/>
        </w:rPr>
        <w:t xml:space="preserve">Prílohou NPR je samostatný akčný plán, ktorý obsahuje najdôležitejšie opatrenia s výrazným fiškálnym dopadom spolu s termínom ich plnenia a vecnou zodpovednosťou. </w:t>
      </w:r>
    </w:p>
    <w:p w14:paraId="5096E749" w14:textId="77777777" w:rsidR="00E64732" w:rsidRPr="00E64732" w:rsidRDefault="00E64732" w:rsidP="00E64732">
      <w:pPr>
        <w:spacing w:after="0" w:line="240" w:lineRule="auto"/>
        <w:rPr>
          <w:rFonts w:ascii="Arial Narrow" w:hAnsi="Arial Narrow" w:cs="Arial Narrow"/>
          <w:bCs/>
        </w:rPr>
      </w:pPr>
    </w:p>
    <w:p w14:paraId="4833AF70" w14:textId="77777777" w:rsidR="00E64732" w:rsidRPr="00E64732" w:rsidRDefault="00E64732" w:rsidP="00E64732">
      <w:pPr>
        <w:spacing w:after="0" w:line="240" w:lineRule="auto"/>
        <w:rPr>
          <w:rFonts w:ascii="Arial Narrow" w:eastAsiaTheme="majorEastAsia" w:hAnsi="Arial Narrow" w:cstheme="majorBidi"/>
          <w:b/>
          <w:bCs/>
        </w:rPr>
      </w:pPr>
      <w:r w:rsidRPr="00E64732">
        <w:rPr>
          <w:rFonts w:ascii="Arial Narrow" w:hAnsi="Arial Narrow"/>
        </w:rPr>
        <w:br w:type="page"/>
      </w:r>
    </w:p>
    <w:p w14:paraId="01DE4651" w14:textId="77777777" w:rsidR="00E64732" w:rsidRPr="00AB20C2" w:rsidRDefault="00E64732" w:rsidP="00E64732">
      <w:pPr>
        <w:keepNext/>
        <w:keepLines/>
        <w:spacing w:before="480" w:after="0" w:line="240" w:lineRule="auto"/>
        <w:ind w:hanging="709"/>
        <w:outlineLvl w:val="0"/>
        <w:rPr>
          <w:rFonts w:ascii="Arial Narrow" w:eastAsiaTheme="majorEastAsia" w:hAnsi="Arial Narrow" w:cstheme="majorBidi"/>
          <w:b/>
          <w:bCs/>
          <w:sz w:val="32"/>
        </w:rPr>
      </w:pPr>
      <w:bookmarkStart w:id="90" w:name="_Toc480749820"/>
      <w:bookmarkStart w:id="91" w:name="_Toc4766850"/>
      <w:r w:rsidRPr="00AB20C2">
        <w:rPr>
          <w:rFonts w:ascii="Arial Narrow" w:eastAsiaTheme="majorEastAsia" w:hAnsi="Arial Narrow" w:cstheme="majorBidi"/>
          <w:b/>
          <w:bCs/>
          <w:sz w:val="32"/>
        </w:rPr>
        <w:lastRenderedPageBreak/>
        <w:t>Príloha č. 1: Národné ciele stratégie Európa 2020 a iné indikátory</w:t>
      </w:r>
      <w:bookmarkEnd w:id="90"/>
      <w:bookmarkEnd w:id="91"/>
    </w:p>
    <w:p w14:paraId="473C30BF" w14:textId="77777777" w:rsidR="00E64732" w:rsidRPr="00E64732" w:rsidRDefault="00E64732" w:rsidP="00E64732">
      <w:pPr>
        <w:spacing w:after="0" w:line="240" w:lineRule="auto"/>
        <w:rPr>
          <w:rFonts w:ascii="Arial Narrow" w:hAnsi="Arial Narrow"/>
        </w:rPr>
      </w:pPr>
    </w:p>
    <w:tbl>
      <w:tblPr>
        <w:tblW w:w="10206" w:type="dxa"/>
        <w:jc w:val="center"/>
        <w:tblLayout w:type="fixed"/>
        <w:tblLook w:val="04A0" w:firstRow="1" w:lastRow="0" w:firstColumn="1" w:lastColumn="0" w:noHBand="0" w:noVBand="1"/>
      </w:tblPr>
      <w:tblGrid>
        <w:gridCol w:w="409"/>
        <w:gridCol w:w="193"/>
        <w:gridCol w:w="214"/>
        <w:gridCol w:w="2050"/>
        <w:gridCol w:w="710"/>
        <w:gridCol w:w="700"/>
        <w:gridCol w:w="592"/>
        <w:gridCol w:w="592"/>
        <w:gridCol w:w="592"/>
        <w:gridCol w:w="592"/>
        <w:gridCol w:w="592"/>
        <w:gridCol w:w="592"/>
        <w:gridCol w:w="592"/>
        <w:gridCol w:w="592"/>
        <w:gridCol w:w="592"/>
        <w:gridCol w:w="592"/>
        <w:gridCol w:w="10"/>
      </w:tblGrid>
      <w:tr w:rsidR="002C7555" w:rsidRPr="002C7555" w14:paraId="46D12F57" w14:textId="77777777" w:rsidTr="001F224C">
        <w:trPr>
          <w:trHeight w:val="264"/>
          <w:jc w:val="center"/>
        </w:trPr>
        <w:tc>
          <w:tcPr>
            <w:tcW w:w="10206" w:type="dxa"/>
            <w:gridSpan w:val="17"/>
            <w:tcBorders>
              <w:top w:val="nil"/>
              <w:left w:val="nil"/>
              <w:bottom w:val="single" w:sz="4" w:space="0" w:color="auto"/>
              <w:right w:val="nil"/>
            </w:tcBorders>
          </w:tcPr>
          <w:p w14:paraId="7AFFEA6C" w14:textId="77777777" w:rsidR="002C7555" w:rsidRPr="002C7555" w:rsidRDefault="002C7555" w:rsidP="002C7555">
            <w:pPr>
              <w:spacing w:after="0" w:line="240" w:lineRule="auto"/>
              <w:rPr>
                <w:rFonts w:ascii="Arial Narrow" w:hAnsi="Arial Narrow"/>
                <w:b/>
                <w:bCs/>
                <w:color w:val="2C9ADC"/>
                <w:sz w:val="20"/>
                <w:szCs w:val="20"/>
                <w:lang w:eastAsia="en-US"/>
              </w:rPr>
            </w:pPr>
            <w:r w:rsidRPr="002C7555">
              <w:rPr>
                <w:rFonts w:ascii="Arial Narrow" w:hAnsi="Arial Narrow"/>
                <w:b/>
                <w:bCs/>
                <w:color w:val="2C9ADC"/>
                <w:sz w:val="20"/>
                <w:szCs w:val="20"/>
                <w:lang w:eastAsia="en-US"/>
              </w:rPr>
              <w:t xml:space="preserve">Výsledkové ukazovatele stratégie Európa 2020 a iných oblastí </w:t>
            </w:r>
          </w:p>
        </w:tc>
      </w:tr>
      <w:tr w:rsidR="002C7555" w:rsidRPr="002C7555" w14:paraId="3FD1EF0C" w14:textId="77777777" w:rsidTr="001F224C">
        <w:trPr>
          <w:gridAfter w:val="1"/>
          <w:wAfter w:w="10" w:type="dxa"/>
          <w:trHeight w:val="213"/>
          <w:jc w:val="center"/>
        </w:trPr>
        <w:tc>
          <w:tcPr>
            <w:tcW w:w="409" w:type="dxa"/>
            <w:tcBorders>
              <w:top w:val="nil"/>
              <w:left w:val="nil"/>
              <w:bottom w:val="single" w:sz="4" w:space="0" w:color="auto"/>
              <w:right w:val="nil"/>
            </w:tcBorders>
            <w:shd w:val="clear" w:color="auto" w:fill="auto"/>
            <w:noWrap/>
            <w:vAlign w:val="center"/>
            <w:hideMark/>
          </w:tcPr>
          <w:p w14:paraId="6211EB0E" w14:textId="77777777" w:rsidR="002C7555" w:rsidRPr="002C7555" w:rsidRDefault="002C7555" w:rsidP="002C7555">
            <w:pPr>
              <w:spacing w:after="0" w:line="240" w:lineRule="auto"/>
              <w:jc w:val="center"/>
              <w:rPr>
                <w:rFonts w:ascii="Arial Narrow" w:hAnsi="Arial Narrow"/>
                <w:b/>
                <w:bCs/>
                <w:sz w:val="20"/>
                <w:szCs w:val="20"/>
                <w:lang w:eastAsia="en-US"/>
              </w:rPr>
            </w:pPr>
            <w:r w:rsidRPr="002C7555">
              <w:rPr>
                <w:rFonts w:ascii="Arial Narrow" w:hAnsi="Arial Narrow"/>
                <w:b/>
                <w:bCs/>
                <w:sz w:val="20"/>
                <w:szCs w:val="20"/>
                <w:lang w:eastAsia="en-US"/>
              </w:rPr>
              <w:t> </w:t>
            </w:r>
          </w:p>
        </w:tc>
        <w:tc>
          <w:tcPr>
            <w:tcW w:w="407" w:type="dxa"/>
            <w:gridSpan w:val="2"/>
            <w:tcBorders>
              <w:top w:val="nil"/>
              <w:left w:val="nil"/>
              <w:bottom w:val="nil"/>
              <w:right w:val="nil"/>
            </w:tcBorders>
            <w:shd w:val="clear" w:color="auto" w:fill="auto"/>
            <w:noWrap/>
            <w:vAlign w:val="center"/>
            <w:hideMark/>
          </w:tcPr>
          <w:p w14:paraId="647358BE" w14:textId="77777777" w:rsidR="002C7555" w:rsidRPr="002C7555" w:rsidRDefault="002C7555" w:rsidP="002C7555">
            <w:pPr>
              <w:spacing w:after="0" w:line="240" w:lineRule="auto"/>
              <w:jc w:val="center"/>
              <w:rPr>
                <w:rFonts w:ascii="Arial Narrow" w:hAnsi="Arial Narrow"/>
                <w:b/>
                <w:bCs/>
                <w:sz w:val="20"/>
                <w:szCs w:val="20"/>
                <w:lang w:eastAsia="en-US"/>
              </w:rPr>
            </w:pPr>
            <w:r w:rsidRPr="002C7555">
              <w:rPr>
                <w:rFonts w:ascii="Arial Narrow" w:hAnsi="Arial Narrow"/>
                <w:b/>
                <w:bCs/>
                <w:sz w:val="20"/>
                <w:szCs w:val="20"/>
                <w:lang w:eastAsia="en-US"/>
              </w:rPr>
              <w:t> </w:t>
            </w:r>
          </w:p>
        </w:tc>
        <w:tc>
          <w:tcPr>
            <w:tcW w:w="2050" w:type="dxa"/>
            <w:tcBorders>
              <w:top w:val="nil"/>
              <w:left w:val="nil"/>
              <w:bottom w:val="nil"/>
              <w:right w:val="nil"/>
            </w:tcBorders>
            <w:shd w:val="clear" w:color="auto" w:fill="auto"/>
            <w:noWrap/>
            <w:vAlign w:val="center"/>
            <w:hideMark/>
          </w:tcPr>
          <w:p w14:paraId="38205700" w14:textId="77777777" w:rsidR="002C7555" w:rsidRPr="002C7555" w:rsidRDefault="002C7555" w:rsidP="002C7555">
            <w:pPr>
              <w:spacing w:after="0" w:line="240" w:lineRule="auto"/>
              <w:jc w:val="center"/>
              <w:rPr>
                <w:rFonts w:ascii="Arial Narrow" w:hAnsi="Arial Narrow"/>
                <w:b/>
                <w:bCs/>
                <w:sz w:val="20"/>
                <w:szCs w:val="20"/>
                <w:lang w:eastAsia="en-US"/>
              </w:rPr>
            </w:pPr>
            <w:r w:rsidRPr="002C7555">
              <w:rPr>
                <w:rFonts w:ascii="Arial Narrow" w:hAnsi="Arial Narrow"/>
                <w:b/>
                <w:bCs/>
                <w:sz w:val="20"/>
                <w:szCs w:val="20"/>
                <w:lang w:eastAsia="en-US"/>
              </w:rPr>
              <w:t> </w:t>
            </w:r>
          </w:p>
        </w:tc>
        <w:tc>
          <w:tcPr>
            <w:tcW w:w="710" w:type="dxa"/>
            <w:tcBorders>
              <w:top w:val="nil"/>
              <w:left w:val="nil"/>
              <w:bottom w:val="nil"/>
              <w:right w:val="nil"/>
            </w:tcBorders>
            <w:shd w:val="clear" w:color="auto" w:fill="auto"/>
            <w:noWrap/>
            <w:vAlign w:val="center"/>
            <w:hideMark/>
          </w:tcPr>
          <w:p w14:paraId="4BB67D01" w14:textId="77777777" w:rsidR="002C7555" w:rsidRPr="002C7555" w:rsidRDefault="002C7555" w:rsidP="002C7555">
            <w:pPr>
              <w:spacing w:after="0" w:line="240" w:lineRule="auto"/>
              <w:jc w:val="center"/>
              <w:rPr>
                <w:rFonts w:ascii="Arial Narrow" w:hAnsi="Arial Narrow"/>
                <w:b/>
                <w:bCs/>
                <w:sz w:val="20"/>
                <w:szCs w:val="20"/>
                <w:lang w:eastAsia="en-US"/>
              </w:rPr>
            </w:pPr>
            <w:r w:rsidRPr="002C7555">
              <w:rPr>
                <w:rFonts w:ascii="Arial Narrow" w:hAnsi="Arial Narrow"/>
                <w:b/>
                <w:bCs/>
                <w:sz w:val="20"/>
                <w:szCs w:val="20"/>
                <w:lang w:eastAsia="en-US"/>
              </w:rPr>
              <w:t> </w:t>
            </w:r>
          </w:p>
        </w:tc>
        <w:tc>
          <w:tcPr>
            <w:tcW w:w="700" w:type="dxa"/>
            <w:tcBorders>
              <w:top w:val="nil"/>
              <w:left w:val="nil"/>
              <w:bottom w:val="nil"/>
              <w:right w:val="nil"/>
            </w:tcBorders>
            <w:shd w:val="clear" w:color="auto" w:fill="auto"/>
            <w:vAlign w:val="center"/>
            <w:hideMark/>
          </w:tcPr>
          <w:p w14:paraId="32E67FAF" w14:textId="4F457D7B" w:rsidR="002C7555" w:rsidRPr="002C7555" w:rsidRDefault="002C7555" w:rsidP="002C7555">
            <w:pPr>
              <w:spacing w:after="0" w:line="240" w:lineRule="auto"/>
              <w:jc w:val="center"/>
              <w:rPr>
                <w:rFonts w:ascii="Arial Narrow" w:hAnsi="Arial Narrow"/>
                <w:b/>
                <w:bCs/>
                <w:sz w:val="20"/>
                <w:szCs w:val="20"/>
                <w:lang w:val="en-US" w:eastAsia="en-US"/>
              </w:rPr>
            </w:pPr>
            <w:r>
              <w:rPr>
                <w:rFonts w:ascii="Arial Narrow" w:hAnsi="Arial Narrow"/>
                <w:b/>
                <w:bCs/>
                <w:sz w:val="20"/>
                <w:szCs w:val="20"/>
                <w:lang w:val="en-US" w:eastAsia="en-US"/>
              </w:rPr>
              <w:t>2009</w:t>
            </w:r>
          </w:p>
        </w:tc>
        <w:tc>
          <w:tcPr>
            <w:tcW w:w="592" w:type="dxa"/>
            <w:tcBorders>
              <w:top w:val="nil"/>
              <w:left w:val="nil"/>
              <w:bottom w:val="nil"/>
              <w:right w:val="nil"/>
            </w:tcBorders>
            <w:shd w:val="clear" w:color="auto" w:fill="auto"/>
            <w:vAlign w:val="center"/>
            <w:hideMark/>
          </w:tcPr>
          <w:p w14:paraId="4FBD1AC4" w14:textId="6A229B09" w:rsidR="002C7555" w:rsidRPr="002C7555" w:rsidRDefault="002C7555" w:rsidP="002C7555">
            <w:pPr>
              <w:spacing w:after="0" w:line="240" w:lineRule="auto"/>
              <w:jc w:val="center"/>
              <w:rPr>
                <w:rFonts w:ascii="Arial Narrow" w:hAnsi="Arial Narrow"/>
                <w:b/>
                <w:bCs/>
                <w:sz w:val="20"/>
                <w:szCs w:val="20"/>
                <w:lang w:val="en-US" w:eastAsia="en-US"/>
              </w:rPr>
            </w:pPr>
            <w:r>
              <w:rPr>
                <w:rFonts w:ascii="Arial Narrow" w:hAnsi="Arial Narrow"/>
                <w:b/>
                <w:bCs/>
                <w:sz w:val="20"/>
                <w:szCs w:val="20"/>
                <w:lang w:val="en-US" w:eastAsia="en-US"/>
              </w:rPr>
              <w:t>2010</w:t>
            </w:r>
          </w:p>
        </w:tc>
        <w:tc>
          <w:tcPr>
            <w:tcW w:w="592" w:type="dxa"/>
            <w:tcBorders>
              <w:top w:val="nil"/>
              <w:left w:val="nil"/>
              <w:bottom w:val="nil"/>
              <w:right w:val="nil"/>
            </w:tcBorders>
            <w:shd w:val="clear" w:color="auto" w:fill="auto"/>
            <w:vAlign w:val="center"/>
            <w:hideMark/>
          </w:tcPr>
          <w:p w14:paraId="24B8A1E7" w14:textId="15F54957" w:rsidR="002C7555" w:rsidRPr="002C7555" w:rsidRDefault="002C7555" w:rsidP="002C7555">
            <w:pPr>
              <w:spacing w:after="0" w:line="240" w:lineRule="auto"/>
              <w:jc w:val="center"/>
              <w:rPr>
                <w:rFonts w:ascii="Arial Narrow" w:hAnsi="Arial Narrow"/>
                <w:b/>
                <w:bCs/>
                <w:sz w:val="20"/>
                <w:szCs w:val="20"/>
                <w:lang w:val="en-US" w:eastAsia="en-US"/>
              </w:rPr>
            </w:pPr>
            <w:r>
              <w:rPr>
                <w:rFonts w:ascii="Arial Narrow" w:hAnsi="Arial Narrow"/>
                <w:b/>
                <w:bCs/>
                <w:sz w:val="20"/>
                <w:szCs w:val="20"/>
                <w:lang w:val="en-US" w:eastAsia="en-US"/>
              </w:rPr>
              <w:t>2011</w:t>
            </w:r>
          </w:p>
        </w:tc>
        <w:tc>
          <w:tcPr>
            <w:tcW w:w="592" w:type="dxa"/>
            <w:tcBorders>
              <w:top w:val="nil"/>
              <w:left w:val="nil"/>
              <w:bottom w:val="nil"/>
              <w:right w:val="nil"/>
            </w:tcBorders>
            <w:shd w:val="clear" w:color="auto" w:fill="auto"/>
            <w:vAlign w:val="center"/>
            <w:hideMark/>
          </w:tcPr>
          <w:p w14:paraId="5A27E672" w14:textId="131AD879" w:rsidR="002C7555" w:rsidRPr="002C7555" w:rsidRDefault="002C7555" w:rsidP="002C7555">
            <w:pPr>
              <w:spacing w:after="0" w:line="240" w:lineRule="auto"/>
              <w:jc w:val="center"/>
              <w:rPr>
                <w:rFonts w:ascii="Arial Narrow" w:hAnsi="Arial Narrow"/>
                <w:b/>
                <w:bCs/>
                <w:sz w:val="20"/>
                <w:szCs w:val="20"/>
                <w:lang w:val="en-US" w:eastAsia="en-US"/>
              </w:rPr>
            </w:pPr>
            <w:r>
              <w:rPr>
                <w:rFonts w:ascii="Arial Narrow" w:hAnsi="Arial Narrow"/>
                <w:b/>
                <w:bCs/>
                <w:sz w:val="20"/>
                <w:szCs w:val="20"/>
                <w:lang w:val="en-US" w:eastAsia="en-US"/>
              </w:rPr>
              <w:t>2012</w:t>
            </w:r>
          </w:p>
        </w:tc>
        <w:tc>
          <w:tcPr>
            <w:tcW w:w="592" w:type="dxa"/>
            <w:tcBorders>
              <w:top w:val="nil"/>
              <w:left w:val="nil"/>
              <w:bottom w:val="nil"/>
              <w:right w:val="nil"/>
            </w:tcBorders>
            <w:shd w:val="clear" w:color="auto" w:fill="auto"/>
            <w:vAlign w:val="center"/>
            <w:hideMark/>
          </w:tcPr>
          <w:p w14:paraId="47C080D9" w14:textId="0496D4B0" w:rsidR="002C7555" w:rsidRPr="002C7555" w:rsidRDefault="002C7555" w:rsidP="002C7555">
            <w:pPr>
              <w:spacing w:after="0" w:line="240" w:lineRule="auto"/>
              <w:jc w:val="center"/>
              <w:rPr>
                <w:rFonts w:ascii="Arial Narrow" w:hAnsi="Arial Narrow"/>
                <w:b/>
                <w:bCs/>
                <w:sz w:val="20"/>
                <w:szCs w:val="20"/>
                <w:lang w:val="en-US" w:eastAsia="en-US"/>
              </w:rPr>
            </w:pPr>
            <w:r>
              <w:rPr>
                <w:rFonts w:ascii="Arial Narrow" w:hAnsi="Arial Narrow"/>
                <w:b/>
                <w:bCs/>
                <w:sz w:val="20"/>
                <w:szCs w:val="20"/>
                <w:lang w:val="en-US" w:eastAsia="en-US"/>
              </w:rPr>
              <w:t>2013</w:t>
            </w:r>
          </w:p>
        </w:tc>
        <w:tc>
          <w:tcPr>
            <w:tcW w:w="592" w:type="dxa"/>
            <w:tcBorders>
              <w:top w:val="nil"/>
              <w:left w:val="nil"/>
              <w:bottom w:val="nil"/>
              <w:right w:val="nil"/>
            </w:tcBorders>
            <w:shd w:val="clear" w:color="auto" w:fill="auto"/>
            <w:vAlign w:val="center"/>
            <w:hideMark/>
          </w:tcPr>
          <w:p w14:paraId="3F1BF214" w14:textId="64E05CE3" w:rsidR="002C7555" w:rsidRPr="002C7555" w:rsidRDefault="002C7555" w:rsidP="002C7555">
            <w:pPr>
              <w:spacing w:after="0" w:line="240" w:lineRule="auto"/>
              <w:jc w:val="center"/>
              <w:rPr>
                <w:rFonts w:ascii="Arial Narrow" w:hAnsi="Arial Narrow"/>
                <w:b/>
                <w:bCs/>
                <w:sz w:val="20"/>
                <w:szCs w:val="20"/>
                <w:lang w:val="en-US" w:eastAsia="en-US"/>
              </w:rPr>
            </w:pPr>
            <w:r>
              <w:rPr>
                <w:rFonts w:ascii="Arial Narrow" w:hAnsi="Arial Narrow"/>
                <w:b/>
                <w:bCs/>
                <w:sz w:val="20"/>
                <w:szCs w:val="20"/>
                <w:lang w:val="en-US" w:eastAsia="en-US"/>
              </w:rPr>
              <w:t>2014</w:t>
            </w:r>
          </w:p>
        </w:tc>
        <w:tc>
          <w:tcPr>
            <w:tcW w:w="592" w:type="dxa"/>
            <w:tcBorders>
              <w:top w:val="nil"/>
              <w:left w:val="nil"/>
              <w:bottom w:val="single" w:sz="4" w:space="0" w:color="auto"/>
              <w:right w:val="nil"/>
            </w:tcBorders>
            <w:shd w:val="clear" w:color="auto" w:fill="auto"/>
            <w:vAlign w:val="center"/>
            <w:hideMark/>
          </w:tcPr>
          <w:p w14:paraId="2E22BCAA" w14:textId="6E4F4B2D" w:rsidR="002C7555" w:rsidRPr="002C7555" w:rsidRDefault="002C7555" w:rsidP="002C7555">
            <w:pPr>
              <w:spacing w:after="0" w:line="240" w:lineRule="auto"/>
              <w:jc w:val="center"/>
              <w:rPr>
                <w:rFonts w:ascii="Arial Narrow" w:hAnsi="Arial Narrow"/>
                <w:b/>
                <w:bCs/>
                <w:sz w:val="20"/>
                <w:szCs w:val="20"/>
                <w:lang w:val="en-US" w:eastAsia="en-US"/>
              </w:rPr>
            </w:pPr>
            <w:r>
              <w:rPr>
                <w:rFonts w:ascii="Arial Narrow" w:hAnsi="Arial Narrow"/>
                <w:b/>
                <w:bCs/>
                <w:sz w:val="20"/>
                <w:szCs w:val="20"/>
                <w:lang w:val="en-US" w:eastAsia="en-US"/>
              </w:rPr>
              <w:t>2015</w:t>
            </w:r>
          </w:p>
        </w:tc>
        <w:tc>
          <w:tcPr>
            <w:tcW w:w="592" w:type="dxa"/>
            <w:tcBorders>
              <w:top w:val="nil"/>
              <w:left w:val="nil"/>
              <w:bottom w:val="nil"/>
              <w:right w:val="nil"/>
            </w:tcBorders>
            <w:shd w:val="clear" w:color="auto" w:fill="auto"/>
            <w:vAlign w:val="center"/>
            <w:hideMark/>
          </w:tcPr>
          <w:p w14:paraId="05AC7F9B" w14:textId="7779C620" w:rsidR="002C7555" w:rsidRPr="002C7555" w:rsidRDefault="002C7555" w:rsidP="002C7555">
            <w:pPr>
              <w:spacing w:after="0" w:line="240" w:lineRule="auto"/>
              <w:jc w:val="center"/>
              <w:rPr>
                <w:rFonts w:ascii="Arial Narrow" w:hAnsi="Arial Narrow"/>
                <w:b/>
                <w:bCs/>
                <w:sz w:val="20"/>
                <w:szCs w:val="20"/>
                <w:lang w:val="en-US" w:eastAsia="en-US"/>
              </w:rPr>
            </w:pPr>
            <w:r>
              <w:rPr>
                <w:rFonts w:ascii="Arial Narrow" w:hAnsi="Arial Narrow"/>
                <w:b/>
                <w:bCs/>
                <w:sz w:val="20"/>
                <w:szCs w:val="20"/>
                <w:lang w:val="en-US" w:eastAsia="en-US"/>
              </w:rPr>
              <w:t>2016</w:t>
            </w:r>
          </w:p>
        </w:tc>
        <w:tc>
          <w:tcPr>
            <w:tcW w:w="592" w:type="dxa"/>
            <w:tcBorders>
              <w:top w:val="nil"/>
              <w:left w:val="nil"/>
              <w:bottom w:val="nil"/>
              <w:right w:val="nil"/>
            </w:tcBorders>
            <w:shd w:val="clear" w:color="auto" w:fill="auto"/>
            <w:vAlign w:val="center"/>
            <w:hideMark/>
          </w:tcPr>
          <w:p w14:paraId="45A8197A" w14:textId="05A97F18" w:rsidR="002C7555" w:rsidRPr="002C7555" w:rsidRDefault="002C7555" w:rsidP="002C7555">
            <w:pPr>
              <w:spacing w:after="0" w:line="240" w:lineRule="auto"/>
              <w:jc w:val="center"/>
              <w:rPr>
                <w:rFonts w:ascii="Arial Narrow" w:hAnsi="Arial Narrow"/>
                <w:b/>
                <w:bCs/>
                <w:sz w:val="20"/>
                <w:szCs w:val="20"/>
                <w:lang w:val="en-US" w:eastAsia="en-US"/>
              </w:rPr>
            </w:pPr>
            <w:r>
              <w:rPr>
                <w:rFonts w:ascii="Arial Narrow" w:hAnsi="Arial Narrow"/>
                <w:b/>
                <w:bCs/>
                <w:sz w:val="20"/>
                <w:szCs w:val="20"/>
                <w:lang w:val="en-US" w:eastAsia="en-US"/>
              </w:rPr>
              <w:t>2017</w:t>
            </w:r>
          </w:p>
        </w:tc>
        <w:tc>
          <w:tcPr>
            <w:tcW w:w="592" w:type="dxa"/>
            <w:tcBorders>
              <w:top w:val="nil"/>
              <w:left w:val="nil"/>
              <w:bottom w:val="nil"/>
              <w:right w:val="nil"/>
            </w:tcBorders>
            <w:vAlign w:val="center"/>
          </w:tcPr>
          <w:p w14:paraId="5CE631B0" w14:textId="2F119A81" w:rsidR="002C7555" w:rsidRPr="002C7555" w:rsidRDefault="002C7555" w:rsidP="002C7555">
            <w:pPr>
              <w:spacing w:after="0" w:line="240" w:lineRule="auto"/>
              <w:jc w:val="center"/>
              <w:rPr>
                <w:rFonts w:ascii="Arial Narrow" w:hAnsi="Arial Narrow"/>
                <w:b/>
                <w:bCs/>
                <w:sz w:val="20"/>
                <w:szCs w:val="20"/>
                <w:lang w:val="en-US" w:eastAsia="en-US"/>
              </w:rPr>
            </w:pPr>
            <w:r>
              <w:rPr>
                <w:rFonts w:ascii="Arial Narrow" w:hAnsi="Arial Narrow"/>
                <w:b/>
                <w:bCs/>
                <w:sz w:val="20"/>
                <w:szCs w:val="20"/>
                <w:lang w:val="en-US" w:eastAsia="en-US"/>
              </w:rPr>
              <w:t>2018</w:t>
            </w:r>
          </w:p>
        </w:tc>
        <w:tc>
          <w:tcPr>
            <w:tcW w:w="592" w:type="dxa"/>
            <w:tcBorders>
              <w:top w:val="nil"/>
              <w:left w:val="nil"/>
              <w:bottom w:val="nil"/>
              <w:right w:val="nil"/>
            </w:tcBorders>
            <w:shd w:val="clear" w:color="auto" w:fill="auto"/>
            <w:vAlign w:val="center"/>
            <w:hideMark/>
          </w:tcPr>
          <w:p w14:paraId="060D1B03" w14:textId="77777777" w:rsidR="002C7555" w:rsidRPr="002C7555" w:rsidRDefault="002C7555" w:rsidP="002C7555">
            <w:pPr>
              <w:spacing w:after="0" w:line="240" w:lineRule="auto"/>
              <w:jc w:val="center"/>
              <w:rPr>
                <w:rFonts w:ascii="Arial Narrow" w:hAnsi="Arial Narrow"/>
                <w:b/>
                <w:bCs/>
                <w:sz w:val="20"/>
                <w:szCs w:val="20"/>
                <w:lang w:val="en-US" w:eastAsia="en-US"/>
              </w:rPr>
            </w:pPr>
            <w:proofErr w:type="spellStart"/>
            <w:r w:rsidRPr="002C7555">
              <w:rPr>
                <w:rFonts w:ascii="Arial Narrow" w:hAnsi="Arial Narrow"/>
                <w:b/>
                <w:bCs/>
                <w:sz w:val="20"/>
                <w:szCs w:val="20"/>
                <w:lang w:val="en-US" w:eastAsia="en-US"/>
              </w:rPr>
              <w:t>Cieľ</w:t>
            </w:r>
            <w:proofErr w:type="spellEnd"/>
            <w:r w:rsidRPr="002C7555">
              <w:rPr>
                <w:rFonts w:ascii="Arial Narrow" w:hAnsi="Arial Narrow"/>
                <w:b/>
                <w:bCs/>
                <w:sz w:val="20"/>
                <w:szCs w:val="20"/>
                <w:lang w:val="en-US" w:eastAsia="en-US"/>
              </w:rPr>
              <w:t xml:space="preserve"> 2020</w:t>
            </w:r>
          </w:p>
        </w:tc>
      </w:tr>
      <w:tr w:rsidR="002C7555" w:rsidRPr="002C7555" w14:paraId="30B40DF1" w14:textId="77777777" w:rsidTr="001F224C">
        <w:trPr>
          <w:trHeight w:val="188"/>
          <w:jc w:val="center"/>
        </w:trPr>
        <w:tc>
          <w:tcPr>
            <w:tcW w:w="602" w:type="dxa"/>
            <w:gridSpan w:val="2"/>
            <w:tcBorders>
              <w:top w:val="single" w:sz="4" w:space="0" w:color="auto"/>
              <w:left w:val="nil"/>
              <w:bottom w:val="single" w:sz="4" w:space="0" w:color="auto"/>
              <w:right w:val="nil"/>
            </w:tcBorders>
            <w:shd w:val="clear" w:color="000000" w:fill="A9D2F1"/>
          </w:tcPr>
          <w:p w14:paraId="73CC7899" w14:textId="77777777" w:rsidR="002C7555" w:rsidRPr="002C7555" w:rsidRDefault="002C7555" w:rsidP="002C7555">
            <w:pPr>
              <w:spacing w:after="0" w:line="240" w:lineRule="auto"/>
              <w:rPr>
                <w:rFonts w:ascii="Arial Narrow" w:hAnsi="Arial Narrow"/>
                <w:b/>
                <w:bCs/>
                <w:sz w:val="20"/>
                <w:szCs w:val="20"/>
                <w:lang w:val="en-US" w:eastAsia="en-US"/>
              </w:rPr>
            </w:pPr>
          </w:p>
        </w:tc>
        <w:tc>
          <w:tcPr>
            <w:tcW w:w="9604" w:type="dxa"/>
            <w:gridSpan w:val="15"/>
            <w:tcBorders>
              <w:top w:val="single" w:sz="4" w:space="0" w:color="auto"/>
              <w:left w:val="nil"/>
              <w:bottom w:val="single" w:sz="4" w:space="0" w:color="auto"/>
              <w:right w:val="nil"/>
            </w:tcBorders>
            <w:shd w:val="clear" w:color="000000" w:fill="A9D2F1"/>
            <w:noWrap/>
            <w:vAlign w:val="center"/>
            <w:hideMark/>
          </w:tcPr>
          <w:p w14:paraId="063B6C3D" w14:textId="77777777" w:rsidR="002C7555" w:rsidRPr="002C7555" w:rsidRDefault="002C7555" w:rsidP="002C7555">
            <w:pPr>
              <w:spacing w:after="0" w:line="240" w:lineRule="auto"/>
              <w:rPr>
                <w:rFonts w:ascii="Arial Narrow" w:hAnsi="Arial Narrow"/>
                <w:b/>
                <w:bCs/>
                <w:sz w:val="20"/>
                <w:szCs w:val="20"/>
                <w:lang w:val="en-US" w:eastAsia="en-US"/>
              </w:rPr>
            </w:pPr>
            <w:proofErr w:type="spellStart"/>
            <w:r w:rsidRPr="002C7555">
              <w:rPr>
                <w:rFonts w:ascii="Arial Narrow" w:hAnsi="Arial Narrow"/>
                <w:b/>
                <w:bCs/>
                <w:sz w:val="20"/>
                <w:szCs w:val="20"/>
                <w:lang w:val="en-US" w:eastAsia="en-US"/>
              </w:rPr>
              <w:t>Fiškálna</w:t>
            </w:r>
            <w:proofErr w:type="spellEnd"/>
            <w:r w:rsidRPr="002C7555">
              <w:rPr>
                <w:rFonts w:ascii="Arial Narrow" w:hAnsi="Arial Narrow"/>
                <w:b/>
                <w:bCs/>
                <w:sz w:val="20"/>
                <w:szCs w:val="20"/>
                <w:lang w:val="en-US" w:eastAsia="en-US"/>
              </w:rPr>
              <w:t xml:space="preserve"> </w:t>
            </w:r>
            <w:proofErr w:type="spellStart"/>
            <w:r w:rsidRPr="002C7555">
              <w:rPr>
                <w:rFonts w:ascii="Arial Narrow" w:hAnsi="Arial Narrow"/>
                <w:b/>
                <w:bCs/>
                <w:sz w:val="20"/>
                <w:szCs w:val="20"/>
                <w:lang w:val="en-US" w:eastAsia="en-US"/>
              </w:rPr>
              <w:t>politika</w:t>
            </w:r>
            <w:proofErr w:type="spellEnd"/>
            <w:r w:rsidRPr="002C7555">
              <w:rPr>
                <w:rFonts w:ascii="Arial Narrow" w:hAnsi="Arial Narrow"/>
                <w:b/>
                <w:bCs/>
                <w:sz w:val="20"/>
                <w:szCs w:val="20"/>
                <w:lang w:val="en-US" w:eastAsia="en-US"/>
              </w:rPr>
              <w:t xml:space="preserve"> a </w:t>
            </w:r>
            <w:proofErr w:type="spellStart"/>
            <w:r w:rsidRPr="002C7555">
              <w:rPr>
                <w:rFonts w:ascii="Arial Narrow" w:hAnsi="Arial Narrow"/>
                <w:b/>
                <w:bCs/>
                <w:sz w:val="20"/>
                <w:szCs w:val="20"/>
                <w:lang w:val="en-US" w:eastAsia="en-US"/>
              </w:rPr>
              <w:t>verejné</w:t>
            </w:r>
            <w:proofErr w:type="spellEnd"/>
            <w:r w:rsidRPr="002C7555">
              <w:rPr>
                <w:rFonts w:ascii="Arial Narrow" w:hAnsi="Arial Narrow"/>
                <w:b/>
                <w:bCs/>
                <w:sz w:val="20"/>
                <w:szCs w:val="20"/>
                <w:lang w:val="en-US" w:eastAsia="en-US"/>
              </w:rPr>
              <w:t xml:space="preserve"> </w:t>
            </w:r>
            <w:proofErr w:type="spellStart"/>
            <w:r w:rsidRPr="002C7555">
              <w:rPr>
                <w:rFonts w:ascii="Arial Narrow" w:hAnsi="Arial Narrow"/>
                <w:b/>
                <w:bCs/>
                <w:sz w:val="20"/>
                <w:szCs w:val="20"/>
                <w:lang w:val="en-US" w:eastAsia="en-US"/>
              </w:rPr>
              <w:t>financie</w:t>
            </w:r>
            <w:proofErr w:type="spellEnd"/>
          </w:p>
        </w:tc>
      </w:tr>
      <w:tr w:rsidR="001F224C" w:rsidRPr="002C7555" w14:paraId="12AD55CA" w14:textId="77777777" w:rsidTr="001F224C">
        <w:trPr>
          <w:gridAfter w:val="1"/>
          <w:wAfter w:w="10" w:type="dxa"/>
          <w:trHeight w:val="188"/>
          <w:jc w:val="center"/>
        </w:trPr>
        <w:tc>
          <w:tcPr>
            <w:tcW w:w="409" w:type="dxa"/>
            <w:tcBorders>
              <w:top w:val="nil"/>
              <w:left w:val="nil"/>
              <w:bottom w:val="nil"/>
              <w:right w:val="nil"/>
            </w:tcBorders>
            <w:shd w:val="clear" w:color="auto" w:fill="auto"/>
            <w:textDirection w:val="btLr"/>
            <w:vAlign w:val="center"/>
            <w:hideMark/>
          </w:tcPr>
          <w:p w14:paraId="0687AFB8" w14:textId="77777777" w:rsidR="001F224C" w:rsidRPr="002C7555" w:rsidRDefault="001F224C" w:rsidP="001F224C">
            <w:pPr>
              <w:spacing w:after="0" w:line="240" w:lineRule="auto"/>
              <w:rPr>
                <w:rFonts w:ascii="Arial Narrow" w:hAnsi="Arial Narrow"/>
                <w:b/>
                <w:bCs/>
                <w:sz w:val="20"/>
                <w:szCs w:val="20"/>
                <w:lang w:val="en-US" w:eastAsia="en-US"/>
              </w:rPr>
            </w:pPr>
          </w:p>
        </w:tc>
        <w:tc>
          <w:tcPr>
            <w:tcW w:w="407" w:type="dxa"/>
            <w:gridSpan w:val="2"/>
            <w:vMerge w:val="restart"/>
            <w:tcBorders>
              <w:top w:val="nil"/>
              <w:left w:val="nil"/>
              <w:bottom w:val="single" w:sz="4" w:space="0" w:color="000000"/>
              <w:right w:val="nil"/>
            </w:tcBorders>
            <w:shd w:val="clear" w:color="auto" w:fill="auto"/>
            <w:vAlign w:val="center"/>
            <w:hideMark/>
          </w:tcPr>
          <w:p w14:paraId="1E6CDF2B"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1</w:t>
            </w:r>
          </w:p>
        </w:tc>
        <w:tc>
          <w:tcPr>
            <w:tcW w:w="2050" w:type="dxa"/>
            <w:tcBorders>
              <w:top w:val="nil"/>
              <w:left w:val="nil"/>
              <w:bottom w:val="nil"/>
              <w:right w:val="nil"/>
            </w:tcBorders>
            <w:shd w:val="clear" w:color="auto" w:fill="auto"/>
            <w:noWrap/>
            <w:vAlign w:val="center"/>
            <w:hideMark/>
          </w:tcPr>
          <w:p w14:paraId="51BA265F" w14:textId="77777777" w:rsidR="001F224C" w:rsidRPr="002C7555" w:rsidRDefault="001F224C" w:rsidP="001F224C">
            <w:pPr>
              <w:spacing w:after="0" w:line="240" w:lineRule="auto"/>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Ukazovateľ</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dlhodobej</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udržateľnosti</w:t>
            </w:r>
            <w:proofErr w:type="spellEnd"/>
            <w:r w:rsidRPr="002C7555">
              <w:rPr>
                <w:rFonts w:ascii="Arial Narrow" w:hAnsi="Arial Narrow"/>
                <w:b/>
                <w:bCs/>
                <w:color w:val="000000"/>
                <w:sz w:val="20"/>
                <w:szCs w:val="20"/>
                <w:lang w:val="en-US" w:eastAsia="en-US"/>
              </w:rPr>
              <w:t xml:space="preserve"> (GAP)</w:t>
            </w:r>
          </w:p>
        </w:tc>
        <w:tc>
          <w:tcPr>
            <w:tcW w:w="710" w:type="dxa"/>
            <w:tcBorders>
              <w:top w:val="nil"/>
              <w:left w:val="nil"/>
              <w:bottom w:val="nil"/>
              <w:right w:val="nil"/>
            </w:tcBorders>
            <w:shd w:val="clear" w:color="auto" w:fill="auto"/>
            <w:vAlign w:val="center"/>
            <w:hideMark/>
          </w:tcPr>
          <w:p w14:paraId="6D5EFBBA"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nil"/>
              <w:left w:val="nil"/>
              <w:bottom w:val="nil"/>
              <w:right w:val="nil"/>
            </w:tcBorders>
            <w:shd w:val="clear" w:color="auto" w:fill="auto"/>
            <w:vAlign w:val="center"/>
          </w:tcPr>
          <w:p w14:paraId="6FEBFA04" w14:textId="5A5EA213"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9,5</w:t>
            </w:r>
          </w:p>
        </w:tc>
        <w:tc>
          <w:tcPr>
            <w:tcW w:w="592" w:type="dxa"/>
            <w:tcBorders>
              <w:top w:val="nil"/>
              <w:left w:val="nil"/>
              <w:bottom w:val="nil"/>
              <w:right w:val="nil"/>
            </w:tcBorders>
            <w:shd w:val="clear" w:color="auto" w:fill="auto"/>
            <w:vAlign w:val="center"/>
          </w:tcPr>
          <w:p w14:paraId="4AE35793" w14:textId="7B7C91F2"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9,2</w:t>
            </w:r>
          </w:p>
        </w:tc>
        <w:tc>
          <w:tcPr>
            <w:tcW w:w="592" w:type="dxa"/>
            <w:tcBorders>
              <w:top w:val="nil"/>
              <w:left w:val="nil"/>
              <w:bottom w:val="nil"/>
              <w:right w:val="nil"/>
            </w:tcBorders>
            <w:shd w:val="clear" w:color="auto" w:fill="auto"/>
            <w:vAlign w:val="center"/>
          </w:tcPr>
          <w:p w14:paraId="0EA38071" w14:textId="74F7EDBE"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7</w:t>
            </w:r>
          </w:p>
        </w:tc>
        <w:tc>
          <w:tcPr>
            <w:tcW w:w="592" w:type="dxa"/>
            <w:tcBorders>
              <w:top w:val="nil"/>
              <w:left w:val="nil"/>
              <w:bottom w:val="nil"/>
              <w:right w:val="nil"/>
            </w:tcBorders>
            <w:shd w:val="clear" w:color="auto" w:fill="auto"/>
            <w:vAlign w:val="center"/>
          </w:tcPr>
          <w:p w14:paraId="318320F4" w14:textId="6668838A"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4</w:t>
            </w:r>
          </w:p>
        </w:tc>
        <w:tc>
          <w:tcPr>
            <w:tcW w:w="592" w:type="dxa"/>
            <w:tcBorders>
              <w:top w:val="nil"/>
              <w:left w:val="nil"/>
              <w:bottom w:val="nil"/>
              <w:right w:val="nil"/>
            </w:tcBorders>
            <w:shd w:val="clear" w:color="auto" w:fill="auto"/>
            <w:vAlign w:val="center"/>
          </w:tcPr>
          <w:p w14:paraId="0E94096F" w14:textId="528B262A"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1,9</w:t>
            </w:r>
          </w:p>
        </w:tc>
        <w:tc>
          <w:tcPr>
            <w:tcW w:w="592" w:type="dxa"/>
            <w:tcBorders>
              <w:top w:val="nil"/>
              <w:left w:val="nil"/>
              <w:bottom w:val="nil"/>
              <w:right w:val="nil"/>
            </w:tcBorders>
            <w:shd w:val="clear" w:color="auto" w:fill="auto"/>
            <w:noWrap/>
            <w:vAlign w:val="center"/>
          </w:tcPr>
          <w:p w14:paraId="603AA42A" w14:textId="3F43FBB7"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 xml:space="preserve"> 1,4 </w:t>
            </w:r>
          </w:p>
        </w:tc>
        <w:tc>
          <w:tcPr>
            <w:tcW w:w="592" w:type="dxa"/>
            <w:tcBorders>
              <w:top w:val="nil"/>
              <w:left w:val="nil"/>
              <w:bottom w:val="nil"/>
              <w:right w:val="nil"/>
            </w:tcBorders>
            <w:shd w:val="clear" w:color="auto" w:fill="auto"/>
            <w:noWrap/>
            <w:vAlign w:val="center"/>
          </w:tcPr>
          <w:p w14:paraId="44B8CBFB" w14:textId="2E1C68E2"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0,4</w:t>
            </w:r>
          </w:p>
        </w:tc>
        <w:tc>
          <w:tcPr>
            <w:tcW w:w="592" w:type="dxa"/>
            <w:tcBorders>
              <w:top w:val="nil"/>
              <w:left w:val="nil"/>
              <w:bottom w:val="nil"/>
              <w:right w:val="nil"/>
            </w:tcBorders>
            <w:shd w:val="clear" w:color="auto" w:fill="auto"/>
            <w:vAlign w:val="center"/>
          </w:tcPr>
          <w:p w14:paraId="0076252B" w14:textId="12F071EF"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-0,1</w:t>
            </w:r>
          </w:p>
        </w:tc>
        <w:tc>
          <w:tcPr>
            <w:tcW w:w="592" w:type="dxa"/>
            <w:tcBorders>
              <w:top w:val="nil"/>
              <w:left w:val="nil"/>
              <w:bottom w:val="nil"/>
              <w:right w:val="nil"/>
            </w:tcBorders>
            <w:shd w:val="clear" w:color="auto" w:fill="auto"/>
            <w:noWrap/>
            <w:vAlign w:val="center"/>
          </w:tcPr>
          <w:p w14:paraId="4F7C92F3" w14:textId="2D4F8A68"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-1,1</w:t>
            </w:r>
          </w:p>
        </w:tc>
        <w:tc>
          <w:tcPr>
            <w:tcW w:w="592" w:type="dxa"/>
            <w:tcBorders>
              <w:top w:val="nil"/>
              <w:left w:val="nil"/>
              <w:bottom w:val="nil"/>
              <w:right w:val="nil"/>
            </w:tcBorders>
            <w:shd w:val="clear" w:color="auto" w:fill="auto"/>
            <w:vAlign w:val="center"/>
          </w:tcPr>
          <w:p w14:paraId="791E542F" w14:textId="5F7D948A"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color w:val="000000"/>
                <w:sz w:val="20"/>
                <w:szCs w:val="20"/>
              </w:rPr>
              <w:t>-</w:t>
            </w:r>
          </w:p>
        </w:tc>
        <w:tc>
          <w:tcPr>
            <w:tcW w:w="592" w:type="dxa"/>
            <w:tcBorders>
              <w:top w:val="nil"/>
              <w:left w:val="nil"/>
              <w:bottom w:val="nil"/>
              <w:right w:val="nil"/>
            </w:tcBorders>
            <w:shd w:val="clear" w:color="auto" w:fill="auto"/>
            <w:vAlign w:val="center"/>
            <w:hideMark/>
          </w:tcPr>
          <w:p w14:paraId="1B908790" w14:textId="6B2D826C" w:rsidR="001F224C" w:rsidRPr="002C7555" w:rsidRDefault="001F224C" w:rsidP="001F224C">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r>
      <w:tr w:rsidR="001F224C" w:rsidRPr="002C7555" w14:paraId="6867D387" w14:textId="77777777" w:rsidTr="001F224C">
        <w:trPr>
          <w:gridAfter w:val="1"/>
          <w:wAfter w:w="10" w:type="dxa"/>
          <w:trHeight w:val="188"/>
          <w:jc w:val="center"/>
        </w:trPr>
        <w:tc>
          <w:tcPr>
            <w:tcW w:w="409" w:type="dxa"/>
            <w:tcBorders>
              <w:top w:val="nil"/>
              <w:left w:val="nil"/>
              <w:bottom w:val="single" w:sz="4" w:space="0" w:color="auto"/>
              <w:right w:val="nil"/>
            </w:tcBorders>
            <w:shd w:val="clear" w:color="auto" w:fill="auto"/>
            <w:textDirection w:val="btLr"/>
            <w:vAlign w:val="center"/>
            <w:hideMark/>
          </w:tcPr>
          <w:p w14:paraId="1EC0DBE2"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 </w:t>
            </w:r>
          </w:p>
        </w:tc>
        <w:tc>
          <w:tcPr>
            <w:tcW w:w="407" w:type="dxa"/>
            <w:gridSpan w:val="2"/>
            <w:vMerge/>
            <w:tcBorders>
              <w:top w:val="nil"/>
              <w:left w:val="nil"/>
              <w:bottom w:val="single" w:sz="4" w:space="0" w:color="000000"/>
              <w:right w:val="nil"/>
            </w:tcBorders>
            <w:vAlign w:val="center"/>
            <w:hideMark/>
          </w:tcPr>
          <w:p w14:paraId="67C03B1A"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54A831A8"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 HDP)</w:t>
            </w:r>
          </w:p>
        </w:tc>
        <w:tc>
          <w:tcPr>
            <w:tcW w:w="710" w:type="dxa"/>
            <w:tcBorders>
              <w:top w:val="nil"/>
              <w:left w:val="nil"/>
              <w:bottom w:val="single" w:sz="4" w:space="0" w:color="auto"/>
              <w:right w:val="nil"/>
            </w:tcBorders>
            <w:shd w:val="clear" w:color="auto" w:fill="auto"/>
            <w:vAlign w:val="center"/>
            <w:hideMark/>
          </w:tcPr>
          <w:p w14:paraId="5385D25F"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single" w:sz="4" w:space="0" w:color="auto"/>
              <w:right w:val="nil"/>
            </w:tcBorders>
            <w:shd w:val="clear" w:color="auto" w:fill="auto"/>
            <w:vAlign w:val="center"/>
          </w:tcPr>
          <w:p w14:paraId="4FE46645" w14:textId="6FB86D63"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w:t>
            </w:r>
          </w:p>
        </w:tc>
        <w:tc>
          <w:tcPr>
            <w:tcW w:w="592" w:type="dxa"/>
            <w:tcBorders>
              <w:top w:val="nil"/>
              <w:left w:val="nil"/>
              <w:bottom w:val="single" w:sz="4" w:space="0" w:color="auto"/>
              <w:right w:val="nil"/>
            </w:tcBorders>
            <w:shd w:val="clear" w:color="auto" w:fill="auto"/>
            <w:vAlign w:val="center"/>
          </w:tcPr>
          <w:p w14:paraId="08344427" w14:textId="11496774"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w:t>
            </w:r>
          </w:p>
        </w:tc>
        <w:tc>
          <w:tcPr>
            <w:tcW w:w="592" w:type="dxa"/>
            <w:tcBorders>
              <w:top w:val="nil"/>
              <w:left w:val="nil"/>
              <w:bottom w:val="single" w:sz="4" w:space="0" w:color="auto"/>
              <w:right w:val="nil"/>
            </w:tcBorders>
            <w:shd w:val="clear" w:color="auto" w:fill="auto"/>
            <w:vAlign w:val="center"/>
          </w:tcPr>
          <w:p w14:paraId="582752E6" w14:textId="4812839D"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 xml:space="preserve"> - </w:t>
            </w:r>
          </w:p>
        </w:tc>
        <w:tc>
          <w:tcPr>
            <w:tcW w:w="592" w:type="dxa"/>
            <w:tcBorders>
              <w:top w:val="nil"/>
              <w:left w:val="nil"/>
              <w:bottom w:val="single" w:sz="4" w:space="0" w:color="auto"/>
              <w:right w:val="nil"/>
            </w:tcBorders>
            <w:shd w:val="clear" w:color="auto" w:fill="auto"/>
            <w:vAlign w:val="center"/>
          </w:tcPr>
          <w:p w14:paraId="77A42D60" w14:textId="094FF9E7"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 xml:space="preserve"> - </w:t>
            </w:r>
          </w:p>
        </w:tc>
        <w:tc>
          <w:tcPr>
            <w:tcW w:w="592" w:type="dxa"/>
            <w:tcBorders>
              <w:top w:val="nil"/>
              <w:left w:val="nil"/>
              <w:bottom w:val="single" w:sz="4" w:space="0" w:color="auto"/>
              <w:right w:val="nil"/>
            </w:tcBorders>
            <w:shd w:val="clear" w:color="auto" w:fill="auto"/>
            <w:vAlign w:val="center"/>
          </w:tcPr>
          <w:p w14:paraId="706DA453" w14:textId="5C32BA8E"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 xml:space="preserve"> - </w:t>
            </w:r>
          </w:p>
        </w:tc>
        <w:tc>
          <w:tcPr>
            <w:tcW w:w="592" w:type="dxa"/>
            <w:tcBorders>
              <w:top w:val="nil"/>
              <w:left w:val="nil"/>
              <w:bottom w:val="single" w:sz="4" w:space="0" w:color="auto"/>
              <w:right w:val="nil"/>
            </w:tcBorders>
            <w:shd w:val="clear" w:color="auto" w:fill="auto"/>
            <w:vAlign w:val="center"/>
          </w:tcPr>
          <w:p w14:paraId="3945E616" w14:textId="212BB6CD"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 xml:space="preserve"> - </w:t>
            </w:r>
          </w:p>
        </w:tc>
        <w:tc>
          <w:tcPr>
            <w:tcW w:w="592" w:type="dxa"/>
            <w:tcBorders>
              <w:top w:val="nil"/>
              <w:left w:val="nil"/>
              <w:bottom w:val="single" w:sz="4" w:space="0" w:color="auto"/>
              <w:right w:val="nil"/>
            </w:tcBorders>
            <w:shd w:val="clear" w:color="auto" w:fill="auto"/>
            <w:vAlign w:val="center"/>
          </w:tcPr>
          <w:p w14:paraId="49989D0E" w14:textId="63DD35BA" w:rsidR="001F224C" w:rsidRPr="001F224C"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7ECDEB5D" w14:textId="25108874"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w:t>
            </w:r>
          </w:p>
        </w:tc>
        <w:tc>
          <w:tcPr>
            <w:tcW w:w="592" w:type="dxa"/>
            <w:tcBorders>
              <w:top w:val="nil"/>
              <w:left w:val="nil"/>
              <w:bottom w:val="single" w:sz="4" w:space="0" w:color="auto"/>
              <w:right w:val="nil"/>
            </w:tcBorders>
            <w:shd w:val="clear" w:color="auto" w:fill="auto"/>
            <w:vAlign w:val="center"/>
          </w:tcPr>
          <w:p w14:paraId="3CCB415A" w14:textId="5BF512C0" w:rsidR="001F224C" w:rsidRPr="001F224C"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5C96E931" w14:textId="064F838A"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color w:val="000000"/>
                <w:sz w:val="20"/>
                <w:szCs w:val="20"/>
              </w:rPr>
              <w:t>-</w:t>
            </w:r>
          </w:p>
        </w:tc>
        <w:tc>
          <w:tcPr>
            <w:tcW w:w="592" w:type="dxa"/>
            <w:tcBorders>
              <w:top w:val="nil"/>
              <w:left w:val="nil"/>
              <w:bottom w:val="single" w:sz="4" w:space="0" w:color="auto"/>
              <w:right w:val="nil"/>
            </w:tcBorders>
            <w:shd w:val="clear" w:color="auto" w:fill="auto"/>
            <w:vAlign w:val="center"/>
            <w:hideMark/>
          </w:tcPr>
          <w:p w14:paraId="247CF24A"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57CD0697" w14:textId="77777777" w:rsidTr="001F224C">
        <w:trPr>
          <w:gridAfter w:val="1"/>
          <w:wAfter w:w="10" w:type="dxa"/>
          <w:trHeight w:val="188"/>
          <w:jc w:val="center"/>
        </w:trPr>
        <w:tc>
          <w:tcPr>
            <w:tcW w:w="409" w:type="dxa"/>
            <w:tcBorders>
              <w:top w:val="nil"/>
              <w:left w:val="nil"/>
              <w:bottom w:val="nil"/>
              <w:right w:val="nil"/>
            </w:tcBorders>
            <w:shd w:val="clear" w:color="auto" w:fill="auto"/>
            <w:textDirection w:val="btLr"/>
            <w:vAlign w:val="center"/>
            <w:hideMark/>
          </w:tcPr>
          <w:p w14:paraId="722AC94B"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407" w:type="dxa"/>
            <w:gridSpan w:val="2"/>
            <w:vMerge w:val="restart"/>
            <w:tcBorders>
              <w:top w:val="nil"/>
              <w:left w:val="nil"/>
              <w:bottom w:val="single" w:sz="4" w:space="0" w:color="000000"/>
              <w:right w:val="nil"/>
            </w:tcBorders>
            <w:shd w:val="clear" w:color="auto" w:fill="auto"/>
            <w:vAlign w:val="center"/>
            <w:hideMark/>
          </w:tcPr>
          <w:p w14:paraId="6E79279F"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2</w:t>
            </w:r>
          </w:p>
        </w:tc>
        <w:tc>
          <w:tcPr>
            <w:tcW w:w="2050" w:type="dxa"/>
            <w:tcBorders>
              <w:top w:val="nil"/>
              <w:left w:val="nil"/>
              <w:bottom w:val="nil"/>
              <w:right w:val="nil"/>
            </w:tcBorders>
            <w:shd w:val="clear" w:color="auto" w:fill="auto"/>
            <w:noWrap/>
            <w:vAlign w:val="center"/>
            <w:hideMark/>
          </w:tcPr>
          <w:p w14:paraId="38F1F5D3" w14:textId="77777777" w:rsidR="001F224C" w:rsidRPr="002C7555" w:rsidRDefault="001F224C" w:rsidP="001F224C">
            <w:pPr>
              <w:spacing w:after="0" w:line="240" w:lineRule="auto"/>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Efektívnosť</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výberu</w:t>
            </w:r>
            <w:proofErr w:type="spellEnd"/>
            <w:r w:rsidRPr="002C7555">
              <w:rPr>
                <w:rFonts w:ascii="Arial Narrow" w:hAnsi="Arial Narrow"/>
                <w:b/>
                <w:bCs/>
                <w:color w:val="000000"/>
                <w:sz w:val="20"/>
                <w:szCs w:val="20"/>
                <w:lang w:val="en-US" w:eastAsia="en-US"/>
              </w:rPr>
              <w:t xml:space="preserve"> DPH</w:t>
            </w:r>
          </w:p>
        </w:tc>
        <w:tc>
          <w:tcPr>
            <w:tcW w:w="710" w:type="dxa"/>
            <w:tcBorders>
              <w:top w:val="nil"/>
              <w:left w:val="nil"/>
              <w:bottom w:val="nil"/>
              <w:right w:val="nil"/>
            </w:tcBorders>
            <w:shd w:val="clear" w:color="auto" w:fill="auto"/>
            <w:vAlign w:val="center"/>
            <w:hideMark/>
          </w:tcPr>
          <w:p w14:paraId="35706B42"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nil"/>
              <w:left w:val="nil"/>
              <w:right w:val="nil"/>
            </w:tcBorders>
            <w:shd w:val="clear" w:color="auto" w:fill="auto"/>
            <w:vAlign w:val="center"/>
          </w:tcPr>
          <w:p w14:paraId="34CF8105" w14:textId="3375FDDB"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55,5</w:t>
            </w:r>
          </w:p>
        </w:tc>
        <w:tc>
          <w:tcPr>
            <w:tcW w:w="592" w:type="dxa"/>
            <w:tcBorders>
              <w:top w:val="nil"/>
              <w:left w:val="nil"/>
              <w:right w:val="nil"/>
            </w:tcBorders>
            <w:shd w:val="clear" w:color="auto" w:fill="auto"/>
            <w:vAlign w:val="center"/>
          </w:tcPr>
          <w:p w14:paraId="17955F95" w14:textId="5098814A"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54,3</w:t>
            </w:r>
          </w:p>
        </w:tc>
        <w:tc>
          <w:tcPr>
            <w:tcW w:w="592" w:type="dxa"/>
            <w:tcBorders>
              <w:top w:val="nil"/>
              <w:left w:val="nil"/>
              <w:right w:val="nil"/>
            </w:tcBorders>
            <w:shd w:val="clear" w:color="auto" w:fill="auto"/>
            <w:vAlign w:val="center"/>
          </w:tcPr>
          <w:p w14:paraId="58808489" w14:textId="05A4DFB5"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54,3</w:t>
            </w:r>
          </w:p>
        </w:tc>
        <w:tc>
          <w:tcPr>
            <w:tcW w:w="592" w:type="dxa"/>
            <w:tcBorders>
              <w:top w:val="nil"/>
              <w:left w:val="nil"/>
              <w:right w:val="nil"/>
            </w:tcBorders>
            <w:shd w:val="clear" w:color="auto" w:fill="auto"/>
            <w:vAlign w:val="center"/>
          </w:tcPr>
          <w:p w14:paraId="55695874" w14:textId="2126E4D8"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49,8</w:t>
            </w:r>
          </w:p>
        </w:tc>
        <w:tc>
          <w:tcPr>
            <w:tcW w:w="592" w:type="dxa"/>
            <w:tcBorders>
              <w:top w:val="nil"/>
              <w:left w:val="nil"/>
              <w:right w:val="nil"/>
            </w:tcBorders>
            <w:shd w:val="clear" w:color="auto" w:fill="auto"/>
            <w:vAlign w:val="center"/>
          </w:tcPr>
          <w:p w14:paraId="45734E6E" w14:textId="6C25EDE2"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54,7</w:t>
            </w:r>
          </w:p>
        </w:tc>
        <w:tc>
          <w:tcPr>
            <w:tcW w:w="592" w:type="dxa"/>
            <w:tcBorders>
              <w:top w:val="nil"/>
              <w:left w:val="nil"/>
              <w:right w:val="nil"/>
            </w:tcBorders>
            <w:shd w:val="clear" w:color="auto" w:fill="auto"/>
            <w:vAlign w:val="center"/>
          </w:tcPr>
          <w:p w14:paraId="7394A833" w14:textId="0623F8E2"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57,2</w:t>
            </w:r>
          </w:p>
        </w:tc>
        <w:tc>
          <w:tcPr>
            <w:tcW w:w="592" w:type="dxa"/>
            <w:tcBorders>
              <w:top w:val="nil"/>
              <w:left w:val="nil"/>
              <w:right w:val="nil"/>
            </w:tcBorders>
            <w:shd w:val="clear" w:color="auto" w:fill="auto"/>
            <w:vAlign w:val="center"/>
          </w:tcPr>
          <w:p w14:paraId="2905AF5B" w14:textId="2D0F9A4B"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58,1</w:t>
            </w:r>
          </w:p>
        </w:tc>
        <w:tc>
          <w:tcPr>
            <w:tcW w:w="592" w:type="dxa"/>
            <w:tcBorders>
              <w:top w:val="nil"/>
              <w:left w:val="nil"/>
              <w:right w:val="nil"/>
            </w:tcBorders>
            <w:shd w:val="clear" w:color="auto" w:fill="auto"/>
            <w:vAlign w:val="center"/>
          </w:tcPr>
          <w:p w14:paraId="5A24EF3A" w14:textId="4A9EFED2"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59,9</w:t>
            </w:r>
          </w:p>
        </w:tc>
        <w:tc>
          <w:tcPr>
            <w:tcW w:w="592" w:type="dxa"/>
            <w:tcBorders>
              <w:top w:val="nil"/>
              <w:left w:val="nil"/>
              <w:right w:val="nil"/>
            </w:tcBorders>
            <w:shd w:val="clear" w:color="auto" w:fill="auto"/>
            <w:noWrap/>
            <w:vAlign w:val="center"/>
          </w:tcPr>
          <w:p w14:paraId="55FA749D" w14:textId="50A29462"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61,1</w:t>
            </w:r>
          </w:p>
        </w:tc>
        <w:tc>
          <w:tcPr>
            <w:tcW w:w="592" w:type="dxa"/>
            <w:tcBorders>
              <w:top w:val="nil"/>
              <w:left w:val="nil"/>
              <w:right w:val="nil"/>
            </w:tcBorders>
            <w:shd w:val="clear" w:color="auto" w:fill="auto"/>
            <w:vAlign w:val="center"/>
          </w:tcPr>
          <w:p w14:paraId="04587E22" w14:textId="08234221"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color w:val="000000"/>
                <w:sz w:val="20"/>
                <w:szCs w:val="20"/>
              </w:rPr>
              <w:t>-</w:t>
            </w:r>
          </w:p>
        </w:tc>
        <w:tc>
          <w:tcPr>
            <w:tcW w:w="592" w:type="dxa"/>
            <w:tcBorders>
              <w:top w:val="nil"/>
              <w:left w:val="nil"/>
              <w:bottom w:val="nil"/>
              <w:right w:val="nil"/>
            </w:tcBorders>
            <w:shd w:val="clear" w:color="auto" w:fill="auto"/>
            <w:vAlign w:val="center"/>
            <w:hideMark/>
          </w:tcPr>
          <w:p w14:paraId="51EBA2AF"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37ACB92D" w14:textId="77777777" w:rsidTr="001F224C">
        <w:trPr>
          <w:gridAfter w:val="1"/>
          <w:wAfter w:w="10" w:type="dxa"/>
          <w:trHeight w:val="188"/>
          <w:jc w:val="center"/>
        </w:trPr>
        <w:tc>
          <w:tcPr>
            <w:tcW w:w="409" w:type="dxa"/>
            <w:tcBorders>
              <w:top w:val="nil"/>
              <w:left w:val="nil"/>
              <w:bottom w:val="single" w:sz="4" w:space="0" w:color="auto"/>
              <w:right w:val="nil"/>
            </w:tcBorders>
            <w:shd w:val="clear" w:color="auto" w:fill="auto"/>
            <w:textDirection w:val="btLr"/>
            <w:vAlign w:val="center"/>
            <w:hideMark/>
          </w:tcPr>
          <w:p w14:paraId="6F82A1B9"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 </w:t>
            </w:r>
          </w:p>
        </w:tc>
        <w:tc>
          <w:tcPr>
            <w:tcW w:w="407" w:type="dxa"/>
            <w:gridSpan w:val="2"/>
            <w:vMerge/>
            <w:tcBorders>
              <w:top w:val="nil"/>
              <w:left w:val="nil"/>
              <w:bottom w:val="single" w:sz="4" w:space="0" w:color="000000"/>
              <w:right w:val="nil"/>
            </w:tcBorders>
            <w:vAlign w:val="center"/>
            <w:hideMark/>
          </w:tcPr>
          <w:p w14:paraId="0183325E"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212FF2E1"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710" w:type="dxa"/>
            <w:tcBorders>
              <w:top w:val="nil"/>
              <w:left w:val="nil"/>
              <w:bottom w:val="single" w:sz="4" w:space="0" w:color="auto"/>
              <w:right w:val="nil"/>
            </w:tcBorders>
            <w:shd w:val="clear" w:color="auto" w:fill="auto"/>
            <w:vAlign w:val="center"/>
            <w:hideMark/>
          </w:tcPr>
          <w:p w14:paraId="47855417"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single" w:sz="4" w:space="0" w:color="auto"/>
              <w:right w:val="nil"/>
            </w:tcBorders>
            <w:shd w:val="clear" w:color="auto" w:fill="auto"/>
            <w:vAlign w:val="center"/>
          </w:tcPr>
          <w:p w14:paraId="60F7DE18" w14:textId="4BACAD40"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64,1</w:t>
            </w:r>
          </w:p>
        </w:tc>
        <w:tc>
          <w:tcPr>
            <w:tcW w:w="592" w:type="dxa"/>
            <w:tcBorders>
              <w:top w:val="nil"/>
              <w:left w:val="nil"/>
              <w:bottom w:val="single" w:sz="4" w:space="0" w:color="auto"/>
              <w:right w:val="nil"/>
            </w:tcBorders>
            <w:shd w:val="clear" w:color="auto" w:fill="auto"/>
            <w:vAlign w:val="center"/>
          </w:tcPr>
          <w:p w14:paraId="201017E3" w14:textId="3A7F521B"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65,3</w:t>
            </w:r>
          </w:p>
        </w:tc>
        <w:tc>
          <w:tcPr>
            <w:tcW w:w="592" w:type="dxa"/>
            <w:tcBorders>
              <w:top w:val="nil"/>
              <w:left w:val="nil"/>
              <w:bottom w:val="single" w:sz="4" w:space="0" w:color="auto"/>
              <w:right w:val="nil"/>
            </w:tcBorders>
            <w:shd w:val="clear" w:color="auto" w:fill="auto"/>
            <w:vAlign w:val="center"/>
          </w:tcPr>
          <w:p w14:paraId="247118C9" w14:textId="417DB831"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66,0</w:t>
            </w:r>
          </w:p>
        </w:tc>
        <w:tc>
          <w:tcPr>
            <w:tcW w:w="592" w:type="dxa"/>
            <w:tcBorders>
              <w:top w:val="nil"/>
              <w:left w:val="nil"/>
              <w:bottom w:val="single" w:sz="4" w:space="0" w:color="auto"/>
              <w:right w:val="nil"/>
            </w:tcBorders>
            <w:shd w:val="clear" w:color="auto" w:fill="auto"/>
            <w:vAlign w:val="center"/>
          </w:tcPr>
          <w:p w14:paraId="21D0AF23" w14:textId="0F0FF63D"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66,0</w:t>
            </w:r>
          </w:p>
        </w:tc>
        <w:tc>
          <w:tcPr>
            <w:tcW w:w="592" w:type="dxa"/>
            <w:tcBorders>
              <w:top w:val="nil"/>
              <w:left w:val="nil"/>
              <w:bottom w:val="single" w:sz="4" w:space="0" w:color="auto"/>
              <w:right w:val="nil"/>
            </w:tcBorders>
            <w:shd w:val="clear" w:color="auto" w:fill="auto"/>
            <w:vAlign w:val="center"/>
          </w:tcPr>
          <w:p w14:paraId="5DDB9C91" w14:textId="72662BBE"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66,3</w:t>
            </w:r>
          </w:p>
        </w:tc>
        <w:tc>
          <w:tcPr>
            <w:tcW w:w="592" w:type="dxa"/>
            <w:tcBorders>
              <w:top w:val="nil"/>
              <w:left w:val="nil"/>
              <w:bottom w:val="single" w:sz="4" w:space="0" w:color="auto"/>
              <w:right w:val="nil"/>
            </w:tcBorders>
            <w:shd w:val="clear" w:color="auto" w:fill="auto"/>
            <w:vAlign w:val="center"/>
          </w:tcPr>
          <w:p w14:paraId="4D12521F" w14:textId="54A910F5"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67,7</w:t>
            </w:r>
          </w:p>
        </w:tc>
        <w:tc>
          <w:tcPr>
            <w:tcW w:w="592" w:type="dxa"/>
            <w:tcBorders>
              <w:top w:val="nil"/>
              <w:left w:val="nil"/>
              <w:bottom w:val="single" w:sz="4" w:space="0" w:color="auto"/>
              <w:right w:val="nil"/>
            </w:tcBorders>
            <w:shd w:val="clear" w:color="auto" w:fill="auto"/>
            <w:vAlign w:val="center"/>
          </w:tcPr>
          <w:p w14:paraId="52E55B3C" w14:textId="74FC676F"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67,0</w:t>
            </w:r>
          </w:p>
        </w:tc>
        <w:tc>
          <w:tcPr>
            <w:tcW w:w="592" w:type="dxa"/>
            <w:tcBorders>
              <w:top w:val="nil"/>
              <w:left w:val="nil"/>
              <w:bottom w:val="single" w:sz="4" w:space="0" w:color="auto"/>
              <w:right w:val="nil"/>
            </w:tcBorders>
            <w:shd w:val="clear" w:color="auto" w:fill="auto"/>
            <w:vAlign w:val="center"/>
          </w:tcPr>
          <w:p w14:paraId="43E9DCD2" w14:textId="121904C3"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68,9</w:t>
            </w:r>
          </w:p>
        </w:tc>
        <w:tc>
          <w:tcPr>
            <w:tcW w:w="592" w:type="dxa"/>
            <w:tcBorders>
              <w:top w:val="nil"/>
              <w:left w:val="nil"/>
              <w:bottom w:val="single" w:sz="4" w:space="0" w:color="auto"/>
              <w:right w:val="nil"/>
            </w:tcBorders>
            <w:shd w:val="clear" w:color="auto" w:fill="auto"/>
            <w:vAlign w:val="center"/>
          </w:tcPr>
          <w:p w14:paraId="7DC93DD3" w14:textId="64D874FE"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67,3</w:t>
            </w:r>
          </w:p>
        </w:tc>
        <w:tc>
          <w:tcPr>
            <w:tcW w:w="592" w:type="dxa"/>
            <w:tcBorders>
              <w:top w:val="nil"/>
              <w:left w:val="nil"/>
              <w:bottom w:val="single" w:sz="4" w:space="0" w:color="auto"/>
              <w:right w:val="nil"/>
            </w:tcBorders>
            <w:shd w:val="clear" w:color="auto" w:fill="auto"/>
            <w:vAlign w:val="center"/>
          </w:tcPr>
          <w:p w14:paraId="2C55CA2E" w14:textId="5F0D3167"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color w:val="000000"/>
                <w:sz w:val="20"/>
                <w:szCs w:val="20"/>
              </w:rPr>
              <w:t>-</w:t>
            </w:r>
          </w:p>
        </w:tc>
        <w:tc>
          <w:tcPr>
            <w:tcW w:w="592" w:type="dxa"/>
            <w:tcBorders>
              <w:top w:val="nil"/>
              <w:left w:val="nil"/>
              <w:bottom w:val="single" w:sz="4" w:space="0" w:color="auto"/>
              <w:right w:val="nil"/>
            </w:tcBorders>
            <w:shd w:val="clear" w:color="auto" w:fill="auto"/>
            <w:vAlign w:val="center"/>
            <w:hideMark/>
          </w:tcPr>
          <w:p w14:paraId="723A0A5E"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40E66F8C" w14:textId="77777777" w:rsidTr="001F224C">
        <w:trPr>
          <w:gridAfter w:val="1"/>
          <w:wAfter w:w="10" w:type="dxa"/>
          <w:trHeight w:val="188"/>
          <w:jc w:val="center"/>
        </w:trPr>
        <w:tc>
          <w:tcPr>
            <w:tcW w:w="409" w:type="dxa"/>
            <w:tcBorders>
              <w:top w:val="nil"/>
              <w:left w:val="nil"/>
              <w:bottom w:val="nil"/>
              <w:right w:val="nil"/>
            </w:tcBorders>
            <w:shd w:val="clear" w:color="auto" w:fill="auto"/>
            <w:textDirection w:val="btLr"/>
            <w:vAlign w:val="center"/>
            <w:hideMark/>
          </w:tcPr>
          <w:p w14:paraId="7848C517"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407" w:type="dxa"/>
            <w:gridSpan w:val="2"/>
            <w:vMerge w:val="restart"/>
            <w:tcBorders>
              <w:top w:val="nil"/>
              <w:left w:val="nil"/>
              <w:bottom w:val="single" w:sz="4" w:space="0" w:color="000000"/>
              <w:right w:val="nil"/>
            </w:tcBorders>
            <w:shd w:val="clear" w:color="auto" w:fill="auto"/>
            <w:vAlign w:val="center"/>
            <w:hideMark/>
          </w:tcPr>
          <w:p w14:paraId="1ABE0A14"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3</w:t>
            </w:r>
          </w:p>
        </w:tc>
        <w:tc>
          <w:tcPr>
            <w:tcW w:w="2050" w:type="dxa"/>
            <w:tcBorders>
              <w:top w:val="nil"/>
              <w:left w:val="nil"/>
              <w:bottom w:val="nil"/>
              <w:right w:val="nil"/>
            </w:tcBorders>
            <w:shd w:val="clear" w:color="auto" w:fill="auto"/>
            <w:noWrap/>
            <w:vAlign w:val="center"/>
            <w:hideMark/>
          </w:tcPr>
          <w:p w14:paraId="07956B86" w14:textId="77777777" w:rsidR="001F224C" w:rsidRPr="002C7555" w:rsidRDefault="001F224C" w:rsidP="001F224C">
            <w:pPr>
              <w:spacing w:after="0" w:line="240" w:lineRule="auto"/>
              <w:jc w:val="both"/>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Medzera</w:t>
            </w:r>
            <w:proofErr w:type="spellEnd"/>
            <w:r w:rsidRPr="002C7555">
              <w:rPr>
                <w:rFonts w:ascii="Arial Narrow" w:hAnsi="Arial Narrow"/>
                <w:b/>
                <w:bCs/>
                <w:color w:val="000000"/>
                <w:sz w:val="20"/>
                <w:szCs w:val="20"/>
                <w:lang w:val="en-US" w:eastAsia="en-US"/>
              </w:rPr>
              <w:t xml:space="preserve"> DPH</w:t>
            </w:r>
          </w:p>
        </w:tc>
        <w:tc>
          <w:tcPr>
            <w:tcW w:w="710" w:type="dxa"/>
            <w:tcBorders>
              <w:top w:val="nil"/>
              <w:left w:val="nil"/>
              <w:bottom w:val="nil"/>
              <w:right w:val="nil"/>
            </w:tcBorders>
            <w:shd w:val="clear" w:color="auto" w:fill="auto"/>
            <w:vAlign w:val="center"/>
            <w:hideMark/>
          </w:tcPr>
          <w:p w14:paraId="0A4AA762"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single" w:sz="4" w:space="0" w:color="auto"/>
              <w:left w:val="nil"/>
              <w:bottom w:val="nil"/>
              <w:right w:val="nil"/>
            </w:tcBorders>
            <w:shd w:val="clear" w:color="auto" w:fill="auto"/>
            <w:vAlign w:val="center"/>
          </w:tcPr>
          <w:p w14:paraId="6D041AD0" w14:textId="182D234C"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34,7</w:t>
            </w:r>
          </w:p>
        </w:tc>
        <w:tc>
          <w:tcPr>
            <w:tcW w:w="592" w:type="dxa"/>
            <w:tcBorders>
              <w:top w:val="single" w:sz="4" w:space="0" w:color="auto"/>
              <w:left w:val="nil"/>
              <w:bottom w:val="nil"/>
              <w:right w:val="nil"/>
            </w:tcBorders>
            <w:shd w:val="clear" w:color="auto" w:fill="auto"/>
            <w:vAlign w:val="center"/>
          </w:tcPr>
          <w:p w14:paraId="518590F4" w14:textId="16AFDD26"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34,8</w:t>
            </w:r>
          </w:p>
        </w:tc>
        <w:tc>
          <w:tcPr>
            <w:tcW w:w="592" w:type="dxa"/>
            <w:tcBorders>
              <w:top w:val="single" w:sz="4" w:space="0" w:color="auto"/>
              <w:left w:val="nil"/>
              <w:bottom w:val="nil"/>
              <w:right w:val="nil"/>
            </w:tcBorders>
            <w:shd w:val="clear" w:color="auto" w:fill="auto"/>
            <w:vAlign w:val="center"/>
          </w:tcPr>
          <w:p w14:paraId="0C16AFFE" w14:textId="73C3B9AB"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36,1</w:t>
            </w:r>
          </w:p>
        </w:tc>
        <w:tc>
          <w:tcPr>
            <w:tcW w:w="592" w:type="dxa"/>
            <w:tcBorders>
              <w:top w:val="single" w:sz="4" w:space="0" w:color="auto"/>
              <w:left w:val="nil"/>
              <w:bottom w:val="nil"/>
              <w:right w:val="nil"/>
            </w:tcBorders>
            <w:shd w:val="clear" w:color="auto" w:fill="auto"/>
            <w:vAlign w:val="center"/>
          </w:tcPr>
          <w:p w14:paraId="5D6A6476" w14:textId="36B6BE2C"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40,3</w:t>
            </w:r>
          </w:p>
        </w:tc>
        <w:tc>
          <w:tcPr>
            <w:tcW w:w="592" w:type="dxa"/>
            <w:tcBorders>
              <w:top w:val="single" w:sz="4" w:space="0" w:color="auto"/>
              <w:left w:val="nil"/>
              <w:bottom w:val="nil"/>
              <w:right w:val="nil"/>
            </w:tcBorders>
            <w:shd w:val="clear" w:color="auto" w:fill="auto"/>
            <w:vAlign w:val="center"/>
          </w:tcPr>
          <w:p w14:paraId="559CDDC1" w14:textId="1BAA6AF0"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36,4</w:t>
            </w:r>
          </w:p>
        </w:tc>
        <w:tc>
          <w:tcPr>
            <w:tcW w:w="592" w:type="dxa"/>
            <w:tcBorders>
              <w:top w:val="single" w:sz="4" w:space="0" w:color="auto"/>
              <w:left w:val="nil"/>
              <w:bottom w:val="nil"/>
              <w:right w:val="nil"/>
            </w:tcBorders>
            <w:shd w:val="clear" w:color="auto" w:fill="auto"/>
            <w:vAlign w:val="center"/>
          </w:tcPr>
          <w:p w14:paraId="7DF41B9D" w14:textId="73D54191"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32,0</w:t>
            </w:r>
          </w:p>
        </w:tc>
        <w:tc>
          <w:tcPr>
            <w:tcW w:w="592" w:type="dxa"/>
            <w:tcBorders>
              <w:top w:val="single" w:sz="4" w:space="0" w:color="auto"/>
              <w:left w:val="nil"/>
              <w:bottom w:val="nil"/>
              <w:right w:val="nil"/>
            </w:tcBorders>
            <w:shd w:val="clear" w:color="auto" w:fill="auto"/>
            <w:vAlign w:val="center"/>
          </w:tcPr>
          <w:p w14:paraId="18D44276" w14:textId="57414359"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31,1</w:t>
            </w:r>
          </w:p>
        </w:tc>
        <w:tc>
          <w:tcPr>
            <w:tcW w:w="592" w:type="dxa"/>
            <w:tcBorders>
              <w:top w:val="single" w:sz="4" w:space="0" w:color="auto"/>
              <w:left w:val="nil"/>
              <w:bottom w:val="nil"/>
              <w:right w:val="nil"/>
            </w:tcBorders>
            <w:shd w:val="clear" w:color="auto" w:fill="auto"/>
            <w:vAlign w:val="center"/>
          </w:tcPr>
          <w:p w14:paraId="2206560D" w14:textId="7DC187EB"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28,9</w:t>
            </w:r>
          </w:p>
        </w:tc>
        <w:tc>
          <w:tcPr>
            <w:tcW w:w="592" w:type="dxa"/>
            <w:tcBorders>
              <w:top w:val="single" w:sz="4" w:space="0" w:color="auto"/>
              <w:left w:val="nil"/>
              <w:bottom w:val="nil"/>
              <w:right w:val="nil"/>
            </w:tcBorders>
            <w:shd w:val="clear" w:color="auto" w:fill="auto"/>
            <w:vAlign w:val="center"/>
          </w:tcPr>
          <w:p w14:paraId="681FF880" w14:textId="0488335E"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27,0</w:t>
            </w:r>
          </w:p>
        </w:tc>
        <w:tc>
          <w:tcPr>
            <w:tcW w:w="592" w:type="dxa"/>
            <w:tcBorders>
              <w:top w:val="single" w:sz="4" w:space="0" w:color="auto"/>
              <w:left w:val="nil"/>
              <w:bottom w:val="nil"/>
              <w:right w:val="nil"/>
            </w:tcBorders>
            <w:shd w:val="clear" w:color="auto" w:fill="auto"/>
            <w:vAlign w:val="center"/>
          </w:tcPr>
          <w:p w14:paraId="2D8D4727" w14:textId="78274D53"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color w:val="000000"/>
                <w:sz w:val="20"/>
                <w:szCs w:val="20"/>
              </w:rPr>
              <w:t>26,9</w:t>
            </w:r>
          </w:p>
        </w:tc>
        <w:tc>
          <w:tcPr>
            <w:tcW w:w="592" w:type="dxa"/>
            <w:tcBorders>
              <w:top w:val="nil"/>
              <w:left w:val="nil"/>
              <w:bottom w:val="nil"/>
              <w:right w:val="nil"/>
            </w:tcBorders>
            <w:shd w:val="clear" w:color="auto" w:fill="auto"/>
            <w:vAlign w:val="center"/>
            <w:hideMark/>
          </w:tcPr>
          <w:p w14:paraId="1FEF784A"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7B8E2394" w14:textId="77777777" w:rsidTr="001F224C">
        <w:trPr>
          <w:gridAfter w:val="1"/>
          <w:wAfter w:w="10" w:type="dxa"/>
          <w:trHeight w:val="188"/>
          <w:jc w:val="center"/>
        </w:trPr>
        <w:tc>
          <w:tcPr>
            <w:tcW w:w="409" w:type="dxa"/>
            <w:tcBorders>
              <w:top w:val="nil"/>
              <w:left w:val="nil"/>
              <w:bottom w:val="nil"/>
              <w:right w:val="nil"/>
            </w:tcBorders>
            <w:shd w:val="clear" w:color="auto" w:fill="auto"/>
            <w:textDirection w:val="btLr"/>
            <w:vAlign w:val="center"/>
            <w:hideMark/>
          </w:tcPr>
          <w:p w14:paraId="63521E55"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407" w:type="dxa"/>
            <w:gridSpan w:val="2"/>
            <w:vMerge/>
            <w:tcBorders>
              <w:top w:val="nil"/>
              <w:left w:val="nil"/>
              <w:bottom w:val="single" w:sz="4" w:space="0" w:color="000000"/>
              <w:right w:val="nil"/>
            </w:tcBorders>
            <w:vAlign w:val="center"/>
            <w:hideMark/>
          </w:tcPr>
          <w:p w14:paraId="60627FDD"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nil"/>
              <w:right w:val="nil"/>
            </w:tcBorders>
            <w:shd w:val="clear" w:color="auto" w:fill="auto"/>
            <w:noWrap/>
            <w:vAlign w:val="center"/>
            <w:hideMark/>
          </w:tcPr>
          <w:p w14:paraId="3DD02B16"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710" w:type="dxa"/>
            <w:tcBorders>
              <w:top w:val="nil"/>
              <w:left w:val="nil"/>
              <w:bottom w:val="nil"/>
              <w:right w:val="nil"/>
            </w:tcBorders>
            <w:shd w:val="clear" w:color="auto" w:fill="auto"/>
            <w:vAlign w:val="center"/>
            <w:hideMark/>
          </w:tcPr>
          <w:p w14:paraId="7611B0BF"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single" w:sz="4" w:space="0" w:color="auto"/>
              <w:right w:val="nil"/>
            </w:tcBorders>
            <w:shd w:val="clear" w:color="auto" w:fill="auto"/>
            <w:vAlign w:val="center"/>
          </w:tcPr>
          <w:p w14:paraId="1FB693B6" w14:textId="16CE617D"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w:t>
            </w:r>
          </w:p>
        </w:tc>
        <w:tc>
          <w:tcPr>
            <w:tcW w:w="592" w:type="dxa"/>
            <w:tcBorders>
              <w:top w:val="nil"/>
              <w:left w:val="nil"/>
              <w:bottom w:val="single" w:sz="4" w:space="0" w:color="auto"/>
              <w:right w:val="nil"/>
            </w:tcBorders>
            <w:shd w:val="clear" w:color="auto" w:fill="auto"/>
            <w:vAlign w:val="center"/>
          </w:tcPr>
          <w:p w14:paraId="3A4D7E91" w14:textId="067EC777"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w:t>
            </w:r>
          </w:p>
        </w:tc>
        <w:tc>
          <w:tcPr>
            <w:tcW w:w="592" w:type="dxa"/>
            <w:tcBorders>
              <w:top w:val="nil"/>
              <w:left w:val="nil"/>
              <w:bottom w:val="single" w:sz="4" w:space="0" w:color="auto"/>
              <w:right w:val="nil"/>
            </w:tcBorders>
            <w:shd w:val="clear" w:color="auto" w:fill="auto"/>
            <w:vAlign w:val="center"/>
          </w:tcPr>
          <w:p w14:paraId="49FD4529" w14:textId="48B6C58B"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w:t>
            </w:r>
          </w:p>
        </w:tc>
        <w:tc>
          <w:tcPr>
            <w:tcW w:w="592" w:type="dxa"/>
            <w:tcBorders>
              <w:top w:val="nil"/>
              <w:left w:val="nil"/>
              <w:bottom w:val="single" w:sz="4" w:space="0" w:color="auto"/>
              <w:right w:val="nil"/>
            </w:tcBorders>
            <w:shd w:val="clear" w:color="auto" w:fill="auto"/>
            <w:vAlign w:val="center"/>
          </w:tcPr>
          <w:p w14:paraId="1453107C" w14:textId="26C550DF"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15,4</w:t>
            </w:r>
          </w:p>
        </w:tc>
        <w:tc>
          <w:tcPr>
            <w:tcW w:w="592" w:type="dxa"/>
            <w:tcBorders>
              <w:top w:val="nil"/>
              <w:left w:val="nil"/>
              <w:bottom w:val="single" w:sz="4" w:space="0" w:color="auto"/>
              <w:right w:val="nil"/>
            </w:tcBorders>
            <w:shd w:val="clear" w:color="auto" w:fill="auto"/>
            <w:vAlign w:val="center"/>
          </w:tcPr>
          <w:p w14:paraId="51AC2FAD" w14:textId="7ABC39A6"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15,2</w:t>
            </w:r>
          </w:p>
        </w:tc>
        <w:tc>
          <w:tcPr>
            <w:tcW w:w="592" w:type="dxa"/>
            <w:tcBorders>
              <w:top w:val="nil"/>
              <w:left w:val="nil"/>
              <w:bottom w:val="single" w:sz="4" w:space="0" w:color="auto"/>
              <w:right w:val="nil"/>
            </w:tcBorders>
            <w:shd w:val="clear" w:color="auto" w:fill="auto"/>
            <w:vAlign w:val="center"/>
          </w:tcPr>
          <w:p w14:paraId="55ADD664" w14:textId="21FC8FD1"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14,3</w:t>
            </w:r>
          </w:p>
        </w:tc>
        <w:tc>
          <w:tcPr>
            <w:tcW w:w="592" w:type="dxa"/>
            <w:tcBorders>
              <w:top w:val="nil"/>
              <w:left w:val="nil"/>
              <w:bottom w:val="single" w:sz="4" w:space="0" w:color="auto"/>
              <w:right w:val="nil"/>
            </w:tcBorders>
            <w:shd w:val="clear" w:color="auto" w:fill="auto"/>
            <w:vAlign w:val="center"/>
          </w:tcPr>
          <w:p w14:paraId="09068C4E" w14:textId="7125F7CD"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13,2</w:t>
            </w:r>
          </w:p>
        </w:tc>
        <w:tc>
          <w:tcPr>
            <w:tcW w:w="592" w:type="dxa"/>
            <w:tcBorders>
              <w:top w:val="nil"/>
              <w:left w:val="nil"/>
              <w:bottom w:val="single" w:sz="4" w:space="0" w:color="auto"/>
              <w:right w:val="nil"/>
            </w:tcBorders>
            <w:shd w:val="clear" w:color="auto" w:fill="auto"/>
            <w:vAlign w:val="center"/>
          </w:tcPr>
          <w:p w14:paraId="5B4134DF" w14:textId="58A05A20"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sz w:val="20"/>
                <w:szCs w:val="20"/>
              </w:rPr>
              <w:t>12,3</w:t>
            </w:r>
          </w:p>
        </w:tc>
        <w:tc>
          <w:tcPr>
            <w:tcW w:w="592" w:type="dxa"/>
            <w:tcBorders>
              <w:top w:val="nil"/>
              <w:left w:val="nil"/>
              <w:bottom w:val="single" w:sz="4" w:space="0" w:color="auto"/>
              <w:right w:val="nil"/>
            </w:tcBorders>
            <w:shd w:val="clear" w:color="auto" w:fill="auto"/>
            <w:vAlign w:val="center"/>
          </w:tcPr>
          <w:p w14:paraId="6F96331D" w14:textId="3B23F4E6" w:rsidR="001F224C" w:rsidRPr="001F224C"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7033D326" w14:textId="1AAE51C6" w:rsidR="001F224C" w:rsidRPr="001F224C" w:rsidRDefault="001F224C" w:rsidP="001F224C">
            <w:pPr>
              <w:spacing w:after="0" w:line="240" w:lineRule="auto"/>
              <w:jc w:val="center"/>
              <w:rPr>
                <w:rFonts w:ascii="Arial Narrow" w:hAnsi="Arial Narrow"/>
                <w:color w:val="000000"/>
                <w:sz w:val="20"/>
                <w:szCs w:val="20"/>
                <w:lang w:val="en-US" w:eastAsia="en-US"/>
              </w:rPr>
            </w:pPr>
            <w:r w:rsidRPr="001F224C">
              <w:rPr>
                <w:rFonts w:ascii="Arial Narrow" w:hAnsi="Arial Narrow"/>
                <w:color w:val="000000"/>
                <w:sz w:val="20"/>
                <w:szCs w:val="20"/>
              </w:rPr>
              <w:t>-</w:t>
            </w:r>
          </w:p>
        </w:tc>
        <w:tc>
          <w:tcPr>
            <w:tcW w:w="592" w:type="dxa"/>
            <w:tcBorders>
              <w:top w:val="nil"/>
              <w:left w:val="nil"/>
              <w:bottom w:val="nil"/>
              <w:right w:val="nil"/>
            </w:tcBorders>
            <w:shd w:val="clear" w:color="auto" w:fill="auto"/>
            <w:vAlign w:val="center"/>
            <w:hideMark/>
          </w:tcPr>
          <w:p w14:paraId="0F383D23"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6BFDE202" w14:textId="77777777" w:rsidTr="001F224C">
        <w:trPr>
          <w:trHeight w:val="188"/>
          <w:jc w:val="center"/>
        </w:trPr>
        <w:tc>
          <w:tcPr>
            <w:tcW w:w="602" w:type="dxa"/>
            <w:gridSpan w:val="2"/>
            <w:tcBorders>
              <w:top w:val="single" w:sz="4" w:space="0" w:color="auto"/>
              <w:left w:val="nil"/>
              <w:bottom w:val="single" w:sz="4" w:space="0" w:color="auto"/>
              <w:right w:val="nil"/>
            </w:tcBorders>
            <w:shd w:val="clear" w:color="000000" w:fill="A9D2F1"/>
          </w:tcPr>
          <w:p w14:paraId="16F7E9FE" w14:textId="77777777" w:rsidR="001F224C" w:rsidRPr="002C7555" w:rsidRDefault="001F224C" w:rsidP="001F224C">
            <w:pPr>
              <w:spacing w:after="0" w:line="240" w:lineRule="auto"/>
              <w:rPr>
                <w:rFonts w:ascii="Arial Narrow" w:hAnsi="Arial Narrow"/>
                <w:b/>
                <w:bCs/>
                <w:sz w:val="20"/>
                <w:szCs w:val="20"/>
                <w:lang w:val="en-US" w:eastAsia="en-US"/>
              </w:rPr>
            </w:pPr>
          </w:p>
        </w:tc>
        <w:tc>
          <w:tcPr>
            <w:tcW w:w="9604" w:type="dxa"/>
            <w:gridSpan w:val="15"/>
            <w:tcBorders>
              <w:top w:val="single" w:sz="4" w:space="0" w:color="auto"/>
              <w:left w:val="nil"/>
              <w:bottom w:val="single" w:sz="4" w:space="0" w:color="auto"/>
              <w:right w:val="nil"/>
            </w:tcBorders>
            <w:shd w:val="clear" w:color="000000" w:fill="A9D2F1"/>
            <w:noWrap/>
            <w:vAlign w:val="center"/>
          </w:tcPr>
          <w:p w14:paraId="3FD86740" w14:textId="77777777" w:rsidR="001F224C" w:rsidRPr="002C7555" w:rsidRDefault="001F224C" w:rsidP="001F224C">
            <w:pPr>
              <w:spacing w:after="0" w:line="240" w:lineRule="auto"/>
              <w:rPr>
                <w:rFonts w:ascii="Arial Narrow" w:hAnsi="Arial Narrow"/>
                <w:b/>
                <w:bCs/>
                <w:sz w:val="20"/>
                <w:szCs w:val="20"/>
                <w:lang w:val="en-US" w:eastAsia="en-US"/>
              </w:rPr>
            </w:pPr>
            <w:proofErr w:type="spellStart"/>
            <w:r w:rsidRPr="002C7555">
              <w:rPr>
                <w:rFonts w:ascii="Arial Narrow" w:hAnsi="Arial Narrow"/>
                <w:b/>
                <w:bCs/>
                <w:sz w:val="20"/>
                <w:szCs w:val="20"/>
                <w:lang w:val="en-US" w:eastAsia="en-US"/>
              </w:rPr>
              <w:t>Vzdelávanie</w:t>
            </w:r>
            <w:proofErr w:type="spellEnd"/>
            <w:r w:rsidRPr="002C7555">
              <w:rPr>
                <w:rFonts w:ascii="Arial Narrow" w:hAnsi="Arial Narrow"/>
                <w:b/>
                <w:bCs/>
                <w:sz w:val="20"/>
                <w:szCs w:val="20"/>
                <w:lang w:val="en-US" w:eastAsia="en-US"/>
              </w:rPr>
              <w:t xml:space="preserve">, </w:t>
            </w:r>
            <w:proofErr w:type="spellStart"/>
            <w:r w:rsidRPr="002C7555">
              <w:rPr>
                <w:rFonts w:ascii="Arial Narrow" w:hAnsi="Arial Narrow"/>
                <w:b/>
                <w:bCs/>
                <w:sz w:val="20"/>
                <w:szCs w:val="20"/>
                <w:lang w:val="en-US" w:eastAsia="en-US"/>
              </w:rPr>
              <w:t>veda</w:t>
            </w:r>
            <w:proofErr w:type="spellEnd"/>
            <w:r w:rsidRPr="002C7555">
              <w:rPr>
                <w:rFonts w:ascii="Arial Narrow" w:hAnsi="Arial Narrow"/>
                <w:b/>
                <w:bCs/>
                <w:sz w:val="20"/>
                <w:szCs w:val="20"/>
                <w:lang w:val="en-US" w:eastAsia="en-US"/>
              </w:rPr>
              <w:t xml:space="preserve"> a </w:t>
            </w:r>
            <w:proofErr w:type="spellStart"/>
            <w:r w:rsidRPr="002C7555">
              <w:rPr>
                <w:rFonts w:ascii="Arial Narrow" w:hAnsi="Arial Narrow"/>
                <w:b/>
                <w:bCs/>
                <w:sz w:val="20"/>
                <w:szCs w:val="20"/>
                <w:lang w:val="en-US" w:eastAsia="en-US"/>
              </w:rPr>
              <w:t>inovácie</w:t>
            </w:r>
            <w:proofErr w:type="spellEnd"/>
          </w:p>
        </w:tc>
      </w:tr>
      <w:tr w:rsidR="001F224C" w:rsidRPr="002C7555" w14:paraId="2493D6E9" w14:textId="77777777" w:rsidTr="001F224C">
        <w:trPr>
          <w:gridAfter w:val="1"/>
          <w:wAfter w:w="10" w:type="dxa"/>
          <w:trHeight w:val="188"/>
          <w:jc w:val="center"/>
        </w:trPr>
        <w:tc>
          <w:tcPr>
            <w:tcW w:w="409" w:type="dxa"/>
            <w:tcBorders>
              <w:top w:val="nil"/>
              <w:left w:val="nil"/>
              <w:bottom w:val="nil"/>
              <w:right w:val="nil"/>
            </w:tcBorders>
            <w:shd w:val="clear" w:color="auto" w:fill="auto"/>
            <w:textDirection w:val="btLr"/>
            <w:vAlign w:val="center"/>
            <w:hideMark/>
          </w:tcPr>
          <w:p w14:paraId="05D445D0" w14:textId="77777777" w:rsidR="001F224C" w:rsidRPr="002C7555" w:rsidRDefault="001F224C" w:rsidP="001F224C">
            <w:pPr>
              <w:spacing w:after="0" w:line="240" w:lineRule="auto"/>
              <w:rPr>
                <w:rFonts w:ascii="Arial Narrow" w:hAnsi="Arial Narrow"/>
                <w:b/>
                <w:bCs/>
                <w:sz w:val="20"/>
                <w:szCs w:val="20"/>
                <w:lang w:val="en-US" w:eastAsia="en-US"/>
              </w:rPr>
            </w:pPr>
          </w:p>
        </w:tc>
        <w:tc>
          <w:tcPr>
            <w:tcW w:w="407" w:type="dxa"/>
            <w:gridSpan w:val="2"/>
            <w:vMerge w:val="restart"/>
            <w:tcBorders>
              <w:top w:val="nil"/>
              <w:left w:val="nil"/>
              <w:bottom w:val="single" w:sz="4" w:space="0" w:color="000000"/>
              <w:right w:val="nil"/>
            </w:tcBorders>
            <w:shd w:val="clear" w:color="auto" w:fill="auto"/>
            <w:noWrap/>
            <w:vAlign w:val="center"/>
            <w:hideMark/>
          </w:tcPr>
          <w:p w14:paraId="3B87035F"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4</w:t>
            </w:r>
          </w:p>
        </w:tc>
        <w:tc>
          <w:tcPr>
            <w:tcW w:w="2050" w:type="dxa"/>
            <w:tcBorders>
              <w:top w:val="nil"/>
              <w:left w:val="nil"/>
              <w:bottom w:val="nil"/>
              <w:right w:val="nil"/>
            </w:tcBorders>
            <w:shd w:val="clear" w:color="auto" w:fill="auto"/>
            <w:noWrap/>
            <w:vAlign w:val="center"/>
            <w:hideMark/>
          </w:tcPr>
          <w:p w14:paraId="45991FF0" w14:textId="77777777" w:rsidR="001F224C" w:rsidRPr="002C7555" w:rsidRDefault="001F224C" w:rsidP="001F224C">
            <w:pPr>
              <w:spacing w:after="0" w:line="240" w:lineRule="auto"/>
              <w:jc w:val="both"/>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PISA</w:t>
            </w:r>
          </w:p>
        </w:tc>
        <w:tc>
          <w:tcPr>
            <w:tcW w:w="710" w:type="dxa"/>
            <w:tcBorders>
              <w:top w:val="nil"/>
              <w:left w:val="nil"/>
              <w:bottom w:val="nil"/>
              <w:right w:val="nil"/>
            </w:tcBorders>
            <w:shd w:val="clear" w:color="auto" w:fill="auto"/>
            <w:vAlign w:val="center"/>
            <w:hideMark/>
          </w:tcPr>
          <w:p w14:paraId="1E6B1E85"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nil"/>
              <w:left w:val="nil"/>
              <w:bottom w:val="nil"/>
              <w:right w:val="nil"/>
            </w:tcBorders>
            <w:shd w:val="clear" w:color="auto" w:fill="auto"/>
            <w:vAlign w:val="center"/>
          </w:tcPr>
          <w:p w14:paraId="0E7E901D" w14:textId="65C3E0F4"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488</w:t>
            </w:r>
          </w:p>
        </w:tc>
        <w:tc>
          <w:tcPr>
            <w:tcW w:w="592" w:type="dxa"/>
            <w:tcBorders>
              <w:top w:val="nil"/>
              <w:left w:val="nil"/>
              <w:bottom w:val="nil"/>
              <w:right w:val="nil"/>
            </w:tcBorders>
            <w:shd w:val="clear" w:color="auto" w:fill="auto"/>
            <w:vAlign w:val="center"/>
          </w:tcPr>
          <w:p w14:paraId="286B5A11" w14:textId="2699E6E1"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w:t>
            </w:r>
          </w:p>
        </w:tc>
        <w:tc>
          <w:tcPr>
            <w:tcW w:w="592" w:type="dxa"/>
            <w:tcBorders>
              <w:top w:val="nil"/>
              <w:left w:val="nil"/>
              <w:bottom w:val="nil"/>
              <w:right w:val="nil"/>
            </w:tcBorders>
            <w:shd w:val="clear" w:color="auto" w:fill="auto"/>
            <w:vAlign w:val="center"/>
          </w:tcPr>
          <w:p w14:paraId="396AF420" w14:textId="793B1156"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w:t>
            </w:r>
          </w:p>
        </w:tc>
        <w:tc>
          <w:tcPr>
            <w:tcW w:w="592" w:type="dxa"/>
            <w:tcBorders>
              <w:top w:val="nil"/>
              <w:left w:val="nil"/>
              <w:bottom w:val="nil"/>
              <w:right w:val="nil"/>
            </w:tcBorders>
            <w:shd w:val="clear" w:color="auto" w:fill="auto"/>
            <w:vAlign w:val="center"/>
          </w:tcPr>
          <w:p w14:paraId="57244112" w14:textId="6A151B02"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472</w:t>
            </w:r>
          </w:p>
        </w:tc>
        <w:tc>
          <w:tcPr>
            <w:tcW w:w="592" w:type="dxa"/>
            <w:tcBorders>
              <w:top w:val="nil"/>
              <w:left w:val="nil"/>
              <w:bottom w:val="nil"/>
              <w:right w:val="nil"/>
            </w:tcBorders>
            <w:shd w:val="clear" w:color="auto" w:fill="auto"/>
            <w:vAlign w:val="center"/>
          </w:tcPr>
          <w:p w14:paraId="24E13A64" w14:textId="46BA04DA"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 xml:space="preserve"> - </w:t>
            </w:r>
          </w:p>
        </w:tc>
        <w:tc>
          <w:tcPr>
            <w:tcW w:w="592" w:type="dxa"/>
            <w:tcBorders>
              <w:top w:val="nil"/>
              <w:left w:val="nil"/>
              <w:bottom w:val="nil"/>
              <w:right w:val="nil"/>
            </w:tcBorders>
            <w:shd w:val="clear" w:color="auto" w:fill="auto"/>
            <w:vAlign w:val="center"/>
          </w:tcPr>
          <w:p w14:paraId="6F89C28D" w14:textId="6958F2F7"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 xml:space="preserve"> - </w:t>
            </w:r>
          </w:p>
        </w:tc>
        <w:tc>
          <w:tcPr>
            <w:tcW w:w="592" w:type="dxa"/>
            <w:tcBorders>
              <w:top w:val="nil"/>
              <w:left w:val="nil"/>
              <w:bottom w:val="nil"/>
              <w:right w:val="nil"/>
            </w:tcBorders>
            <w:shd w:val="clear" w:color="auto" w:fill="auto"/>
            <w:vAlign w:val="center"/>
          </w:tcPr>
          <w:p w14:paraId="12F98C38" w14:textId="146DCA6B"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463</w:t>
            </w:r>
          </w:p>
        </w:tc>
        <w:tc>
          <w:tcPr>
            <w:tcW w:w="592" w:type="dxa"/>
            <w:tcBorders>
              <w:top w:val="nil"/>
              <w:left w:val="nil"/>
              <w:bottom w:val="nil"/>
              <w:right w:val="nil"/>
            </w:tcBorders>
            <w:shd w:val="clear" w:color="auto" w:fill="auto"/>
            <w:vAlign w:val="center"/>
          </w:tcPr>
          <w:p w14:paraId="0A84F087" w14:textId="52FB38CC"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 xml:space="preserve"> - </w:t>
            </w:r>
          </w:p>
        </w:tc>
        <w:tc>
          <w:tcPr>
            <w:tcW w:w="592" w:type="dxa"/>
            <w:tcBorders>
              <w:top w:val="nil"/>
              <w:left w:val="nil"/>
              <w:bottom w:val="nil"/>
              <w:right w:val="nil"/>
            </w:tcBorders>
            <w:shd w:val="clear" w:color="auto" w:fill="auto"/>
            <w:noWrap/>
            <w:vAlign w:val="center"/>
          </w:tcPr>
          <w:p w14:paraId="290C16A7" w14:textId="0ABEC05B"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w:t>
            </w:r>
          </w:p>
        </w:tc>
        <w:tc>
          <w:tcPr>
            <w:tcW w:w="592" w:type="dxa"/>
            <w:tcBorders>
              <w:top w:val="nil"/>
              <w:left w:val="nil"/>
              <w:bottom w:val="nil"/>
              <w:right w:val="nil"/>
            </w:tcBorders>
            <w:vAlign w:val="center"/>
          </w:tcPr>
          <w:p w14:paraId="4FCDD391" w14:textId="0A42D061"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592" w:type="dxa"/>
            <w:tcBorders>
              <w:top w:val="nil"/>
              <w:left w:val="nil"/>
              <w:bottom w:val="nil"/>
              <w:right w:val="nil"/>
            </w:tcBorders>
            <w:shd w:val="clear" w:color="auto" w:fill="auto"/>
            <w:vAlign w:val="center"/>
            <w:hideMark/>
          </w:tcPr>
          <w:p w14:paraId="263A45C8"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505</w:t>
            </w:r>
          </w:p>
        </w:tc>
      </w:tr>
      <w:tr w:rsidR="001F224C" w:rsidRPr="002C7555" w14:paraId="07BAB1DA" w14:textId="77777777" w:rsidTr="001F224C">
        <w:trPr>
          <w:gridAfter w:val="1"/>
          <w:wAfter w:w="10" w:type="dxa"/>
          <w:trHeight w:val="188"/>
          <w:jc w:val="center"/>
        </w:trPr>
        <w:tc>
          <w:tcPr>
            <w:tcW w:w="409" w:type="dxa"/>
            <w:tcBorders>
              <w:top w:val="nil"/>
              <w:left w:val="nil"/>
              <w:bottom w:val="single" w:sz="4" w:space="0" w:color="auto"/>
              <w:right w:val="nil"/>
            </w:tcBorders>
            <w:shd w:val="clear" w:color="auto" w:fill="auto"/>
            <w:textDirection w:val="btLr"/>
            <w:vAlign w:val="center"/>
            <w:hideMark/>
          </w:tcPr>
          <w:p w14:paraId="56A86689"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 </w:t>
            </w:r>
          </w:p>
        </w:tc>
        <w:tc>
          <w:tcPr>
            <w:tcW w:w="407" w:type="dxa"/>
            <w:gridSpan w:val="2"/>
            <w:vMerge/>
            <w:tcBorders>
              <w:top w:val="nil"/>
              <w:left w:val="nil"/>
              <w:bottom w:val="single" w:sz="4" w:space="0" w:color="000000"/>
              <w:right w:val="nil"/>
            </w:tcBorders>
            <w:vAlign w:val="center"/>
            <w:hideMark/>
          </w:tcPr>
          <w:p w14:paraId="157270F6"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62644304" w14:textId="77777777" w:rsidR="001F224C" w:rsidRPr="002C7555" w:rsidRDefault="001F224C" w:rsidP="001F224C">
            <w:pPr>
              <w:spacing w:after="0" w:line="240" w:lineRule="auto"/>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roofErr w:type="spellStart"/>
            <w:r w:rsidRPr="002C7555">
              <w:rPr>
                <w:rFonts w:ascii="Arial Narrow" w:hAnsi="Arial Narrow"/>
                <w:color w:val="000000"/>
                <w:sz w:val="20"/>
                <w:szCs w:val="20"/>
                <w:lang w:val="en-US" w:eastAsia="en-US"/>
              </w:rPr>
              <w:t>priemer</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dosiahnutých</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bodov</w:t>
            </w:r>
            <w:proofErr w:type="spellEnd"/>
            <w:r w:rsidRPr="002C7555">
              <w:rPr>
                <w:rFonts w:ascii="Arial Narrow" w:hAnsi="Arial Narrow"/>
                <w:color w:val="000000"/>
                <w:sz w:val="20"/>
                <w:szCs w:val="20"/>
                <w:lang w:val="en-US" w:eastAsia="en-US"/>
              </w:rPr>
              <w:t>)</w:t>
            </w:r>
          </w:p>
        </w:tc>
        <w:tc>
          <w:tcPr>
            <w:tcW w:w="710" w:type="dxa"/>
            <w:tcBorders>
              <w:top w:val="nil"/>
              <w:left w:val="nil"/>
              <w:bottom w:val="single" w:sz="4" w:space="0" w:color="auto"/>
              <w:right w:val="nil"/>
            </w:tcBorders>
            <w:shd w:val="clear" w:color="auto" w:fill="auto"/>
            <w:vAlign w:val="center"/>
            <w:hideMark/>
          </w:tcPr>
          <w:p w14:paraId="3B6BCC64"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OECD</w:t>
            </w:r>
          </w:p>
        </w:tc>
        <w:tc>
          <w:tcPr>
            <w:tcW w:w="700" w:type="dxa"/>
            <w:tcBorders>
              <w:top w:val="nil"/>
              <w:left w:val="nil"/>
              <w:bottom w:val="nil"/>
              <w:right w:val="nil"/>
            </w:tcBorders>
            <w:shd w:val="clear" w:color="auto" w:fill="auto"/>
            <w:vAlign w:val="center"/>
          </w:tcPr>
          <w:p w14:paraId="318CED4C" w14:textId="52E61928"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497</w:t>
            </w:r>
          </w:p>
        </w:tc>
        <w:tc>
          <w:tcPr>
            <w:tcW w:w="592" w:type="dxa"/>
            <w:tcBorders>
              <w:top w:val="nil"/>
              <w:left w:val="nil"/>
              <w:bottom w:val="nil"/>
              <w:right w:val="nil"/>
            </w:tcBorders>
            <w:shd w:val="clear" w:color="auto" w:fill="auto"/>
            <w:vAlign w:val="center"/>
          </w:tcPr>
          <w:p w14:paraId="067855B4" w14:textId="605FF2EA"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w:t>
            </w:r>
          </w:p>
        </w:tc>
        <w:tc>
          <w:tcPr>
            <w:tcW w:w="592" w:type="dxa"/>
            <w:tcBorders>
              <w:top w:val="nil"/>
              <w:left w:val="nil"/>
              <w:bottom w:val="nil"/>
              <w:right w:val="nil"/>
            </w:tcBorders>
            <w:shd w:val="clear" w:color="auto" w:fill="auto"/>
            <w:vAlign w:val="center"/>
          </w:tcPr>
          <w:p w14:paraId="517C8CBE" w14:textId="5BF6DD9D"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w:t>
            </w:r>
          </w:p>
        </w:tc>
        <w:tc>
          <w:tcPr>
            <w:tcW w:w="592" w:type="dxa"/>
            <w:tcBorders>
              <w:top w:val="nil"/>
              <w:left w:val="nil"/>
              <w:bottom w:val="nil"/>
              <w:right w:val="nil"/>
            </w:tcBorders>
            <w:shd w:val="clear" w:color="auto" w:fill="auto"/>
            <w:vAlign w:val="center"/>
          </w:tcPr>
          <w:p w14:paraId="32303143" w14:textId="28A0AB60"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497</w:t>
            </w:r>
          </w:p>
        </w:tc>
        <w:tc>
          <w:tcPr>
            <w:tcW w:w="592" w:type="dxa"/>
            <w:tcBorders>
              <w:top w:val="nil"/>
              <w:left w:val="nil"/>
              <w:bottom w:val="single" w:sz="4" w:space="0" w:color="auto"/>
              <w:right w:val="nil"/>
            </w:tcBorders>
            <w:shd w:val="clear" w:color="auto" w:fill="auto"/>
            <w:vAlign w:val="center"/>
          </w:tcPr>
          <w:p w14:paraId="7DDEA1D1" w14:textId="36DB4576"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 xml:space="preserve"> - </w:t>
            </w:r>
          </w:p>
        </w:tc>
        <w:tc>
          <w:tcPr>
            <w:tcW w:w="592" w:type="dxa"/>
            <w:tcBorders>
              <w:top w:val="nil"/>
              <w:left w:val="nil"/>
              <w:bottom w:val="single" w:sz="4" w:space="0" w:color="auto"/>
              <w:right w:val="nil"/>
            </w:tcBorders>
            <w:shd w:val="clear" w:color="auto" w:fill="auto"/>
            <w:vAlign w:val="center"/>
          </w:tcPr>
          <w:p w14:paraId="60F2BDE5" w14:textId="15049391"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 xml:space="preserve"> - </w:t>
            </w:r>
          </w:p>
        </w:tc>
        <w:tc>
          <w:tcPr>
            <w:tcW w:w="592" w:type="dxa"/>
            <w:tcBorders>
              <w:top w:val="nil"/>
              <w:left w:val="nil"/>
              <w:bottom w:val="single" w:sz="4" w:space="0" w:color="auto"/>
              <w:right w:val="nil"/>
            </w:tcBorders>
            <w:shd w:val="clear" w:color="auto" w:fill="auto"/>
            <w:vAlign w:val="center"/>
          </w:tcPr>
          <w:p w14:paraId="5B6BD47B" w14:textId="6B9DD107"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492</w:t>
            </w:r>
          </w:p>
        </w:tc>
        <w:tc>
          <w:tcPr>
            <w:tcW w:w="592" w:type="dxa"/>
            <w:tcBorders>
              <w:top w:val="nil"/>
              <w:left w:val="nil"/>
              <w:bottom w:val="single" w:sz="4" w:space="0" w:color="auto"/>
              <w:right w:val="nil"/>
            </w:tcBorders>
            <w:shd w:val="clear" w:color="auto" w:fill="auto"/>
            <w:vAlign w:val="center"/>
          </w:tcPr>
          <w:p w14:paraId="52C347CD" w14:textId="2068F1F4"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 xml:space="preserve"> - </w:t>
            </w:r>
          </w:p>
        </w:tc>
        <w:tc>
          <w:tcPr>
            <w:tcW w:w="592" w:type="dxa"/>
            <w:tcBorders>
              <w:top w:val="nil"/>
              <w:left w:val="nil"/>
              <w:bottom w:val="single" w:sz="4" w:space="0" w:color="auto"/>
              <w:right w:val="nil"/>
            </w:tcBorders>
            <w:shd w:val="clear" w:color="auto" w:fill="auto"/>
            <w:vAlign w:val="center"/>
          </w:tcPr>
          <w:p w14:paraId="28A66A80" w14:textId="7516F395"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w:t>
            </w:r>
          </w:p>
        </w:tc>
        <w:tc>
          <w:tcPr>
            <w:tcW w:w="592" w:type="dxa"/>
            <w:tcBorders>
              <w:top w:val="nil"/>
              <w:left w:val="nil"/>
              <w:bottom w:val="single" w:sz="4" w:space="0" w:color="auto"/>
              <w:right w:val="nil"/>
            </w:tcBorders>
            <w:vAlign w:val="center"/>
          </w:tcPr>
          <w:p w14:paraId="135080FA" w14:textId="4040C812"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592" w:type="dxa"/>
            <w:tcBorders>
              <w:top w:val="nil"/>
              <w:left w:val="nil"/>
              <w:bottom w:val="single" w:sz="4" w:space="0" w:color="auto"/>
              <w:right w:val="nil"/>
            </w:tcBorders>
            <w:shd w:val="clear" w:color="auto" w:fill="auto"/>
            <w:vAlign w:val="center"/>
            <w:hideMark/>
          </w:tcPr>
          <w:p w14:paraId="1270AD72"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34A6E8DA" w14:textId="77777777" w:rsidTr="001F224C">
        <w:trPr>
          <w:gridAfter w:val="1"/>
          <w:wAfter w:w="10" w:type="dxa"/>
          <w:trHeight w:val="188"/>
          <w:jc w:val="center"/>
        </w:trPr>
        <w:tc>
          <w:tcPr>
            <w:tcW w:w="409" w:type="dxa"/>
            <w:vMerge w:val="restart"/>
            <w:tcBorders>
              <w:top w:val="nil"/>
              <w:left w:val="nil"/>
              <w:bottom w:val="single" w:sz="4" w:space="0" w:color="000000"/>
              <w:right w:val="nil"/>
            </w:tcBorders>
            <w:shd w:val="clear" w:color="auto" w:fill="auto"/>
            <w:textDirection w:val="btLr"/>
            <w:vAlign w:val="center"/>
            <w:hideMark/>
          </w:tcPr>
          <w:p w14:paraId="2045BDF5"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407" w:type="dxa"/>
            <w:gridSpan w:val="2"/>
            <w:vMerge w:val="restart"/>
            <w:tcBorders>
              <w:top w:val="nil"/>
              <w:left w:val="nil"/>
              <w:bottom w:val="single" w:sz="4" w:space="0" w:color="000000"/>
              <w:right w:val="nil"/>
            </w:tcBorders>
            <w:shd w:val="clear" w:color="auto" w:fill="auto"/>
            <w:noWrap/>
            <w:vAlign w:val="center"/>
            <w:hideMark/>
          </w:tcPr>
          <w:p w14:paraId="2E95179A"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5</w:t>
            </w:r>
          </w:p>
        </w:tc>
        <w:tc>
          <w:tcPr>
            <w:tcW w:w="2050" w:type="dxa"/>
            <w:tcBorders>
              <w:top w:val="nil"/>
              <w:left w:val="nil"/>
              <w:bottom w:val="nil"/>
              <w:right w:val="nil"/>
            </w:tcBorders>
            <w:shd w:val="clear" w:color="auto" w:fill="auto"/>
            <w:noWrap/>
            <w:vAlign w:val="center"/>
            <w:hideMark/>
          </w:tcPr>
          <w:p w14:paraId="28B7403F" w14:textId="77777777" w:rsidR="001F224C" w:rsidRPr="002C7555" w:rsidRDefault="001F224C" w:rsidP="001F224C">
            <w:pPr>
              <w:spacing w:after="0" w:line="240" w:lineRule="auto"/>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Predčasné</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ukončenie</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školskej</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dochádzky</w:t>
            </w:r>
            <w:proofErr w:type="spellEnd"/>
          </w:p>
        </w:tc>
        <w:tc>
          <w:tcPr>
            <w:tcW w:w="710" w:type="dxa"/>
            <w:tcBorders>
              <w:top w:val="nil"/>
              <w:left w:val="nil"/>
              <w:bottom w:val="nil"/>
              <w:right w:val="nil"/>
            </w:tcBorders>
            <w:shd w:val="clear" w:color="auto" w:fill="auto"/>
            <w:vAlign w:val="center"/>
            <w:hideMark/>
          </w:tcPr>
          <w:p w14:paraId="19286770"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single" w:sz="4" w:space="0" w:color="auto"/>
              <w:left w:val="nil"/>
              <w:bottom w:val="nil"/>
              <w:right w:val="nil"/>
            </w:tcBorders>
            <w:shd w:val="clear" w:color="auto" w:fill="auto"/>
            <w:vAlign w:val="center"/>
          </w:tcPr>
          <w:p w14:paraId="3E14F028" w14:textId="0C8B8215"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4,9</w:t>
            </w:r>
          </w:p>
        </w:tc>
        <w:tc>
          <w:tcPr>
            <w:tcW w:w="592" w:type="dxa"/>
            <w:tcBorders>
              <w:top w:val="single" w:sz="4" w:space="0" w:color="auto"/>
              <w:left w:val="nil"/>
              <w:bottom w:val="nil"/>
              <w:right w:val="nil"/>
            </w:tcBorders>
            <w:shd w:val="clear" w:color="auto" w:fill="auto"/>
            <w:vAlign w:val="center"/>
          </w:tcPr>
          <w:p w14:paraId="444DF869" w14:textId="5F0A2948"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4,7</w:t>
            </w:r>
          </w:p>
        </w:tc>
        <w:tc>
          <w:tcPr>
            <w:tcW w:w="592" w:type="dxa"/>
            <w:tcBorders>
              <w:top w:val="single" w:sz="4" w:space="0" w:color="auto"/>
              <w:left w:val="nil"/>
              <w:bottom w:val="nil"/>
              <w:right w:val="nil"/>
            </w:tcBorders>
            <w:shd w:val="clear" w:color="auto" w:fill="auto"/>
            <w:vAlign w:val="center"/>
          </w:tcPr>
          <w:p w14:paraId="7E3FB1BA" w14:textId="23DE9E34"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5,1</w:t>
            </w:r>
          </w:p>
        </w:tc>
        <w:tc>
          <w:tcPr>
            <w:tcW w:w="592" w:type="dxa"/>
            <w:tcBorders>
              <w:top w:val="single" w:sz="4" w:space="0" w:color="auto"/>
              <w:left w:val="nil"/>
              <w:bottom w:val="nil"/>
              <w:right w:val="nil"/>
            </w:tcBorders>
            <w:shd w:val="clear" w:color="auto" w:fill="auto"/>
            <w:vAlign w:val="center"/>
          </w:tcPr>
          <w:p w14:paraId="6C9227C0" w14:textId="2E67EBB6"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5,3</w:t>
            </w:r>
          </w:p>
        </w:tc>
        <w:tc>
          <w:tcPr>
            <w:tcW w:w="592" w:type="dxa"/>
            <w:tcBorders>
              <w:top w:val="nil"/>
              <w:left w:val="nil"/>
              <w:bottom w:val="nil"/>
              <w:right w:val="nil"/>
            </w:tcBorders>
            <w:shd w:val="clear" w:color="auto" w:fill="auto"/>
            <w:vAlign w:val="center"/>
          </w:tcPr>
          <w:p w14:paraId="3E0BE244" w14:textId="63CA6F25"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6,4</w:t>
            </w:r>
          </w:p>
        </w:tc>
        <w:tc>
          <w:tcPr>
            <w:tcW w:w="592" w:type="dxa"/>
            <w:tcBorders>
              <w:top w:val="nil"/>
              <w:left w:val="nil"/>
              <w:bottom w:val="nil"/>
              <w:right w:val="nil"/>
            </w:tcBorders>
            <w:shd w:val="clear" w:color="auto" w:fill="auto"/>
            <w:vAlign w:val="center"/>
          </w:tcPr>
          <w:p w14:paraId="68F42BBC" w14:textId="6816C9F6"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6,7</w:t>
            </w:r>
          </w:p>
        </w:tc>
        <w:tc>
          <w:tcPr>
            <w:tcW w:w="592" w:type="dxa"/>
            <w:tcBorders>
              <w:top w:val="nil"/>
              <w:left w:val="nil"/>
              <w:bottom w:val="nil"/>
              <w:right w:val="nil"/>
            </w:tcBorders>
            <w:shd w:val="clear" w:color="auto" w:fill="auto"/>
            <w:vAlign w:val="center"/>
          </w:tcPr>
          <w:p w14:paraId="7A3EADC0" w14:textId="4D4ED54F"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6,9</w:t>
            </w:r>
          </w:p>
        </w:tc>
        <w:tc>
          <w:tcPr>
            <w:tcW w:w="592" w:type="dxa"/>
            <w:tcBorders>
              <w:top w:val="nil"/>
              <w:left w:val="nil"/>
              <w:bottom w:val="nil"/>
              <w:right w:val="nil"/>
            </w:tcBorders>
            <w:shd w:val="clear" w:color="auto" w:fill="auto"/>
            <w:vAlign w:val="center"/>
          </w:tcPr>
          <w:p w14:paraId="519C9283" w14:textId="645A039A"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7,4</w:t>
            </w:r>
          </w:p>
        </w:tc>
        <w:tc>
          <w:tcPr>
            <w:tcW w:w="592" w:type="dxa"/>
            <w:tcBorders>
              <w:top w:val="nil"/>
              <w:left w:val="nil"/>
              <w:bottom w:val="nil"/>
              <w:right w:val="nil"/>
            </w:tcBorders>
            <w:shd w:val="clear" w:color="auto" w:fill="auto"/>
            <w:vAlign w:val="center"/>
          </w:tcPr>
          <w:p w14:paraId="7EAD9DDA" w14:textId="6C4904DB"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9,3</w:t>
            </w:r>
          </w:p>
        </w:tc>
        <w:tc>
          <w:tcPr>
            <w:tcW w:w="592" w:type="dxa"/>
            <w:tcBorders>
              <w:top w:val="nil"/>
              <w:left w:val="nil"/>
              <w:bottom w:val="nil"/>
              <w:right w:val="nil"/>
            </w:tcBorders>
            <w:vAlign w:val="center"/>
          </w:tcPr>
          <w:p w14:paraId="658DB478" w14:textId="024DAA3A"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592" w:type="dxa"/>
            <w:tcBorders>
              <w:top w:val="nil"/>
              <w:left w:val="nil"/>
              <w:bottom w:val="nil"/>
              <w:right w:val="nil"/>
            </w:tcBorders>
            <w:shd w:val="clear" w:color="auto" w:fill="auto"/>
            <w:vAlign w:val="center"/>
            <w:hideMark/>
          </w:tcPr>
          <w:p w14:paraId="08515E9A"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6</w:t>
            </w:r>
          </w:p>
        </w:tc>
      </w:tr>
      <w:tr w:rsidR="001F224C" w:rsidRPr="002C7555" w14:paraId="1C6A2472" w14:textId="77777777" w:rsidTr="001F224C">
        <w:trPr>
          <w:gridAfter w:val="1"/>
          <w:wAfter w:w="10" w:type="dxa"/>
          <w:trHeight w:val="188"/>
          <w:jc w:val="center"/>
        </w:trPr>
        <w:tc>
          <w:tcPr>
            <w:tcW w:w="409" w:type="dxa"/>
            <w:vMerge/>
            <w:tcBorders>
              <w:top w:val="nil"/>
              <w:left w:val="nil"/>
              <w:bottom w:val="single" w:sz="4" w:space="0" w:color="000000"/>
              <w:right w:val="nil"/>
            </w:tcBorders>
            <w:vAlign w:val="center"/>
            <w:hideMark/>
          </w:tcPr>
          <w:p w14:paraId="023FC1CD" w14:textId="77777777" w:rsidR="001F224C" w:rsidRPr="002C7555" w:rsidRDefault="001F224C" w:rsidP="001F224C">
            <w:pPr>
              <w:spacing w:after="0" w:line="240" w:lineRule="auto"/>
              <w:rPr>
                <w:rFonts w:ascii="Arial Narrow" w:hAnsi="Arial Narrow"/>
                <w:b/>
                <w:bCs/>
                <w:color w:val="000000"/>
                <w:sz w:val="20"/>
                <w:szCs w:val="20"/>
                <w:lang w:val="en-US" w:eastAsia="en-US"/>
              </w:rPr>
            </w:pPr>
          </w:p>
        </w:tc>
        <w:tc>
          <w:tcPr>
            <w:tcW w:w="407" w:type="dxa"/>
            <w:gridSpan w:val="2"/>
            <w:vMerge/>
            <w:tcBorders>
              <w:top w:val="nil"/>
              <w:left w:val="nil"/>
              <w:bottom w:val="single" w:sz="4" w:space="0" w:color="000000"/>
              <w:right w:val="nil"/>
            </w:tcBorders>
            <w:vAlign w:val="center"/>
            <w:hideMark/>
          </w:tcPr>
          <w:p w14:paraId="62FA7757"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3DC12258"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vo</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vekovej</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skupine</w:t>
            </w:r>
            <w:proofErr w:type="spellEnd"/>
            <w:r w:rsidRPr="002C7555">
              <w:rPr>
                <w:rFonts w:ascii="Arial Narrow" w:hAnsi="Arial Narrow"/>
                <w:color w:val="000000"/>
                <w:sz w:val="20"/>
                <w:szCs w:val="20"/>
                <w:lang w:val="en-US" w:eastAsia="en-US"/>
              </w:rPr>
              <w:t xml:space="preserve"> 18 - 24 </w:t>
            </w:r>
            <w:proofErr w:type="spellStart"/>
            <w:r w:rsidRPr="002C7555">
              <w:rPr>
                <w:rFonts w:ascii="Arial Narrow" w:hAnsi="Arial Narrow"/>
                <w:color w:val="000000"/>
                <w:sz w:val="20"/>
                <w:szCs w:val="20"/>
                <w:lang w:val="en-US" w:eastAsia="en-US"/>
              </w:rPr>
              <w:t>rokov</w:t>
            </w:r>
            <w:proofErr w:type="spellEnd"/>
            <w:r w:rsidRPr="002C7555">
              <w:rPr>
                <w:rFonts w:ascii="Arial Narrow" w:hAnsi="Arial Narrow"/>
                <w:color w:val="000000"/>
                <w:sz w:val="20"/>
                <w:szCs w:val="20"/>
                <w:lang w:val="en-US" w:eastAsia="en-US"/>
              </w:rPr>
              <w:t>)</w:t>
            </w:r>
          </w:p>
        </w:tc>
        <w:tc>
          <w:tcPr>
            <w:tcW w:w="710" w:type="dxa"/>
            <w:tcBorders>
              <w:top w:val="nil"/>
              <w:left w:val="nil"/>
              <w:bottom w:val="single" w:sz="4" w:space="0" w:color="auto"/>
              <w:right w:val="nil"/>
            </w:tcBorders>
            <w:shd w:val="clear" w:color="auto" w:fill="auto"/>
            <w:vAlign w:val="center"/>
            <w:hideMark/>
          </w:tcPr>
          <w:p w14:paraId="354F5D5D"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nil"/>
              <w:right w:val="nil"/>
            </w:tcBorders>
            <w:shd w:val="clear" w:color="auto" w:fill="auto"/>
            <w:vAlign w:val="center"/>
          </w:tcPr>
          <w:p w14:paraId="40BD98FE" w14:textId="484C4490"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14,2</w:t>
            </w:r>
          </w:p>
        </w:tc>
        <w:tc>
          <w:tcPr>
            <w:tcW w:w="592" w:type="dxa"/>
            <w:tcBorders>
              <w:top w:val="nil"/>
              <w:left w:val="nil"/>
              <w:bottom w:val="nil"/>
              <w:right w:val="nil"/>
            </w:tcBorders>
            <w:shd w:val="clear" w:color="auto" w:fill="auto"/>
            <w:vAlign w:val="center"/>
          </w:tcPr>
          <w:p w14:paraId="44A32ACE" w14:textId="30EF1DA8"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13,9</w:t>
            </w:r>
          </w:p>
        </w:tc>
        <w:tc>
          <w:tcPr>
            <w:tcW w:w="592" w:type="dxa"/>
            <w:tcBorders>
              <w:top w:val="nil"/>
              <w:left w:val="nil"/>
              <w:bottom w:val="nil"/>
              <w:right w:val="nil"/>
            </w:tcBorders>
            <w:shd w:val="clear" w:color="auto" w:fill="auto"/>
            <w:vAlign w:val="center"/>
          </w:tcPr>
          <w:p w14:paraId="42ADF535" w14:textId="60518B99"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13,4</w:t>
            </w:r>
          </w:p>
        </w:tc>
        <w:tc>
          <w:tcPr>
            <w:tcW w:w="592" w:type="dxa"/>
            <w:tcBorders>
              <w:top w:val="nil"/>
              <w:left w:val="nil"/>
              <w:bottom w:val="nil"/>
              <w:right w:val="nil"/>
            </w:tcBorders>
            <w:shd w:val="clear" w:color="auto" w:fill="auto"/>
            <w:vAlign w:val="center"/>
          </w:tcPr>
          <w:p w14:paraId="26A4B9F6" w14:textId="3365570E"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12,7</w:t>
            </w:r>
          </w:p>
        </w:tc>
        <w:tc>
          <w:tcPr>
            <w:tcW w:w="592" w:type="dxa"/>
            <w:tcBorders>
              <w:top w:val="nil"/>
              <w:left w:val="nil"/>
              <w:bottom w:val="single" w:sz="4" w:space="0" w:color="auto"/>
              <w:right w:val="nil"/>
            </w:tcBorders>
            <w:shd w:val="clear" w:color="auto" w:fill="auto"/>
            <w:vAlign w:val="center"/>
          </w:tcPr>
          <w:p w14:paraId="187EE5B1" w14:textId="51C99232"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11,9</w:t>
            </w:r>
          </w:p>
        </w:tc>
        <w:tc>
          <w:tcPr>
            <w:tcW w:w="592" w:type="dxa"/>
            <w:tcBorders>
              <w:top w:val="nil"/>
              <w:left w:val="nil"/>
              <w:bottom w:val="single" w:sz="4" w:space="0" w:color="auto"/>
              <w:right w:val="nil"/>
            </w:tcBorders>
            <w:shd w:val="clear" w:color="auto" w:fill="auto"/>
            <w:vAlign w:val="center"/>
          </w:tcPr>
          <w:p w14:paraId="573E6A2D" w14:textId="3CFA6766"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11,2</w:t>
            </w:r>
          </w:p>
        </w:tc>
        <w:tc>
          <w:tcPr>
            <w:tcW w:w="592" w:type="dxa"/>
            <w:tcBorders>
              <w:top w:val="nil"/>
              <w:left w:val="nil"/>
              <w:bottom w:val="single" w:sz="4" w:space="0" w:color="auto"/>
              <w:right w:val="nil"/>
            </w:tcBorders>
            <w:shd w:val="clear" w:color="auto" w:fill="auto"/>
            <w:vAlign w:val="center"/>
          </w:tcPr>
          <w:p w14:paraId="107C2701" w14:textId="6D5D88B9"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11</w:t>
            </w:r>
          </w:p>
        </w:tc>
        <w:tc>
          <w:tcPr>
            <w:tcW w:w="592" w:type="dxa"/>
            <w:tcBorders>
              <w:top w:val="nil"/>
              <w:left w:val="nil"/>
              <w:bottom w:val="single" w:sz="4" w:space="0" w:color="auto"/>
              <w:right w:val="nil"/>
            </w:tcBorders>
            <w:shd w:val="clear" w:color="auto" w:fill="auto"/>
            <w:vAlign w:val="center"/>
          </w:tcPr>
          <w:p w14:paraId="05F0FF00" w14:textId="385304CA"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10,7</w:t>
            </w:r>
          </w:p>
        </w:tc>
        <w:tc>
          <w:tcPr>
            <w:tcW w:w="592" w:type="dxa"/>
            <w:tcBorders>
              <w:top w:val="nil"/>
              <w:left w:val="nil"/>
              <w:bottom w:val="single" w:sz="4" w:space="0" w:color="auto"/>
              <w:right w:val="nil"/>
            </w:tcBorders>
            <w:shd w:val="clear" w:color="auto" w:fill="auto"/>
            <w:vAlign w:val="center"/>
          </w:tcPr>
          <w:p w14:paraId="097347DE" w14:textId="63EB7C4B"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10,6</w:t>
            </w:r>
          </w:p>
        </w:tc>
        <w:tc>
          <w:tcPr>
            <w:tcW w:w="592" w:type="dxa"/>
            <w:tcBorders>
              <w:top w:val="nil"/>
              <w:left w:val="nil"/>
              <w:bottom w:val="single" w:sz="4" w:space="0" w:color="auto"/>
              <w:right w:val="nil"/>
            </w:tcBorders>
            <w:vAlign w:val="center"/>
          </w:tcPr>
          <w:p w14:paraId="2698D136" w14:textId="78882C8A"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592" w:type="dxa"/>
            <w:tcBorders>
              <w:top w:val="nil"/>
              <w:left w:val="nil"/>
              <w:bottom w:val="single" w:sz="4" w:space="0" w:color="auto"/>
              <w:right w:val="nil"/>
            </w:tcBorders>
            <w:shd w:val="clear" w:color="auto" w:fill="auto"/>
            <w:vAlign w:val="center"/>
            <w:hideMark/>
          </w:tcPr>
          <w:p w14:paraId="4F9EDBFC"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10</w:t>
            </w:r>
          </w:p>
        </w:tc>
      </w:tr>
      <w:tr w:rsidR="001F224C" w:rsidRPr="002C7555" w14:paraId="0784AB5E" w14:textId="77777777" w:rsidTr="001F224C">
        <w:trPr>
          <w:gridAfter w:val="1"/>
          <w:wAfter w:w="10" w:type="dxa"/>
          <w:trHeight w:val="188"/>
          <w:jc w:val="center"/>
        </w:trPr>
        <w:tc>
          <w:tcPr>
            <w:tcW w:w="409" w:type="dxa"/>
            <w:tcBorders>
              <w:top w:val="nil"/>
              <w:left w:val="nil"/>
              <w:bottom w:val="nil"/>
              <w:right w:val="nil"/>
            </w:tcBorders>
            <w:shd w:val="clear" w:color="auto" w:fill="auto"/>
            <w:textDirection w:val="btLr"/>
            <w:vAlign w:val="center"/>
            <w:hideMark/>
          </w:tcPr>
          <w:p w14:paraId="2F04F159"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407" w:type="dxa"/>
            <w:gridSpan w:val="2"/>
            <w:vMerge w:val="restart"/>
            <w:tcBorders>
              <w:top w:val="nil"/>
              <w:left w:val="nil"/>
              <w:bottom w:val="single" w:sz="4" w:space="0" w:color="000000"/>
              <w:right w:val="nil"/>
            </w:tcBorders>
            <w:shd w:val="clear" w:color="auto" w:fill="auto"/>
            <w:noWrap/>
            <w:vAlign w:val="center"/>
            <w:hideMark/>
          </w:tcPr>
          <w:p w14:paraId="6BABA531"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6</w:t>
            </w:r>
          </w:p>
        </w:tc>
        <w:tc>
          <w:tcPr>
            <w:tcW w:w="2050" w:type="dxa"/>
            <w:tcBorders>
              <w:top w:val="nil"/>
              <w:left w:val="nil"/>
              <w:bottom w:val="nil"/>
              <w:right w:val="nil"/>
            </w:tcBorders>
            <w:shd w:val="clear" w:color="auto" w:fill="auto"/>
            <w:noWrap/>
            <w:vAlign w:val="center"/>
            <w:hideMark/>
          </w:tcPr>
          <w:p w14:paraId="32ED3C0B" w14:textId="77777777" w:rsidR="001F224C" w:rsidRPr="002C7555" w:rsidRDefault="001F224C" w:rsidP="001F224C">
            <w:pPr>
              <w:spacing w:after="0" w:line="240" w:lineRule="auto"/>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Citácie</w:t>
            </w:r>
            <w:proofErr w:type="spellEnd"/>
          </w:p>
        </w:tc>
        <w:tc>
          <w:tcPr>
            <w:tcW w:w="710" w:type="dxa"/>
            <w:tcBorders>
              <w:top w:val="nil"/>
              <w:left w:val="nil"/>
              <w:bottom w:val="nil"/>
              <w:right w:val="nil"/>
            </w:tcBorders>
            <w:shd w:val="clear" w:color="auto" w:fill="auto"/>
            <w:vAlign w:val="center"/>
            <w:hideMark/>
          </w:tcPr>
          <w:p w14:paraId="5225338F"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single" w:sz="4" w:space="0" w:color="auto"/>
              <w:left w:val="nil"/>
              <w:bottom w:val="nil"/>
              <w:right w:val="nil"/>
            </w:tcBorders>
            <w:shd w:val="clear" w:color="auto" w:fill="auto"/>
            <w:noWrap/>
            <w:vAlign w:val="center"/>
          </w:tcPr>
          <w:p w14:paraId="7837CC50" w14:textId="5C0C2AF4"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33</w:t>
            </w:r>
          </w:p>
        </w:tc>
        <w:tc>
          <w:tcPr>
            <w:tcW w:w="592" w:type="dxa"/>
            <w:tcBorders>
              <w:top w:val="single" w:sz="4" w:space="0" w:color="auto"/>
              <w:left w:val="nil"/>
              <w:bottom w:val="nil"/>
              <w:right w:val="nil"/>
            </w:tcBorders>
            <w:shd w:val="clear" w:color="auto" w:fill="auto"/>
            <w:noWrap/>
            <w:vAlign w:val="center"/>
          </w:tcPr>
          <w:p w14:paraId="0FA61153" w14:textId="59D8A715"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32</w:t>
            </w:r>
          </w:p>
        </w:tc>
        <w:tc>
          <w:tcPr>
            <w:tcW w:w="592" w:type="dxa"/>
            <w:tcBorders>
              <w:top w:val="single" w:sz="4" w:space="0" w:color="auto"/>
              <w:left w:val="nil"/>
              <w:bottom w:val="nil"/>
              <w:right w:val="nil"/>
            </w:tcBorders>
            <w:shd w:val="clear" w:color="auto" w:fill="auto"/>
            <w:noWrap/>
            <w:vAlign w:val="center"/>
          </w:tcPr>
          <w:p w14:paraId="70F36528" w14:textId="678EC5AA"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33</w:t>
            </w:r>
          </w:p>
        </w:tc>
        <w:tc>
          <w:tcPr>
            <w:tcW w:w="592" w:type="dxa"/>
            <w:tcBorders>
              <w:top w:val="single" w:sz="4" w:space="0" w:color="auto"/>
              <w:left w:val="nil"/>
              <w:bottom w:val="nil"/>
              <w:right w:val="nil"/>
            </w:tcBorders>
            <w:shd w:val="clear" w:color="auto" w:fill="auto"/>
            <w:noWrap/>
            <w:vAlign w:val="center"/>
          </w:tcPr>
          <w:p w14:paraId="447C9EBA" w14:textId="6B420051"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41</w:t>
            </w:r>
          </w:p>
        </w:tc>
        <w:tc>
          <w:tcPr>
            <w:tcW w:w="592" w:type="dxa"/>
            <w:tcBorders>
              <w:top w:val="nil"/>
              <w:left w:val="nil"/>
              <w:bottom w:val="nil"/>
              <w:right w:val="nil"/>
            </w:tcBorders>
            <w:shd w:val="clear" w:color="auto" w:fill="auto"/>
            <w:noWrap/>
            <w:vAlign w:val="center"/>
          </w:tcPr>
          <w:p w14:paraId="7BE20E53" w14:textId="5E132367"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42</w:t>
            </w:r>
          </w:p>
        </w:tc>
        <w:tc>
          <w:tcPr>
            <w:tcW w:w="592" w:type="dxa"/>
            <w:tcBorders>
              <w:top w:val="nil"/>
              <w:left w:val="nil"/>
              <w:bottom w:val="nil"/>
              <w:right w:val="nil"/>
            </w:tcBorders>
            <w:shd w:val="clear" w:color="auto" w:fill="auto"/>
            <w:noWrap/>
            <w:vAlign w:val="center"/>
          </w:tcPr>
          <w:p w14:paraId="2A4C6E4E" w14:textId="1F42098D"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46</w:t>
            </w:r>
          </w:p>
        </w:tc>
        <w:tc>
          <w:tcPr>
            <w:tcW w:w="592" w:type="dxa"/>
            <w:tcBorders>
              <w:top w:val="nil"/>
              <w:left w:val="nil"/>
              <w:bottom w:val="nil"/>
              <w:right w:val="nil"/>
            </w:tcBorders>
            <w:shd w:val="clear" w:color="auto" w:fill="auto"/>
            <w:noWrap/>
            <w:vAlign w:val="center"/>
          </w:tcPr>
          <w:p w14:paraId="51306C65" w14:textId="4375259D"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56</w:t>
            </w:r>
          </w:p>
        </w:tc>
        <w:tc>
          <w:tcPr>
            <w:tcW w:w="592" w:type="dxa"/>
            <w:tcBorders>
              <w:top w:val="nil"/>
              <w:left w:val="nil"/>
              <w:bottom w:val="nil"/>
              <w:right w:val="nil"/>
            </w:tcBorders>
            <w:shd w:val="clear" w:color="auto" w:fill="auto"/>
            <w:noWrap/>
            <w:vAlign w:val="center"/>
          </w:tcPr>
          <w:p w14:paraId="49BB3229" w14:textId="0030C524"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56</w:t>
            </w:r>
          </w:p>
        </w:tc>
        <w:tc>
          <w:tcPr>
            <w:tcW w:w="592" w:type="dxa"/>
            <w:tcBorders>
              <w:top w:val="nil"/>
              <w:left w:val="nil"/>
              <w:bottom w:val="nil"/>
              <w:right w:val="nil"/>
            </w:tcBorders>
            <w:shd w:val="clear" w:color="auto" w:fill="auto"/>
            <w:noWrap/>
            <w:vAlign w:val="center"/>
          </w:tcPr>
          <w:p w14:paraId="2D803612" w14:textId="6A07A608"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47</w:t>
            </w:r>
          </w:p>
        </w:tc>
        <w:tc>
          <w:tcPr>
            <w:tcW w:w="592" w:type="dxa"/>
            <w:tcBorders>
              <w:top w:val="nil"/>
              <w:left w:val="nil"/>
              <w:bottom w:val="nil"/>
              <w:right w:val="nil"/>
            </w:tcBorders>
            <w:vAlign w:val="center"/>
          </w:tcPr>
          <w:p w14:paraId="2AA72EF3" w14:textId="46A3DBA8"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592" w:type="dxa"/>
            <w:tcBorders>
              <w:top w:val="nil"/>
              <w:left w:val="nil"/>
              <w:bottom w:val="nil"/>
              <w:right w:val="nil"/>
            </w:tcBorders>
            <w:shd w:val="clear" w:color="auto" w:fill="auto"/>
            <w:vAlign w:val="center"/>
            <w:hideMark/>
          </w:tcPr>
          <w:p w14:paraId="6AC0F505"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70</w:t>
            </w:r>
          </w:p>
        </w:tc>
      </w:tr>
      <w:tr w:rsidR="001F224C" w:rsidRPr="002C7555" w14:paraId="07495487" w14:textId="77777777" w:rsidTr="001F224C">
        <w:trPr>
          <w:gridAfter w:val="1"/>
          <w:wAfter w:w="10" w:type="dxa"/>
          <w:trHeight w:val="326"/>
          <w:jc w:val="center"/>
        </w:trPr>
        <w:tc>
          <w:tcPr>
            <w:tcW w:w="409" w:type="dxa"/>
            <w:tcBorders>
              <w:top w:val="nil"/>
              <w:left w:val="nil"/>
              <w:bottom w:val="single" w:sz="4" w:space="0" w:color="auto"/>
              <w:right w:val="nil"/>
            </w:tcBorders>
            <w:shd w:val="clear" w:color="auto" w:fill="auto"/>
            <w:textDirection w:val="btLr"/>
            <w:vAlign w:val="center"/>
            <w:hideMark/>
          </w:tcPr>
          <w:p w14:paraId="07AEF3DE"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 </w:t>
            </w:r>
          </w:p>
        </w:tc>
        <w:tc>
          <w:tcPr>
            <w:tcW w:w="407" w:type="dxa"/>
            <w:gridSpan w:val="2"/>
            <w:vMerge/>
            <w:tcBorders>
              <w:top w:val="nil"/>
              <w:left w:val="nil"/>
              <w:bottom w:val="single" w:sz="4" w:space="0" w:color="000000"/>
              <w:right w:val="nil"/>
            </w:tcBorders>
            <w:vAlign w:val="center"/>
            <w:hideMark/>
          </w:tcPr>
          <w:p w14:paraId="5DCE4065"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4C895E19"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 xml:space="preserve">(%, 100 = </w:t>
            </w:r>
            <w:proofErr w:type="spellStart"/>
            <w:r w:rsidRPr="002C7555">
              <w:rPr>
                <w:rFonts w:ascii="Arial Narrow" w:hAnsi="Arial Narrow"/>
                <w:color w:val="000000"/>
                <w:sz w:val="20"/>
                <w:szCs w:val="20"/>
                <w:lang w:val="en-US" w:eastAsia="en-US"/>
              </w:rPr>
              <w:t>priemer</w:t>
            </w:r>
            <w:proofErr w:type="spellEnd"/>
            <w:r w:rsidRPr="002C7555">
              <w:rPr>
                <w:rFonts w:ascii="Arial Narrow" w:hAnsi="Arial Narrow"/>
                <w:color w:val="000000"/>
                <w:sz w:val="20"/>
                <w:szCs w:val="20"/>
                <w:lang w:val="en-US" w:eastAsia="en-US"/>
              </w:rPr>
              <w:t xml:space="preserve"> EÚ)</w:t>
            </w:r>
          </w:p>
        </w:tc>
        <w:tc>
          <w:tcPr>
            <w:tcW w:w="710" w:type="dxa"/>
            <w:tcBorders>
              <w:top w:val="nil"/>
              <w:left w:val="nil"/>
              <w:bottom w:val="single" w:sz="4" w:space="0" w:color="auto"/>
              <w:right w:val="nil"/>
            </w:tcBorders>
            <w:shd w:val="clear" w:color="auto" w:fill="auto"/>
            <w:vAlign w:val="center"/>
            <w:hideMark/>
          </w:tcPr>
          <w:p w14:paraId="4CEBC524"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nil"/>
              <w:right w:val="nil"/>
            </w:tcBorders>
            <w:shd w:val="clear" w:color="auto" w:fill="auto"/>
            <w:vAlign w:val="center"/>
          </w:tcPr>
          <w:p w14:paraId="0BF6CAAD" w14:textId="42796456"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100</w:t>
            </w:r>
          </w:p>
        </w:tc>
        <w:tc>
          <w:tcPr>
            <w:tcW w:w="592" w:type="dxa"/>
            <w:tcBorders>
              <w:top w:val="nil"/>
              <w:left w:val="nil"/>
              <w:bottom w:val="nil"/>
              <w:right w:val="nil"/>
            </w:tcBorders>
            <w:shd w:val="clear" w:color="auto" w:fill="auto"/>
            <w:vAlign w:val="center"/>
          </w:tcPr>
          <w:p w14:paraId="15CA0519" w14:textId="460B20E4"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100</w:t>
            </w:r>
          </w:p>
        </w:tc>
        <w:tc>
          <w:tcPr>
            <w:tcW w:w="592" w:type="dxa"/>
            <w:tcBorders>
              <w:top w:val="nil"/>
              <w:left w:val="nil"/>
              <w:bottom w:val="nil"/>
              <w:right w:val="nil"/>
            </w:tcBorders>
            <w:shd w:val="clear" w:color="auto" w:fill="auto"/>
            <w:vAlign w:val="center"/>
          </w:tcPr>
          <w:p w14:paraId="0232570B" w14:textId="33F9A904"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100</w:t>
            </w:r>
          </w:p>
        </w:tc>
        <w:tc>
          <w:tcPr>
            <w:tcW w:w="592" w:type="dxa"/>
            <w:tcBorders>
              <w:top w:val="nil"/>
              <w:left w:val="nil"/>
              <w:bottom w:val="nil"/>
              <w:right w:val="nil"/>
            </w:tcBorders>
            <w:shd w:val="clear" w:color="auto" w:fill="auto"/>
            <w:vAlign w:val="center"/>
          </w:tcPr>
          <w:p w14:paraId="6041F4FF" w14:textId="0BD5BE4C"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100</w:t>
            </w:r>
          </w:p>
        </w:tc>
        <w:tc>
          <w:tcPr>
            <w:tcW w:w="592" w:type="dxa"/>
            <w:tcBorders>
              <w:top w:val="nil"/>
              <w:left w:val="nil"/>
              <w:bottom w:val="single" w:sz="4" w:space="0" w:color="auto"/>
              <w:right w:val="nil"/>
            </w:tcBorders>
            <w:shd w:val="clear" w:color="auto" w:fill="auto"/>
            <w:vAlign w:val="center"/>
          </w:tcPr>
          <w:p w14:paraId="5D60B6B9" w14:textId="21F213CC"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100</w:t>
            </w:r>
          </w:p>
        </w:tc>
        <w:tc>
          <w:tcPr>
            <w:tcW w:w="592" w:type="dxa"/>
            <w:tcBorders>
              <w:top w:val="nil"/>
              <w:left w:val="nil"/>
              <w:bottom w:val="single" w:sz="4" w:space="0" w:color="auto"/>
              <w:right w:val="nil"/>
            </w:tcBorders>
            <w:shd w:val="clear" w:color="auto" w:fill="auto"/>
            <w:vAlign w:val="center"/>
          </w:tcPr>
          <w:p w14:paraId="624ED11D" w14:textId="5EEE36B3"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100</w:t>
            </w:r>
          </w:p>
        </w:tc>
        <w:tc>
          <w:tcPr>
            <w:tcW w:w="592" w:type="dxa"/>
            <w:tcBorders>
              <w:top w:val="nil"/>
              <w:left w:val="nil"/>
              <w:bottom w:val="single" w:sz="4" w:space="0" w:color="auto"/>
              <w:right w:val="nil"/>
            </w:tcBorders>
            <w:shd w:val="clear" w:color="auto" w:fill="auto"/>
            <w:vAlign w:val="center"/>
          </w:tcPr>
          <w:p w14:paraId="04B933AF" w14:textId="73B556B4"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100</w:t>
            </w:r>
          </w:p>
        </w:tc>
        <w:tc>
          <w:tcPr>
            <w:tcW w:w="592" w:type="dxa"/>
            <w:tcBorders>
              <w:top w:val="nil"/>
              <w:left w:val="nil"/>
              <w:bottom w:val="single" w:sz="4" w:space="0" w:color="auto"/>
              <w:right w:val="nil"/>
            </w:tcBorders>
            <w:shd w:val="clear" w:color="auto" w:fill="auto"/>
            <w:vAlign w:val="center"/>
          </w:tcPr>
          <w:p w14:paraId="50007480" w14:textId="0ECC23E4"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100</w:t>
            </w:r>
          </w:p>
        </w:tc>
        <w:tc>
          <w:tcPr>
            <w:tcW w:w="592" w:type="dxa"/>
            <w:tcBorders>
              <w:top w:val="nil"/>
              <w:left w:val="nil"/>
              <w:bottom w:val="single" w:sz="4" w:space="0" w:color="auto"/>
              <w:right w:val="nil"/>
            </w:tcBorders>
            <w:shd w:val="clear" w:color="auto" w:fill="auto"/>
            <w:noWrap/>
            <w:vAlign w:val="center"/>
          </w:tcPr>
          <w:p w14:paraId="3C82279E" w14:textId="488995E7"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100</w:t>
            </w:r>
          </w:p>
        </w:tc>
        <w:tc>
          <w:tcPr>
            <w:tcW w:w="592" w:type="dxa"/>
            <w:tcBorders>
              <w:top w:val="nil"/>
              <w:left w:val="nil"/>
              <w:bottom w:val="single" w:sz="4" w:space="0" w:color="auto"/>
              <w:right w:val="nil"/>
            </w:tcBorders>
            <w:vAlign w:val="center"/>
          </w:tcPr>
          <w:p w14:paraId="6836BF6C" w14:textId="172E95CC"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592" w:type="dxa"/>
            <w:tcBorders>
              <w:top w:val="nil"/>
              <w:left w:val="nil"/>
              <w:bottom w:val="single" w:sz="4" w:space="0" w:color="auto"/>
              <w:right w:val="nil"/>
            </w:tcBorders>
            <w:shd w:val="clear" w:color="auto" w:fill="auto"/>
            <w:vAlign w:val="center"/>
            <w:hideMark/>
          </w:tcPr>
          <w:p w14:paraId="175A8913"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26B8289B" w14:textId="77777777" w:rsidTr="001F224C">
        <w:trPr>
          <w:gridAfter w:val="1"/>
          <w:wAfter w:w="10" w:type="dxa"/>
          <w:trHeight w:val="188"/>
          <w:jc w:val="center"/>
        </w:trPr>
        <w:tc>
          <w:tcPr>
            <w:tcW w:w="409" w:type="dxa"/>
            <w:vMerge w:val="restart"/>
            <w:tcBorders>
              <w:top w:val="nil"/>
              <w:left w:val="nil"/>
              <w:bottom w:val="single" w:sz="4" w:space="0" w:color="000000"/>
              <w:right w:val="nil"/>
            </w:tcBorders>
            <w:shd w:val="clear" w:color="auto" w:fill="auto"/>
            <w:textDirection w:val="btLr"/>
            <w:vAlign w:val="center"/>
            <w:hideMark/>
          </w:tcPr>
          <w:p w14:paraId="233C827B"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407" w:type="dxa"/>
            <w:gridSpan w:val="2"/>
            <w:vMerge w:val="restart"/>
            <w:tcBorders>
              <w:top w:val="nil"/>
              <w:left w:val="nil"/>
              <w:bottom w:val="single" w:sz="4" w:space="0" w:color="000000"/>
              <w:right w:val="nil"/>
            </w:tcBorders>
            <w:shd w:val="clear" w:color="auto" w:fill="auto"/>
            <w:noWrap/>
            <w:vAlign w:val="center"/>
            <w:hideMark/>
          </w:tcPr>
          <w:p w14:paraId="63666E71"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7</w:t>
            </w:r>
          </w:p>
        </w:tc>
        <w:tc>
          <w:tcPr>
            <w:tcW w:w="2050" w:type="dxa"/>
            <w:tcBorders>
              <w:top w:val="nil"/>
              <w:left w:val="nil"/>
              <w:bottom w:val="nil"/>
              <w:right w:val="nil"/>
            </w:tcBorders>
            <w:shd w:val="clear" w:color="auto" w:fill="auto"/>
            <w:noWrap/>
            <w:vAlign w:val="center"/>
            <w:hideMark/>
          </w:tcPr>
          <w:p w14:paraId="6BA7C302" w14:textId="77777777" w:rsidR="001F224C" w:rsidRPr="002C7555" w:rsidRDefault="001F224C" w:rsidP="001F224C">
            <w:pPr>
              <w:spacing w:after="0" w:line="240" w:lineRule="auto"/>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Miera</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vysokoškolsky</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vzdelanej</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populácie</w:t>
            </w:r>
            <w:proofErr w:type="spellEnd"/>
          </w:p>
        </w:tc>
        <w:tc>
          <w:tcPr>
            <w:tcW w:w="710" w:type="dxa"/>
            <w:tcBorders>
              <w:top w:val="nil"/>
              <w:left w:val="nil"/>
              <w:bottom w:val="nil"/>
              <w:right w:val="nil"/>
            </w:tcBorders>
            <w:shd w:val="clear" w:color="auto" w:fill="auto"/>
            <w:vAlign w:val="center"/>
            <w:hideMark/>
          </w:tcPr>
          <w:p w14:paraId="1DF11B64"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single" w:sz="4" w:space="0" w:color="auto"/>
              <w:left w:val="nil"/>
              <w:bottom w:val="nil"/>
              <w:right w:val="nil"/>
            </w:tcBorders>
            <w:shd w:val="clear" w:color="auto" w:fill="auto"/>
            <w:vAlign w:val="center"/>
          </w:tcPr>
          <w:p w14:paraId="45B481F3" w14:textId="6148A1F9"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17,6</w:t>
            </w:r>
          </w:p>
        </w:tc>
        <w:tc>
          <w:tcPr>
            <w:tcW w:w="592" w:type="dxa"/>
            <w:tcBorders>
              <w:top w:val="single" w:sz="4" w:space="0" w:color="auto"/>
              <w:left w:val="nil"/>
              <w:bottom w:val="nil"/>
              <w:right w:val="nil"/>
            </w:tcBorders>
            <w:shd w:val="clear" w:color="auto" w:fill="auto"/>
            <w:vAlign w:val="center"/>
          </w:tcPr>
          <w:p w14:paraId="38EA3114" w14:textId="3A7AAC3E"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22,1</w:t>
            </w:r>
          </w:p>
        </w:tc>
        <w:tc>
          <w:tcPr>
            <w:tcW w:w="592" w:type="dxa"/>
            <w:tcBorders>
              <w:top w:val="single" w:sz="4" w:space="0" w:color="auto"/>
              <w:left w:val="nil"/>
              <w:bottom w:val="nil"/>
              <w:right w:val="nil"/>
            </w:tcBorders>
            <w:shd w:val="clear" w:color="auto" w:fill="auto"/>
            <w:vAlign w:val="center"/>
          </w:tcPr>
          <w:p w14:paraId="0B699207" w14:textId="0F2E97C0"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23,2</w:t>
            </w:r>
          </w:p>
        </w:tc>
        <w:tc>
          <w:tcPr>
            <w:tcW w:w="592" w:type="dxa"/>
            <w:tcBorders>
              <w:top w:val="single" w:sz="4" w:space="0" w:color="auto"/>
              <w:left w:val="nil"/>
              <w:bottom w:val="nil"/>
              <w:right w:val="nil"/>
            </w:tcBorders>
            <w:shd w:val="clear" w:color="auto" w:fill="auto"/>
            <w:vAlign w:val="center"/>
          </w:tcPr>
          <w:p w14:paraId="6C13CE23" w14:textId="09805055"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23,7</w:t>
            </w:r>
          </w:p>
        </w:tc>
        <w:tc>
          <w:tcPr>
            <w:tcW w:w="592" w:type="dxa"/>
            <w:tcBorders>
              <w:top w:val="nil"/>
              <w:left w:val="nil"/>
              <w:bottom w:val="nil"/>
              <w:right w:val="nil"/>
            </w:tcBorders>
            <w:shd w:val="clear" w:color="auto" w:fill="auto"/>
            <w:vAlign w:val="center"/>
          </w:tcPr>
          <w:p w14:paraId="4ED80C60" w14:textId="1A968D78"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26,9</w:t>
            </w:r>
          </w:p>
        </w:tc>
        <w:tc>
          <w:tcPr>
            <w:tcW w:w="592" w:type="dxa"/>
            <w:tcBorders>
              <w:top w:val="nil"/>
              <w:left w:val="nil"/>
              <w:bottom w:val="nil"/>
              <w:right w:val="nil"/>
            </w:tcBorders>
            <w:shd w:val="clear" w:color="auto" w:fill="auto"/>
            <w:vAlign w:val="center"/>
          </w:tcPr>
          <w:p w14:paraId="515F9BDC" w14:textId="1CBDFE1A"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26,9</w:t>
            </w:r>
          </w:p>
        </w:tc>
        <w:tc>
          <w:tcPr>
            <w:tcW w:w="592" w:type="dxa"/>
            <w:tcBorders>
              <w:top w:val="nil"/>
              <w:left w:val="nil"/>
              <w:bottom w:val="nil"/>
              <w:right w:val="nil"/>
            </w:tcBorders>
            <w:shd w:val="clear" w:color="auto" w:fill="auto"/>
            <w:vAlign w:val="center"/>
          </w:tcPr>
          <w:p w14:paraId="5BEB30B8" w14:textId="3FC9E630"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28,4</w:t>
            </w:r>
          </w:p>
        </w:tc>
        <w:tc>
          <w:tcPr>
            <w:tcW w:w="592" w:type="dxa"/>
            <w:tcBorders>
              <w:top w:val="nil"/>
              <w:left w:val="nil"/>
              <w:bottom w:val="nil"/>
              <w:right w:val="nil"/>
            </w:tcBorders>
            <w:shd w:val="clear" w:color="auto" w:fill="auto"/>
            <w:vAlign w:val="center"/>
          </w:tcPr>
          <w:p w14:paraId="68B8EEF7" w14:textId="3F90A8DD"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31,5</w:t>
            </w:r>
          </w:p>
        </w:tc>
        <w:tc>
          <w:tcPr>
            <w:tcW w:w="592" w:type="dxa"/>
            <w:tcBorders>
              <w:top w:val="nil"/>
              <w:left w:val="nil"/>
              <w:bottom w:val="nil"/>
              <w:right w:val="nil"/>
            </w:tcBorders>
            <w:shd w:val="clear" w:color="auto" w:fill="auto"/>
            <w:noWrap/>
            <w:vAlign w:val="center"/>
          </w:tcPr>
          <w:p w14:paraId="19B457B1" w14:textId="2BAAEF91"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34,3</w:t>
            </w:r>
          </w:p>
        </w:tc>
        <w:tc>
          <w:tcPr>
            <w:tcW w:w="592" w:type="dxa"/>
            <w:tcBorders>
              <w:top w:val="nil"/>
              <w:left w:val="nil"/>
              <w:bottom w:val="nil"/>
              <w:right w:val="nil"/>
            </w:tcBorders>
            <w:vAlign w:val="center"/>
          </w:tcPr>
          <w:p w14:paraId="3694F299" w14:textId="3DB8358C"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592" w:type="dxa"/>
            <w:tcBorders>
              <w:top w:val="nil"/>
              <w:left w:val="nil"/>
              <w:bottom w:val="nil"/>
              <w:right w:val="nil"/>
            </w:tcBorders>
            <w:shd w:val="clear" w:color="auto" w:fill="auto"/>
            <w:vAlign w:val="center"/>
            <w:hideMark/>
          </w:tcPr>
          <w:p w14:paraId="0B2BB47F"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40</w:t>
            </w:r>
          </w:p>
        </w:tc>
      </w:tr>
      <w:tr w:rsidR="001F224C" w:rsidRPr="002C7555" w14:paraId="596208F2" w14:textId="77777777" w:rsidTr="001F224C">
        <w:trPr>
          <w:gridAfter w:val="1"/>
          <w:wAfter w:w="10" w:type="dxa"/>
          <w:trHeight w:val="188"/>
          <w:jc w:val="center"/>
        </w:trPr>
        <w:tc>
          <w:tcPr>
            <w:tcW w:w="409" w:type="dxa"/>
            <w:vMerge/>
            <w:tcBorders>
              <w:top w:val="nil"/>
              <w:left w:val="nil"/>
              <w:bottom w:val="single" w:sz="4" w:space="0" w:color="000000"/>
              <w:right w:val="nil"/>
            </w:tcBorders>
            <w:vAlign w:val="center"/>
            <w:hideMark/>
          </w:tcPr>
          <w:p w14:paraId="01FA8C31" w14:textId="77777777" w:rsidR="001F224C" w:rsidRPr="002C7555" w:rsidRDefault="001F224C" w:rsidP="001F224C">
            <w:pPr>
              <w:spacing w:after="0" w:line="240" w:lineRule="auto"/>
              <w:rPr>
                <w:rFonts w:ascii="Arial Narrow" w:hAnsi="Arial Narrow"/>
                <w:b/>
                <w:bCs/>
                <w:color w:val="000000"/>
                <w:sz w:val="20"/>
                <w:szCs w:val="20"/>
                <w:lang w:val="en-US" w:eastAsia="en-US"/>
              </w:rPr>
            </w:pPr>
          </w:p>
        </w:tc>
        <w:tc>
          <w:tcPr>
            <w:tcW w:w="407" w:type="dxa"/>
            <w:gridSpan w:val="2"/>
            <w:vMerge/>
            <w:tcBorders>
              <w:top w:val="nil"/>
              <w:left w:val="nil"/>
              <w:bottom w:val="single" w:sz="4" w:space="0" w:color="000000"/>
              <w:right w:val="nil"/>
            </w:tcBorders>
            <w:vAlign w:val="center"/>
            <w:hideMark/>
          </w:tcPr>
          <w:p w14:paraId="03E0EB07"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66A51A00"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vo</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vekovej</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skupine</w:t>
            </w:r>
            <w:proofErr w:type="spellEnd"/>
            <w:r w:rsidRPr="002C7555">
              <w:rPr>
                <w:rFonts w:ascii="Arial Narrow" w:hAnsi="Arial Narrow"/>
                <w:color w:val="000000"/>
                <w:sz w:val="20"/>
                <w:szCs w:val="20"/>
                <w:lang w:val="en-US" w:eastAsia="en-US"/>
              </w:rPr>
              <w:t xml:space="preserve"> 30 - 34 </w:t>
            </w:r>
            <w:proofErr w:type="spellStart"/>
            <w:r w:rsidRPr="002C7555">
              <w:rPr>
                <w:rFonts w:ascii="Arial Narrow" w:hAnsi="Arial Narrow"/>
                <w:color w:val="000000"/>
                <w:sz w:val="20"/>
                <w:szCs w:val="20"/>
                <w:lang w:val="en-US" w:eastAsia="en-US"/>
              </w:rPr>
              <w:t>rokov</w:t>
            </w:r>
            <w:proofErr w:type="spellEnd"/>
            <w:r w:rsidRPr="002C7555">
              <w:rPr>
                <w:rFonts w:ascii="Arial Narrow" w:hAnsi="Arial Narrow"/>
                <w:color w:val="000000"/>
                <w:sz w:val="20"/>
                <w:szCs w:val="20"/>
                <w:lang w:val="en-US" w:eastAsia="en-US"/>
              </w:rPr>
              <w:t>)</w:t>
            </w:r>
          </w:p>
        </w:tc>
        <w:tc>
          <w:tcPr>
            <w:tcW w:w="710" w:type="dxa"/>
            <w:tcBorders>
              <w:top w:val="nil"/>
              <w:left w:val="nil"/>
              <w:bottom w:val="single" w:sz="4" w:space="0" w:color="auto"/>
              <w:right w:val="nil"/>
            </w:tcBorders>
            <w:shd w:val="clear" w:color="auto" w:fill="auto"/>
            <w:vAlign w:val="center"/>
            <w:hideMark/>
          </w:tcPr>
          <w:p w14:paraId="66E35425"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nil"/>
              <w:right w:val="nil"/>
            </w:tcBorders>
            <w:shd w:val="clear" w:color="auto" w:fill="auto"/>
            <w:vAlign w:val="center"/>
          </w:tcPr>
          <w:p w14:paraId="3A1FFE69" w14:textId="57B559E0"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32,3</w:t>
            </w:r>
          </w:p>
        </w:tc>
        <w:tc>
          <w:tcPr>
            <w:tcW w:w="592" w:type="dxa"/>
            <w:tcBorders>
              <w:top w:val="nil"/>
              <w:left w:val="nil"/>
              <w:bottom w:val="nil"/>
              <w:right w:val="nil"/>
            </w:tcBorders>
            <w:shd w:val="clear" w:color="auto" w:fill="auto"/>
            <w:vAlign w:val="center"/>
          </w:tcPr>
          <w:p w14:paraId="786FDC5B" w14:textId="6345DC29"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33,8</w:t>
            </w:r>
          </w:p>
        </w:tc>
        <w:tc>
          <w:tcPr>
            <w:tcW w:w="592" w:type="dxa"/>
            <w:tcBorders>
              <w:top w:val="nil"/>
              <w:left w:val="nil"/>
              <w:bottom w:val="nil"/>
              <w:right w:val="nil"/>
            </w:tcBorders>
            <w:shd w:val="clear" w:color="auto" w:fill="auto"/>
            <w:vAlign w:val="center"/>
          </w:tcPr>
          <w:p w14:paraId="76658392" w14:textId="0A1BFF6B"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34,8</w:t>
            </w:r>
          </w:p>
        </w:tc>
        <w:tc>
          <w:tcPr>
            <w:tcW w:w="592" w:type="dxa"/>
            <w:tcBorders>
              <w:top w:val="nil"/>
              <w:left w:val="nil"/>
              <w:bottom w:val="nil"/>
              <w:right w:val="nil"/>
            </w:tcBorders>
            <w:shd w:val="clear" w:color="auto" w:fill="auto"/>
            <w:vAlign w:val="center"/>
          </w:tcPr>
          <w:p w14:paraId="2F756343" w14:textId="6F225C46"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36</w:t>
            </w:r>
          </w:p>
        </w:tc>
        <w:tc>
          <w:tcPr>
            <w:tcW w:w="592" w:type="dxa"/>
            <w:tcBorders>
              <w:top w:val="nil"/>
              <w:left w:val="nil"/>
              <w:bottom w:val="single" w:sz="4" w:space="0" w:color="auto"/>
              <w:right w:val="nil"/>
            </w:tcBorders>
            <w:shd w:val="clear" w:color="auto" w:fill="auto"/>
            <w:vAlign w:val="center"/>
          </w:tcPr>
          <w:p w14:paraId="456DD87B" w14:textId="143AD04F"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37,1</w:t>
            </w:r>
          </w:p>
        </w:tc>
        <w:tc>
          <w:tcPr>
            <w:tcW w:w="592" w:type="dxa"/>
            <w:tcBorders>
              <w:top w:val="nil"/>
              <w:left w:val="nil"/>
              <w:bottom w:val="single" w:sz="4" w:space="0" w:color="auto"/>
              <w:right w:val="nil"/>
            </w:tcBorders>
            <w:shd w:val="clear" w:color="auto" w:fill="auto"/>
            <w:vAlign w:val="center"/>
          </w:tcPr>
          <w:p w14:paraId="2216CA0A" w14:textId="2F562950"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38</w:t>
            </w:r>
          </w:p>
        </w:tc>
        <w:tc>
          <w:tcPr>
            <w:tcW w:w="592" w:type="dxa"/>
            <w:tcBorders>
              <w:top w:val="nil"/>
              <w:left w:val="nil"/>
              <w:bottom w:val="single" w:sz="4" w:space="0" w:color="auto"/>
              <w:right w:val="nil"/>
            </w:tcBorders>
            <w:shd w:val="clear" w:color="auto" w:fill="auto"/>
            <w:vAlign w:val="center"/>
          </w:tcPr>
          <w:p w14:paraId="5F51B5ED" w14:textId="177BA7E6"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38,7</w:t>
            </w:r>
          </w:p>
        </w:tc>
        <w:tc>
          <w:tcPr>
            <w:tcW w:w="592" w:type="dxa"/>
            <w:tcBorders>
              <w:top w:val="nil"/>
              <w:left w:val="nil"/>
              <w:bottom w:val="single" w:sz="4" w:space="0" w:color="auto"/>
              <w:right w:val="nil"/>
            </w:tcBorders>
            <w:shd w:val="clear" w:color="auto" w:fill="auto"/>
            <w:vAlign w:val="center"/>
          </w:tcPr>
          <w:p w14:paraId="5CBD2C33" w14:textId="7DE4E11E"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39,2</w:t>
            </w:r>
          </w:p>
        </w:tc>
        <w:tc>
          <w:tcPr>
            <w:tcW w:w="592" w:type="dxa"/>
            <w:tcBorders>
              <w:top w:val="nil"/>
              <w:left w:val="nil"/>
              <w:bottom w:val="single" w:sz="4" w:space="0" w:color="auto"/>
              <w:right w:val="nil"/>
            </w:tcBorders>
            <w:shd w:val="clear" w:color="auto" w:fill="auto"/>
            <w:noWrap/>
            <w:vAlign w:val="center"/>
          </w:tcPr>
          <w:p w14:paraId="605577F8" w14:textId="509D2F70"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39,9</w:t>
            </w:r>
          </w:p>
        </w:tc>
        <w:tc>
          <w:tcPr>
            <w:tcW w:w="592" w:type="dxa"/>
            <w:tcBorders>
              <w:top w:val="nil"/>
              <w:left w:val="nil"/>
              <w:bottom w:val="single" w:sz="4" w:space="0" w:color="auto"/>
              <w:right w:val="nil"/>
            </w:tcBorders>
            <w:vAlign w:val="center"/>
          </w:tcPr>
          <w:p w14:paraId="49E83DF5" w14:textId="5EEB1ADE"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592" w:type="dxa"/>
            <w:tcBorders>
              <w:top w:val="nil"/>
              <w:left w:val="nil"/>
              <w:bottom w:val="single" w:sz="4" w:space="0" w:color="auto"/>
              <w:right w:val="nil"/>
            </w:tcBorders>
            <w:shd w:val="clear" w:color="auto" w:fill="auto"/>
            <w:vAlign w:val="center"/>
            <w:hideMark/>
          </w:tcPr>
          <w:p w14:paraId="6D9DCA2D"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40</w:t>
            </w:r>
          </w:p>
        </w:tc>
      </w:tr>
      <w:tr w:rsidR="001F224C" w:rsidRPr="002C7555" w14:paraId="26F5DDBB" w14:textId="77777777" w:rsidTr="001F224C">
        <w:trPr>
          <w:gridAfter w:val="1"/>
          <w:wAfter w:w="10" w:type="dxa"/>
          <w:trHeight w:val="188"/>
          <w:jc w:val="center"/>
        </w:trPr>
        <w:tc>
          <w:tcPr>
            <w:tcW w:w="409" w:type="dxa"/>
            <w:vMerge w:val="restart"/>
            <w:tcBorders>
              <w:top w:val="nil"/>
              <w:left w:val="nil"/>
              <w:bottom w:val="single" w:sz="4" w:space="0" w:color="000000"/>
              <w:right w:val="nil"/>
            </w:tcBorders>
            <w:shd w:val="clear" w:color="auto" w:fill="auto"/>
            <w:textDirection w:val="btLr"/>
            <w:vAlign w:val="center"/>
            <w:hideMark/>
          </w:tcPr>
          <w:p w14:paraId="20FE1BA2"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407" w:type="dxa"/>
            <w:gridSpan w:val="2"/>
            <w:vMerge w:val="restart"/>
            <w:tcBorders>
              <w:top w:val="nil"/>
              <w:left w:val="nil"/>
              <w:bottom w:val="single" w:sz="4" w:space="0" w:color="000000"/>
              <w:right w:val="nil"/>
            </w:tcBorders>
            <w:shd w:val="clear" w:color="auto" w:fill="auto"/>
            <w:noWrap/>
            <w:vAlign w:val="center"/>
            <w:hideMark/>
          </w:tcPr>
          <w:p w14:paraId="4F76E905"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8</w:t>
            </w:r>
          </w:p>
        </w:tc>
        <w:tc>
          <w:tcPr>
            <w:tcW w:w="2050" w:type="dxa"/>
            <w:tcBorders>
              <w:top w:val="nil"/>
              <w:left w:val="nil"/>
              <w:bottom w:val="nil"/>
              <w:right w:val="nil"/>
            </w:tcBorders>
            <w:shd w:val="clear" w:color="auto" w:fill="auto"/>
            <w:noWrap/>
            <w:vAlign w:val="center"/>
            <w:hideMark/>
          </w:tcPr>
          <w:p w14:paraId="1FD6567C" w14:textId="77777777" w:rsidR="001F224C" w:rsidRPr="002C7555" w:rsidRDefault="001F224C" w:rsidP="001F224C">
            <w:pPr>
              <w:spacing w:after="0" w:line="240" w:lineRule="auto"/>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Výdavky</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na</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výskum</w:t>
            </w:r>
            <w:proofErr w:type="spellEnd"/>
            <w:r w:rsidRPr="002C7555">
              <w:rPr>
                <w:rFonts w:ascii="Arial Narrow" w:hAnsi="Arial Narrow"/>
                <w:b/>
                <w:bCs/>
                <w:color w:val="000000"/>
                <w:sz w:val="20"/>
                <w:szCs w:val="20"/>
                <w:lang w:val="en-US" w:eastAsia="en-US"/>
              </w:rPr>
              <w:t xml:space="preserve"> a </w:t>
            </w:r>
            <w:proofErr w:type="spellStart"/>
            <w:r w:rsidRPr="002C7555">
              <w:rPr>
                <w:rFonts w:ascii="Arial Narrow" w:hAnsi="Arial Narrow"/>
                <w:b/>
                <w:bCs/>
                <w:color w:val="000000"/>
                <w:sz w:val="20"/>
                <w:szCs w:val="20"/>
                <w:lang w:val="en-US" w:eastAsia="en-US"/>
              </w:rPr>
              <w:t>vývoj</w:t>
            </w:r>
            <w:proofErr w:type="spellEnd"/>
          </w:p>
        </w:tc>
        <w:tc>
          <w:tcPr>
            <w:tcW w:w="710" w:type="dxa"/>
            <w:tcBorders>
              <w:top w:val="nil"/>
              <w:left w:val="nil"/>
              <w:bottom w:val="nil"/>
              <w:right w:val="nil"/>
            </w:tcBorders>
            <w:shd w:val="clear" w:color="auto" w:fill="auto"/>
            <w:vAlign w:val="center"/>
            <w:hideMark/>
          </w:tcPr>
          <w:p w14:paraId="7CC09B93"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single" w:sz="4" w:space="0" w:color="auto"/>
              <w:left w:val="nil"/>
              <w:bottom w:val="nil"/>
              <w:right w:val="nil"/>
            </w:tcBorders>
            <w:shd w:val="clear" w:color="auto" w:fill="auto"/>
            <w:vAlign w:val="center"/>
          </w:tcPr>
          <w:p w14:paraId="041D5004" w14:textId="3931B920"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0,47</w:t>
            </w:r>
          </w:p>
        </w:tc>
        <w:tc>
          <w:tcPr>
            <w:tcW w:w="592" w:type="dxa"/>
            <w:tcBorders>
              <w:top w:val="single" w:sz="4" w:space="0" w:color="auto"/>
              <w:left w:val="nil"/>
              <w:bottom w:val="nil"/>
              <w:right w:val="nil"/>
            </w:tcBorders>
            <w:shd w:val="clear" w:color="auto" w:fill="auto"/>
            <w:vAlign w:val="center"/>
          </w:tcPr>
          <w:p w14:paraId="7393556F" w14:textId="4397C782"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0,62</w:t>
            </w:r>
          </w:p>
        </w:tc>
        <w:tc>
          <w:tcPr>
            <w:tcW w:w="592" w:type="dxa"/>
            <w:tcBorders>
              <w:top w:val="single" w:sz="4" w:space="0" w:color="auto"/>
              <w:left w:val="nil"/>
              <w:bottom w:val="nil"/>
              <w:right w:val="nil"/>
            </w:tcBorders>
            <w:shd w:val="clear" w:color="auto" w:fill="auto"/>
            <w:vAlign w:val="center"/>
          </w:tcPr>
          <w:p w14:paraId="76417510" w14:textId="30CD999F"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0,66</w:t>
            </w:r>
          </w:p>
        </w:tc>
        <w:tc>
          <w:tcPr>
            <w:tcW w:w="592" w:type="dxa"/>
            <w:tcBorders>
              <w:top w:val="single" w:sz="4" w:space="0" w:color="auto"/>
              <w:left w:val="nil"/>
              <w:bottom w:val="nil"/>
              <w:right w:val="nil"/>
            </w:tcBorders>
            <w:shd w:val="clear" w:color="auto" w:fill="auto"/>
            <w:vAlign w:val="center"/>
          </w:tcPr>
          <w:p w14:paraId="4834DCD3" w14:textId="5A8B48F8"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0,81</w:t>
            </w:r>
          </w:p>
        </w:tc>
        <w:tc>
          <w:tcPr>
            <w:tcW w:w="592" w:type="dxa"/>
            <w:tcBorders>
              <w:top w:val="nil"/>
              <w:left w:val="nil"/>
              <w:bottom w:val="nil"/>
              <w:right w:val="nil"/>
            </w:tcBorders>
            <w:shd w:val="clear" w:color="auto" w:fill="auto"/>
            <w:vAlign w:val="center"/>
          </w:tcPr>
          <w:p w14:paraId="2F0867CA" w14:textId="2C7B34A0"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0,82</w:t>
            </w:r>
          </w:p>
        </w:tc>
        <w:tc>
          <w:tcPr>
            <w:tcW w:w="592" w:type="dxa"/>
            <w:tcBorders>
              <w:top w:val="nil"/>
              <w:left w:val="nil"/>
              <w:bottom w:val="nil"/>
              <w:right w:val="nil"/>
            </w:tcBorders>
            <w:shd w:val="clear" w:color="auto" w:fill="auto"/>
            <w:vAlign w:val="center"/>
          </w:tcPr>
          <w:p w14:paraId="708281C1" w14:textId="0D9EB27F"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0,88</w:t>
            </w:r>
          </w:p>
        </w:tc>
        <w:tc>
          <w:tcPr>
            <w:tcW w:w="592" w:type="dxa"/>
            <w:tcBorders>
              <w:top w:val="nil"/>
              <w:left w:val="nil"/>
              <w:bottom w:val="nil"/>
              <w:right w:val="nil"/>
            </w:tcBorders>
            <w:shd w:val="clear" w:color="auto" w:fill="auto"/>
            <w:vAlign w:val="center"/>
          </w:tcPr>
          <w:p w14:paraId="59B8ACFE" w14:textId="1C3279D8"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1,17</w:t>
            </w:r>
          </w:p>
        </w:tc>
        <w:tc>
          <w:tcPr>
            <w:tcW w:w="592" w:type="dxa"/>
            <w:tcBorders>
              <w:top w:val="nil"/>
              <w:left w:val="nil"/>
              <w:bottom w:val="nil"/>
              <w:right w:val="nil"/>
            </w:tcBorders>
            <w:shd w:val="clear" w:color="auto" w:fill="auto"/>
            <w:vAlign w:val="center"/>
          </w:tcPr>
          <w:p w14:paraId="1CD16B0F" w14:textId="577926CA"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0,79</w:t>
            </w:r>
          </w:p>
        </w:tc>
        <w:tc>
          <w:tcPr>
            <w:tcW w:w="592" w:type="dxa"/>
            <w:tcBorders>
              <w:top w:val="nil"/>
              <w:left w:val="nil"/>
              <w:bottom w:val="nil"/>
              <w:right w:val="nil"/>
            </w:tcBorders>
            <w:shd w:val="clear" w:color="auto" w:fill="auto"/>
            <w:noWrap/>
            <w:vAlign w:val="center"/>
          </w:tcPr>
          <w:p w14:paraId="2904EFAC" w14:textId="5DD1EC9F"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0,88</w:t>
            </w:r>
          </w:p>
        </w:tc>
        <w:tc>
          <w:tcPr>
            <w:tcW w:w="592" w:type="dxa"/>
            <w:tcBorders>
              <w:top w:val="nil"/>
              <w:left w:val="nil"/>
              <w:bottom w:val="nil"/>
              <w:right w:val="nil"/>
            </w:tcBorders>
            <w:vAlign w:val="center"/>
          </w:tcPr>
          <w:p w14:paraId="3D6B6F6D" w14:textId="73B55C0B"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592" w:type="dxa"/>
            <w:tcBorders>
              <w:top w:val="nil"/>
              <w:left w:val="nil"/>
              <w:bottom w:val="nil"/>
              <w:right w:val="nil"/>
            </w:tcBorders>
            <w:shd w:val="clear" w:color="auto" w:fill="auto"/>
            <w:vAlign w:val="center"/>
            <w:hideMark/>
          </w:tcPr>
          <w:p w14:paraId="5D9E8F8C"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1,2</w:t>
            </w:r>
          </w:p>
        </w:tc>
      </w:tr>
      <w:tr w:rsidR="001F224C" w:rsidRPr="002C7555" w14:paraId="52ECF885" w14:textId="77777777" w:rsidTr="001F224C">
        <w:trPr>
          <w:gridAfter w:val="1"/>
          <w:wAfter w:w="10" w:type="dxa"/>
          <w:trHeight w:val="188"/>
          <w:jc w:val="center"/>
        </w:trPr>
        <w:tc>
          <w:tcPr>
            <w:tcW w:w="409" w:type="dxa"/>
            <w:vMerge/>
            <w:tcBorders>
              <w:top w:val="nil"/>
              <w:left w:val="nil"/>
              <w:bottom w:val="single" w:sz="4" w:space="0" w:color="000000"/>
              <w:right w:val="nil"/>
            </w:tcBorders>
            <w:vAlign w:val="center"/>
            <w:hideMark/>
          </w:tcPr>
          <w:p w14:paraId="414809AD" w14:textId="77777777" w:rsidR="001F224C" w:rsidRPr="002C7555" w:rsidRDefault="001F224C" w:rsidP="001F224C">
            <w:pPr>
              <w:spacing w:after="0" w:line="240" w:lineRule="auto"/>
              <w:rPr>
                <w:rFonts w:ascii="Arial Narrow" w:hAnsi="Arial Narrow"/>
                <w:b/>
                <w:bCs/>
                <w:color w:val="000000"/>
                <w:sz w:val="20"/>
                <w:szCs w:val="20"/>
                <w:lang w:val="en-US" w:eastAsia="en-US"/>
              </w:rPr>
            </w:pPr>
          </w:p>
        </w:tc>
        <w:tc>
          <w:tcPr>
            <w:tcW w:w="407" w:type="dxa"/>
            <w:gridSpan w:val="2"/>
            <w:vMerge/>
            <w:tcBorders>
              <w:top w:val="nil"/>
              <w:left w:val="nil"/>
              <w:bottom w:val="single" w:sz="4" w:space="0" w:color="000000"/>
              <w:right w:val="nil"/>
            </w:tcBorders>
            <w:vAlign w:val="center"/>
            <w:hideMark/>
          </w:tcPr>
          <w:p w14:paraId="03A81B47"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632B15B5"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 HDP)</w:t>
            </w:r>
          </w:p>
        </w:tc>
        <w:tc>
          <w:tcPr>
            <w:tcW w:w="710" w:type="dxa"/>
            <w:tcBorders>
              <w:top w:val="nil"/>
              <w:left w:val="nil"/>
              <w:bottom w:val="single" w:sz="4" w:space="0" w:color="auto"/>
              <w:right w:val="nil"/>
            </w:tcBorders>
            <w:shd w:val="clear" w:color="auto" w:fill="auto"/>
            <w:vAlign w:val="center"/>
            <w:hideMark/>
          </w:tcPr>
          <w:p w14:paraId="06ECB353"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nil"/>
              <w:right w:val="nil"/>
            </w:tcBorders>
            <w:shd w:val="clear" w:color="auto" w:fill="auto"/>
            <w:vAlign w:val="center"/>
          </w:tcPr>
          <w:p w14:paraId="41A82037" w14:textId="596F766A"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1,93</w:t>
            </w:r>
          </w:p>
        </w:tc>
        <w:tc>
          <w:tcPr>
            <w:tcW w:w="592" w:type="dxa"/>
            <w:tcBorders>
              <w:top w:val="nil"/>
              <w:left w:val="nil"/>
              <w:bottom w:val="nil"/>
              <w:right w:val="nil"/>
            </w:tcBorders>
            <w:shd w:val="clear" w:color="auto" w:fill="auto"/>
            <w:vAlign w:val="center"/>
          </w:tcPr>
          <w:p w14:paraId="69E8A622" w14:textId="241E9481"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1,92</w:t>
            </w:r>
          </w:p>
        </w:tc>
        <w:tc>
          <w:tcPr>
            <w:tcW w:w="592" w:type="dxa"/>
            <w:tcBorders>
              <w:top w:val="nil"/>
              <w:left w:val="nil"/>
              <w:bottom w:val="nil"/>
              <w:right w:val="nil"/>
            </w:tcBorders>
            <w:shd w:val="clear" w:color="auto" w:fill="auto"/>
            <w:vAlign w:val="center"/>
          </w:tcPr>
          <w:p w14:paraId="1D3A637C" w14:textId="4433E417"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1,97</w:t>
            </w:r>
          </w:p>
        </w:tc>
        <w:tc>
          <w:tcPr>
            <w:tcW w:w="592" w:type="dxa"/>
            <w:tcBorders>
              <w:top w:val="nil"/>
              <w:left w:val="nil"/>
              <w:bottom w:val="nil"/>
              <w:right w:val="nil"/>
            </w:tcBorders>
            <w:shd w:val="clear" w:color="auto" w:fill="auto"/>
            <w:vAlign w:val="center"/>
          </w:tcPr>
          <w:p w14:paraId="64074C8F" w14:textId="15C22E49"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2</w:t>
            </w:r>
          </w:p>
        </w:tc>
        <w:tc>
          <w:tcPr>
            <w:tcW w:w="592" w:type="dxa"/>
            <w:tcBorders>
              <w:top w:val="nil"/>
              <w:left w:val="nil"/>
              <w:bottom w:val="single" w:sz="4" w:space="0" w:color="auto"/>
              <w:right w:val="nil"/>
            </w:tcBorders>
            <w:shd w:val="clear" w:color="auto" w:fill="auto"/>
            <w:vAlign w:val="center"/>
          </w:tcPr>
          <w:p w14:paraId="0710F2DA" w14:textId="55765786"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2,02</w:t>
            </w:r>
          </w:p>
        </w:tc>
        <w:tc>
          <w:tcPr>
            <w:tcW w:w="592" w:type="dxa"/>
            <w:tcBorders>
              <w:top w:val="nil"/>
              <w:left w:val="nil"/>
              <w:bottom w:val="single" w:sz="4" w:space="0" w:color="auto"/>
              <w:right w:val="nil"/>
            </w:tcBorders>
            <w:shd w:val="clear" w:color="auto" w:fill="auto"/>
            <w:vAlign w:val="center"/>
          </w:tcPr>
          <w:p w14:paraId="30415410" w14:textId="38088194"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2,03</w:t>
            </w:r>
          </w:p>
        </w:tc>
        <w:tc>
          <w:tcPr>
            <w:tcW w:w="592" w:type="dxa"/>
            <w:tcBorders>
              <w:top w:val="nil"/>
              <w:left w:val="nil"/>
              <w:bottom w:val="single" w:sz="4" w:space="0" w:color="auto"/>
              <w:right w:val="nil"/>
            </w:tcBorders>
            <w:shd w:val="clear" w:color="auto" w:fill="auto"/>
            <w:vAlign w:val="center"/>
          </w:tcPr>
          <w:p w14:paraId="5542AC7F" w14:textId="395FD2B3"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2,04</w:t>
            </w:r>
          </w:p>
        </w:tc>
        <w:tc>
          <w:tcPr>
            <w:tcW w:w="592" w:type="dxa"/>
            <w:tcBorders>
              <w:top w:val="nil"/>
              <w:left w:val="nil"/>
              <w:bottom w:val="single" w:sz="4" w:space="0" w:color="auto"/>
              <w:right w:val="nil"/>
            </w:tcBorders>
            <w:shd w:val="clear" w:color="auto" w:fill="auto"/>
            <w:vAlign w:val="center"/>
          </w:tcPr>
          <w:p w14:paraId="79E0774C" w14:textId="2C22DEE4"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2,04</w:t>
            </w:r>
          </w:p>
        </w:tc>
        <w:tc>
          <w:tcPr>
            <w:tcW w:w="592" w:type="dxa"/>
            <w:tcBorders>
              <w:top w:val="nil"/>
              <w:left w:val="nil"/>
              <w:bottom w:val="single" w:sz="4" w:space="0" w:color="auto"/>
              <w:right w:val="nil"/>
            </w:tcBorders>
            <w:shd w:val="clear" w:color="auto" w:fill="auto"/>
            <w:noWrap/>
            <w:vAlign w:val="center"/>
          </w:tcPr>
          <w:p w14:paraId="334DA5C8" w14:textId="50CD9DB4"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2,07</w:t>
            </w:r>
          </w:p>
        </w:tc>
        <w:tc>
          <w:tcPr>
            <w:tcW w:w="592" w:type="dxa"/>
            <w:tcBorders>
              <w:top w:val="nil"/>
              <w:left w:val="nil"/>
              <w:bottom w:val="single" w:sz="4" w:space="0" w:color="auto"/>
              <w:right w:val="nil"/>
            </w:tcBorders>
            <w:vAlign w:val="center"/>
          </w:tcPr>
          <w:p w14:paraId="44DDB735" w14:textId="0F9901CB"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592" w:type="dxa"/>
            <w:tcBorders>
              <w:top w:val="nil"/>
              <w:left w:val="nil"/>
              <w:bottom w:val="single" w:sz="4" w:space="0" w:color="auto"/>
              <w:right w:val="nil"/>
            </w:tcBorders>
            <w:shd w:val="clear" w:color="auto" w:fill="auto"/>
            <w:vAlign w:val="center"/>
            <w:hideMark/>
          </w:tcPr>
          <w:p w14:paraId="08CA4606"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3</w:t>
            </w:r>
          </w:p>
        </w:tc>
      </w:tr>
      <w:tr w:rsidR="001F224C" w:rsidRPr="002C7555" w14:paraId="4388969B" w14:textId="77777777" w:rsidTr="001F224C">
        <w:trPr>
          <w:gridAfter w:val="1"/>
          <w:wAfter w:w="10" w:type="dxa"/>
          <w:trHeight w:val="188"/>
          <w:jc w:val="center"/>
        </w:trPr>
        <w:tc>
          <w:tcPr>
            <w:tcW w:w="409" w:type="dxa"/>
            <w:tcBorders>
              <w:top w:val="nil"/>
              <w:left w:val="nil"/>
              <w:bottom w:val="nil"/>
              <w:right w:val="nil"/>
            </w:tcBorders>
            <w:shd w:val="clear" w:color="auto" w:fill="auto"/>
            <w:textDirection w:val="btLr"/>
            <w:vAlign w:val="center"/>
            <w:hideMark/>
          </w:tcPr>
          <w:p w14:paraId="6806E3D3"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407" w:type="dxa"/>
            <w:gridSpan w:val="2"/>
            <w:vMerge w:val="restart"/>
            <w:tcBorders>
              <w:top w:val="nil"/>
              <w:left w:val="nil"/>
              <w:bottom w:val="single" w:sz="4" w:space="0" w:color="000000"/>
              <w:right w:val="nil"/>
            </w:tcBorders>
            <w:shd w:val="clear" w:color="auto" w:fill="auto"/>
            <w:noWrap/>
            <w:vAlign w:val="center"/>
            <w:hideMark/>
          </w:tcPr>
          <w:p w14:paraId="6B5F09DD"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9</w:t>
            </w:r>
          </w:p>
        </w:tc>
        <w:tc>
          <w:tcPr>
            <w:tcW w:w="2050" w:type="dxa"/>
            <w:tcBorders>
              <w:top w:val="nil"/>
              <w:left w:val="nil"/>
              <w:bottom w:val="nil"/>
              <w:right w:val="nil"/>
            </w:tcBorders>
            <w:shd w:val="clear" w:color="auto" w:fill="auto"/>
            <w:noWrap/>
            <w:vAlign w:val="center"/>
            <w:hideMark/>
          </w:tcPr>
          <w:p w14:paraId="380A58EC" w14:textId="77777777" w:rsidR="001F224C" w:rsidRPr="002C7555" w:rsidRDefault="001F224C" w:rsidP="001F224C">
            <w:pPr>
              <w:spacing w:after="0" w:line="240" w:lineRule="auto"/>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High-tech export</w:t>
            </w:r>
          </w:p>
        </w:tc>
        <w:tc>
          <w:tcPr>
            <w:tcW w:w="710" w:type="dxa"/>
            <w:tcBorders>
              <w:top w:val="nil"/>
              <w:left w:val="nil"/>
              <w:bottom w:val="nil"/>
              <w:right w:val="nil"/>
            </w:tcBorders>
            <w:shd w:val="clear" w:color="auto" w:fill="auto"/>
            <w:vAlign w:val="center"/>
            <w:hideMark/>
          </w:tcPr>
          <w:p w14:paraId="00023679"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single" w:sz="4" w:space="0" w:color="auto"/>
              <w:left w:val="nil"/>
              <w:bottom w:val="nil"/>
              <w:right w:val="nil"/>
            </w:tcBorders>
            <w:shd w:val="clear" w:color="auto" w:fill="auto"/>
            <w:vAlign w:val="center"/>
          </w:tcPr>
          <w:p w14:paraId="6FF0602C" w14:textId="7B27EA2A"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sz w:val="20"/>
                <w:szCs w:val="20"/>
              </w:rPr>
              <w:t>5,9</w:t>
            </w:r>
          </w:p>
        </w:tc>
        <w:tc>
          <w:tcPr>
            <w:tcW w:w="592" w:type="dxa"/>
            <w:tcBorders>
              <w:top w:val="single" w:sz="4" w:space="0" w:color="auto"/>
              <w:left w:val="nil"/>
              <w:bottom w:val="nil"/>
              <w:right w:val="nil"/>
            </w:tcBorders>
            <w:shd w:val="clear" w:color="auto" w:fill="auto"/>
            <w:vAlign w:val="center"/>
          </w:tcPr>
          <w:p w14:paraId="73A67C3B" w14:textId="454F3D0D"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sz w:val="20"/>
                <w:szCs w:val="20"/>
              </w:rPr>
              <w:t>6,6</w:t>
            </w:r>
          </w:p>
        </w:tc>
        <w:tc>
          <w:tcPr>
            <w:tcW w:w="592" w:type="dxa"/>
            <w:tcBorders>
              <w:top w:val="single" w:sz="4" w:space="0" w:color="auto"/>
              <w:left w:val="nil"/>
              <w:bottom w:val="nil"/>
              <w:right w:val="nil"/>
            </w:tcBorders>
            <w:shd w:val="clear" w:color="auto" w:fill="auto"/>
            <w:vAlign w:val="center"/>
          </w:tcPr>
          <w:p w14:paraId="54F8E1FD" w14:textId="0BE5F5DD"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sz w:val="20"/>
                <w:szCs w:val="20"/>
              </w:rPr>
              <w:t>6,6</w:t>
            </w:r>
          </w:p>
        </w:tc>
        <w:tc>
          <w:tcPr>
            <w:tcW w:w="592" w:type="dxa"/>
            <w:tcBorders>
              <w:top w:val="single" w:sz="4" w:space="0" w:color="auto"/>
              <w:left w:val="nil"/>
              <w:bottom w:val="nil"/>
              <w:right w:val="nil"/>
            </w:tcBorders>
            <w:shd w:val="clear" w:color="auto" w:fill="auto"/>
            <w:vAlign w:val="center"/>
          </w:tcPr>
          <w:p w14:paraId="6B0278CE" w14:textId="1015E678"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sz w:val="20"/>
                <w:szCs w:val="20"/>
              </w:rPr>
              <w:t>8,2</w:t>
            </w:r>
          </w:p>
        </w:tc>
        <w:tc>
          <w:tcPr>
            <w:tcW w:w="592" w:type="dxa"/>
            <w:tcBorders>
              <w:top w:val="nil"/>
              <w:left w:val="nil"/>
              <w:bottom w:val="nil"/>
              <w:right w:val="nil"/>
            </w:tcBorders>
            <w:shd w:val="clear" w:color="auto" w:fill="auto"/>
            <w:vAlign w:val="center"/>
          </w:tcPr>
          <w:p w14:paraId="58E16521" w14:textId="33375280"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sz w:val="20"/>
                <w:szCs w:val="20"/>
              </w:rPr>
              <w:t>9,6</w:t>
            </w:r>
          </w:p>
        </w:tc>
        <w:tc>
          <w:tcPr>
            <w:tcW w:w="592" w:type="dxa"/>
            <w:tcBorders>
              <w:top w:val="nil"/>
              <w:left w:val="nil"/>
              <w:bottom w:val="nil"/>
              <w:right w:val="nil"/>
            </w:tcBorders>
            <w:shd w:val="clear" w:color="auto" w:fill="auto"/>
            <w:vAlign w:val="center"/>
          </w:tcPr>
          <w:p w14:paraId="59F18B36" w14:textId="6C64C839"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sz w:val="20"/>
                <w:szCs w:val="20"/>
              </w:rPr>
              <w:t>9,9</w:t>
            </w:r>
          </w:p>
        </w:tc>
        <w:tc>
          <w:tcPr>
            <w:tcW w:w="592" w:type="dxa"/>
            <w:tcBorders>
              <w:top w:val="nil"/>
              <w:left w:val="nil"/>
              <w:bottom w:val="nil"/>
              <w:right w:val="nil"/>
            </w:tcBorders>
            <w:shd w:val="clear" w:color="auto" w:fill="auto"/>
            <w:vAlign w:val="center"/>
          </w:tcPr>
          <w:p w14:paraId="227689DC" w14:textId="716216BC"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sz w:val="20"/>
                <w:szCs w:val="20"/>
              </w:rPr>
              <w:t>10</w:t>
            </w:r>
          </w:p>
        </w:tc>
        <w:tc>
          <w:tcPr>
            <w:tcW w:w="592" w:type="dxa"/>
            <w:tcBorders>
              <w:top w:val="nil"/>
              <w:left w:val="nil"/>
              <w:bottom w:val="nil"/>
              <w:right w:val="nil"/>
            </w:tcBorders>
            <w:shd w:val="clear" w:color="auto" w:fill="auto"/>
            <w:vAlign w:val="center"/>
          </w:tcPr>
          <w:p w14:paraId="38937E56" w14:textId="5B0F1704"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9,7</w:t>
            </w:r>
          </w:p>
        </w:tc>
        <w:tc>
          <w:tcPr>
            <w:tcW w:w="592" w:type="dxa"/>
            <w:tcBorders>
              <w:top w:val="nil"/>
              <w:left w:val="nil"/>
              <w:bottom w:val="nil"/>
              <w:right w:val="nil"/>
            </w:tcBorders>
            <w:shd w:val="clear" w:color="auto" w:fill="auto"/>
            <w:noWrap/>
            <w:vAlign w:val="center"/>
          </w:tcPr>
          <w:p w14:paraId="0D6272AD" w14:textId="6CF2E3DE"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10,6</w:t>
            </w:r>
          </w:p>
        </w:tc>
        <w:tc>
          <w:tcPr>
            <w:tcW w:w="592" w:type="dxa"/>
            <w:tcBorders>
              <w:top w:val="nil"/>
              <w:left w:val="nil"/>
              <w:bottom w:val="nil"/>
              <w:right w:val="nil"/>
            </w:tcBorders>
            <w:vAlign w:val="center"/>
          </w:tcPr>
          <w:p w14:paraId="14D60AA0" w14:textId="762AD97D"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592" w:type="dxa"/>
            <w:tcBorders>
              <w:top w:val="nil"/>
              <w:left w:val="nil"/>
              <w:bottom w:val="nil"/>
              <w:right w:val="nil"/>
            </w:tcBorders>
            <w:shd w:val="clear" w:color="auto" w:fill="auto"/>
            <w:vAlign w:val="center"/>
            <w:hideMark/>
          </w:tcPr>
          <w:p w14:paraId="7262634E"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14</w:t>
            </w:r>
          </w:p>
        </w:tc>
      </w:tr>
      <w:tr w:rsidR="001F224C" w:rsidRPr="002C7555" w14:paraId="270604C0" w14:textId="77777777" w:rsidTr="001F224C">
        <w:trPr>
          <w:gridAfter w:val="1"/>
          <w:wAfter w:w="10" w:type="dxa"/>
          <w:trHeight w:val="188"/>
          <w:jc w:val="center"/>
        </w:trPr>
        <w:tc>
          <w:tcPr>
            <w:tcW w:w="409" w:type="dxa"/>
            <w:tcBorders>
              <w:top w:val="nil"/>
              <w:left w:val="nil"/>
              <w:bottom w:val="single" w:sz="4" w:space="0" w:color="auto"/>
              <w:right w:val="nil"/>
            </w:tcBorders>
            <w:shd w:val="clear" w:color="auto" w:fill="auto"/>
            <w:textDirection w:val="btLr"/>
            <w:vAlign w:val="center"/>
            <w:hideMark/>
          </w:tcPr>
          <w:p w14:paraId="6A06881B"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 </w:t>
            </w:r>
          </w:p>
        </w:tc>
        <w:tc>
          <w:tcPr>
            <w:tcW w:w="407" w:type="dxa"/>
            <w:gridSpan w:val="2"/>
            <w:vMerge/>
            <w:tcBorders>
              <w:top w:val="nil"/>
              <w:left w:val="nil"/>
              <w:bottom w:val="single" w:sz="4" w:space="0" w:color="000000"/>
              <w:right w:val="nil"/>
            </w:tcBorders>
            <w:vAlign w:val="center"/>
            <w:hideMark/>
          </w:tcPr>
          <w:p w14:paraId="17A05ECF"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7E61ED5B"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na</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celkovom</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exporte</w:t>
            </w:r>
            <w:proofErr w:type="spellEnd"/>
            <w:r w:rsidRPr="002C7555">
              <w:rPr>
                <w:rFonts w:ascii="Arial Narrow" w:hAnsi="Arial Narrow"/>
                <w:color w:val="000000"/>
                <w:sz w:val="20"/>
                <w:szCs w:val="20"/>
                <w:lang w:val="en-US" w:eastAsia="en-US"/>
              </w:rPr>
              <w:t>)</w:t>
            </w:r>
          </w:p>
        </w:tc>
        <w:tc>
          <w:tcPr>
            <w:tcW w:w="710" w:type="dxa"/>
            <w:tcBorders>
              <w:top w:val="nil"/>
              <w:left w:val="nil"/>
              <w:bottom w:val="single" w:sz="4" w:space="0" w:color="auto"/>
              <w:right w:val="nil"/>
            </w:tcBorders>
            <w:shd w:val="clear" w:color="auto" w:fill="auto"/>
            <w:vAlign w:val="center"/>
            <w:hideMark/>
          </w:tcPr>
          <w:p w14:paraId="0DDBCB2D"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single" w:sz="4" w:space="0" w:color="auto"/>
              <w:right w:val="nil"/>
            </w:tcBorders>
            <w:shd w:val="clear" w:color="auto" w:fill="auto"/>
            <w:vAlign w:val="center"/>
          </w:tcPr>
          <w:p w14:paraId="440E2E6D" w14:textId="3D1CBFAC"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sz w:val="20"/>
                <w:szCs w:val="20"/>
              </w:rPr>
              <w:t>17,1</w:t>
            </w:r>
          </w:p>
        </w:tc>
        <w:tc>
          <w:tcPr>
            <w:tcW w:w="592" w:type="dxa"/>
            <w:tcBorders>
              <w:top w:val="nil"/>
              <w:left w:val="nil"/>
              <w:bottom w:val="single" w:sz="4" w:space="0" w:color="auto"/>
              <w:right w:val="nil"/>
            </w:tcBorders>
            <w:shd w:val="clear" w:color="auto" w:fill="auto"/>
            <w:vAlign w:val="center"/>
          </w:tcPr>
          <w:p w14:paraId="6F17E476" w14:textId="12F2056D"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sz w:val="20"/>
                <w:szCs w:val="20"/>
              </w:rPr>
              <w:t>16,1</w:t>
            </w:r>
          </w:p>
        </w:tc>
        <w:tc>
          <w:tcPr>
            <w:tcW w:w="592" w:type="dxa"/>
            <w:tcBorders>
              <w:top w:val="nil"/>
              <w:left w:val="nil"/>
              <w:bottom w:val="single" w:sz="4" w:space="0" w:color="auto"/>
              <w:right w:val="nil"/>
            </w:tcBorders>
            <w:shd w:val="clear" w:color="auto" w:fill="auto"/>
            <w:vAlign w:val="center"/>
          </w:tcPr>
          <w:p w14:paraId="02A46D0B" w14:textId="69C6D533"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sz w:val="20"/>
                <w:szCs w:val="20"/>
              </w:rPr>
              <w:t>15,4</w:t>
            </w:r>
          </w:p>
        </w:tc>
        <w:tc>
          <w:tcPr>
            <w:tcW w:w="592" w:type="dxa"/>
            <w:tcBorders>
              <w:top w:val="nil"/>
              <w:left w:val="nil"/>
              <w:bottom w:val="single" w:sz="4" w:space="0" w:color="auto"/>
              <w:right w:val="nil"/>
            </w:tcBorders>
            <w:shd w:val="clear" w:color="auto" w:fill="auto"/>
            <w:vAlign w:val="center"/>
          </w:tcPr>
          <w:p w14:paraId="78F8014E" w14:textId="0BEE04FC"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sz w:val="20"/>
                <w:szCs w:val="20"/>
              </w:rPr>
              <w:t>15,7</w:t>
            </w:r>
          </w:p>
        </w:tc>
        <w:tc>
          <w:tcPr>
            <w:tcW w:w="592" w:type="dxa"/>
            <w:tcBorders>
              <w:top w:val="nil"/>
              <w:left w:val="nil"/>
              <w:bottom w:val="single" w:sz="4" w:space="0" w:color="auto"/>
              <w:right w:val="nil"/>
            </w:tcBorders>
            <w:shd w:val="clear" w:color="auto" w:fill="auto"/>
            <w:vAlign w:val="center"/>
          </w:tcPr>
          <w:p w14:paraId="5D570406" w14:textId="4541E9E6"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sz w:val="20"/>
                <w:szCs w:val="20"/>
              </w:rPr>
              <w:t>15,3</w:t>
            </w:r>
          </w:p>
        </w:tc>
        <w:tc>
          <w:tcPr>
            <w:tcW w:w="592" w:type="dxa"/>
            <w:tcBorders>
              <w:top w:val="nil"/>
              <w:left w:val="nil"/>
              <w:bottom w:val="single" w:sz="4" w:space="0" w:color="auto"/>
              <w:right w:val="nil"/>
            </w:tcBorders>
            <w:shd w:val="clear" w:color="auto" w:fill="auto"/>
            <w:vAlign w:val="center"/>
          </w:tcPr>
          <w:p w14:paraId="6E42404E" w14:textId="0CB6F8CB"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sz w:val="20"/>
                <w:szCs w:val="20"/>
              </w:rPr>
              <w:t>15,6</w:t>
            </w:r>
          </w:p>
        </w:tc>
        <w:tc>
          <w:tcPr>
            <w:tcW w:w="592" w:type="dxa"/>
            <w:tcBorders>
              <w:top w:val="nil"/>
              <w:left w:val="nil"/>
              <w:bottom w:val="single" w:sz="4" w:space="0" w:color="auto"/>
              <w:right w:val="nil"/>
            </w:tcBorders>
            <w:shd w:val="clear" w:color="auto" w:fill="auto"/>
            <w:vAlign w:val="center"/>
          </w:tcPr>
          <w:p w14:paraId="7EA9E046" w14:textId="62734E39"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sz w:val="20"/>
                <w:szCs w:val="20"/>
              </w:rPr>
              <w:t>17</w:t>
            </w:r>
          </w:p>
        </w:tc>
        <w:tc>
          <w:tcPr>
            <w:tcW w:w="592" w:type="dxa"/>
            <w:tcBorders>
              <w:top w:val="nil"/>
              <w:left w:val="nil"/>
              <w:bottom w:val="single" w:sz="4" w:space="0" w:color="auto"/>
              <w:right w:val="nil"/>
            </w:tcBorders>
            <w:shd w:val="clear" w:color="auto" w:fill="auto"/>
            <w:vAlign w:val="center"/>
          </w:tcPr>
          <w:p w14:paraId="560DEC04" w14:textId="7C8CCFAC"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17,9</w:t>
            </w:r>
          </w:p>
        </w:tc>
        <w:tc>
          <w:tcPr>
            <w:tcW w:w="592" w:type="dxa"/>
            <w:tcBorders>
              <w:top w:val="nil"/>
              <w:left w:val="nil"/>
              <w:bottom w:val="single" w:sz="4" w:space="0" w:color="auto"/>
              <w:right w:val="nil"/>
            </w:tcBorders>
            <w:shd w:val="clear" w:color="auto" w:fill="auto"/>
            <w:noWrap/>
            <w:vAlign w:val="center"/>
          </w:tcPr>
          <w:p w14:paraId="6F2448C4" w14:textId="4107FA10" w:rsidR="001F224C" w:rsidRPr="002C7555" w:rsidRDefault="001F224C" w:rsidP="001F224C">
            <w:pPr>
              <w:spacing w:after="0" w:line="240" w:lineRule="auto"/>
              <w:jc w:val="center"/>
              <w:rPr>
                <w:rFonts w:ascii="Arial Narrow" w:hAnsi="Arial Narrow"/>
                <w:color w:val="000000"/>
                <w:sz w:val="20"/>
                <w:szCs w:val="20"/>
                <w:lang w:val="en-US" w:eastAsia="en-US"/>
              </w:rPr>
            </w:pPr>
            <w:r w:rsidRPr="005B2D64">
              <w:rPr>
                <w:rFonts w:ascii="Arial Narrow" w:hAnsi="Arial Narrow"/>
                <w:color w:val="000000"/>
                <w:sz w:val="20"/>
                <w:szCs w:val="20"/>
              </w:rPr>
              <w:t>17,8</w:t>
            </w:r>
          </w:p>
        </w:tc>
        <w:tc>
          <w:tcPr>
            <w:tcW w:w="592" w:type="dxa"/>
            <w:tcBorders>
              <w:top w:val="nil"/>
              <w:left w:val="nil"/>
              <w:bottom w:val="single" w:sz="4" w:space="0" w:color="auto"/>
              <w:right w:val="nil"/>
            </w:tcBorders>
            <w:vAlign w:val="center"/>
          </w:tcPr>
          <w:p w14:paraId="5E0875F2" w14:textId="64E67DE1"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592" w:type="dxa"/>
            <w:tcBorders>
              <w:top w:val="nil"/>
              <w:left w:val="nil"/>
              <w:bottom w:val="single" w:sz="4" w:space="0" w:color="auto"/>
              <w:right w:val="nil"/>
            </w:tcBorders>
            <w:shd w:val="clear" w:color="auto" w:fill="auto"/>
            <w:vAlign w:val="center"/>
            <w:hideMark/>
          </w:tcPr>
          <w:p w14:paraId="05A1B0BD"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479079D3" w14:textId="77777777" w:rsidTr="001F224C">
        <w:trPr>
          <w:trHeight w:val="188"/>
          <w:jc w:val="center"/>
        </w:trPr>
        <w:tc>
          <w:tcPr>
            <w:tcW w:w="602" w:type="dxa"/>
            <w:gridSpan w:val="2"/>
            <w:tcBorders>
              <w:top w:val="single" w:sz="4" w:space="0" w:color="auto"/>
              <w:left w:val="nil"/>
              <w:bottom w:val="single" w:sz="4" w:space="0" w:color="auto"/>
              <w:right w:val="nil"/>
            </w:tcBorders>
            <w:shd w:val="clear" w:color="000000" w:fill="A9D2F1"/>
          </w:tcPr>
          <w:p w14:paraId="2CF0F52B" w14:textId="77777777" w:rsidR="001F224C" w:rsidRPr="002C7555" w:rsidRDefault="001F224C" w:rsidP="001F224C">
            <w:pPr>
              <w:spacing w:after="0" w:line="240" w:lineRule="auto"/>
              <w:rPr>
                <w:rFonts w:ascii="Arial Narrow" w:hAnsi="Arial Narrow"/>
                <w:b/>
                <w:bCs/>
                <w:sz w:val="20"/>
                <w:szCs w:val="20"/>
                <w:lang w:val="en-US" w:eastAsia="en-US"/>
              </w:rPr>
            </w:pPr>
          </w:p>
        </w:tc>
        <w:tc>
          <w:tcPr>
            <w:tcW w:w="9604" w:type="dxa"/>
            <w:gridSpan w:val="15"/>
            <w:tcBorders>
              <w:top w:val="single" w:sz="4" w:space="0" w:color="auto"/>
              <w:left w:val="nil"/>
              <w:bottom w:val="single" w:sz="4" w:space="0" w:color="auto"/>
              <w:right w:val="nil"/>
            </w:tcBorders>
            <w:shd w:val="clear" w:color="000000" w:fill="A9D2F1"/>
            <w:noWrap/>
            <w:vAlign w:val="center"/>
          </w:tcPr>
          <w:p w14:paraId="32FA4E09" w14:textId="77777777" w:rsidR="001F224C" w:rsidRPr="002C7555" w:rsidRDefault="001F224C" w:rsidP="001F224C">
            <w:pPr>
              <w:spacing w:after="0" w:line="240" w:lineRule="auto"/>
              <w:rPr>
                <w:rFonts w:ascii="Arial Narrow" w:hAnsi="Arial Narrow"/>
                <w:b/>
                <w:bCs/>
                <w:sz w:val="20"/>
                <w:szCs w:val="20"/>
                <w:lang w:val="en-US" w:eastAsia="en-US"/>
              </w:rPr>
            </w:pPr>
            <w:proofErr w:type="spellStart"/>
            <w:r w:rsidRPr="002C7555">
              <w:rPr>
                <w:rFonts w:ascii="Arial Narrow" w:hAnsi="Arial Narrow"/>
                <w:b/>
                <w:bCs/>
                <w:sz w:val="20"/>
                <w:szCs w:val="20"/>
                <w:lang w:val="en-US" w:eastAsia="en-US"/>
              </w:rPr>
              <w:t>Zamestnanosť</w:t>
            </w:r>
            <w:proofErr w:type="spellEnd"/>
            <w:r w:rsidRPr="002C7555">
              <w:rPr>
                <w:rFonts w:ascii="Arial Narrow" w:hAnsi="Arial Narrow"/>
                <w:b/>
                <w:bCs/>
                <w:sz w:val="20"/>
                <w:szCs w:val="20"/>
                <w:lang w:val="en-US" w:eastAsia="en-US"/>
              </w:rPr>
              <w:t xml:space="preserve"> a </w:t>
            </w:r>
            <w:proofErr w:type="spellStart"/>
            <w:r w:rsidRPr="002C7555">
              <w:rPr>
                <w:rFonts w:ascii="Arial Narrow" w:hAnsi="Arial Narrow"/>
                <w:b/>
                <w:bCs/>
                <w:sz w:val="20"/>
                <w:szCs w:val="20"/>
                <w:lang w:val="en-US" w:eastAsia="en-US"/>
              </w:rPr>
              <w:t>sociálna</w:t>
            </w:r>
            <w:proofErr w:type="spellEnd"/>
            <w:r w:rsidRPr="002C7555">
              <w:rPr>
                <w:rFonts w:ascii="Arial Narrow" w:hAnsi="Arial Narrow"/>
                <w:b/>
                <w:bCs/>
                <w:sz w:val="20"/>
                <w:szCs w:val="20"/>
                <w:lang w:val="en-US" w:eastAsia="en-US"/>
              </w:rPr>
              <w:t xml:space="preserve"> </w:t>
            </w:r>
            <w:proofErr w:type="spellStart"/>
            <w:r w:rsidRPr="002C7555">
              <w:rPr>
                <w:rFonts w:ascii="Arial Narrow" w:hAnsi="Arial Narrow"/>
                <w:b/>
                <w:bCs/>
                <w:sz w:val="20"/>
                <w:szCs w:val="20"/>
                <w:lang w:val="en-US" w:eastAsia="en-US"/>
              </w:rPr>
              <w:t>inklúzia</w:t>
            </w:r>
            <w:proofErr w:type="spellEnd"/>
          </w:p>
        </w:tc>
      </w:tr>
      <w:tr w:rsidR="001F224C" w:rsidRPr="002C7555" w14:paraId="06777428" w14:textId="77777777" w:rsidTr="001F224C">
        <w:trPr>
          <w:gridAfter w:val="1"/>
          <w:wAfter w:w="10" w:type="dxa"/>
          <w:trHeight w:val="188"/>
          <w:jc w:val="center"/>
        </w:trPr>
        <w:tc>
          <w:tcPr>
            <w:tcW w:w="409" w:type="dxa"/>
            <w:tcBorders>
              <w:top w:val="nil"/>
              <w:left w:val="nil"/>
              <w:bottom w:val="nil"/>
              <w:right w:val="nil"/>
            </w:tcBorders>
            <w:shd w:val="clear" w:color="auto" w:fill="auto"/>
            <w:textDirection w:val="btLr"/>
            <w:vAlign w:val="center"/>
            <w:hideMark/>
          </w:tcPr>
          <w:p w14:paraId="0C9E633B" w14:textId="77777777" w:rsidR="001F224C" w:rsidRPr="002C7555" w:rsidRDefault="001F224C" w:rsidP="001F224C">
            <w:pPr>
              <w:spacing w:after="0" w:line="240" w:lineRule="auto"/>
              <w:rPr>
                <w:rFonts w:ascii="Arial Narrow" w:hAnsi="Arial Narrow"/>
                <w:b/>
                <w:bCs/>
                <w:sz w:val="20"/>
                <w:szCs w:val="20"/>
                <w:lang w:val="en-US" w:eastAsia="en-US"/>
              </w:rPr>
            </w:pPr>
          </w:p>
        </w:tc>
        <w:tc>
          <w:tcPr>
            <w:tcW w:w="407" w:type="dxa"/>
            <w:gridSpan w:val="2"/>
            <w:vMerge w:val="restart"/>
            <w:tcBorders>
              <w:top w:val="nil"/>
              <w:left w:val="nil"/>
              <w:bottom w:val="single" w:sz="4" w:space="0" w:color="000000"/>
              <w:right w:val="nil"/>
            </w:tcBorders>
            <w:shd w:val="clear" w:color="auto" w:fill="auto"/>
            <w:noWrap/>
            <w:vAlign w:val="center"/>
            <w:hideMark/>
          </w:tcPr>
          <w:p w14:paraId="33517E2A"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rPr>
              <w:t>10</w:t>
            </w:r>
          </w:p>
        </w:tc>
        <w:tc>
          <w:tcPr>
            <w:tcW w:w="2050" w:type="dxa"/>
            <w:tcBorders>
              <w:top w:val="nil"/>
              <w:left w:val="nil"/>
              <w:bottom w:val="nil"/>
              <w:right w:val="nil"/>
            </w:tcBorders>
            <w:shd w:val="clear" w:color="auto" w:fill="auto"/>
            <w:noWrap/>
            <w:vAlign w:val="center"/>
            <w:hideMark/>
          </w:tcPr>
          <w:p w14:paraId="5861DFC8" w14:textId="77777777" w:rsidR="001F224C" w:rsidRPr="002C7555" w:rsidRDefault="001F224C" w:rsidP="001F224C">
            <w:pPr>
              <w:spacing w:after="0" w:line="240" w:lineRule="auto"/>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Miera</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dlhodobej</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nezamestnanosti</w:t>
            </w:r>
            <w:proofErr w:type="spellEnd"/>
          </w:p>
        </w:tc>
        <w:tc>
          <w:tcPr>
            <w:tcW w:w="710" w:type="dxa"/>
            <w:tcBorders>
              <w:top w:val="nil"/>
              <w:left w:val="nil"/>
              <w:bottom w:val="nil"/>
              <w:right w:val="nil"/>
            </w:tcBorders>
            <w:shd w:val="clear" w:color="auto" w:fill="auto"/>
            <w:vAlign w:val="center"/>
            <w:hideMark/>
          </w:tcPr>
          <w:p w14:paraId="3DD2E348"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nil"/>
              <w:left w:val="nil"/>
              <w:bottom w:val="nil"/>
              <w:right w:val="nil"/>
            </w:tcBorders>
            <w:shd w:val="clear" w:color="auto" w:fill="auto"/>
            <w:vAlign w:val="center"/>
          </w:tcPr>
          <w:p w14:paraId="5E662303" w14:textId="783A709A" w:rsidR="001F224C" w:rsidRPr="002C7555" w:rsidRDefault="001F224C" w:rsidP="001F224C">
            <w:pPr>
              <w:spacing w:after="0" w:line="240" w:lineRule="auto"/>
              <w:jc w:val="center"/>
              <w:rPr>
                <w:rFonts w:ascii="Arial Narrow" w:hAnsi="Arial Narrow"/>
                <w:sz w:val="20"/>
                <w:szCs w:val="20"/>
                <w:lang w:val="en-US" w:eastAsia="en-US"/>
              </w:rPr>
            </w:pPr>
            <w:r w:rsidRPr="0062680A">
              <w:rPr>
                <w:rFonts w:ascii="Arial Narrow" w:hAnsi="Arial Narrow"/>
                <w:sz w:val="20"/>
                <w:szCs w:val="20"/>
              </w:rPr>
              <w:t>6,5</w:t>
            </w:r>
          </w:p>
        </w:tc>
        <w:tc>
          <w:tcPr>
            <w:tcW w:w="592" w:type="dxa"/>
            <w:tcBorders>
              <w:top w:val="nil"/>
              <w:left w:val="nil"/>
              <w:bottom w:val="nil"/>
              <w:right w:val="nil"/>
            </w:tcBorders>
            <w:shd w:val="clear" w:color="auto" w:fill="auto"/>
            <w:vAlign w:val="center"/>
          </w:tcPr>
          <w:p w14:paraId="0F5A0C79" w14:textId="74FEB0D0"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9,2</w:t>
            </w:r>
          </w:p>
        </w:tc>
        <w:tc>
          <w:tcPr>
            <w:tcW w:w="592" w:type="dxa"/>
            <w:tcBorders>
              <w:top w:val="nil"/>
              <w:left w:val="nil"/>
              <w:bottom w:val="nil"/>
              <w:right w:val="nil"/>
            </w:tcBorders>
            <w:shd w:val="clear" w:color="auto" w:fill="auto"/>
            <w:vAlign w:val="center"/>
          </w:tcPr>
          <w:p w14:paraId="0C9D4465" w14:textId="69D218EA"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9,2</w:t>
            </w:r>
          </w:p>
        </w:tc>
        <w:tc>
          <w:tcPr>
            <w:tcW w:w="592" w:type="dxa"/>
            <w:tcBorders>
              <w:top w:val="nil"/>
              <w:left w:val="nil"/>
              <w:bottom w:val="nil"/>
              <w:right w:val="nil"/>
            </w:tcBorders>
            <w:shd w:val="clear" w:color="auto" w:fill="auto"/>
            <w:vAlign w:val="center"/>
          </w:tcPr>
          <w:p w14:paraId="08558048" w14:textId="3C12C4DD"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9,4</w:t>
            </w:r>
          </w:p>
        </w:tc>
        <w:tc>
          <w:tcPr>
            <w:tcW w:w="592" w:type="dxa"/>
            <w:tcBorders>
              <w:top w:val="nil"/>
              <w:left w:val="nil"/>
              <w:bottom w:val="nil"/>
              <w:right w:val="nil"/>
            </w:tcBorders>
            <w:shd w:val="clear" w:color="auto" w:fill="auto"/>
            <w:vAlign w:val="center"/>
          </w:tcPr>
          <w:p w14:paraId="5326F65D" w14:textId="371735CA"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10,0</w:t>
            </w:r>
          </w:p>
        </w:tc>
        <w:tc>
          <w:tcPr>
            <w:tcW w:w="592" w:type="dxa"/>
            <w:tcBorders>
              <w:top w:val="nil"/>
              <w:left w:val="nil"/>
              <w:bottom w:val="nil"/>
              <w:right w:val="nil"/>
            </w:tcBorders>
            <w:shd w:val="clear" w:color="auto" w:fill="auto"/>
            <w:vAlign w:val="center"/>
          </w:tcPr>
          <w:p w14:paraId="18C62E12" w14:textId="1077689E"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9,3</w:t>
            </w:r>
          </w:p>
        </w:tc>
        <w:tc>
          <w:tcPr>
            <w:tcW w:w="592" w:type="dxa"/>
            <w:tcBorders>
              <w:top w:val="nil"/>
              <w:left w:val="nil"/>
              <w:bottom w:val="nil"/>
              <w:right w:val="nil"/>
            </w:tcBorders>
            <w:shd w:val="clear" w:color="auto" w:fill="auto"/>
            <w:vAlign w:val="center"/>
          </w:tcPr>
          <w:p w14:paraId="05E22BAE" w14:textId="4FF52DE5"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7,6</w:t>
            </w:r>
          </w:p>
        </w:tc>
        <w:tc>
          <w:tcPr>
            <w:tcW w:w="592" w:type="dxa"/>
            <w:tcBorders>
              <w:top w:val="nil"/>
              <w:left w:val="nil"/>
              <w:bottom w:val="nil"/>
              <w:right w:val="nil"/>
            </w:tcBorders>
            <w:vAlign w:val="center"/>
          </w:tcPr>
          <w:p w14:paraId="50B25C18" w14:textId="0BEE8263"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5,8</w:t>
            </w:r>
          </w:p>
        </w:tc>
        <w:tc>
          <w:tcPr>
            <w:tcW w:w="592" w:type="dxa"/>
            <w:tcBorders>
              <w:top w:val="nil"/>
              <w:left w:val="nil"/>
              <w:bottom w:val="nil"/>
              <w:right w:val="nil"/>
            </w:tcBorders>
            <w:vAlign w:val="center"/>
          </w:tcPr>
          <w:p w14:paraId="6583F329" w14:textId="580CBB6C"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5,1</w:t>
            </w:r>
          </w:p>
        </w:tc>
        <w:tc>
          <w:tcPr>
            <w:tcW w:w="592" w:type="dxa"/>
            <w:tcBorders>
              <w:top w:val="nil"/>
              <w:left w:val="nil"/>
              <w:bottom w:val="nil"/>
              <w:right w:val="nil"/>
            </w:tcBorders>
            <w:shd w:val="clear" w:color="auto" w:fill="auto"/>
            <w:vAlign w:val="center"/>
          </w:tcPr>
          <w:p w14:paraId="1214620F" w14:textId="07B86C3E" w:rsidR="001F224C" w:rsidRPr="00E9268A"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nil"/>
              <w:right w:val="nil"/>
            </w:tcBorders>
            <w:shd w:val="clear" w:color="auto" w:fill="auto"/>
            <w:vAlign w:val="center"/>
            <w:hideMark/>
          </w:tcPr>
          <w:p w14:paraId="33029E16"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3</w:t>
            </w:r>
          </w:p>
        </w:tc>
      </w:tr>
      <w:tr w:rsidR="001F224C" w:rsidRPr="002C7555" w14:paraId="4F41456E" w14:textId="77777777" w:rsidTr="001F224C">
        <w:trPr>
          <w:gridAfter w:val="1"/>
          <w:wAfter w:w="10" w:type="dxa"/>
          <w:trHeight w:val="188"/>
          <w:jc w:val="center"/>
        </w:trPr>
        <w:tc>
          <w:tcPr>
            <w:tcW w:w="409" w:type="dxa"/>
            <w:tcBorders>
              <w:top w:val="nil"/>
              <w:left w:val="nil"/>
              <w:bottom w:val="single" w:sz="4" w:space="0" w:color="auto"/>
              <w:right w:val="nil"/>
            </w:tcBorders>
            <w:shd w:val="clear" w:color="auto" w:fill="auto"/>
            <w:textDirection w:val="btLr"/>
            <w:vAlign w:val="center"/>
            <w:hideMark/>
          </w:tcPr>
          <w:p w14:paraId="2FAFE4EB"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 </w:t>
            </w:r>
          </w:p>
        </w:tc>
        <w:tc>
          <w:tcPr>
            <w:tcW w:w="407" w:type="dxa"/>
            <w:gridSpan w:val="2"/>
            <w:vMerge/>
            <w:tcBorders>
              <w:top w:val="nil"/>
              <w:left w:val="nil"/>
              <w:bottom w:val="single" w:sz="4" w:space="0" w:color="000000"/>
              <w:right w:val="nil"/>
            </w:tcBorders>
            <w:vAlign w:val="center"/>
            <w:hideMark/>
          </w:tcPr>
          <w:p w14:paraId="09EDE2AB"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061D5EB1"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aktívneho</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obyvateľstva</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nad</w:t>
            </w:r>
            <w:proofErr w:type="spellEnd"/>
            <w:r w:rsidRPr="002C7555">
              <w:rPr>
                <w:rFonts w:ascii="Arial Narrow" w:hAnsi="Arial Narrow"/>
                <w:color w:val="000000"/>
                <w:sz w:val="20"/>
                <w:szCs w:val="20"/>
                <w:lang w:val="en-US" w:eastAsia="en-US"/>
              </w:rPr>
              <w:t xml:space="preserve"> 15 </w:t>
            </w:r>
            <w:proofErr w:type="spellStart"/>
            <w:r w:rsidRPr="002C7555">
              <w:rPr>
                <w:rFonts w:ascii="Arial Narrow" w:hAnsi="Arial Narrow"/>
                <w:color w:val="000000"/>
                <w:sz w:val="20"/>
                <w:szCs w:val="20"/>
                <w:lang w:val="en-US" w:eastAsia="en-US"/>
              </w:rPr>
              <w:t>rokov</w:t>
            </w:r>
            <w:proofErr w:type="spellEnd"/>
            <w:r w:rsidRPr="002C7555">
              <w:rPr>
                <w:rFonts w:ascii="Arial Narrow" w:hAnsi="Arial Narrow"/>
                <w:color w:val="000000"/>
                <w:sz w:val="20"/>
                <w:szCs w:val="20"/>
                <w:lang w:val="en-US" w:eastAsia="en-US"/>
              </w:rPr>
              <w:t>)</w:t>
            </w:r>
          </w:p>
        </w:tc>
        <w:tc>
          <w:tcPr>
            <w:tcW w:w="710" w:type="dxa"/>
            <w:tcBorders>
              <w:top w:val="nil"/>
              <w:left w:val="nil"/>
              <w:bottom w:val="single" w:sz="4" w:space="0" w:color="auto"/>
              <w:right w:val="nil"/>
            </w:tcBorders>
            <w:shd w:val="clear" w:color="auto" w:fill="auto"/>
            <w:vAlign w:val="center"/>
            <w:hideMark/>
          </w:tcPr>
          <w:p w14:paraId="2FC651FE"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single" w:sz="4" w:space="0" w:color="auto"/>
              <w:right w:val="nil"/>
            </w:tcBorders>
            <w:shd w:val="clear" w:color="auto" w:fill="auto"/>
            <w:vAlign w:val="center"/>
          </w:tcPr>
          <w:p w14:paraId="66443EC2" w14:textId="7B7F058F" w:rsidR="001F224C" w:rsidRPr="002C7555" w:rsidRDefault="001F224C" w:rsidP="001F224C">
            <w:pPr>
              <w:spacing w:after="0" w:line="240" w:lineRule="auto"/>
              <w:jc w:val="center"/>
              <w:rPr>
                <w:rFonts w:ascii="Arial Narrow" w:hAnsi="Arial Narrow"/>
                <w:sz w:val="20"/>
                <w:szCs w:val="20"/>
                <w:lang w:val="en-US" w:eastAsia="en-US"/>
              </w:rPr>
            </w:pPr>
            <w:r w:rsidRPr="0062680A">
              <w:rPr>
                <w:rFonts w:ascii="Arial Narrow" w:hAnsi="Arial Narrow"/>
                <w:sz w:val="20"/>
                <w:szCs w:val="20"/>
              </w:rPr>
              <w:t>2,9</w:t>
            </w:r>
          </w:p>
        </w:tc>
        <w:tc>
          <w:tcPr>
            <w:tcW w:w="592" w:type="dxa"/>
            <w:tcBorders>
              <w:top w:val="nil"/>
              <w:left w:val="nil"/>
              <w:bottom w:val="single" w:sz="4" w:space="0" w:color="auto"/>
              <w:right w:val="nil"/>
            </w:tcBorders>
            <w:shd w:val="clear" w:color="auto" w:fill="auto"/>
            <w:vAlign w:val="center"/>
          </w:tcPr>
          <w:p w14:paraId="63288F3C" w14:textId="53052B4B"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3,8</w:t>
            </w:r>
          </w:p>
        </w:tc>
        <w:tc>
          <w:tcPr>
            <w:tcW w:w="592" w:type="dxa"/>
            <w:tcBorders>
              <w:top w:val="nil"/>
              <w:left w:val="nil"/>
              <w:bottom w:val="single" w:sz="4" w:space="0" w:color="auto"/>
              <w:right w:val="nil"/>
            </w:tcBorders>
            <w:shd w:val="clear" w:color="auto" w:fill="auto"/>
            <w:vAlign w:val="center"/>
          </w:tcPr>
          <w:p w14:paraId="260BED2E" w14:textId="085ACF44"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4,1</w:t>
            </w:r>
          </w:p>
        </w:tc>
        <w:tc>
          <w:tcPr>
            <w:tcW w:w="592" w:type="dxa"/>
            <w:tcBorders>
              <w:top w:val="nil"/>
              <w:left w:val="nil"/>
              <w:bottom w:val="single" w:sz="4" w:space="0" w:color="auto"/>
              <w:right w:val="nil"/>
            </w:tcBorders>
            <w:shd w:val="clear" w:color="auto" w:fill="auto"/>
            <w:vAlign w:val="center"/>
          </w:tcPr>
          <w:p w14:paraId="3296C545" w14:textId="1ECE1036"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4,6</w:t>
            </w:r>
          </w:p>
        </w:tc>
        <w:tc>
          <w:tcPr>
            <w:tcW w:w="592" w:type="dxa"/>
            <w:tcBorders>
              <w:top w:val="nil"/>
              <w:left w:val="nil"/>
              <w:bottom w:val="single" w:sz="4" w:space="0" w:color="auto"/>
              <w:right w:val="nil"/>
            </w:tcBorders>
            <w:shd w:val="clear" w:color="auto" w:fill="auto"/>
            <w:vAlign w:val="center"/>
          </w:tcPr>
          <w:p w14:paraId="5D1AAD73" w14:textId="6250BD69"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5,1</w:t>
            </w:r>
          </w:p>
        </w:tc>
        <w:tc>
          <w:tcPr>
            <w:tcW w:w="592" w:type="dxa"/>
            <w:tcBorders>
              <w:top w:val="nil"/>
              <w:left w:val="nil"/>
              <w:bottom w:val="single" w:sz="4" w:space="0" w:color="auto"/>
              <w:right w:val="nil"/>
            </w:tcBorders>
            <w:shd w:val="clear" w:color="auto" w:fill="auto"/>
            <w:vAlign w:val="center"/>
          </w:tcPr>
          <w:p w14:paraId="637CF642" w14:textId="4E7F3E29"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5,0</w:t>
            </w:r>
          </w:p>
        </w:tc>
        <w:tc>
          <w:tcPr>
            <w:tcW w:w="592" w:type="dxa"/>
            <w:tcBorders>
              <w:top w:val="nil"/>
              <w:left w:val="nil"/>
              <w:bottom w:val="single" w:sz="4" w:space="0" w:color="auto"/>
              <w:right w:val="nil"/>
            </w:tcBorders>
            <w:shd w:val="clear" w:color="auto" w:fill="auto"/>
            <w:vAlign w:val="center"/>
          </w:tcPr>
          <w:p w14:paraId="4C0027E1" w14:textId="02807CA5"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4,5</w:t>
            </w:r>
          </w:p>
        </w:tc>
        <w:tc>
          <w:tcPr>
            <w:tcW w:w="592" w:type="dxa"/>
            <w:tcBorders>
              <w:top w:val="nil"/>
              <w:left w:val="nil"/>
              <w:bottom w:val="single" w:sz="4" w:space="0" w:color="auto"/>
              <w:right w:val="nil"/>
            </w:tcBorders>
            <w:vAlign w:val="center"/>
          </w:tcPr>
          <w:p w14:paraId="3D06BDC7" w14:textId="163A7FF0"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4,0</w:t>
            </w:r>
          </w:p>
        </w:tc>
        <w:tc>
          <w:tcPr>
            <w:tcW w:w="592" w:type="dxa"/>
            <w:tcBorders>
              <w:top w:val="nil"/>
              <w:left w:val="nil"/>
              <w:bottom w:val="single" w:sz="4" w:space="0" w:color="auto"/>
              <w:right w:val="nil"/>
            </w:tcBorders>
            <w:vAlign w:val="center"/>
          </w:tcPr>
          <w:p w14:paraId="46AB495E" w14:textId="5D4AE44B"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3,4</w:t>
            </w:r>
          </w:p>
        </w:tc>
        <w:tc>
          <w:tcPr>
            <w:tcW w:w="592" w:type="dxa"/>
            <w:tcBorders>
              <w:top w:val="nil"/>
              <w:left w:val="nil"/>
              <w:bottom w:val="single" w:sz="4" w:space="0" w:color="auto"/>
              <w:right w:val="nil"/>
            </w:tcBorders>
            <w:shd w:val="clear" w:color="auto" w:fill="auto"/>
            <w:vAlign w:val="center"/>
          </w:tcPr>
          <w:p w14:paraId="342A7F54" w14:textId="59CFD4E9" w:rsidR="001F224C" w:rsidRPr="00E9268A"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nil"/>
              <w:right w:val="nil"/>
            </w:tcBorders>
            <w:shd w:val="clear" w:color="auto" w:fill="auto"/>
            <w:vAlign w:val="center"/>
            <w:hideMark/>
          </w:tcPr>
          <w:p w14:paraId="5D638DBC"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0D83D8AC" w14:textId="77777777" w:rsidTr="001F224C">
        <w:trPr>
          <w:gridAfter w:val="1"/>
          <w:wAfter w:w="10" w:type="dxa"/>
          <w:trHeight w:val="188"/>
          <w:jc w:val="center"/>
        </w:trPr>
        <w:tc>
          <w:tcPr>
            <w:tcW w:w="409" w:type="dxa"/>
            <w:vMerge w:val="restart"/>
            <w:tcBorders>
              <w:top w:val="nil"/>
              <w:left w:val="nil"/>
              <w:bottom w:val="single" w:sz="4" w:space="0" w:color="000000"/>
              <w:right w:val="nil"/>
            </w:tcBorders>
            <w:shd w:val="clear" w:color="auto" w:fill="auto"/>
            <w:textDirection w:val="btLr"/>
            <w:vAlign w:val="center"/>
            <w:hideMark/>
          </w:tcPr>
          <w:p w14:paraId="16116887"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407" w:type="dxa"/>
            <w:gridSpan w:val="2"/>
            <w:vMerge w:val="restart"/>
            <w:tcBorders>
              <w:top w:val="nil"/>
              <w:left w:val="nil"/>
              <w:bottom w:val="single" w:sz="4" w:space="0" w:color="000000"/>
              <w:right w:val="nil"/>
            </w:tcBorders>
            <w:shd w:val="clear" w:color="auto" w:fill="auto"/>
            <w:noWrap/>
            <w:vAlign w:val="center"/>
            <w:hideMark/>
          </w:tcPr>
          <w:p w14:paraId="34E3B52C"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rPr>
              <w:t>11</w:t>
            </w:r>
          </w:p>
        </w:tc>
        <w:tc>
          <w:tcPr>
            <w:tcW w:w="2050" w:type="dxa"/>
            <w:tcBorders>
              <w:top w:val="nil"/>
              <w:left w:val="nil"/>
              <w:bottom w:val="nil"/>
              <w:right w:val="nil"/>
            </w:tcBorders>
            <w:shd w:val="clear" w:color="auto" w:fill="auto"/>
            <w:noWrap/>
            <w:vAlign w:val="center"/>
            <w:hideMark/>
          </w:tcPr>
          <w:p w14:paraId="1EAA2052" w14:textId="77777777" w:rsidR="001F224C" w:rsidRPr="002C7555" w:rsidRDefault="001F224C" w:rsidP="001F224C">
            <w:pPr>
              <w:spacing w:after="0" w:line="240" w:lineRule="auto"/>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Miera</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zamestnanosti</w:t>
            </w:r>
            <w:proofErr w:type="spellEnd"/>
          </w:p>
        </w:tc>
        <w:tc>
          <w:tcPr>
            <w:tcW w:w="710" w:type="dxa"/>
            <w:tcBorders>
              <w:top w:val="nil"/>
              <w:left w:val="nil"/>
              <w:bottom w:val="nil"/>
              <w:right w:val="nil"/>
            </w:tcBorders>
            <w:shd w:val="clear" w:color="auto" w:fill="auto"/>
            <w:vAlign w:val="center"/>
            <w:hideMark/>
          </w:tcPr>
          <w:p w14:paraId="7FA69A44"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nil"/>
              <w:left w:val="nil"/>
              <w:bottom w:val="nil"/>
              <w:right w:val="nil"/>
            </w:tcBorders>
            <w:shd w:val="clear" w:color="auto" w:fill="auto"/>
            <w:vAlign w:val="center"/>
          </w:tcPr>
          <w:p w14:paraId="3579108D" w14:textId="1D24F461"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66,4</w:t>
            </w:r>
          </w:p>
        </w:tc>
        <w:tc>
          <w:tcPr>
            <w:tcW w:w="592" w:type="dxa"/>
            <w:tcBorders>
              <w:top w:val="nil"/>
              <w:left w:val="nil"/>
              <w:bottom w:val="nil"/>
              <w:right w:val="nil"/>
            </w:tcBorders>
            <w:shd w:val="clear" w:color="auto" w:fill="auto"/>
            <w:vAlign w:val="center"/>
          </w:tcPr>
          <w:p w14:paraId="007CAFCB" w14:textId="2DBFECA1"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64,6</w:t>
            </w:r>
          </w:p>
        </w:tc>
        <w:tc>
          <w:tcPr>
            <w:tcW w:w="592" w:type="dxa"/>
            <w:tcBorders>
              <w:top w:val="nil"/>
              <w:left w:val="nil"/>
              <w:bottom w:val="nil"/>
              <w:right w:val="nil"/>
            </w:tcBorders>
            <w:shd w:val="clear" w:color="auto" w:fill="auto"/>
            <w:vAlign w:val="center"/>
          </w:tcPr>
          <w:p w14:paraId="4A70A58F" w14:textId="36E5A997"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65,0</w:t>
            </w:r>
          </w:p>
        </w:tc>
        <w:tc>
          <w:tcPr>
            <w:tcW w:w="592" w:type="dxa"/>
            <w:tcBorders>
              <w:top w:val="nil"/>
              <w:left w:val="nil"/>
              <w:bottom w:val="nil"/>
              <w:right w:val="nil"/>
            </w:tcBorders>
            <w:shd w:val="clear" w:color="auto" w:fill="auto"/>
            <w:vAlign w:val="center"/>
          </w:tcPr>
          <w:p w14:paraId="5E8C3C3C" w14:textId="23A7DC2D"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65,1</w:t>
            </w:r>
          </w:p>
        </w:tc>
        <w:tc>
          <w:tcPr>
            <w:tcW w:w="592" w:type="dxa"/>
            <w:tcBorders>
              <w:top w:val="nil"/>
              <w:left w:val="nil"/>
              <w:bottom w:val="nil"/>
              <w:right w:val="nil"/>
            </w:tcBorders>
            <w:shd w:val="clear" w:color="auto" w:fill="auto"/>
            <w:vAlign w:val="center"/>
          </w:tcPr>
          <w:p w14:paraId="44EFB492" w14:textId="79B66769"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65,0</w:t>
            </w:r>
          </w:p>
        </w:tc>
        <w:tc>
          <w:tcPr>
            <w:tcW w:w="592" w:type="dxa"/>
            <w:tcBorders>
              <w:top w:val="nil"/>
              <w:left w:val="nil"/>
              <w:bottom w:val="nil"/>
              <w:right w:val="nil"/>
            </w:tcBorders>
            <w:shd w:val="clear" w:color="auto" w:fill="auto"/>
            <w:vAlign w:val="center"/>
          </w:tcPr>
          <w:p w14:paraId="3AEF18A9" w14:textId="65AA28C5"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 xml:space="preserve">65,9 </w:t>
            </w:r>
          </w:p>
        </w:tc>
        <w:tc>
          <w:tcPr>
            <w:tcW w:w="592" w:type="dxa"/>
            <w:tcBorders>
              <w:top w:val="nil"/>
              <w:left w:val="nil"/>
              <w:bottom w:val="nil"/>
              <w:right w:val="nil"/>
            </w:tcBorders>
            <w:shd w:val="clear" w:color="auto" w:fill="auto"/>
            <w:vAlign w:val="center"/>
          </w:tcPr>
          <w:p w14:paraId="0191DA26" w14:textId="4BEAF0B2"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67,7</w:t>
            </w:r>
          </w:p>
        </w:tc>
        <w:tc>
          <w:tcPr>
            <w:tcW w:w="592" w:type="dxa"/>
            <w:tcBorders>
              <w:top w:val="nil"/>
              <w:left w:val="nil"/>
              <w:bottom w:val="nil"/>
              <w:right w:val="nil"/>
            </w:tcBorders>
            <w:vAlign w:val="center"/>
          </w:tcPr>
          <w:p w14:paraId="536A939C" w14:textId="0F20C26C"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69,8</w:t>
            </w:r>
          </w:p>
        </w:tc>
        <w:tc>
          <w:tcPr>
            <w:tcW w:w="592" w:type="dxa"/>
            <w:tcBorders>
              <w:top w:val="nil"/>
              <w:left w:val="nil"/>
              <w:bottom w:val="nil"/>
              <w:right w:val="nil"/>
            </w:tcBorders>
            <w:vAlign w:val="center"/>
          </w:tcPr>
          <w:p w14:paraId="3AAD9D2B" w14:textId="76CF4FF8"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71,1</w:t>
            </w:r>
          </w:p>
        </w:tc>
        <w:tc>
          <w:tcPr>
            <w:tcW w:w="592" w:type="dxa"/>
            <w:tcBorders>
              <w:top w:val="nil"/>
              <w:left w:val="nil"/>
              <w:bottom w:val="nil"/>
              <w:right w:val="nil"/>
            </w:tcBorders>
            <w:shd w:val="clear" w:color="auto" w:fill="auto"/>
            <w:vAlign w:val="center"/>
          </w:tcPr>
          <w:p w14:paraId="3173433A" w14:textId="1D151910" w:rsidR="001F224C" w:rsidRPr="00E9268A"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single" w:sz="4" w:space="0" w:color="auto"/>
              <w:left w:val="nil"/>
              <w:bottom w:val="nil"/>
              <w:right w:val="nil"/>
            </w:tcBorders>
            <w:shd w:val="clear" w:color="auto" w:fill="auto"/>
            <w:vAlign w:val="center"/>
            <w:hideMark/>
          </w:tcPr>
          <w:p w14:paraId="2DE6E249"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72</w:t>
            </w:r>
          </w:p>
        </w:tc>
      </w:tr>
      <w:tr w:rsidR="001F224C" w:rsidRPr="002C7555" w14:paraId="1101C047" w14:textId="77777777" w:rsidTr="001F224C">
        <w:trPr>
          <w:gridAfter w:val="1"/>
          <w:wAfter w:w="10" w:type="dxa"/>
          <w:trHeight w:val="188"/>
          <w:jc w:val="center"/>
        </w:trPr>
        <w:tc>
          <w:tcPr>
            <w:tcW w:w="409" w:type="dxa"/>
            <w:vMerge/>
            <w:tcBorders>
              <w:top w:val="nil"/>
              <w:left w:val="nil"/>
              <w:bottom w:val="single" w:sz="4" w:space="0" w:color="000000"/>
              <w:right w:val="nil"/>
            </w:tcBorders>
            <w:vAlign w:val="center"/>
            <w:hideMark/>
          </w:tcPr>
          <w:p w14:paraId="161C0345" w14:textId="77777777" w:rsidR="001F224C" w:rsidRPr="002C7555" w:rsidRDefault="001F224C" w:rsidP="001F224C">
            <w:pPr>
              <w:spacing w:after="0" w:line="240" w:lineRule="auto"/>
              <w:rPr>
                <w:rFonts w:ascii="Arial Narrow" w:hAnsi="Arial Narrow"/>
                <w:b/>
                <w:bCs/>
                <w:color w:val="000000"/>
                <w:sz w:val="20"/>
                <w:szCs w:val="20"/>
                <w:lang w:val="en-US" w:eastAsia="en-US"/>
              </w:rPr>
            </w:pPr>
          </w:p>
        </w:tc>
        <w:tc>
          <w:tcPr>
            <w:tcW w:w="407" w:type="dxa"/>
            <w:gridSpan w:val="2"/>
            <w:vMerge/>
            <w:tcBorders>
              <w:top w:val="nil"/>
              <w:left w:val="nil"/>
              <w:bottom w:val="single" w:sz="4" w:space="0" w:color="000000"/>
              <w:right w:val="nil"/>
            </w:tcBorders>
            <w:vAlign w:val="center"/>
            <w:hideMark/>
          </w:tcPr>
          <w:p w14:paraId="4BB63E2A"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297BB1C4"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vo</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vekovej</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skupine</w:t>
            </w:r>
            <w:proofErr w:type="spellEnd"/>
            <w:r w:rsidRPr="002C7555">
              <w:rPr>
                <w:rFonts w:ascii="Arial Narrow" w:hAnsi="Arial Narrow"/>
                <w:color w:val="000000"/>
                <w:sz w:val="20"/>
                <w:szCs w:val="20"/>
                <w:lang w:val="en-US" w:eastAsia="en-US"/>
              </w:rPr>
              <w:t xml:space="preserve"> 20 - 64 </w:t>
            </w:r>
            <w:proofErr w:type="spellStart"/>
            <w:r w:rsidRPr="002C7555">
              <w:rPr>
                <w:rFonts w:ascii="Arial Narrow" w:hAnsi="Arial Narrow"/>
                <w:color w:val="000000"/>
                <w:sz w:val="20"/>
                <w:szCs w:val="20"/>
                <w:lang w:val="en-US" w:eastAsia="en-US"/>
              </w:rPr>
              <w:t>rokov</w:t>
            </w:r>
            <w:proofErr w:type="spellEnd"/>
            <w:r w:rsidRPr="002C7555">
              <w:rPr>
                <w:rFonts w:ascii="Arial Narrow" w:hAnsi="Arial Narrow"/>
                <w:color w:val="000000"/>
                <w:sz w:val="20"/>
                <w:szCs w:val="20"/>
                <w:lang w:val="en-US" w:eastAsia="en-US"/>
              </w:rPr>
              <w:t>)</w:t>
            </w:r>
          </w:p>
        </w:tc>
        <w:tc>
          <w:tcPr>
            <w:tcW w:w="710" w:type="dxa"/>
            <w:tcBorders>
              <w:top w:val="nil"/>
              <w:left w:val="nil"/>
              <w:bottom w:val="single" w:sz="4" w:space="0" w:color="auto"/>
              <w:right w:val="nil"/>
            </w:tcBorders>
            <w:shd w:val="clear" w:color="auto" w:fill="auto"/>
            <w:vAlign w:val="center"/>
            <w:hideMark/>
          </w:tcPr>
          <w:p w14:paraId="095F843F"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single" w:sz="4" w:space="0" w:color="auto"/>
              <w:right w:val="nil"/>
            </w:tcBorders>
            <w:shd w:val="clear" w:color="auto" w:fill="auto"/>
            <w:vAlign w:val="center"/>
          </w:tcPr>
          <w:p w14:paraId="306128C6" w14:textId="0A3BD9C7"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69</w:t>
            </w:r>
          </w:p>
        </w:tc>
        <w:tc>
          <w:tcPr>
            <w:tcW w:w="592" w:type="dxa"/>
            <w:tcBorders>
              <w:top w:val="nil"/>
              <w:left w:val="nil"/>
              <w:bottom w:val="single" w:sz="4" w:space="0" w:color="auto"/>
              <w:right w:val="nil"/>
            </w:tcBorders>
            <w:shd w:val="clear" w:color="auto" w:fill="auto"/>
            <w:vAlign w:val="center"/>
          </w:tcPr>
          <w:p w14:paraId="1A65FD23" w14:textId="351E645C"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68,6</w:t>
            </w:r>
          </w:p>
        </w:tc>
        <w:tc>
          <w:tcPr>
            <w:tcW w:w="592" w:type="dxa"/>
            <w:tcBorders>
              <w:top w:val="nil"/>
              <w:left w:val="nil"/>
              <w:bottom w:val="single" w:sz="4" w:space="0" w:color="auto"/>
              <w:right w:val="nil"/>
            </w:tcBorders>
            <w:shd w:val="clear" w:color="auto" w:fill="auto"/>
            <w:vAlign w:val="center"/>
          </w:tcPr>
          <w:p w14:paraId="55ACECF3" w14:textId="69FCF8AF"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68,6</w:t>
            </w:r>
          </w:p>
        </w:tc>
        <w:tc>
          <w:tcPr>
            <w:tcW w:w="592" w:type="dxa"/>
            <w:tcBorders>
              <w:top w:val="nil"/>
              <w:left w:val="nil"/>
              <w:bottom w:val="single" w:sz="4" w:space="0" w:color="auto"/>
              <w:right w:val="nil"/>
            </w:tcBorders>
            <w:shd w:val="clear" w:color="auto" w:fill="auto"/>
            <w:vAlign w:val="center"/>
          </w:tcPr>
          <w:p w14:paraId="660AF9D2" w14:textId="28DD348E"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68,4</w:t>
            </w:r>
          </w:p>
        </w:tc>
        <w:tc>
          <w:tcPr>
            <w:tcW w:w="592" w:type="dxa"/>
            <w:tcBorders>
              <w:top w:val="nil"/>
              <w:left w:val="nil"/>
              <w:bottom w:val="single" w:sz="4" w:space="0" w:color="auto"/>
              <w:right w:val="nil"/>
            </w:tcBorders>
            <w:shd w:val="clear" w:color="auto" w:fill="auto"/>
            <w:vAlign w:val="center"/>
          </w:tcPr>
          <w:p w14:paraId="4E1EDB6F" w14:textId="49360367"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68,4</w:t>
            </w:r>
          </w:p>
        </w:tc>
        <w:tc>
          <w:tcPr>
            <w:tcW w:w="592" w:type="dxa"/>
            <w:tcBorders>
              <w:top w:val="nil"/>
              <w:left w:val="nil"/>
              <w:bottom w:val="single" w:sz="4" w:space="0" w:color="auto"/>
              <w:right w:val="nil"/>
            </w:tcBorders>
            <w:shd w:val="clear" w:color="auto" w:fill="auto"/>
            <w:vAlign w:val="center"/>
          </w:tcPr>
          <w:p w14:paraId="10D50B9E" w14:textId="382D5BC3"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69,2</w:t>
            </w:r>
          </w:p>
        </w:tc>
        <w:tc>
          <w:tcPr>
            <w:tcW w:w="592" w:type="dxa"/>
            <w:tcBorders>
              <w:top w:val="nil"/>
              <w:left w:val="nil"/>
              <w:bottom w:val="single" w:sz="4" w:space="0" w:color="auto"/>
              <w:right w:val="nil"/>
            </w:tcBorders>
            <w:shd w:val="clear" w:color="auto" w:fill="auto"/>
            <w:vAlign w:val="center"/>
          </w:tcPr>
          <w:p w14:paraId="582B5B27" w14:textId="3F261D69"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70,1</w:t>
            </w:r>
          </w:p>
        </w:tc>
        <w:tc>
          <w:tcPr>
            <w:tcW w:w="592" w:type="dxa"/>
            <w:tcBorders>
              <w:top w:val="nil"/>
              <w:left w:val="nil"/>
              <w:bottom w:val="single" w:sz="4" w:space="0" w:color="auto"/>
              <w:right w:val="nil"/>
            </w:tcBorders>
            <w:vAlign w:val="center"/>
          </w:tcPr>
          <w:p w14:paraId="1254CE33" w14:textId="34430941"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71,1</w:t>
            </w:r>
          </w:p>
        </w:tc>
        <w:tc>
          <w:tcPr>
            <w:tcW w:w="592" w:type="dxa"/>
            <w:tcBorders>
              <w:top w:val="nil"/>
              <w:left w:val="nil"/>
              <w:bottom w:val="single" w:sz="4" w:space="0" w:color="auto"/>
              <w:right w:val="nil"/>
            </w:tcBorders>
            <w:vAlign w:val="center"/>
          </w:tcPr>
          <w:p w14:paraId="5A7724A3" w14:textId="0AC6E0BA"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72,2</w:t>
            </w:r>
          </w:p>
        </w:tc>
        <w:tc>
          <w:tcPr>
            <w:tcW w:w="592" w:type="dxa"/>
            <w:tcBorders>
              <w:top w:val="nil"/>
              <w:left w:val="nil"/>
              <w:bottom w:val="single" w:sz="4" w:space="0" w:color="auto"/>
              <w:right w:val="nil"/>
            </w:tcBorders>
            <w:shd w:val="clear" w:color="auto" w:fill="auto"/>
            <w:vAlign w:val="center"/>
          </w:tcPr>
          <w:p w14:paraId="27C55E34" w14:textId="2D335531" w:rsidR="001F224C" w:rsidRPr="00E9268A"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hideMark/>
          </w:tcPr>
          <w:p w14:paraId="59BBB453"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75</w:t>
            </w:r>
          </w:p>
        </w:tc>
      </w:tr>
      <w:tr w:rsidR="001F224C" w:rsidRPr="002C7555" w14:paraId="731EF702" w14:textId="77777777" w:rsidTr="001F224C">
        <w:trPr>
          <w:gridAfter w:val="1"/>
          <w:wAfter w:w="10" w:type="dxa"/>
          <w:trHeight w:val="468"/>
          <w:jc w:val="center"/>
        </w:trPr>
        <w:tc>
          <w:tcPr>
            <w:tcW w:w="409" w:type="dxa"/>
            <w:vMerge w:val="restart"/>
            <w:tcBorders>
              <w:top w:val="nil"/>
              <w:left w:val="nil"/>
              <w:bottom w:val="single" w:sz="4" w:space="0" w:color="000000"/>
              <w:right w:val="nil"/>
            </w:tcBorders>
            <w:shd w:val="clear" w:color="auto" w:fill="auto"/>
            <w:textDirection w:val="btLr"/>
            <w:vAlign w:val="center"/>
            <w:hideMark/>
          </w:tcPr>
          <w:p w14:paraId="0B3A1B65"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407" w:type="dxa"/>
            <w:gridSpan w:val="2"/>
            <w:vMerge w:val="restart"/>
            <w:tcBorders>
              <w:top w:val="nil"/>
              <w:left w:val="nil"/>
              <w:bottom w:val="single" w:sz="4" w:space="0" w:color="000000"/>
              <w:right w:val="nil"/>
            </w:tcBorders>
            <w:shd w:val="clear" w:color="auto" w:fill="auto"/>
            <w:noWrap/>
            <w:vAlign w:val="center"/>
            <w:hideMark/>
          </w:tcPr>
          <w:p w14:paraId="4F399CA0"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rPr>
              <w:t>12</w:t>
            </w:r>
          </w:p>
        </w:tc>
        <w:tc>
          <w:tcPr>
            <w:tcW w:w="2050" w:type="dxa"/>
            <w:tcBorders>
              <w:top w:val="nil"/>
              <w:left w:val="nil"/>
              <w:bottom w:val="nil"/>
              <w:right w:val="nil"/>
            </w:tcBorders>
            <w:shd w:val="clear" w:color="auto" w:fill="auto"/>
            <w:vAlign w:val="center"/>
            <w:hideMark/>
          </w:tcPr>
          <w:p w14:paraId="703A8309" w14:textId="77777777" w:rsidR="001F224C" w:rsidRPr="002C7555" w:rsidRDefault="001F224C" w:rsidP="001F224C">
            <w:pPr>
              <w:spacing w:after="0" w:line="240" w:lineRule="auto"/>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Populácia</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ohrozená</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chudobou</w:t>
            </w:r>
            <w:proofErr w:type="spellEnd"/>
            <w:r w:rsidRPr="002C7555">
              <w:rPr>
                <w:rFonts w:ascii="Arial Narrow" w:hAnsi="Arial Narrow"/>
                <w:b/>
                <w:bCs/>
                <w:color w:val="000000"/>
                <w:sz w:val="20"/>
                <w:szCs w:val="20"/>
                <w:lang w:val="en-US" w:eastAsia="en-US"/>
              </w:rPr>
              <w:t xml:space="preserve"> a </w:t>
            </w:r>
            <w:r w:rsidRPr="002C7555">
              <w:rPr>
                <w:rFonts w:ascii="Arial Narrow" w:hAnsi="Arial Narrow"/>
                <w:b/>
                <w:bCs/>
                <w:color w:val="000000"/>
                <w:sz w:val="20"/>
                <w:szCs w:val="20"/>
                <w:lang w:val="en-US" w:eastAsia="en-US"/>
              </w:rPr>
              <w:br/>
            </w:r>
            <w:proofErr w:type="spellStart"/>
            <w:r w:rsidRPr="002C7555">
              <w:rPr>
                <w:rFonts w:ascii="Arial Narrow" w:hAnsi="Arial Narrow"/>
                <w:b/>
                <w:bCs/>
                <w:color w:val="000000"/>
                <w:sz w:val="20"/>
                <w:szCs w:val="20"/>
                <w:lang w:val="en-US" w:eastAsia="en-US"/>
              </w:rPr>
              <w:t>sociálnym</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vylúčením</w:t>
            </w:r>
            <w:proofErr w:type="spellEnd"/>
          </w:p>
        </w:tc>
        <w:tc>
          <w:tcPr>
            <w:tcW w:w="710" w:type="dxa"/>
            <w:tcBorders>
              <w:top w:val="nil"/>
              <w:left w:val="nil"/>
              <w:bottom w:val="nil"/>
              <w:right w:val="nil"/>
            </w:tcBorders>
            <w:shd w:val="clear" w:color="auto" w:fill="auto"/>
            <w:vAlign w:val="center"/>
            <w:hideMark/>
          </w:tcPr>
          <w:p w14:paraId="0FC1D31A"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nil"/>
              <w:left w:val="nil"/>
              <w:right w:val="nil"/>
            </w:tcBorders>
            <w:shd w:val="clear" w:color="auto" w:fill="auto"/>
            <w:vAlign w:val="center"/>
          </w:tcPr>
          <w:p w14:paraId="19CC5667" w14:textId="0AA7F872"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19,6</w:t>
            </w:r>
          </w:p>
        </w:tc>
        <w:tc>
          <w:tcPr>
            <w:tcW w:w="592" w:type="dxa"/>
            <w:tcBorders>
              <w:top w:val="nil"/>
              <w:left w:val="nil"/>
              <w:right w:val="nil"/>
            </w:tcBorders>
            <w:shd w:val="clear" w:color="auto" w:fill="auto"/>
            <w:vAlign w:val="center"/>
          </w:tcPr>
          <w:p w14:paraId="4F1B6B9C" w14:textId="68F2DBB8"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20,6</w:t>
            </w:r>
          </w:p>
        </w:tc>
        <w:tc>
          <w:tcPr>
            <w:tcW w:w="592" w:type="dxa"/>
            <w:tcBorders>
              <w:top w:val="nil"/>
              <w:left w:val="nil"/>
              <w:right w:val="nil"/>
            </w:tcBorders>
            <w:shd w:val="clear" w:color="auto" w:fill="auto"/>
            <w:vAlign w:val="center"/>
          </w:tcPr>
          <w:p w14:paraId="69FC105E" w14:textId="47E4056C"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20,6</w:t>
            </w:r>
          </w:p>
        </w:tc>
        <w:tc>
          <w:tcPr>
            <w:tcW w:w="592" w:type="dxa"/>
            <w:tcBorders>
              <w:top w:val="nil"/>
              <w:left w:val="nil"/>
              <w:right w:val="nil"/>
            </w:tcBorders>
            <w:shd w:val="clear" w:color="auto" w:fill="auto"/>
            <w:vAlign w:val="center"/>
          </w:tcPr>
          <w:p w14:paraId="060CD80B" w14:textId="11B0E970"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20,5</w:t>
            </w:r>
          </w:p>
        </w:tc>
        <w:tc>
          <w:tcPr>
            <w:tcW w:w="592" w:type="dxa"/>
            <w:tcBorders>
              <w:top w:val="nil"/>
              <w:left w:val="nil"/>
              <w:right w:val="nil"/>
            </w:tcBorders>
            <w:shd w:val="clear" w:color="auto" w:fill="auto"/>
            <w:vAlign w:val="center"/>
          </w:tcPr>
          <w:p w14:paraId="35C8D512" w14:textId="4AF82210"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19,8</w:t>
            </w:r>
          </w:p>
        </w:tc>
        <w:tc>
          <w:tcPr>
            <w:tcW w:w="592" w:type="dxa"/>
            <w:tcBorders>
              <w:top w:val="nil"/>
              <w:left w:val="nil"/>
              <w:right w:val="nil"/>
            </w:tcBorders>
            <w:shd w:val="clear" w:color="auto" w:fill="auto"/>
            <w:vAlign w:val="center"/>
          </w:tcPr>
          <w:p w14:paraId="74A2DA6B" w14:textId="2C3F9861"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 xml:space="preserve"> 18,4</w:t>
            </w:r>
          </w:p>
        </w:tc>
        <w:tc>
          <w:tcPr>
            <w:tcW w:w="592" w:type="dxa"/>
            <w:tcBorders>
              <w:top w:val="nil"/>
              <w:left w:val="nil"/>
              <w:right w:val="nil"/>
            </w:tcBorders>
            <w:shd w:val="clear" w:color="auto" w:fill="auto"/>
            <w:vAlign w:val="center"/>
          </w:tcPr>
          <w:p w14:paraId="26A234A2" w14:textId="1EC58F8A"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18,4</w:t>
            </w:r>
          </w:p>
        </w:tc>
        <w:tc>
          <w:tcPr>
            <w:tcW w:w="592" w:type="dxa"/>
            <w:tcBorders>
              <w:top w:val="nil"/>
              <w:left w:val="nil"/>
              <w:right w:val="nil"/>
            </w:tcBorders>
            <w:vAlign w:val="center"/>
          </w:tcPr>
          <w:p w14:paraId="37C9E4C6" w14:textId="1C2073DB"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18,1</w:t>
            </w:r>
          </w:p>
        </w:tc>
        <w:tc>
          <w:tcPr>
            <w:tcW w:w="592" w:type="dxa"/>
            <w:tcBorders>
              <w:top w:val="nil"/>
              <w:left w:val="nil"/>
              <w:right w:val="nil"/>
            </w:tcBorders>
            <w:noWrap/>
            <w:vAlign w:val="center"/>
          </w:tcPr>
          <w:p w14:paraId="575A4310" w14:textId="2409606B"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16,3</w:t>
            </w:r>
          </w:p>
        </w:tc>
        <w:tc>
          <w:tcPr>
            <w:tcW w:w="592" w:type="dxa"/>
            <w:tcBorders>
              <w:top w:val="nil"/>
              <w:left w:val="nil"/>
              <w:right w:val="nil"/>
            </w:tcBorders>
            <w:vAlign w:val="center"/>
          </w:tcPr>
          <w:p w14:paraId="3CCBB36D" w14:textId="16C4A3C4" w:rsidR="001F224C" w:rsidRPr="002C7555" w:rsidRDefault="001F224C" w:rsidP="001F224C">
            <w:pPr>
              <w:spacing w:after="0" w:line="240" w:lineRule="auto"/>
              <w:jc w:val="center"/>
              <w:rPr>
                <w:rFonts w:ascii="Arial Narrow" w:hAnsi="Arial Narrow"/>
                <w:color w:val="000000"/>
                <w:sz w:val="20"/>
                <w:szCs w:val="20"/>
                <w:lang w:eastAsia="en-US"/>
              </w:rPr>
            </w:pPr>
            <w:r w:rsidRPr="0062680A">
              <w:rPr>
                <w:rFonts w:ascii="Arial Narrow" w:hAnsi="Arial Narrow"/>
                <w:sz w:val="20"/>
                <w:szCs w:val="20"/>
              </w:rPr>
              <w:t>-</w:t>
            </w:r>
          </w:p>
        </w:tc>
        <w:tc>
          <w:tcPr>
            <w:tcW w:w="592" w:type="dxa"/>
            <w:tcBorders>
              <w:top w:val="nil"/>
              <w:left w:val="nil"/>
              <w:bottom w:val="nil"/>
              <w:right w:val="nil"/>
            </w:tcBorders>
            <w:shd w:val="clear" w:color="auto" w:fill="auto"/>
            <w:vAlign w:val="center"/>
            <w:hideMark/>
          </w:tcPr>
          <w:p w14:paraId="6DAF24AD"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eastAsia="en-US"/>
              </w:rPr>
              <w:t>17,2</w:t>
            </w:r>
          </w:p>
        </w:tc>
      </w:tr>
      <w:tr w:rsidR="001F224C" w:rsidRPr="002C7555" w14:paraId="30AD4B7C" w14:textId="77777777" w:rsidTr="001F224C">
        <w:trPr>
          <w:gridAfter w:val="1"/>
          <w:wAfter w:w="10" w:type="dxa"/>
          <w:trHeight w:val="188"/>
          <w:jc w:val="center"/>
        </w:trPr>
        <w:tc>
          <w:tcPr>
            <w:tcW w:w="409" w:type="dxa"/>
            <w:vMerge/>
            <w:tcBorders>
              <w:top w:val="nil"/>
              <w:left w:val="nil"/>
              <w:bottom w:val="single" w:sz="4" w:space="0" w:color="000000"/>
              <w:right w:val="nil"/>
            </w:tcBorders>
            <w:vAlign w:val="center"/>
            <w:hideMark/>
          </w:tcPr>
          <w:p w14:paraId="05F6F2CE" w14:textId="77777777" w:rsidR="001F224C" w:rsidRPr="002C7555" w:rsidRDefault="001F224C" w:rsidP="001F224C">
            <w:pPr>
              <w:spacing w:after="0" w:line="240" w:lineRule="auto"/>
              <w:rPr>
                <w:rFonts w:ascii="Arial Narrow" w:hAnsi="Arial Narrow"/>
                <w:b/>
                <w:bCs/>
                <w:color w:val="000000"/>
                <w:sz w:val="20"/>
                <w:szCs w:val="20"/>
                <w:lang w:val="en-US" w:eastAsia="en-US"/>
              </w:rPr>
            </w:pPr>
          </w:p>
        </w:tc>
        <w:tc>
          <w:tcPr>
            <w:tcW w:w="407" w:type="dxa"/>
            <w:gridSpan w:val="2"/>
            <w:vMerge/>
            <w:tcBorders>
              <w:top w:val="nil"/>
              <w:left w:val="nil"/>
              <w:bottom w:val="single" w:sz="4" w:space="0" w:color="000000"/>
              <w:right w:val="nil"/>
            </w:tcBorders>
            <w:vAlign w:val="center"/>
            <w:hideMark/>
          </w:tcPr>
          <w:p w14:paraId="6DCD6BAD"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7CA8B771"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populácie</w:t>
            </w:r>
            <w:proofErr w:type="spellEnd"/>
            <w:r w:rsidRPr="002C7555">
              <w:rPr>
                <w:rFonts w:ascii="Arial Narrow" w:hAnsi="Arial Narrow"/>
                <w:color w:val="000000"/>
                <w:sz w:val="20"/>
                <w:szCs w:val="20"/>
                <w:lang w:val="en-US" w:eastAsia="en-US"/>
              </w:rPr>
              <w:t>)</w:t>
            </w:r>
          </w:p>
        </w:tc>
        <w:tc>
          <w:tcPr>
            <w:tcW w:w="710" w:type="dxa"/>
            <w:tcBorders>
              <w:top w:val="nil"/>
              <w:left w:val="nil"/>
              <w:bottom w:val="single" w:sz="4" w:space="0" w:color="auto"/>
              <w:right w:val="nil"/>
            </w:tcBorders>
            <w:shd w:val="clear" w:color="auto" w:fill="auto"/>
            <w:vAlign w:val="center"/>
            <w:hideMark/>
          </w:tcPr>
          <w:p w14:paraId="6F9263F5"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single" w:sz="4" w:space="0" w:color="auto"/>
              <w:right w:val="nil"/>
            </w:tcBorders>
            <w:shd w:val="clear" w:color="auto" w:fill="auto"/>
            <w:vAlign w:val="center"/>
          </w:tcPr>
          <w:p w14:paraId="5E119C39" w14:textId="10CB6734"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23,3</w:t>
            </w:r>
          </w:p>
        </w:tc>
        <w:tc>
          <w:tcPr>
            <w:tcW w:w="592" w:type="dxa"/>
            <w:tcBorders>
              <w:top w:val="nil"/>
              <w:left w:val="nil"/>
              <w:bottom w:val="single" w:sz="4" w:space="0" w:color="auto"/>
              <w:right w:val="nil"/>
            </w:tcBorders>
            <w:shd w:val="clear" w:color="auto" w:fill="auto"/>
            <w:vAlign w:val="center"/>
          </w:tcPr>
          <w:p w14:paraId="64A31809" w14:textId="6642F6ED"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23,7</w:t>
            </w:r>
          </w:p>
        </w:tc>
        <w:tc>
          <w:tcPr>
            <w:tcW w:w="592" w:type="dxa"/>
            <w:tcBorders>
              <w:top w:val="nil"/>
              <w:left w:val="nil"/>
              <w:bottom w:val="single" w:sz="4" w:space="0" w:color="auto"/>
              <w:right w:val="nil"/>
            </w:tcBorders>
            <w:shd w:val="clear" w:color="auto" w:fill="auto"/>
            <w:vAlign w:val="center"/>
          </w:tcPr>
          <w:p w14:paraId="5FDE0F99" w14:textId="3207D56A"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24,3</w:t>
            </w:r>
          </w:p>
        </w:tc>
        <w:tc>
          <w:tcPr>
            <w:tcW w:w="592" w:type="dxa"/>
            <w:tcBorders>
              <w:top w:val="nil"/>
              <w:left w:val="nil"/>
              <w:bottom w:val="single" w:sz="4" w:space="0" w:color="auto"/>
              <w:right w:val="nil"/>
            </w:tcBorders>
            <w:shd w:val="clear" w:color="auto" w:fill="auto"/>
            <w:vAlign w:val="center"/>
          </w:tcPr>
          <w:p w14:paraId="650943DC" w14:textId="71930BE3"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24,7</w:t>
            </w:r>
          </w:p>
        </w:tc>
        <w:tc>
          <w:tcPr>
            <w:tcW w:w="592" w:type="dxa"/>
            <w:tcBorders>
              <w:top w:val="nil"/>
              <w:left w:val="nil"/>
              <w:bottom w:val="single" w:sz="4" w:space="0" w:color="auto"/>
              <w:right w:val="nil"/>
            </w:tcBorders>
            <w:shd w:val="clear" w:color="auto" w:fill="auto"/>
            <w:vAlign w:val="center"/>
          </w:tcPr>
          <w:p w14:paraId="2F7D429D" w14:textId="313BEF23"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24,6</w:t>
            </w:r>
          </w:p>
        </w:tc>
        <w:tc>
          <w:tcPr>
            <w:tcW w:w="592" w:type="dxa"/>
            <w:tcBorders>
              <w:top w:val="nil"/>
              <w:left w:val="nil"/>
              <w:bottom w:val="single" w:sz="4" w:space="0" w:color="auto"/>
              <w:right w:val="nil"/>
            </w:tcBorders>
            <w:shd w:val="clear" w:color="auto" w:fill="auto"/>
            <w:vAlign w:val="center"/>
          </w:tcPr>
          <w:p w14:paraId="737145E4" w14:textId="6351EC4D"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 xml:space="preserve"> 24,4</w:t>
            </w:r>
          </w:p>
        </w:tc>
        <w:tc>
          <w:tcPr>
            <w:tcW w:w="592" w:type="dxa"/>
            <w:tcBorders>
              <w:top w:val="nil"/>
              <w:left w:val="nil"/>
              <w:bottom w:val="single" w:sz="4" w:space="0" w:color="auto"/>
              <w:right w:val="nil"/>
            </w:tcBorders>
            <w:shd w:val="clear" w:color="auto" w:fill="auto"/>
            <w:vAlign w:val="center"/>
          </w:tcPr>
          <w:p w14:paraId="5B933942" w14:textId="58E336F7"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23,8</w:t>
            </w:r>
          </w:p>
        </w:tc>
        <w:tc>
          <w:tcPr>
            <w:tcW w:w="592" w:type="dxa"/>
            <w:tcBorders>
              <w:top w:val="nil"/>
              <w:left w:val="nil"/>
              <w:bottom w:val="single" w:sz="4" w:space="0" w:color="auto"/>
              <w:right w:val="nil"/>
            </w:tcBorders>
            <w:vAlign w:val="center"/>
          </w:tcPr>
          <w:p w14:paraId="3A087584" w14:textId="1FC07846"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23,5</w:t>
            </w:r>
          </w:p>
        </w:tc>
        <w:tc>
          <w:tcPr>
            <w:tcW w:w="592" w:type="dxa"/>
            <w:tcBorders>
              <w:top w:val="nil"/>
              <w:left w:val="nil"/>
              <w:bottom w:val="single" w:sz="4" w:space="0" w:color="auto"/>
              <w:right w:val="nil"/>
            </w:tcBorders>
            <w:noWrap/>
            <w:vAlign w:val="center"/>
          </w:tcPr>
          <w:p w14:paraId="719108F0" w14:textId="35D2E767"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23,5</w:t>
            </w:r>
          </w:p>
        </w:tc>
        <w:tc>
          <w:tcPr>
            <w:tcW w:w="592" w:type="dxa"/>
            <w:tcBorders>
              <w:top w:val="nil"/>
              <w:left w:val="nil"/>
              <w:bottom w:val="single" w:sz="4" w:space="0" w:color="auto"/>
              <w:right w:val="nil"/>
            </w:tcBorders>
            <w:vAlign w:val="center"/>
          </w:tcPr>
          <w:p w14:paraId="6410E409" w14:textId="77042950" w:rsidR="001F224C" w:rsidRPr="002C7555" w:rsidRDefault="001F224C" w:rsidP="001F224C">
            <w:pPr>
              <w:spacing w:after="0" w:line="240" w:lineRule="auto"/>
              <w:jc w:val="center"/>
              <w:rPr>
                <w:rFonts w:ascii="Arial Narrow" w:hAnsi="Arial Narrow"/>
                <w:color w:val="000000"/>
                <w:sz w:val="20"/>
                <w:szCs w:val="20"/>
                <w:lang w:eastAsia="en-US"/>
              </w:rPr>
            </w:pPr>
            <w:r w:rsidRPr="0062680A">
              <w:rPr>
                <w:rFonts w:ascii="Arial Narrow" w:hAnsi="Arial Narrow"/>
                <w:sz w:val="20"/>
                <w:szCs w:val="20"/>
              </w:rPr>
              <w:t>-</w:t>
            </w:r>
          </w:p>
        </w:tc>
        <w:tc>
          <w:tcPr>
            <w:tcW w:w="592" w:type="dxa"/>
            <w:tcBorders>
              <w:top w:val="nil"/>
              <w:left w:val="nil"/>
              <w:bottom w:val="single" w:sz="4" w:space="0" w:color="auto"/>
              <w:right w:val="nil"/>
            </w:tcBorders>
            <w:shd w:val="clear" w:color="auto" w:fill="auto"/>
            <w:vAlign w:val="center"/>
            <w:hideMark/>
          </w:tcPr>
          <w:p w14:paraId="7709090E"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eastAsia="en-US"/>
              </w:rPr>
              <w:t>19,4</w:t>
            </w:r>
          </w:p>
        </w:tc>
      </w:tr>
      <w:tr w:rsidR="001F224C" w:rsidRPr="002C7555" w14:paraId="06EEE953" w14:textId="77777777" w:rsidTr="001F224C">
        <w:trPr>
          <w:gridAfter w:val="1"/>
          <w:wAfter w:w="10" w:type="dxa"/>
          <w:trHeight w:val="188"/>
          <w:jc w:val="center"/>
        </w:trPr>
        <w:tc>
          <w:tcPr>
            <w:tcW w:w="409" w:type="dxa"/>
            <w:tcBorders>
              <w:top w:val="nil"/>
              <w:left w:val="nil"/>
              <w:bottom w:val="nil"/>
              <w:right w:val="nil"/>
            </w:tcBorders>
            <w:shd w:val="clear" w:color="auto" w:fill="auto"/>
            <w:textDirection w:val="btLr"/>
            <w:vAlign w:val="center"/>
            <w:hideMark/>
          </w:tcPr>
          <w:p w14:paraId="03358F05"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407" w:type="dxa"/>
            <w:gridSpan w:val="2"/>
            <w:vMerge w:val="restart"/>
            <w:tcBorders>
              <w:top w:val="nil"/>
              <w:left w:val="nil"/>
              <w:right w:val="nil"/>
            </w:tcBorders>
            <w:shd w:val="clear" w:color="auto" w:fill="auto"/>
            <w:noWrap/>
            <w:vAlign w:val="center"/>
            <w:hideMark/>
          </w:tcPr>
          <w:p w14:paraId="38BC646B" w14:textId="77777777" w:rsidR="001F224C" w:rsidRPr="002C7555" w:rsidRDefault="001F224C" w:rsidP="001F224C">
            <w:pPr>
              <w:spacing w:after="0" w:line="240" w:lineRule="auto"/>
              <w:jc w:val="center"/>
              <w:rPr>
                <w:rFonts w:ascii="Arial Narrow" w:hAnsi="Arial Narrow"/>
                <w:sz w:val="20"/>
                <w:szCs w:val="20"/>
                <w:lang w:val="en-US" w:eastAsia="en-US"/>
              </w:rPr>
            </w:pPr>
            <w:r w:rsidRPr="002C7555">
              <w:rPr>
                <w:rFonts w:ascii="Arial Narrow" w:hAnsi="Arial Narrow"/>
                <w:b/>
                <w:bCs/>
                <w:color w:val="000000"/>
                <w:sz w:val="20"/>
                <w:szCs w:val="20"/>
              </w:rPr>
              <w:t>13</w:t>
            </w:r>
          </w:p>
        </w:tc>
        <w:tc>
          <w:tcPr>
            <w:tcW w:w="2050" w:type="dxa"/>
            <w:tcBorders>
              <w:top w:val="nil"/>
              <w:left w:val="nil"/>
              <w:bottom w:val="nil"/>
              <w:right w:val="nil"/>
            </w:tcBorders>
            <w:shd w:val="clear" w:color="auto" w:fill="auto"/>
            <w:noWrap/>
            <w:vAlign w:val="center"/>
            <w:hideMark/>
          </w:tcPr>
          <w:p w14:paraId="2E654028" w14:textId="77777777" w:rsidR="001F224C" w:rsidRPr="002C7555" w:rsidRDefault="001F224C" w:rsidP="001F224C">
            <w:pPr>
              <w:spacing w:after="0" w:line="240" w:lineRule="auto"/>
              <w:jc w:val="both"/>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Miera</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náhrady</w:t>
            </w:r>
            <w:proofErr w:type="spellEnd"/>
            <w:r w:rsidRPr="002C7555">
              <w:rPr>
                <w:rFonts w:ascii="Arial Narrow" w:hAnsi="Arial Narrow"/>
                <w:b/>
                <w:bCs/>
                <w:color w:val="000000"/>
                <w:sz w:val="20"/>
                <w:szCs w:val="20"/>
                <w:lang w:val="en-US" w:eastAsia="en-US"/>
              </w:rPr>
              <w:t xml:space="preserve"> (Benefit ratio)</w:t>
            </w:r>
          </w:p>
        </w:tc>
        <w:tc>
          <w:tcPr>
            <w:tcW w:w="710" w:type="dxa"/>
            <w:tcBorders>
              <w:top w:val="nil"/>
              <w:left w:val="nil"/>
              <w:bottom w:val="nil"/>
              <w:right w:val="nil"/>
            </w:tcBorders>
            <w:shd w:val="clear" w:color="auto" w:fill="auto"/>
            <w:vAlign w:val="center"/>
            <w:hideMark/>
          </w:tcPr>
          <w:p w14:paraId="7D5AFC7E"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single" w:sz="4" w:space="0" w:color="auto"/>
              <w:left w:val="nil"/>
              <w:bottom w:val="nil"/>
              <w:right w:val="nil"/>
            </w:tcBorders>
            <w:shd w:val="clear" w:color="auto" w:fill="auto"/>
            <w:vAlign w:val="center"/>
          </w:tcPr>
          <w:p w14:paraId="2695764B" w14:textId="75B1EC87"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w:t>
            </w:r>
          </w:p>
        </w:tc>
        <w:tc>
          <w:tcPr>
            <w:tcW w:w="592" w:type="dxa"/>
            <w:tcBorders>
              <w:top w:val="single" w:sz="4" w:space="0" w:color="auto"/>
              <w:left w:val="nil"/>
              <w:bottom w:val="nil"/>
              <w:right w:val="nil"/>
            </w:tcBorders>
            <w:shd w:val="clear" w:color="auto" w:fill="auto"/>
            <w:vAlign w:val="center"/>
          </w:tcPr>
          <w:p w14:paraId="4EE7F349" w14:textId="45CBEAA8"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43,7</w:t>
            </w:r>
          </w:p>
        </w:tc>
        <w:tc>
          <w:tcPr>
            <w:tcW w:w="592" w:type="dxa"/>
            <w:tcBorders>
              <w:top w:val="single" w:sz="4" w:space="0" w:color="auto"/>
              <w:left w:val="nil"/>
              <w:bottom w:val="nil"/>
              <w:right w:val="nil"/>
            </w:tcBorders>
            <w:shd w:val="clear" w:color="auto" w:fill="auto"/>
            <w:vAlign w:val="center"/>
          </w:tcPr>
          <w:p w14:paraId="336D21C5" w14:textId="3AF6135C"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w:t>
            </w:r>
          </w:p>
        </w:tc>
        <w:tc>
          <w:tcPr>
            <w:tcW w:w="592" w:type="dxa"/>
            <w:tcBorders>
              <w:top w:val="single" w:sz="4" w:space="0" w:color="auto"/>
              <w:left w:val="nil"/>
              <w:bottom w:val="nil"/>
              <w:right w:val="nil"/>
            </w:tcBorders>
            <w:shd w:val="clear" w:color="auto" w:fill="auto"/>
            <w:vAlign w:val="center"/>
          </w:tcPr>
          <w:p w14:paraId="7CB54BC5" w14:textId="0D519295"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w:t>
            </w:r>
          </w:p>
        </w:tc>
        <w:tc>
          <w:tcPr>
            <w:tcW w:w="592" w:type="dxa"/>
            <w:tcBorders>
              <w:top w:val="single" w:sz="4" w:space="0" w:color="auto"/>
              <w:left w:val="nil"/>
              <w:bottom w:val="nil"/>
              <w:right w:val="nil"/>
            </w:tcBorders>
            <w:shd w:val="clear" w:color="auto" w:fill="auto"/>
            <w:vAlign w:val="center"/>
          </w:tcPr>
          <w:p w14:paraId="5228B02A" w14:textId="0D710FA9"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45,7</w:t>
            </w:r>
          </w:p>
        </w:tc>
        <w:tc>
          <w:tcPr>
            <w:tcW w:w="592" w:type="dxa"/>
            <w:tcBorders>
              <w:top w:val="single" w:sz="4" w:space="0" w:color="auto"/>
              <w:left w:val="nil"/>
              <w:bottom w:val="nil"/>
              <w:right w:val="nil"/>
            </w:tcBorders>
            <w:shd w:val="clear" w:color="auto" w:fill="auto"/>
            <w:vAlign w:val="center"/>
          </w:tcPr>
          <w:p w14:paraId="7DFB0ECD" w14:textId="45727C58"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w:t>
            </w:r>
          </w:p>
        </w:tc>
        <w:tc>
          <w:tcPr>
            <w:tcW w:w="592" w:type="dxa"/>
            <w:tcBorders>
              <w:top w:val="single" w:sz="4" w:space="0" w:color="auto"/>
              <w:left w:val="nil"/>
              <w:bottom w:val="nil"/>
              <w:right w:val="nil"/>
            </w:tcBorders>
            <w:shd w:val="clear" w:color="auto" w:fill="auto"/>
            <w:vAlign w:val="center"/>
          </w:tcPr>
          <w:p w14:paraId="2373BC9F" w14:textId="54190D6A"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w:t>
            </w:r>
          </w:p>
        </w:tc>
        <w:tc>
          <w:tcPr>
            <w:tcW w:w="592" w:type="dxa"/>
            <w:tcBorders>
              <w:top w:val="single" w:sz="4" w:space="0" w:color="auto"/>
              <w:left w:val="nil"/>
              <w:bottom w:val="nil"/>
              <w:right w:val="nil"/>
            </w:tcBorders>
            <w:vAlign w:val="center"/>
          </w:tcPr>
          <w:p w14:paraId="2A17D3D7" w14:textId="6024865B"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46,6</w:t>
            </w:r>
          </w:p>
        </w:tc>
        <w:tc>
          <w:tcPr>
            <w:tcW w:w="592" w:type="dxa"/>
            <w:tcBorders>
              <w:top w:val="single" w:sz="4" w:space="0" w:color="auto"/>
              <w:left w:val="nil"/>
              <w:bottom w:val="nil"/>
              <w:right w:val="nil"/>
            </w:tcBorders>
            <w:vAlign w:val="center"/>
          </w:tcPr>
          <w:p w14:paraId="6F269BCB" w14:textId="74432BA5"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w:t>
            </w:r>
          </w:p>
        </w:tc>
        <w:tc>
          <w:tcPr>
            <w:tcW w:w="592" w:type="dxa"/>
            <w:tcBorders>
              <w:top w:val="single" w:sz="4" w:space="0" w:color="auto"/>
              <w:left w:val="nil"/>
              <w:bottom w:val="nil"/>
              <w:right w:val="nil"/>
            </w:tcBorders>
            <w:vAlign w:val="center"/>
          </w:tcPr>
          <w:p w14:paraId="3733BFE5" w14:textId="4FEE49EF"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w:t>
            </w:r>
          </w:p>
        </w:tc>
        <w:tc>
          <w:tcPr>
            <w:tcW w:w="592" w:type="dxa"/>
            <w:tcBorders>
              <w:top w:val="nil"/>
              <w:left w:val="nil"/>
              <w:bottom w:val="nil"/>
              <w:right w:val="nil"/>
            </w:tcBorders>
            <w:shd w:val="clear" w:color="auto" w:fill="auto"/>
            <w:vAlign w:val="center"/>
            <w:hideMark/>
          </w:tcPr>
          <w:p w14:paraId="5755857D"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576D5FE1" w14:textId="77777777" w:rsidTr="001F224C">
        <w:trPr>
          <w:gridAfter w:val="1"/>
          <w:wAfter w:w="10" w:type="dxa"/>
          <w:trHeight w:val="188"/>
          <w:jc w:val="center"/>
        </w:trPr>
        <w:tc>
          <w:tcPr>
            <w:tcW w:w="409" w:type="dxa"/>
            <w:tcBorders>
              <w:top w:val="nil"/>
              <w:left w:val="nil"/>
              <w:bottom w:val="single" w:sz="4" w:space="0" w:color="auto"/>
              <w:right w:val="nil"/>
            </w:tcBorders>
            <w:shd w:val="clear" w:color="auto" w:fill="auto"/>
            <w:textDirection w:val="btLr"/>
            <w:vAlign w:val="center"/>
            <w:hideMark/>
          </w:tcPr>
          <w:p w14:paraId="1679D19F"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 </w:t>
            </w:r>
          </w:p>
        </w:tc>
        <w:tc>
          <w:tcPr>
            <w:tcW w:w="407" w:type="dxa"/>
            <w:gridSpan w:val="2"/>
            <w:vMerge/>
            <w:tcBorders>
              <w:left w:val="nil"/>
              <w:bottom w:val="single" w:sz="4" w:space="0" w:color="auto"/>
              <w:right w:val="nil"/>
            </w:tcBorders>
            <w:shd w:val="clear" w:color="auto" w:fill="auto"/>
            <w:noWrap/>
            <w:vAlign w:val="center"/>
            <w:hideMark/>
          </w:tcPr>
          <w:p w14:paraId="5A6B8AA4"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6AB29329"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roofErr w:type="spellStart"/>
            <w:r w:rsidRPr="002C7555">
              <w:rPr>
                <w:rFonts w:ascii="Arial Narrow" w:hAnsi="Arial Narrow"/>
                <w:color w:val="000000"/>
                <w:sz w:val="20"/>
                <w:szCs w:val="20"/>
                <w:lang w:val="en-US" w:eastAsia="en-US"/>
              </w:rPr>
              <w:t>priemerný</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dôchodok</w:t>
            </w:r>
            <w:proofErr w:type="spellEnd"/>
            <w:r w:rsidRPr="002C7555">
              <w:rPr>
                <w:rFonts w:ascii="Arial Narrow" w:hAnsi="Arial Narrow"/>
                <w:color w:val="000000"/>
                <w:sz w:val="20"/>
                <w:szCs w:val="20"/>
                <w:lang w:val="en-US" w:eastAsia="en-US"/>
              </w:rPr>
              <w:t xml:space="preserve">, % z </w:t>
            </w:r>
            <w:proofErr w:type="spellStart"/>
            <w:r w:rsidRPr="002C7555">
              <w:rPr>
                <w:rFonts w:ascii="Arial Narrow" w:hAnsi="Arial Narrow"/>
                <w:color w:val="000000"/>
                <w:sz w:val="20"/>
                <w:szCs w:val="20"/>
                <w:lang w:val="en-US" w:eastAsia="en-US"/>
              </w:rPr>
              <w:t>priemernej</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mzdy</w:t>
            </w:r>
            <w:proofErr w:type="spellEnd"/>
            <w:r w:rsidRPr="002C7555">
              <w:rPr>
                <w:rFonts w:ascii="Arial Narrow" w:hAnsi="Arial Narrow"/>
                <w:color w:val="000000"/>
                <w:sz w:val="20"/>
                <w:szCs w:val="20"/>
                <w:lang w:val="en-US" w:eastAsia="en-US"/>
              </w:rPr>
              <w:t>)</w:t>
            </w:r>
          </w:p>
        </w:tc>
        <w:tc>
          <w:tcPr>
            <w:tcW w:w="710" w:type="dxa"/>
            <w:tcBorders>
              <w:top w:val="nil"/>
              <w:left w:val="nil"/>
              <w:bottom w:val="single" w:sz="4" w:space="0" w:color="auto"/>
              <w:right w:val="nil"/>
            </w:tcBorders>
            <w:shd w:val="clear" w:color="auto" w:fill="auto"/>
            <w:vAlign w:val="center"/>
            <w:hideMark/>
          </w:tcPr>
          <w:p w14:paraId="5FC48713"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single" w:sz="4" w:space="0" w:color="auto"/>
              <w:right w:val="nil"/>
            </w:tcBorders>
            <w:shd w:val="clear" w:color="auto" w:fill="auto"/>
            <w:vAlign w:val="center"/>
          </w:tcPr>
          <w:p w14:paraId="117ED56C" w14:textId="03972C5F"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w:t>
            </w:r>
          </w:p>
        </w:tc>
        <w:tc>
          <w:tcPr>
            <w:tcW w:w="592" w:type="dxa"/>
            <w:tcBorders>
              <w:top w:val="nil"/>
              <w:left w:val="nil"/>
              <w:bottom w:val="single" w:sz="4" w:space="0" w:color="auto"/>
              <w:right w:val="nil"/>
            </w:tcBorders>
            <w:shd w:val="clear" w:color="auto" w:fill="auto"/>
            <w:vAlign w:val="center"/>
          </w:tcPr>
          <w:p w14:paraId="49CE4AD4" w14:textId="598DE41E"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41,4</w:t>
            </w:r>
          </w:p>
        </w:tc>
        <w:tc>
          <w:tcPr>
            <w:tcW w:w="592" w:type="dxa"/>
            <w:tcBorders>
              <w:top w:val="nil"/>
              <w:left w:val="nil"/>
              <w:bottom w:val="single" w:sz="4" w:space="0" w:color="auto"/>
              <w:right w:val="nil"/>
            </w:tcBorders>
            <w:shd w:val="clear" w:color="auto" w:fill="auto"/>
            <w:vAlign w:val="center"/>
          </w:tcPr>
          <w:p w14:paraId="0A198282" w14:textId="3375482A"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w:t>
            </w:r>
          </w:p>
        </w:tc>
        <w:tc>
          <w:tcPr>
            <w:tcW w:w="592" w:type="dxa"/>
            <w:tcBorders>
              <w:top w:val="nil"/>
              <w:left w:val="nil"/>
              <w:bottom w:val="single" w:sz="4" w:space="0" w:color="auto"/>
              <w:right w:val="nil"/>
            </w:tcBorders>
            <w:shd w:val="clear" w:color="auto" w:fill="auto"/>
            <w:vAlign w:val="center"/>
          </w:tcPr>
          <w:p w14:paraId="0FB06063" w14:textId="355E3100"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w:t>
            </w:r>
          </w:p>
        </w:tc>
        <w:tc>
          <w:tcPr>
            <w:tcW w:w="592" w:type="dxa"/>
            <w:tcBorders>
              <w:top w:val="nil"/>
              <w:left w:val="nil"/>
              <w:bottom w:val="single" w:sz="4" w:space="0" w:color="auto"/>
              <w:right w:val="nil"/>
            </w:tcBorders>
            <w:shd w:val="clear" w:color="auto" w:fill="auto"/>
            <w:vAlign w:val="center"/>
          </w:tcPr>
          <w:p w14:paraId="7C6E816A" w14:textId="798A9A3F"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44,0</w:t>
            </w:r>
          </w:p>
        </w:tc>
        <w:tc>
          <w:tcPr>
            <w:tcW w:w="592" w:type="dxa"/>
            <w:tcBorders>
              <w:top w:val="nil"/>
              <w:left w:val="nil"/>
              <w:bottom w:val="single" w:sz="4" w:space="0" w:color="auto"/>
              <w:right w:val="nil"/>
            </w:tcBorders>
            <w:shd w:val="clear" w:color="auto" w:fill="auto"/>
            <w:vAlign w:val="center"/>
          </w:tcPr>
          <w:p w14:paraId="3667BC57" w14:textId="554C6D81"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w:t>
            </w:r>
          </w:p>
        </w:tc>
        <w:tc>
          <w:tcPr>
            <w:tcW w:w="592" w:type="dxa"/>
            <w:tcBorders>
              <w:top w:val="nil"/>
              <w:left w:val="nil"/>
              <w:bottom w:val="single" w:sz="4" w:space="0" w:color="auto"/>
              <w:right w:val="nil"/>
            </w:tcBorders>
            <w:shd w:val="clear" w:color="auto" w:fill="auto"/>
            <w:vAlign w:val="center"/>
          </w:tcPr>
          <w:p w14:paraId="44B120C2" w14:textId="7011C933"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w:t>
            </w:r>
          </w:p>
        </w:tc>
        <w:tc>
          <w:tcPr>
            <w:tcW w:w="592" w:type="dxa"/>
            <w:tcBorders>
              <w:top w:val="nil"/>
              <w:left w:val="nil"/>
              <w:bottom w:val="single" w:sz="4" w:space="0" w:color="auto"/>
              <w:right w:val="nil"/>
            </w:tcBorders>
            <w:vAlign w:val="center"/>
          </w:tcPr>
          <w:p w14:paraId="5A42936F" w14:textId="75609379"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43,5</w:t>
            </w:r>
          </w:p>
        </w:tc>
        <w:tc>
          <w:tcPr>
            <w:tcW w:w="592" w:type="dxa"/>
            <w:tcBorders>
              <w:top w:val="nil"/>
              <w:left w:val="nil"/>
              <w:bottom w:val="single" w:sz="4" w:space="0" w:color="auto"/>
              <w:right w:val="nil"/>
            </w:tcBorders>
            <w:vAlign w:val="center"/>
          </w:tcPr>
          <w:p w14:paraId="471EE4D0" w14:textId="1506832B"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w:t>
            </w:r>
          </w:p>
        </w:tc>
        <w:tc>
          <w:tcPr>
            <w:tcW w:w="592" w:type="dxa"/>
            <w:tcBorders>
              <w:top w:val="nil"/>
              <w:left w:val="nil"/>
              <w:bottom w:val="single" w:sz="4" w:space="0" w:color="auto"/>
              <w:right w:val="nil"/>
            </w:tcBorders>
            <w:vAlign w:val="center"/>
          </w:tcPr>
          <w:p w14:paraId="073CD117" w14:textId="35E2C5FD" w:rsidR="001F224C" w:rsidRPr="002C7555" w:rsidRDefault="001F224C" w:rsidP="001F224C">
            <w:pPr>
              <w:spacing w:after="0" w:line="240" w:lineRule="auto"/>
              <w:jc w:val="center"/>
              <w:rPr>
                <w:rFonts w:ascii="Arial Narrow" w:hAnsi="Arial Narrow"/>
                <w:color w:val="000000"/>
                <w:sz w:val="20"/>
                <w:szCs w:val="20"/>
                <w:lang w:val="en-US" w:eastAsia="en-US"/>
              </w:rPr>
            </w:pPr>
            <w:r w:rsidRPr="0062680A">
              <w:rPr>
                <w:rFonts w:ascii="Arial Narrow" w:hAnsi="Arial Narrow"/>
                <w:sz w:val="20"/>
                <w:szCs w:val="20"/>
              </w:rPr>
              <w:t>-</w:t>
            </w:r>
          </w:p>
        </w:tc>
        <w:tc>
          <w:tcPr>
            <w:tcW w:w="592" w:type="dxa"/>
            <w:tcBorders>
              <w:top w:val="nil"/>
              <w:left w:val="nil"/>
              <w:bottom w:val="single" w:sz="4" w:space="0" w:color="auto"/>
              <w:right w:val="nil"/>
            </w:tcBorders>
            <w:shd w:val="clear" w:color="auto" w:fill="auto"/>
            <w:vAlign w:val="center"/>
            <w:hideMark/>
          </w:tcPr>
          <w:p w14:paraId="432E0472"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4703DABF" w14:textId="77777777" w:rsidTr="001F224C">
        <w:trPr>
          <w:trHeight w:val="188"/>
          <w:jc w:val="center"/>
        </w:trPr>
        <w:tc>
          <w:tcPr>
            <w:tcW w:w="602" w:type="dxa"/>
            <w:gridSpan w:val="2"/>
            <w:tcBorders>
              <w:top w:val="single" w:sz="4" w:space="0" w:color="auto"/>
              <w:left w:val="nil"/>
              <w:bottom w:val="single" w:sz="4" w:space="0" w:color="auto"/>
              <w:right w:val="nil"/>
            </w:tcBorders>
            <w:shd w:val="clear" w:color="000000" w:fill="A9D2F1"/>
          </w:tcPr>
          <w:p w14:paraId="1A042C1C" w14:textId="77777777" w:rsidR="001F224C" w:rsidRPr="002C7555" w:rsidRDefault="001F224C" w:rsidP="001F224C">
            <w:pPr>
              <w:spacing w:after="0" w:line="240" w:lineRule="auto"/>
              <w:rPr>
                <w:rFonts w:ascii="Arial Narrow" w:hAnsi="Arial Narrow"/>
                <w:b/>
                <w:bCs/>
                <w:sz w:val="20"/>
                <w:szCs w:val="20"/>
                <w:lang w:eastAsia="en-US"/>
              </w:rPr>
            </w:pPr>
          </w:p>
        </w:tc>
        <w:tc>
          <w:tcPr>
            <w:tcW w:w="9604" w:type="dxa"/>
            <w:gridSpan w:val="15"/>
            <w:tcBorders>
              <w:top w:val="single" w:sz="4" w:space="0" w:color="auto"/>
              <w:left w:val="nil"/>
              <w:bottom w:val="single" w:sz="4" w:space="0" w:color="auto"/>
              <w:right w:val="nil"/>
            </w:tcBorders>
            <w:shd w:val="clear" w:color="000000" w:fill="A9D2F1"/>
            <w:noWrap/>
            <w:vAlign w:val="center"/>
            <w:hideMark/>
          </w:tcPr>
          <w:p w14:paraId="2D1CDAD5" w14:textId="77777777" w:rsidR="001F224C" w:rsidRPr="002C7555" w:rsidRDefault="001F224C" w:rsidP="001F224C">
            <w:pPr>
              <w:spacing w:after="0" w:line="240" w:lineRule="auto"/>
              <w:rPr>
                <w:rFonts w:ascii="Arial Narrow" w:hAnsi="Arial Narrow"/>
                <w:b/>
                <w:bCs/>
                <w:sz w:val="20"/>
                <w:szCs w:val="20"/>
                <w:lang w:eastAsia="en-US"/>
              </w:rPr>
            </w:pPr>
            <w:r w:rsidRPr="002C7555">
              <w:rPr>
                <w:rFonts w:ascii="Arial Narrow" w:hAnsi="Arial Narrow"/>
                <w:b/>
                <w:bCs/>
                <w:sz w:val="20"/>
                <w:szCs w:val="20"/>
                <w:lang w:eastAsia="en-US"/>
              </w:rPr>
              <w:t>Modernizácia verejnej správy a podnikateľské prostredie</w:t>
            </w:r>
          </w:p>
        </w:tc>
      </w:tr>
      <w:tr w:rsidR="001F224C" w:rsidRPr="002C7555" w14:paraId="1DF8B98A" w14:textId="77777777" w:rsidTr="001F224C">
        <w:trPr>
          <w:gridAfter w:val="1"/>
          <w:wAfter w:w="10" w:type="dxa"/>
          <w:trHeight w:val="188"/>
          <w:jc w:val="center"/>
        </w:trPr>
        <w:tc>
          <w:tcPr>
            <w:tcW w:w="409" w:type="dxa"/>
            <w:tcBorders>
              <w:top w:val="nil"/>
              <w:left w:val="nil"/>
              <w:right w:val="nil"/>
            </w:tcBorders>
            <w:shd w:val="clear" w:color="auto" w:fill="auto"/>
            <w:textDirection w:val="btLr"/>
            <w:vAlign w:val="center"/>
            <w:hideMark/>
          </w:tcPr>
          <w:p w14:paraId="79EBA228" w14:textId="77777777" w:rsidR="001F224C" w:rsidRPr="002C7555" w:rsidRDefault="001F224C" w:rsidP="001F224C">
            <w:pPr>
              <w:spacing w:after="0" w:line="240" w:lineRule="auto"/>
              <w:rPr>
                <w:rFonts w:ascii="Arial Narrow" w:hAnsi="Arial Narrow"/>
                <w:b/>
                <w:bCs/>
                <w:sz w:val="20"/>
                <w:szCs w:val="20"/>
                <w:lang w:eastAsia="en-US"/>
              </w:rPr>
            </w:pPr>
          </w:p>
        </w:tc>
        <w:tc>
          <w:tcPr>
            <w:tcW w:w="407" w:type="dxa"/>
            <w:gridSpan w:val="2"/>
            <w:vMerge w:val="restart"/>
            <w:tcBorders>
              <w:top w:val="nil"/>
              <w:left w:val="nil"/>
              <w:right w:val="nil"/>
            </w:tcBorders>
            <w:shd w:val="clear" w:color="auto" w:fill="auto"/>
            <w:noWrap/>
            <w:vAlign w:val="center"/>
            <w:hideMark/>
          </w:tcPr>
          <w:p w14:paraId="5FB8D164"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14</w:t>
            </w:r>
          </w:p>
        </w:tc>
        <w:tc>
          <w:tcPr>
            <w:tcW w:w="2050" w:type="dxa"/>
            <w:tcBorders>
              <w:top w:val="nil"/>
              <w:left w:val="nil"/>
              <w:right w:val="nil"/>
            </w:tcBorders>
            <w:shd w:val="clear" w:color="auto" w:fill="auto"/>
            <w:noWrap/>
            <w:vAlign w:val="center"/>
            <w:hideMark/>
          </w:tcPr>
          <w:p w14:paraId="5045C2B8" w14:textId="77777777" w:rsidR="001F224C" w:rsidRPr="002C7555" w:rsidRDefault="001F224C" w:rsidP="001F224C">
            <w:pPr>
              <w:spacing w:after="0" w:line="240" w:lineRule="auto"/>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Doing Business</w:t>
            </w:r>
          </w:p>
        </w:tc>
        <w:tc>
          <w:tcPr>
            <w:tcW w:w="710" w:type="dxa"/>
            <w:tcBorders>
              <w:top w:val="nil"/>
              <w:left w:val="nil"/>
              <w:right w:val="nil"/>
            </w:tcBorders>
            <w:shd w:val="clear" w:color="auto" w:fill="auto"/>
            <w:vAlign w:val="center"/>
            <w:hideMark/>
          </w:tcPr>
          <w:p w14:paraId="1F4BDB12"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single" w:sz="4" w:space="0" w:color="auto"/>
              <w:left w:val="nil"/>
              <w:bottom w:val="nil"/>
              <w:right w:val="nil"/>
            </w:tcBorders>
            <w:shd w:val="clear" w:color="auto" w:fill="auto"/>
            <w:vAlign w:val="center"/>
          </w:tcPr>
          <w:p w14:paraId="3C200D4B" w14:textId="45D7D069"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nil"/>
              <w:right w:val="nil"/>
            </w:tcBorders>
            <w:shd w:val="clear" w:color="auto" w:fill="auto"/>
            <w:vAlign w:val="center"/>
          </w:tcPr>
          <w:p w14:paraId="34AAC239" w14:textId="3C13274F"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nil"/>
              <w:right w:val="nil"/>
            </w:tcBorders>
            <w:shd w:val="clear" w:color="auto" w:fill="auto"/>
            <w:vAlign w:val="center"/>
          </w:tcPr>
          <w:p w14:paraId="15E9E598" w14:textId="07C217AE"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nil"/>
              <w:right w:val="nil"/>
            </w:tcBorders>
            <w:shd w:val="clear" w:color="auto" w:fill="auto"/>
            <w:vAlign w:val="center"/>
          </w:tcPr>
          <w:p w14:paraId="4919A660" w14:textId="3F3E9F26" w:rsidR="001F224C" w:rsidRPr="002C7555" w:rsidRDefault="001F224C" w:rsidP="001F224C">
            <w:pPr>
              <w:spacing w:after="0" w:line="240" w:lineRule="auto"/>
              <w:jc w:val="center"/>
              <w:rPr>
                <w:rFonts w:ascii="Arial Narrow" w:hAnsi="Arial Narrow"/>
                <w:color w:val="000000"/>
                <w:sz w:val="20"/>
                <w:szCs w:val="20"/>
                <w:lang w:val="en-US" w:eastAsia="en-US"/>
              </w:rPr>
            </w:pPr>
            <w:r w:rsidRPr="00780749">
              <w:rPr>
                <w:rFonts w:ascii="Arial Narrow" w:hAnsi="Arial Narrow"/>
                <w:color w:val="000000"/>
                <w:sz w:val="20"/>
                <w:szCs w:val="20"/>
              </w:rPr>
              <w:t>-</w:t>
            </w:r>
          </w:p>
        </w:tc>
        <w:tc>
          <w:tcPr>
            <w:tcW w:w="592" w:type="dxa"/>
            <w:tcBorders>
              <w:top w:val="nil"/>
              <w:left w:val="nil"/>
              <w:bottom w:val="nil"/>
              <w:right w:val="nil"/>
            </w:tcBorders>
            <w:shd w:val="clear" w:color="auto" w:fill="auto"/>
            <w:vAlign w:val="center"/>
          </w:tcPr>
          <w:p w14:paraId="78108684" w14:textId="606C47C0" w:rsidR="001F224C" w:rsidRPr="002C7555" w:rsidRDefault="001F224C" w:rsidP="001F224C">
            <w:pPr>
              <w:spacing w:after="0" w:line="240" w:lineRule="auto"/>
              <w:jc w:val="center"/>
              <w:rPr>
                <w:rFonts w:ascii="Arial Narrow" w:hAnsi="Arial Narrow"/>
                <w:color w:val="000000"/>
                <w:sz w:val="20"/>
                <w:szCs w:val="20"/>
                <w:lang w:val="en-US" w:eastAsia="en-US"/>
              </w:rPr>
            </w:pPr>
            <w:r w:rsidRPr="00780749">
              <w:rPr>
                <w:rFonts w:ascii="Arial Narrow" w:hAnsi="Arial Narrow"/>
                <w:color w:val="000000"/>
                <w:sz w:val="20"/>
                <w:szCs w:val="20"/>
              </w:rPr>
              <w:t>-</w:t>
            </w:r>
          </w:p>
        </w:tc>
        <w:tc>
          <w:tcPr>
            <w:tcW w:w="592" w:type="dxa"/>
            <w:tcBorders>
              <w:top w:val="nil"/>
              <w:left w:val="nil"/>
              <w:bottom w:val="nil"/>
              <w:right w:val="nil"/>
            </w:tcBorders>
            <w:shd w:val="clear" w:color="auto" w:fill="auto"/>
            <w:vAlign w:val="center"/>
          </w:tcPr>
          <w:p w14:paraId="2D056765" w14:textId="35096D83" w:rsidR="001F224C" w:rsidRPr="002C7555" w:rsidRDefault="001F224C" w:rsidP="001F224C">
            <w:pPr>
              <w:spacing w:after="0" w:line="240" w:lineRule="auto"/>
              <w:jc w:val="center"/>
              <w:rPr>
                <w:rFonts w:ascii="Arial Narrow" w:hAnsi="Arial Narrow"/>
                <w:color w:val="000000"/>
                <w:sz w:val="20"/>
                <w:szCs w:val="20"/>
                <w:lang w:val="en-US" w:eastAsia="en-US"/>
              </w:rPr>
            </w:pPr>
            <w:r w:rsidRPr="00780749">
              <w:rPr>
                <w:rFonts w:ascii="Arial Narrow" w:hAnsi="Arial Narrow"/>
                <w:color w:val="000000"/>
                <w:sz w:val="20"/>
                <w:szCs w:val="20"/>
              </w:rPr>
              <w:t>-</w:t>
            </w:r>
          </w:p>
        </w:tc>
        <w:tc>
          <w:tcPr>
            <w:tcW w:w="592" w:type="dxa"/>
            <w:tcBorders>
              <w:top w:val="nil"/>
              <w:left w:val="nil"/>
              <w:bottom w:val="nil"/>
              <w:right w:val="nil"/>
            </w:tcBorders>
            <w:shd w:val="clear" w:color="auto" w:fill="auto"/>
            <w:noWrap/>
            <w:vAlign w:val="center"/>
          </w:tcPr>
          <w:p w14:paraId="435C67D5" w14:textId="45BB0F7C" w:rsidR="001F224C" w:rsidRPr="002C7555" w:rsidRDefault="001F224C" w:rsidP="001F224C">
            <w:pPr>
              <w:spacing w:after="0" w:line="240" w:lineRule="auto"/>
              <w:jc w:val="center"/>
              <w:rPr>
                <w:rFonts w:ascii="Arial Narrow" w:hAnsi="Arial Narrow"/>
                <w:color w:val="000000"/>
                <w:sz w:val="20"/>
                <w:szCs w:val="20"/>
                <w:lang w:val="en-US" w:eastAsia="en-US"/>
              </w:rPr>
            </w:pPr>
            <w:r w:rsidRPr="00650B15">
              <w:rPr>
                <w:rFonts w:ascii="Arial Narrow" w:hAnsi="Arial Narrow"/>
                <w:sz w:val="20"/>
              </w:rPr>
              <w:t>34</w:t>
            </w:r>
          </w:p>
        </w:tc>
        <w:tc>
          <w:tcPr>
            <w:tcW w:w="592" w:type="dxa"/>
            <w:tcBorders>
              <w:top w:val="nil"/>
              <w:left w:val="nil"/>
              <w:bottom w:val="nil"/>
              <w:right w:val="nil"/>
            </w:tcBorders>
            <w:shd w:val="clear" w:color="auto" w:fill="auto"/>
            <w:vAlign w:val="center"/>
          </w:tcPr>
          <w:p w14:paraId="4B081D8F" w14:textId="344DDA2B" w:rsidR="001F224C" w:rsidRPr="002C7555" w:rsidRDefault="001F224C" w:rsidP="001F224C">
            <w:pPr>
              <w:spacing w:after="0" w:line="240" w:lineRule="auto"/>
              <w:jc w:val="center"/>
              <w:rPr>
                <w:rFonts w:ascii="Arial Narrow" w:hAnsi="Arial Narrow"/>
                <w:color w:val="000000"/>
                <w:sz w:val="20"/>
                <w:szCs w:val="20"/>
                <w:lang w:val="en-US" w:eastAsia="en-US"/>
              </w:rPr>
            </w:pPr>
            <w:r w:rsidRPr="00650B15">
              <w:rPr>
                <w:rFonts w:ascii="Arial Narrow" w:hAnsi="Arial Narrow"/>
                <w:sz w:val="20"/>
              </w:rPr>
              <w:t>36</w:t>
            </w:r>
          </w:p>
        </w:tc>
        <w:tc>
          <w:tcPr>
            <w:tcW w:w="592" w:type="dxa"/>
            <w:tcBorders>
              <w:top w:val="nil"/>
              <w:left w:val="nil"/>
              <w:bottom w:val="nil"/>
              <w:right w:val="nil"/>
            </w:tcBorders>
            <w:shd w:val="clear" w:color="auto" w:fill="auto"/>
            <w:vAlign w:val="center"/>
          </w:tcPr>
          <w:p w14:paraId="1162E639" w14:textId="29B78075" w:rsidR="001F224C" w:rsidRPr="002C7555" w:rsidRDefault="001F224C" w:rsidP="001F224C">
            <w:pPr>
              <w:spacing w:after="0" w:line="240" w:lineRule="auto"/>
              <w:jc w:val="center"/>
              <w:rPr>
                <w:rFonts w:ascii="Arial Narrow" w:hAnsi="Arial Narrow"/>
                <w:color w:val="000000"/>
                <w:sz w:val="20"/>
                <w:szCs w:val="20"/>
                <w:lang w:val="en-US" w:eastAsia="en-US"/>
              </w:rPr>
            </w:pPr>
            <w:r w:rsidRPr="00650B15">
              <w:rPr>
                <w:rFonts w:ascii="Arial Narrow" w:hAnsi="Arial Narrow"/>
                <w:sz w:val="20"/>
              </w:rPr>
              <w:t>39</w:t>
            </w:r>
          </w:p>
        </w:tc>
        <w:tc>
          <w:tcPr>
            <w:tcW w:w="592" w:type="dxa"/>
            <w:tcBorders>
              <w:top w:val="nil"/>
              <w:left w:val="nil"/>
              <w:bottom w:val="nil"/>
              <w:right w:val="nil"/>
            </w:tcBorders>
            <w:shd w:val="clear" w:color="auto" w:fill="auto"/>
            <w:vAlign w:val="center"/>
          </w:tcPr>
          <w:p w14:paraId="1A26C212" w14:textId="7FC7E45D" w:rsidR="001F224C" w:rsidRPr="002C7555" w:rsidRDefault="001F224C" w:rsidP="001F224C">
            <w:pPr>
              <w:spacing w:after="0" w:line="240" w:lineRule="auto"/>
              <w:jc w:val="center"/>
              <w:rPr>
                <w:rFonts w:ascii="Arial Narrow" w:hAnsi="Arial Narrow"/>
                <w:color w:val="000000"/>
                <w:sz w:val="20"/>
                <w:szCs w:val="20"/>
                <w:lang w:val="en-US" w:eastAsia="en-US"/>
              </w:rPr>
            </w:pPr>
            <w:r w:rsidRPr="00650B15">
              <w:rPr>
                <w:rFonts w:ascii="Arial Narrow" w:hAnsi="Arial Narrow"/>
                <w:sz w:val="20"/>
              </w:rPr>
              <w:t>42</w:t>
            </w:r>
          </w:p>
        </w:tc>
        <w:tc>
          <w:tcPr>
            <w:tcW w:w="592" w:type="dxa"/>
            <w:tcBorders>
              <w:top w:val="nil"/>
              <w:left w:val="nil"/>
              <w:right w:val="nil"/>
            </w:tcBorders>
            <w:shd w:val="clear" w:color="auto" w:fill="auto"/>
            <w:vAlign w:val="center"/>
            <w:hideMark/>
          </w:tcPr>
          <w:p w14:paraId="5BEFEA34" w14:textId="32CFCDDE" w:rsidR="001F224C" w:rsidRPr="002C7555" w:rsidRDefault="001F224C" w:rsidP="001F224C">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r>
      <w:tr w:rsidR="001F224C" w:rsidRPr="002C7555" w14:paraId="1C490196" w14:textId="77777777" w:rsidTr="001F224C">
        <w:trPr>
          <w:gridAfter w:val="1"/>
          <w:wAfter w:w="10" w:type="dxa"/>
          <w:trHeight w:val="188"/>
          <w:jc w:val="center"/>
        </w:trPr>
        <w:tc>
          <w:tcPr>
            <w:tcW w:w="409" w:type="dxa"/>
            <w:tcBorders>
              <w:top w:val="nil"/>
              <w:left w:val="nil"/>
              <w:right w:val="nil"/>
            </w:tcBorders>
            <w:shd w:val="clear" w:color="auto" w:fill="auto"/>
            <w:textDirection w:val="btLr"/>
            <w:vAlign w:val="center"/>
            <w:hideMark/>
          </w:tcPr>
          <w:p w14:paraId="69F2A524"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 </w:t>
            </w:r>
          </w:p>
        </w:tc>
        <w:tc>
          <w:tcPr>
            <w:tcW w:w="407" w:type="dxa"/>
            <w:gridSpan w:val="2"/>
            <w:vMerge/>
            <w:tcBorders>
              <w:top w:val="nil"/>
              <w:left w:val="nil"/>
              <w:right w:val="nil"/>
            </w:tcBorders>
            <w:vAlign w:val="center"/>
            <w:hideMark/>
          </w:tcPr>
          <w:p w14:paraId="1CB65742"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right w:val="nil"/>
            </w:tcBorders>
            <w:shd w:val="clear" w:color="auto" w:fill="auto"/>
            <w:noWrap/>
            <w:vAlign w:val="center"/>
            <w:hideMark/>
          </w:tcPr>
          <w:p w14:paraId="1A3E3826" w14:textId="77777777" w:rsidR="001F224C" w:rsidRPr="002C7555" w:rsidRDefault="001F224C" w:rsidP="001F224C">
            <w:pPr>
              <w:spacing w:after="0" w:line="240" w:lineRule="auto"/>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roofErr w:type="spellStart"/>
            <w:r w:rsidRPr="002C7555">
              <w:rPr>
                <w:rFonts w:ascii="Arial Narrow" w:hAnsi="Arial Narrow"/>
                <w:color w:val="000000"/>
                <w:sz w:val="20"/>
                <w:szCs w:val="20"/>
                <w:lang w:val="en-US" w:eastAsia="en-US"/>
              </w:rPr>
              <w:t>poradie</w:t>
            </w:r>
            <w:proofErr w:type="spellEnd"/>
            <w:r w:rsidRPr="002C7555">
              <w:rPr>
                <w:rFonts w:ascii="Arial Narrow" w:hAnsi="Arial Narrow"/>
                <w:color w:val="000000"/>
                <w:sz w:val="20"/>
                <w:szCs w:val="20"/>
                <w:lang w:val="en-US" w:eastAsia="en-US"/>
              </w:rPr>
              <w:t xml:space="preserve"> v </w:t>
            </w:r>
            <w:proofErr w:type="spellStart"/>
            <w:r w:rsidRPr="002C7555">
              <w:rPr>
                <w:rFonts w:ascii="Arial Narrow" w:hAnsi="Arial Narrow"/>
                <w:color w:val="000000"/>
                <w:sz w:val="20"/>
                <w:szCs w:val="20"/>
                <w:lang w:val="en-US" w:eastAsia="en-US"/>
              </w:rPr>
              <w:t>rebríčku</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Svetovej</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banky</w:t>
            </w:r>
            <w:proofErr w:type="spellEnd"/>
            <w:r w:rsidRPr="002C7555">
              <w:rPr>
                <w:rFonts w:ascii="Arial Narrow" w:hAnsi="Arial Narrow"/>
                <w:color w:val="000000"/>
                <w:sz w:val="20"/>
                <w:szCs w:val="20"/>
                <w:lang w:val="en-US" w:eastAsia="en-US"/>
              </w:rPr>
              <w:t>)</w:t>
            </w:r>
          </w:p>
        </w:tc>
        <w:tc>
          <w:tcPr>
            <w:tcW w:w="710" w:type="dxa"/>
            <w:tcBorders>
              <w:top w:val="nil"/>
              <w:left w:val="nil"/>
              <w:right w:val="nil"/>
            </w:tcBorders>
            <w:shd w:val="clear" w:color="auto" w:fill="auto"/>
            <w:vAlign w:val="center"/>
            <w:hideMark/>
          </w:tcPr>
          <w:p w14:paraId="5FFCD3FB"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right w:val="nil"/>
            </w:tcBorders>
            <w:shd w:val="clear" w:color="auto" w:fill="auto"/>
            <w:vAlign w:val="center"/>
          </w:tcPr>
          <w:p w14:paraId="015D3DA6" w14:textId="7C251943"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right w:val="nil"/>
            </w:tcBorders>
            <w:shd w:val="clear" w:color="auto" w:fill="auto"/>
            <w:vAlign w:val="center"/>
          </w:tcPr>
          <w:p w14:paraId="7112A746" w14:textId="427ACD5C"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right w:val="nil"/>
            </w:tcBorders>
            <w:shd w:val="clear" w:color="auto" w:fill="auto"/>
            <w:vAlign w:val="center"/>
          </w:tcPr>
          <w:p w14:paraId="73A81B71" w14:textId="48A6CFB2"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right w:val="nil"/>
            </w:tcBorders>
            <w:shd w:val="clear" w:color="auto" w:fill="auto"/>
            <w:vAlign w:val="center"/>
          </w:tcPr>
          <w:p w14:paraId="1331C2E7" w14:textId="3290B826"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w:t>
            </w:r>
          </w:p>
        </w:tc>
        <w:tc>
          <w:tcPr>
            <w:tcW w:w="592" w:type="dxa"/>
            <w:tcBorders>
              <w:top w:val="nil"/>
              <w:left w:val="nil"/>
              <w:right w:val="nil"/>
            </w:tcBorders>
            <w:shd w:val="clear" w:color="auto" w:fill="auto"/>
            <w:vAlign w:val="center"/>
          </w:tcPr>
          <w:p w14:paraId="770ECD57" w14:textId="74F56716"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w:t>
            </w:r>
          </w:p>
        </w:tc>
        <w:tc>
          <w:tcPr>
            <w:tcW w:w="592" w:type="dxa"/>
            <w:tcBorders>
              <w:top w:val="nil"/>
              <w:left w:val="nil"/>
              <w:right w:val="nil"/>
            </w:tcBorders>
            <w:shd w:val="clear" w:color="auto" w:fill="auto"/>
            <w:vAlign w:val="center"/>
          </w:tcPr>
          <w:p w14:paraId="0DE87001" w14:textId="0580BCAB"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w:t>
            </w:r>
          </w:p>
        </w:tc>
        <w:tc>
          <w:tcPr>
            <w:tcW w:w="592" w:type="dxa"/>
            <w:tcBorders>
              <w:top w:val="nil"/>
              <w:left w:val="nil"/>
              <w:right w:val="nil"/>
            </w:tcBorders>
            <w:shd w:val="clear" w:color="auto" w:fill="auto"/>
            <w:noWrap/>
            <w:vAlign w:val="center"/>
          </w:tcPr>
          <w:p w14:paraId="291D9155" w14:textId="36D2A165" w:rsidR="001F224C" w:rsidRPr="002C7555" w:rsidRDefault="001F224C" w:rsidP="001F224C">
            <w:pPr>
              <w:spacing w:after="0" w:line="240" w:lineRule="auto"/>
              <w:jc w:val="center"/>
              <w:rPr>
                <w:rFonts w:ascii="Arial Narrow" w:hAnsi="Arial Narrow"/>
                <w:color w:val="000000"/>
                <w:sz w:val="20"/>
                <w:szCs w:val="20"/>
                <w:lang w:val="en-US" w:eastAsia="en-US"/>
              </w:rPr>
            </w:pPr>
            <w:r w:rsidRPr="00650B15">
              <w:rPr>
                <w:rFonts w:ascii="Arial Narrow" w:hAnsi="Arial Narrow"/>
                <w:sz w:val="20"/>
              </w:rPr>
              <w:t>31</w:t>
            </w:r>
          </w:p>
        </w:tc>
        <w:tc>
          <w:tcPr>
            <w:tcW w:w="592" w:type="dxa"/>
            <w:tcBorders>
              <w:top w:val="nil"/>
              <w:left w:val="nil"/>
              <w:right w:val="nil"/>
            </w:tcBorders>
            <w:shd w:val="clear" w:color="auto" w:fill="auto"/>
            <w:vAlign w:val="center"/>
          </w:tcPr>
          <w:p w14:paraId="6E5D41D8" w14:textId="49867F26" w:rsidR="001F224C" w:rsidRPr="002C7555" w:rsidRDefault="001F224C" w:rsidP="001F224C">
            <w:pPr>
              <w:spacing w:after="0" w:line="240" w:lineRule="auto"/>
              <w:jc w:val="center"/>
              <w:rPr>
                <w:rFonts w:ascii="Arial Narrow" w:hAnsi="Arial Narrow"/>
                <w:color w:val="000000"/>
                <w:sz w:val="20"/>
                <w:szCs w:val="20"/>
                <w:lang w:val="en-US" w:eastAsia="en-US"/>
              </w:rPr>
            </w:pPr>
            <w:r w:rsidRPr="00650B15">
              <w:rPr>
                <w:rFonts w:ascii="Arial Narrow" w:hAnsi="Arial Narrow"/>
                <w:sz w:val="20"/>
              </w:rPr>
              <w:t>32</w:t>
            </w:r>
          </w:p>
        </w:tc>
        <w:tc>
          <w:tcPr>
            <w:tcW w:w="592" w:type="dxa"/>
            <w:tcBorders>
              <w:top w:val="nil"/>
              <w:left w:val="nil"/>
              <w:right w:val="nil"/>
            </w:tcBorders>
            <w:shd w:val="clear" w:color="auto" w:fill="auto"/>
            <w:vAlign w:val="center"/>
          </w:tcPr>
          <w:p w14:paraId="0AB3DEC1" w14:textId="47C8BE61" w:rsidR="001F224C" w:rsidRPr="002C7555" w:rsidRDefault="001F224C" w:rsidP="001F224C">
            <w:pPr>
              <w:spacing w:after="0" w:line="240" w:lineRule="auto"/>
              <w:jc w:val="center"/>
              <w:rPr>
                <w:rFonts w:ascii="Arial Narrow" w:hAnsi="Arial Narrow"/>
                <w:color w:val="000000"/>
                <w:sz w:val="20"/>
                <w:szCs w:val="20"/>
                <w:lang w:val="en-US" w:eastAsia="en-US"/>
              </w:rPr>
            </w:pPr>
            <w:r w:rsidRPr="00650B15">
              <w:rPr>
                <w:rFonts w:ascii="Arial Narrow" w:hAnsi="Arial Narrow"/>
                <w:sz w:val="20"/>
              </w:rPr>
              <w:t>35</w:t>
            </w:r>
          </w:p>
        </w:tc>
        <w:tc>
          <w:tcPr>
            <w:tcW w:w="592" w:type="dxa"/>
            <w:tcBorders>
              <w:top w:val="nil"/>
              <w:left w:val="nil"/>
              <w:right w:val="nil"/>
            </w:tcBorders>
            <w:shd w:val="clear" w:color="auto" w:fill="auto"/>
            <w:vAlign w:val="center"/>
          </w:tcPr>
          <w:p w14:paraId="31753927" w14:textId="7B3C6674" w:rsidR="001F224C" w:rsidRPr="002C7555" w:rsidRDefault="001F224C" w:rsidP="001F224C">
            <w:pPr>
              <w:spacing w:after="0" w:line="240" w:lineRule="auto"/>
              <w:jc w:val="center"/>
              <w:rPr>
                <w:rFonts w:ascii="Arial Narrow" w:hAnsi="Arial Narrow"/>
                <w:color w:val="000000"/>
                <w:sz w:val="20"/>
                <w:szCs w:val="20"/>
                <w:lang w:val="en-US" w:eastAsia="en-US"/>
              </w:rPr>
            </w:pPr>
            <w:r w:rsidRPr="00650B15">
              <w:rPr>
                <w:rFonts w:ascii="Arial Narrow" w:hAnsi="Arial Narrow"/>
                <w:sz w:val="20"/>
              </w:rPr>
              <w:t>37</w:t>
            </w:r>
          </w:p>
        </w:tc>
        <w:tc>
          <w:tcPr>
            <w:tcW w:w="592" w:type="dxa"/>
            <w:tcBorders>
              <w:top w:val="nil"/>
              <w:left w:val="nil"/>
              <w:right w:val="nil"/>
            </w:tcBorders>
            <w:shd w:val="clear" w:color="auto" w:fill="auto"/>
            <w:vAlign w:val="center"/>
            <w:hideMark/>
          </w:tcPr>
          <w:p w14:paraId="791E58FE"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7FEDE6F5" w14:textId="77777777" w:rsidTr="001F224C">
        <w:trPr>
          <w:gridAfter w:val="1"/>
          <w:wAfter w:w="10" w:type="dxa"/>
          <w:trHeight w:val="188"/>
          <w:jc w:val="center"/>
        </w:trPr>
        <w:tc>
          <w:tcPr>
            <w:tcW w:w="409" w:type="dxa"/>
            <w:tcBorders>
              <w:left w:val="nil"/>
              <w:bottom w:val="single" w:sz="4" w:space="0" w:color="auto"/>
              <w:right w:val="nil"/>
            </w:tcBorders>
            <w:shd w:val="clear" w:color="auto" w:fill="auto"/>
            <w:textDirection w:val="btLr"/>
            <w:vAlign w:val="center"/>
          </w:tcPr>
          <w:p w14:paraId="37CE8DF7"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407" w:type="dxa"/>
            <w:gridSpan w:val="2"/>
            <w:tcBorders>
              <w:left w:val="nil"/>
              <w:bottom w:val="single" w:sz="4" w:space="0" w:color="000000"/>
              <w:right w:val="nil"/>
            </w:tcBorders>
            <w:vAlign w:val="center"/>
          </w:tcPr>
          <w:p w14:paraId="0A291899"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left w:val="nil"/>
              <w:bottom w:val="single" w:sz="4" w:space="0" w:color="auto"/>
              <w:right w:val="nil"/>
            </w:tcBorders>
            <w:shd w:val="clear" w:color="auto" w:fill="auto"/>
            <w:noWrap/>
            <w:vAlign w:val="center"/>
          </w:tcPr>
          <w:p w14:paraId="65A14D38" w14:textId="77777777" w:rsidR="001F224C" w:rsidRPr="002C7555" w:rsidRDefault="001F224C" w:rsidP="001F224C">
            <w:pPr>
              <w:spacing w:after="0" w:line="240" w:lineRule="auto"/>
              <w:rPr>
                <w:rFonts w:ascii="Arial Narrow" w:hAnsi="Arial Narrow"/>
                <w:color w:val="000000"/>
                <w:sz w:val="20"/>
                <w:szCs w:val="20"/>
                <w:lang w:val="en-US" w:eastAsia="en-US"/>
              </w:rPr>
            </w:pPr>
          </w:p>
        </w:tc>
        <w:tc>
          <w:tcPr>
            <w:tcW w:w="710" w:type="dxa"/>
            <w:tcBorders>
              <w:left w:val="nil"/>
              <w:bottom w:val="single" w:sz="4" w:space="0" w:color="auto"/>
              <w:right w:val="nil"/>
            </w:tcBorders>
            <w:shd w:val="clear" w:color="auto" w:fill="auto"/>
            <w:vAlign w:val="center"/>
          </w:tcPr>
          <w:p w14:paraId="781C3A8D"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V3</w:t>
            </w:r>
          </w:p>
        </w:tc>
        <w:tc>
          <w:tcPr>
            <w:tcW w:w="700" w:type="dxa"/>
            <w:tcBorders>
              <w:top w:val="nil"/>
              <w:left w:val="nil"/>
              <w:bottom w:val="single" w:sz="4" w:space="0" w:color="auto"/>
              <w:right w:val="nil"/>
            </w:tcBorders>
            <w:shd w:val="clear" w:color="auto" w:fill="auto"/>
            <w:vAlign w:val="center"/>
          </w:tcPr>
          <w:p w14:paraId="6DFF31ED"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722B30EE"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7E010096"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07806A84" w14:textId="57335A76"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w:t>
            </w:r>
          </w:p>
        </w:tc>
        <w:tc>
          <w:tcPr>
            <w:tcW w:w="592" w:type="dxa"/>
            <w:tcBorders>
              <w:top w:val="nil"/>
              <w:left w:val="nil"/>
              <w:bottom w:val="single" w:sz="4" w:space="0" w:color="auto"/>
              <w:right w:val="nil"/>
            </w:tcBorders>
            <w:shd w:val="clear" w:color="auto" w:fill="auto"/>
            <w:vAlign w:val="center"/>
          </w:tcPr>
          <w:p w14:paraId="6482EC58" w14:textId="6822577A"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w:t>
            </w:r>
          </w:p>
        </w:tc>
        <w:tc>
          <w:tcPr>
            <w:tcW w:w="592" w:type="dxa"/>
            <w:tcBorders>
              <w:top w:val="nil"/>
              <w:left w:val="nil"/>
              <w:bottom w:val="single" w:sz="4" w:space="0" w:color="auto"/>
              <w:right w:val="nil"/>
            </w:tcBorders>
            <w:shd w:val="clear" w:color="auto" w:fill="auto"/>
            <w:vAlign w:val="center"/>
          </w:tcPr>
          <w:p w14:paraId="0DB1D41F" w14:textId="0882D1C5"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w:t>
            </w:r>
          </w:p>
        </w:tc>
        <w:tc>
          <w:tcPr>
            <w:tcW w:w="592" w:type="dxa"/>
            <w:tcBorders>
              <w:top w:val="nil"/>
              <w:left w:val="nil"/>
              <w:bottom w:val="single" w:sz="4" w:space="0" w:color="auto"/>
              <w:right w:val="nil"/>
            </w:tcBorders>
            <w:shd w:val="clear" w:color="auto" w:fill="auto"/>
            <w:noWrap/>
            <w:vAlign w:val="center"/>
          </w:tcPr>
          <w:p w14:paraId="7A236F2B" w14:textId="1DB61C01" w:rsidR="001F224C" w:rsidRPr="002C7555" w:rsidRDefault="001F224C" w:rsidP="001F224C">
            <w:pPr>
              <w:spacing w:after="0" w:line="240" w:lineRule="auto"/>
              <w:jc w:val="center"/>
              <w:rPr>
                <w:rFonts w:ascii="Arial Narrow" w:hAnsi="Arial Narrow"/>
                <w:color w:val="000000"/>
                <w:sz w:val="20"/>
                <w:szCs w:val="20"/>
                <w:lang w:val="en-US" w:eastAsia="en-US"/>
              </w:rPr>
            </w:pPr>
            <w:r w:rsidRPr="00650B15">
              <w:rPr>
                <w:rFonts w:ascii="Arial Narrow" w:hAnsi="Arial Narrow"/>
                <w:sz w:val="20"/>
              </w:rPr>
              <w:t>33</w:t>
            </w:r>
          </w:p>
        </w:tc>
        <w:tc>
          <w:tcPr>
            <w:tcW w:w="592" w:type="dxa"/>
            <w:tcBorders>
              <w:top w:val="nil"/>
              <w:left w:val="nil"/>
              <w:bottom w:val="single" w:sz="4" w:space="0" w:color="auto"/>
              <w:right w:val="nil"/>
            </w:tcBorders>
            <w:shd w:val="clear" w:color="auto" w:fill="auto"/>
            <w:vAlign w:val="center"/>
          </w:tcPr>
          <w:p w14:paraId="3C6CB085" w14:textId="6E5D16FF" w:rsidR="001F224C" w:rsidRPr="002C7555" w:rsidRDefault="001F224C" w:rsidP="001F224C">
            <w:pPr>
              <w:spacing w:after="0" w:line="240" w:lineRule="auto"/>
              <w:jc w:val="center"/>
              <w:rPr>
                <w:rFonts w:ascii="Arial Narrow" w:hAnsi="Arial Narrow"/>
                <w:color w:val="000000"/>
                <w:sz w:val="20"/>
                <w:szCs w:val="20"/>
                <w:lang w:val="en-US" w:eastAsia="en-US"/>
              </w:rPr>
            </w:pPr>
            <w:r w:rsidRPr="00650B15">
              <w:rPr>
                <w:rFonts w:ascii="Arial Narrow" w:hAnsi="Arial Narrow"/>
                <w:sz w:val="20"/>
              </w:rPr>
              <w:t>35</w:t>
            </w:r>
          </w:p>
        </w:tc>
        <w:tc>
          <w:tcPr>
            <w:tcW w:w="592" w:type="dxa"/>
            <w:tcBorders>
              <w:top w:val="nil"/>
              <w:left w:val="nil"/>
              <w:bottom w:val="single" w:sz="4" w:space="0" w:color="auto"/>
              <w:right w:val="nil"/>
            </w:tcBorders>
            <w:shd w:val="clear" w:color="auto" w:fill="auto"/>
            <w:vAlign w:val="center"/>
          </w:tcPr>
          <w:p w14:paraId="30BCA75F" w14:textId="04481D2A" w:rsidR="001F224C" w:rsidRPr="002C7555" w:rsidRDefault="001F224C" w:rsidP="001F224C">
            <w:pPr>
              <w:spacing w:after="0" w:line="240" w:lineRule="auto"/>
              <w:jc w:val="center"/>
              <w:rPr>
                <w:rFonts w:ascii="Arial Narrow" w:hAnsi="Arial Narrow"/>
                <w:color w:val="000000"/>
                <w:sz w:val="20"/>
                <w:szCs w:val="20"/>
                <w:lang w:val="en-US" w:eastAsia="en-US"/>
              </w:rPr>
            </w:pPr>
            <w:r w:rsidRPr="00650B15">
              <w:rPr>
                <w:rFonts w:ascii="Arial Narrow" w:hAnsi="Arial Narrow"/>
                <w:sz w:val="20"/>
              </w:rPr>
              <w:t>37</w:t>
            </w:r>
          </w:p>
        </w:tc>
        <w:tc>
          <w:tcPr>
            <w:tcW w:w="592" w:type="dxa"/>
            <w:tcBorders>
              <w:top w:val="nil"/>
              <w:left w:val="nil"/>
              <w:bottom w:val="single" w:sz="4" w:space="0" w:color="auto"/>
              <w:right w:val="nil"/>
            </w:tcBorders>
            <w:shd w:val="clear" w:color="auto" w:fill="auto"/>
            <w:vAlign w:val="center"/>
          </w:tcPr>
          <w:p w14:paraId="506DC52C" w14:textId="5D9396B8" w:rsidR="001F224C" w:rsidRPr="002C7555" w:rsidRDefault="001F224C" w:rsidP="001F224C">
            <w:pPr>
              <w:spacing w:after="0" w:line="240" w:lineRule="auto"/>
              <w:jc w:val="center"/>
              <w:rPr>
                <w:rFonts w:ascii="Arial Narrow" w:hAnsi="Arial Narrow"/>
                <w:color w:val="000000"/>
                <w:sz w:val="20"/>
                <w:szCs w:val="20"/>
                <w:lang w:val="en-US" w:eastAsia="en-US"/>
              </w:rPr>
            </w:pPr>
            <w:r w:rsidRPr="00650B15">
              <w:rPr>
                <w:rFonts w:ascii="Arial Narrow" w:hAnsi="Arial Narrow"/>
                <w:sz w:val="20"/>
              </w:rPr>
              <w:t>40</w:t>
            </w:r>
          </w:p>
        </w:tc>
        <w:tc>
          <w:tcPr>
            <w:tcW w:w="592" w:type="dxa"/>
            <w:tcBorders>
              <w:left w:val="nil"/>
              <w:bottom w:val="single" w:sz="4" w:space="0" w:color="auto"/>
              <w:right w:val="nil"/>
            </w:tcBorders>
            <w:shd w:val="clear" w:color="auto" w:fill="auto"/>
            <w:vAlign w:val="center"/>
          </w:tcPr>
          <w:p w14:paraId="1E3204C6" w14:textId="7978091C" w:rsidR="001F224C" w:rsidRPr="002C7555" w:rsidRDefault="001F224C" w:rsidP="001F224C">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r>
      <w:tr w:rsidR="001F224C" w:rsidRPr="002C7555" w14:paraId="2F3FFFF5" w14:textId="77777777" w:rsidTr="001F224C">
        <w:trPr>
          <w:gridAfter w:val="1"/>
          <w:wAfter w:w="10" w:type="dxa"/>
          <w:trHeight w:val="188"/>
          <w:jc w:val="center"/>
        </w:trPr>
        <w:tc>
          <w:tcPr>
            <w:tcW w:w="409" w:type="dxa"/>
            <w:tcBorders>
              <w:top w:val="nil"/>
              <w:left w:val="nil"/>
              <w:bottom w:val="nil"/>
              <w:right w:val="nil"/>
            </w:tcBorders>
            <w:shd w:val="clear" w:color="auto" w:fill="auto"/>
            <w:textDirection w:val="btLr"/>
            <w:vAlign w:val="center"/>
            <w:hideMark/>
          </w:tcPr>
          <w:p w14:paraId="64C24CB2"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407" w:type="dxa"/>
            <w:gridSpan w:val="2"/>
            <w:vMerge w:val="restart"/>
            <w:tcBorders>
              <w:top w:val="nil"/>
              <w:left w:val="nil"/>
              <w:bottom w:val="single" w:sz="4" w:space="0" w:color="000000"/>
              <w:right w:val="nil"/>
            </w:tcBorders>
            <w:shd w:val="clear" w:color="auto" w:fill="auto"/>
            <w:noWrap/>
            <w:vAlign w:val="center"/>
            <w:hideMark/>
          </w:tcPr>
          <w:p w14:paraId="0D054712"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15</w:t>
            </w:r>
          </w:p>
        </w:tc>
        <w:tc>
          <w:tcPr>
            <w:tcW w:w="2050" w:type="dxa"/>
            <w:tcBorders>
              <w:top w:val="nil"/>
              <w:left w:val="nil"/>
              <w:bottom w:val="nil"/>
              <w:right w:val="nil"/>
            </w:tcBorders>
            <w:shd w:val="clear" w:color="auto" w:fill="auto"/>
            <w:noWrap/>
            <w:vAlign w:val="center"/>
            <w:hideMark/>
          </w:tcPr>
          <w:p w14:paraId="1E84416D" w14:textId="77777777" w:rsidR="001F224C" w:rsidRPr="002C7555" w:rsidRDefault="001F224C" w:rsidP="001F224C">
            <w:pPr>
              <w:spacing w:after="0" w:line="240" w:lineRule="auto"/>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 xml:space="preserve">Index </w:t>
            </w:r>
            <w:proofErr w:type="spellStart"/>
            <w:r w:rsidRPr="002C7555">
              <w:rPr>
                <w:rFonts w:ascii="Arial Narrow" w:hAnsi="Arial Narrow"/>
                <w:b/>
                <w:bCs/>
                <w:color w:val="000000"/>
                <w:sz w:val="20"/>
                <w:szCs w:val="20"/>
                <w:lang w:val="en-US" w:eastAsia="en-US"/>
              </w:rPr>
              <w:t>regulácie</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trhu</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produktov</w:t>
            </w:r>
            <w:proofErr w:type="spellEnd"/>
          </w:p>
        </w:tc>
        <w:tc>
          <w:tcPr>
            <w:tcW w:w="710" w:type="dxa"/>
            <w:tcBorders>
              <w:top w:val="nil"/>
              <w:left w:val="nil"/>
              <w:bottom w:val="nil"/>
              <w:right w:val="nil"/>
            </w:tcBorders>
            <w:shd w:val="clear" w:color="auto" w:fill="auto"/>
            <w:vAlign w:val="center"/>
            <w:hideMark/>
          </w:tcPr>
          <w:p w14:paraId="52CEBBCD"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nil"/>
              <w:left w:val="nil"/>
              <w:right w:val="nil"/>
            </w:tcBorders>
            <w:shd w:val="clear" w:color="auto" w:fill="auto"/>
            <w:vAlign w:val="center"/>
          </w:tcPr>
          <w:p w14:paraId="60079311" w14:textId="61CCCE2B"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right w:val="nil"/>
            </w:tcBorders>
            <w:shd w:val="clear" w:color="auto" w:fill="auto"/>
            <w:vAlign w:val="center"/>
          </w:tcPr>
          <w:p w14:paraId="1DA1ED16" w14:textId="5C812748"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right w:val="nil"/>
            </w:tcBorders>
            <w:shd w:val="clear" w:color="auto" w:fill="auto"/>
            <w:vAlign w:val="center"/>
          </w:tcPr>
          <w:p w14:paraId="68112CC5" w14:textId="3487E5A1"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right w:val="nil"/>
            </w:tcBorders>
            <w:shd w:val="clear" w:color="auto" w:fill="auto"/>
            <w:vAlign w:val="center"/>
          </w:tcPr>
          <w:p w14:paraId="75EF8237" w14:textId="0209EF1C"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 xml:space="preserve"> - </w:t>
            </w:r>
          </w:p>
        </w:tc>
        <w:tc>
          <w:tcPr>
            <w:tcW w:w="592" w:type="dxa"/>
            <w:tcBorders>
              <w:top w:val="nil"/>
              <w:left w:val="nil"/>
              <w:right w:val="nil"/>
            </w:tcBorders>
            <w:shd w:val="clear" w:color="auto" w:fill="auto"/>
            <w:vAlign w:val="center"/>
          </w:tcPr>
          <w:p w14:paraId="00637377" w14:textId="5226A59D"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1,29</w:t>
            </w:r>
          </w:p>
        </w:tc>
        <w:tc>
          <w:tcPr>
            <w:tcW w:w="592" w:type="dxa"/>
            <w:tcBorders>
              <w:top w:val="nil"/>
              <w:left w:val="nil"/>
              <w:right w:val="nil"/>
            </w:tcBorders>
            <w:shd w:val="clear" w:color="auto" w:fill="auto"/>
            <w:vAlign w:val="center"/>
          </w:tcPr>
          <w:p w14:paraId="02515CE6" w14:textId="2FAC6AD4"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 xml:space="preserve"> - </w:t>
            </w:r>
          </w:p>
        </w:tc>
        <w:tc>
          <w:tcPr>
            <w:tcW w:w="592" w:type="dxa"/>
            <w:tcBorders>
              <w:top w:val="nil"/>
              <w:left w:val="nil"/>
              <w:right w:val="nil"/>
            </w:tcBorders>
            <w:shd w:val="clear" w:color="auto" w:fill="auto"/>
            <w:vAlign w:val="center"/>
          </w:tcPr>
          <w:p w14:paraId="06658DAB" w14:textId="048B1BFD"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w:t>
            </w:r>
          </w:p>
        </w:tc>
        <w:tc>
          <w:tcPr>
            <w:tcW w:w="592" w:type="dxa"/>
            <w:tcBorders>
              <w:top w:val="nil"/>
              <w:left w:val="nil"/>
              <w:right w:val="nil"/>
            </w:tcBorders>
            <w:shd w:val="clear" w:color="auto" w:fill="auto"/>
            <w:vAlign w:val="center"/>
          </w:tcPr>
          <w:p w14:paraId="00F89E1F" w14:textId="67BD6BA2"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w:t>
            </w:r>
          </w:p>
        </w:tc>
        <w:tc>
          <w:tcPr>
            <w:tcW w:w="592" w:type="dxa"/>
            <w:tcBorders>
              <w:top w:val="nil"/>
              <w:left w:val="nil"/>
              <w:right w:val="nil"/>
            </w:tcBorders>
            <w:shd w:val="clear" w:color="auto" w:fill="auto"/>
            <w:vAlign w:val="center"/>
          </w:tcPr>
          <w:p w14:paraId="5CD6CA03" w14:textId="68D724EE"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w:t>
            </w:r>
          </w:p>
        </w:tc>
        <w:tc>
          <w:tcPr>
            <w:tcW w:w="592" w:type="dxa"/>
            <w:tcBorders>
              <w:top w:val="nil"/>
              <w:left w:val="nil"/>
              <w:right w:val="nil"/>
            </w:tcBorders>
            <w:shd w:val="clear" w:color="auto" w:fill="auto"/>
            <w:vAlign w:val="center"/>
          </w:tcPr>
          <w:p w14:paraId="3710C6DF" w14:textId="7BA07F2D" w:rsidR="001F224C" w:rsidRPr="00E53C9B"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nil"/>
              <w:right w:val="nil"/>
            </w:tcBorders>
            <w:shd w:val="clear" w:color="auto" w:fill="auto"/>
            <w:vAlign w:val="center"/>
            <w:hideMark/>
          </w:tcPr>
          <w:p w14:paraId="19AA2451"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1,2</w:t>
            </w:r>
          </w:p>
        </w:tc>
      </w:tr>
      <w:tr w:rsidR="001F224C" w:rsidRPr="002C7555" w14:paraId="2485F8B7" w14:textId="77777777" w:rsidTr="001F224C">
        <w:trPr>
          <w:gridAfter w:val="1"/>
          <w:wAfter w:w="10" w:type="dxa"/>
          <w:trHeight w:val="154"/>
          <w:jc w:val="center"/>
        </w:trPr>
        <w:tc>
          <w:tcPr>
            <w:tcW w:w="409" w:type="dxa"/>
            <w:tcBorders>
              <w:top w:val="nil"/>
              <w:left w:val="nil"/>
              <w:bottom w:val="single" w:sz="4" w:space="0" w:color="auto"/>
              <w:right w:val="nil"/>
            </w:tcBorders>
            <w:shd w:val="clear" w:color="auto" w:fill="auto"/>
            <w:textDirection w:val="btLr"/>
            <w:vAlign w:val="center"/>
            <w:hideMark/>
          </w:tcPr>
          <w:p w14:paraId="454B2D40"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lastRenderedPageBreak/>
              <w:t> </w:t>
            </w:r>
          </w:p>
        </w:tc>
        <w:tc>
          <w:tcPr>
            <w:tcW w:w="407" w:type="dxa"/>
            <w:gridSpan w:val="2"/>
            <w:vMerge/>
            <w:tcBorders>
              <w:top w:val="nil"/>
              <w:left w:val="nil"/>
              <w:bottom w:val="single" w:sz="4" w:space="0" w:color="000000"/>
              <w:right w:val="nil"/>
            </w:tcBorders>
            <w:vAlign w:val="center"/>
            <w:hideMark/>
          </w:tcPr>
          <w:p w14:paraId="7013C285"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411A5317"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roofErr w:type="spellStart"/>
            <w:r w:rsidRPr="002C7555">
              <w:rPr>
                <w:rFonts w:ascii="Arial Narrow" w:hAnsi="Arial Narrow"/>
                <w:color w:val="000000"/>
                <w:sz w:val="20"/>
                <w:szCs w:val="20"/>
                <w:lang w:val="en-US" w:eastAsia="en-US"/>
              </w:rPr>
              <w:t>bodové</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hodnotenie</w:t>
            </w:r>
            <w:proofErr w:type="spellEnd"/>
            <w:r w:rsidRPr="002C7555">
              <w:rPr>
                <w:rFonts w:ascii="Arial Narrow" w:hAnsi="Arial Narrow"/>
                <w:color w:val="000000"/>
                <w:sz w:val="20"/>
                <w:szCs w:val="20"/>
                <w:lang w:val="en-US" w:eastAsia="en-US"/>
              </w:rPr>
              <w:t>)</w:t>
            </w:r>
          </w:p>
        </w:tc>
        <w:tc>
          <w:tcPr>
            <w:tcW w:w="710" w:type="dxa"/>
            <w:tcBorders>
              <w:top w:val="nil"/>
              <w:left w:val="nil"/>
              <w:bottom w:val="single" w:sz="4" w:space="0" w:color="auto"/>
              <w:right w:val="nil"/>
            </w:tcBorders>
            <w:shd w:val="clear" w:color="auto" w:fill="auto"/>
            <w:vAlign w:val="center"/>
            <w:hideMark/>
          </w:tcPr>
          <w:p w14:paraId="29F26D0D"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OECD</w:t>
            </w:r>
          </w:p>
        </w:tc>
        <w:tc>
          <w:tcPr>
            <w:tcW w:w="700" w:type="dxa"/>
            <w:tcBorders>
              <w:top w:val="nil"/>
              <w:left w:val="nil"/>
              <w:bottom w:val="single" w:sz="4" w:space="0" w:color="auto"/>
              <w:right w:val="nil"/>
            </w:tcBorders>
            <w:shd w:val="clear" w:color="auto" w:fill="auto"/>
            <w:vAlign w:val="center"/>
          </w:tcPr>
          <w:p w14:paraId="544E6171" w14:textId="35F88795"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5DFCFE19" w14:textId="5DAC4C50"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4DACDAF3" w14:textId="7EAD6944"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7B587C42" w14:textId="20B09AB3"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 xml:space="preserve"> - </w:t>
            </w:r>
          </w:p>
        </w:tc>
        <w:tc>
          <w:tcPr>
            <w:tcW w:w="592" w:type="dxa"/>
            <w:tcBorders>
              <w:top w:val="nil"/>
              <w:left w:val="nil"/>
              <w:bottom w:val="single" w:sz="4" w:space="0" w:color="auto"/>
              <w:right w:val="nil"/>
            </w:tcBorders>
            <w:shd w:val="clear" w:color="auto" w:fill="auto"/>
            <w:vAlign w:val="center"/>
          </w:tcPr>
          <w:p w14:paraId="0CA3E3F8" w14:textId="322B8F82"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1,44</w:t>
            </w:r>
          </w:p>
        </w:tc>
        <w:tc>
          <w:tcPr>
            <w:tcW w:w="592" w:type="dxa"/>
            <w:tcBorders>
              <w:top w:val="nil"/>
              <w:left w:val="nil"/>
              <w:bottom w:val="single" w:sz="4" w:space="0" w:color="auto"/>
              <w:right w:val="nil"/>
            </w:tcBorders>
            <w:shd w:val="clear" w:color="auto" w:fill="auto"/>
            <w:vAlign w:val="center"/>
          </w:tcPr>
          <w:p w14:paraId="066D5B77" w14:textId="4C2D36D5"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 xml:space="preserve"> - </w:t>
            </w:r>
          </w:p>
        </w:tc>
        <w:tc>
          <w:tcPr>
            <w:tcW w:w="592" w:type="dxa"/>
            <w:tcBorders>
              <w:top w:val="nil"/>
              <w:left w:val="nil"/>
              <w:bottom w:val="single" w:sz="4" w:space="0" w:color="auto"/>
              <w:right w:val="nil"/>
            </w:tcBorders>
            <w:shd w:val="clear" w:color="auto" w:fill="auto"/>
            <w:vAlign w:val="center"/>
          </w:tcPr>
          <w:p w14:paraId="2C5AAAD0" w14:textId="7D9D6397"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w:t>
            </w:r>
          </w:p>
        </w:tc>
        <w:tc>
          <w:tcPr>
            <w:tcW w:w="592" w:type="dxa"/>
            <w:tcBorders>
              <w:top w:val="nil"/>
              <w:left w:val="nil"/>
              <w:bottom w:val="single" w:sz="4" w:space="0" w:color="auto"/>
              <w:right w:val="nil"/>
            </w:tcBorders>
            <w:shd w:val="clear" w:color="auto" w:fill="auto"/>
            <w:vAlign w:val="center"/>
          </w:tcPr>
          <w:p w14:paraId="2D57CB73" w14:textId="1A028C5F"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w:t>
            </w:r>
          </w:p>
        </w:tc>
        <w:tc>
          <w:tcPr>
            <w:tcW w:w="592" w:type="dxa"/>
            <w:tcBorders>
              <w:top w:val="nil"/>
              <w:left w:val="nil"/>
              <w:bottom w:val="single" w:sz="4" w:space="0" w:color="auto"/>
              <w:right w:val="nil"/>
            </w:tcBorders>
            <w:shd w:val="clear" w:color="auto" w:fill="auto"/>
            <w:vAlign w:val="center"/>
          </w:tcPr>
          <w:p w14:paraId="1C24C51C" w14:textId="6ECFDD5E"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w:t>
            </w:r>
          </w:p>
        </w:tc>
        <w:tc>
          <w:tcPr>
            <w:tcW w:w="592" w:type="dxa"/>
            <w:tcBorders>
              <w:top w:val="nil"/>
              <w:left w:val="nil"/>
              <w:bottom w:val="single" w:sz="4" w:space="0" w:color="auto"/>
              <w:right w:val="nil"/>
            </w:tcBorders>
            <w:shd w:val="clear" w:color="auto" w:fill="auto"/>
            <w:vAlign w:val="center"/>
          </w:tcPr>
          <w:p w14:paraId="49AA7DD7" w14:textId="090E3FBC" w:rsidR="001F224C" w:rsidRPr="00E53C9B"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hideMark/>
          </w:tcPr>
          <w:p w14:paraId="2CAA8390"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73ACCBD6" w14:textId="77777777" w:rsidTr="001F224C">
        <w:trPr>
          <w:gridAfter w:val="1"/>
          <w:wAfter w:w="10" w:type="dxa"/>
          <w:trHeight w:val="188"/>
          <w:jc w:val="center"/>
        </w:trPr>
        <w:tc>
          <w:tcPr>
            <w:tcW w:w="409" w:type="dxa"/>
            <w:tcBorders>
              <w:top w:val="nil"/>
              <w:left w:val="nil"/>
              <w:bottom w:val="nil"/>
              <w:right w:val="nil"/>
            </w:tcBorders>
            <w:shd w:val="clear" w:color="auto" w:fill="auto"/>
            <w:textDirection w:val="btLr"/>
            <w:vAlign w:val="center"/>
            <w:hideMark/>
          </w:tcPr>
          <w:p w14:paraId="42A3504F"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 </w:t>
            </w:r>
          </w:p>
        </w:tc>
        <w:tc>
          <w:tcPr>
            <w:tcW w:w="407" w:type="dxa"/>
            <w:gridSpan w:val="2"/>
            <w:vMerge w:val="restart"/>
            <w:tcBorders>
              <w:top w:val="nil"/>
              <w:left w:val="nil"/>
              <w:bottom w:val="single" w:sz="4" w:space="0" w:color="000000"/>
              <w:right w:val="nil"/>
            </w:tcBorders>
            <w:shd w:val="clear" w:color="auto" w:fill="auto"/>
            <w:noWrap/>
            <w:vAlign w:val="center"/>
            <w:hideMark/>
          </w:tcPr>
          <w:p w14:paraId="0E4CB9A6"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16</w:t>
            </w:r>
          </w:p>
        </w:tc>
        <w:tc>
          <w:tcPr>
            <w:tcW w:w="2050" w:type="dxa"/>
            <w:tcBorders>
              <w:top w:val="nil"/>
              <w:left w:val="nil"/>
              <w:bottom w:val="nil"/>
              <w:right w:val="nil"/>
            </w:tcBorders>
            <w:shd w:val="clear" w:color="auto" w:fill="auto"/>
            <w:noWrap/>
            <w:vAlign w:val="center"/>
            <w:hideMark/>
          </w:tcPr>
          <w:p w14:paraId="307ACBB4" w14:textId="77777777" w:rsidR="001F224C" w:rsidRPr="002C7555" w:rsidRDefault="001F224C" w:rsidP="001F224C">
            <w:pPr>
              <w:spacing w:after="0" w:line="240" w:lineRule="auto"/>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E-government</w:t>
            </w:r>
          </w:p>
        </w:tc>
        <w:tc>
          <w:tcPr>
            <w:tcW w:w="710" w:type="dxa"/>
            <w:tcBorders>
              <w:top w:val="nil"/>
              <w:left w:val="nil"/>
              <w:bottom w:val="nil"/>
              <w:right w:val="nil"/>
            </w:tcBorders>
            <w:shd w:val="clear" w:color="auto" w:fill="auto"/>
            <w:vAlign w:val="center"/>
            <w:hideMark/>
          </w:tcPr>
          <w:p w14:paraId="71E58D48"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nil"/>
              <w:left w:val="nil"/>
              <w:bottom w:val="nil"/>
              <w:right w:val="nil"/>
            </w:tcBorders>
            <w:shd w:val="clear" w:color="auto" w:fill="auto"/>
            <w:vAlign w:val="center"/>
          </w:tcPr>
          <w:p w14:paraId="0E69FBA5" w14:textId="721FA646"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nil"/>
              <w:right w:val="nil"/>
            </w:tcBorders>
            <w:shd w:val="clear" w:color="auto" w:fill="auto"/>
            <w:vAlign w:val="center"/>
          </w:tcPr>
          <w:p w14:paraId="12E79F6B" w14:textId="41CD0AAF"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nil"/>
              <w:right w:val="nil"/>
            </w:tcBorders>
            <w:shd w:val="clear" w:color="auto" w:fill="auto"/>
            <w:vAlign w:val="center"/>
          </w:tcPr>
          <w:p w14:paraId="5ADB815E" w14:textId="2FB4AFE7"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single" w:sz="4" w:space="0" w:color="auto"/>
              <w:left w:val="nil"/>
              <w:right w:val="nil"/>
            </w:tcBorders>
            <w:shd w:val="clear" w:color="auto" w:fill="auto"/>
            <w:vAlign w:val="center"/>
          </w:tcPr>
          <w:p w14:paraId="31FEE783" w14:textId="376C5C94"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42</w:t>
            </w:r>
          </w:p>
        </w:tc>
        <w:tc>
          <w:tcPr>
            <w:tcW w:w="592" w:type="dxa"/>
            <w:tcBorders>
              <w:top w:val="single" w:sz="4" w:space="0" w:color="auto"/>
              <w:left w:val="nil"/>
              <w:right w:val="nil"/>
            </w:tcBorders>
            <w:shd w:val="clear" w:color="auto" w:fill="auto"/>
            <w:vAlign w:val="center"/>
          </w:tcPr>
          <w:p w14:paraId="1B0469CE" w14:textId="5328764D"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33</w:t>
            </w:r>
          </w:p>
        </w:tc>
        <w:tc>
          <w:tcPr>
            <w:tcW w:w="592" w:type="dxa"/>
            <w:tcBorders>
              <w:top w:val="single" w:sz="4" w:space="0" w:color="auto"/>
              <w:left w:val="nil"/>
              <w:right w:val="nil"/>
            </w:tcBorders>
            <w:shd w:val="clear" w:color="auto" w:fill="auto"/>
            <w:vAlign w:val="center"/>
          </w:tcPr>
          <w:p w14:paraId="135BB5D1" w14:textId="524F4E53"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57</w:t>
            </w:r>
          </w:p>
        </w:tc>
        <w:tc>
          <w:tcPr>
            <w:tcW w:w="592" w:type="dxa"/>
            <w:tcBorders>
              <w:top w:val="single" w:sz="4" w:space="0" w:color="auto"/>
              <w:left w:val="nil"/>
              <w:right w:val="nil"/>
            </w:tcBorders>
            <w:shd w:val="clear" w:color="auto" w:fill="auto"/>
            <w:vAlign w:val="center"/>
          </w:tcPr>
          <w:p w14:paraId="405ACC52" w14:textId="477CA4A3"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51</w:t>
            </w:r>
          </w:p>
        </w:tc>
        <w:tc>
          <w:tcPr>
            <w:tcW w:w="592" w:type="dxa"/>
            <w:tcBorders>
              <w:top w:val="single" w:sz="4" w:space="0" w:color="auto"/>
              <w:left w:val="nil"/>
              <w:right w:val="nil"/>
            </w:tcBorders>
            <w:shd w:val="clear" w:color="auto" w:fill="auto"/>
            <w:vAlign w:val="center"/>
          </w:tcPr>
          <w:p w14:paraId="765D44DF" w14:textId="13C4DCEE"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48</w:t>
            </w:r>
          </w:p>
        </w:tc>
        <w:tc>
          <w:tcPr>
            <w:tcW w:w="592" w:type="dxa"/>
            <w:tcBorders>
              <w:top w:val="single" w:sz="4" w:space="0" w:color="auto"/>
              <w:left w:val="nil"/>
              <w:right w:val="nil"/>
            </w:tcBorders>
            <w:shd w:val="clear" w:color="auto" w:fill="auto"/>
            <w:vAlign w:val="center"/>
          </w:tcPr>
          <w:p w14:paraId="73280C1B" w14:textId="025C5687"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47</w:t>
            </w:r>
          </w:p>
        </w:tc>
        <w:tc>
          <w:tcPr>
            <w:tcW w:w="592" w:type="dxa"/>
            <w:tcBorders>
              <w:top w:val="single" w:sz="4" w:space="0" w:color="auto"/>
              <w:left w:val="nil"/>
              <w:right w:val="nil"/>
            </w:tcBorders>
            <w:shd w:val="clear" w:color="auto" w:fill="auto"/>
            <w:vAlign w:val="center"/>
          </w:tcPr>
          <w:p w14:paraId="626553A1" w14:textId="2B703822"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51</w:t>
            </w:r>
          </w:p>
        </w:tc>
        <w:tc>
          <w:tcPr>
            <w:tcW w:w="592" w:type="dxa"/>
            <w:tcBorders>
              <w:top w:val="nil"/>
              <w:left w:val="nil"/>
              <w:bottom w:val="nil"/>
              <w:right w:val="nil"/>
            </w:tcBorders>
            <w:shd w:val="clear" w:color="auto" w:fill="auto"/>
            <w:vAlign w:val="center"/>
            <w:hideMark/>
          </w:tcPr>
          <w:p w14:paraId="64463003"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71,7</w:t>
            </w:r>
          </w:p>
        </w:tc>
      </w:tr>
      <w:tr w:rsidR="001F224C" w:rsidRPr="002C7555" w14:paraId="50FA444F" w14:textId="77777777" w:rsidTr="001F224C">
        <w:trPr>
          <w:gridAfter w:val="1"/>
          <w:wAfter w:w="10" w:type="dxa"/>
          <w:trHeight w:val="260"/>
          <w:jc w:val="center"/>
        </w:trPr>
        <w:tc>
          <w:tcPr>
            <w:tcW w:w="409" w:type="dxa"/>
            <w:tcBorders>
              <w:top w:val="nil"/>
              <w:left w:val="nil"/>
              <w:bottom w:val="single" w:sz="4" w:space="0" w:color="auto"/>
              <w:right w:val="nil"/>
            </w:tcBorders>
            <w:shd w:val="clear" w:color="auto" w:fill="auto"/>
            <w:textDirection w:val="btLr"/>
            <w:vAlign w:val="center"/>
            <w:hideMark/>
          </w:tcPr>
          <w:p w14:paraId="4714CE66"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 </w:t>
            </w:r>
          </w:p>
        </w:tc>
        <w:tc>
          <w:tcPr>
            <w:tcW w:w="407" w:type="dxa"/>
            <w:gridSpan w:val="2"/>
            <w:vMerge/>
            <w:tcBorders>
              <w:top w:val="nil"/>
              <w:left w:val="nil"/>
              <w:bottom w:val="single" w:sz="4" w:space="0" w:color="000000"/>
              <w:right w:val="nil"/>
            </w:tcBorders>
            <w:vAlign w:val="center"/>
            <w:hideMark/>
          </w:tcPr>
          <w:p w14:paraId="043EEA10"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7CA61477"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710" w:type="dxa"/>
            <w:tcBorders>
              <w:top w:val="nil"/>
              <w:left w:val="nil"/>
              <w:bottom w:val="single" w:sz="4" w:space="0" w:color="auto"/>
              <w:right w:val="nil"/>
            </w:tcBorders>
            <w:shd w:val="clear" w:color="auto" w:fill="auto"/>
            <w:vAlign w:val="center"/>
            <w:hideMark/>
          </w:tcPr>
          <w:p w14:paraId="0A6C2354"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single" w:sz="4" w:space="0" w:color="auto"/>
              <w:right w:val="nil"/>
            </w:tcBorders>
            <w:shd w:val="clear" w:color="auto" w:fill="auto"/>
            <w:vAlign w:val="center"/>
          </w:tcPr>
          <w:p w14:paraId="7193F7FF" w14:textId="321C6FA2"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549DF177" w14:textId="44F97C25"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4A453793" w14:textId="4B638BDD"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left w:val="nil"/>
              <w:bottom w:val="single" w:sz="4" w:space="0" w:color="auto"/>
              <w:right w:val="nil"/>
            </w:tcBorders>
            <w:shd w:val="clear" w:color="auto" w:fill="auto"/>
            <w:vAlign w:val="center"/>
          </w:tcPr>
          <w:p w14:paraId="5C71D7F8" w14:textId="0B2647F3"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44</w:t>
            </w:r>
          </w:p>
        </w:tc>
        <w:tc>
          <w:tcPr>
            <w:tcW w:w="592" w:type="dxa"/>
            <w:tcBorders>
              <w:left w:val="nil"/>
              <w:bottom w:val="single" w:sz="4" w:space="0" w:color="auto"/>
              <w:right w:val="nil"/>
            </w:tcBorders>
            <w:shd w:val="clear" w:color="auto" w:fill="auto"/>
            <w:vAlign w:val="center"/>
          </w:tcPr>
          <w:p w14:paraId="16772F92" w14:textId="56A2E65B"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41</w:t>
            </w:r>
          </w:p>
        </w:tc>
        <w:tc>
          <w:tcPr>
            <w:tcW w:w="592" w:type="dxa"/>
            <w:tcBorders>
              <w:left w:val="nil"/>
              <w:bottom w:val="single" w:sz="4" w:space="0" w:color="auto"/>
              <w:right w:val="nil"/>
            </w:tcBorders>
            <w:shd w:val="clear" w:color="auto" w:fill="auto"/>
            <w:vAlign w:val="center"/>
          </w:tcPr>
          <w:p w14:paraId="7568ABC8" w14:textId="426C09EC"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47</w:t>
            </w:r>
          </w:p>
        </w:tc>
        <w:tc>
          <w:tcPr>
            <w:tcW w:w="592" w:type="dxa"/>
            <w:tcBorders>
              <w:left w:val="nil"/>
              <w:bottom w:val="single" w:sz="4" w:space="0" w:color="auto"/>
              <w:right w:val="nil"/>
            </w:tcBorders>
            <w:shd w:val="clear" w:color="auto" w:fill="auto"/>
            <w:vAlign w:val="center"/>
          </w:tcPr>
          <w:p w14:paraId="4B931D41" w14:textId="45C58CE8"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46</w:t>
            </w:r>
          </w:p>
        </w:tc>
        <w:tc>
          <w:tcPr>
            <w:tcW w:w="592" w:type="dxa"/>
            <w:tcBorders>
              <w:left w:val="nil"/>
              <w:bottom w:val="single" w:sz="4" w:space="0" w:color="auto"/>
              <w:right w:val="nil"/>
            </w:tcBorders>
            <w:shd w:val="clear" w:color="auto" w:fill="auto"/>
            <w:vAlign w:val="center"/>
          </w:tcPr>
          <w:p w14:paraId="65D61B5B" w14:textId="46BB88E2"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48</w:t>
            </w:r>
          </w:p>
        </w:tc>
        <w:tc>
          <w:tcPr>
            <w:tcW w:w="592" w:type="dxa"/>
            <w:tcBorders>
              <w:left w:val="nil"/>
              <w:bottom w:val="single" w:sz="4" w:space="0" w:color="auto"/>
              <w:right w:val="nil"/>
            </w:tcBorders>
            <w:shd w:val="clear" w:color="auto" w:fill="auto"/>
            <w:vAlign w:val="center"/>
          </w:tcPr>
          <w:p w14:paraId="61E45C9B" w14:textId="237F0F75"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49</w:t>
            </w:r>
          </w:p>
        </w:tc>
        <w:tc>
          <w:tcPr>
            <w:tcW w:w="592" w:type="dxa"/>
            <w:tcBorders>
              <w:left w:val="nil"/>
              <w:bottom w:val="single" w:sz="4" w:space="0" w:color="auto"/>
              <w:right w:val="nil"/>
            </w:tcBorders>
            <w:shd w:val="clear" w:color="auto" w:fill="auto"/>
            <w:vAlign w:val="center"/>
          </w:tcPr>
          <w:p w14:paraId="10C18B64" w14:textId="5C80CEAC"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color w:val="000000"/>
                <w:sz w:val="20"/>
                <w:szCs w:val="20"/>
              </w:rPr>
              <w:t>52</w:t>
            </w:r>
          </w:p>
        </w:tc>
        <w:tc>
          <w:tcPr>
            <w:tcW w:w="592" w:type="dxa"/>
            <w:tcBorders>
              <w:top w:val="nil"/>
              <w:left w:val="nil"/>
              <w:bottom w:val="single" w:sz="4" w:space="0" w:color="auto"/>
              <w:right w:val="nil"/>
            </w:tcBorders>
            <w:shd w:val="clear" w:color="auto" w:fill="auto"/>
            <w:vAlign w:val="center"/>
            <w:hideMark/>
          </w:tcPr>
          <w:p w14:paraId="6C0D3013"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4CF83884" w14:textId="77777777" w:rsidTr="001F224C">
        <w:trPr>
          <w:gridAfter w:val="1"/>
          <w:wAfter w:w="10" w:type="dxa"/>
          <w:trHeight w:val="188"/>
          <w:jc w:val="center"/>
        </w:trPr>
        <w:tc>
          <w:tcPr>
            <w:tcW w:w="409" w:type="dxa"/>
            <w:tcBorders>
              <w:top w:val="nil"/>
              <w:left w:val="nil"/>
              <w:bottom w:val="nil"/>
              <w:right w:val="nil"/>
            </w:tcBorders>
            <w:shd w:val="clear" w:color="auto" w:fill="auto"/>
            <w:textDirection w:val="btLr"/>
            <w:vAlign w:val="center"/>
            <w:hideMark/>
          </w:tcPr>
          <w:p w14:paraId="2C1B6AD5"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407" w:type="dxa"/>
            <w:gridSpan w:val="2"/>
            <w:vMerge w:val="restart"/>
            <w:tcBorders>
              <w:top w:val="nil"/>
              <w:left w:val="nil"/>
              <w:bottom w:val="nil"/>
              <w:right w:val="nil"/>
            </w:tcBorders>
            <w:shd w:val="clear" w:color="auto" w:fill="auto"/>
            <w:noWrap/>
            <w:vAlign w:val="center"/>
            <w:hideMark/>
          </w:tcPr>
          <w:p w14:paraId="32DE48F1"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17</w:t>
            </w:r>
          </w:p>
        </w:tc>
        <w:tc>
          <w:tcPr>
            <w:tcW w:w="2050" w:type="dxa"/>
            <w:tcBorders>
              <w:top w:val="nil"/>
              <w:left w:val="nil"/>
              <w:bottom w:val="nil"/>
              <w:right w:val="nil"/>
            </w:tcBorders>
            <w:shd w:val="clear" w:color="auto" w:fill="auto"/>
            <w:noWrap/>
            <w:vAlign w:val="center"/>
            <w:hideMark/>
          </w:tcPr>
          <w:p w14:paraId="14A11E0B" w14:textId="77777777" w:rsidR="001F224C" w:rsidRPr="002C7555" w:rsidRDefault="001F224C" w:rsidP="001F224C">
            <w:pPr>
              <w:spacing w:after="0" w:line="240" w:lineRule="auto"/>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Vnímanie</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korupcie</w:t>
            </w:r>
            <w:proofErr w:type="spellEnd"/>
          </w:p>
        </w:tc>
        <w:tc>
          <w:tcPr>
            <w:tcW w:w="710" w:type="dxa"/>
            <w:tcBorders>
              <w:top w:val="nil"/>
              <w:left w:val="nil"/>
              <w:bottom w:val="nil"/>
              <w:right w:val="nil"/>
            </w:tcBorders>
            <w:shd w:val="clear" w:color="auto" w:fill="auto"/>
            <w:vAlign w:val="center"/>
            <w:hideMark/>
          </w:tcPr>
          <w:p w14:paraId="040A5355"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nil"/>
              <w:left w:val="nil"/>
              <w:bottom w:val="nil"/>
              <w:right w:val="nil"/>
            </w:tcBorders>
            <w:shd w:val="clear" w:color="auto" w:fill="auto"/>
            <w:vAlign w:val="center"/>
          </w:tcPr>
          <w:p w14:paraId="1B2B945C" w14:textId="15328D83"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nil"/>
              <w:right w:val="nil"/>
            </w:tcBorders>
            <w:shd w:val="clear" w:color="auto" w:fill="auto"/>
            <w:vAlign w:val="center"/>
          </w:tcPr>
          <w:p w14:paraId="71E754E7" w14:textId="5A65F9F2"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nil"/>
              <w:right w:val="nil"/>
            </w:tcBorders>
            <w:shd w:val="clear" w:color="auto" w:fill="auto"/>
            <w:vAlign w:val="center"/>
          </w:tcPr>
          <w:p w14:paraId="52B106B2" w14:textId="6521BD3F"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single" w:sz="4" w:space="0" w:color="auto"/>
              <w:left w:val="nil"/>
              <w:bottom w:val="nil"/>
              <w:right w:val="nil"/>
            </w:tcBorders>
            <w:shd w:val="clear" w:color="auto" w:fill="auto"/>
            <w:vAlign w:val="center"/>
          </w:tcPr>
          <w:p w14:paraId="6C5AC057" w14:textId="54858E26"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46</w:t>
            </w:r>
          </w:p>
        </w:tc>
        <w:tc>
          <w:tcPr>
            <w:tcW w:w="592" w:type="dxa"/>
            <w:tcBorders>
              <w:top w:val="nil"/>
              <w:left w:val="nil"/>
              <w:bottom w:val="nil"/>
              <w:right w:val="nil"/>
            </w:tcBorders>
            <w:shd w:val="clear" w:color="auto" w:fill="auto"/>
            <w:vAlign w:val="center"/>
          </w:tcPr>
          <w:p w14:paraId="7091B619" w14:textId="22AB36B3"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47</w:t>
            </w:r>
          </w:p>
        </w:tc>
        <w:tc>
          <w:tcPr>
            <w:tcW w:w="592" w:type="dxa"/>
            <w:tcBorders>
              <w:top w:val="nil"/>
              <w:left w:val="nil"/>
              <w:bottom w:val="nil"/>
              <w:right w:val="nil"/>
            </w:tcBorders>
            <w:shd w:val="clear" w:color="auto" w:fill="auto"/>
            <w:vAlign w:val="center"/>
          </w:tcPr>
          <w:p w14:paraId="2103DDE3" w14:textId="1D5E4446"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50</w:t>
            </w:r>
          </w:p>
        </w:tc>
        <w:tc>
          <w:tcPr>
            <w:tcW w:w="592" w:type="dxa"/>
            <w:tcBorders>
              <w:top w:val="nil"/>
              <w:left w:val="nil"/>
              <w:bottom w:val="nil"/>
              <w:right w:val="nil"/>
            </w:tcBorders>
            <w:shd w:val="clear" w:color="auto" w:fill="auto"/>
            <w:vAlign w:val="center"/>
          </w:tcPr>
          <w:p w14:paraId="2C640A3C" w14:textId="446E03B3"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51</w:t>
            </w:r>
          </w:p>
        </w:tc>
        <w:tc>
          <w:tcPr>
            <w:tcW w:w="592" w:type="dxa"/>
            <w:tcBorders>
              <w:top w:val="nil"/>
              <w:left w:val="nil"/>
              <w:bottom w:val="nil"/>
              <w:right w:val="nil"/>
            </w:tcBorders>
            <w:shd w:val="clear" w:color="auto" w:fill="auto"/>
            <w:vAlign w:val="center"/>
          </w:tcPr>
          <w:p w14:paraId="14E95F30" w14:textId="4B90D4CD"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51</w:t>
            </w:r>
          </w:p>
        </w:tc>
        <w:tc>
          <w:tcPr>
            <w:tcW w:w="592" w:type="dxa"/>
            <w:tcBorders>
              <w:top w:val="nil"/>
              <w:left w:val="nil"/>
              <w:bottom w:val="nil"/>
              <w:right w:val="nil"/>
            </w:tcBorders>
            <w:shd w:val="clear" w:color="auto" w:fill="auto"/>
            <w:vAlign w:val="center"/>
          </w:tcPr>
          <w:p w14:paraId="57F5818A" w14:textId="0E409019"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50</w:t>
            </w:r>
          </w:p>
        </w:tc>
        <w:tc>
          <w:tcPr>
            <w:tcW w:w="592" w:type="dxa"/>
            <w:tcBorders>
              <w:top w:val="single" w:sz="4" w:space="0" w:color="auto"/>
              <w:left w:val="nil"/>
              <w:bottom w:val="nil"/>
              <w:right w:val="nil"/>
            </w:tcBorders>
            <w:shd w:val="clear" w:color="auto" w:fill="auto"/>
            <w:vAlign w:val="center"/>
          </w:tcPr>
          <w:p w14:paraId="00776174" w14:textId="5DE4B778"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50</w:t>
            </w:r>
          </w:p>
        </w:tc>
        <w:tc>
          <w:tcPr>
            <w:tcW w:w="592" w:type="dxa"/>
            <w:tcBorders>
              <w:top w:val="nil"/>
              <w:left w:val="nil"/>
              <w:bottom w:val="nil"/>
              <w:right w:val="nil"/>
            </w:tcBorders>
            <w:shd w:val="clear" w:color="auto" w:fill="auto"/>
            <w:vAlign w:val="center"/>
            <w:hideMark/>
          </w:tcPr>
          <w:p w14:paraId="7EE25C34"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62,6</w:t>
            </w:r>
          </w:p>
        </w:tc>
      </w:tr>
      <w:tr w:rsidR="001F224C" w:rsidRPr="002C7555" w14:paraId="28AF42B4" w14:textId="77777777" w:rsidTr="001F224C">
        <w:trPr>
          <w:gridAfter w:val="1"/>
          <w:wAfter w:w="10" w:type="dxa"/>
          <w:trHeight w:val="188"/>
          <w:jc w:val="center"/>
        </w:trPr>
        <w:tc>
          <w:tcPr>
            <w:tcW w:w="409" w:type="dxa"/>
            <w:tcBorders>
              <w:top w:val="nil"/>
              <w:left w:val="nil"/>
              <w:bottom w:val="nil"/>
              <w:right w:val="nil"/>
            </w:tcBorders>
            <w:shd w:val="clear" w:color="auto" w:fill="auto"/>
            <w:textDirection w:val="btLr"/>
            <w:vAlign w:val="center"/>
            <w:hideMark/>
          </w:tcPr>
          <w:p w14:paraId="699D0E78"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407" w:type="dxa"/>
            <w:gridSpan w:val="2"/>
            <w:vMerge/>
            <w:tcBorders>
              <w:top w:val="nil"/>
              <w:left w:val="nil"/>
              <w:bottom w:val="nil"/>
              <w:right w:val="nil"/>
            </w:tcBorders>
            <w:vAlign w:val="center"/>
            <w:hideMark/>
          </w:tcPr>
          <w:p w14:paraId="49410EB9"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nil"/>
              <w:right w:val="nil"/>
            </w:tcBorders>
            <w:shd w:val="clear" w:color="auto" w:fill="auto"/>
            <w:noWrap/>
            <w:vAlign w:val="center"/>
            <w:hideMark/>
          </w:tcPr>
          <w:p w14:paraId="5FDEB615"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710" w:type="dxa"/>
            <w:tcBorders>
              <w:top w:val="nil"/>
              <w:left w:val="nil"/>
              <w:bottom w:val="nil"/>
              <w:right w:val="nil"/>
            </w:tcBorders>
            <w:shd w:val="clear" w:color="auto" w:fill="auto"/>
            <w:vAlign w:val="center"/>
            <w:hideMark/>
          </w:tcPr>
          <w:p w14:paraId="7DFC2C86"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nil"/>
              <w:right w:val="nil"/>
            </w:tcBorders>
            <w:shd w:val="clear" w:color="auto" w:fill="auto"/>
            <w:vAlign w:val="center"/>
          </w:tcPr>
          <w:p w14:paraId="4E451C45" w14:textId="6768B8BF"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nil"/>
              <w:right w:val="nil"/>
            </w:tcBorders>
            <w:shd w:val="clear" w:color="auto" w:fill="auto"/>
            <w:vAlign w:val="center"/>
          </w:tcPr>
          <w:p w14:paraId="4C5A6C31" w14:textId="29B03186"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nil"/>
              <w:right w:val="nil"/>
            </w:tcBorders>
            <w:shd w:val="clear" w:color="auto" w:fill="auto"/>
            <w:vAlign w:val="center"/>
          </w:tcPr>
          <w:p w14:paraId="43F56792" w14:textId="369FC0B2"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389328BA" w14:textId="2A5F4CC3"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63</w:t>
            </w:r>
          </w:p>
        </w:tc>
        <w:tc>
          <w:tcPr>
            <w:tcW w:w="592" w:type="dxa"/>
            <w:tcBorders>
              <w:top w:val="nil"/>
              <w:left w:val="nil"/>
              <w:bottom w:val="single" w:sz="4" w:space="0" w:color="auto"/>
              <w:right w:val="nil"/>
            </w:tcBorders>
            <w:shd w:val="clear" w:color="auto" w:fill="auto"/>
            <w:vAlign w:val="center"/>
          </w:tcPr>
          <w:p w14:paraId="008E3580" w14:textId="2510AA56"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63</w:t>
            </w:r>
          </w:p>
        </w:tc>
        <w:tc>
          <w:tcPr>
            <w:tcW w:w="592" w:type="dxa"/>
            <w:tcBorders>
              <w:top w:val="nil"/>
              <w:left w:val="nil"/>
              <w:bottom w:val="single" w:sz="4" w:space="0" w:color="auto"/>
              <w:right w:val="nil"/>
            </w:tcBorders>
            <w:shd w:val="clear" w:color="auto" w:fill="auto"/>
            <w:vAlign w:val="center"/>
          </w:tcPr>
          <w:p w14:paraId="6AA71F60" w14:textId="0B636263"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64</w:t>
            </w:r>
          </w:p>
        </w:tc>
        <w:tc>
          <w:tcPr>
            <w:tcW w:w="592" w:type="dxa"/>
            <w:tcBorders>
              <w:top w:val="nil"/>
              <w:left w:val="nil"/>
              <w:bottom w:val="single" w:sz="4" w:space="0" w:color="auto"/>
              <w:right w:val="nil"/>
            </w:tcBorders>
            <w:shd w:val="clear" w:color="auto" w:fill="auto"/>
            <w:vAlign w:val="center"/>
          </w:tcPr>
          <w:p w14:paraId="286BA8B4" w14:textId="7EC22BD4"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66</w:t>
            </w:r>
          </w:p>
        </w:tc>
        <w:tc>
          <w:tcPr>
            <w:tcW w:w="592" w:type="dxa"/>
            <w:tcBorders>
              <w:top w:val="nil"/>
              <w:left w:val="nil"/>
              <w:bottom w:val="single" w:sz="4" w:space="0" w:color="auto"/>
              <w:right w:val="nil"/>
            </w:tcBorders>
            <w:shd w:val="clear" w:color="auto" w:fill="auto"/>
            <w:vAlign w:val="center"/>
          </w:tcPr>
          <w:p w14:paraId="4533C5E0" w14:textId="7A18693C"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65</w:t>
            </w:r>
          </w:p>
        </w:tc>
        <w:tc>
          <w:tcPr>
            <w:tcW w:w="592" w:type="dxa"/>
            <w:tcBorders>
              <w:top w:val="nil"/>
              <w:left w:val="nil"/>
              <w:bottom w:val="single" w:sz="4" w:space="0" w:color="auto"/>
              <w:right w:val="nil"/>
            </w:tcBorders>
            <w:shd w:val="clear" w:color="auto" w:fill="auto"/>
            <w:vAlign w:val="center"/>
          </w:tcPr>
          <w:p w14:paraId="6E3AFCF6" w14:textId="158A2181"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65</w:t>
            </w:r>
          </w:p>
        </w:tc>
        <w:tc>
          <w:tcPr>
            <w:tcW w:w="592" w:type="dxa"/>
            <w:tcBorders>
              <w:top w:val="nil"/>
              <w:left w:val="nil"/>
              <w:bottom w:val="single" w:sz="4" w:space="0" w:color="auto"/>
              <w:right w:val="nil"/>
            </w:tcBorders>
            <w:shd w:val="clear" w:color="auto" w:fill="auto"/>
            <w:vAlign w:val="center"/>
          </w:tcPr>
          <w:p w14:paraId="68075A5B" w14:textId="6F340B55" w:rsidR="001F224C" w:rsidRPr="002C7555" w:rsidRDefault="001F224C" w:rsidP="001F224C">
            <w:pPr>
              <w:spacing w:after="0" w:line="240" w:lineRule="auto"/>
              <w:jc w:val="center"/>
              <w:rPr>
                <w:rFonts w:ascii="Arial Narrow" w:hAnsi="Arial Narrow"/>
                <w:color w:val="000000"/>
                <w:sz w:val="20"/>
                <w:szCs w:val="20"/>
                <w:lang w:val="en-US" w:eastAsia="en-US"/>
              </w:rPr>
            </w:pPr>
            <w:r w:rsidRPr="00484218">
              <w:rPr>
                <w:rFonts w:ascii="Arial Narrow" w:hAnsi="Arial Narrow"/>
                <w:sz w:val="20"/>
                <w:szCs w:val="20"/>
              </w:rPr>
              <w:t>65</w:t>
            </w:r>
          </w:p>
        </w:tc>
        <w:tc>
          <w:tcPr>
            <w:tcW w:w="592" w:type="dxa"/>
            <w:tcBorders>
              <w:top w:val="nil"/>
              <w:left w:val="nil"/>
              <w:bottom w:val="nil"/>
              <w:right w:val="nil"/>
            </w:tcBorders>
            <w:shd w:val="clear" w:color="auto" w:fill="auto"/>
            <w:vAlign w:val="center"/>
            <w:hideMark/>
          </w:tcPr>
          <w:p w14:paraId="7D2251F6"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6471AEF1" w14:textId="77777777" w:rsidTr="001F224C">
        <w:trPr>
          <w:trHeight w:val="188"/>
          <w:jc w:val="center"/>
        </w:trPr>
        <w:tc>
          <w:tcPr>
            <w:tcW w:w="602" w:type="dxa"/>
            <w:gridSpan w:val="2"/>
            <w:tcBorders>
              <w:top w:val="single" w:sz="4" w:space="0" w:color="auto"/>
              <w:left w:val="nil"/>
              <w:bottom w:val="single" w:sz="4" w:space="0" w:color="auto"/>
              <w:right w:val="nil"/>
            </w:tcBorders>
            <w:shd w:val="clear" w:color="000000" w:fill="A9D2F1"/>
          </w:tcPr>
          <w:p w14:paraId="669EC270" w14:textId="77777777" w:rsidR="001F224C" w:rsidRPr="002C7555" w:rsidRDefault="001F224C" w:rsidP="001F224C">
            <w:pPr>
              <w:spacing w:after="0" w:line="240" w:lineRule="auto"/>
              <w:rPr>
                <w:rFonts w:ascii="Arial Narrow" w:hAnsi="Arial Narrow"/>
                <w:b/>
                <w:bCs/>
                <w:sz w:val="20"/>
                <w:szCs w:val="20"/>
                <w:lang w:val="en-US" w:eastAsia="en-US"/>
              </w:rPr>
            </w:pPr>
          </w:p>
        </w:tc>
        <w:tc>
          <w:tcPr>
            <w:tcW w:w="9604" w:type="dxa"/>
            <w:gridSpan w:val="15"/>
            <w:tcBorders>
              <w:top w:val="single" w:sz="4" w:space="0" w:color="auto"/>
              <w:left w:val="nil"/>
              <w:bottom w:val="single" w:sz="4" w:space="0" w:color="auto"/>
              <w:right w:val="nil"/>
            </w:tcBorders>
            <w:shd w:val="clear" w:color="000000" w:fill="A9D2F1"/>
            <w:noWrap/>
            <w:vAlign w:val="center"/>
            <w:hideMark/>
          </w:tcPr>
          <w:p w14:paraId="739634BA" w14:textId="77777777" w:rsidR="001F224C" w:rsidRPr="002C7555" w:rsidRDefault="001F224C" w:rsidP="001F224C">
            <w:pPr>
              <w:spacing w:after="0" w:line="240" w:lineRule="auto"/>
              <w:rPr>
                <w:rFonts w:ascii="Arial Narrow" w:hAnsi="Arial Narrow"/>
                <w:b/>
                <w:bCs/>
                <w:sz w:val="20"/>
                <w:szCs w:val="20"/>
                <w:lang w:val="en-US" w:eastAsia="en-US"/>
              </w:rPr>
            </w:pPr>
            <w:proofErr w:type="spellStart"/>
            <w:r w:rsidRPr="002C7555">
              <w:rPr>
                <w:rFonts w:ascii="Arial Narrow" w:hAnsi="Arial Narrow"/>
                <w:b/>
                <w:bCs/>
                <w:sz w:val="20"/>
                <w:szCs w:val="20"/>
                <w:lang w:val="en-US" w:eastAsia="en-US"/>
              </w:rPr>
              <w:t>Zdravie</w:t>
            </w:r>
            <w:proofErr w:type="spellEnd"/>
          </w:p>
        </w:tc>
      </w:tr>
      <w:tr w:rsidR="001F224C" w:rsidRPr="002C7555" w14:paraId="2426D393" w14:textId="77777777" w:rsidTr="001F224C">
        <w:trPr>
          <w:gridAfter w:val="1"/>
          <w:wAfter w:w="10" w:type="dxa"/>
          <w:trHeight w:val="436"/>
          <w:jc w:val="center"/>
        </w:trPr>
        <w:tc>
          <w:tcPr>
            <w:tcW w:w="409" w:type="dxa"/>
            <w:tcBorders>
              <w:top w:val="nil"/>
              <w:left w:val="nil"/>
              <w:right w:val="nil"/>
            </w:tcBorders>
            <w:shd w:val="clear" w:color="auto" w:fill="auto"/>
            <w:textDirection w:val="btLr"/>
            <w:vAlign w:val="center"/>
          </w:tcPr>
          <w:p w14:paraId="1BE821A6"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407" w:type="dxa"/>
            <w:gridSpan w:val="2"/>
            <w:vMerge w:val="restart"/>
            <w:tcBorders>
              <w:top w:val="nil"/>
              <w:left w:val="nil"/>
              <w:right w:val="nil"/>
            </w:tcBorders>
            <w:shd w:val="clear" w:color="auto" w:fill="auto"/>
            <w:noWrap/>
            <w:vAlign w:val="center"/>
          </w:tcPr>
          <w:p w14:paraId="335F8D09" w14:textId="21244BE6" w:rsidR="001F224C" w:rsidRPr="002C7555" w:rsidRDefault="001F224C" w:rsidP="001F224C">
            <w:pPr>
              <w:spacing w:after="0" w:line="240" w:lineRule="auto"/>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18</w:t>
            </w:r>
          </w:p>
        </w:tc>
        <w:tc>
          <w:tcPr>
            <w:tcW w:w="2050" w:type="dxa"/>
            <w:vMerge w:val="restart"/>
            <w:tcBorders>
              <w:top w:val="nil"/>
              <w:left w:val="nil"/>
              <w:right w:val="nil"/>
            </w:tcBorders>
            <w:shd w:val="clear" w:color="auto" w:fill="auto"/>
            <w:noWrap/>
            <w:vAlign w:val="center"/>
          </w:tcPr>
          <w:p w14:paraId="06B5277E" w14:textId="30FD6B7F" w:rsidR="001F224C" w:rsidRPr="002C7555" w:rsidRDefault="001F224C" w:rsidP="001F224C">
            <w:pPr>
              <w:spacing w:after="0" w:line="240" w:lineRule="auto"/>
              <w:rPr>
                <w:rFonts w:ascii="Arial Narrow" w:hAnsi="Arial Narrow"/>
                <w:b/>
                <w:bCs/>
                <w:color w:val="000000"/>
                <w:sz w:val="20"/>
                <w:szCs w:val="20"/>
                <w:lang w:val="en-US" w:eastAsia="en-US"/>
              </w:rPr>
            </w:pPr>
            <w:r>
              <w:rPr>
                <w:rFonts w:ascii="Arial Narrow" w:hAnsi="Arial Narrow"/>
                <w:b/>
                <w:bCs/>
                <w:color w:val="000000"/>
                <w:sz w:val="20"/>
                <w:szCs w:val="20"/>
              </w:rPr>
              <w:t>Ú</w:t>
            </w:r>
            <w:r w:rsidRPr="006358B6">
              <w:rPr>
                <w:rFonts w:ascii="Arial Narrow" w:hAnsi="Arial Narrow"/>
                <w:b/>
                <w:bCs/>
                <w:color w:val="000000"/>
                <w:sz w:val="20"/>
                <w:szCs w:val="20"/>
              </w:rPr>
              <w:t xml:space="preserve">mrtnosť </w:t>
            </w:r>
            <w:r>
              <w:rPr>
                <w:rFonts w:ascii="Arial Narrow" w:hAnsi="Arial Narrow"/>
                <w:b/>
                <w:bCs/>
                <w:color w:val="000000"/>
                <w:sz w:val="20"/>
                <w:szCs w:val="20"/>
              </w:rPr>
              <w:t>o</w:t>
            </w:r>
            <w:r w:rsidRPr="006358B6">
              <w:rPr>
                <w:rFonts w:ascii="Arial Narrow" w:hAnsi="Arial Narrow"/>
                <w:b/>
                <w:bCs/>
                <w:color w:val="000000"/>
                <w:sz w:val="20"/>
                <w:szCs w:val="20"/>
              </w:rPr>
              <w:t xml:space="preserve">dvrátiteľná </w:t>
            </w:r>
            <w:r>
              <w:rPr>
                <w:rFonts w:ascii="Arial Narrow" w:hAnsi="Arial Narrow"/>
                <w:b/>
                <w:bCs/>
                <w:color w:val="000000"/>
                <w:sz w:val="20"/>
                <w:szCs w:val="20"/>
              </w:rPr>
              <w:t>zdravotnou starostlivosťou</w:t>
            </w:r>
          </w:p>
          <w:p w14:paraId="73B260CB" w14:textId="6EB8CB43" w:rsidR="001F224C" w:rsidRPr="002C7555" w:rsidRDefault="001F224C" w:rsidP="001F224C">
            <w:pPr>
              <w:spacing w:after="0" w:line="240" w:lineRule="auto"/>
              <w:rPr>
                <w:rFonts w:ascii="Arial Narrow" w:hAnsi="Arial Narrow"/>
                <w:b/>
                <w:bCs/>
                <w:color w:val="000000"/>
                <w:sz w:val="20"/>
                <w:szCs w:val="20"/>
                <w:lang w:val="en-US" w:eastAsia="en-US"/>
              </w:rPr>
            </w:pPr>
            <w:r w:rsidRPr="006358B6">
              <w:rPr>
                <w:rFonts w:ascii="Arial Narrow" w:hAnsi="Arial Narrow"/>
                <w:bCs/>
                <w:color w:val="000000"/>
                <w:sz w:val="20"/>
                <w:szCs w:val="20"/>
              </w:rPr>
              <w:t>(na 100 tisíc obyvateľov)</w:t>
            </w:r>
          </w:p>
        </w:tc>
        <w:tc>
          <w:tcPr>
            <w:tcW w:w="710" w:type="dxa"/>
            <w:tcBorders>
              <w:top w:val="nil"/>
              <w:left w:val="nil"/>
              <w:right w:val="nil"/>
            </w:tcBorders>
            <w:shd w:val="clear" w:color="auto" w:fill="auto"/>
            <w:vAlign w:val="center"/>
          </w:tcPr>
          <w:p w14:paraId="1D383360" w14:textId="0FC477D4"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6358B6">
              <w:rPr>
                <w:rFonts w:ascii="Arial Narrow" w:hAnsi="Arial Narrow"/>
                <w:b/>
                <w:bCs/>
                <w:color w:val="000000"/>
                <w:sz w:val="20"/>
                <w:szCs w:val="20"/>
              </w:rPr>
              <w:t>SK</w:t>
            </w:r>
          </w:p>
        </w:tc>
        <w:tc>
          <w:tcPr>
            <w:tcW w:w="700" w:type="dxa"/>
            <w:tcBorders>
              <w:top w:val="nil"/>
              <w:left w:val="nil"/>
              <w:right w:val="nil"/>
            </w:tcBorders>
            <w:shd w:val="clear" w:color="auto" w:fill="auto"/>
            <w:vAlign w:val="center"/>
          </w:tcPr>
          <w:p w14:paraId="1017A572" w14:textId="7F35AD7E"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w:t>
            </w:r>
          </w:p>
        </w:tc>
        <w:tc>
          <w:tcPr>
            <w:tcW w:w="592" w:type="dxa"/>
            <w:tcBorders>
              <w:top w:val="nil"/>
              <w:left w:val="nil"/>
              <w:right w:val="nil"/>
            </w:tcBorders>
            <w:shd w:val="clear" w:color="auto" w:fill="auto"/>
            <w:vAlign w:val="center"/>
          </w:tcPr>
          <w:p w14:paraId="7632C966" w14:textId="494DC4CB"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w:t>
            </w:r>
          </w:p>
        </w:tc>
        <w:tc>
          <w:tcPr>
            <w:tcW w:w="592" w:type="dxa"/>
            <w:tcBorders>
              <w:top w:val="nil"/>
              <w:left w:val="nil"/>
              <w:right w:val="nil"/>
            </w:tcBorders>
            <w:shd w:val="clear" w:color="auto" w:fill="auto"/>
            <w:vAlign w:val="center"/>
          </w:tcPr>
          <w:p w14:paraId="156536BC" w14:textId="478369B3"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262</w:t>
            </w:r>
          </w:p>
        </w:tc>
        <w:tc>
          <w:tcPr>
            <w:tcW w:w="592" w:type="dxa"/>
            <w:tcBorders>
              <w:top w:val="nil"/>
              <w:left w:val="nil"/>
              <w:right w:val="nil"/>
            </w:tcBorders>
            <w:shd w:val="clear" w:color="auto" w:fill="auto"/>
            <w:vAlign w:val="center"/>
          </w:tcPr>
          <w:p w14:paraId="66F17454" w14:textId="177ADC95"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261</w:t>
            </w:r>
          </w:p>
        </w:tc>
        <w:tc>
          <w:tcPr>
            <w:tcW w:w="592" w:type="dxa"/>
            <w:tcBorders>
              <w:top w:val="nil"/>
              <w:left w:val="nil"/>
              <w:right w:val="nil"/>
            </w:tcBorders>
            <w:shd w:val="clear" w:color="auto" w:fill="auto"/>
            <w:vAlign w:val="center"/>
          </w:tcPr>
          <w:p w14:paraId="5808B6E5" w14:textId="5F6D10D3"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262</w:t>
            </w:r>
          </w:p>
        </w:tc>
        <w:tc>
          <w:tcPr>
            <w:tcW w:w="592" w:type="dxa"/>
            <w:tcBorders>
              <w:top w:val="nil"/>
              <w:left w:val="nil"/>
              <w:right w:val="nil"/>
            </w:tcBorders>
            <w:shd w:val="clear" w:color="auto" w:fill="auto"/>
            <w:vAlign w:val="center"/>
          </w:tcPr>
          <w:p w14:paraId="615D5D1C" w14:textId="762B608A"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243</w:t>
            </w:r>
          </w:p>
        </w:tc>
        <w:tc>
          <w:tcPr>
            <w:tcW w:w="592" w:type="dxa"/>
            <w:tcBorders>
              <w:top w:val="nil"/>
              <w:left w:val="nil"/>
              <w:right w:val="nil"/>
            </w:tcBorders>
            <w:shd w:val="clear" w:color="auto" w:fill="auto"/>
            <w:vAlign w:val="center"/>
          </w:tcPr>
          <w:p w14:paraId="55C9E6EB" w14:textId="792391EE"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250</w:t>
            </w:r>
          </w:p>
        </w:tc>
        <w:tc>
          <w:tcPr>
            <w:tcW w:w="592" w:type="dxa"/>
            <w:tcBorders>
              <w:top w:val="nil"/>
              <w:left w:val="nil"/>
              <w:right w:val="nil"/>
            </w:tcBorders>
            <w:shd w:val="clear" w:color="auto" w:fill="auto"/>
            <w:vAlign w:val="center"/>
          </w:tcPr>
          <w:p w14:paraId="3DACA6DA" w14:textId="64A244C8"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w:t>
            </w:r>
          </w:p>
        </w:tc>
        <w:tc>
          <w:tcPr>
            <w:tcW w:w="592" w:type="dxa"/>
            <w:tcBorders>
              <w:top w:val="nil"/>
              <w:left w:val="nil"/>
              <w:right w:val="nil"/>
            </w:tcBorders>
            <w:shd w:val="clear" w:color="auto" w:fill="auto"/>
            <w:vAlign w:val="center"/>
          </w:tcPr>
          <w:p w14:paraId="2389DF1A" w14:textId="7CDDDA72" w:rsidR="001F224C" w:rsidRPr="002C7555" w:rsidRDefault="001F224C" w:rsidP="001F224C">
            <w:pPr>
              <w:spacing w:after="0" w:line="240" w:lineRule="auto"/>
              <w:jc w:val="center"/>
              <w:rPr>
                <w:rFonts w:ascii="Arial Narrow" w:hAnsi="Arial Narrow"/>
                <w:sz w:val="20"/>
                <w:szCs w:val="20"/>
                <w:lang w:val="en-US" w:eastAsia="en-US"/>
              </w:rPr>
            </w:pPr>
            <w:r w:rsidRPr="006358B6">
              <w:rPr>
                <w:rFonts w:ascii="Arial Narrow" w:hAnsi="Arial Narrow"/>
                <w:color w:val="000000"/>
                <w:sz w:val="20"/>
                <w:szCs w:val="20"/>
              </w:rPr>
              <w:t>-</w:t>
            </w:r>
          </w:p>
        </w:tc>
        <w:tc>
          <w:tcPr>
            <w:tcW w:w="592" w:type="dxa"/>
            <w:tcBorders>
              <w:top w:val="nil"/>
              <w:left w:val="nil"/>
              <w:right w:val="nil"/>
            </w:tcBorders>
            <w:shd w:val="clear" w:color="auto" w:fill="auto"/>
            <w:vAlign w:val="center"/>
          </w:tcPr>
          <w:p w14:paraId="7B409D1E" w14:textId="1A6C385D"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w:t>
            </w:r>
          </w:p>
        </w:tc>
        <w:tc>
          <w:tcPr>
            <w:tcW w:w="592" w:type="dxa"/>
            <w:tcBorders>
              <w:top w:val="nil"/>
              <w:left w:val="nil"/>
              <w:right w:val="nil"/>
            </w:tcBorders>
            <w:shd w:val="clear" w:color="auto" w:fill="auto"/>
            <w:vAlign w:val="center"/>
          </w:tcPr>
          <w:p w14:paraId="78D87C55" w14:textId="691987D3" w:rsidR="001F224C" w:rsidRPr="002C7555" w:rsidRDefault="001F224C" w:rsidP="001F224C">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r>
      <w:tr w:rsidR="001F224C" w:rsidRPr="002C7555" w14:paraId="253AD953" w14:textId="77777777" w:rsidTr="001F224C">
        <w:trPr>
          <w:gridAfter w:val="1"/>
          <w:wAfter w:w="10" w:type="dxa"/>
          <w:trHeight w:val="188"/>
          <w:jc w:val="center"/>
        </w:trPr>
        <w:tc>
          <w:tcPr>
            <w:tcW w:w="409" w:type="dxa"/>
            <w:tcBorders>
              <w:top w:val="nil"/>
              <w:left w:val="nil"/>
              <w:bottom w:val="single" w:sz="4" w:space="0" w:color="auto"/>
              <w:right w:val="nil"/>
            </w:tcBorders>
            <w:shd w:val="clear" w:color="auto" w:fill="auto"/>
            <w:textDirection w:val="btLr"/>
            <w:vAlign w:val="center"/>
          </w:tcPr>
          <w:p w14:paraId="64D06103"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407" w:type="dxa"/>
            <w:gridSpan w:val="2"/>
            <w:vMerge/>
            <w:tcBorders>
              <w:left w:val="nil"/>
              <w:bottom w:val="single" w:sz="4" w:space="0" w:color="auto"/>
              <w:right w:val="nil"/>
            </w:tcBorders>
            <w:shd w:val="clear" w:color="auto" w:fill="auto"/>
            <w:noWrap/>
            <w:vAlign w:val="center"/>
          </w:tcPr>
          <w:p w14:paraId="2926A6EE" w14:textId="34F33C30"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vMerge/>
            <w:tcBorders>
              <w:left w:val="nil"/>
              <w:bottom w:val="single" w:sz="4" w:space="0" w:color="auto"/>
              <w:right w:val="nil"/>
            </w:tcBorders>
            <w:shd w:val="clear" w:color="auto" w:fill="auto"/>
            <w:noWrap/>
            <w:vAlign w:val="center"/>
          </w:tcPr>
          <w:p w14:paraId="4ADEAF15" w14:textId="0DF18CD9" w:rsidR="001F224C" w:rsidRPr="002C7555" w:rsidRDefault="001F224C" w:rsidP="001F224C">
            <w:pPr>
              <w:spacing w:after="0" w:line="240" w:lineRule="auto"/>
              <w:rPr>
                <w:rFonts w:ascii="Arial Narrow" w:hAnsi="Arial Narrow"/>
                <w:b/>
                <w:bCs/>
                <w:color w:val="000000"/>
                <w:sz w:val="20"/>
                <w:szCs w:val="20"/>
                <w:lang w:val="en-US" w:eastAsia="en-US"/>
              </w:rPr>
            </w:pPr>
          </w:p>
        </w:tc>
        <w:tc>
          <w:tcPr>
            <w:tcW w:w="710" w:type="dxa"/>
            <w:tcBorders>
              <w:top w:val="nil"/>
              <w:left w:val="nil"/>
              <w:bottom w:val="single" w:sz="4" w:space="0" w:color="auto"/>
              <w:right w:val="nil"/>
            </w:tcBorders>
            <w:shd w:val="clear" w:color="auto" w:fill="auto"/>
            <w:vAlign w:val="center"/>
          </w:tcPr>
          <w:p w14:paraId="5BEFA26D" w14:textId="608C86C6"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6358B6">
              <w:rPr>
                <w:rFonts w:ascii="Arial Narrow" w:hAnsi="Arial Narrow"/>
                <w:b/>
                <w:bCs/>
                <w:color w:val="000000"/>
                <w:sz w:val="20"/>
                <w:szCs w:val="20"/>
              </w:rPr>
              <w:t>EÚ</w:t>
            </w:r>
          </w:p>
        </w:tc>
        <w:tc>
          <w:tcPr>
            <w:tcW w:w="700" w:type="dxa"/>
            <w:tcBorders>
              <w:top w:val="nil"/>
              <w:left w:val="nil"/>
              <w:bottom w:val="single" w:sz="4" w:space="0" w:color="auto"/>
              <w:right w:val="nil"/>
            </w:tcBorders>
            <w:shd w:val="clear" w:color="auto" w:fill="auto"/>
            <w:vAlign w:val="center"/>
          </w:tcPr>
          <w:p w14:paraId="13371BB9" w14:textId="0A1B38B8"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w:t>
            </w:r>
          </w:p>
        </w:tc>
        <w:tc>
          <w:tcPr>
            <w:tcW w:w="592" w:type="dxa"/>
            <w:tcBorders>
              <w:top w:val="nil"/>
              <w:left w:val="nil"/>
              <w:bottom w:val="single" w:sz="4" w:space="0" w:color="auto"/>
              <w:right w:val="nil"/>
            </w:tcBorders>
            <w:shd w:val="clear" w:color="auto" w:fill="auto"/>
            <w:vAlign w:val="center"/>
          </w:tcPr>
          <w:p w14:paraId="442F3FCE" w14:textId="515B95B4"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w:t>
            </w:r>
          </w:p>
        </w:tc>
        <w:tc>
          <w:tcPr>
            <w:tcW w:w="592" w:type="dxa"/>
            <w:tcBorders>
              <w:top w:val="nil"/>
              <w:left w:val="nil"/>
              <w:bottom w:val="single" w:sz="4" w:space="0" w:color="auto"/>
              <w:right w:val="nil"/>
            </w:tcBorders>
            <w:shd w:val="clear" w:color="auto" w:fill="auto"/>
            <w:vAlign w:val="center"/>
          </w:tcPr>
          <w:p w14:paraId="63AF9322" w14:textId="418AF055"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138</w:t>
            </w:r>
          </w:p>
        </w:tc>
        <w:tc>
          <w:tcPr>
            <w:tcW w:w="592" w:type="dxa"/>
            <w:tcBorders>
              <w:top w:val="nil"/>
              <w:left w:val="nil"/>
              <w:bottom w:val="single" w:sz="4" w:space="0" w:color="auto"/>
              <w:right w:val="nil"/>
            </w:tcBorders>
            <w:shd w:val="clear" w:color="auto" w:fill="auto"/>
            <w:vAlign w:val="center"/>
          </w:tcPr>
          <w:p w14:paraId="61AC5C43" w14:textId="0A32D3D6"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135</w:t>
            </w:r>
          </w:p>
        </w:tc>
        <w:tc>
          <w:tcPr>
            <w:tcW w:w="592" w:type="dxa"/>
            <w:tcBorders>
              <w:top w:val="nil"/>
              <w:left w:val="nil"/>
              <w:bottom w:val="single" w:sz="4" w:space="0" w:color="auto"/>
              <w:right w:val="nil"/>
            </w:tcBorders>
            <w:shd w:val="clear" w:color="auto" w:fill="auto"/>
            <w:vAlign w:val="center"/>
          </w:tcPr>
          <w:p w14:paraId="2C5C592C" w14:textId="5AF55BE2"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131</w:t>
            </w:r>
          </w:p>
        </w:tc>
        <w:tc>
          <w:tcPr>
            <w:tcW w:w="592" w:type="dxa"/>
            <w:tcBorders>
              <w:top w:val="nil"/>
              <w:left w:val="nil"/>
              <w:bottom w:val="single" w:sz="4" w:space="0" w:color="auto"/>
              <w:right w:val="nil"/>
            </w:tcBorders>
            <w:shd w:val="clear" w:color="auto" w:fill="auto"/>
            <w:vAlign w:val="center"/>
          </w:tcPr>
          <w:p w14:paraId="6DD5B6DC" w14:textId="11D2CE36"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126</w:t>
            </w:r>
          </w:p>
        </w:tc>
        <w:tc>
          <w:tcPr>
            <w:tcW w:w="592" w:type="dxa"/>
            <w:tcBorders>
              <w:top w:val="nil"/>
              <w:left w:val="nil"/>
              <w:bottom w:val="single" w:sz="4" w:space="0" w:color="auto"/>
              <w:right w:val="nil"/>
            </w:tcBorders>
            <w:shd w:val="clear" w:color="auto" w:fill="auto"/>
            <w:vAlign w:val="center"/>
          </w:tcPr>
          <w:p w14:paraId="3AD519DF" w14:textId="5F3DB0AD"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127</w:t>
            </w:r>
          </w:p>
        </w:tc>
        <w:tc>
          <w:tcPr>
            <w:tcW w:w="592" w:type="dxa"/>
            <w:tcBorders>
              <w:top w:val="nil"/>
              <w:left w:val="nil"/>
              <w:bottom w:val="single" w:sz="4" w:space="0" w:color="auto"/>
              <w:right w:val="nil"/>
            </w:tcBorders>
            <w:shd w:val="clear" w:color="auto" w:fill="auto"/>
            <w:vAlign w:val="center"/>
          </w:tcPr>
          <w:p w14:paraId="1C4E54E8" w14:textId="5CAFCC7D"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w:t>
            </w:r>
          </w:p>
        </w:tc>
        <w:tc>
          <w:tcPr>
            <w:tcW w:w="592" w:type="dxa"/>
            <w:tcBorders>
              <w:top w:val="nil"/>
              <w:left w:val="nil"/>
              <w:bottom w:val="single" w:sz="4" w:space="0" w:color="auto"/>
              <w:right w:val="nil"/>
            </w:tcBorders>
            <w:shd w:val="clear" w:color="auto" w:fill="auto"/>
            <w:vAlign w:val="center"/>
          </w:tcPr>
          <w:p w14:paraId="041C1A68" w14:textId="6612442B" w:rsidR="001F224C" w:rsidRPr="002C7555" w:rsidRDefault="001F224C" w:rsidP="001F224C">
            <w:pPr>
              <w:spacing w:after="0" w:line="240" w:lineRule="auto"/>
              <w:jc w:val="center"/>
              <w:rPr>
                <w:rFonts w:ascii="Arial Narrow" w:hAnsi="Arial Narrow"/>
                <w:sz w:val="20"/>
                <w:szCs w:val="20"/>
                <w:lang w:val="en-US" w:eastAsia="en-US"/>
              </w:rPr>
            </w:pPr>
            <w:r w:rsidRPr="006358B6">
              <w:rPr>
                <w:rFonts w:ascii="Arial Narrow" w:hAnsi="Arial Narrow"/>
                <w:color w:val="000000"/>
                <w:sz w:val="20"/>
                <w:szCs w:val="20"/>
              </w:rPr>
              <w:t>-</w:t>
            </w:r>
          </w:p>
        </w:tc>
        <w:tc>
          <w:tcPr>
            <w:tcW w:w="592" w:type="dxa"/>
            <w:tcBorders>
              <w:top w:val="nil"/>
              <w:left w:val="nil"/>
              <w:bottom w:val="single" w:sz="4" w:space="0" w:color="auto"/>
              <w:right w:val="nil"/>
            </w:tcBorders>
            <w:shd w:val="clear" w:color="auto" w:fill="auto"/>
            <w:vAlign w:val="center"/>
          </w:tcPr>
          <w:p w14:paraId="452DBE41" w14:textId="44BB1171"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w:t>
            </w:r>
          </w:p>
        </w:tc>
        <w:tc>
          <w:tcPr>
            <w:tcW w:w="592" w:type="dxa"/>
            <w:tcBorders>
              <w:top w:val="nil"/>
              <w:left w:val="nil"/>
              <w:bottom w:val="single" w:sz="4" w:space="0" w:color="auto"/>
              <w:right w:val="nil"/>
            </w:tcBorders>
            <w:shd w:val="clear" w:color="auto" w:fill="auto"/>
            <w:vAlign w:val="center"/>
          </w:tcPr>
          <w:p w14:paraId="06E89F7B" w14:textId="137CA31D" w:rsidR="001F224C" w:rsidRPr="002C7555" w:rsidRDefault="001F224C" w:rsidP="001F224C">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r>
      <w:tr w:rsidR="001F224C" w:rsidRPr="002C7555" w14:paraId="78992DC8" w14:textId="77777777" w:rsidTr="001F224C">
        <w:trPr>
          <w:gridAfter w:val="1"/>
          <w:wAfter w:w="10" w:type="dxa"/>
          <w:trHeight w:val="188"/>
          <w:jc w:val="center"/>
        </w:trPr>
        <w:tc>
          <w:tcPr>
            <w:tcW w:w="409" w:type="dxa"/>
            <w:tcBorders>
              <w:top w:val="single" w:sz="4" w:space="0" w:color="auto"/>
              <w:left w:val="nil"/>
              <w:bottom w:val="nil"/>
              <w:right w:val="nil"/>
            </w:tcBorders>
            <w:shd w:val="clear" w:color="auto" w:fill="auto"/>
            <w:textDirection w:val="btLr"/>
            <w:vAlign w:val="center"/>
            <w:hideMark/>
          </w:tcPr>
          <w:p w14:paraId="785138A0"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 </w:t>
            </w:r>
          </w:p>
        </w:tc>
        <w:tc>
          <w:tcPr>
            <w:tcW w:w="407" w:type="dxa"/>
            <w:gridSpan w:val="2"/>
            <w:vMerge w:val="restart"/>
            <w:tcBorders>
              <w:top w:val="single" w:sz="4" w:space="0" w:color="auto"/>
              <w:left w:val="nil"/>
              <w:right w:val="nil"/>
            </w:tcBorders>
            <w:shd w:val="clear" w:color="auto" w:fill="auto"/>
            <w:noWrap/>
            <w:vAlign w:val="center"/>
            <w:hideMark/>
          </w:tcPr>
          <w:p w14:paraId="5EF65399" w14:textId="426D7B33" w:rsidR="001F224C" w:rsidRPr="002C7555" w:rsidRDefault="001F224C" w:rsidP="001F224C">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19</w:t>
            </w:r>
          </w:p>
        </w:tc>
        <w:tc>
          <w:tcPr>
            <w:tcW w:w="2050" w:type="dxa"/>
            <w:vMerge w:val="restart"/>
            <w:tcBorders>
              <w:top w:val="single" w:sz="4" w:space="0" w:color="auto"/>
              <w:left w:val="nil"/>
              <w:right w:val="nil"/>
            </w:tcBorders>
            <w:shd w:val="clear" w:color="auto" w:fill="auto"/>
            <w:noWrap/>
            <w:vAlign w:val="center"/>
            <w:hideMark/>
          </w:tcPr>
          <w:p w14:paraId="6D054B3E" w14:textId="77777777" w:rsidR="001F224C" w:rsidRPr="006358B6" w:rsidRDefault="001F224C" w:rsidP="001F224C">
            <w:pPr>
              <w:spacing w:after="0" w:line="240" w:lineRule="auto"/>
              <w:rPr>
                <w:rFonts w:ascii="Arial Narrow" w:hAnsi="Arial Narrow"/>
                <w:b/>
                <w:bCs/>
                <w:color w:val="000000"/>
                <w:sz w:val="20"/>
                <w:szCs w:val="20"/>
              </w:rPr>
            </w:pPr>
            <w:r w:rsidRPr="006358B6">
              <w:rPr>
                <w:rFonts w:ascii="Arial Narrow" w:hAnsi="Arial Narrow"/>
                <w:b/>
                <w:bCs/>
                <w:color w:val="000000"/>
                <w:sz w:val="20"/>
                <w:szCs w:val="20"/>
              </w:rPr>
              <w:t>Dĺžka života</w:t>
            </w:r>
          </w:p>
          <w:p w14:paraId="235C3CF8" w14:textId="7F24780A" w:rsidR="001F224C" w:rsidRPr="002C7555" w:rsidRDefault="001F224C" w:rsidP="001F224C">
            <w:pPr>
              <w:spacing w:after="0" w:line="240" w:lineRule="auto"/>
              <w:jc w:val="both"/>
              <w:rPr>
                <w:rFonts w:ascii="Arial Narrow" w:hAnsi="Arial Narrow"/>
                <w:b/>
                <w:bCs/>
                <w:color w:val="000000"/>
                <w:sz w:val="20"/>
                <w:szCs w:val="20"/>
                <w:lang w:val="en-US" w:eastAsia="en-US"/>
              </w:rPr>
            </w:pPr>
            <w:r w:rsidRPr="006358B6">
              <w:rPr>
                <w:rFonts w:ascii="Arial Narrow" w:hAnsi="Arial Narrow"/>
                <w:color w:val="000000"/>
                <w:sz w:val="20"/>
                <w:szCs w:val="20"/>
              </w:rPr>
              <w:t>(očakávaný počet rokov pri narodení)</w:t>
            </w:r>
          </w:p>
        </w:tc>
        <w:tc>
          <w:tcPr>
            <w:tcW w:w="710" w:type="dxa"/>
            <w:tcBorders>
              <w:top w:val="single" w:sz="4" w:space="0" w:color="auto"/>
              <w:left w:val="nil"/>
              <w:bottom w:val="nil"/>
              <w:right w:val="nil"/>
            </w:tcBorders>
            <w:shd w:val="clear" w:color="auto" w:fill="auto"/>
            <w:vAlign w:val="center"/>
            <w:hideMark/>
          </w:tcPr>
          <w:p w14:paraId="07BB9E8D" w14:textId="5E1243A9"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6358B6">
              <w:rPr>
                <w:rFonts w:ascii="Arial Narrow" w:hAnsi="Arial Narrow"/>
                <w:b/>
                <w:bCs/>
                <w:color w:val="000000"/>
                <w:sz w:val="20"/>
                <w:szCs w:val="20"/>
              </w:rPr>
              <w:t>SK muži</w:t>
            </w:r>
          </w:p>
        </w:tc>
        <w:tc>
          <w:tcPr>
            <w:tcW w:w="700" w:type="dxa"/>
            <w:tcBorders>
              <w:top w:val="single" w:sz="4" w:space="0" w:color="auto"/>
              <w:left w:val="nil"/>
              <w:bottom w:val="nil"/>
              <w:right w:val="nil"/>
            </w:tcBorders>
            <w:shd w:val="clear" w:color="auto" w:fill="auto"/>
            <w:vAlign w:val="center"/>
          </w:tcPr>
          <w:p w14:paraId="43BE4E2E" w14:textId="7DBA9623"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71,4</w:t>
            </w:r>
          </w:p>
        </w:tc>
        <w:tc>
          <w:tcPr>
            <w:tcW w:w="592" w:type="dxa"/>
            <w:tcBorders>
              <w:top w:val="single" w:sz="4" w:space="0" w:color="auto"/>
              <w:left w:val="nil"/>
              <w:bottom w:val="nil"/>
              <w:right w:val="nil"/>
            </w:tcBorders>
            <w:shd w:val="clear" w:color="auto" w:fill="auto"/>
            <w:vAlign w:val="center"/>
          </w:tcPr>
          <w:p w14:paraId="76CA1512" w14:textId="7A1EC48E"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71,8</w:t>
            </w:r>
          </w:p>
        </w:tc>
        <w:tc>
          <w:tcPr>
            <w:tcW w:w="592" w:type="dxa"/>
            <w:tcBorders>
              <w:top w:val="single" w:sz="4" w:space="0" w:color="auto"/>
              <w:left w:val="nil"/>
              <w:bottom w:val="nil"/>
              <w:right w:val="nil"/>
            </w:tcBorders>
            <w:shd w:val="clear" w:color="auto" w:fill="auto"/>
            <w:vAlign w:val="center"/>
          </w:tcPr>
          <w:p w14:paraId="419755FD" w14:textId="096787EE"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72,3</w:t>
            </w:r>
          </w:p>
        </w:tc>
        <w:tc>
          <w:tcPr>
            <w:tcW w:w="592" w:type="dxa"/>
            <w:tcBorders>
              <w:top w:val="single" w:sz="4" w:space="0" w:color="auto"/>
              <w:left w:val="nil"/>
              <w:bottom w:val="nil"/>
              <w:right w:val="nil"/>
            </w:tcBorders>
            <w:shd w:val="clear" w:color="auto" w:fill="auto"/>
            <w:vAlign w:val="center"/>
          </w:tcPr>
          <w:p w14:paraId="65CAADE3" w14:textId="63D6712D"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72,5</w:t>
            </w:r>
          </w:p>
        </w:tc>
        <w:tc>
          <w:tcPr>
            <w:tcW w:w="592" w:type="dxa"/>
            <w:tcBorders>
              <w:top w:val="single" w:sz="4" w:space="0" w:color="auto"/>
              <w:left w:val="nil"/>
              <w:bottom w:val="nil"/>
              <w:right w:val="nil"/>
            </w:tcBorders>
            <w:shd w:val="clear" w:color="auto" w:fill="auto"/>
            <w:vAlign w:val="center"/>
          </w:tcPr>
          <w:p w14:paraId="2B7DDBA5" w14:textId="34C0C2A2"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72,9</w:t>
            </w:r>
          </w:p>
        </w:tc>
        <w:tc>
          <w:tcPr>
            <w:tcW w:w="592" w:type="dxa"/>
            <w:tcBorders>
              <w:top w:val="single" w:sz="4" w:space="0" w:color="auto"/>
              <w:left w:val="nil"/>
              <w:bottom w:val="nil"/>
              <w:right w:val="nil"/>
            </w:tcBorders>
            <w:shd w:val="clear" w:color="auto" w:fill="auto"/>
            <w:vAlign w:val="center"/>
          </w:tcPr>
          <w:p w14:paraId="16601E4A" w14:textId="61F7A148"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73,3</w:t>
            </w:r>
          </w:p>
        </w:tc>
        <w:tc>
          <w:tcPr>
            <w:tcW w:w="592" w:type="dxa"/>
            <w:tcBorders>
              <w:top w:val="single" w:sz="4" w:space="0" w:color="auto"/>
              <w:left w:val="nil"/>
              <w:bottom w:val="nil"/>
              <w:right w:val="nil"/>
            </w:tcBorders>
            <w:shd w:val="clear" w:color="auto" w:fill="auto"/>
            <w:vAlign w:val="center"/>
          </w:tcPr>
          <w:p w14:paraId="0076AC18" w14:textId="73F33E97"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73,1</w:t>
            </w:r>
          </w:p>
        </w:tc>
        <w:tc>
          <w:tcPr>
            <w:tcW w:w="592" w:type="dxa"/>
            <w:tcBorders>
              <w:top w:val="single" w:sz="4" w:space="0" w:color="auto"/>
              <w:left w:val="nil"/>
              <w:bottom w:val="nil"/>
              <w:right w:val="nil"/>
            </w:tcBorders>
            <w:shd w:val="clear" w:color="auto" w:fill="auto"/>
            <w:vAlign w:val="center"/>
          </w:tcPr>
          <w:p w14:paraId="63B4B277" w14:textId="55B51539"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73,8</w:t>
            </w:r>
          </w:p>
        </w:tc>
        <w:tc>
          <w:tcPr>
            <w:tcW w:w="592" w:type="dxa"/>
            <w:tcBorders>
              <w:top w:val="single" w:sz="4" w:space="0" w:color="auto"/>
              <w:left w:val="nil"/>
              <w:right w:val="nil"/>
            </w:tcBorders>
            <w:shd w:val="clear" w:color="auto" w:fill="auto"/>
            <w:vAlign w:val="center"/>
          </w:tcPr>
          <w:p w14:paraId="262F5D58" w14:textId="18851BF4" w:rsidR="001F224C" w:rsidRPr="002C7555" w:rsidRDefault="001F224C" w:rsidP="001F224C">
            <w:pPr>
              <w:spacing w:after="0" w:line="240" w:lineRule="auto"/>
              <w:jc w:val="center"/>
              <w:rPr>
                <w:rFonts w:ascii="Arial Narrow" w:hAnsi="Arial Narrow"/>
                <w:sz w:val="20"/>
                <w:szCs w:val="20"/>
                <w:lang w:val="en-US" w:eastAsia="en-US"/>
              </w:rPr>
            </w:pPr>
            <w:r w:rsidRPr="006358B6">
              <w:rPr>
                <w:rFonts w:ascii="Arial Narrow" w:hAnsi="Arial Narrow"/>
                <w:color w:val="000000"/>
                <w:sz w:val="20"/>
                <w:szCs w:val="20"/>
              </w:rPr>
              <w:t>-</w:t>
            </w:r>
          </w:p>
        </w:tc>
        <w:tc>
          <w:tcPr>
            <w:tcW w:w="592" w:type="dxa"/>
            <w:tcBorders>
              <w:top w:val="single" w:sz="4" w:space="0" w:color="auto"/>
              <w:left w:val="nil"/>
              <w:right w:val="nil"/>
            </w:tcBorders>
            <w:shd w:val="clear" w:color="auto" w:fill="auto"/>
            <w:vAlign w:val="center"/>
          </w:tcPr>
          <w:p w14:paraId="021CBD4F" w14:textId="2FDD70D6"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w:t>
            </w:r>
          </w:p>
        </w:tc>
        <w:tc>
          <w:tcPr>
            <w:tcW w:w="592" w:type="dxa"/>
            <w:tcBorders>
              <w:top w:val="single" w:sz="4" w:space="0" w:color="auto"/>
              <w:left w:val="nil"/>
              <w:right w:val="nil"/>
            </w:tcBorders>
            <w:shd w:val="clear" w:color="auto" w:fill="auto"/>
            <w:vAlign w:val="center"/>
            <w:hideMark/>
          </w:tcPr>
          <w:p w14:paraId="239725FD"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59,0</w:t>
            </w:r>
          </w:p>
        </w:tc>
      </w:tr>
      <w:tr w:rsidR="001F224C" w:rsidRPr="002C7555" w14:paraId="5E497CE5" w14:textId="77777777" w:rsidTr="001F224C">
        <w:trPr>
          <w:gridAfter w:val="1"/>
          <w:wAfter w:w="10" w:type="dxa"/>
          <w:trHeight w:val="188"/>
          <w:jc w:val="center"/>
        </w:trPr>
        <w:tc>
          <w:tcPr>
            <w:tcW w:w="409" w:type="dxa"/>
            <w:tcBorders>
              <w:top w:val="nil"/>
              <w:left w:val="nil"/>
              <w:right w:val="nil"/>
            </w:tcBorders>
            <w:shd w:val="clear" w:color="auto" w:fill="auto"/>
            <w:textDirection w:val="btLr"/>
            <w:vAlign w:val="center"/>
          </w:tcPr>
          <w:p w14:paraId="277E3E74"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407" w:type="dxa"/>
            <w:gridSpan w:val="2"/>
            <w:vMerge/>
            <w:tcBorders>
              <w:left w:val="nil"/>
              <w:right w:val="nil"/>
            </w:tcBorders>
            <w:shd w:val="clear" w:color="auto" w:fill="auto"/>
            <w:noWrap/>
            <w:vAlign w:val="center"/>
          </w:tcPr>
          <w:p w14:paraId="312EB817"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vMerge/>
            <w:tcBorders>
              <w:left w:val="nil"/>
              <w:right w:val="nil"/>
            </w:tcBorders>
            <w:noWrap/>
            <w:vAlign w:val="center"/>
          </w:tcPr>
          <w:p w14:paraId="68591CED" w14:textId="77777777" w:rsidR="001F224C" w:rsidRPr="002C7555" w:rsidRDefault="001F224C" w:rsidP="001F224C">
            <w:pPr>
              <w:spacing w:after="0" w:line="240" w:lineRule="auto"/>
              <w:rPr>
                <w:rFonts w:ascii="Arial Narrow" w:hAnsi="Arial Narrow"/>
                <w:b/>
                <w:bCs/>
                <w:color w:val="000000"/>
                <w:sz w:val="20"/>
                <w:szCs w:val="20"/>
                <w:lang w:val="en-US" w:eastAsia="en-US"/>
              </w:rPr>
            </w:pPr>
          </w:p>
        </w:tc>
        <w:tc>
          <w:tcPr>
            <w:tcW w:w="710" w:type="dxa"/>
            <w:tcBorders>
              <w:top w:val="nil"/>
              <w:left w:val="nil"/>
              <w:bottom w:val="nil"/>
              <w:right w:val="nil"/>
            </w:tcBorders>
            <w:shd w:val="clear" w:color="auto" w:fill="auto"/>
            <w:vAlign w:val="center"/>
          </w:tcPr>
          <w:p w14:paraId="462AC2BD" w14:textId="48A3B88B"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6358B6">
              <w:rPr>
                <w:rFonts w:ascii="Arial Narrow" w:hAnsi="Arial Narrow"/>
                <w:b/>
                <w:bCs/>
                <w:color w:val="000000"/>
                <w:sz w:val="20"/>
                <w:szCs w:val="20"/>
              </w:rPr>
              <w:t>EÚ muži</w:t>
            </w:r>
          </w:p>
        </w:tc>
        <w:tc>
          <w:tcPr>
            <w:tcW w:w="700" w:type="dxa"/>
            <w:tcBorders>
              <w:top w:val="nil"/>
              <w:left w:val="nil"/>
              <w:bottom w:val="nil"/>
              <w:right w:val="nil"/>
            </w:tcBorders>
            <w:shd w:val="clear" w:color="auto" w:fill="auto"/>
            <w:vAlign w:val="center"/>
          </w:tcPr>
          <w:p w14:paraId="717D9CE8" w14:textId="4BEB9086"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75,2</w:t>
            </w:r>
          </w:p>
        </w:tc>
        <w:tc>
          <w:tcPr>
            <w:tcW w:w="592" w:type="dxa"/>
            <w:tcBorders>
              <w:top w:val="nil"/>
              <w:left w:val="nil"/>
              <w:bottom w:val="nil"/>
              <w:right w:val="nil"/>
            </w:tcBorders>
            <w:shd w:val="clear" w:color="auto" w:fill="auto"/>
            <w:vAlign w:val="center"/>
          </w:tcPr>
          <w:p w14:paraId="7AF95EB9" w14:textId="27145154"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75,6</w:t>
            </w:r>
          </w:p>
        </w:tc>
        <w:tc>
          <w:tcPr>
            <w:tcW w:w="592" w:type="dxa"/>
            <w:tcBorders>
              <w:top w:val="nil"/>
              <w:left w:val="nil"/>
              <w:bottom w:val="nil"/>
              <w:right w:val="nil"/>
            </w:tcBorders>
            <w:shd w:val="clear" w:color="auto" w:fill="auto"/>
            <w:vAlign w:val="center"/>
          </w:tcPr>
          <w:p w14:paraId="4BB3D585" w14:textId="5180C587"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76,0</w:t>
            </w:r>
          </w:p>
        </w:tc>
        <w:tc>
          <w:tcPr>
            <w:tcW w:w="592" w:type="dxa"/>
            <w:tcBorders>
              <w:top w:val="nil"/>
              <w:left w:val="nil"/>
              <w:bottom w:val="nil"/>
              <w:right w:val="nil"/>
            </w:tcBorders>
            <w:shd w:val="clear" w:color="auto" w:fill="auto"/>
            <w:vAlign w:val="center"/>
          </w:tcPr>
          <w:p w14:paraId="4D1321F6" w14:textId="5426A6DB"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76,1</w:t>
            </w:r>
          </w:p>
        </w:tc>
        <w:tc>
          <w:tcPr>
            <w:tcW w:w="592" w:type="dxa"/>
            <w:tcBorders>
              <w:top w:val="nil"/>
              <w:left w:val="nil"/>
              <w:bottom w:val="nil"/>
              <w:right w:val="nil"/>
            </w:tcBorders>
            <w:shd w:val="clear" w:color="auto" w:fill="auto"/>
            <w:vAlign w:val="center"/>
          </w:tcPr>
          <w:p w14:paraId="720AC19E" w14:textId="69DBFF17"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76,5</w:t>
            </w:r>
          </w:p>
        </w:tc>
        <w:tc>
          <w:tcPr>
            <w:tcW w:w="592" w:type="dxa"/>
            <w:tcBorders>
              <w:top w:val="nil"/>
              <w:left w:val="nil"/>
              <w:bottom w:val="nil"/>
              <w:right w:val="nil"/>
            </w:tcBorders>
            <w:shd w:val="clear" w:color="auto" w:fill="auto"/>
            <w:vAlign w:val="center"/>
          </w:tcPr>
          <w:p w14:paraId="21B2AFC7" w14:textId="37D605E6"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76,8</w:t>
            </w:r>
          </w:p>
        </w:tc>
        <w:tc>
          <w:tcPr>
            <w:tcW w:w="592" w:type="dxa"/>
            <w:tcBorders>
              <w:top w:val="nil"/>
              <w:left w:val="nil"/>
              <w:bottom w:val="nil"/>
              <w:right w:val="nil"/>
            </w:tcBorders>
            <w:shd w:val="clear" w:color="auto" w:fill="auto"/>
            <w:vAlign w:val="center"/>
          </w:tcPr>
          <w:p w14:paraId="5F0E35FD" w14:textId="28AD1BA7"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76,8</w:t>
            </w:r>
          </w:p>
        </w:tc>
        <w:tc>
          <w:tcPr>
            <w:tcW w:w="592" w:type="dxa"/>
            <w:tcBorders>
              <w:top w:val="nil"/>
              <w:left w:val="nil"/>
              <w:bottom w:val="nil"/>
              <w:right w:val="nil"/>
            </w:tcBorders>
            <w:shd w:val="clear" w:color="auto" w:fill="auto"/>
            <w:vAlign w:val="center"/>
          </w:tcPr>
          <w:p w14:paraId="3F3A1CCD" w14:textId="140A9A01"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77,1</w:t>
            </w:r>
          </w:p>
        </w:tc>
        <w:tc>
          <w:tcPr>
            <w:tcW w:w="592" w:type="dxa"/>
            <w:tcBorders>
              <w:top w:val="nil"/>
              <w:left w:val="nil"/>
              <w:right w:val="nil"/>
            </w:tcBorders>
            <w:shd w:val="clear" w:color="auto" w:fill="auto"/>
            <w:vAlign w:val="center"/>
          </w:tcPr>
          <w:p w14:paraId="336FC1E9" w14:textId="458E227A" w:rsidR="001F224C" w:rsidRPr="002C7555" w:rsidRDefault="001F224C" w:rsidP="001F224C">
            <w:pPr>
              <w:spacing w:after="0" w:line="240" w:lineRule="auto"/>
              <w:jc w:val="center"/>
              <w:rPr>
                <w:rFonts w:ascii="Arial Narrow" w:hAnsi="Arial Narrow"/>
                <w:sz w:val="20"/>
                <w:szCs w:val="20"/>
                <w:lang w:val="en-US" w:eastAsia="en-US"/>
              </w:rPr>
            </w:pPr>
            <w:r w:rsidRPr="006358B6">
              <w:rPr>
                <w:rFonts w:ascii="Arial Narrow" w:hAnsi="Arial Narrow"/>
                <w:color w:val="000000"/>
                <w:sz w:val="20"/>
                <w:szCs w:val="20"/>
              </w:rPr>
              <w:t>-</w:t>
            </w:r>
          </w:p>
        </w:tc>
        <w:tc>
          <w:tcPr>
            <w:tcW w:w="592" w:type="dxa"/>
            <w:tcBorders>
              <w:top w:val="nil"/>
              <w:left w:val="nil"/>
              <w:right w:val="nil"/>
            </w:tcBorders>
            <w:shd w:val="clear" w:color="auto" w:fill="auto"/>
            <w:vAlign w:val="center"/>
          </w:tcPr>
          <w:p w14:paraId="616ECE86" w14:textId="5D3E9F40"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w:t>
            </w:r>
          </w:p>
        </w:tc>
        <w:tc>
          <w:tcPr>
            <w:tcW w:w="592" w:type="dxa"/>
            <w:tcBorders>
              <w:top w:val="nil"/>
              <w:left w:val="nil"/>
              <w:right w:val="nil"/>
            </w:tcBorders>
            <w:shd w:val="clear" w:color="auto" w:fill="auto"/>
            <w:vAlign w:val="center"/>
          </w:tcPr>
          <w:p w14:paraId="72F5E46F"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75F8865E" w14:textId="77777777" w:rsidTr="001F224C">
        <w:trPr>
          <w:gridAfter w:val="1"/>
          <w:wAfter w:w="10" w:type="dxa"/>
          <w:trHeight w:val="188"/>
          <w:jc w:val="center"/>
        </w:trPr>
        <w:tc>
          <w:tcPr>
            <w:tcW w:w="409" w:type="dxa"/>
            <w:tcBorders>
              <w:top w:val="nil"/>
              <w:left w:val="nil"/>
              <w:right w:val="nil"/>
            </w:tcBorders>
            <w:shd w:val="clear" w:color="auto" w:fill="auto"/>
            <w:textDirection w:val="btLr"/>
            <w:vAlign w:val="center"/>
            <w:hideMark/>
          </w:tcPr>
          <w:p w14:paraId="44493FB9"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 </w:t>
            </w:r>
          </w:p>
        </w:tc>
        <w:tc>
          <w:tcPr>
            <w:tcW w:w="407" w:type="dxa"/>
            <w:gridSpan w:val="2"/>
            <w:vMerge/>
            <w:tcBorders>
              <w:left w:val="nil"/>
              <w:right w:val="nil"/>
            </w:tcBorders>
            <w:vAlign w:val="center"/>
            <w:hideMark/>
          </w:tcPr>
          <w:p w14:paraId="491E7093"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vMerge/>
            <w:tcBorders>
              <w:left w:val="nil"/>
              <w:right w:val="nil"/>
            </w:tcBorders>
            <w:shd w:val="clear" w:color="auto" w:fill="auto"/>
            <w:noWrap/>
            <w:vAlign w:val="center"/>
            <w:hideMark/>
          </w:tcPr>
          <w:p w14:paraId="2FD1A579" w14:textId="77777777" w:rsidR="001F224C" w:rsidRPr="002C7555" w:rsidRDefault="001F224C" w:rsidP="001F224C">
            <w:pPr>
              <w:spacing w:after="0" w:line="240" w:lineRule="auto"/>
              <w:jc w:val="both"/>
              <w:rPr>
                <w:rFonts w:ascii="Arial Narrow" w:hAnsi="Arial Narrow"/>
                <w:color w:val="000000"/>
                <w:sz w:val="20"/>
                <w:szCs w:val="20"/>
                <w:lang w:val="en-US" w:eastAsia="en-US"/>
              </w:rPr>
            </w:pPr>
          </w:p>
        </w:tc>
        <w:tc>
          <w:tcPr>
            <w:tcW w:w="710" w:type="dxa"/>
            <w:tcBorders>
              <w:top w:val="nil"/>
              <w:left w:val="nil"/>
              <w:bottom w:val="nil"/>
              <w:right w:val="nil"/>
            </w:tcBorders>
            <w:shd w:val="clear" w:color="auto" w:fill="auto"/>
            <w:vAlign w:val="center"/>
            <w:hideMark/>
          </w:tcPr>
          <w:p w14:paraId="7B200B07" w14:textId="50D89D53"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6358B6">
              <w:rPr>
                <w:rFonts w:ascii="Arial Narrow" w:hAnsi="Arial Narrow"/>
                <w:b/>
                <w:bCs/>
                <w:color w:val="000000"/>
                <w:sz w:val="20"/>
                <w:szCs w:val="20"/>
              </w:rPr>
              <w:t>SK ženy</w:t>
            </w:r>
          </w:p>
        </w:tc>
        <w:tc>
          <w:tcPr>
            <w:tcW w:w="700" w:type="dxa"/>
            <w:tcBorders>
              <w:top w:val="nil"/>
              <w:left w:val="nil"/>
              <w:bottom w:val="nil"/>
              <w:right w:val="nil"/>
            </w:tcBorders>
            <w:shd w:val="clear" w:color="auto" w:fill="auto"/>
            <w:vAlign w:val="center"/>
          </w:tcPr>
          <w:p w14:paraId="17541890" w14:textId="21184F19"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79,1</w:t>
            </w:r>
          </w:p>
        </w:tc>
        <w:tc>
          <w:tcPr>
            <w:tcW w:w="592" w:type="dxa"/>
            <w:tcBorders>
              <w:top w:val="nil"/>
              <w:left w:val="nil"/>
              <w:bottom w:val="nil"/>
              <w:right w:val="nil"/>
            </w:tcBorders>
            <w:shd w:val="clear" w:color="auto" w:fill="auto"/>
            <w:vAlign w:val="center"/>
          </w:tcPr>
          <w:p w14:paraId="103EFA19" w14:textId="3C9F32AC"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79,3</w:t>
            </w:r>
          </w:p>
        </w:tc>
        <w:tc>
          <w:tcPr>
            <w:tcW w:w="592" w:type="dxa"/>
            <w:tcBorders>
              <w:top w:val="nil"/>
              <w:left w:val="nil"/>
              <w:bottom w:val="nil"/>
              <w:right w:val="nil"/>
            </w:tcBorders>
            <w:shd w:val="clear" w:color="auto" w:fill="auto"/>
            <w:vAlign w:val="center"/>
          </w:tcPr>
          <w:p w14:paraId="5B0D43E2" w14:textId="4267B9FD"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79,8</w:t>
            </w:r>
          </w:p>
        </w:tc>
        <w:tc>
          <w:tcPr>
            <w:tcW w:w="592" w:type="dxa"/>
            <w:tcBorders>
              <w:top w:val="nil"/>
              <w:left w:val="nil"/>
              <w:bottom w:val="nil"/>
              <w:right w:val="nil"/>
            </w:tcBorders>
            <w:shd w:val="clear" w:color="auto" w:fill="auto"/>
            <w:vAlign w:val="center"/>
          </w:tcPr>
          <w:p w14:paraId="26F214C9" w14:textId="20570005"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79,9</w:t>
            </w:r>
          </w:p>
        </w:tc>
        <w:tc>
          <w:tcPr>
            <w:tcW w:w="592" w:type="dxa"/>
            <w:tcBorders>
              <w:top w:val="nil"/>
              <w:left w:val="nil"/>
              <w:bottom w:val="nil"/>
              <w:right w:val="nil"/>
            </w:tcBorders>
            <w:shd w:val="clear" w:color="auto" w:fill="auto"/>
            <w:vAlign w:val="center"/>
          </w:tcPr>
          <w:p w14:paraId="30143B23" w14:textId="44A882E1"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80,1</w:t>
            </w:r>
          </w:p>
        </w:tc>
        <w:tc>
          <w:tcPr>
            <w:tcW w:w="592" w:type="dxa"/>
            <w:tcBorders>
              <w:top w:val="nil"/>
              <w:left w:val="nil"/>
              <w:bottom w:val="nil"/>
              <w:right w:val="nil"/>
            </w:tcBorders>
            <w:shd w:val="clear" w:color="auto" w:fill="auto"/>
            <w:vAlign w:val="center"/>
          </w:tcPr>
          <w:p w14:paraId="132D7892" w14:textId="0FB1BB05"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sz w:val="20"/>
                <w:szCs w:val="20"/>
              </w:rPr>
              <w:t>80,5</w:t>
            </w:r>
          </w:p>
        </w:tc>
        <w:tc>
          <w:tcPr>
            <w:tcW w:w="592" w:type="dxa"/>
            <w:tcBorders>
              <w:top w:val="nil"/>
              <w:left w:val="nil"/>
              <w:bottom w:val="nil"/>
              <w:right w:val="nil"/>
            </w:tcBorders>
            <w:shd w:val="clear" w:color="auto" w:fill="auto"/>
            <w:vAlign w:val="center"/>
          </w:tcPr>
          <w:p w14:paraId="52773E1F" w14:textId="30607B05"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80,2</w:t>
            </w:r>
          </w:p>
        </w:tc>
        <w:tc>
          <w:tcPr>
            <w:tcW w:w="592" w:type="dxa"/>
            <w:tcBorders>
              <w:top w:val="nil"/>
              <w:left w:val="nil"/>
              <w:bottom w:val="nil"/>
              <w:right w:val="nil"/>
            </w:tcBorders>
            <w:shd w:val="clear" w:color="auto" w:fill="auto"/>
            <w:vAlign w:val="center"/>
          </w:tcPr>
          <w:p w14:paraId="4397173C" w14:textId="005C3E3F"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80,7</w:t>
            </w:r>
          </w:p>
        </w:tc>
        <w:tc>
          <w:tcPr>
            <w:tcW w:w="592" w:type="dxa"/>
            <w:tcBorders>
              <w:left w:val="nil"/>
              <w:bottom w:val="nil"/>
              <w:right w:val="nil"/>
            </w:tcBorders>
            <w:shd w:val="clear" w:color="auto" w:fill="auto"/>
            <w:vAlign w:val="center"/>
          </w:tcPr>
          <w:p w14:paraId="166328D3" w14:textId="0AC4F754"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w:t>
            </w:r>
          </w:p>
        </w:tc>
        <w:tc>
          <w:tcPr>
            <w:tcW w:w="592" w:type="dxa"/>
            <w:tcBorders>
              <w:left w:val="nil"/>
              <w:bottom w:val="nil"/>
              <w:right w:val="nil"/>
            </w:tcBorders>
            <w:shd w:val="clear" w:color="auto" w:fill="auto"/>
            <w:vAlign w:val="center"/>
          </w:tcPr>
          <w:p w14:paraId="7521D9D3" w14:textId="4A676745"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w:t>
            </w:r>
          </w:p>
        </w:tc>
        <w:tc>
          <w:tcPr>
            <w:tcW w:w="592" w:type="dxa"/>
            <w:tcBorders>
              <w:left w:val="nil"/>
              <w:right w:val="nil"/>
            </w:tcBorders>
            <w:shd w:val="clear" w:color="auto" w:fill="auto"/>
            <w:vAlign w:val="center"/>
            <w:hideMark/>
          </w:tcPr>
          <w:p w14:paraId="2EAE762E"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62</w:t>
            </w:r>
          </w:p>
        </w:tc>
      </w:tr>
      <w:tr w:rsidR="001F224C" w:rsidRPr="002C7555" w14:paraId="53B83635" w14:textId="77777777" w:rsidTr="001F224C">
        <w:trPr>
          <w:gridAfter w:val="1"/>
          <w:wAfter w:w="10" w:type="dxa"/>
          <w:trHeight w:val="110"/>
          <w:jc w:val="center"/>
        </w:trPr>
        <w:tc>
          <w:tcPr>
            <w:tcW w:w="409" w:type="dxa"/>
            <w:tcBorders>
              <w:left w:val="nil"/>
              <w:bottom w:val="single" w:sz="4" w:space="0" w:color="auto"/>
              <w:right w:val="nil"/>
            </w:tcBorders>
            <w:shd w:val="clear" w:color="auto" w:fill="auto"/>
            <w:textDirection w:val="btLr"/>
            <w:vAlign w:val="center"/>
          </w:tcPr>
          <w:p w14:paraId="5A47C52C"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407" w:type="dxa"/>
            <w:gridSpan w:val="2"/>
            <w:vMerge/>
            <w:tcBorders>
              <w:left w:val="nil"/>
              <w:right w:val="nil"/>
            </w:tcBorders>
            <w:vAlign w:val="center"/>
          </w:tcPr>
          <w:p w14:paraId="0E642119"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vMerge/>
            <w:tcBorders>
              <w:left w:val="nil"/>
              <w:bottom w:val="single" w:sz="4" w:space="0" w:color="000000"/>
              <w:right w:val="nil"/>
            </w:tcBorders>
            <w:noWrap/>
            <w:vAlign w:val="center"/>
          </w:tcPr>
          <w:p w14:paraId="32567614" w14:textId="77777777" w:rsidR="001F224C" w:rsidRPr="002C7555" w:rsidRDefault="001F224C" w:rsidP="001F224C">
            <w:pPr>
              <w:spacing w:after="0" w:line="240" w:lineRule="auto"/>
              <w:jc w:val="both"/>
              <w:rPr>
                <w:rFonts w:ascii="Arial Narrow" w:hAnsi="Arial Narrow"/>
                <w:color w:val="000000"/>
                <w:sz w:val="20"/>
                <w:szCs w:val="20"/>
                <w:lang w:val="en-US" w:eastAsia="en-US"/>
              </w:rPr>
            </w:pPr>
          </w:p>
        </w:tc>
        <w:tc>
          <w:tcPr>
            <w:tcW w:w="710" w:type="dxa"/>
            <w:tcBorders>
              <w:top w:val="nil"/>
              <w:left w:val="nil"/>
              <w:bottom w:val="single" w:sz="4" w:space="0" w:color="auto"/>
              <w:right w:val="nil"/>
            </w:tcBorders>
            <w:shd w:val="clear" w:color="auto" w:fill="auto"/>
            <w:vAlign w:val="center"/>
          </w:tcPr>
          <w:p w14:paraId="2CADB3A4" w14:textId="5D0A21FA"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6358B6">
              <w:rPr>
                <w:rFonts w:ascii="Arial Narrow" w:hAnsi="Arial Narrow"/>
                <w:b/>
                <w:bCs/>
                <w:color w:val="000000"/>
                <w:sz w:val="20"/>
                <w:szCs w:val="20"/>
              </w:rPr>
              <w:t>EÚ ženy</w:t>
            </w:r>
          </w:p>
        </w:tc>
        <w:tc>
          <w:tcPr>
            <w:tcW w:w="700" w:type="dxa"/>
            <w:tcBorders>
              <w:top w:val="nil"/>
              <w:left w:val="nil"/>
              <w:bottom w:val="single" w:sz="4" w:space="0" w:color="auto"/>
              <w:right w:val="nil"/>
            </w:tcBorders>
            <w:shd w:val="clear" w:color="auto" w:fill="auto"/>
            <w:vAlign w:val="center"/>
          </w:tcPr>
          <w:p w14:paraId="1ED16309" w14:textId="68C66915"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81,7</w:t>
            </w:r>
          </w:p>
        </w:tc>
        <w:tc>
          <w:tcPr>
            <w:tcW w:w="592" w:type="dxa"/>
            <w:tcBorders>
              <w:top w:val="nil"/>
              <w:left w:val="nil"/>
              <w:bottom w:val="single" w:sz="4" w:space="0" w:color="auto"/>
              <w:right w:val="nil"/>
            </w:tcBorders>
            <w:shd w:val="clear" w:color="auto" w:fill="auto"/>
            <w:vAlign w:val="center"/>
          </w:tcPr>
          <w:p w14:paraId="61D11C8B" w14:textId="1EBA2EBC"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82,0</w:t>
            </w:r>
          </w:p>
        </w:tc>
        <w:tc>
          <w:tcPr>
            <w:tcW w:w="592" w:type="dxa"/>
            <w:tcBorders>
              <w:top w:val="nil"/>
              <w:left w:val="nil"/>
              <w:bottom w:val="single" w:sz="4" w:space="0" w:color="auto"/>
              <w:right w:val="nil"/>
            </w:tcBorders>
            <w:shd w:val="clear" w:color="auto" w:fill="auto"/>
            <w:vAlign w:val="center"/>
          </w:tcPr>
          <w:p w14:paraId="2E40FD41" w14:textId="679FAF8C"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82,2</w:t>
            </w:r>
          </w:p>
        </w:tc>
        <w:tc>
          <w:tcPr>
            <w:tcW w:w="592" w:type="dxa"/>
            <w:tcBorders>
              <w:top w:val="nil"/>
              <w:left w:val="nil"/>
              <w:bottom w:val="single" w:sz="4" w:space="0" w:color="auto"/>
              <w:right w:val="nil"/>
            </w:tcBorders>
            <w:shd w:val="clear" w:color="auto" w:fill="auto"/>
            <w:vAlign w:val="center"/>
          </w:tcPr>
          <w:p w14:paraId="0E406AA7" w14:textId="741E721C"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82,2</w:t>
            </w:r>
          </w:p>
        </w:tc>
        <w:tc>
          <w:tcPr>
            <w:tcW w:w="592" w:type="dxa"/>
            <w:tcBorders>
              <w:top w:val="nil"/>
              <w:left w:val="nil"/>
              <w:bottom w:val="single" w:sz="4" w:space="0" w:color="auto"/>
              <w:right w:val="nil"/>
            </w:tcBorders>
            <w:shd w:val="clear" w:color="auto" w:fill="auto"/>
            <w:vAlign w:val="center"/>
          </w:tcPr>
          <w:p w14:paraId="58483972" w14:textId="4F0C9DB9"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82,5</w:t>
            </w:r>
          </w:p>
        </w:tc>
        <w:tc>
          <w:tcPr>
            <w:tcW w:w="592" w:type="dxa"/>
            <w:tcBorders>
              <w:top w:val="nil"/>
              <w:left w:val="nil"/>
              <w:bottom w:val="single" w:sz="4" w:space="0" w:color="auto"/>
              <w:right w:val="nil"/>
            </w:tcBorders>
            <w:shd w:val="clear" w:color="auto" w:fill="auto"/>
            <w:vAlign w:val="center"/>
          </w:tcPr>
          <w:p w14:paraId="65D0ADC4" w14:textId="320B9E4C"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82,8</w:t>
            </w:r>
          </w:p>
        </w:tc>
        <w:tc>
          <w:tcPr>
            <w:tcW w:w="592" w:type="dxa"/>
            <w:tcBorders>
              <w:top w:val="nil"/>
              <w:left w:val="nil"/>
              <w:bottom w:val="single" w:sz="4" w:space="0" w:color="auto"/>
              <w:right w:val="nil"/>
            </w:tcBorders>
            <w:shd w:val="clear" w:color="auto" w:fill="auto"/>
            <w:vAlign w:val="center"/>
          </w:tcPr>
          <w:p w14:paraId="11A732DD" w14:textId="02C48628"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82,6</w:t>
            </w:r>
          </w:p>
        </w:tc>
        <w:tc>
          <w:tcPr>
            <w:tcW w:w="592" w:type="dxa"/>
            <w:tcBorders>
              <w:top w:val="nil"/>
              <w:left w:val="nil"/>
              <w:bottom w:val="single" w:sz="4" w:space="0" w:color="auto"/>
              <w:right w:val="nil"/>
            </w:tcBorders>
            <w:shd w:val="clear" w:color="auto" w:fill="auto"/>
            <w:vAlign w:val="center"/>
          </w:tcPr>
          <w:p w14:paraId="56570906" w14:textId="485B5704"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83,0</w:t>
            </w:r>
          </w:p>
        </w:tc>
        <w:tc>
          <w:tcPr>
            <w:tcW w:w="592" w:type="dxa"/>
            <w:tcBorders>
              <w:top w:val="nil"/>
              <w:left w:val="nil"/>
              <w:bottom w:val="single" w:sz="4" w:space="0" w:color="auto"/>
              <w:right w:val="nil"/>
            </w:tcBorders>
            <w:shd w:val="clear" w:color="auto" w:fill="auto"/>
            <w:vAlign w:val="center"/>
          </w:tcPr>
          <w:p w14:paraId="6402029E" w14:textId="41511002"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w:t>
            </w:r>
          </w:p>
        </w:tc>
        <w:tc>
          <w:tcPr>
            <w:tcW w:w="592" w:type="dxa"/>
            <w:tcBorders>
              <w:top w:val="nil"/>
              <w:left w:val="nil"/>
              <w:bottom w:val="single" w:sz="4" w:space="0" w:color="auto"/>
              <w:right w:val="nil"/>
            </w:tcBorders>
            <w:shd w:val="clear" w:color="auto" w:fill="auto"/>
            <w:vAlign w:val="center"/>
          </w:tcPr>
          <w:p w14:paraId="3C2B66A1" w14:textId="7BF1A5A5" w:rsidR="001F224C" w:rsidRPr="002C7555" w:rsidRDefault="001F224C" w:rsidP="001F224C">
            <w:pPr>
              <w:spacing w:after="0" w:line="240" w:lineRule="auto"/>
              <w:jc w:val="center"/>
              <w:rPr>
                <w:rFonts w:ascii="Arial Narrow" w:hAnsi="Arial Narrow"/>
                <w:color w:val="000000"/>
                <w:sz w:val="20"/>
                <w:szCs w:val="20"/>
                <w:lang w:val="en-US" w:eastAsia="en-US"/>
              </w:rPr>
            </w:pPr>
            <w:r w:rsidRPr="006358B6">
              <w:rPr>
                <w:rFonts w:ascii="Arial Narrow" w:hAnsi="Arial Narrow"/>
                <w:color w:val="000000"/>
                <w:sz w:val="20"/>
                <w:szCs w:val="20"/>
              </w:rPr>
              <w:t>-</w:t>
            </w:r>
          </w:p>
        </w:tc>
        <w:tc>
          <w:tcPr>
            <w:tcW w:w="592" w:type="dxa"/>
            <w:tcBorders>
              <w:left w:val="nil"/>
              <w:bottom w:val="single" w:sz="4" w:space="0" w:color="auto"/>
              <w:right w:val="nil"/>
            </w:tcBorders>
            <w:shd w:val="clear" w:color="auto" w:fill="auto"/>
            <w:vAlign w:val="center"/>
          </w:tcPr>
          <w:p w14:paraId="680CF24C"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r>
      <w:tr w:rsidR="001F224C" w:rsidRPr="002C7555" w14:paraId="491A90CA" w14:textId="77777777" w:rsidTr="001F224C">
        <w:trPr>
          <w:trHeight w:val="188"/>
          <w:jc w:val="center"/>
        </w:trPr>
        <w:tc>
          <w:tcPr>
            <w:tcW w:w="602" w:type="dxa"/>
            <w:gridSpan w:val="2"/>
            <w:tcBorders>
              <w:top w:val="single" w:sz="4" w:space="0" w:color="auto"/>
              <w:left w:val="nil"/>
              <w:bottom w:val="single" w:sz="4" w:space="0" w:color="auto"/>
              <w:right w:val="nil"/>
            </w:tcBorders>
            <w:shd w:val="clear" w:color="000000" w:fill="A9D2F1"/>
          </w:tcPr>
          <w:p w14:paraId="5D047EF8" w14:textId="77777777" w:rsidR="001F224C" w:rsidRPr="002C7555" w:rsidRDefault="001F224C" w:rsidP="001F224C">
            <w:pPr>
              <w:spacing w:after="0" w:line="240" w:lineRule="auto"/>
              <w:rPr>
                <w:rFonts w:ascii="Arial Narrow" w:hAnsi="Arial Narrow"/>
                <w:b/>
                <w:bCs/>
                <w:sz w:val="20"/>
                <w:szCs w:val="20"/>
                <w:lang w:val="en-US" w:eastAsia="en-US"/>
              </w:rPr>
            </w:pPr>
          </w:p>
        </w:tc>
        <w:tc>
          <w:tcPr>
            <w:tcW w:w="9604" w:type="dxa"/>
            <w:gridSpan w:val="15"/>
            <w:tcBorders>
              <w:top w:val="single" w:sz="4" w:space="0" w:color="auto"/>
              <w:left w:val="nil"/>
              <w:bottom w:val="single" w:sz="4" w:space="0" w:color="auto"/>
              <w:right w:val="nil"/>
            </w:tcBorders>
            <w:shd w:val="clear" w:color="000000" w:fill="A9D2F1"/>
            <w:noWrap/>
            <w:vAlign w:val="center"/>
            <w:hideMark/>
          </w:tcPr>
          <w:p w14:paraId="1087E9A1" w14:textId="77777777" w:rsidR="001F224C" w:rsidRPr="002C7555" w:rsidRDefault="001F224C" w:rsidP="001F224C">
            <w:pPr>
              <w:spacing w:after="0" w:line="240" w:lineRule="auto"/>
              <w:rPr>
                <w:rFonts w:ascii="Arial Narrow" w:hAnsi="Arial Narrow"/>
                <w:b/>
                <w:bCs/>
                <w:sz w:val="20"/>
                <w:szCs w:val="20"/>
                <w:lang w:val="en-US" w:eastAsia="en-US"/>
              </w:rPr>
            </w:pPr>
            <w:proofErr w:type="spellStart"/>
            <w:r w:rsidRPr="002C7555">
              <w:rPr>
                <w:rFonts w:ascii="Arial Narrow" w:hAnsi="Arial Narrow"/>
                <w:b/>
                <w:bCs/>
                <w:sz w:val="20"/>
                <w:szCs w:val="20"/>
                <w:lang w:val="en-US" w:eastAsia="en-US"/>
              </w:rPr>
              <w:t>Environmentálna</w:t>
            </w:r>
            <w:proofErr w:type="spellEnd"/>
            <w:r w:rsidRPr="002C7555">
              <w:rPr>
                <w:rFonts w:ascii="Arial Narrow" w:hAnsi="Arial Narrow"/>
                <w:b/>
                <w:bCs/>
                <w:sz w:val="20"/>
                <w:szCs w:val="20"/>
                <w:lang w:val="en-US" w:eastAsia="en-US"/>
              </w:rPr>
              <w:t xml:space="preserve"> </w:t>
            </w:r>
            <w:proofErr w:type="spellStart"/>
            <w:r w:rsidRPr="002C7555">
              <w:rPr>
                <w:rFonts w:ascii="Arial Narrow" w:hAnsi="Arial Narrow"/>
                <w:b/>
                <w:bCs/>
                <w:sz w:val="20"/>
                <w:szCs w:val="20"/>
                <w:lang w:val="en-US" w:eastAsia="en-US"/>
              </w:rPr>
              <w:t>udržateľnosť</w:t>
            </w:r>
            <w:proofErr w:type="spellEnd"/>
          </w:p>
        </w:tc>
      </w:tr>
      <w:tr w:rsidR="001F224C" w:rsidRPr="002C7555" w14:paraId="0DB27F60" w14:textId="77777777" w:rsidTr="001F224C">
        <w:trPr>
          <w:gridAfter w:val="1"/>
          <w:wAfter w:w="10" w:type="dxa"/>
          <w:trHeight w:val="188"/>
          <w:jc w:val="center"/>
        </w:trPr>
        <w:tc>
          <w:tcPr>
            <w:tcW w:w="409" w:type="dxa"/>
            <w:vMerge w:val="restart"/>
            <w:tcBorders>
              <w:top w:val="nil"/>
              <w:left w:val="nil"/>
              <w:bottom w:val="single" w:sz="4" w:space="0" w:color="000000"/>
              <w:right w:val="nil"/>
            </w:tcBorders>
            <w:shd w:val="clear" w:color="auto" w:fill="auto"/>
            <w:textDirection w:val="btLr"/>
            <w:vAlign w:val="center"/>
            <w:hideMark/>
          </w:tcPr>
          <w:p w14:paraId="1B318447"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407" w:type="dxa"/>
            <w:gridSpan w:val="2"/>
            <w:vMerge w:val="restart"/>
            <w:tcBorders>
              <w:top w:val="nil"/>
              <w:left w:val="nil"/>
              <w:bottom w:val="single" w:sz="4" w:space="0" w:color="000000"/>
              <w:right w:val="nil"/>
            </w:tcBorders>
            <w:shd w:val="clear" w:color="auto" w:fill="auto"/>
            <w:noWrap/>
            <w:vAlign w:val="center"/>
            <w:hideMark/>
          </w:tcPr>
          <w:p w14:paraId="55AC6B0A" w14:textId="3A591F9A" w:rsidR="001F224C" w:rsidRPr="002C7555" w:rsidRDefault="001F224C" w:rsidP="001F224C">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20</w:t>
            </w:r>
          </w:p>
        </w:tc>
        <w:tc>
          <w:tcPr>
            <w:tcW w:w="2050" w:type="dxa"/>
            <w:tcBorders>
              <w:top w:val="nil"/>
              <w:left w:val="nil"/>
              <w:bottom w:val="nil"/>
              <w:right w:val="nil"/>
            </w:tcBorders>
            <w:shd w:val="clear" w:color="auto" w:fill="auto"/>
            <w:noWrap/>
            <w:vAlign w:val="center"/>
            <w:hideMark/>
          </w:tcPr>
          <w:p w14:paraId="529330E7" w14:textId="77777777" w:rsidR="001F224C" w:rsidRPr="002C7555" w:rsidRDefault="001F224C" w:rsidP="001F224C">
            <w:pPr>
              <w:spacing w:after="0" w:line="240" w:lineRule="auto"/>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Emisie</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skleníkových</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plynov</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mimo</w:t>
            </w:r>
            <w:proofErr w:type="spellEnd"/>
            <w:r w:rsidRPr="002C7555">
              <w:rPr>
                <w:rFonts w:ascii="Arial Narrow" w:hAnsi="Arial Narrow"/>
                <w:b/>
                <w:bCs/>
                <w:color w:val="000000"/>
                <w:sz w:val="20"/>
                <w:szCs w:val="20"/>
                <w:lang w:val="en-US" w:eastAsia="en-US"/>
              </w:rPr>
              <w:t xml:space="preserve"> ETS</w:t>
            </w:r>
          </w:p>
        </w:tc>
        <w:tc>
          <w:tcPr>
            <w:tcW w:w="710" w:type="dxa"/>
            <w:tcBorders>
              <w:top w:val="nil"/>
              <w:left w:val="nil"/>
              <w:bottom w:val="nil"/>
              <w:right w:val="nil"/>
            </w:tcBorders>
            <w:shd w:val="clear" w:color="auto" w:fill="auto"/>
            <w:vAlign w:val="center"/>
            <w:hideMark/>
          </w:tcPr>
          <w:p w14:paraId="73C7F8B0"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nil"/>
              <w:left w:val="nil"/>
              <w:bottom w:val="nil"/>
              <w:right w:val="nil"/>
            </w:tcBorders>
            <w:shd w:val="clear" w:color="auto" w:fill="auto"/>
            <w:noWrap/>
            <w:vAlign w:val="center"/>
          </w:tcPr>
          <w:p w14:paraId="599C71EB" w14:textId="3860C9C0"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right w:val="nil"/>
            </w:tcBorders>
            <w:shd w:val="clear" w:color="auto" w:fill="auto"/>
            <w:noWrap/>
            <w:vAlign w:val="center"/>
          </w:tcPr>
          <w:p w14:paraId="61CB397B" w14:textId="4AE117F4"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single" w:sz="4" w:space="0" w:color="auto"/>
            </w:tcBorders>
            <w:noWrap/>
            <w:vAlign w:val="center"/>
          </w:tcPr>
          <w:p w14:paraId="4C692037" w14:textId="54741EF5"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-0,8</w:t>
            </w:r>
          </w:p>
        </w:tc>
        <w:tc>
          <w:tcPr>
            <w:tcW w:w="592" w:type="dxa"/>
            <w:tcBorders>
              <w:top w:val="single" w:sz="4" w:space="0" w:color="auto"/>
            </w:tcBorders>
            <w:noWrap/>
            <w:vAlign w:val="center"/>
          </w:tcPr>
          <w:p w14:paraId="7805B378" w14:textId="05D49245"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-4,5</w:t>
            </w:r>
          </w:p>
        </w:tc>
        <w:tc>
          <w:tcPr>
            <w:tcW w:w="592" w:type="dxa"/>
            <w:tcBorders>
              <w:top w:val="single" w:sz="4" w:space="0" w:color="auto"/>
            </w:tcBorders>
            <w:noWrap/>
            <w:vAlign w:val="center"/>
          </w:tcPr>
          <w:p w14:paraId="0DC30C77" w14:textId="46FC1ECF"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-4,6</w:t>
            </w:r>
          </w:p>
        </w:tc>
        <w:tc>
          <w:tcPr>
            <w:tcW w:w="592" w:type="dxa"/>
            <w:tcBorders>
              <w:top w:val="single" w:sz="4" w:space="0" w:color="auto"/>
            </w:tcBorders>
            <w:noWrap/>
            <w:vAlign w:val="center"/>
          </w:tcPr>
          <w:p w14:paraId="0EC1ED1A" w14:textId="5136B873"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-10,5</w:t>
            </w:r>
          </w:p>
        </w:tc>
        <w:tc>
          <w:tcPr>
            <w:tcW w:w="592" w:type="dxa"/>
            <w:tcBorders>
              <w:top w:val="single" w:sz="4" w:space="0" w:color="auto"/>
            </w:tcBorders>
            <w:noWrap/>
            <w:vAlign w:val="center"/>
          </w:tcPr>
          <w:p w14:paraId="40B1B6F1" w14:textId="3B4EF808"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-9,1</w:t>
            </w:r>
          </w:p>
        </w:tc>
        <w:tc>
          <w:tcPr>
            <w:tcW w:w="592" w:type="dxa"/>
            <w:tcBorders>
              <w:top w:val="single" w:sz="4" w:space="0" w:color="auto"/>
            </w:tcBorders>
            <w:vAlign w:val="center"/>
          </w:tcPr>
          <w:p w14:paraId="7CC413BD" w14:textId="5F8E2618"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-10,6</w:t>
            </w:r>
          </w:p>
        </w:tc>
        <w:tc>
          <w:tcPr>
            <w:tcW w:w="592" w:type="dxa"/>
            <w:tcBorders>
              <w:top w:val="single" w:sz="4" w:space="0" w:color="auto"/>
            </w:tcBorders>
            <w:vAlign w:val="center"/>
          </w:tcPr>
          <w:p w14:paraId="093631D9" w14:textId="6B5842BA"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-10,6</w:t>
            </w:r>
          </w:p>
        </w:tc>
        <w:tc>
          <w:tcPr>
            <w:tcW w:w="592" w:type="dxa"/>
            <w:tcBorders>
              <w:top w:val="nil"/>
              <w:left w:val="nil"/>
              <w:bottom w:val="nil"/>
              <w:right w:val="nil"/>
            </w:tcBorders>
            <w:vAlign w:val="center"/>
          </w:tcPr>
          <w:p w14:paraId="7F2312CB" w14:textId="7E2D1DCC" w:rsidR="001F224C" w:rsidRPr="002C7555" w:rsidRDefault="001F224C" w:rsidP="001F224C">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592" w:type="dxa"/>
            <w:tcBorders>
              <w:top w:val="nil"/>
              <w:left w:val="nil"/>
              <w:bottom w:val="nil"/>
              <w:right w:val="nil"/>
            </w:tcBorders>
            <w:shd w:val="clear" w:color="auto" w:fill="auto"/>
            <w:vAlign w:val="center"/>
            <w:hideMark/>
          </w:tcPr>
          <w:p w14:paraId="7F94E217"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13</w:t>
            </w:r>
          </w:p>
        </w:tc>
      </w:tr>
      <w:tr w:rsidR="001F224C" w:rsidRPr="002C7555" w14:paraId="13BA67BA" w14:textId="77777777" w:rsidTr="001F224C">
        <w:trPr>
          <w:gridAfter w:val="1"/>
          <w:wAfter w:w="10" w:type="dxa"/>
          <w:trHeight w:val="188"/>
          <w:jc w:val="center"/>
        </w:trPr>
        <w:tc>
          <w:tcPr>
            <w:tcW w:w="409" w:type="dxa"/>
            <w:vMerge/>
            <w:tcBorders>
              <w:top w:val="nil"/>
              <w:left w:val="nil"/>
              <w:bottom w:val="single" w:sz="4" w:space="0" w:color="000000"/>
              <w:right w:val="nil"/>
            </w:tcBorders>
            <w:vAlign w:val="center"/>
            <w:hideMark/>
          </w:tcPr>
          <w:p w14:paraId="13CD3276" w14:textId="77777777" w:rsidR="001F224C" w:rsidRPr="002C7555" w:rsidRDefault="001F224C" w:rsidP="001F224C">
            <w:pPr>
              <w:spacing w:after="0" w:line="240" w:lineRule="auto"/>
              <w:rPr>
                <w:rFonts w:ascii="Arial Narrow" w:hAnsi="Arial Narrow"/>
                <w:b/>
                <w:bCs/>
                <w:color w:val="000000"/>
                <w:sz w:val="20"/>
                <w:szCs w:val="20"/>
                <w:lang w:val="en-US" w:eastAsia="en-US"/>
              </w:rPr>
            </w:pPr>
          </w:p>
        </w:tc>
        <w:tc>
          <w:tcPr>
            <w:tcW w:w="407" w:type="dxa"/>
            <w:gridSpan w:val="2"/>
            <w:vMerge/>
            <w:tcBorders>
              <w:top w:val="nil"/>
              <w:left w:val="nil"/>
              <w:bottom w:val="single" w:sz="4" w:space="0" w:color="000000"/>
              <w:right w:val="nil"/>
            </w:tcBorders>
            <w:vAlign w:val="center"/>
            <w:hideMark/>
          </w:tcPr>
          <w:p w14:paraId="42158F44"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5025F899"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zmena</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voči</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roku</w:t>
            </w:r>
            <w:proofErr w:type="spellEnd"/>
            <w:r w:rsidRPr="002C7555">
              <w:rPr>
                <w:rFonts w:ascii="Arial Narrow" w:hAnsi="Arial Narrow"/>
                <w:color w:val="000000"/>
                <w:sz w:val="20"/>
                <w:szCs w:val="20"/>
                <w:lang w:val="en-US" w:eastAsia="en-US"/>
              </w:rPr>
              <w:t xml:space="preserve"> 2005)</w:t>
            </w:r>
          </w:p>
        </w:tc>
        <w:tc>
          <w:tcPr>
            <w:tcW w:w="710" w:type="dxa"/>
            <w:tcBorders>
              <w:top w:val="nil"/>
              <w:left w:val="nil"/>
              <w:bottom w:val="single" w:sz="4" w:space="0" w:color="auto"/>
              <w:right w:val="nil"/>
            </w:tcBorders>
            <w:shd w:val="clear" w:color="auto" w:fill="auto"/>
            <w:vAlign w:val="center"/>
            <w:hideMark/>
          </w:tcPr>
          <w:p w14:paraId="5BBED7B4"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single" w:sz="4" w:space="0" w:color="auto"/>
              <w:right w:val="nil"/>
            </w:tcBorders>
            <w:shd w:val="clear" w:color="auto" w:fill="auto"/>
            <w:noWrap/>
            <w:vAlign w:val="center"/>
          </w:tcPr>
          <w:p w14:paraId="4365F13A" w14:textId="565E367B"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noWrap/>
            <w:vAlign w:val="center"/>
          </w:tcPr>
          <w:p w14:paraId="38E419EF" w14:textId="1842D125"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bottom w:val="single" w:sz="4" w:space="0" w:color="auto"/>
            </w:tcBorders>
            <w:noWrap/>
            <w:vAlign w:val="center"/>
          </w:tcPr>
          <w:p w14:paraId="21C3B3D4" w14:textId="3404DBDF"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-8,3</w:t>
            </w:r>
          </w:p>
        </w:tc>
        <w:tc>
          <w:tcPr>
            <w:tcW w:w="592" w:type="dxa"/>
            <w:tcBorders>
              <w:bottom w:val="single" w:sz="4" w:space="0" w:color="auto"/>
            </w:tcBorders>
            <w:noWrap/>
            <w:vAlign w:val="center"/>
          </w:tcPr>
          <w:p w14:paraId="6BD682DC" w14:textId="3973CF0E"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-9,0</w:t>
            </w:r>
          </w:p>
        </w:tc>
        <w:tc>
          <w:tcPr>
            <w:tcW w:w="592" w:type="dxa"/>
            <w:tcBorders>
              <w:bottom w:val="single" w:sz="4" w:space="0" w:color="auto"/>
            </w:tcBorders>
            <w:noWrap/>
            <w:vAlign w:val="center"/>
          </w:tcPr>
          <w:p w14:paraId="1F6730A1" w14:textId="2ADB2C25"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-10,1</w:t>
            </w:r>
          </w:p>
        </w:tc>
        <w:tc>
          <w:tcPr>
            <w:tcW w:w="592" w:type="dxa"/>
            <w:tcBorders>
              <w:bottom w:val="single" w:sz="4" w:space="0" w:color="auto"/>
            </w:tcBorders>
            <w:noWrap/>
            <w:vAlign w:val="center"/>
          </w:tcPr>
          <w:p w14:paraId="54C149F5" w14:textId="35395C09"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-13,2</w:t>
            </w:r>
          </w:p>
        </w:tc>
        <w:tc>
          <w:tcPr>
            <w:tcW w:w="592" w:type="dxa"/>
            <w:tcBorders>
              <w:bottom w:val="single" w:sz="4" w:space="0" w:color="auto"/>
            </w:tcBorders>
            <w:noWrap/>
            <w:vAlign w:val="center"/>
          </w:tcPr>
          <w:p w14:paraId="163F220F" w14:textId="748CA1E1"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-11,8</w:t>
            </w:r>
          </w:p>
        </w:tc>
        <w:tc>
          <w:tcPr>
            <w:tcW w:w="592" w:type="dxa"/>
            <w:tcBorders>
              <w:bottom w:val="single" w:sz="4" w:space="0" w:color="auto"/>
            </w:tcBorders>
            <w:vAlign w:val="center"/>
          </w:tcPr>
          <w:p w14:paraId="0F0A5C10" w14:textId="522B220F"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-10,5</w:t>
            </w:r>
          </w:p>
        </w:tc>
        <w:tc>
          <w:tcPr>
            <w:tcW w:w="592" w:type="dxa"/>
            <w:tcBorders>
              <w:bottom w:val="single" w:sz="4" w:space="0" w:color="auto"/>
            </w:tcBorders>
            <w:vAlign w:val="center"/>
          </w:tcPr>
          <w:p w14:paraId="1B7A97A6" w14:textId="5BC673E3"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-9,9</w:t>
            </w:r>
          </w:p>
        </w:tc>
        <w:tc>
          <w:tcPr>
            <w:tcW w:w="592" w:type="dxa"/>
            <w:tcBorders>
              <w:top w:val="nil"/>
              <w:left w:val="nil"/>
              <w:bottom w:val="single" w:sz="4" w:space="0" w:color="auto"/>
              <w:right w:val="nil"/>
            </w:tcBorders>
            <w:vAlign w:val="center"/>
          </w:tcPr>
          <w:p w14:paraId="491879DF" w14:textId="75959F7C" w:rsidR="001F224C" w:rsidRPr="002C7555" w:rsidRDefault="001F224C" w:rsidP="001F224C">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592" w:type="dxa"/>
            <w:tcBorders>
              <w:top w:val="nil"/>
              <w:left w:val="nil"/>
              <w:bottom w:val="single" w:sz="4" w:space="0" w:color="auto"/>
              <w:right w:val="nil"/>
            </w:tcBorders>
            <w:shd w:val="clear" w:color="auto" w:fill="auto"/>
            <w:vAlign w:val="center"/>
            <w:hideMark/>
          </w:tcPr>
          <w:p w14:paraId="4B082D30"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-10</w:t>
            </w:r>
          </w:p>
        </w:tc>
      </w:tr>
      <w:tr w:rsidR="001F224C" w:rsidRPr="002C7555" w14:paraId="437537ED" w14:textId="77777777" w:rsidTr="001F224C">
        <w:trPr>
          <w:gridAfter w:val="1"/>
          <w:wAfter w:w="10" w:type="dxa"/>
          <w:trHeight w:val="188"/>
          <w:jc w:val="center"/>
        </w:trPr>
        <w:tc>
          <w:tcPr>
            <w:tcW w:w="409" w:type="dxa"/>
            <w:vMerge w:val="restart"/>
            <w:tcBorders>
              <w:top w:val="nil"/>
              <w:left w:val="nil"/>
              <w:bottom w:val="single" w:sz="4" w:space="0" w:color="000000"/>
              <w:right w:val="nil"/>
            </w:tcBorders>
            <w:shd w:val="clear" w:color="auto" w:fill="auto"/>
            <w:textDirection w:val="btLr"/>
            <w:vAlign w:val="center"/>
            <w:hideMark/>
          </w:tcPr>
          <w:p w14:paraId="712A0383"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407" w:type="dxa"/>
            <w:gridSpan w:val="2"/>
            <w:vMerge w:val="restart"/>
            <w:tcBorders>
              <w:top w:val="nil"/>
              <w:left w:val="nil"/>
              <w:bottom w:val="single" w:sz="4" w:space="0" w:color="000000"/>
              <w:right w:val="nil"/>
            </w:tcBorders>
            <w:shd w:val="clear" w:color="auto" w:fill="auto"/>
            <w:noWrap/>
            <w:vAlign w:val="center"/>
            <w:hideMark/>
          </w:tcPr>
          <w:p w14:paraId="73D5BA96" w14:textId="06B2FE2E" w:rsidR="001F224C" w:rsidRPr="002C7555" w:rsidRDefault="001F224C" w:rsidP="001F224C">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21</w:t>
            </w:r>
          </w:p>
        </w:tc>
        <w:tc>
          <w:tcPr>
            <w:tcW w:w="2050" w:type="dxa"/>
            <w:tcBorders>
              <w:top w:val="nil"/>
              <w:left w:val="nil"/>
              <w:bottom w:val="nil"/>
              <w:right w:val="nil"/>
            </w:tcBorders>
            <w:shd w:val="clear" w:color="auto" w:fill="auto"/>
            <w:noWrap/>
            <w:vAlign w:val="center"/>
            <w:hideMark/>
          </w:tcPr>
          <w:p w14:paraId="69641263" w14:textId="77777777" w:rsidR="001F224C" w:rsidRPr="002C7555" w:rsidRDefault="001F224C" w:rsidP="001F224C">
            <w:pPr>
              <w:spacing w:after="0" w:line="240" w:lineRule="auto"/>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Podiel</w:t>
            </w:r>
            <w:proofErr w:type="spellEnd"/>
            <w:r w:rsidRPr="002C7555">
              <w:rPr>
                <w:rFonts w:ascii="Arial Narrow" w:hAnsi="Arial Narrow"/>
                <w:b/>
                <w:bCs/>
                <w:color w:val="000000"/>
                <w:sz w:val="20"/>
                <w:szCs w:val="20"/>
                <w:lang w:val="en-US" w:eastAsia="en-US"/>
              </w:rPr>
              <w:t xml:space="preserve"> OZE </w:t>
            </w:r>
            <w:proofErr w:type="spellStart"/>
            <w:r w:rsidRPr="002C7555">
              <w:rPr>
                <w:rFonts w:ascii="Arial Narrow" w:hAnsi="Arial Narrow"/>
                <w:b/>
                <w:bCs/>
                <w:color w:val="000000"/>
                <w:sz w:val="20"/>
                <w:szCs w:val="20"/>
                <w:lang w:val="en-US" w:eastAsia="en-US"/>
              </w:rPr>
              <w:t>na</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hrubej</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konečnej</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spotrebe</w:t>
            </w:r>
            <w:proofErr w:type="spellEnd"/>
          </w:p>
        </w:tc>
        <w:tc>
          <w:tcPr>
            <w:tcW w:w="710" w:type="dxa"/>
            <w:tcBorders>
              <w:top w:val="nil"/>
              <w:left w:val="nil"/>
              <w:bottom w:val="nil"/>
              <w:right w:val="nil"/>
            </w:tcBorders>
            <w:shd w:val="clear" w:color="auto" w:fill="auto"/>
            <w:vAlign w:val="center"/>
            <w:hideMark/>
          </w:tcPr>
          <w:p w14:paraId="3F225095"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nil"/>
              <w:left w:val="nil"/>
              <w:bottom w:val="nil"/>
              <w:right w:val="nil"/>
            </w:tcBorders>
            <w:shd w:val="clear" w:color="auto" w:fill="auto"/>
            <w:vAlign w:val="center"/>
          </w:tcPr>
          <w:p w14:paraId="227A3E32" w14:textId="6AE87EAD"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single" w:sz="4" w:space="0" w:color="auto"/>
              <w:left w:val="nil"/>
              <w:right w:val="nil"/>
            </w:tcBorders>
            <w:shd w:val="clear" w:color="auto" w:fill="auto"/>
            <w:vAlign w:val="center"/>
          </w:tcPr>
          <w:p w14:paraId="46B0C461" w14:textId="20BF6DEA"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single" w:sz="4" w:space="0" w:color="auto"/>
            </w:tcBorders>
            <w:vAlign w:val="center"/>
          </w:tcPr>
          <w:p w14:paraId="066A8A45" w14:textId="6758AE85"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10,3</w:t>
            </w:r>
          </w:p>
        </w:tc>
        <w:tc>
          <w:tcPr>
            <w:tcW w:w="592" w:type="dxa"/>
            <w:tcBorders>
              <w:top w:val="single" w:sz="4" w:space="0" w:color="auto"/>
            </w:tcBorders>
            <w:vAlign w:val="center"/>
          </w:tcPr>
          <w:p w14:paraId="4047220D" w14:textId="502C031A"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10,4</w:t>
            </w:r>
          </w:p>
        </w:tc>
        <w:tc>
          <w:tcPr>
            <w:tcW w:w="592" w:type="dxa"/>
            <w:tcBorders>
              <w:top w:val="single" w:sz="4" w:space="0" w:color="auto"/>
            </w:tcBorders>
            <w:vAlign w:val="center"/>
          </w:tcPr>
          <w:p w14:paraId="03F23447" w14:textId="437FCDAB"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10,1</w:t>
            </w:r>
          </w:p>
        </w:tc>
        <w:tc>
          <w:tcPr>
            <w:tcW w:w="592" w:type="dxa"/>
            <w:tcBorders>
              <w:top w:val="single" w:sz="4" w:space="0" w:color="auto"/>
            </w:tcBorders>
            <w:vAlign w:val="center"/>
          </w:tcPr>
          <w:p w14:paraId="7DCC3C50" w14:textId="1901EF11"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11,7</w:t>
            </w:r>
          </w:p>
        </w:tc>
        <w:tc>
          <w:tcPr>
            <w:tcW w:w="592" w:type="dxa"/>
            <w:tcBorders>
              <w:top w:val="single" w:sz="4" w:space="0" w:color="auto"/>
            </w:tcBorders>
            <w:vAlign w:val="center"/>
          </w:tcPr>
          <w:p w14:paraId="1F32D5EE" w14:textId="7A3D1FC3"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12,9</w:t>
            </w:r>
          </w:p>
        </w:tc>
        <w:tc>
          <w:tcPr>
            <w:tcW w:w="592" w:type="dxa"/>
            <w:tcBorders>
              <w:top w:val="single" w:sz="4" w:space="0" w:color="auto"/>
            </w:tcBorders>
            <w:vAlign w:val="center"/>
          </w:tcPr>
          <w:p w14:paraId="7C45D184" w14:textId="15F86BB6"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12,0</w:t>
            </w:r>
          </w:p>
        </w:tc>
        <w:tc>
          <w:tcPr>
            <w:tcW w:w="592" w:type="dxa"/>
            <w:tcBorders>
              <w:top w:val="single" w:sz="4" w:space="0" w:color="auto"/>
            </w:tcBorders>
            <w:vAlign w:val="center"/>
          </w:tcPr>
          <w:p w14:paraId="1D83AECA" w14:textId="7648DFEF"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w:t>
            </w:r>
          </w:p>
        </w:tc>
        <w:tc>
          <w:tcPr>
            <w:tcW w:w="592" w:type="dxa"/>
            <w:tcBorders>
              <w:top w:val="nil"/>
              <w:left w:val="nil"/>
              <w:bottom w:val="nil"/>
              <w:right w:val="nil"/>
            </w:tcBorders>
            <w:vAlign w:val="center"/>
          </w:tcPr>
          <w:p w14:paraId="5FD53C58" w14:textId="08143FFA" w:rsidR="001F224C" w:rsidRPr="002C7555" w:rsidRDefault="001F224C" w:rsidP="001F224C">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592" w:type="dxa"/>
            <w:tcBorders>
              <w:top w:val="nil"/>
              <w:left w:val="nil"/>
              <w:bottom w:val="nil"/>
              <w:right w:val="nil"/>
            </w:tcBorders>
            <w:shd w:val="clear" w:color="auto" w:fill="auto"/>
            <w:vAlign w:val="center"/>
            <w:hideMark/>
          </w:tcPr>
          <w:p w14:paraId="1278E851"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14</w:t>
            </w:r>
          </w:p>
        </w:tc>
      </w:tr>
      <w:tr w:rsidR="001F224C" w:rsidRPr="002C7555" w14:paraId="792892F6" w14:textId="77777777" w:rsidTr="001F224C">
        <w:trPr>
          <w:gridAfter w:val="1"/>
          <w:wAfter w:w="10" w:type="dxa"/>
          <w:trHeight w:val="188"/>
          <w:jc w:val="center"/>
        </w:trPr>
        <w:tc>
          <w:tcPr>
            <w:tcW w:w="409" w:type="dxa"/>
            <w:vMerge/>
            <w:tcBorders>
              <w:top w:val="nil"/>
              <w:left w:val="nil"/>
              <w:bottom w:val="single" w:sz="4" w:space="0" w:color="000000"/>
              <w:right w:val="nil"/>
            </w:tcBorders>
            <w:vAlign w:val="center"/>
            <w:hideMark/>
          </w:tcPr>
          <w:p w14:paraId="02EF6A66" w14:textId="77777777" w:rsidR="001F224C" w:rsidRPr="002C7555" w:rsidRDefault="001F224C" w:rsidP="001F224C">
            <w:pPr>
              <w:spacing w:after="0" w:line="240" w:lineRule="auto"/>
              <w:rPr>
                <w:rFonts w:ascii="Arial Narrow" w:hAnsi="Arial Narrow"/>
                <w:b/>
                <w:bCs/>
                <w:color w:val="000000"/>
                <w:sz w:val="20"/>
                <w:szCs w:val="20"/>
                <w:lang w:val="en-US" w:eastAsia="en-US"/>
              </w:rPr>
            </w:pPr>
          </w:p>
        </w:tc>
        <w:tc>
          <w:tcPr>
            <w:tcW w:w="407" w:type="dxa"/>
            <w:gridSpan w:val="2"/>
            <w:vMerge/>
            <w:tcBorders>
              <w:top w:val="nil"/>
              <w:left w:val="nil"/>
              <w:bottom w:val="single" w:sz="4" w:space="0" w:color="000000"/>
              <w:right w:val="nil"/>
            </w:tcBorders>
            <w:vAlign w:val="center"/>
            <w:hideMark/>
          </w:tcPr>
          <w:p w14:paraId="35D182BA"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4190F1D7"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w:t>
            </w:r>
          </w:p>
        </w:tc>
        <w:tc>
          <w:tcPr>
            <w:tcW w:w="710" w:type="dxa"/>
            <w:tcBorders>
              <w:top w:val="nil"/>
              <w:left w:val="nil"/>
              <w:bottom w:val="single" w:sz="4" w:space="0" w:color="auto"/>
              <w:right w:val="nil"/>
            </w:tcBorders>
            <w:shd w:val="clear" w:color="auto" w:fill="auto"/>
            <w:vAlign w:val="center"/>
            <w:hideMark/>
          </w:tcPr>
          <w:p w14:paraId="709A8E88"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single" w:sz="4" w:space="0" w:color="auto"/>
              <w:right w:val="nil"/>
            </w:tcBorders>
            <w:shd w:val="clear" w:color="auto" w:fill="auto"/>
            <w:vAlign w:val="center"/>
          </w:tcPr>
          <w:p w14:paraId="745AF7E8" w14:textId="2595EF24"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60E56CE6" w14:textId="69E8DDE8"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bottom w:val="single" w:sz="4" w:space="0" w:color="auto"/>
            </w:tcBorders>
            <w:vAlign w:val="center"/>
          </w:tcPr>
          <w:p w14:paraId="5C8FA9DD" w14:textId="64C3C43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13,2</w:t>
            </w:r>
          </w:p>
        </w:tc>
        <w:tc>
          <w:tcPr>
            <w:tcW w:w="592" w:type="dxa"/>
            <w:tcBorders>
              <w:bottom w:val="single" w:sz="4" w:space="0" w:color="auto"/>
            </w:tcBorders>
            <w:vAlign w:val="center"/>
          </w:tcPr>
          <w:p w14:paraId="0E747C39" w14:textId="454B5D81"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14,4</w:t>
            </w:r>
          </w:p>
        </w:tc>
        <w:tc>
          <w:tcPr>
            <w:tcW w:w="592" w:type="dxa"/>
            <w:tcBorders>
              <w:bottom w:val="single" w:sz="4" w:space="0" w:color="auto"/>
            </w:tcBorders>
            <w:vAlign w:val="center"/>
          </w:tcPr>
          <w:p w14:paraId="25CE50A1" w14:textId="774EEA70"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15,2</w:t>
            </w:r>
          </w:p>
        </w:tc>
        <w:tc>
          <w:tcPr>
            <w:tcW w:w="592" w:type="dxa"/>
            <w:tcBorders>
              <w:bottom w:val="single" w:sz="4" w:space="0" w:color="auto"/>
            </w:tcBorders>
            <w:vAlign w:val="center"/>
          </w:tcPr>
          <w:p w14:paraId="76F7F39F" w14:textId="2984BCF4"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16,1</w:t>
            </w:r>
          </w:p>
        </w:tc>
        <w:tc>
          <w:tcPr>
            <w:tcW w:w="592" w:type="dxa"/>
            <w:tcBorders>
              <w:bottom w:val="single" w:sz="4" w:space="0" w:color="auto"/>
            </w:tcBorders>
            <w:vAlign w:val="center"/>
          </w:tcPr>
          <w:p w14:paraId="214A1160" w14:textId="6451B6A1"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16,7</w:t>
            </w:r>
          </w:p>
        </w:tc>
        <w:tc>
          <w:tcPr>
            <w:tcW w:w="592" w:type="dxa"/>
            <w:tcBorders>
              <w:bottom w:val="single" w:sz="4" w:space="0" w:color="auto"/>
            </w:tcBorders>
            <w:vAlign w:val="center"/>
          </w:tcPr>
          <w:p w14:paraId="31895808" w14:textId="2DD81E19"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17,0</w:t>
            </w:r>
          </w:p>
        </w:tc>
        <w:tc>
          <w:tcPr>
            <w:tcW w:w="592" w:type="dxa"/>
            <w:tcBorders>
              <w:bottom w:val="single" w:sz="4" w:space="0" w:color="auto"/>
            </w:tcBorders>
            <w:vAlign w:val="center"/>
          </w:tcPr>
          <w:p w14:paraId="7D0301AB" w14:textId="5707763A"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w:t>
            </w:r>
          </w:p>
        </w:tc>
        <w:tc>
          <w:tcPr>
            <w:tcW w:w="592" w:type="dxa"/>
            <w:tcBorders>
              <w:top w:val="nil"/>
              <w:left w:val="nil"/>
              <w:bottom w:val="single" w:sz="4" w:space="0" w:color="auto"/>
              <w:right w:val="nil"/>
            </w:tcBorders>
            <w:vAlign w:val="center"/>
          </w:tcPr>
          <w:p w14:paraId="77640A5C" w14:textId="0BE70AE7" w:rsidR="001F224C" w:rsidRPr="002C7555" w:rsidRDefault="001F224C" w:rsidP="001F224C">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592" w:type="dxa"/>
            <w:tcBorders>
              <w:top w:val="nil"/>
              <w:left w:val="nil"/>
              <w:bottom w:val="single" w:sz="4" w:space="0" w:color="auto"/>
              <w:right w:val="nil"/>
            </w:tcBorders>
            <w:shd w:val="clear" w:color="auto" w:fill="auto"/>
            <w:vAlign w:val="center"/>
            <w:hideMark/>
          </w:tcPr>
          <w:p w14:paraId="53EE5465"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20</w:t>
            </w:r>
          </w:p>
        </w:tc>
      </w:tr>
      <w:tr w:rsidR="001F224C" w:rsidRPr="002C7555" w14:paraId="6973958B" w14:textId="77777777" w:rsidTr="001F224C">
        <w:trPr>
          <w:gridAfter w:val="1"/>
          <w:wAfter w:w="10" w:type="dxa"/>
          <w:trHeight w:val="277"/>
          <w:jc w:val="center"/>
        </w:trPr>
        <w:tc>
          <w:tcPr>
            <w:tcW w:w="409" w:type="dxa"/>
            <w:vMerge w:val="restart"/>
            <w:tcBorders>
              <w:top w:val="nil"/>
              <w:left w:val="nil"/>
              <w:bottom w:val="single" w:sz="4" w:space="0" w:color="000000"/>
              <w:right w:val="nil"/>
            </w:tcBorders>
            <w:shd w:val="clear" w:color="auto" w:fill="auto"/>
            <w:textDirection w:val="btLr"/>
            <w:vAlign w:val="center"/>
            <w:hideMark/>
          </w:tcPr>
          <w:p w14:paraId="249AD344"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407" w:type="dxa"/>
            <w:gridSpan w:val="2"/>
            <w:vMerge w:val="restart"/>
            <w:tcBorders>
              <w:top w:val="nil"/>
              <w:left w:val="nil"/>
              <w:bottom w:val="single" w:sz="4" w:space="0" w:color="000000"/>
              <w:right w:val="nil"/>
            </w:tcBorders>
            <w:shd w:val="clear" w:color="auto" w:fill="auto"/>
            <w:noWrap/>
            <w:vAlign w:val="center"/>
            <w:hideMark/>
          </w:tcPr>
          <w:p w14:paraId="62A7A0C2" w14:textId="4694C94C" w:rsidR="001F224C" w:rsidRPr="002C7555" w:rsidRDefault="001F224C" w:rsidP="001F224C">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22</w:t>
            </w:r>
          </w:p>
        </w:tc>
        <w:tc>
          <w:tcPr>
            <w:tcW w:w="2050" w:type="dxa"/>
            <w:tcBorders>
              <w:top w:val="nil"/>
              <w:left w:val="nil"/>
              <w:bottom w:val="nil"/>
              <w:right w:val="nil"/>
            </w:tcBorders>
            <w:shd w:val="clear" w:color="auto" w:fill="auto"/>
            <w:noWrap/>
            <w:vAlign w:val="center"/>
            <w:hideMark/>
          </w:tcPr>
          <w:p w14:paraId="53CF1023" w14:textId="77777777" w:rsidR="001F224C" w:rsidRPr="002C7555" w:rsidRDefault="001F224C" w:rsidP="001F224C">
            <w:pPr>
              <w:spacing w:after="0" w:line="240" w:lineRule="auto"/>
              <w:rPr>
                <w:rFonts w:ascii="Arial Narrow" w:hAnsi="Arial Narrow"/>
                <w:b/>
                <w:bCs/>
                <w:color w:val="000000"/>
                <w:sz w:val="20"/>
                <w:szCs w:val="20"/>
                <w:lang w:val="en-US" w:eastAsia="en-US"/>
              </w:rPr>
            </w:pPr>
            <w:proofErr w:type="spellStart"/>
            <w:r w:rsidRPr="002C7555">
              <w:rPr>
                <w:rFonts w:ascii="Arial Narrow" w:hAnsi="Arial Narrow"/>
                <w:b/>
                <w:bCs/>
                <w:color w:val="000000"/>
                <w:sz w:val="20"/>
                <w:szCs w:val="20"/>
                <w:lang w:val="en-US" w:eastAsia="en-US"/>
              </w:rPr>
              <w:t>Konečná</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energetická</w:t>
            </w:r>
            <w:proofErr w:type="spellEnd"/>
            <w:r w:rsidRPr="002C7555">
              <w:rPr>
                <w:rFonts w:ascii="Arial Narrow" w:hAnsi="Arial Narrow"/>
                <w:b/>
                <w:bCs/>
                <w:color w:val="000000"/>
                <w:sz w:val="20"/>
                <w:szCs w:val="20"/>
                <w:lang w:val="en-US" w:eastAsia="en-US"/>
              </w:rPr>
              <w:t xml:space="preserve"> </w:t>
            </w:r>
            <w:proofErr w:type="spellStart"/>
            <w:r w:rsidRPr="002C7555">
              <w:rPr>
                <w:rFonts w:ascii="Arial Narrow" w:hAnsi="Arial Narrow"/>
                <w:b/>
                <w:bCs/>
                <w:color w:val="000000"/>
                <w:sz w:val="20"/>
                <w:szCs w:val="20"/>
                <w:lang w:val="en-US" w:eastAsia="en-US"/>
              </w:rPr>
              <w:t>spotreba</w:t>
            </w:r>
            <w:proofErr w:type="spellEnd"/>
          </w:p>
        </w:tc>
        <w:tc>
          <w:tcPr>
            <w:tcW w:w="710" w:type="dxa"/>
            <w:tcBorders>
              <w:top w:val="nil"/>
              <w:left w:val="nil"/>
              <w:bottom w:val="nil"/>
              <w:right w:val="nil"/>
            </w:tcBorders>
            <w:shd w:val="clear" w:color="auto" w:fill="auto"/>
            <w:vAlign w:val="center"/>
            <w:hideMark/>
          </w:tcPr>
          <w:p w14:paraId="49AAEA80"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SK</w:t>
            </w:r>
          </w:p>
        </w:tc>
        <w:tc>
          <w:tcPr>
            <w:tcW w:w="700" w:type="dxa"/>
            <w:tcBorders>
              <w:top w:val="nil"/>
              <w:left w:val="nil"/>
              <w:bottom w:val="nil"/>
              <w:right w:val="nil"/>
            </w:tcBorders>
            <w:shd w:val="clear" w:color="auto" w:fill="auto"/>
            <w:vAlign w:val="center"/>
          </w:tcPr>
          <w:p w14:paraId="3CF31DE5" w14:textId="4D8E4DB1"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single" w:sz="4" w:space="0" w:color="auto"/>
              <w:left w:val="nil"/>
              <w:bottom w:val="nil"/>
              <w:right w:val="nil"/>
            </w:tcBorders>
            <w:shd w:val="clear" w:color="auto" w:fill="auto"/>
            <w:vAlign w:val="center"/>
          </w:tcPr>
          <w:p w14:paraId="55CEBB86" w14:textId="15C8A5D3"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single" w:sz="4" w:space="0" w:color="auto"/>
            </w:tcBorders>
            <w:vAlign w:val="center"/>
          </w:tcPr>
          <w:p w14:paraId="76FCDBA4" w14:textId="544F8468"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-5,3</w:t>
            </w:r>
          </w:p>
        </w:tc>
        <w:tc>
          <w:tcPr>
            <w:tcW w:w="592" w:type="dxa"/>
            <w:tcBorders>
              <w:top w:val="single" w:sz="4" w:space="0" w:color="auto"/>
            </w:tcBorders>
            <w:vAlign w:val="center"/>
          </w:tcPr>
          <w:p w14:paraId="5D832C38" w14:textId="099774DC"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-9,6</w:t>
            </w:r>
          </w:p>
        </w:tc>
        <w:tc>
          <w:tcPr>
            <w:tcW w:w="592" w:type="dxa"/>
            <w:tcBorders>
              <w:top w:val="single" w:sz="4" w:space="0" w:color="auto"/>
            </w:tcBorders>
            <w:vAlign w:val="center"/>
          </w:tcPr>
          <w:p w14:paraId="0C44541D" w14:textId="126ABEB1"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-7,0</w:t>
            </w:r>
          </w:p>
        </w:tc>
        <w:tc>
          <w:tcPr>
            <w:tcW w:w="592" w:type="dxa"/>
            <w:tcBorders>
              <w:top w:val="single" w:sz="4" w:space="0" w:color="auto"/>
            </w:tcBorders>
            <w:vAlign w:val="center"/>
          </w:tcPr>
          <w:p w14:paraId="345B8200" w14:textId="24224A91"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-12,3</w:t>
            </w:r>
          </w:p>
        </w:tc>
        <w:tc>
          <w:tcPr>
            <w:tcW w:w="592" w:type="dxa"/>
            <w:tcBorders>
              <w:top w:val="single" w:sz="4" w:space="0" w:color="auto"/>
            </w:tcBorders>
            <w:vAlign w:val="center"/>
          </w:tcPr>
          <w:p w14:paraId="35970CF2" w14:textId="5293745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-11,4</w:t>
            </w:r>
          </w:p>
        </w:tc>
        <w:tc>
          <w:tcPr>
            <w:tcW w:w="592" w:type="dxa"/>
            <w:tcBorders>
              <w:top w:val="single" w:sz="4" w:space="0" w:color="auto"/>
            </w:tcBorders>
            <w:vAlign w:val="center"/>
          </w:tcPr>
          <w:p w14:paraId="7ED87CAC" w14:textId="7DE31B5F"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-8,8</w:t>
            </w:r>
          </w:p>
        </w:tc>
        <w:tc>
          <w:tcPr>
            <w:tcW w:w="592" w:type="dxa"/>
            <w:tcBorders>
              <w:top w:val="single" w:sz="4" w:space="0" w:color="auto"/>
            </w:tcBorders>
            <w:vAlign w:val="center"/>
          </w:tcPr>
          <w:p w14:paraId="5233CDBE" w14:textId="0C9E0FB0"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s="Calibri"/>
                <w:color w:val="000000"/>
                <w:sz w:val="20"/>
                <w:szCs w:val="20"/>
              </w:rPr>
              <w:t>-</w:t>
            </w:r>
          </w:p>
        </w:tc>
        <w:tc>
          <w:tcPr>
            <w:tcW w:w="592" w:type="dxa"/>
            <w:tcBorders>
              <w:top w:val="nil"/>
              <w:left w:val="nil"/>
              <w:bottom w:val="nil"/>
              <w:right w:val="nil"/>
            </w:tcBorders>
            <w:vAlign w:val="center"/>
          </w:tcPr>
          <w:p w14:paraId="2868C439" w14:textId="3999F26C" w:rsidR="001F224C" w:rsidRPr="002C7555" w:rsidRDefault="001F224C" w:rsidP="001F224C">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592" w:type="dxa"/>
            <w:tcBorders>
              <w:top w:val="nil"/>
              <w:left w:val="nil"/>
              <w:bottom w:val="nil"/>
              <w:right w:val="nil"/>
            </w:tcBorders>
            <w:shd w:val="clear" w:color="auto" w:fill="auto"/>
            <w:vAlign w:val="center"/>
            <w:hideMark/>
          </w:tcPr>
          <w:p w14:paraId="563C7C26"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-11</w:t>
            </w:r>
          </w:p>
        </w:tc>
      </w:tr>
      <w:tr w:rsidR="001F224C" w:rsidRPr="002C7555" w14:paraId="1E5126AE" w14:textId="77777777" w:rsidTr="001F224C">
        <w:trPr>
          <w:gridAfter w:val="1"/>
          <w:wAfter w:w="10" w:type="dxa"/>
          <w:trHeight w:val="59"/>
          <w:jc w:val="center"/>
        </w:trPr>
        <w:tc>
          <w:tcPr>
            <w:tcW w:w="409" w:type="dxa"/>
            <w:vMerge/>
            <w:tcBorders>
              <w:top w:val="nil"/>
              <w:left w:val="nil"/>
              <w:bottom w:val="single" w:sz="4" w:space="0" w:color="000000"/>
              <w:right w:val="nil"/>
            </w:tcBorders>
            <w:vAlign w:val="center"/>
            <w:hideMark/>
          </w:tcPr>
          <w:p w14:paraId="123CEA3D" w14:textId="77777777" w:rsidR="001F224C" w:rsidRPr="002C7555" w:rsidRDefault="001F224C" w:rsidP="001F224C">
            <w:pPr>
              <w:spacing w:after="0" w:line="240" w:lineRule="auto"/>
              <w:rPr>
                <w:rFonts w:ascii="Arial Narrow" w:hAnsi="Arial Narrow"/>
                <w:b/>
                <w:bCs/>
                <w:color w:val="000000"/>
                <w:sz w:val="20"/>
                <w:szCs w:val="20"/>
                <w:lang w:val="en-US" w:eastAsia="en-US"/>
              </w:rPr>
            </w:pPr>
          </w:p>
        </w:tc>
        <w:tc>
          <w:tcPr>
            <w:tcW w:w="407" w:type="dxa"/>
            <w:gridSpan w:val="2"/>
            <w:vMerge/>
            <w:tcBorders>
              <w:top w:val="nil"/>
              <w:left w:val="nil"/>
              <w:bottom w:val="single" w:sz="4" w:space="0" w:color="000000"/>
              <w:right w:val="nil"/>
            </w:tcBorders>
            <w:vAlign w:val="center"/>
            <w:hideMark/>
          </w:tcPr>
          <w:p w14:paraId="45F2D97C" w14:textId="77777777" w:rsidR="001F224C" w:rsidRPr="002C7555" w:rsidRDefault="001F224C" w:rsidP="001F224C">
            <w:pPr>
              <w:spacing w:after="0" w:line="240" w:lineRule="auto"/>
              <w:rPr>
                <w:rFonts w:ascii="Arial Narrow" w:hAnsi="Arial Narrow"/>
                <w:b/>
                <w:bCs/>
                <w:color w:val="000000"/>
                <w:sz w:val="20"/>
                <w:szCs w:val="20"/>
                <w:lang w:val="en-US" w:eastAsia="en-US"/>
              </w:rPr>
            </w:pPr>
          </w:p>
        </w:tc>
        <w:tc>
          <w:tcPr>
            <w:tcW w:w="2050" w:type="dxa"/>
            <w:tcBorders>
              <w:top w:val="nil"/>
              <w:left w:val="nil"/>
              <w:bottom w:val="single" w:sz="4" w:space="0" w:color="auto"/>
              <w:right w:val="nil"/>
            </w:tcBorders>
            <w:shd w:val="clear" w:color="auto" w:fill="auto"/>
            <w:noWrap/>
            <w:vAlign w:val="center"/>
            <w:hideMark/>
          </w:tcPr>
          <w:p w14:paraId="108E5426" w14:textId="77777777" w:rsidR="001F224C" w:rsidRPr="002C7555" w:rsidRDefault="001F224C" w:rsidP="001F224C">
            <w:pPr>
              <w:spacing w:after="0" w:line="240" w:lineRule="auto"/>
              <w:jc w:val="both"/>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zmena</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voči</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priemeru</w:t>
            </w:r>
            <w:proofErr w:type="spellEnd"/>
            <w:r w:rsidRPr="002C7555">
              <w:rPr>
                <w:rFonts w:ascii="Arial Narrow" w:hAnsi="Arial Narrow"/>
                <w:color w:val="000000"/>
                <w:sz w:val="20"/>
                <w:szCs w:val="20"/>
                <w:lang w:val="en-US" w:eastAsia="en-US"/>
              </w:rPr>
              <w:t xml:space="preserve"> </w:t>
            </w:r>
            <w:proofErr w:type="spellStart"/>
            <w:r w:rsidRPr="002C7555">
              <w:rPr>
                <w:rFonts w:ascii="Arial Narrow" w:hAnsi="Arial Narrow"/>
                <w:color w:val="000000"/>
                <w:sz w:val="20"/>
                <w:szCs w:val="20"/>
                <w:lang w:val="en-US" w:eastAsia="en-US"/>
              </w:rPr>
              <w:t>rokov</w:t>
            </w:r>
            <w:proofErr w:type="spellEnd"/>
            <w:r w:rsidRPr="002C7555">
              <w:rPr>
                <w:rFonts w:ascii="Arial Narrow" w:hAnsi="Arial Narrow"/>
                <w:color w:val="000000"/>
                <w:sz w:val="20"/>
                <w:szCs w:val="20"/>
                <w:lang w:val="en-US" w:eastAsia="en-US"/>
              </w:rPr>
              <w:t xml:space="preserve"> 2001- 2005)</w:t>
            </w:r>
          </w:p>
        </w:tc>
        <w:tc>
          <w:tcPr>
            <w:tcW w:w="710" w:type="dxa"/>
            <w:tcBorders>
              <w:top w:val="nil"/>
              <w:left w:val="nil"/>
              <w:bottom w:val="single" w:sz="4" w:space="0" w:color="auto"/>
              <w:right w:val="nil"/>
            </w:tcBorders>
            <w:shd w:val="clear" w:color="auto" w:fill="auto"/>
            <w:vAlign w:val="center"/>
            <w:hideMark/>
          </w:tcPr>
          <w:p w14:paraId="3F3EF113" w14:textId="77777777" w:rsidR="001F224C" w:rsidRPr="002C7555" w:rsidRDefault="001F224C" w:rsidP="001F224C">
            <w:pPr>
              <w:spacing w:after="0" w:line="240" w:lineRule="auto"/>
              <w:jc w:val="center"/>
              <w:rPr>
                <w:rFonts w:ascii="Arial Narrow" w:hAnsi="Arial Narrow"/>
                <w:b/>
                <w:bCs/>
                <w:color w:val="000000"/>
                <w:sz w:val="20"/>
                <w:szCs w:val="20"/>
                <w:lang w:val="en-US" w:eastAsia="en-US"/>
              </w:rPr>
            </w:pPr>
            <w:r w:rsidRPr="002C7555">
              <w:rPr>
                <w:rFonts w:ascii="Arial Narrow" w:hAnsi="Arial Narrow"/>
                <w:b/>
                <w:bCs/>
                <w:color w:val="000000"/>
                <w:sz w:val="20"/>
                <w:szCs w:val="20"/>
                <w:lang w:val="en-US" w:eastAsia="en-US"/>
              </w:rPr>
              <w:t>EÚ</w:t>
            </w:r>
          </w:p>
        </w:tc>
        <w:tc>
          <w:tcPr>
            <w:tcW w:w="700" w:type="dxa"/>
            <w:tcBorders>
              <w:top w:val="nil"/>
              <w:left w:val="nil"/>
              <w:bottom w:val="single" w:sz="4" w:space="0" w:color="auto"/>
              <w:right w:val="nil"/>
            </w:tcBorders>
            <w:shd w:val="clear" w:color="auto" w:fill="auto"/>
            <w:vAlign w:val="center"/>
          </w:tcPr>
          <w:p w14:paraId="6CB33360" w14:textId="3F952C50"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31C6E309" w14:textId="58AB52D2" w:rsidR="001F224C" w:rsidRPr="002C7555" w:rsidRDefault="001F224C" w:rsidP="001F224C">
            <w:pPr>
              <w:spacing w:after="0" w:line="240" w:lineRule="auto"/>
              <w:jc w:val="center"/>
              <w:rPr>
                <w:rFonts w:ascii="Arial Narrow" w:hAnsi="Arial Narrow"/>
                <w:color w:val="000000"/>
                <w:sz w:val="20"/>
                <w:szCs w:val="20"/>
                <w:lang w:val="en-US" w:eastAsia="en-US"/>
              </w:rPr>
            </w:pPr>
          </w:p>
        </w:tc>
        <w:tc>
          <w:tcPr>
            <w:tcW w:w="592" w:type="dxa"/>
            <w:tcBorders>
              <w:top w:val="nil"/>
              <w:left w:val="nil"/>
              <w:bottom w:val="single" w:sz="4" w:space="0" w:color="auto"/>
              <w:right w:val="nil"/>
            </w:tcBorders>
            <w:shd w:val="clear" w:color="auto" w:fill="auto"/>
            <w:vAlign w:val="center"/>
          </w:tcPr>
          <w:p w14:paraId="36009F2C" w14:textId="26CC964D"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rPr>
              <w:t>-5,3</w:t>
            </w:r>
          </w:p>
        </w:tc>
        <w:tc>
          <w:tcPr>
            <w:tcW w:w="592" w:type="dxa"/>
            <w:tcBorders>
              <w:top w:val="nil"/>
              <w:left w:val="nil"/>
              <w:bottom w:val="single" w:sz="4" w:space="0" w:color="auto"/>
              <w:right w:val="nil"/>
            </w:tcBorders>
            <w:shd w:val="clear" w:color="auto" w:fill="auto"/>
            <w:vAlign w:val="center"/>
          </w:tcPr>
          <w:p w14:paraId="50E718B9" w14:textId="11AEC6C4"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rPr>
              <w:t>-5,4</w:t>
            </w:r>
          </w:p>
        </w:tc>
        <w:tc>
          <w:tcPr>
            <w:tcW w:w="592" w:type="dxa"/>
            <w:tcBorders>
              <w:top w:val="nil"/>
              <w:left w:val="nil"/>
              <w:bottom w:val="single" w:sz="4" w:space="0" w:color="auto"/>
              <w:right w:val="nil"/>
            </w:tcBorders>
            <w:shd w:val="clear" w:color="auto" w:fill="auto"/>
            <w:vAlign w:val="center"/>
          </w:tcPr>
          <w:p w14:paraId="4CAC64D2" w14:textId="790C08EB"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rPr>
              <w:t>-5,4</w:t>
            </w:r>
          </w:p>
        </w:tc>
        <w:tc>
          <w:tcPr>
            <w:tcW w:w="592" w:type="dxa"/>
            <w:tcBorders>
              <w:top w:val="nil"/>
              <w:left w:val="nil"/>
              <w:bottom w:val="single" w:sz="4" w:space="0" w:color="auto"/>
              <w:right w:val="nil"/>
            </w:tcBorders>
            <w:shd w:val="clear" w:color="auto" w:fill="auto"/>
            <w:vAlign w:val="center"/>
          </w:tcPr>
          <w:p w14:paraId="0CA4B08C" w14:textId="5DBF16A8"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rPr>
              <w:t>-9,3</w:t>
            </w:r>
          </w:p>
        </w:tc>
        <w:tc>
          <w:tcPr>
            <w:tcW w:w="592" w:type="dxa"/>
            <w:tcBorders>
              <w:top w:val="nil"/>
              <w:left w:val="nil"/>
              <w:bottom w:val="single" w:sz="4" w:space="0" w:color="auto"/>
              <w:right w:val="nil"/>
            </w:tcBorders>
            <w:shd w:val="clear" w:color="auto" w:fill="auto"/>
            <w:vAlign w:val="center"/>
          </w:tcPr>
          <w:p w14:paraId="25159FB0" w14:textId="06D50B78"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rPr>
              <w:t>-7,3</w:t>
            </w:r>
          </w:p>
        </w:tc>
        <w:tc>
          <w:tcPr>
            <w:tcW w:w="592" w:type="dxa"/>
            <w:tcBorders>
              <w:top w:val="nil"/>
              <w:left w:val="nil"/>
              <w:bottom w:val="single" w:sz="4" w:space="0" w:color="auto"/>
              <w:right w:val="nil"/>
            </w:tcBorders>
            <w:shd w:val="clear" w:color="auto" w:fill="auto"/>
            <w:vAlign w:val="center"/>
          </w:tcPr>
          <w:p w14:paraId="499BD896" w14:textId="3625A54E"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rPr>
              <w:t>-5,5</w:t>
            </w:r>
          </w:p>
        </w:tc>
        <w:tc>
          <w:tcPr>
            <w:tcW w:w="592" w:type="dxa"/>
            <w:tcBorders>
              <w:top w:val="nil"/>
              <w:left w:val="nil"/>
              <w:bottom w:val="single" w:sz="4" w:space="0" w:color="auto"/>
              <w:right w:val="nil"/>
            </w:tcBorders>
            <w:vAlign w:val="center"/>
          </w:tcPr>
          <w:p w14:paraId="7AD0CE6D" w14:textId="5D43695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rPr>
              <w:t>-</w:t>
            </w:r>
          </w:p>
        </w:tc>
        <w:tc>
          <w:tcPr>
            <w:tcW w:w="592" w:type="dxa"/>
            <w:tcBorders>
              <w:top w:val="nil"/>
              <w:left w:val="nil"/>
              <w:bottom w:val="single" w:sz="4" w:space="0" w:color="auto"/>
              <w:right w:val="nil"/>
            </w:tcBorders>
            <w:vAlign w:val="center"/>
          </w:tcPr>
          <w:p w14:paraId="378C26EE" w14:textId="61F5DD0B" w:rsidR="001F224C" w:rsidRPr="002C7555" w:rsidRDefault="001F224C" w:rsidP="001F224C">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592" w:type="dxa"/>
            <w:tcBorders>
              <w:top w:val="nil"/>
              <w:left w:val="nil"/>
              <w:bottom w:val="single" w:sz="4" w:space="0" w:color="auto"/>
              <w:right w:val="nil"/>
            </w:tcBorders>
            <w:shd w:val="clear" w:color="auto" w:fill="auto"/>
            <w:vAlign w:val="center"/>
            <w:hideMark/>
          </w:tcPr>
          <w:p w14:paraId="16BE51B4" w14:textId="77777777" w:rsidR="001F224C" w:rsidRPr="002C7555" w:rsidRDefault="001F224C" w:rsidP="001F224C">
            <w:pPr>
              <w:spacing w:after="0" w:line="240" w:lineRule="auto"/>
              <w:jc w:val="center"/>
              <w:rPr>
                <w:rFonts w:ascii="Arial Narrow" w:hAnsi="Arial Narrow"/>
                <w:color w:val="000000"/>
                <w:sz w:val="20"/>
                <w:szCs w:val="20"/>
                <w:lang w:val="en-US" w:eastAsia="en-US"/>
              </w:rPr>
            </w:pPr>
            <w:r w:rsidRPr="002C7555">
              <w:rPr>
                <w:rFonts w:ascii="Arial Narrow" w:hAnsi="Arial Narrow"/>
                <w:color w:val="000000"/>
                <w:sz w:val="20"/>
                <w:szCs w:val="20"/>
                <w:lang w:val="en-US" w:eastAsia="en-US"/>
              </w:rPr>
              <w:t>-7,3</w:t>
            </w:r>
          </w:p>
        </w:tc>
      </w:tr>
    </w:tbl>
    <w:p w14:paraId="4AC9C842" w14:textId="77777777" w:rsidR="00E64732" w:rsidRPr="00E64732" w:rsidRDefault="00E64732" w:rsidP="00E64732">
      <w:pPr>
        <w:spacing w:line="240" w:lineRule="auto"/>
        <w:rPr>
          <w:rFonts w:ascii="Arial Narrow" w:hAnsi="Arial Narrow"/>
        </w:rPr>
      </w:pPr>
      <w:r w:rsidRPr="00E64732">
        <w:rPr>
          <w:rFonts w:ascii="Arial Narrow" w:hAnsi="Arial Narrow"/>
        </w:rPr>
        <w:br w:type="page"/>
      </w:r>
    </w:p>
    <w:tbl>
      <w:tblPr>
        <w:tblW w:w="10206" w:type="dxa"/>
        <w:jc w:val="center"/>
        <w:tblLook w:val="04A0" w:firstRow="1" w:lastRow="0" w:firstColumn="1" w:lastColumn="0" w:noHBand="0" w:noVBand="1"/>
      </w:tblPr>
      <w:tblGrid>
        <w:gridCol w:w="1826"/>
        <w:gridCol w:w="8380"/>
      </w:tblGrid>
      <w:tr w:rsidR="00E64732" w:rsidRPr="00AB20C2" w14:paraId="3A090651" w14:textId="77777777" w:rsidTr="001C548C">
        <w:trPr>
          <w:trHeight w:val="300"/>
          <w:jc w:val="center"/>
        </w:trPr>
        <w:tc>
          <w:tcPr>
            <w:tcW w:w="10206" w:type="dxa"/>
            <w:gridSpan w:val="2"/>
            <w:tcBorders>
              <w:top w:val="nil"/>
              <w:left w:val="nil"/>
              <w:bottom w:val="single" w:sz="4" w:space="0" w:color="auto"/>
              <w:right w:val="nil"/>
            </w:tcBorders>
            <w:shd w:val="clear" w:color="auto" w:fill="auto"/>
            <w:vAlign w:val="center"/>
            <w:hideMark/>
          </w:tcPr>
          <w:p w14:paraId="3A145B8D" w14:textId="77777777" w:rsidR="00E64732" w:rsidRPr="00AB20C2" w:rsidRDefault="00E64732" w:rsidP="00E64732">
            <w:pPr>
              <w:spacing w:after="0" w:line="240" w:lineRule="auto"/>
              <w:rPr>
                <w:rFonts w:ascii="Arial Narrow" w:hAnsi="Arial Narrow"/>
                <w:b/>
                <w:bCs/>
                <w:color w:val="2C9ADC"/>
                <w:sz w:val="20"/>
                <w:szCs w:val="20"/>
                <w:lang w:eastAsia="en-US"/>
              </w:rPr>
            </w:pPr>
            <w:r w:rsidRPr="00AB20C2">
              <w:rPr>
                <w:rFonts w:ascii="Arial Narrow" w:hAnsi="Arial Narrow"/>
                <w:b/>
                <w:bCs/>
                <w:color w:val="2C9ADC"/>
                <w:sz w:val="20"/>
                <w:szCs w:val="20"/>
                <w:lang w:eastAsia="en-US"/>
              </w:rPr>
              <w:lastRenderedPageBreak/>
              <w:t>Popis výsledkových ukazovateľov stratégie Európa 2020 a iných oblastí</w:t>
            </w:r>
          </w:p>
        </w:tc>
      </w:tr>
      <w:tr w:rsidR="00E64732" w:rsidRPr="00AB20C2" w14:paraId="6E7F43C6" w14:textId="77777777" w:rsidTr="001C548C">
        <w:trPr>
          <w:trHeight w:val="300"/>
          <w:jc w:val="center"/>
        </w:trPr>
        <w:tc>
          <w:tcPr>
            <w:tcW w:w="1826" w:type="dxa"/>
            <w:tcBorders>
              <w:top w:val="nil"/>
              <w:left w:val="nil"/>
              <w:bottom w:val="single" w:sz="4" w:space="0" w:color="auto"/>
              <w:right w:val="nil"/>
            </w:tcBorders>
            <w:shd w:val="clear" w:color="auto" w:fill="auto"/>
            <w:vAlign w:val="center"/>
            <w:hideMark/>
          </w:tcPr>
          <w:p w14:paraId="07441FF4"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Názov ukazovateľa</w:t>
            </w:r>
          </w:p>
        </w:tc>
        <w:tc>
          <w:tcPr>
            <w:tcW w:w="8380" w:type="dxa"/>
            <w:tcBorders>
              <w:top w:val="nil"/>
              <w:left w:val="nil"/>
              <w:bottom w:val="single" w:sz="4" w:space="0" w:color="auto"/>
              <w:right w:val="nil"/>
            </w:tcBorders>
            <w:shd w:val="clear" w:color="auto" w:fill="auto"/>
            <w:vAlign w:val="center"/>
            <w:hideMark/>
          </w:tcPr>
          <w:p w14:paraId="5B8A94E7" w14:textId="77777777" w:rsidR="00E64732" w:rsidRPr="00A2007E" w:rsidRDefault="00E64732" w:rsidP="00E64732">
            <w:pPr>
              <w:spacing w:after="0" w:line="240" w:lineRule="auto"/>
              <w:jc w:val="both"/>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Definícia a zdroj</w:t>
            </w:r>
          </w:p>
        </w:tc>
      </w:tr>
      <w:tr w:rsidR="00E64732" w:rsidRPr="00AB20C2" w14:paraId="1F275BF5" w14:textId="77777777" w:rsidTr="001C548C">
        <w:trPr>
          <w:trHeight w:val="1020"/>
          <w:jc w:val="center"/>
        </w:trPr>
        <w:tc>
          <w:tcPr>
            <w:tcW w:w="1826" w:type="dxa"/>
            <w:vMerge w:val="restart"/>
            <w:tcBorders>
              <w:top w:val="nil"/>
              <w:left w:val="nil"/>
              <w:bottom w:val="nil"/>
              <w:right w:val="nil"/>
            </w:tcBorders>
            <w:shd w:val="clear" w:color="auto" w:fill="auto"/>
            <w:vAlign w:val="center"/>
            <w:hideMark/>
          </w:tcPr>
          <w:p w14:paraId="2357E550"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Ukazovateľ dlhodobej udržateľnosti (GAP)</w:t>
            </w:r>
          </w:p>
        </w:tc>
        <w:tc>
          <w:tcPr>
            <w:tcW w:w="8380" w:type="dxa"/>
            <w:tcBorders>
              <w:top w:val="nil"/>
              <w:left w:val="nil"/>
              <w:bottom w:val="nil"/>
              <w:right w:val="nil"/>
            </w:tcBorders>
            <w:shd w:val="clear" w:color="auto" w:fill="auto"/>
            <w:vAlign w:val="center"/>
            <w:hideMark/>
          </w:tcPr>
          <w:p w14:paraId="7E04F491"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Ukazovateľ dlhodobej udržateľnosti je rozdiel medzi aktuálnou hodnotou a dlhodobo udržateľnou hodnotou štrukturálneho primárneho salda. Dlhodobo udržateľná hodnota sa určuje na základe aktuálnej legislatívy a dlhodobých demografických a ekonomických prognóz ovplyvňujúcich príjmy a výdavky verejnej správy (implicitné záväzky), pričom do úvahy sa berú aj podmienené záväzky (napr. PPP projekty)</w:t>
            </w:r>
          </w:p>
        </w:tc>
      </w:tr>
      <w:tr w:rsidR="00E64732" w:rsidRPr="00AB20C2" w14:paraId="72E4A616" w14:textId="77777777" w:rsidTr="001C548C">
        <w:trPr>
          <w:trHeight w:val="300"/>
          <w:jc w:val="center"/>
        </w:trPr>
        <w:tc>
          <w:tcPr>
            <w:tcW w:w="1826" w:type="dxa"/>
            <w:vMerge/>
            <w:tcBorders>
              <w:top w:val="nil"/>
              <w:left w:val="nil"/>
              <w:bottom w:val="nil"/>
              <w:right w:val="nil"/>
            </w:tcBorders>
            <w:vAlign w:val="center"/>
            <w:hideMark/>
          </w:tcPr>
          <w:p w14:paraId="43FF9474"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3EEF06CC"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OECD / </w:t>
            </w:r>
            <w:proofErr w:type="spellStart"/>
            <w:r w:rsidRPr="00A2007E">
              <w:rPr>
                <w:rFonts w:ascii="Arial Narrow" w:hAnsi="Arial Narrow"/>
                <w:color w:val="000000"/>
                <w:sz w:val="20"/>
                <w:szCs w:val="20"/>
                <w:lang w:eastAsia="en-US"/>
              </w:rPr>
              <w:t>Eurostat</w:t>
            </w:r>
            <w:proofErr w:type="spellEnd"/>
            <w:r w:rsidRPr="00A2007E">
              <w:rPr>
                <w:rFonts w:ascii="Arial Narrow" w:hAnsi="Arial Narrow"/>
                <w:color w:val="000000"/>
                <w:sz w:val="20"/>
                <w:szCs w:val="20"/>
                <w:lang w:eastAsia="en-US"/>
              </w:rPr>
              <w:t>, výpočet Rada pre rozpočtovú zodpovednosť</w:t>
            </w:r>
          </w:p>
        </w:tc>
      </w:tr>
      <w:tr w:rsidR="00E64732" w:rsidRPr="00AB20C2" w14:paraId="0A7DD633" w14:textId="77777777" w:rsidTr="001C548C">
        <w:trPr>
          <w:trHeight w:val="510"/>
          <w:jc w:val="center"/>
        </w:trPr>
        <w:tc>
          <w:tcPr>
            <w:tcW w:w="1826" w:type="dxa"/>
            <w:vMerge w:val="restart"/>
            <w:tcBorders>
              <w:top w:val="dotted" w:sz="4" w:space="0" w:color="auto"/>
              <w:left w:val="nil"/>
              <w:bottom w:val="dotted" w:sz="4" w:space="0" w:color="000000"/>
              <w:right w:val="nil"/>
            </w:tcBorders>
            <w:shd w:val="clear" w:color="auto" w:fill="auto"/>
            <w:vAlign w:val="center"/>
            <w:hideMark/>
          </w:tcPr>
          <w:p w14:paraId="48C47C00"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Efektívnosť výberu DPH</w:t>
            </w:r>
          </w:p>
        </w:tc>
        <w:tc>
          <w:tcPr>
            <w:tcW w:w="8380" w:type="dxa"/>
            <w:tcBorders>
              <w:top w:val="nil"/>
              <w:left w:val="nil"/>
              <w:bottom w:val="nil"/>
              <w:right w:val="nil"/>
            </w:tcBorders>
            <w:shd w:val="clear" w:color="auto" w:fill="auto"/>
            <w:vAlign w:val="center"/>
            <w:hideMark/>
          </w:tcPr>
          <w:p w14:paraId="34D5D5F5"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Efektívnosť výberu DPH = výber DPH / [(konečná spotreba domácností + tvorba hrubého fixného kapitálu verejnej správy + medzispotreba verejnej správy – výber DPH) * (základná sadzba DPH / 100)]</w:t>
            </w:r>
          </w:p>
        </w:tc>
      </w:tr>
      <w:tr w:rsidR="00E64732" w:rsidRPr="00AB20C2" w14:paraId="239C1A00" w14:textId="77777777" w:rsidTr="001C548C">
        <w:trPr>
          <w:trHeight w:val="765"/>
          <w:jc w:val="center"/>
        </w:trPr>
        <w:tc>
          <w:tcPr>
            <w:tcW w:w="1826" w:type="dxa"/>
            <w:vMerge/>
            <w:tcBorders>
              <w:top w:val="dotted" w:sz="4" w:space="0" w:color="auto"/>
              <w:left w:val="nil"/>
              <w:bottom w:val="dotted" w:sz="4" w:space="0" w:color="000000"/>
              <w:right w:val="nil"/>
            </w:tcBorders>
            <w:vAlign w:val="center"/>
            <w:hideMark/>
          </w:tcPr>
          <w:p w14:paraId="188F0CDD"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nil"/>
              <w:right w:val="nil"/>
            </w:tcBorders>
            <w:shd w:val="clear" w:color="auto" w:fill="auto"/>
            <w:vAlign w:val="center"/>
            <w:hideMark/>
          </w:tcPr>
          <w:p w14:paraId="42ED45D0"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Tento index porovnáva skutočný výber DPH s potenciálnym výberom DPH. Čím väčšia je hodnota indikátora, tým efektívnejší je výber DPH. Potenciálny výber DPH ukazuje, koľko sa dokáže vybrať DPH z makroekonomickej základne pri zdanení základnou sadzbou DPH. </w:t>
            </w:r>
          </w:p>
        </w:tc>
      </w:tr>
      <w:tr w:rsidR="00E64732" w:rsidRPr="00AB20C2" w14:paraId="62EE2D58" w14:textId="77777777" w:rsidTr="001C548C">
        <w:trPr>
          <w:trHeight w:val="300"/>
          <w:jc w:val="center"/>
        </w:trPr>
        <w:tc>
          <w:tcPr>
            <w:tcW w:w="1826" w:type="dxa"/>
            <w:vMerge/>
            <w:tcBorders>
              <w:top w:val="dotted" w:sz="4" w:space="0" w:color="auto"/>
              <w:left w:val="nil"/>
              <w:bottom w:val="dotted" w:sz="4" w:space="0" w:color="000000"/>
              <w:right w:val="nil"/>
            </w:tcBorders>
            <w:vAlign w:val="center"/>
            <w:hideMark/>
          </w:tcPr>
          <w:p w14:paraId="369E38E2"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6EF9097F"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OECD / </w:t>
            </w:r>
            <w:proofErr w:type="spellStart"/>
            <w:r w:rsidRPr="00A2007E">
              <w:rPr>
                <w:rFonts w:ascii="Arial Narrow" w:hAnsi="Arial Narrow"/>
                <w:color w:val="000000"/>
                <w:sz w:val="20"/>
                <w:szCs w:val="20"/>
                <w:lang w:eastAsia="en-US"/>
              </w:rPr>
              <w:t>Eurostat</w:t>
            </w:r>
            <w:proofErr w:type="spellEnd"/>
            <w:r w:rsidRPr="00A2007E">
              <w:rPr>
                <w:rFonts w:ascii="Arial Narrow" w:hAnsi="Arial Narrow"/>
                <w:color w:val="000000"/>
                <w:sz w:val="20"/>
                <w:szCs w:val="20"/>
                <w:lang w:eastAsia="en-US"/>
              </w:rPr>
              <w:t>, výpočty MF SR</w:t>
            </w:r>
          </w:p>
        </w:tc>
      </w:tr>
      <w:tr w:rsidR="00E64732" w:rsidRPr="00AB20C2" w14:paraId="3618392A" w14:textId="77777777" w:rsidTr="001C548C">
        <w:trPr>
          <w:trHeight w:val="699"/>
          <w:jc w:val="center"/>
        </w:trPr>
        <w:tc>
          <w:tcPr>
            <w:tcW w:w="1826" w:type="dxa"/>
            <w:vMerge w:val="restart"/>
            <w:tcBorders>
              <w:top w:val="nil"/>
              <w:left w:val="nil"/>
              <w:bottom w:val="dotted" w:sz="4" w:space="0" w:color="000000"/>
              <w:right w:val="nil"/>
            </w:tcBorders>
            <w:shd w:val="clear" w:color="auto" w:fill="auto"/>
            <w:vAlign w:val="center"/>
            <w:hideMark/>
          </w:tcPr>
          <w:p w14:paraId="664E6B7F"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Medzera DPH</w:t>
            </w:r>
          </w:p>
        </w:tc>
        <w:tc>
          <w:tcPr>
            <w:tcW w:w="8380" w:type="dxa"/>
            <w:tcBorders>
              <w:top w:val="nil"/>
              <w:left w:val="nil"/>
              <w:bottom w:val="nil"/>
              <w:right w:val="nil"/>
            </w:tcBorders>
            <w:shd w:val="clear" w:color="auto" w:fill="auto"/>
            <w:vAlign w:val="center"/>
            <w:hideMark/>
          </w:tcPr>
          <w:p w14:paraId="697EE1DE" w14:textId="77777777" w:rsidR="00E64732" w:rsidRPr="00A2007E" w:rsidRDefault="00E64732" w:rsidP="00E64732">
            <w:pPr>
              <w:autoSpaceDE w:val="0"/>
              <w:autoSpaceDN w:val="0"/>
              <w:adjustRightInd w:val="0"/>
              <w:spacing w:after="80" w:line="240" w:lineRule="auto"/>
              <w:jc w:val="both"/>
              <w:rPr>
                <w:rFonts w:ascii="Arial Narrow" w:hAnsi="Arial Narrow"/>
                <w:color w:val="000000"/>
                <w:sz w:val="20"/>
                <w:szCs w:val="20"/>
              </w:rPr>
            </w:pPr>
            <w:r w:rsidRPr="00A2007E">
              <w:rPr>
                <w:rFonts w:ascii="Arial Narrow" w:hAnsi="Arial Narrow"/>
                <w:color w:val="000000"/>
                <w:sz w:val="20"/>
                <w:szCs w:val="20"/>
              </w:rPr>
              <w:t xml:space="preserve">Rozdiel medzi potenciálnym výberom DPH, ktorý by štát získal, ak by sa všetky ekonomické subjekty správali v súlade so zákonom a jeho výkladom vo forme v akej bol prijatý, a skutočne vybranou daňou. </w:t>
            </w:r>
          </w:p>
          <w:p w14:paraId="43ABEFB8" w14:textId="77777777" w:rsidR="00E64732" w:rsidRPr="00A2007E" w:rsidRDefault="00E64732" w:rsidP="00E64732">
            <w:pPr>
              <w:spacing w:after="80" w:line="240" w:lineRule="auto"/>
              <w:rPr>
                <w:rFonts w:ascii="Arial Narrow" w:hAnsi="Arial Narrow"/>
                <w:bCs/>
                <w:color w:val="000000"/>
                <w:sz w:val="20"/>
                <w:szCs w:val="20"/>
                <w:lang w:eastAsia="en-US"/>
              </w:rPr>
            </w:pPr>
            <w:r w:rsidRPr="00A2007E">
              <w:rPr>
                <w:rFonts w:ascii="Arial Narrow" w:hAnsi="Arial Narrow"/>
                <w:bCs/>
                <w:color w:val="000000"/>
                <w:sz w:val="20"/>
                <w:szCs w:val="20"/>
                <w:lang w:eastAsia="en-US"/>
              </w:rPr>
              <w:t>Medzera DPH = [teoretická (potenciálna DPH) – aktuálne vybraná DPH)] / teoretická (potenciálna DPH)</w:t>
            </w:r>
          </w:p>
        </w:tc>
      </w:tr>
      <w:tr w:rsidR="00E64732" w:rsidRPr="00AB20C2" w14:paraId="68B4F060" w14:textId="77777777" w:rsidTr="001C548C">
        <w:trPr>
          <w:trHeight w:val="300"/>
          <w:jc w:val="center"/>
        </w:trPr>
        <w:tc>
          <w:tcPr>
            <w:tcW w:w="1826" w:type="dxa"/>
            <w:vMerge/>
            <w:tcBorders>
              <w:top w:val="nil"/>
              <w:left w:val="nil"/>
              <w:bottom w:val="dotted" w:sz="4" w:space="0" w:color="000000"/>
              <w:right w:val="nil"/>
            </w:tcBorders>
            <w:vAlign w:val="center"/>
            <w:hideMark/>
          </w:tcPr>
          <w:p w14:paraId="5A55D97F"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noWrap/>
            <w:vAlign w:val="center"/>
            <w:hideMark/>
          </w:tcPr>
          <w:p w14:paraId="2A85C3CA" w14:textId="77777777" w:rsidR="00E64732" w:rsidRPr="00A2007E" w:rsidRDefault="00E64732" w:rsidP="00E64732">
            <w:pPr>
              <w:spacing w:after="0" w:line="240" w:lineRule="auto"/>
              <w:rPr>
                <w:rFonts w:ascii="Arial Narrow" w:hAnsi="Arial Narrow"/>
                <w:color w:val="000000"/>
                <w:sz w:val="20"/>
                <w:szCs w:val="20"/>
                <w:lang w:eastAsia="en-US"/>
              </w:rPr>
            </w:pPr>
            <w:r w:rsidRPr="00A2007E">
              <w:rPr>
                <w:rFonts w:ascii="Arial Narrow" w:hAnsi="Arial Narrow"/>
                <w:color w:val="000000"/>
                <w:sz w:val="20"/>
                <w:szCs w:val="20"/>
                <w:lang w:eastAsia="en-US"/>
              </w:rPr>
              <w:t> Zdroj: Európska komisia / CASE, výpočty MF SR</w:t>
            </w:r>
          </w:p>
        </w:tc>
      </w:tr>
      <w:tr w:rsidR="00E64732" w:rsidRPr="00AB20C2" w14:paraId="5DCD22E6" w14:textId="77777777" w:rsidTr="001C548C">
        <w:trPr>
          <w:trHeight w:val="1020"/>
          <w:jc w:val="center"/>
        </w:trPr>
        <w:tc>
          <w:tcPr>
            <w:tcW w:w="1826" w:type="dxa"/>
            <w:vMerge w:val="restart"/>
            <w:tcBorders>
              <w:top w:val="nil"/>
              <w:left w:val="nil"/>
              <w:bottom w:val="dotted" w:sz="4" w:space="0" w:color="000000"/>
              <w:right w:val="nil"/>
            </w:tcBorders>
            <w:shd w:val="clear" w:color="auto" w:fill="auto"/>
            <w:vAlign w:val="center"/>
            <w:hideMark/>
          </w:tcPr>
          <w:p w14:paraId="00768478"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 xml:space="preserve">Predčasné ukončenie školskej dochádzky </w:t>
            </w:r>
          </w:p>
        </w:tc>
        <w:tc>
          <w:tcPr>
            <w:tcW w:w="8380" w:type="dxa"/>
            <w:tcBorders>
              <w:top w:val="nil"/>
              <w:left w:val="nil"/>
              <w:bottom w:val="nil"/>
              <w:right w:val="nil"/>
            </w:tcBorders>
            <w:shd w:val="clear" w:color="auto" w:fill="auto"/>
            <w:vAlign w:val="center"/>
            <w:hideMark/>
          </w:tcPr>
          <w:p w14:paraId="5DC4B128"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Podiel populácie vo veku 18-24 rokov s najnižším vzdelaním (ISCED 0, 1, 2, 3C), ktorá nepokračuje v ďalšom vzdelávaní. Žiak nepokračuje vo vzdelávaní, ak sa počas posledných štyroch týždňov pred uskutočnením prieskumu nezúčastnil žiadneho typu vzdelávania, pričom sa nezohľadňuje relevantnosť vzdelávania pre súčasnú alebo budúcu prácu respondenta.</w:t>
            </w:r>
          </w:p>
        </w:tc>
      </w:tr>
      <w:tr w:rsidR="00E64732" w:rsidRPr="00AB20C2" w14:paraId="2CED210A" w14:textId="77777777" w:rsidTr="001C548C">
        <w:trPr>
          <w:trHeight w:val="300"/>
          <w:jc w:val="center"/>
        </w:trPr>
        <w:tc>
          <w:tcPr>
            <w:tcW w:w="1826" w:type="dxa"/>
            <w:vMerge/>
            <w:tcBorders>
              <w:top w:val="nil"/>
              <w:left w:val="nil"/>
              <w:bottom w:val="dotted" w:sz="4" w:space="0" w:color="000000"/>
              <w:right w:val="nil"/>
            </w:tcBorders>
            <w:vAlign w:val="center"/>
            <w:hideMark/>
          </w:tcPr>
          <w:p w14:paraId="21C0AEEB"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78032D48"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w:t>
            </w:r>
            <w:proofErr w:type="spellStart"/>
            <w:r w:rsidRPr="00A2007E">
              <w:rPr>
                <w:rFonts w:ascii="Arial Narrow" w:hAnsi="Arial Narrow"/>
                <w:color w:val="000000"/>
                <w:sz w:val="20"/>
                <w:szCs w:val="20"/>
                <w:lang w:eastAsia="en-US"/>
              </w:rPr>
              <w:t>Eurostat</w:t>
            </w:r>
            <w:proofErr w:type="spellEnd"/>
            <w:r w:rsidRPr="00A2007E">
              <w:rPr>
                <w:rFonts w:ascii="Arial Narrow" w:hAnsi="Arial Narrow"/>
                <w:color w:val="000000"/>
                <w:sz w:val="20"/>
                <w:szCs w:val="20"/>
                <w:lang w:eastAsia="en-US"/>
              </w:rPr>
              <w:t xml:space="preserve"> (edat_lfse_14)</w:t>
            </w:r>
          </w:p>
        </w:tc>
      </w:tr>
      <w:tr w:rsidR="00E64732" w:rsidRPr="00AB20C2" w14:paraId="0905161D" w14:textId="77777777" w:rsidTr="001C548C">
        <w:trPr>
          <w:trHeight w:val="765"/>
          <w:jc w:val="center"/>
        </w:trPr>
        <w:tc>
          <w:tcPr>
            <w:tcW w:w="1826" w:type="dxa"/>
            <w:vMerge w:val="restart"/>
            <w:tcBorders>
              <w:top w:val="nil"/>
              <w:left w:val="nil"/>
              <w:bottom w:val="dotted" w:sz="4" w:space="0" w:color="000000"/>
              <w:right w:val="nil"/>
            </w:tcBorders>
            <w:shd w:val="clear" w:color="auto" w:fill="auto"/>
            <w:vAlign w:val="center"/>
            <w:hideMark/>
          </w:tcPr>
          <w:p w14:paraId="2019361B" w14:textId="77777777" w:rsidR="00E64732" w:rsidRPr="00A2007E" w:rsidRDefault="00E64732" w:rsidP="00E64732">
            <w:pPr>
              <w:spacing w:after="0" w:line="240" w:lineRule="auto"/>
              <w:jc w:val="both"/>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PISA</w:t>
            </w:r>
          </w:p>
        </w:tc>
        <w:tc>
          <w:tcPr>
            <w:tcW w:w="8380" w:type="dxa"/>
            <w:tcBorders>
              <w:top w:val="nil"/>
              <w:left w:val="nil"/>
              <w:bottom w:val="nil"/>
              <w:right w:val="nil"/>
            </w:tcBorders>
            <w:shd w:val="clear" w:color="auto" w:fill="auto"/>
            <w:vAlign w:val="center"/>
            <w:hideMark/>
          </w:tcPr>
          <w:p w14:paraId="023D6980"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Medzinárodné štandardizované hodnotenie vedomostí a zručností pätnásťročných žiakov. Hodnotí žiakov v troch oblastiach: v matematike, čítaní a prírodných vedách. Index je aritmetickým priemerom hodnotení v jednotlivých oblastiach.</w:t>
            </w:r>
          </w:p>
        </w:tc>
      </w:tr>
      <w:tr w:rsidR="00E64732" w:rsidRPr="00AB20C2" w14:paraId="067113C5" w14:textId="77777777" w:rsidTr="001C548C">
        <w:trPr>
          <w:trHeight w:val="300"/>
          <w:jc w:val="center"/>
        </w:trPr>
        <w:tc>
          <w:tcPr>
            <w:tcW w:w="1826" w:type="dxa"/>
            <w:vMerge/>
            <w:tcBorders>
              <w:top w:val="nil"/>
              <w:left w:val="nil"/>
              <w:bottom w:val="dotted" w:sz="4" w:space="0" w:color="000000"/>
              <w:right w:val="nil"/>
            </w:tcBorders>
            <w:vAlign w:val="center"/>
            <w:hideMark/>
          </w:tcPr>
          <w:p w14:paraId="232E1C5F"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3B033E12"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OECD - PISA 2015 </w:t>
            </w:r>
            <w:proofErr w:type="spellStart"/>
            <w:r w:rsidRPr="00A2007E">
              <w:rPr>
                <w:rFonts w:ascii="Arial Narrow" w:hAnsi="Arial Narrow"/>
                <w:color w:val="000000"/>
                <w:sz w:val="20"/>
                <w:szCs w:val="20"/>
                <w:lang w:eastAsia="en-US"/>
              </w:rPr>
              <w:t>Results</w:t>
            </w:r>
            <w:proofErr w:type="spellEnd"/>
            <w:r w:rsidRPr="00A2007E">
              <w:rPr>
                <w:rFonts w:ascii="Arial Narrow" w:hAnsi="Arial Narrow"/>
                <w:color w:val="000000"/>
                <w:sz w:val="20"/>
                <w:szCs w:val="20"/>
                <w:lang w:eastAsia="en-US"/>
              </w:rPr>
              <w:t xml:space="preserve"> (</w:t>
            </w:r>
            <w:proofErr w:type="spellStart"/>
            <w:r w:rsidRPr="00A2007E">
              <w:rPr>
                <w:rFonts w:ascii="Arial Narrow" w:hAnsi="Arial Narrow"/>
                <w:color w:val="000000"/>
                <w:sz w:val="20"/>
                <w:szCs w:val="20"/>
                <w:lang w:eastAsia="en-US"/>
              </w:rPr>
              <w:t>Volume</w:t>
            </w:r>
            <w:proofErr w:type="spellEnd"/>
            <w:r w:rsidRPr="00A2007E">
              <w:rPr>
                <w:rFonts w:ascii="Arial Narrow" w:hAnsi="Arial Narrow"/>
                <w:color w:val="000000"/>
                <w:sz w:val="20"/>
                <w:szCs w:val="20"/>
                <w:lang w:eastAsia="en-US"/>
              </w:rPr>
              <w:t xml:space="preserve"> I) [</w:t>
            </w:r>
            <w:proofErr w:type="spellStart"/>
            <w:r w:rsidRPr="00A2007E">
              <w:rPr>
                <w:rFonts w:ascii="Arial Narrow" w:hAnsi="Arial Narrow"/>
                <w:color w:val="000000"/>
                <w:sz w:val="20"/>
                <w:szCs w:val="20"/>
                <w:lang w:eastAsia="en-US"/>
              </w:rPr>
              <w:t>Tab</w:t>
            </w:r>
            <w:proofErr w:type="spellEnd"/>
            <w:r w:rsidRPr="00A2007E">
              <w:rPr>
                <w:rFonts w:ascii="Arial Narrow" w:hAnsi="Arial Narrow"/>
                <w:color w:val="000000"/>
                <w:sz w:val="20"/>
                <w:szCs w:val="20"/>
                <w:lang w:eastAsia="en-US"/>
              </w:rPr>
              <w:t xml:space="preserve"> I.2.3; I.4.3; I.5.3]</w:t>
            </w:r>
          </w:p>
        </w:tc>
      </w:tr>
      <w:tr w:rsidR="00E64732" w:rsidRPr="00AB20C2" w14:paraId="4491F64D" w14:textId="77777777" w:rsidTr="001C548C">
        <w:trPr>
          <w:trHeight w:val="510"/>
          <w:jc w:val="center"/>
        </w:trPr>
        <w:tc>
          <w:tcPr>
            <w:tcW w:w="1826" w:type="dxa"/>
            <w:vMerge w:val="restart"/>
            <w:tcBorders>
              <w:top w:val="nil"/>
              <w:left w:val="nil"/>
              <w:bottom w:val="dotted" w:sz="4" w:space="0" w:color="000000"/>
              <w:right w:val="nil"/>
            </w:tcBorders>
            <w:shd w:val="clear" w:color="auto" w:fill="auto"/>
            <w:vAlign w:val="center"/>
            <w:hideMark/>
          </w:tcPr>
          <w:p w14:paraId="3B10127B"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Miera vysokoškolsky vzdelanej populácie</w:t>
            </w:r>
          </w:p>
        </w:tc>
        <w:tc>
          <w:tcPr>
            <w:tcW w:w="8380" w:type="dxa"/>
            <w:tcBorders>
              <w:top w:val="nil"/>
              <w:left w:val="nil"/>
              <w:bottom w:val="nil"/>
              <w:right w:val="nil"/>
            </w:tcBorders>
            <w:shd w:val="clear" w:color="auto" w:fill="auto"/>
            <w:vAlign w:val="center"/>
            <w:hideMark/>
          </w:tcPr>
          <w:p w14:paraId="72A1CF13"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Podiel absolventov vysokoškolského štúdia vo veku 30-34 rokov pripadajúci na celkový počet obyvateľov rovnakej vekovej skupiny. Stupeň vysokoškolského alebo doktorandského štúdia zodpovedá úrovni ISCED 5-6.</w:t>
            </w:r>
          </w:p>
        </w:tc>
      </w:tr>
      <w:tr w:rsidR="00E64732" w:rsidRPr="00AB20C2" w14:paraId="44FE651F" w14:textId="77777777" w:rsidTr="001C548C">
        <w:trPr>
          <w:trHeight w:val="300"/>
          <w:jc w:val="center"/>
        </w:trPr>
        <w:tc>
          <w:tcPr>
            <w:tcW w:w="1826" w:type="dxa"/>
            <w:vMerge/>
            <w:tcBorders>
              <w:top w:val="nil"/>
              <w:left w:val="nil"/>
              <w:bottom w:val="dotted" w:sz="4" w:space="0" w:color="000000"/>
              <w:right w:val="nil"/>
            </w:tcBorders>
            <w:vAlign w:val="center"/>
            <w:hideMark/>
          </w:tcPr>
          <w:p w14:paraId="2EA2BF1E"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348A9EE4"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Zdroj:</w:t>
            </w:r>
            <w:r w:rsidRPr="00A2007E">
              <w:rPr>
                <w:rFonts w:ascii="Arial Narrow" w:hAnsi="Arial Narrow"/>
                <w:sz w:val="20"/>
                <w:szCs w:val="20"/>
              </w:rPr>
              <w:t xml:space="preserve"> </w:t>
            </w:r>
            <w:proofErr w:type="spellStart"/>
            <w:r w:rsidRPr="00A2007E">
              <w:rPr>
                <w:rFonts w:ascii="Arial Narrow" w:hAnsi="Arial Narrow"/>
                <w:color w:val="000000"/>
                <w:sz w:val="20"/>
                <w:szCs w:val="20"/>
                <w:lang w:eastAsia="en-US"/>
              </w:rPr>
              <w:t>Eurostat</w:t>
            </w:r>
            <w:proofErr w:type="spellEnd"/>
            <w:r w:rsidRPr="00A2007E">
              <w:rPr>
                <w:rFonts w:ascii="Arial Narrow" w:hAnsi="Arial Narrow"/>
                <w:color w:val="000000"/>
                <w:sz w:val="20"/>
                <w:szCs w:val="20"/>
                <w:lang w:eastAsia="en-US"/>
              </w:rPr>
              <w:t xml:space="preserve"> (edat_lfse_03)</w:t>
            </w:r>
          </w:p>
        </w:tc>
      </w:tr>
      <w:tr w:rsidR="00E64732" w:rsidRPr="00AB20C2" w14:paraId="6D5CBA02" w14:textId="77777777" w:rsidTr="001C548C">
        <w:trPr>
          <w:trHeight w:val="510"/>
          <w:jc w:val="center"/>
        </w:trPr>
        <w:tc>
          <w:tcPr>
            <w:tcW w:w="1826" w:type="dxa"/>
            <w:vMerge w:val="restart"/>
            <w:tcBorders>
              <w:top w:val="nil"/>
              <w:left w:val="nil"/>
              <w:bottom w:val="dotted" w:sz="4" w:space="0" w:color="000000"/>
              <w:right w:val="nil"/>
            </w:tcBorders>
            <w:shd w:val="clear" w:color="auto" w:fill="auto"/>
            <w:vAlign w:val="center"/>
            <w:hideMark/>
          </w:tcPr>
          <w:p w14:paraId="6E7A3D5C"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Citácie na výskumníka</w:t>
            </w:r>
          </w:p>
        </w:tc>
        <w:tc>
          <w:tcPr>
            <w:tcW w:w="8380" w:type="dxa"/>
            <w:tcBorders>
              <w:top w:val="nil"/>
              <w:left w:val="nil"/>
              <w:bottom w:val="nil"/>
              <w:right w:val="nil"/>
            </w:tcBorders>
            <w:shd w:val="clear" w:color="auto" w:fill="auto"/>
            <w:vAlign w:val="center"/>
            <w:hideMark/>
          </w:tcPr>
          <w:p w14:paraId="6290F03A"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Podiel počtu citácií v renomovaných medzinárodných časopisoch (</w:t>
            </w:r>
            <w:proofErr w:type="spellStart"/>
            <w:r w:rsidRPr="00A2007E">
              <w:rPr>
                <w:rFonts w:ascii="Arial Narrow" w:hAnsi="Arial Narrow"/>
                <w:color w:val="000000"/>
                <w:sz w:val="20"/>
                <w:szCs w:val="20"/>
                <w:lang w:eastAsia="en-US"/>
              </w:rPr>
              <w:t>Scimago</w:t>
            </w:r>
            <w:proofErr w:type="spellEnd"/>
            <w:r w:rsidRPr="00A2007E">
              <w:rPr>
                <w:rFonts w:ascii="Arial Narrow" w:hAnsi="Arial Narrow"/>
                <w:color w:val="000000"/>
                <w:sz w:val="20"/>
                <w:szCs w:val="20"/>
                <w:lang w:eastAsia="en-US"/>
              </w:rPr>
              <w:t xml:space="preserve"> </w:t>
            </w:r>
            <w:proofErr w:type="spellStart"/>
            <w:r w:rsidRPr="00A2007E">
              <w:rPr>
                <w:rFonts w:ascii="Arial Narrow" w:hAnsi="Arial Narrow"/>
                <w:color w:val="000000"/>
                <w:sz w:val="20"/>
                <w:szCs w:val="20"/>
                <w:lang w:eastAsia="en-US"/>
              </w:rPr>
              <w:t>Journal</w:t>
            </w:r>
            <w:proofErr w:type="spellEnd"/>
            <w:r w:rsidRPr="00A2007E">
              <w:rPr>
                <w:rFonts w:ascii="Arial Narrow" w:hAnsi="Arial Narrow"/>
                <w:color w:val="000000"/>
                <w:sz w:val="20"/>
                <w:szCs w:val="20"/>
                <w:lang w:eastAsia="en-US"/>
              </w:rPr>
              <w:t xml:space="preserve"> &amp; Country </w:t>
            </w:r>
            <w:proofErr w:type="spellStart"/>
            <w:r w:rsidRPr="00A2007E">
              <w:rPr>
                <w:rFonts w:ascii="Arial Narrow" w:hAnsi="Arial Narrow"/>
                <w:color w:val="000000"/>
                <w:sz w:val="20"/>
                <w:szCs w:val="20"/>
                <w:lang w:eastAsia="en-US"/>
              </w:rPr>
              <w:t>Rank</w:t>
            </w:r>
            <w:proofErr w:type="spellEnd"/>
            <w:r w:rsidRPr="00A2007E">
              <w:rPr>
                <w:rFonts w:ascii="Arial Narrow" w:hAnsi="Arial Narrow"/>
                <w:color w:val="000000"/>
                <w:sz w:val="20"/>
                <w:szCs w:val="20"/>
                <w:lang w:eastAsia="en-US"/>
              </w:rPr>
              <w:t>) na počet výskumníkov v krajine (</w:t>
            </w:r>
            <w:proofErr w:type="spellStart"/>
            <w:r w:rsidRPr="00A2007E">
              <w:rPr>
                <w:rFonts w:ascii="Arial Narrow" w:hAnsi="Arial Narrow"/>
                <w:color w:val="000000"/>
                <w:sz w:val="20"/>
                <w:szCs w:val="20"/>
                <w:lang w:eastAsia="en-US"/>
              </w:rPr>
              <w:t>Eurostat</w:t>
            </w:r>
            <w:proofErr w:type="spellEnd"/>
            <w:r w:rsidRPr="00A2007E">
              <w:rPr>
                <w:rFonts w:ascii="Arial Narrow" w:hAnsi="Arial Narrow"/>
                <w:color w:val="000000"/>
                <w:sz w:val="20"/>
                <w:szCs w:val="20"/>
                <w:lang w:eastAsia="en-US"/>
              </w:rPr>
              <w:t>). Ukazovateľ je vyjadrený relatívne k priemernej hodnote krajín Európskej únie.</w:t>
            </w:r>
          </w:p>
        </w:tc>
      </w:tr>
      <w:tr w:rsidR="00E64732" w:rsidRPr="00AB20C2" w14:paraId="3D7FE776" w14:textId="77777777" w:rsidTr="001C548C">
        <w:trPr>
          <w:trHeight w:val="300"/>
          <w:jc w:val="center"/>
        </w:trPr>
        <w:tc>
          <w:tcPr>
            <w:tcW w:w="1826" w:type="dxa"/>
            <w:vMerge/>
            <w:tcBorders>
              <w:top w:val="nil"/>
              <w:left w:val="nil"/>
              <w:bottom w:val="dotted" w:sz="4" w:space="0" w:color="000000"/>
              <w:right w:val="nil"/>
            </w:tcBorders>
            <w:vAlign w:val="center"/>
            <w:hideMark/>
          </w:tcPr>
          <w:p w14:paraId="1958CFDF"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7F2B5C46"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http://www.scimagojr.com/, </w:t>
            </w:r>
            <w:proofErr w:type="spellStart"/>
            <w:r w:rsidRPr="00A2007E">
              <w:rPr>
                <w:rFonts w:ascii="Arial Narrow" w:hAnsi="Arial Narrow"/>
                <w:color w:val="000000"/>
                <w:sz w:val="20"/>
                <w:szCs w:val="20"/>
                <w:lang w:eastAsia="en-US"/>
              </w:rPr>
              <w:t>Eurostat</w:t>
            </w:r>
            <w:proofErr w:type="spellEnd"/>
            <w:r w:rsidRPr="00A2007E">
              <w:rPr>
                <w:rFonts w:ascii="Arial Narrow" w:hAnsi="Arial Narrow"/>
                <w:color w:val="000000"/>
                <w:sz w:val="20"/>
                <w:szCs w:val="20"/>
                <w:lang w:eastAsia="en-US"/>
              </w:rPr>
              <w:t xml:space="preserve"> (</w:t>
            </w:r>
            <w:proofErr w:type="spellStart"/>
            <w:r w:rsidRPr="00A2007E">
              <w:rPr>
                <w:rFonts w:ascii="Arial Narrow" w:hAnsi="Arial Narrow"/>
                <w:color w:val="000000"/>
                <w:sz w:val="20"/>
                <w:szCs w:val="20"/>
                <w:lang w:eastAsia="en-US"/>
              </w:rPr>
              <w:t>rd_p_persocc</w:t>
            </w:r>
            <w:proofErr w:type="spellEnd"/>
            <w:r w:rsidRPr="00A2007E">
              <w:rPr>
                <w:rFonts w:ascii="Arial Narrow" w:hAnsi="Arial Narrow"/>
                <w:color w:val="000000"/>
                <w:sz w:val="20"/>
                <w:szCs w:val="20"/>
                <w:lang w:eastAsia="en-US"/>
              </w:rPr>
              <w:t xml:space="preserve">), výpočty MF SR </w:t>
            </w:r>
          </w:p>
        </w:tc>
      </w:tr>
      <w:tr w:rsidR="00E64732" w:rsidRPr="00AB20C2" w14:paraId="1DA119D1" w14:textId="77777777" w:rsidTr="001C548C">
        <w:trPr>
          <w:trHeight w:val="300"/>
          <w:jc w:val="center"/>
        </w:trPr>
        <w:tc>
          <w:tcPr>
            <w:tcW w:w="1826" w:type="dxa"/>
            <w:vMerge w:val="restart"/>
            <w:tcBorders>
              <w:top w:val="nil"/>
              <w:left w:val="nil"/>
              <w:bottom w:val="dotted" w:sz="4" w:space="0" w:color="000000"/>
              <w:right w:val="nil"/>
            </w:tcBorders>
            <w:shd w:val="clear" w:color="auto" w:fill="auto"/>
            <w:vAlign w:val="center"/>
            <w:hideMark/>
          </w:tcPr>
          <w:p w14:paraId="6EDF616C"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 xml:space="preserve">Výdavky na výskum a vývoj </w:t>
            </w:r>
          </w:p>
        </w:tc>
        <w:tc>
          <w:tcPr>
            <w:tcW w:w="8380" w:type="dxa"/>
            <w:tcBorders>
              <w:top w:val="nil"/>
              <w:left w:val="nil"/>
              <w:bottom w:val="nil"/>
              <w:right w:val="nil"/>
            </w:tcBorders>
            <w:shd w:val="clear" w:color="auto" w:fill="auto"/>
            <w:vAlign w:val="center"/>
            <w:hideMark/>
          </w:tcPr>
          <w:p w14:paraId="0AA957FC"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Percentuálny podiel celkových výdavkov na výskum a vývoj na HDP.</w:t>
            </w:r>
          </w:p>
        </w:tc>
      </w:tr>
      <w:tr w:rsidR="00E64732" w:rsidRPr="00AB20C2" w14:paraId="3A59DACE" w14:textId="77777777" w:rsidTr="001C548C">
        <w:trPr>
          <w:trHeight w:val="300"/>
          <w:jc w:val="center"/>
        </w:trPr>
        <w:tc>
          <w:tcPr>
            <w:tcW w:w="1826" w:type="dxa"/>
            <w:vMerge/>
            <w:tcBorders>
              <w:top w:val="nil"/>
              <w:left w:val="nil"/>
              <w:bottom w:val="dotted" w:sz="4" w:space="0" w:color="000000"/>
              <w:right w:val="nil"/>
            </w:tcBorders>
            <w:vAlign w:val="center"/>
            <w:hideMark/>
          </w:tcPr>
          <w:p w14:paraId="48683467"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60AF2636"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w:t>
            </w:r>
            <w:proofErr w:type="spellStart"/>
            <w:r w:rsidRPr="00A2007E">
              <w:rPr>
                <w:rFonts w:ascii="Arial Narrow" w:hAnsi="Arial Narrow"/>
                <w:color w:val="000000"/>
                <w:sz w:val="20"/>
                <w:szCs w:val="20"/>
                <w:lang w:eastAsia="en-US"/>
              </w:rPr>
              <w:t>Eurostat</w:t>
            </w:r>
            <w:proofErr w:type="spellEnd"/>
            <w:r w:rsidRPr="00A2007E">
              <w:rPr>
                <w:rFonts w:ascii="Arial Narrow" w:hAnsi="Arial Narrow"/>
                <w:color w:val="000000"/>
                <w:sz w:val="20"/>
                <w:szCs w:val="20"/>
                <w:lang w:eastAsia="en-US"/>
              </w:rPr>
              <w:t xml:space="preserve"> (</w:t>
            </w:r>
            <w:proofErr w:type="spellStart"/>
            <w:r w:rsidRPr="00A2007E">
              <w:rPr>
                <w:rFonts w:ascii="Arial Narrow" w:hAnsi="Arial Narrow"/>
                <w:color w:val="000000"/>
                <w:sz w:val="20"/>
                <w:szCs w:val="20"/>
                <w:lang w:eastAsia="en-US"/>
              </w:rPr>
              <w:t>rd_e_gerdsc</w:t>
            </w:r>
            <w:proofErr w:type="spellEnd"/>
            <w:r w:rsidRPr="00A2007E">
              <w:rPr>
                <w:rFonts w:ascii="Arial Narrow" w:hAnsi="Arial Narrow"/>
                <w:color w:val="000000"/>
                <w:sz w:val="20"/>
                <w:szCs w:val="20"/>
                <w:lang w:eastAsia="en-US"/>
              </w:rPr>
              <w:t>)</w:t>
            </w:r>
          </w:p>
        </w:tc>
      </w:tr>
      <w:tr w:rsidR="00E64732" w:rsidRPr="00AB20C2" w14:paraId="14BEBAE6" w14:textId="77777777" w:rsidTr="001C548C">
        <w:trPr>
          <w:trHeight w:val="765"/>
          <w:jc w:val="center"/>
        </w:trPr>
        <w:tc>
          <w:tcPr>
            <w:tcW w:w="1826" w:type="dxa"/>
            <w:vMerge w:val="restart"/>
            <w:tcBorders>
              <w:top w:val="nil"/>
              <w:left w:val="nil"/>
              <w:bottom w:val="dotted" w:sz="4" w:space="0" w:color="000000"/>
              <w:right w:val="nil"/>
            </w:tcBorders>
            <w:shd w:val="clear" w:color="auto" w:fill="auto"/>
            <w:vAlign w:val="center"/>
            <w:hideMark/>
          </w:tcPr>
          <w:p w14:paraId="242BEDF9" w14:textId="77777777" w:rsidR="00E64732" w:rsidRPr="00A2007E" w:rsidRDefault="00E64732" w:rsidP="00E64732">
            <w:pPr>
              <w:spacing w:after="0" w:line="240" w:lineRule="auto"/>
              <w:rPr>
                <w:rFonts w:ascii="Arial Narrow" w:hAnsi="Arial Narrow"/>
                <w:b/>
                <w:bCs/>
                <w:color w:val="000000"/>
                <w:sz w:val="20"/>
                <w:szCs w:val="20"/>
                <w:lang w:eastAsia="en-US"/>
              </w:rPr>
            </w:pPr>
            <w:proofErr w:type="spellStart"/>
            <w:r w:rsidRPr="00A2007E">
              <w:rPr>
                <w:rFonts w:ascii="Arial Narrow" w:hAnsi="Arial Narrow"/>
                <w:b/>
                <w:bCs/>
                <w:color w:val="000000"/>
                <w:sz w:val="20"/>
                <w:szCs w:val="20"/>
                <w:lang w:eastAsia="en-US"/>
              </w:rPr>
              <w:t>High-tech</w:t>
            </w:r>
            <w:proofErr w:type="spellEnd"/>
            <w:r w:rsidRPr="00A2007E">
              <w:rPr>
                <w:rFonts w:ascii="Arial Narrow" w:hAnsi="Arial Narrow"/>
                <w:b/>
                <w:bCs/>
                <w:color w:val="000000"/>
                <w:sz w:val="20"/>
                <w:szCs w:val="20"/>
                <w:lang w:eastAsia="en-US"/>
              </w:rPr>
              <w:t xml:space="preserve"> export</w:t>
            </w:r>
          </w:p>
        </w:tc>
        <w:tc>
          <w:tcPr>
            <w:tcW w:w="8380" w:type="dxa"/>
            <w:tcBorders>
              <w:top w:val="nil"/>
              <w:left w:val="nil"/>
              <w:bottom w:val="nil"/>
              <w:right w:val="nil"/>
            </w:tcBorders>
            <w:shd w:val="clear" w:color="auto" w:fill="auto"/>
            <w:vAlign w:val="center"/>
            <w:hideMark/>
          </w:tcPr>
          <w:p w14:paraId="44553AD4"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Podiel </w:t>
            </w:r>
            <w:proofErr w:type="spellStart"/>
            <w:r w:rsidRPr="00A2007E">
              <w:rPr>
                <w:rFonts w:ascii="Arial Narrow" w:hAnsi="Arial Narrow"/>
                <w:color w:val="000000"/>
                <w:sz w:val="20"/>
                <w:szCs w:val="20"/>
                <w:lang w:eastAsia="en-US"/>
              </w:rPr>
              <w:t>high-tech</w:t>
            </w:r>
            <w:proofErr w:type="spellEnd"/>
            <w:r w:rsidRPr="00A2007E">
              <w:rPr>
                <w:rFonts w:ascii="Arial Narrow" w:hAnsi="Arial Narrow"/>
                <w:color w:val="000000"/>
                <w:sz w:val="20"/>
                <w:szCs w:val="20"/>
                <w:lang w:eastAsia="en-US"/>
              </w:rPr>
              <w:t xml:space="preserve"> exportov na celkovom vývoze krajiny. Produkty </w:t>
            </w:r>
            <w:proofErr w:type="spellStart"/>
            <w:r w:rsidRPr="00A2007E">
              <w:rPr>
                <w:rFonts w:ascii="Arial Narrow" w:hAnsi="Arial Narrow"/>
                <w:color w:val="000000"/>
                <w:sz w:val="20"/>
                <w:szCs w:val="20"/>
                <w:lang w:eastAsia="en-US"/>
              </w:rPr>
              <w:t>high-tech</w:t>
            </w:r>
            <w:proofErr w:type="spellEnd"/>
            <w:r w:rsidRPr="00A2007E">
              <w:rPr>
                <w:rFonts w:ascii="Arial Narrow" w:hAnsi="Arial Narrow"/>
                <w:color w:val="000000"/>
                <w:sz w:val="20"/>
                <w:szCs w:val="20"/>
                <w:lang w:eastAsia="en-US"/>
              </w:rPr>
              <w:t xml:space="preserve"> sú vybrané produkty nasledovných odvetví: letecký priemysel, počítače a kancelárske stroje, elektronické telekomunikačné zariadenia, farmaceutický priemysel, vedecké prístroje, elektrické stroje, chemický priemysel, </w:t>
            </w:r>
            <w:proofErr w:type="spellStart"/>
            <w:r w:rsidRPr="00A2007E">
              <w:rPr>
                <w:rFonts w:ascii="Arial Narrow" w:hAnsi="Arial Narrow"/>
                <w:color w:val="000000"/>
                <w:sz w:val="20"/>
                <w:szCs w:val="20"/>
                <w:lang w:eastAsia="en-US"/>
              </w:rPr>
              <w:t>neelekronické</w:t>
            </w:r>
            <w:proofErr w:type="spellEnd"/>
            <w:r w:rsidRPr="00A2007E">
              <w:rPr>
                <w:rFonts w:ascii="Arial Narrow" w:hAnsi="Arial Narrow"/>
                <w:color w:val="000000"/>
                <w:sz w:val="20"/>
                <w:szCs w:val="20"/>
                <w:lang w:eastAsia="en-US"/>
              </w:rPr>
              <w:t xml:space="preserve"> prístroje, zbrojný priemysel.</w:t>
            </w:r>
          </w:p>
        </w:tc>
      </w:tr>
      <w:tr w:rsidR="00E64732" w:rsidRPr="00AB20C2" w14:paraId="7A84C31F" w14:textId="77777777" w:rsidTr="001C548C">
        <w:trPr>
          <w:trHeight w:val="300"/>
          <w:jc w:val="center"/>
        </w:trPr>
        <w:tc>
          <w:tcPr>
            <w:tcW w:w="1826" w:type="dxa"/>
            <w:vMerge/>
            <w:tcBorders>
              <w:top w:val="nil"/>
              <w:left w:val="nil"/>
              <w:bottom w:val="dotted" w:sz="4" w:space="0" w:color="000000"/>
              <w:right w:val="nil"/>
            </w:tcBorders>
            <w:vAlign w:val="center"/>
            <w:hideMark/>
          </w:tcPr>
          <w:p w14:paraId="7414C1E6"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5B5F852C"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w:t>
            </w:r>
            <w:proofErr w:type="spellStart"/>
            <w:r w:rsidRPr="00A2007E">
              <w:rPr>
                <w:rFonts w:ascii="Arial Narrow" w:hAnsi="Arial Narrow"/>
                <w:color w:val="000000"/>
                <w:sz w:val="20"/>
                <w:szCs w:val="20"/>
                <w:lang w:eastAsia="en-US"/>
              </w:rPr>
              <w:t>Eurostat</w:t>
            </w:r>
            <w:proofErr w:type="spellEnd"/>
            <w:r w:rsidRPr="00A2007E">
              <w:rPr>
                <w:rFonts w:ascii="Arial Narrow" w:hAnsi="Arial Narrow"/>
                <w:color w:val="000000"/>
                <w:sz w:val="20"/>
                <w:szCs w:val="20"/>
                <w:lang w:eastAsia="en-US"/>
              </w:rPr>
              <w:t xml:space="preserve"> [htec_si_exp4]</w:t>
            </w:r>
          </w:p>
        </w:tc>
      </w:tr>
      <w:tr w:rsidR="00E64732" w:rsidRPr="00AB20C2" w14:paraId="7819E245" w14:textId="77777777" w:rsidTr="001C548C">
        <w:trPr>
          <w:trHeight w:val="1275"/>
          <w:jc w:val="center"/>
        </w:trPr>
        <w:tc>
          <w:tcPr>
            <w:tcW w:w="1826" w:type="dxa"/>
            <w:vMerge w:val="restart"/>
            <w:tcBorders>
              <w:top w:val="nil"/>
              <w:left w:val="nil"/>
              <w:bottom w:val="dotted" w:sz="4" w:space="0" w:color="000000"/>
              <w:right w:val="nil"/>
            </w:tcBorders>
            <w:shd w:val="clear" w:color="auto" w:fill="auto"/>
            <w:vAlign w:val="center"/>
            <w:hideMark/>
          </w:tcPr>
          <w:p w14:paraId="523E69CE"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Miera zamestnanosti</w:t>
            </w:r>
          </w:p>
        </w:tc>
        <w:tc>
          <w:tcPr>
            <w:tcW w:w="8380" w:type="dxa"/>
            <w:tcBorders>
              <w:top w:val="nil"/>
              <w:left w:val="nil"/>
              <w:bottom w:val="nil"/>
              <w:right w:val="nil"/>
            </w:tcBorders>
            <w:shd w:val="clear" w:color="auto" w:fill="auto"/>
            <w:vAlign w:val="center"/>
            <w:hideMark/>
          </w:tcPr>
          <w:p w14:paraId="3F6DF341"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Podiel zamestnanej populácie vo veku 20-64 rokov na celkovej populácii rovnakej vekovej skupiny. Ukazovateľ zahŕňa celkovú populáciu žijúcu v samostatných domácnostiach, nezahŕňa kolektívne domácnosti ani obyvateľov penziónov, či ubytovní a internátov, ani hospitalizovaných v zdravotníckych zariadeniach. Zamestnaná populácia pozostáva z tých osôb, ktoré počas daného týždňa vykonávali hocijakú prácu za mzdu alebo zárobok po dobu aspoň jednej hodiny, resp. nepracovali, ale mali zamestnanie, v ktorom boli dočasne neprítomní.</w:t>
            </w:r>
          </w:p>
        </w:tc>
      </w:tr>
      <w:tr w:rsidR="00E64732" w:rsidRPr="00AB20C2" w14:paraId="564C0E14" w14:textId="77777777" w:rsidTr="001C548C">
        <w:trPr>
          <w:trHeight w:val="300"/>
          <w:jc w:val="center"/>
        </w:trPr>
        <w:tc>
          <w:tcPr>
            <w:tcW w:w="1826" w:type="dxa"/>
            <w:vMerge/>
            <w:tcBorders>
              <w:top w:val="nil"/>
              <w:left w:val="nil"/>
              <w:bottom w:val="dotted" w:sz="4" w:space="0" w:color="000000"/>
              <w:right w:val="nil"/>
            </w:tcBorders>
            <w:vAlign w:val="center"/>
            <w:hideMark/>
          </w:tcPr>
          <w:p w14:paraId="140A7338"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6FF2F273"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w:t>
            </w:r>
            <w:proofErr w:type="spellStart"/>
            <w:r w:rsidRPr="00A2007E">
              <w:rPr>
                <w:rFonts w:ascii="Arial Narrow" w:hAnsi="Arial Narrow"/>
                <w:color w:val="000000"/>
                <w:sz w:val="20"/>
                <w:szCs w:val="20"/>
                <w:lang w:eastAsia="en-US"/>
              </w:rPr>
              <w:t>Eurostat</w:t>
            </w:r>
            <w:proofErr w:type="spellEnd"/>
            <w:r w:rsidRPr="00A2007E">
              <w:rPr>
                <w:rFonts w:ascii="Arial Narrow" w:hAnsi="Arial Narrow"/>
                <w:color w:val="000000"/>
                <w:sz w:val="20"/>
                <w:szCs w:val="20"/>
                <w:lang w:eastAsia="en-US"/>
              </w:rPr>
              <w:t xml:space="preserve"> (</w:t>
            </w:r>
            <w:r w:rsidRPr="00A2007E">
              <w:rPr>
                <w:rFonts w:ascii="Arial Narrow" w:hAnsi="Arial Narrow"/>
                <w:sz w:val="20"/>
                <w:szCs w:val="20"/>
              </w:rPr>
              <w:t>t2020_10)</w:t>
            </w:r>
            <w:r w:rsidRPr="00A2007E">
              <w:rPr>
                <w:rFonts w:ascii="Arial Narrow" w:hAnsi="Arial Narrow"/>
                <w:color w:val="000000"/>
                <w:sz w:val="20"/>
                <w:szCs w:val="20"/>
                <w:lang w:eastAsia="en-US"/>
              </w:rPr>
              <w:t>, ŠÚ SR</w:t>
            </w:r>
          </w:p>
        </w:tc>
      </w:tr>
      <w:tr w:rsidR="00E64732" w:rsidRPr="00AB20C2" w14:paraId="791F20D1" w14:textId="77777777" w:rsidTr="001C548C">
        <w:trPr>
          <w:trHeight w:val="510"/>
          <w:jc w:val="center"/>
        </w:trPr>
        <w:tc>
          <w:tcPr>
            <w:tcW w:w="1826" w:type="dxa"/>
            <w:vMerge w:val="restart"/>
            <w:tcBorders>
              <w:top w:val="nil"/>
              <w:left w:val="nil"/>
              <w:bottom w:val="dotted" w:sz="4" w:space="0" w:color="000000"/>
              <w:right w:val="nil"/>
            </w:tcBorders>
            <w:shd w:val="clear" w:color="auto" w:fill="auto"/>
            <w:vAlign w:val="center"/>
            <w:hideMark/>
          </w:tcPr>
          <w:p w14:paraId="3EC4E91C"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Miera dlhodobej nezamestnanosti</w:t>
            </w:r>
          </w:p>
        </w:tc>
        <w:tc>
          <w:tcPr>
            <w:tcW w:w="8380" w:type="dxa"/>
            <w:tcBorders>
              <w:top w:val="nil"/>
              <w:left w:val="nil"/>
              <w:bottom w:val="nil"/>
              <w:right w:val="nil"/>
            </w:tcBorders>
            <w:shd w:val="clear" w:color="auto" w:fill="auto"/>
            <w:vAlign w:val="center"/>
            <w:hideMark/>
          </w:tcPr>
          <w:p w14:paraId="232FBAD4"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Podiel populácie nezamestnanej dlhšie ako dvanásť mesiacov napriek tomu, že si aktívne hľadá prácu, na aktívnej populácii vo veku nad pätnásť rokov, nežijúcej v kolektívnej domácnosti.</w:t>
            </w:r>
          </w:p>
        </w:tc>
      </w:tr>
      <w:tr w:rsidR="00E64732" w:rsidRPr="00AB20C2" w14:paraId="58AA3C7C" w14:textId="77777777" w:rsidTr="001C548C">
        <w:trPr>
          <w:trHeight w:val="300"/>
          <w:jc w:val="center"/>
        </w:trPr>
        <w:tc>
          <w:tcPr>
            <w:tcW w:w="1826" w:type="dxa"/>
            <w:vMerge/>
            <w:tcBorders>
              <w:top w:val="nil"/>
              <w:left w:val="nil"/>
              <w:bottom w:val="dotted" w:sz="4" w:space="0" w:color="000000"/>
              <w:right w:val="nil"/>
            </w:tcBorders>
            <w:vAlign w:val="center"/>
            <w:hideMark/>
          </w:tcPr>
          <w:p w14:paraId="3A3AEEE8"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01EC133A"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w:t>
            </w:r>
            <w:proofErr w:type="spellStart"/>
            <w:r w:rsidRPr="00A2007E">
              <w:rPr>
                <w:rFonts w:ascii="Arial Narrow" w:hAnsi="Arial Narrow"/>
                <w:color w:val="000000"/>
                <w:sz w:val="20"/>
                <w:szCs w:val="20"/>
                <w:lang w:eastAsia="en-US"/>
              </w:rPr>
              <w:t>Eurostat</w:t>
            </w:r>
            <w:proofErr w:type="spellEnd"/>
            <w:r w:rsidRPr="00A2007E">
              <w:rPr>
                <w:rFonts w:ascii="Arial Narrow" w:hAnsi="Arial Narrow"/>
                <w:color w:val="000000"/>
                <w:sz w:val="20"/>
                <w:szCs w:val="20"/>
                <w:lang w:eastAsia="en-US"/>
              </w:rPr>
              <w:t>, ŠÚ SR</w:t>
            </w:r>
          </w:p>
        </w:tc>
      </w:tr>
      <w:tr w:rsidR="00E64732" w:rsidRPr="00AB20C2" w14:paraId="5D7194E0" w14:textId="77777777" w:rsidTr="001C548C">
        <w:trPr>
          <w:trHeight w:val="2154"/>
          <w:jc w:val="center"/>
        </w:trPr>
        <w:tc>
          <w:tcPr>
            <w:tcW w:w="1826" w:type="dxa"/>
            <w:vMerge w:val="restart"/>
            <w:tcBorders>
              <w:top w:val="nil"/>
              <w:left w:val="nil"/>
              <w:bottom w:val="dotted" w:sz="4" w:space="0" w:color="000000"/>
              <w:right w:val="nil"/>
            </w:tcBorders>
            <w:shd w:val="clear" w:color="auto" w:fill="auto"/>
            <w:vAlign w:val="center"/>
            <w:hideMark/>
          </w:tcPr>
          <w:p w14:paraId="15DF4588"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lastRenderedPageBreak/>
              <w:t>Populácia ohrozená chudobou a sociálnym vylúčením</w:t>
            </w:r>
          </w:p>
        </w:tc>
        <w:tc>
          <w:tcPr>
            <w:tcW w:w="8380" w:type="dxa"/>
            <w:tcBorders>
              <w:top w:val="nil"/>
              <w:left w:val="nil"/>
              <w:bottom w:val="nil"/>
              <w:right w:val="nil"/>
            </w:tcBorders>
            <w:shd w:val="clear" w:color="auto" w:fill="auto"/>
            <w:vAlign w:val="center"/>
            <w:hideMark/>
          </w:tcPr>
          <w:p w14:paraId="317B2CC7"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Indikátor predstavuje súčet ľudí, ktorí sú v riziku chudoby (po sociálnych transferoch) a/alebo sú materiálne </w:t>
            </w:r>
            <w:proofErr w:type="spellStart"/>
            <w:r w:rsidRPr="00A2007E">
              <w:rPr>
                <w:rFonts w:ascii="Arial Narrow" w:hAnsi="Arial Narrow"/>
                <w:color w:val="000000"/>
                <w:sz w:val="20"/>
                <w:szCs w:val="20"/>
                <w:lang w:eastAsia="en-US"/>
              </w:rPr>
              <w:t>deprivovaní</w:t>
            </w:r>
            <w:proofErr w:type="spellEnd"/>
            <w:r w:rsidRPr="00A2007E">
              <w:rPr>
                <w:rFonts w:ascii="Arial Narrow" w:hAnsi="Arial Narrow"/>
                <w:color w:val="000000"/>
                <w:sz w:val="20"/>
                <w:szCs w:val="20"/>
                <w:lang w:eastAsia="en-US"/>
              </w:rPr>
              <w:t xml:space="preserve"> a/alebo žijú v domácnostiach s veľmi nízkou intenzitou práce vyjadrený percentuálne na celkovej populácii. Riziko chudoby predstavuje počet osôb s ekvivalentným disponibilným príjmom nižším ako 60% mediánu národného ekvivalentného disponibilného príjmu (po sociálnych transferoch). Materiálna deprivácia predstavuje podiel ľudí, ktorí si z nasledujúcich deviatich položiek nemôžu dovoliť aspoň štyri: i) platiť nájom a náklady na bývanie, ii) udržať v dome teplo, iii) čelia neočakávaným výdavkom, iv) jesť mäso, rybu alebo ekvivalentné množstvo bielkovín každý druhý deň, v) týždňovú dovolenku mimo domova, vi) auto, vii) práčku, viii) farebný televízor, alebo ix) telefón. Ľudia v domácnosti bez práce sú osoby vo veku 0 – 59 rokov žijúce v domácnosti, kde dospelí pracujú menej ako 20% z celkového možného času počas predchádzajúceho roku.</w:t>
            </w:r>
          </w:p>
        </w:tc>
      </w:tr>
      <w:tr w:rsidR="00E64732" w:rsidRPr="00AB20C2" w14:paraId="51299027" w14:textId="77777777" w:rsidTr="001C548C">
        <w:trPr>
          <w:trHeight w:val="300"/>
          <w:jc w:val="center"/>
        </w:trPr>
        <w:tc>
          <w:tcPr>
            <w:tcW w:w="1826" w:type="dxa"/>
            <w:vMerge/>
            <w:tcBorders>
              <w:top w:val="nil"/>
              <w:left w:val="nil"/>
              <w:bottom w:val="dotted" w:sz="4" w:space="0" w:color="000000"/>
              <w:right w:val="nil"/>
            </w:tcBorders>
            <w:vAlign w:val="center"/>
            <w:hideMark/>
          </w:tcPr>
          <w:p w14:paraId="69693342"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03E05BAC"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w:t>
            </w:r>
            <w:proofErr w:type="spellStart"/>
            <w:r w:rsidRPr="00A2007E">
              <w:rPr>
                <w:rFonts w:ascii="Arial Narrow" w:hAnsi="Arial Narrow"/>
                <w:color w:val="000000"/>
                <w:sz w:val="20"/>
                <w:szCs w:val="20"/>
                <w:lang w:eastAsia="en-US"/>
              </w:rPr>
              <w:t>Eurostat</w:t>
            </w:r>
            <w:proofErr w:type="spellEnd"/>
            <w:r w:rsidRPr="00A2007E">
              <w:rPr>
                <w:rFonts w:ascii="Arial Narrow" w:hAnsi="Arial Narrow"/>
                <w:color w:val="000000"/>
                <w:sz w:val="20"/>
                <w:szCs w:val="20"/>
                <w:lang w:eastAsia="en-US"/>
              </w:rPr>
              <w:t xml:space="preserve"> (EU-SILC, t2020_50), ŠÚ SR</w:t>
            </w:r>
          </w:p>
        </w:tc>
      </w:tr>
      <w:tr w:rsidR="00E64732" w:rsidRPr="00AB20C2" w14:paraId="065D2BE0" w14:textId="77777777" w:rsidTr="001C548C">
        <w:trPr>
          <w:trHeight w:val="340"/>
          <w:jc w:val="center"/>
        </w:trPr>
        <w:tc>
          <w:tcPr>
            <w:tcW w:w="1826" w:type="dxa"/>
            <w:vMerge w:val="restart"/>
            <w:tcBorders>
              <w:top w:val="nil"/>
              <w:left w:val="nil"/>
              <w:bottom w:val="dotted" w:sz="4" w:space="0" w:color="000000"/>
              <w:right w:val="nil"/>
            </w:tcBorders>
            <w:shd w:val="clear" w:color="auto" w:fill="auto"/>
            <w:vAlign w:val="center"/>
            <w:hideMark/>
          </w:tcPr>
          <w:p w14:paraId="428C0AA0"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 xml:space="preserve">Miera náhrady (Benefit </w:t>
            </w:r>
            <w:proofErr w:type="spellStart"/>
            <w:r w:rsidRPr="00A2007E">
              <w:rPr>
                <w:rFonts w:ascii="Arial Narrow" w:hAnsi="Arial Narrow"/>
                <w:b/>
                <w:bCs/>
                <w:color w:val="000000"/>
                <w:sz w:val="20"/>
                <w:szCs w:val="20"/>
                <w:lang w:eastAsia="en-US"/>
              </w:rPr>
              <w:t>ratio</w:t>
            </w:r>
            <w:proofErr w:type="spellEnd"/>
            <w:r w:rsidRPr="00A2007E">
              <w:rPr>
                <w:rFonts w:ascii="Arial Narrow" w:hAnsi="Arial Narrow"/>
                <w:b/>
                <w:bCs/>
                <w:color w:val="000000"/>
                <w:sz w:val="20"/>
                <w:szCs w:val="20"/>
                <w:lang w:eastAsia="en-US"/>
              </w:rPr>
              <w:t>)</w:t>
            </w:r>
          </w:p>
        </w:tc>
        <w:tc>
          <w:tcPr>
            <w:tcW w:w="8380" w:type="dxa"/>
            <w:tcBorders>
              <w:top w:val="nil"/>
              <w:left w:val="nil"/>
              <w:bottom w:val="nil"/>
              <w:right w:val="nil"/>
            </w:tcBorders>
            <w:shd w:val="clear" w:color="auto" w:fill="auto"/>
            <w:vAlign w:val="center"/>
            <w:hideMark/>
          </w:tcPr>
          <w:p w14:paraId="11806987"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Benefit </w:t>
            </w:r>
            <w:proofErr w:type="spellStart"/>
            <w:r w:rsidRPr="00A2007E">
              <w:rPr>
                <w:rFonts w:ascii="Arial Narrow" w:hAnsi="Arial Narrow"/>
                <w:color w:val="000000"/>
                <w:sz w:val="20"/>
                <w:szCs w:val="20"/>
                <w:lang w:eastAsia="en-US"/>
              </w:rPr>
              <w:t>ratio</w:t>
            </w:r>
            <w:proofErr w:type="spellEnd"/>
            <w:r w:rsidRPr="00A2007E">
              <w:rPr>
                <w:rFonts w:ascii="Arial Narrow" w:hAnsi="Arial Narrow"/>
                <w:color w:val="000000"/>
                <w:sz w:val="20"/>
                <w:szCs w:val="20"/>
                <w:lang w:eastAsia="en-US"/>
              </w:rPr>
              <w:t xml:space="preserve"> – ukazovateľ primeranosti verejných penzií. Vypočíta sa ako podiel priemernej penzie (započítané sú všetky druhy penzií – invalidné, starobné, minimálne) ku priemernej hrubej mzde v ekonomike. Ukazovateľ </w:t>
            </w:r>
            <w:r w:rsidRPr="00A2007E">
              <w:rPr>
                <w:rFonts w:ascii="Arial Narrow" w:hAnsi="Arial Narrow"/>
                <w:sz w:val="20"/>
                <w:szCs w:val="20"/>
              </w:rPr>
              <w:t xml:space="preserve">udáva jednoduchý priemer za krajiny </w:t>
            </w:r>
            <w:proofErr w:type="spellStart"/>
            <w:r w:rsidRPr="00A2007E">
              <w:rPr>
                <w:rFonts w:ascii="Arial Narrow" w:hAnsi="Arial Narrow"/>
                <w:sz w:val="20"/>
                <w:szCs w:val="20"/>
              </w:rPr>
              <w:t>EÚ.</w:t>
            </w:r>
            <w:r w:rsidRPr="00A2007E">
              <w:rPr>
                <w:rFonts w:ascii="Arial Narrow" w:hAnsi="Arial Narrow"/>
                <w:color w:val="000000"/>
                <w:sz w:val="20"/>
                <w:szCs w:val="20"/>
                <w:lang w:eastAsia="en-US"/>
              </w:rPr>
              <w:t>Medzinárodne</w:t>
            </w:r>
            <w:proofErr w:type="spellEnd"/>
            <w:r w:rsidRPr="00A2007E">
              <w:rPr>
                <w:rFonts w:ascii="Arial Narrow" w:hAnsi="Arial Narrow"/>
                <w:color w:val="000000"/>
                <w:sz w:val="20"/>
                <w:szCs w:val="20"/>
                <w:lang w:eastAsia="en-US"/>
              </w:rPr>
              <w:t xml:space="preserve"> porovnateľné hodnoty sú publikované v pravidelne aktualizovanej správe Európskej komisie - </w:t>
            </w:r>
            <w:proofErr w:type="spellStart"/>
            <w:r w:rsidRPr="00A2007E">
              <w:rPr>
                <w:rFonts w:ascii="Arial Narrow" w:hAnsi="Arial Narrow"/>
                <w:color w:val="000000"/>
                <w:sz w:val="20"/>
                <w:szCs w:val="20"/>
                <w:lang w:eastAsia="en-US"/>
              </w:rPr>
              <w:t>Ageing</w:t>
            </w:r>
            <w:proofErr w:type="spellEnd"/>
            <w:r w:rsidRPr="00A2007E">
              <w:rPr>
                <w:rFonts w:ascii="Arial Narrow" w:hAnsi="Arial Narrow"/>
                <w:color w:val="000000"/>
                <w:sz w:val="20"/>
                <w:szCs w:val="20"/>
                <w:lang w:eastAsia="en-US"/>
              </w:rPr>
              <w:t xml:space="preserve"> report.  </w:t>
            </w:r>
          </w:p>
        </w:tc>
      </w:tr>
      <w:tr w:rsidR="00E64732" w:rsidRPr="00AB20C2" w14:paraId="2FBF5719" w14:textId="77777777" w:rsidTr="001C548C">
        <w:trPr>
          <w:trHeight w:val="340"/>
          <w:jc w:val="center"/>
        </w:trPr>
        <w:tc>
          <w:tcPr>
            <w:tcW w:w="1826" w:type="dxa"/>
            <w:vMerge/>
            <w:tcBorders>
              <w:top w:val="nil"/>
              <w:left w:val="nil"/>
              <w:bottom w:val="dotted" w:sz="4" w:space="0" w:color="000000"/>
              <w:right w:val="nil"/>
            </w:tcBorders>
            <w:vAlign w:val="center"/>
            <w:hideMark/>
          </w:tcPr>
          <w:p w14:paraId="3F68DCF5"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34F17FC4"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w:t>
            </w:r>
            <w:hyperlink r:id="rId52" w:history="1">
              <w:proofErr w:type="spellStart"/>
              <w:r w:rsidRPr="00A2007E">
                <w:rPr>
                  <w:rFonts w:ascii="Arial Narrow" w:hAnsi="Arial Narrow"/>
                  <w:color w:val="2C9ADC"/>
                  <w:sz w:val="20"/>
                  <w:szCs w:val="20"/>
                  <w:u w:val="single"/>
                  <w:lang w:eastAsia="en-US"/>
                </w:rPr>
                <w:t>Ageing</w:t>
              </w:r>
              <w:proofErr w:type="spellEnd"/>
              <w:r w:rsidRPr="00A2007E">
                <w:rPr>
                  <w:rFonts w:ascii="Arial Narrow" w:hAnsi="Arial Narrow"/>
                  <w:color w:val="2C9ADC"/>
                  <w:sz w:val="20"/>
                  <w:szCs w:val="20"/>
                  <w:u w:val="single"/>
                  <w:lang w:eastAsia="en-US"/>
                </w:rPr>
                <w:t xml:space="preserve"> report</w:t>
              </w:r>
            </w:hyperlink>
            <w:r w:rsidRPr="00A2007E">
              <w:rPr>
                <w:rFonts w:ascii="Arial Narrow" w:hAnsi="Arial Narrow"/>
                <w:color w:val="000000"/>
                <w:sz w:val="20"/>
                <w:szCs w:val="20"/>
                <w:lang w:eastAsia="en-US"/>
              </w:rPr>
              <w:t>, Európska komisia</w:t>
            </w:r>
          </w:p>
        </w:tc>
      </w:tr>
      <w:tr w:rsidR="00DA388A" w:rsidRPr="00AB20C2" w14:paraId="7E782226" w14:textId="77777777" w:rsidTr="00D621E9">
        <w:trPr>
          <w:trHeight w:val="786"/>
          <w:jc w:val="center"/>
        </w:trPr>
        <w:tc>
          <w:tcPr>
            <w:tcW w:w="1826" w:type="dxa"/>
            <w:vMerge w:val="restart"/>
            <w:tcBorders>
              <w:top w:val="nil"/>
              <w:left w:val="nil"/>
              <w:right w:val="nil"/>
            </w:tcBorders>
            <w:vAlign w:val="center"/>
          </w:tcPr>
          <w:p w14:paraId="226B4958" w14:textId="644DDA90" w:rsidR="00DA388A" w:rsidRPr="00A2007E" w:rsidRDefault="00D621E9" w:rsidP="00D621E9">
            <w:pPr>
              <w:spacing w:after="0" w:line="240" w:lineRule="auto"/>
              <w:rPr>
                <w:rFonts w:ascii="Arial Narrow" w:hAnsi="Arial Narrow"/>
                <w:b/>
                <w:bCs/>
                <w:color w:val="000000"/>
                <w:sz w:val="20"/>
                <w:szCs w:val="20"/>
                <w:lang w:eastAsia="en-US"/>
              </w:rPr>
            </w:pPr>
            <w:r w:rsidRPr="00D621E9">
              <w:rPr>
                <w:rFonts w:ascii="Arial Narrow" w:hAnsi="Arial Narrow"/>
                <w:b/>
                <w:bCs/>
                <w:color w:val="000000"/>
                <w:sz w:val="20"/>
                <w:szCs w:val="20"/>
                <w:lang w:eastAsia="en-US"/>
              </w:rPr>
              <w:t>Úmrtnosť odvrátit</w:t>
            </w:r>
            <w:r>
              <w:rPr>
                <w:rFonts w:ascii="Arial Narrow" w:hAnsi="Arial Narrow"/>
                <w:b/>
                <w:bCs/>
                <w:color w:val="000000"/>
                <w:sz w:val="20"/>
                <w:szCs w:val="20"/>
                <w:lang w:eastAsia="en-US"/>
              </w:rPr>
              <w:t>eľná zdravotnou starostlivosťou</w:t>
            </w:r>
          </w:p>
        </w:tc>
        <w:tc>
          <w:tcPr>
            <w:tcW w:w="8380" w:type="dxa"/>
            <w:tcBorders>
              <w:top w:val="nil"/>
              <w:left w:val="nil"/>
              <w:bottom w:val="dotted" w:sz="4" w:space="0" w:color="auto"/>
              <w:right w:val="nil"/>
            </w:tcBorders>
            <w:shd w:val="clear" w:color="auto" w:fill="auto"/>
            <w:vAlign w:val="center"/>
          </w:tcPr>
          <w:p w14:paraId="08E96FF1" w14:textId="2E31BCE3" w:rsidR="00DA388A" w:rsidRPr="00A2007E" w:rsidRDefault="00D621E9" w:rsidP="00D621E9">
            <w:pPr>
              <w:spacing w:after="0" w:line="240" w:lineRule="auto"/>
              <w:jc w:val="both"/>
              <w:rPr>
                <w:rFonts w:ascii="Arial Narrow" w:hAnsi="Arial Narrow"/>
                <w:color w:val="000000"/>
                <w:sz w:val="20"/>
                <w:szCs w:val="20"/>
                <w:lang w:eastAsia="en-US"/>
              </w:rPr>
            </w:pPr>
            <w:r w:rsidRPr="00D621E9">
              <w:rPr>
                <w:rFonts w:ascii="Arial Narrow" w:hAnsi="Arial Narrow"/>
                <w:color w:val="000000"/>
                <w:sz w:val="20"/>
                <w:szCs w:val="20"/>
                <w:lang w:eastAsia="en-US"/>
              </w:rPr>
              <w:t>Miera úmrtnosti odvrátiteľnej zdravotnou starostlivosťou alebo inými slovami miera liečiteľnej úmrtnosti zahŕňa úmrtia, ktoré je možné odvrátiť včasnou a efektívnou diagnostikou či adekvátnym zásahom zdravotnej starostlivosti a liečbou.</w:t>
            </w:r>
            <w:r>
              <w:rPr>
                <w:rFonts w:ascii="Arial Narrow" w:hAnsi="Arial Narrow"/>
                <w:color w:val="000000"/>
                <w:sz w:val="20"/>
                <w:szCs w:val="20"/>
                <w:lang w:eastAsia="en-US"/>
              </w:rPr>
              <w:t xml:space="preserve"> Určená ako počet úmrtí na 100 tisíc obyvateľov.</w:t>
            </w:r>
          </w:p>
        </w:tc>
      </w:tr>
      <w:tr w:rsidR="00DA388A" w:rsidRPr="00AB20C2" w14:paraId="756173DA" w14:textId="77777777" w:rsidTr="004E1500">
        <w:trPr>
          <w:trHeight w:val="340"/>
          <w:jc w:val="center"/>
        </w:trPr>
        <w:tc>
          <w:tcPr>
            <w:tcW w:w="1826" w:type="dxa"/>
            <w:vMerge/>
            <w:tcBorders>
              <w:left w:val="nil"/>
              <w:bottom w:val="dotted" w:sz="4" w:space="0" w:color="000000"/>
              <w:right w:val="nil"/>
            </w:tcBorders>
            <w:vAlign w:val="center"/>
          </w:tcPr>
          <w:p w14:paraId="7531C769" w14:textId="77777777" w:rsidR="00DA388A" w:rsidRPr="00A2007E" w:rsidRDefault="00DA388A"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tcPr>
          <w:p w14:paraId="11BC06E7" w14:textId="5E828944" w:rsidR="00DA388A" w:rsidRPr="00A2007E" w:rsidRDefault="00DA388A" w:rsidP="00E64732">
            <w:pPr>
              <w:spacing w:after="0" w:line="240" w:lineRule="auto"/>
              <w:jc w:val="both"/>
              <w:rPr>
                <w:rFonts w:ascii="Arial Narrow" w:hAnsi="Arial Narrow"/>
                <w:color w:val="000000"/>
                <w:sz w:val="20"/>
                <w:szCs w:val="20"/>
                <w:lang w:eastAsia="en-US"/>
              </w:rPr>
            </w:pPr>
            <w:r>
              <w:rPr>
                <w:rFonts w:ascii="Arial Narrow" w:hAnsi="Arial Narrow"/>
                <w:color w:val="000000"/>
                <w:sz w:val="20"/>
                <w:szCs w:val="20"/>
                <w:lang w:eastAsia="en-US"/>
              </w:rPr>
              <w:t xml:space="preserve">Zdroj: </w:t>
            </w:r>
            <w:proofErr w:type="spellStart"/>
            <w:r w:rsidRPr="00DA388A">
              <w:rPr>
                <w:rFonts w:ascii="Arial Narrow" w:hAnsi="Arial Narrow"/>
                <w:color w:val="000000"/>
                <w:sz w:val="20"/>
                <w:szCs w:val="20"/>
                <w:lang w:eastAsia="en-US"/>
              </w:rPr>
              <w:t>Eurostat</w:t>
            </w:r>
            <w:proofErr w:type="spellEnd"/>
            <w:r w:rsidRPr="00DA388A">
              <w:rPr>
                <w:rFonts w:ascii="Arial Narrow" w:hAnsi="Arial Narrow"/>
                <w:color w:val="000000"/>
                <w:sz w:val="20"/>
                <w:szCs w:val="20"/>
                <w:lang w:eastAsia="en-US"/>
              </w:rPr>
              <w:t xml:space="preserve"> (</w:t>
            </w:r>
            <w:proofErr w:type="spellStart"/>
            <w:r w:rsidRPr="00DA388A">
              <w:rPr>
                <w:rFonts w:ascii="Arial Narrow" w:hAnsi="Arial Narrow"/>
                <w:color w:val="000000"/>
                <w:sz w:val="20"/>
                <w:szCs w:val="20"/>
                <w:lang w:eastAsia="en-US"/>
              </w:rPr>
              <w:t>hlth_cd_apr</w:t>
            </w:r>
            <w:proofErr w:type="spellEnd"/>
            <w:r w:rsidRPr="00DA388A">
              <w:rPr>
                <w:rFonts w:ascii="Arial Narrow" w:hAnsi="Arial Narrow"/>
                <w:color w:val="000000"/>
                <w:sz w:val="20"/>
                <w:szCs w:val="20"/>
                <w:lang w:eastAsia="en-US"/>
              </w:rPr>
              <w:t>)</w:t>
            </w:r>
          </w:p>
        </w:tc>
      </w:tr>
      <w:tr w:rsidR="00DA388A" w:rsidRPr="00AB20C2" w14:paraId="1699A17F" w14:textId="77777777" w:rsidTr="004E1500">
        <w:trPr>
          <w:trHeight w:val="340"/>
          <w:jc w:val="center"/>
        </w:trPr>
        <w:tc>
          <w:tcPr>
            <w:tcW w:w="1826" w:type="dxa"/>
            <w:vMerge w:val="restart"/>
            <w:tcBorders>
              <w:left w:val="nil"/>
              <w:right w:val="nil"/>
            </w:tcBorders>
            <w:vAlign w:val="center"/>
          </w:tcPr>
          <w:p w14:paraId="52413F85" w14:textId="68B0BFE2" w:rsidR="00DA388A" w:rsidRPr="00A2007E" w:rsidRDefault="00DA388A" w:rsidP="00DA388A">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Očakávaná dĺžka života pri narodení</w:t>
            </w:r>
          </w:p>
        </w:tc>
        <w:tc>
          <w:tcPr>
            <w:tcW w:w="8380" w:type="dxa"/>
            <w:tcBorders>
              <w:top w:val="nil"/>
              <w:left w:val="nil"/>
              <w:bottom w:val="dotted" w:sz="4" w:space="0" w:color="auto"/>
              <w:right w:val="nil"/>
            </w:tcBorders>
            <w:shd w:val="clear" w:color="auto" w:fill="auto"/>
            <w:vAlign w:val="center"/>
          </w:tcPr>
          <w:p w14:paraId="2C2EB319" w14:textId="5FBE3CE2" w:rsidR="00DA388A" w:rsidRPr="00A2007E" w:rsidRDefault="00DA388A" w:rsidP="00DA388A">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Priemerný počet rokov, ktoré sa dožije práve narodené dieťa za predpokladu, že súčasné hodnoty miery úmrtnosti v každom populačnom ročníku zostanú zachované. Určuje sa samostatne pre </w:t>
            </w:r>
            <w:r>
              <w:rPr>
                <w:rFonts w:ascii="Arial Narrow" w:hAnsi="Arial Narrow"/>
                <w:color w:val="000000"/>
                <w:sz w:val="20"/>
                <w:szCs w:val="20"/>
                <w:lang w:eastAsia="en-US"/>
              </w:rPr>
              <w:t xml:space="preserve">mužov a pre ženy. </w:t>
            </w:r>
          </w:p>
        </w:tc>
      </w:tr>
      <w:tr w:rsidR="00DA388A" w:rsidRPr="00AB20C2" w14:paraId="70E44F77" w14:textId="77777777" w:rsidTr="004E1500">
        <w:trPr>
          <w:trHeight w:val="340"/>
          <w:jc w:val="center"/>
        </w:trPr>
        <w:tc>
          <w:tcPr>
            <w:tcW w:w="1826" w:type="dxa"/>
            <w:vMerge/>
            <w:tcBorders>
              <w:left w:val="nil"/>
              <w:bottom w:val="dotted" w:sz="4" w:space="0" w:color="000000"/>
              <w:right w:val="nil"/>
            </w:tcBorders>
            <w:vAlign w:val="center"/>
          </w:tcPr>
          <w:p w14:paraId="1ED54FB1" w14:textId="77777777" w:rsidR="00DA388A" w:rsidRPr="00A2007E" w:rsidRDefault="00DA388A" w:rsidP="00DA388A">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tcPr>
          <w:p w14:paraId="785F08DF" w14:textId="203286A4" w:rsidR="00DA388A" w:rsidRPr="00A2007E" w:rsidRDefault="00DA388A" w:rsidP="00DA388A">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w:t>
            </w:r>
            <w:proofErr w:type="spellStart"/>
            <w:r w:rsidRPr="00A2007E">
              <w:rPr>
                <w:rFonts w:ascii="Arial Narrow" w:hAnsi="Arial Narrow"/>
                <w:color w:val="000000"/>
                <w:sz w:val="20"/>
                <w:szCs w:val="20"/>
                <w:lang w:eastAsia="en-US"/>
              </w:rPr>
              <w:t>Eurostat</w:t>
            </w:r>
            <w:proofErr w:type="spellEnd"/>
            <w:r w:rsidRPr="00A2007E">
              <w:rPr>
                <w:rFonts w:ascii="Arial Narrow" w:hAnsi="Arial Narrow"/>
                <w:color w:val="000000"/>
                <w:sz w:val="20"/>
                <w:szCs w:val="20"/>
                <w:lang w:eastAsia="en-US"/>
              </w:rPr>
              <w:t xml:space="preserve"> (</w:t>
            </w:r>
            <w:proofErr w:type="spellStart"/>
            <w:r w:rsidRPr="00A2007E">
              <w:rPr>
                <w:rFonts w:ascii="Arial Narrow" w:hAnsi="Arial Narrow"/>
                <w:color w:val="000000"/>
                <w:sz w:val="20"/>
                <w:szCs w:val="20"/>
                <w:lang w:eastAsia="en-US"/>
              </w:rPr>
              <w:t>Life</w:t>
            </w:r>
            <w:proofErr w:type="spellEnd"/>
            <w:r w:rsidRPr="00A2007E">
              <w:rPr>
                <w:rFonts w:ascii="Arial Narrow" w:hAnsi="Arial Narrow"/>
                <w:color w:val="000000"/>
                <w:sz w:val="20"/>
                <w:szCs w:val="20"/>
                <w:lang w:eastAsia="en-US"/>
              </w:rPr>
              <w:t xml:space="preserve"> </w:t>
            </w:r>
            <w:proofErr w:type="spellStart"/>
            <w:r w:rsidRPr="00A2007E">
              <w:rPr>
                <w:rFonts w:ascii="Arial Narrow" w:hAnsi="Arial Narrow"/>
                <w:color w:val="000000"/>
                <w:sz w:val="20"/>
                <w:szCs w:val="20"/>
                <w:lang w:eastAsia="en-US"/>
              </w:rPr>
              <w:t>expectancy</w:t>
            </w:r>
            <w:proofErr w:type="spellEnd"/>
            <w:r w:rsidRPr="00A2007E">
              <w:rPr>
                <w:rFonts w:ascii="Arial Narrow" w:hAnsi="Arial Narrow"/>
                <w:color w:val="000000"/>
                <w:sz w:val="20"/>
                <w:szCs w:val="20"/>
                <w:lang w:eastAsia="en-US"/>
              </w:rPr>
              <w:t xml:space="preserve"> at </w:t>
            </w:r>
            <w:proofErr w:type="spellStart"/>
            <w:r w:rsidRPr="00A2007E">
              <w:rPr>
                <w:rFonts w:ascii="Arial Narrow" w:hAnsi="Arial Narrow"/>
                <w:color w:val="000000"/>
                <w:sz w:val="20"/>
                <w:szCs w:val="20"/>
                <w:lang w:eastAsia="en-US"/>
              </w:rPr>
              <w:t>birth</w:t>
            </w:r>
            <w:proofErr w:type="spellEnd"/>
            <w:r w:rsidRPr="00A2007E">
              <w:rPr>
                <w:rFonts w:ascii="Arial Narrow" w:hAnsi="Arial Narrow"/>
                <w:color w:val="000000"/>
                <w:sz w:val="20"/>
                <w:szCs w:val="20"/>
                <w:lang w:eastAsia="en-US"/>
              </w:rPr>
              <w:t xml:space="preserve">, by sex, </w:t>
            </w:r>
            <w:proofErr w:type="spellStart"/>
            <w:r w:rsidRPr="00A2007E">
              <w:rPr>
                <w:rFonts w:ascii="Arial Narrow" w:hAnsi="Arial Narrow"/>
                <w:color w:val="000000"/>
                <w:sz w:val="20"/>
                <w:szCs w:val="20"/>
                <w:lang w:eastAsia="en-US"/>
              </w:rPr>
              <w:t>demo_mlexpec</w:t>
            </w:r>
            <w:proofErr w:type="spellEnd"/>
            <w:r w:rsidRPr="00A2007E">
              <w:rPr>
                <w:rFonts w:ascii="Arial Narrow" w:hAnsi="Arial Narrow"/>
                <w:color w:val="000000"/>
                <w:sz w:val="20"/>
                <w:szCs w:val="20"/>
                <w:lang w:eastAsia="en-US"/>
              </w:rPr>
              <w:t>)</w:t>
            </w:r>
          </w:p>
        </w:tc>
      </w:tr>
      <w:tr w:rsidR="00E64732" w:rsidRPr="00AB20C2" w14:paraId="4C36F26F" w14:textId="77777777" w:rsidTr="001C548C">
        <w:trPr>
          <w:trHeight w:val="340"/>
          <w:jc w:val="center"/>
        </w:trPr>
        <w:tc>
          <w:tcPr>
            <w:tcW w:w="1826" w:type="dxa"/>
            <w:vMerge w:val="restart"/>
            <w:tcBorders>
              <w:top w:val="nil"/>
              <w:left w:val="nil"/>
              <w:bottom w:val="dotted" w:sz="4" w:space="0" w:color="000000"/>
              <w:right w:val="nil"/>
            </w:tcBorders>
            <w:shd w:val="clear" w:color="auto" w:fill="auto"/>
            <w:vAlign w:val="center"/>
            <w:hideMark/>
          </w:tcPr>
          <w:p w14:paraId="5A7D2C34" w14:textId="77777777" w:rsidR="00E64732" w:rsidRPr="00A2007E" w:rsidRDefault="00E64732" w:rsidP="00E64732">
            <w:pPr>
              <w:spacing w:after="0" w:line="240" w:lineRule="auto"/>
              <w:rPr>
                <w:rFonts w:ascii="Arial Narrow" w:hAnsi="Arial Narrow"/>
                <w:b/>
                <w:bCs/>
                <w:color w:val="000000"/>
                <w:sz w:val="20"/>
                <w:szCs w:val="20"/>
                <w:lang w:eastAsia="en-US"/>
              </w:rPr>
            </w:pPr>
            <w:proofErr w:type="spellStart"/>
            <w:r w:rsidRPr="00A2007E">
              <w:rPr>
                <w:rFonts w:ascii="Arial Narrow" w:hAnsi="Arial Narrow"/>
                <w:b/>
                <w:bCs/>
                <w:color w:val="000000"/>
                <w:sz w:val="20"/>
                <w:szCs w:val="20"/>
                <w:lang w:eastAsia="en-US"/>
              </w:rPr>
              <w:t>Doing</w:t>
            </w:r>
            <w:proofErr w:type="spellEnd"/>
            <w:r w:rsidRPr="00A2007E">
              <w:rPr>
                <w:rFonts w:ascii="Arial Narrow" w:hAnsi="Arial Narrow"/>
                <w:b/>
                <w:bCs/>
                <w:color w:val="000000"/>
                <w:sz w:val="20"/>
                <w:szCs w:val="20"/>
                <w:lang w:eastAsia="en-US"/>
              </w:rPr>
              <w:t xml:space="preserve"> Business</w:t>
            </w:r>
          </w:p>
        </w:tc>
        <w:tc>
          <w:tcPr>
            <w:tcW w:w="8380" w:type="dxa"/>
            <w:tcBorders>
              <w:top w:val="nil"/>
              <w:left w:val="nil"/>
              <w:bottom w:val="nil"/>
              <w:right w:val="nil"/>
            </w:tcBorders>
            <w:shd w:val="clear" w:color="auto" w:fill="auto"/>
            <w:vAlign w:val="center"/>
            <w:hideMark/>
          </w:tcPr>
          <w:p w14:paraId="0F15A3BB"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Poradie krajiny v rebríčku </w:t>
            </w:r>
            <w:proofErr w:type="spellStart"/>
            <w:r w:rsidRPr="00A2007E">
              <w:rPr>
                <w:rFonts w:ascii="Arial Narrow" w:hAnsi="Arial Narrow"/>
                <w:color w:val="000000"/>
                <w:sz w:val="20"/>
                <w:szCs w:val="20"/>
                <w:lang w:eastAsia="en-US"/>
              </w:rPr>
              <w:t>Doing</w:t>
            </w:r>
            <w:proofErr w:type="spellEnd"/>
            <w:r w:rsidRPr="00A2007E">
              <w:rPr>
                <w:rFonts w:ascii="Arial Narrow" w:hAnsi="Arial Narrow"/>
                <w:color w:val="000000"/>
                <w:sz w:val="20"/>
                <w:szCs w:val="20"/>
                <w:lang w:eastAsia="en-US"/>
              </w:rPr>
              <w:t xml:space="preserve"> Business, ktorý meria reguláciu domácich firiem počas desiatich fáz ich životného cyklu: začiatok podnikania, vybavovanie stavebného povolenia, registrácia majetku, získanie úveru a elektrickej prípojky, ochrana investorov, platenie daní, cezhraničný obchod, vymáhanie zmlúv a riešenie insolventnosti. Dáta sú založené prevažne na domácich zákonoch, rôznych iných reguláciách a administratívnych požiadavkách. </w:t>
            </w:r>
          </w:p>
        </w:tc>
      </w:tr>
      <w:tr w:rsidR="00E64732" w:rsidRPr="00AB20C2" w14:paraId="2AA96B21" w14:textId="77777777" w:rsidTr="001C548C">
        <w:trPr>
          <w:trHeight w:val="340"/>
          <w:jc w:val="center"/>
        </w:trPr>
        <w:tc>
          <w:tcPr>
            <w:tcW w:w="1826" w:type="dxa"/>
            <w:vMerge/>
            <w:tcBorders>
              <w:top w:val="nil"/>
              <w:left w:val="nil"/>
              <w:bottom w:val="dotted" w:sz="4" w:space="0" w:color="000000"/>
              <w:right w:val="nil"/>
            </w:tcBorders>
            <w:vAlign w:val="center"/>
            <w:hideMark/>
          </w:tcPr>
          <w:p w14:paraId="72FF5A52"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4938FF5D"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Zdroj:</w:t>
            </w:r>
            <w:r w:rsidRPr="00A2007E">
              <w:rPr>
                <w:rFonts w:ascii="Arial Narrow" w:hAnsi="Arial Narrow"/>
                <w:color w:val="2C9ADC"/>
                <w:sz w:val="20"/>
                <w:szCs w:val="20"/>
                <w:lang w:eastAsia="en-US"/>
              </w:rPr>
              <w:t xml:space="preserve"> </w:t>
            </w:r>
            <w:hyperlink r:id="rId53" w:history="1">
              <w:r w:rsidRPr="00A2007E">
                <w:rPr>
                  <w:rFonts w:ascii="Arial Narrow" w:hAnsi="Arial Narrow"/>
                  <w:color w:val="2C9ADC"/>
                  <w:sz w:val="20"/>
                  <w:szCs w:val="20"/>
                  <w:u w:val="single"/>
                  <w:lang w:eastAsia="en-US"/>
                </w:rPr>
                <w:t>Svetová banka</w:t>
              </w:r>
            </w:hyperlink>
          </w:p>
        </w:tc>
      </w:tr>
      <w:tr w:rsidR="00E64732" w:rsidRPr="00AB20C2" w14:paraId="4E4316AB" w14:textId="77777777" w:rsidTr="001C548C">
        <w:trPr>
          <w:trHeight w:val="340"/>
          <w:jc w:val="center"/>
        </w:trPr>
        <w:tc>
          <w:tcPr>
            <w:tcW w:w="1826" w:type="dxa"/>
            <w:vMerge w:val="restart"/>
            <w:tcBorders>
              <w:top w:val="nil"/>
              <w:left w:val="nil"/>
              <w:bottom w:val="dotted" w:sz="4" w:space="0" w:color="000000"/>
              <w:right w:val="nil"/>
            </w:tcBorders>
            <w:shd w:val="clear" w:color="auto" w:fill="auto"/>
            <w:vAlign w:val="center"/>
            <w:hideMark/>
          </w:tcPr>
          <w:p w14:paraId="407F8A62"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Index regulácie trhu produktov</w:t>
            </w:r>
          </w:p>
        </w:tc>
        <w:tc>
          <w:tcPr>
            <w:tcW w:w="8380" w:type="dxa"/>
            <w:tcBorders>
              <w:top w:val="nil"/>
              <w:left w:val="nil"/>
              <w:bottom w:val="nil"/>
              <w:right w:val="nil"/>
            </w:tcBorders>
            <w:shd w:val="clear" w:color="auto" w:fill="auto"/>
            <w:vAlign w:val="center"/>
            <w:hideMark/>
          </w:tcPr>
          <w:p w14:paraId="77ECB0AF"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Hodnotenie krajiny v Indexe regulácie trhu produktov (</w:t>
            </w:r>
            <w:proofErr w:type="spellStart"/>
            <w:r w:rsidRPr="00A2007E">
              <w:rPr>
                <w:rFonts w:ascii="Arial Narrow" w:hAnsi="Arial Narrow"/>
                <w:color w:val="000000"/>
                <w:sz w:val="20"/>
                <w:szCs w:val="20"/>
                <w:lang w:eastAsia="en-US"/>
              </w:rPr>
              <w:t>Product</w:t>
            </w:r>
            <w:proofErr w:type="spellEnd"/>
            <w:r w:rsidRPr="00A2007E">
              <w:rPr>
                <w:rFonts w:ascii="Arial Narrow" w:hAnsi="Arial Narrow"/>
                <w:color w:val="000000"/>
                <w:sz w:val="20"/>
                <w:szCs w:val="20"/>
                <w:lang w:eastAsia="en-US"/>
              </w:rPr>
              <w:t xml:space="preserve"> </w:t>
            </w:r>
            <w:proofErr w:type="spellStart"/>
            <w:r w:rsidRPr="00A2007E">
              <w:rPr>
                <w:rFonts w:ascii="Arial Narrow" w:hAnsi="Arial Narrow"/>
                <w:color w:val="000000"/>
                <w:sz w:val="20"/>
                <w:szCs w:val="20"/>
                <w:lang w:eastAsia="en-US"/>
              </w:rPr>
              <w:t>Market</w:t>
            </w:r>
            <w:proofErr w:type="spellEnd"/>
            <w:r w:rsidRPr="00A2007E">
              <w:rPr>
                <w:rFonts w:ascii="Arial Narrow" w:hAnsi="Arial Narrow"/>
                <w:color w:val="000000"/>
                <w:sz w:val="20"/>
                <w:szCs w:val="20"/>
                <w:lang w:eastAsia="en-US"/>
              </w:rPr>
              <w:t xml:space="preserve"> </w:t>
            </w:r>
            <w:proofErr w:type="spellStart"/>
            <w:r w:rsidRPr="00A2007E">
              <w:rPr>
                <w:rFonts w:ascii="Arial Narrow" w:hAnsi="Arial Narrow"/>
                <w:color w:val="000000"/>
                <w:sz w:val="20"/>
                <w:szCs w:val="20"/>
                <w:lang w:eastAsia="en-US"/>
              </w:rPr>
              <w:t>Regulation</w:t>
            </w:r>
            <w:proofErr w:type="spellEnd"/>
            <w:r w:rsidRPr="00A2007E">
              <w:rPr>
                <w:rFonts w:ascii="Arial Narrow" w:hAnsi="Arial Narrow"/>
                <w:color w:val="000000"/>
                <w:sz w:val="20"/>
                <w:szCs w:val="20"/>
                <w:lang w:eastAsia="en-US"/>
              </w:rPr>
              <w:t xml:space="preserve"> Index). Meria reguláciu a bariéry v troch oblastiach: štátna kontrola, bariéry v podnikaní a bariéry pre obchod a investície (každá s tretinovou váhou). Index regulácie trhu produktov sa nezameriava len na podnikateľskú činnosť bežných podnikov, ale meria širšiu reguláciu (napr. regulácia sieťových odvetví).</w:t>
            </w:r>
          </w:p>
        </w:tc>
      </w:tr>
      <w:tr w:rsidR="00E64732" w:rsidRPr="00AB20C2" w14:paraId="5021A0EE" w14:textId="77777777" w:rsidTr="001C548C">
        <w:trPr>
          <w:trHeight w:val="340"/>
          <w:jc w:val="center"/>
        </w:trPr>
        <w:tc>
          <w:tcPr>
            <w:tcW w:w="1826" w:type="dxa"/>
            <w:vMerge/>
            <w:tcBorders>
              <w:top w:val="nil"/>
              <w:left w:val="nil"/>
              <w:bottom w:val="dotted" w:sz="4" w:space="0" w:color="000000"/>
              <w:right w:val="nil"/>
            </w:tcBorders>
            <w:vAlign w:val="center"/>
            <w:hideMark/>
          </w:tcPr>
          <w:p w14:paraId="7EC989F0"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14BDCB01"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Zdroj: OECD</w:t>
            </w:r>
          </w:p>
        </w:tc>
      </w:tr>
      <w:tr w:rsidR="00E64732" w:rsidRPr="00AB20C2" w14:paraId="17A405B3" w14:textId="77777777" w:rsidTr="001C548C">
        <w:trPr>
          <w:trHeight w:val="340"/>
          <w:jc w:val="center"/>
        </w:trPr>
        <w:tc>
          <w:tcPr>
            <w:tcW w:w="1826" w:type="dxa"/>
            <w:vMerge w:val="restart"/>
            <w:tcBorders>
              <w:top w:val="nil"/>
              <w:left w:val="nil"/>
              <w:bottom w:val="dotted" w:sz="4" w:space="0" w:color="000000"/>
              <w:right w:val="nil"/>
            </w:tcBorders>
            <w:shd w:val="clear" w:color="auto" w:fill="auto"/>
            <w:vAlign w:val="center"/>
            <w:hideMark/>
          </w:tcPr>
          <w:p w14:paraId="3527B3D0"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E-</w:t>
            </w:r>
            <w:proofErr w:type="spellStart"/>
            <w:r w:rsidRPr="00A2007E">
              <w:rPr>
                <w:rFonts w:ascii="Arial Narrow" w:hAnsi="Arial Narrow"/>
                <w:b/>
                <w:bCs/>
                <w:color w:val="000000"/>
                <w:sz w:val="20"/>
                <w:szCs w:val="20"/>
                <w:lang w:eastAsia="en-US"/>
              </w:rPr>
              <w:t>Government</w:t>
            </w:r>
            <w:proofErr w:type="spellEnd"/>
          </w:p>
        </w:tc>
        <w:tc>
          <w:tcPr>
            <w:tcW w:w="8380" w:type="dxa"/>
            <w:tcBorders>
              <w:top w:val="nil"/>
              <w:left w:val="nil"/>
              <w:bottom w:val="nil"/>
              <w:right w:val="nil"/>
            </w:tcBorders>
            <w:shd w:val="clear" w:color="auto" w:fill="auto"/>
            <w:vAlign w:val="center"/>
            <w:hideMark/>
          </w:tcPr>
          <w:p w14:paraId="4F29F4E0"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Percento jednotlivcov vo veku 16 - 74, ktorý používajú internet na komunikáciu s verejnou správou.</w:t>
            </w:r>
          </w:p>
        </w:tc>
      </w:tr>
      <w:tr w:rsidR="00E64732" w:rsidRPr="00AB20C2" w14:paraId="73BDB5EC" w14:textId="77777777" w:rsidTr="001C548C">
        <w:trPr>
          <w:trHeight w:val="340"/>
          <w:jc w:val="center"/>
        </w:trPr>
        <w:tc>
          <w:tcPr>
            <w:tcW w:w="1826" w:type="dxa"/>
            <w:vMerge/>
            <w:tcBorders>
              <w:top w:val="nil"/>
              <w:left w:val="nil"/>
              <w:bottom w:val="dotted" w:sz="4" w:space="0" w:color="000000"/>
              <w:right w:val="nil"/>
            </w:tcBorders>
            <w:vAlign w:val="center"/>
            <w:hideMark/>
          </w:tcPr>
          <w:p w14:paraId="0A7B7315"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3CFA91F2"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w:t>
            </w:r>
            <w:proofErr w:type="spellStart"/>
            <w:r w:rsidRPr="00A2007E">
              <w:rPr>
                <w:rFonts w:ascii="Arial Narrow" w:hAnsi="Arial Narrow"/>
                <w:color w:val="000000"/>
                <w:sz w:val="20"/>
                <w:szCs w:val="20"/>
                <w:lang w:eastAsia="en-US"/>
              </w:rPr>
              <w:t>Eurostat</w:t>
            </w:r>
            <w:proofErr w:type="spellEnd"/>
            <w:r w:rsidRPr="00A2007E">
              <w:rPr>
                <w:rFonts w:ascii="Arial Narrow" w:hAnsi="Arial Narrow"/>
                <w:color w:val="000000"/>
                <w:sz w:val="20"/>
                <w:szCs w:val="20"/>
                <w:lang w:eastAsia="en-US"/>
              </w:rPr>
              <w:t xml:space="preserve"> (</w:t>
            </w:r>
            <w:r w:rsidRPr="00A2007E">
              <w:rPr>
                <w:rFonts w:ascii="Arial Narrow" w:hAnsi="Arial Narrow" w:cs="Arial"/>
                <w:sz w:val="20"/>
                <w:szCs w:val="20"/>
              </w:rPr>
              <w:t>tin00012</w:t>
            </w:r>
            <w:r w:rsidRPr="00A2007E">
              <w:rPr>
                <w:rFonts w:ascii="Arial Narrow" w:hAnsi="Arial Narrow"/>
                <w:color w:val="000000"/>
                <w:sz w:val="20"/>
                <w:szCs w:val="20"/>
                <w:lang w:eastAsia="en-US"/>
              </w:rPr>
              <w:t>)</w:t>
            </w:r>
          </w:p>
        </w:tc>
      </w:tr>
      <w:tr w:rsidR="00E64732" w:rsidRPr="00AB20C2" w14:paraId="737CE0FF" w14:textId="77777777" w:rsidTr="001C548C">
        <w:trPr>
          <w:trHeight w:val="340"/>
          <w:jc w:val="center"/>
        </w:trPr>
        <w:tc>
          <w:tcPr>
            <w:tcW w:w="1826" w:type="dxa"/>
            <w:vMerge w:val="restart"/>
            <w:tcBorders>
              <w:top w:val="nil"/>
              <w:left w:val="nil"/>
              <w:bottom w:val="dotted" w:sz="4" w:space="0" w:color="000000"/>
              <w:right w:val="nil"/>
            </w:tcBorders>
            <w:shd w:val="clear" w:color="auto" w:fill="auto"/>
            <w:vAlign w:val="center"/>
            <w:hideMark/>
          </w:tcPr>
          <w:p w14:paraId="4FF903BD"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Vnímanie korupcie</w:t>
            </w:r>
          </w:p>
        </w:tc>
        <w:tc>
          <w:tcPr>
            <w:tcW w:w="8380" w:type="dxa"/>
            <w:tcBorders>
              <w:top w:val="nil"/>
              <w:left w:val="nil"/>
              <w:bottom w:val="nil"/>
              <w:right w:val="nil"/>
            </w:tcBorders>
            <w:shd w:val="clear" w:color="auto" w:fill="auto"/>
            <w:vAlign w:val="center"/>
            <w:hideMark/>
          </w:tcPr>
          <w:p w14:paraId="1F113DCF" w14:textId="003A651C" w:rsidR="00E64732" w:rsidRPr="00A2007E" w:rsidRDefault="00E64732" w:rsidP="000E1F6E">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Index vnímania korupcie (CPI) - </w:t>
            </w:r>
            <w:proofErr w:type="spellStart"/>
            <w:r w:rsidRPr="00A2007E">
              <w:rPr>
                <w:rFonts w:ascii="Arial Narrow" w:hAnsi="Arial Narrow"/>
                <w:color w:val="000000"/>
                <w:sz w:val="20"/>
                <w:szCs w:val="20"/>
                <w:lang w:eastAsia="en-US"/>
              </w:rPr>
              <w:t>Transparency</w:t>
            </w:r>
            <w:proofErr w:type="spellEnd"/>
            <w:r w:rsidRPr="00A2007E">
              <w:rPr>
                <w:rFonts w:ascii="Arial Narrow" w:hAnsi="Arial Narrow"/>
                <w:color w:val="000000"/>
                <w:sz w:val="20"/>
                <w:szCs w:val="20"/>
                <w:lang w:eastAsia="en-US"/>
              </w:rPr>
              <w:t xml:space="preserve"> International, meria vnímanie korupcie na základe 5-1</w:t>
            </w:r>
            <w:r w:rsidR="000E1F6E" w:rsidRPr="00A2007E">
              <w:rPr>
                <w:rFonts w:ascii="Arial Narrow" w:hAnsi="Arial Narrow"/>
                <w:color w:val="000000"/>
                <w:sz w:val="20"/>
                <w:szCs w:val="20"/>
                <w:lang w:eastAsia="en-US"/>
              </w:rPr>
              <w:t>3</w:t>
            </w:r>
            <w:r w:rsidRPr="00A2007E">
              <w:rPr>
                <w:rFonts w:ascii="Arial Narrow" w:hAnsi="Arial Narrow"/>
                <w:color w:val="000000"/>
                <w:sz w:val="20"/>
                <w:szCs w:val="20"/>
                <w:lang w:eastAsia="en-US"/>
              </w:rPr>
              <w:t xml:space="preserve"> zdrojových prieskumov podnikateľov a expertov pre každú krajinu..</w:t>
            </w:r>
            <w:r w:rsidR="00DE24F8" w:rsidRPr="00A2007E">
              <w:rPr>
                <w:rFonts w:ascii="Arial Narrow" w:hAnsi="Arial Narrow"/>
                <w:color w:val="000000"/>
                <w:sz w:val="20"/>
                <w:szCs w:val="20"/>
                <w:lang w:eastAsia="en-US"/>
              </w:rPr>
              <w:t xml:space="preserve"> Vyššie skóre znamená nižšiu mi</w:t>
            </w:r>
            <w:r w:rsidRPr="00A2007E">
              <w:rPr>
                <w:rFonts w:ascii="Arial Narrow" w:hAnsi="Arial Narrow"/>
                <w:color w:val="000000"/>
                <w:sz w:val="20"/>
                <w:szCs w:val="20"/>
                <w:lang w:eastAsia="en-US"/>
              </w:rPr>
              <w:t xml:space="preserve">eru vnímanej </w:t>
            </w:r>
            <w:proofErr w:type="spellStart"/>
            <w:r w:rsidRPr="00A2007E">
              <w:rPr>
                <w:rFonts w:ascii="Arial Narrow" w:hAnsi="Arial Narrow"/>
                <w:color w:val="000000"/>
                <w:sz w:val="20"/>
                <w:szCs w:val="20"/>
                <w:lang w:eastAsia="en-US"/>
              </w:rPr>
              <w:t>korpucie</w:t>
            </w:r>
            <w:proofErr w:type="spellEnd"/>
            <w:r w:rsidRPr="00A2007E">
              <w:rPr>
                <w:rFonts w:ascii="Arial Narrow" w:hAnsi="Arial Narrow"/>
                <w:color w:val="000000"/>
                <w:sz w:val="20"/>
                <w:szCs w:val="20"/>
                <w:lang w:eastAsia="en-US"/>
              </w:rPr>
              <w:t>.</w:t>
            </w:r>
          </w:p>
        </w:tc>
      </w:tr>
      <w:tr w:rsidR="00E64732" w:rsidRPr="00AB20C2" w14:paraId="27D7DA07" w14:textId="77777777" w:rsidTr="001C548C">
        <w:trPr>
          <w:trHeight w:val="340"/>
          <w:jc w:val="center"/>
        </w:trPr>
        <w:tc>
          <w:tcPr>
            <w:tcW w:w="1826" w:type="dxa"/>
            <w:vMerge/>
            <w:tcBorders>
              <w:top w:val="nil"/>
              <w:left w:val="nil"/>
              <w:bottom w:val="dotted" w:sz="4" w:space="0" w:color="000000"/>
              <w:right w:val="nil"/>
            </w:tcBorders>
            <w:vAlign w:val="center"/>
            <w:hideMark/>
          </w:tcPr>
          <w:p w14:paraId="18D09CB0"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1617BDC5"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w:t>
            </w:r>
            <w:hyperlink r:id="rId54" w:history="1">
              <w:proofErr w:type="spellStart"/>
              <w:r w:rsidRPr="00A2007E">
                <w:rPr>
                  <w:rFonts w:ascii="Arial Narrow" w:hAnsi="Arial Narrow"/>
                  <w:color w:val="2C9ADC"/>
                  <w:sz w:val="20"/>
                  <w:szCs w:val="20"/>
                  <w:u w:val="single"/>
                  <w:lang w:eastAsia="en-US"/>
                </w:rPr>
                <w:t>Transparency</w:t>
              </w:r>
              <w:proofErr w:type="spellEnd"/>
              <w:r w:rsidRPr="00A2007E">
                <w:rPr>
                  <w:rFonts w:ascii="Arial Narrow" w:hAnsi="Arial Narrow"/>
                  <w:color w:val="2C9ADC"/>
                  <w:sz w:val="20"/>
                  <w:szCs w:val="20"/>
                  <w:u w:val="single"/>
                  <w:lang w:eastAsia="en-US"/>
                </w:rPr>
                <w:t xml:space="preserve"> International</w:t>
              </w:r>
            </w:hyperlink>
          </w:p>
        </w:tc>
      </w:tr>
      <w:tr w:rsidR="00E64732" w:rsidRPr="00AB20C2" w14:paraId="5769DF18" w14:textId="77777777" w:rsidTr="001C548C">
        <w:trPr>
          <w:trHeight w:val="340"/>
          <w:jc w:val="center"/>
        </w:trPr>
        <w:tc>
          <w:tcPr>
            <w:tcW w:w="1826" w:type="dxa"/>
            <w:vMerge w:val="restart"/>
            <w:tcBorders>
              <w:top w:val="nil"/>
              <w:left w:val="nil"/>
              <w:bottom w:val="dotted" w:sz="4" w:space="0" w:color="000000"/>
              <w:right w:val="nil"/>
            </w:tcBorders>
            <w:shd w:val="clear" w:color="auto" w:fill="auto"/>
            <w:vAlign w:val="center"/>
            <w:hideMark/>
          </w:tcPr>
          <w:p w14:paraId="5F8DE8B7"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Emisie skleníkových plynov mimo ETS</w:t>
            </w:r>
          </w:p>
        </w:tc>
        <w:tc>
          <w:tcPr>
            <w:tcW w:w="8380" w:type="dxa"/>
            <w:tcBorders>
              <w:top w:val="nil"/>
              <w:left w:val="nil"/>
              <w:bottom w:val="nil"/>
              <w:right w:val="nil"/>
            </w:tcBorders>
            <w:shd w:val="clear" w:color="auto" w:fill="auto"/>
            <w:vAlign w:val="center"/>
            <w:hideMark/>
          </w:tcPr>
          <w:p w14:paraId="622598F5"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Percentuálna zmena v množstve emisií skleníkových plynov mimo ETS (vyjadrené ako CO</w:t>
            </w:r>
            <w:r w:rsidRPr="00A2007E">
              <w:rPr>
                <w:rFonts w:ascii="Arial Narrow" w:hAnsi="Arial Narrow"/>
                <w:color w:val="000000"/>
                <w:sz w:val="20"/>
                <w:szCs w:val="20"/>
                <w:vertAlign w:val="subscript"/>
                <w:lang w:eastAsia="en-US"/>
              </w:rPr>
              <w:t>2</w:t>
            </w:r>
            <w:r w:rsidRPr="00A2007E">
              <w:rPr>
                <w:rFonts w:ascii="Arial Narrow" w:hAnsi="Arial Narrow"/>
                <w:color w:val="000000"/>
                <w:sz w:val="20"/>
                <w:szCs w:val="20"/>
                <w:lang w:eastAsia="en-US"/>
              </w:rPr>
              <w:t xml:space="preserve"> ekvivalent) v porovnaní s rokom 2005. Indikátor zachytáva trendy týkajúce sa agregovaných </w:t>
            </w:r>
            <w:proofErr w:type="spellStart"/>
            <w:r w:rsidRPr="00A2007E">
              <w:rPr>
                <w:rFonts w:ascii="Arial Narrow" w:hAnsi="Arial Narrow"/>
                <w:color w:val="000000"/>
                <w:sz w:val="20"/>
                <w:szCs w:val="20"/>
                <w:lang w:eastAsia="en-US"/>
              </w:rPr>
              <w:t>antropogénnych</w:t>
            </w:r>
            <w:proofErr w:type="spellEnd"/>
            <w:r w:rsidRPr="00A2007E">
              <w:rPr>
                <w:rFonts w:ascii="Arial Narrow" w:hAnsi="Arial Narrow"/>
                <w:color w:val="000000"/>
                <w:sz w:val="20"/>
                <w:szCs w:val="20"/>
                <w:lang w:eastAsia="en-US"/>
              </w:rPr>
              <w:t xml:space="preserve"> emisií CO</w:t>
            </w:r>
            <w:r w:rsidRPr="00A2007E">
              <w:rPr>
                <w:rFonts w:ascii="Arial Narrow" w:hAnsi="Arial Narrow"/>
                <w:color w:val="000000"/>
                <w:sz w:val="20"/>
                <w:szCs w:val="20"/>
                <w:vertAlign w:val="subscript"/>
                <w:lang w:eastAsia="en-US"/>
              </w:rPr>
              <w:t>2</w:t>
            </w:r>
            <w:r w:rsidRPr="00A2007E">
              <w:rPr>
                <w:rFonts w:ascii="Arial Narrow" w:hAnsi="Arial Narrow"/>
                <w:color w:val="000000"/>
                <w:sz w:val="20"/>
                <w:szCs w:val="20"/>
                <w:lang w:eastAsia="en-US"/>
              </w:rPr>
              <w:t>, NO</w:t>
            </w:r>
            <w:r w:rsidRPr="00A2007E">
              <w:rPr>
                <w:rFonts w:ascii="Arial Narrow" w:hAnsi="Arial Narrow"/>
                <w:color w:val="000000"/>
                <w:sz w:val="20"/>
                <w:szCs w:val="20"/>
                <w:vertAlign w:val="subscript"/>
                <w:lang w:eastAsia="en-US"/>
              </w:rPr>
              <w:t>2</w:t>
            </w:r>
            <w:r w:rsidRPr="00A2007E">
              <w:rPr>
                <w:rFonts w:ascii="Arial Narrow" w:hAnsi="Arial Narrow"/>
                <w:color w:val="000000"/>
                <w:sz w:val="20"/>
                <w:szCs w:val="20"/>
                <w:lang w:eastAsia="en-US"/>
              </w:rPr>
              <w:t>, CH4, HFC, PFC a SF6 súhrnne nazývaných skleníkové plyny (vyjadrené ako CO</w:t>
            </w:r>
            <w:r w:rsidRPr="00A2007E">
              <w:rPr>
                <w:rFonts w:ascii="Arial Narrow" w:hAnsi="Arial Narrow"/>
                <w:color w:val="000000"/>
                <w:sz w:val="20"/>
                <w:szCs w:val="20"/>
                <w:vertAlign w:val="subscript"/>
                <w:lang w:eastAsia="en-US"/>
              </w:rPr>
              <w:t>2</w:t>
            </w:r>
            <w:r w:rsidRPr="00A2007E">
              <w:rPr>
                <w:rFonts w:ascii="Arial Narrow" w:hAnsi="Arial Narrow"/>
                <w:color w:val="000000"/>
                <w:sz w:val="20"/>
                <w:szCs w:val="20"/>
                <w:lang w:eastAsia="en-US"/>
              </w:rPr>
              <w:t xml:space="preserve"> ekvivalent). Celkové množstvo nezahŕňa emisie z využívania krajiny a lesov (LULUCF).</w:t>
            </w:r>
          </w:p>
        </w:tc>
      </w:tr>
      <w:tr w:rsidR="00E64732" w:rsidRPr="00AB20C2" w14:paraId="2DB7F40B" w14:textId="77777777" w:rsidTr="001C548C">
        <w:trPr>
          <w:trHeight w:val="340"/>
          <w:jc w:val="center"/>
        </w:trPr>
        <w:tc>
          <w:tcPr>
            <w:tcW w:w="1826" w:type="dxa"/>
            <w:vMerge/>
            <w:tcBorders>
              <w:top w:val="nil"/>
              <w:left w:val="nil"/>
              <w:bottom w:val="dotted" w:sz="4" w:space="0" w:color="000000"/>
              <w:right w:val="nil"/>
            </w:tcBorders>
            <w:vAlign w:val="center"/>
            <w:hideMark/>
          </w:tcPr>
          <w:p w14:paraId="13A091BC"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12038FFF"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w:t>
            </w:r>
            <w:proofErr w:type="spellStart"/>
            <w:r w:rsidRPr="00A2007E">
              <w:rPr>
                <w:rFonts w:ascii="Arial Narrow" w:hAnsi="Arial Narrow"/>
                <w:color w:val="000000"/>
                <w:sz w:val="20"/>
                <w:szCs w:val="20"/>
                <w:lang w:eastAsia="en-US"/>
              </w:rPr>
              <w:t>European</w:t>
            </w:r>
            <w:proofErr w:type="spellEnd"/>
            <w:r w:rsidRPr="00A2007E">
              <w:rPr>
                <w:rFonts w:ascii="Arial Narrow" w:hAnsi="Arial Narrow"/>
                <w:color w:val="000000"/>
                <w:sz w:val="20"/>
                <w:szCs w:val="20"/>
                <w:lang w:eastAsia="en-US"/>
              </w:rPr>
              <w:t xml:space="preserve"> </w:t>
            </w:r>
            <w:proofErr w:type="spellStart"/>
            <w:r w:rsidRPr="00A2007E">
              <w:rPr>
                <w:rFonts w:ascii="Arial Narrow" w:hAnsi="Arial Narrow"/>
                <w:color w:val="000000"/>
                <w:sz w:val="20"/>
                <w:szCs w:val="20"/>
                <w:lang w:eastAsia="en-US"/>
              </w:rPr>
              <w:t>Environment</w:t>
            </w:r>
            <w:proofErr w:type="spellEnd"/>
            <w:r w:rsidRPr="00A2007E">
              <w:rPr>
                <w:rFonts w:ascii="Arial Narrow" w:hAnsi="Arial Narrow"/>
                <w:color w:val="000000"/>
                <w:sz w:val="20"/>
                <w:szCs w:val="20"/>
                <w:lang w:eastAsia="en-US"/>
              </w:rPr>
              <w:t xml:space="preserve"> </w:t>
            </w:r>
            <w:proofErr w:type="spellStart"/>
            <w:r w:rsidRPr="00A2007E">
              <w:rPr>
                <w:rFonts w:ascii="Arial Narrow" w:hAnsi="Arial Narrow"/>
                <w:color w:val="000000"/>
                <w:sz w:val="20"/>
                <w:szCs w:val="20"/>
                <w:lang w:eastAsia="en-US"/>
              </w:rPr>
              <w:t>Agency</w:t>
            </w:r>
            <w:proofErr w:type="spellEnd"/>
          </w:p>
        </w:tc>
      </w:tr>
      <w:tr w:rsidR="00E64732" w:rsidRPr="00AB20C2" w14:paraId="6BA21336" w14:textId="77777777" w:rsidTr="001C548C">
        <w:trPr>
          <w:trHeight w:val="340"/>
          <w:jc w:val="center"/>
        </w:trPr>
        <w:tc>
          <w:tcPr>
            <w:tcW w:w="1826" w:type="dxa"/>
            <w:vMerge w:val="restart"/>
            <w:tcBorders>
              <w:top w:val="nil"/>
              <w:left w:val="nil"/>
              <w:right w:val="nil"/>
            </w:tcBorders>
            <w:shd w:val="clear" w:color="auto" w:fill="auto"/>
            <w:vAlign w:val="center"/>
            <w:hideMark/>
          </w:tcPr>
          <w:p w14:paraId="051A0BA3"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Podiel OZE na hrubej konečnej spotrebe</w:t>
            </w:r>
          </w:p>
        </w:tc>
        <w:tc>
          <w:tcPr>
            <w:tcW w:w="8380" w:type="dxa"/>
            <w:tcBorders>
              <w:top w:val="nil"/>
              <w:left w:val="nil"/>
              <w:right w:val="nil"/>
            </w:tcBorders>
            <w:shd w:val="clear" w:color="auto" w:fill="auto"/>
            <w:vAlign w:val="center"/>
            <w:hideMark/>
          </w:tcPr>
          <w:p w14:paraId="533D242F"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Podiel konečnej energetickej spotreby z obnoviteľných zdrojov energie a hrubej konečnej energetickej spotreby. Konečná energetická spotreba z obnoviteľných zdrojov sa vypočíta ako súčet hrubej konečnej spotreby elektriny z obnoviteľných zdrojov energie, hrubej konečnej energetickej spotreby z obnoviteľných zdrojov energie určenej na výrobu tepla a chladu a konečnej energetickej spotreby z obnoviteľných zdrojov energie v doprave. </w:t>
            </w:r>
          </w:p>
        </w:tc>
      </w:tr>
      <w:tr w:rsidR="00E64732" w:rsidRPr="00AB20C2" w14:paraId="2150BF37" w14:textId="77777777" w:rsidTr="001C548C">
        <w:trPr>
          <w:trHeight w:val="340"/>
          <w:jc w:val="center"/>
        </w:trPr>
        <w:tc>
          <w:tcPr>
            <w:tcW w:w="1826" w:type="dxa"/>
            <w:vMerge/>
            <w:tcBorders>
              <w:left w:val="nil"/>
              <w:bottom w:val="dotted" w:sz="4" w:space="0" w:color="auto"/>
              <w:right w:val="nil"/>
            </w:tcBorders>
            <w:shd w:val="clear" w:color="auto" w:fill="auto"/>
            <w:vAlign w:val="center"/>
          </w:tcPr>
          <w:p w14:paraId="43C7ED49" w14:textId="77777777" w:rsidR="00E64732" w:rsidRPr="00A2007E"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tcPr>
          <w:p w14:paraId="67E6EE4C"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 xml:space="preserve">Zdroj: </w:t>
            </w:r>
            <w:proofErr w:type="spellStart"/>
            <w:r w:rsidRPr="00A2007E">
              <w:rPr>
                <w:rFonts w:ascii="Arial Narrow" w:hAnsi="Arial Narrow"/>
                <w:color w:val="000000"/>
                <w:sz w:val="20"/>
                <w:szCs w:val="20"/>
                <w:lang w:eastAsia="en-US"/>
              </w:rPr>
              <w:t>Eurostat</w:t>
            </w:r>
            <w:proofErr w:type="spellEnd"/>
            <w:r w:rsidRPr="00A2007E">
              <w:rPr>
                <w:rFonts w:ascii="Arial Narrow" w:hAnsi="Arial Narrow"/>
                <w:color w:val="000000"/>
                <w:sz w:val="20"/>
                <w:szCs w:val="20"/>
                <w:lang w:eastAsia="en-US"/>
              </w:rPr>
              <w:t xml:space="preserve"> (</w:t>
            </w:r>
            <w:r w:rsidRPr="00A2007E">
              <w:rPr>
                <w:rFonts w:ascii="Arial Narrow" w:hAnsi="Arial Narrow"/>
                <w:sz w:val="20"/>
                <w:szCs w:val="20"/>
              </w:rPr>
              <w:t>t2020_31</w:t>
            </w:r>
            <w:r w:rsidRPr="00A2007E">
              <w:rPr>
                <w:rFonts w:ascii="Arial Narrow" w:hAnsi="Arial Narrow"/>
                <w:color w:val="000000"/>
                <w:sz w:val="20"/>
                <w:szCs w:val="20"/>
                <w:lang w:eastAsia="en-US"/>
              </w:rPr>
              <w:t>)</w:t>
            </w:r>
          </w:p>
        </w:tc>
      </w:tr>
      <w:tr w:rsidR="00E64732" w:rsidRPr="00AB20C2" w14:paraId="5A88C4AE" w14:textId="77777777" w:rsidTr="001C548C">
        <w:trPr>
          <w:trHeight w:val="340"/>
          <w:jc w:val="center"/>
        </w:trPr>
        <w:tc>
          <w:tcPr>
            <w:tcW w:w="1826" w:type="dxa"/>
            <w:vMerge w:val="restart"/>
            <w:tcBorders>
              <w:top w:val="dotted" w:sz="4" w:space="0" w:color="auto"/>
              <w:left w:val="nil"/>
              <w:bottom w:val="dotted" w:sz="4" w:space="0" w:color="000000"/>
              <w:right w:val="nil"/>
            </w:tcBorders>
            <w:shd w:val="clear" w:color="auto" w:fill="auto"/>
            <w:vAlign w:val="center"/>
            <w:hideMark/>
          </w:tcPr>
          <w:p w14:paraId="31C46025" w14:textId="77777777" w:rsidR="00E64732" w:rsidRPr="00A2007E" w:rsidRDefault="00E64732" w:rsidP="00E64732">
            <w:pPr>
              <w:spacing w:after="0" w:line="240" w:lineRule="auto"/>
              <w:rPr>
                <w:rFonts w:ascii="Arial Narrow" w:hAnsi="Arial Narrow"/>
                <w:b/>
                <w:bCs/>
                <w:color w:val="000000"/>
                <w:sz w:val="20"/>
                <w:szCs w:val="20"/>
                <w:lang w:eastAsia="en-US"/>
              </w:rPr>
            </w:pPr>
            <w:r w:rsidRPr="00A2007E">
              <w:rPr>
                <w:rFonts w:ascii="Arial Narrow" w:hAnsi="Arial Narrow"/>
                <w:b/>
                <w:bCs/>
                <w:color w:val="000000"/>
                <w:sz w:val="20"/>
                <w:szCs w:val="20"/>
                <w:lang w:eastAsia="en-US"/>
              </w:rPr>
              <w:t>Konečná energetická spotreba</w:t>
            </w:r>
          </w:p>
        </w:tc>
        <w:tc>
          <w:tcPr>
            <w:tcW w:w="8380" w:type="dxa"/>
            <w:tcBorders>
              <w:top w:val="dotted" w:sz="4" w:space="0" w:color="auto"/>
              <w:left w:val="nil"/>
              <w:bottom w:val="nil"/>
              <w:right w:val="nil"/>
            </w:tcBorders>
            <w:shd w:val="clear" w:color="auto" w:fill="auto"/>
            <w:vAlign w:val="center"/>
            <w:hideMark/>
          </w:tcPr>
          <w:p w14:paraId="55A94A00" w14:textId="77777777" w:rsidR="00E64732" w:rsidRPr="00A2007E" w:rsidRDefault="00E64732" w:rsidP="00E64732">
            <w:pPr>
              <w:spacing w:after="0" w:line="240" w:lineRule="auto"/>
              <w:jc w:val="both"/>
              <w:rPr>
                <w:rFonts w:ascii="Arial Narrow" w:hAnsi="Arial Narrow"/>
                <w:color w:val="000000"/>
                <w:sz w:val="20"/>
                <w:szCs w:val="20"/>
                <w:lang w:eastAsia="en-US"/>
              </w:rPr>
            </w:pPr>
            <w:r w:rsidRPr="00A2007E">
              <w:rPr>
                <w:rFonts w:ascii="Arial Narrow" w:hAnsi="Arial Narrow"/>
                <w:color w:val="000000"/>
                <w:sz w:val="20"/>
                <w:szCs w:val="20"/>
                <w:lang w:eastAsia="en-US"/>
              </w:rPr>
              <w:t>Konečná spotreba energie zahŕňa všetku energiu dodanú konečným spotrebiteľom (v priemysle, v doprave, v domácnostiach a v iných sektoroch) pre všetky druhy energetických potrieb. Nezahŕňa dodávky energie pre transformáciu a/alebo vlastnú spotrebu energetických odvetví, rovnako ako straty v sieťach.</w:t>
            </w:r>
          </w:p>
        </w:tc>
      </w:tr>
      <w:tr w:rsidR="00E64732" w:rsidRPr="00AB20C2" w14:paraId="58FAD6B9" w14:textId="77777777" w:rsidTr="001C548C">
        <w:trPr>
          <w:trHeight w:val="340"/>
          <w:jc w:val="center"/>
        </w:trPr>
        <w:tc>
          <w:tcPr>
            <w:tcW w:w="1826" w:type="dxa"/>
            <w:vMerge/>
            <w:tcBorders>
              <w:top w:val="nil"/>
              <w:left w:val="nil"/>
              <w:bottom w:val="single" w:sz="4" w:space="0" w:color="auto"/>
              <w:right w:val="nil"/>
            </w:tcBorders>
            <w:vAlign w:val="center"/>
            <w:hideMark/>
          </w:tcPr>
          <w:p w14:paraId="4BEE2984" w14:textId="77777777" w:rsidR="00E64732" w:rsidRPr="00AB20C2" w:rsidRDefault="00E64732" w:rsidP="00E64732">
            <w:pPr>
              <w:spacing w:after="0" w:line="240" w:lineRule="auto"/>
              <w:rPr>
                <w:rFonts w:ascii="Arial Narrow" w:hAnsi="Arial Narrow"/>
                <w:b/>
                <w:bCs/>
                <w:color w:val="000000"/>
                <w:sz w:val="20"/>
                <w:szCs w:val="20"/>
                <w:lang w:eastAsia="en-US"/>
              </w:rPr>
            </w:pPr>
          </w:p>
        </w:tc>
        <w:tc>
          <w:tcPr>
            <w:tcW w:w="8380" w:type="dxa"/>
            <w:tcBorders>
              <w:top w:val="nil"/>
              <w:left w:val="nil"/>
              <w:bottom w:val="single" w:sz="4" w:space="0" w:color="auto"/>
              <w:right w:val="nil"/>
            </w:tcBorders>
            <w:shd w:val="clear" w:color="auto" w:fill="auto"/>
            <w:vAlign w:val="center"/>
            <w:hideMark/>
          </w:tcPr>
          <w:p w14:paraId="0ABB92C9" w14:textId="77777777" w:rsidR="00E64732" w:rsidRPr="00AB20C2" w:rsidRDefault="00E64732" w:rsidP="00E64732">
            <w:pPr>
              <w:spacing w:after="0" w:line="240" w:lineRule="auto"/>
              <w:jc w:val="both"/>
              <w:rPr>
                <w:rFonts w:ascii="Arial Narrow" w:hAnsi="Arial Narrow"/>
                <w:color w:val="000000"/>
                <w:sz w:val="20"/>
                <w:szCs w:val="20"/>
                <w:lang w:eastAsia="en-US"/>
              </w:rPr>
            </w:pPr>
            <w:r w:rsidRPr="00AB20C2">
              <w:rPr>
                <w:rFonts w:ascii="Arial Narrow" w:hAnsi="Arial Narrow"/>
                <w:color w:val="000000"/>
                <w:sz w:val="20"/>
                <w:szCs w:val="20"/>
                <w:lang w:eastAsia="en-US"/>
              </w:rPr>
              <w:t xml:space="preserve">Zdroj: </w:t>
            </w:r>
            <w:proofErr w:type="spellStart"/>
            <w:r w:rsidRPr="00AB20C2">
              <w:rPr>
                <w:rFonts w:ascii="Arial Narrow" w:hAnsi="Arial Narrow"/>
                <w:color w:val="000000"/>
                <w:sz w:val="20"/>
                <w:szCs w:val="20"/>
                <w:lang w:eastAsia="en-US"/>
              </w:rPr>
              <w:t>Eurostat</w:t>
            </w:r>
            <w:proofErr w:type="spellEnd"/>
            <w:r w:rsidRPr="00AB20C2">
              <w:rPr>
                <w:rFonts w:ascii="Arial Narrow" w:hAnsi="Arial Narrow"/>
                <w:color w:val="000000"/>
                <w:sz w:val="20"/>
                <w:szCs w:val="20"/>
                <w:lang w:eastAsia="en-US"/>
              </w:rPr>
              <w:t xml:space="preserve"> (t2020_35)</w:t>
            </w:r>
          </w:p>
        </w:tc>
      </w:tr>
    </w:tbl>
    <w:p w14:paraId="2A0C6FC5" w14:textId="77777777" w:rsidR="00E64732" w:rsidRPr="00E64732" w:rsidRDefault="00E64732" w:rsidP="00E64732">
      <w:pPr>
        <w:spacing w:after="0" w:line="240" w:lineRule="auto"/>
        <w:jc w:val="both"/>
        <w:rPr>
          <w:rFonts w:ascii="Arial Narrow" w:hAnsi="Arial Narrow"/>
          <w:color w:val="000000"/>
        </w:rPr>
      </w:pPr>
    </w:p>
    <w:p w14:paraId="1BC1C019" w14:textId="7DE361A9" w:rsidR="00E53C9B" w:rsidRDefault="00130459" w:rsidP="00130459">
      <w:pPr>
        <w:keepNext/>
        <w:keepLines/>
        <w:spacing w:before="480" w:after="0" w:line="240" w:lineRule="auto"/>
        <w:ind w:hanging="709"/>
        <w:jc w:val="both"/>
        <w:outlineLvl w:val="0"/>
        <w:rPr>
          <w:rFonts w:ascii="Arial Narrow" w:eastAsiaTheme="majorEastAsia" w:hAnsi="Arial Narrow" w:cstheme="majorBidi"/>
          <w:b/>
          <w:bCs/>
          <w:sz w:val="32"/>
          <w:szCs w:val="32"/>
        </w:rPr>
      </w:pPr>
      <w:bookmarkStart w:id="92" w:name="_Toc4766851"/>
      <w:r>
        <w:rPr>
          <w:rFonts w:ascii="Arial Narrow" w:eastAsiaTheme="majorEastAsia" w:hAnsi="Arial Narrow" w:cstheme="majorBidi"/>
          <w:b/>
          <w:bCs/>
          <w:sz w:val="32"/>
          <w:szCs w:val="32"/>
        </w:rPr>
        <w:lastRenderedPageBreak/>
        <w:t xml:space="preserve">Príloha </w:t>
      </w:r>
      <w:r w:rsidRPr="00E77855">
        <w:rPr>
          <w:rFonts w:ascii="Arial Narrow" w:eastAsiaTheme="majorEastAsia" w:hAnsi="Arial Narrow" w:cstheme="majorBidi"/>
          <w:b/>
          <w:bCs/>
          <w:sz w:val="32"/>
          <w:szCs w:val="32"/>
        </w:rPr>
        <w:t>č. </w:t>
      </w:r>
      <w:r w:rsidR="00173A8A" w:rsidRPr="00173A8A">
        <w:rPr>
          <w:rFonts w:ascii="Arial Narrow" w:eastAsiaTheme="majorEastAsia" w:hAnsi="Arial Narrow" w:cstheme="majorBidi"/>
          <w:b/>
          <w:bCs/>
          <w:sz w:val="32"/>
          <w:szCs w:val="32"/>
        </w:rPr>
        <w:t>6</w:t>
      </w:r>
      <w:r w:rsidRPr="00E77855">
        <w:rPr>
          <w:rFonts w:ascii="Arial Narrow" w:eastAsiaTheme="majorEastAsia" w:hAnsi="Arial Narrow" w:cstheme="majorBidi"/>
          <w:b/>
          <w:bCs/>
          <w:sz w:val="32"/>
          <w:szCs w:val="32"/>
        </w:rPr>
        <w:t xml:space="preserve">: </w:t>
      </w:r>
      <w:r w:rsidR="00320FFD" w:rsidRPr="00320FFD">
        <w:rPr>
          <w:rFonts w:ascii="Arial Narrow" w:eastAsiaTheme="majorEastAsia" w:hAnsi="Arial Narrow" w:cstheme="majorBidi"/>
          <w:b/>
          <w:bCs/>
          <w:sz w:val="32"/>
          <w:szCs w:val="32"/>
        </w:rPr>
        <w:t>Odpočet kľúčových opatrení z Programového vyhlásenia vlády SR 2016 až 2020</w:t>
      </w:r>
      <w:bookmarkEnd w:id="92"/>
    </w:p>
    <w:p w14:paraId="4DE527D3" w14:textId="77777777" w:rsidR="00E53C9B" w:rsidRDefault="00E53C9B" w:rsidP="00130459">
      <w:pPr>
        <w:keepNext/>
        <w:keepLines/>
        <w:spacing w:before="480" w:after="0" w:line="240" w:lineRule="auto"/>
        <w:ind w:hanging="709"/>
        <w:jc w:val="both"/>
        <w:outlineLvl w:val="0"/>
        <w:rPr>
          <w:rFonts w:ascii="Arial Narrow" w:eastAsiaTheme="majorEastAsia" w:hAnsi="Arial Narrow" w:cstheme="majorBidi"/>
          <w:b/>
          <w:bCs/>
          <w:sz w:val="32"/>
          <w:szCs w:val="32"/>
        </w:rPr>
      </w:pPr>
    </w:p>
    <w:p w14:paraId="7B70B55F" w14:textId="585F7C07" w:rsidR="00E53C9B" w:rsidRPr="00BF0803" w:rsidRDefault="00E53C9B" w:rsidP="00E53C9B">
      <w:pPr>
        <w:numPr>
          <w:ilvl w:val="0"/>
          <w:numId w:val="64"/>
        </w:numPr>
        <w:spacing w:line="240" w:lineRule="auto"/>
        <w:jc w:val="both"/>
        <w:rPr>
          <w:rFonts w:ascii="Arial Narrow" w:hAnsi="Arial Narrow"/>
          <w:b/>
        </w:rPr>
      </w:pPr>
      <w:r w:rsidRPr="00E53C9B">
        <w:rPr>
          <w:rFonts w:ascii="Arial Narrow" w:hAnsi="Arial Narrow"/>
          <w:b/>
        </w:rPr>
        <w:t xml:space="preserve"> </w:t>
      </w:r>
      <w:r w:rsidRPr="00BF0803">
        <w:rPr>
          <w:rFonts w:ascii="Arial Narrow" w:hAnsi="Arial Narrow"/>
          <w:b/>
        </w:rPr>
        <w:t>Vzdelávanie, veda a inovácie</w:t>
      </w:r>
    </w:p>
    <w:p w14:paraId="2DEAEE21" w14:textId="77777777" w:rsidR="00E53C9B" w:rsidRPr="0062680A" w:rsidRDefault="00E53C9B" w:rsidP="00E53C9B">
      <w:pPr>
        <w:pStyle w:val="Odsekzoznamu"/>
        <w:numPr>
          <w:ilvl w:val="1"/>
          <w:numId w:val="64"/>
        </w:numPr>
        <w:spacing w:line="240" w:lineRule="auto"/>
        <w:jc w:val="both"/>
        <w:rPr>
          <w:rFonts w:ascii="Arial Narrow" w:hAnsi="Arial Narrow" w:cstheme="minorBidi"/>
          <w:b/>
          <w:lang w:eastAsia="en-US"/>
        </w:rPr>
      </w:pPr>
      <w:r w:rsidRPr="0062680A">
        <w:rPr>
          <w:rFonts w:ascii="Arial Narrow" w:hAnsi="Arial Narrow" w:cstheme="minorBidi"/>
          <w:b/>
          <w:lang w:eastAsia="en-US"/>
        </w:rPr>
        <w:t>Regionálne školstvo</w:t>
      </w:r>
    </w:p>
    <w:p w14:paraId="25FBB32C" w14:textId="1981DA63" w:rsidR="00E53C9B" w:rsidRPr="004239D2" w:rsidRDefault="00E53C9B" w:rsidP="00E53C9B">
      <w:pPr>
        <w:spacing w:after="160" w:line="240" w:lineRule="auto"/>
        <w:jc w:val="both"/>
        <w:rPr>
          <w:rFonts w:ascii="Arial Narrow" w:hAnsi="Arial Narrow"/>
        </w:rPr>
      </w:pPr>
      <w:r w:rsidRPr="004239D2">
        <w:rPr>
          <w:rFonts w:ascii="Arial Narrow" w:hAnsi="Arial Narrow"/>
          <w:b/>
        </w:rPr>
        <w:t xml:space="preserve">V oblasti regionálneho školstva sa pozornosť kládla </w:t>
      </w:r>
      <w:r>
        <w:rPr>
          <w:rFonts w:ascii="Arial Narrow" w:hAnsi="Arial Narrow"/>
          <w:b/>
        </w:rPr>
        <w:t xml:space="preserve">na </w:t>
      </w:r>
      <w:r w:rsidRPr="004239D2">
        <w:rPr>
          <w:rFonts w:ascii="Arial Narrow" w:hAnsi="Arial Narrow"/>
          <w:b/>
        </w:rPr>
        <w:t>podpor</w:t>
      </w:r>
      <w:r>
        <w:rPr>
          <w:rFonts w:ascii="Arial Narrow" w:hAnsi="Arial Narrow"/>
          <w:b/>
        </w:rPr>
        <w:t>u</w:t>
      </w:r>
      <w:r w:rsidRPr="004239D2">
        <w:rPr>
          <w:rFonts w:ascii="Arial Narrow" w:hAnsi="Arial Narrow"/>
          <w:b/>
        </w:rPr>
        <w:t xml:space="preserve"> učiteľov</w:t>
      </w:r>
      <w:r w:rsidRPr="004239D2">
        <w:rPr>
          <w:rFonts w:ascii="Arial Narrow" w:hAnsi="Arial Narrow"/>
        </w:rPr>
        <w:t xml:space="preserve">. Stredobodom pozornosti </w:t>
      </w:r>
      <w:r w:rsidRPr="00BC4533">
        <w:rPr>
          <w:rFonts w:ascii="Arial Narrow" w:hAnsi="Arial Narrow"/>
          <w:i/>
        </w:rPr>
        <w:t>Programového vyhlásenia vlády SR</w:t>
      </w:r>
      <w:r>
        <w:rPr>
          <w:rFonts w:ascii="Arial Narrow" w:hAnsi="Arial Narrow"/>
        </w:rPr>
        <w:t xml:space="preserve"> </w:t>
      </w:r>
      <w:r w:rsidRPr="004239D2">
        <w:rPr>
          <w:rFonts w:ascii="Arial Narrow" w:hAnsi="Arial Narrow"/>
        </w:rPr>
        <w:t xml:space="preserve">a takisto prvého akčného plánu prijatej dlhodobej stratégie </w:t>
      </w:r>
      <w:r w:rsidRPr="00BC4533">
        <w:rPr>
          <w:rFonts w:ascii="Arial Narrow" w:hAnsi="Arial Narrow"/>
          <w:i/>
        </w:rPr>
        <w:t>Národný program rozvoja výchovy a vzdelávania</w:t>
      </w:r>
      <w:r w:rsidRPr="004239D2">
        <w:rPr>
          <w:rFonts w:ascii="Arial Narrow" w:hAnsi="Arial Narrow"/>
        </w:rPr>
        <w:t xml:space="preserve"> sú učitelia. Od začiatku programového obdobia sa navyšovali tarifné platy učiteľom:</w:t>
      </w:r>
      <w:r w:rsidRPr="004529A8">
        <w:rPr>
          <w:rFonts w:ascii="Arial Narrow" w:eastAsiaTheme="minorHAnsi" w:hAnsi="Arial Narrow"/>
          <w:vertAlign w:val="superscript"/>
        </w:rPr>
        <w:footnoteReference w:id="118"/>
      </w:r>
      <w:r w:rsidRPr="004529A8">
        <w:rPr>
          <w:rFonts w:ascii="Arial Narrow" w:hAnsi="Arial Narrow"/>
        </w:rPr>
        <w:t xml:space="preserve"> v septembri 2016 a 2017 o 6 %, v januári 2019 o 10 % a druhé navyšovanie o 10 % je naplánované na január 2020. Okrem plošného navyšovania tarifných platov sú v</w:t>
      </w:r>
      <w:r w:rsidRPr="004239D2">
        <w:rPr>
          <w:rFonts w:ascii="Arial Narrow" w:hAnsi="Arial Narrow"/>
        </w:rPr>
        <w:t xml:space="preserve"> roku 2019 vyčlenené prostriedky na zvýšenie platových taríf začínajúcich učiteľov na začiatku kariéry. Pre ďalšiu podporu učiteľskej profesie bol </w:t>
      </w:r>
      <w:r w:rsidRPr="00B7619E">
        <w:rPr>
          <w:rFonts w:ascii="Arial Narrow" w:hAnsi="Arial Narrow"/>
        </w:rPr>
        <w:t xml:space="preserve">NR SR predložený  nový zákon </w:t>
      </w:r>
      <w:r w:rsidRPr="004239D2">
        <w:rPr>
          <w:rFonts w:ascii="Arial Narrow" w:hAnsi="Arial Narrow"/>
        </w:rPr>
        <w:t>o pedagogických a odborných zamestnancoch</w:t>
      </w:r>
      <w:r w:rsidRPr="00B7619E">
        <w:rPr>
          <w:rStyle w:val="Odkaznapoznmkupodiarou"/>
          <w:rFonts w:ascii="Arial Narrow" w:hAnsi="Arial Narrow"/>
        </w:rPr>
        <w:footnoteReference w:id="119"/>
      </w:r>
      <w:r w:rsidRPr="004239D2">
        <w:rPr>
          <w:rFonts w:ascii="Arial Narrow" w:hAnsi="Arial Narrow"/>
        </w:rPr>
        <w:t xml:space="preserve">, ktorý okrem iného posilňuje väzbu  medzi odmeňovaním a výkonom činnosti úpravou atestačného procesu a upravuje proces profesijného rozvoja. V rámci financovania škôl sa prijala </w:t>
      </w:r>
      <w:r w:rsidR="00823E8B">
        <w:rPr>
          <w:rFonts w:ascii="Arial Narrow" w:hAnsi="Arial Narrow"/>
        </w:rPr>
        <w:t xml:space="preserve">s účinnosťou od </w:t>
      </w:r>
      <w:r>
        <w:rPr>
          <w:rFonts w:ascii="Arial Narrow" w:hAnsi="Arial Narrow"/>
        </w:rPr>
        <w:t xml:space="preserve">januára 2019  </w:t>
      </w:r>
      <w:r w:rsidRPr="004239D2">
        <w:rPr>
          <w:rFonts w:ascii="Arial Narrow" w:hAnsi="Arial Narrow"/>
        </w:rPr>
        <w:t xml:space="preserve">úprava normatívneho financovania, ktorá zohľadňuje dĺžku praxe učiteľov pri udeľovaní normatívov. </w:t>
      </w:r>
    </w:p>
    <w:p w14:paraId="441567E4" w14:textId="5E94E72D" w:rsidR="00E53C9B" w:rsidRPr="004239D2" w:rsidRDefault="00E53C9B" w:rsidP="00E53C9B">
      <w:pPr>
        <w:spacing w:after="160" w:line="240" w:lineRule="auto"/>
        <w:jc w:val="both"/>
        <w:rPr>
          <w:rFonts w:ascii="Arial Narrow" w:hAnsi="Arial Narrow"/>
        </w:rPr>
      </w:pPr>
      <w:r>
        <w:rPr>
          <w:rFonts w:ascii="Arial Narrow" w:hAnsi="Arial Narrow"/>
          <w:b/>
        </w:rPr>
        <w:t>Viaceré prijaté legislatívne opatrenia</w:t>
      </w:r>
      <w:r w:rsidRPr="004239D2">
        <w:rPr>
          <w:rFonts w:ascii="Arial Narrow" w:hAnsi="Arial Narrow"/>
          <w:b/>
        </w:rPr>
        <w:t xml:space="preserve"> posilňujú</w:t>
      </w:r>
      <w:r w:rsidRPr="004239D2">
        <w:rPr>
          <w:rFonts w:ascii="Arial Narrow" w:hAnsi="Arial Narrow"/>
        </w:rPr>
        <w:t xml:space="preserve"> </w:t>
      </w:r>
      <w:r w:rsidRPr="004239D2">
        <w:rPr>
          <w:rFonts w:ascii="Arial Narrow" w:hAnsi="Arial Narrow"/>
          <w:b/>
        </w:rPr>
        <w:t>prvky inklúzie vo vzdelávaní</w:t>
      </w:r>
      <w:r w:rsidRPr="004239D2">
        <w:rPr>
          <w:rFonts w:ascii="Arial Narrow" w:hAnsi="Arial Narrow"/>
        </w:rPr>
        <w:t>. V roku 2017 bola schválená novela o financovaní základných škôl, stredných škôl a školských zariadení</w:t>
      </w:r>
      <w:r>
        <w:rPr>
          <w:rFonts w:ascii="Arial Narrow" w:hAnsi="Arial Narrow"/>
        </w:rPr>
        <w:t>. Novelou sa zaviedla povinnosť štátu uhrádzať náklady</w:t>
      </w:r>
      <w:r w:rsidRPr="00B7619E">
        <w:rPr>
          <w:rFonts w:ascii="Arial Narrow" w:hAnsi="Arial Narrow"/>
        </w:rPr>
        <w:t xml:space="preserve"> na </w:t>
      </w:r>
      <w:proofErr w:type="spellStart"/>
      <w:r w:rsidRPr="00B7619E">
        <w:rPr>
          <w:rFonts w:ascii="Arial Narrow" w:hAnsi="Arial Narrow"/>
        </w:rPr>
        <w:t>predprimárne</w:t>
      </w:r>
      <w:proofErr w:type="spellEnd"/>
      <w:r w:rsidRPr="00B7619E">
        <w:rPr>
          <w:rFonts w:ascii="Arial Narrow" w:hAnsi="Arial Narrow"/>
        </w:rPr>
        <w:t xml:space="preserve"> vzdelávanie detí pochádzajúcich z domácností odkázaných na pomoc v hmotnej núdzi</w:t>
      </w:r>
      <w:r>
        <w:rPr>
          <w:rFonts w:ascii="Arial Narrow" w:hAnsi="Arial Narrow"/>
        </w:rPr>
        <w:t xml:space="preserve">. Tie síce boli do účinnosti novely </w:t>
      </w:r>
      <w:r w:rsidRPr="00B7619E">
        <w:rPr>
          <w:rFonts w:ascii="Arial Narrow" w:hAnsi="Arial Narrow"/>
        </w:rPr>
        <w:t xml:space="preserve">od uhrádzania poplatkov </w:t>
      </w:r>
      <w:r>
        <w:rPr>
          <w:rFonts w:ascii="Arial Narrow" w:hAnsi="Arial Narrow"/>
        </w:rPr>
        <w:t xml:space="preserve">oslobodené, viedlo to však k tomu, že materské školy pri prijímaní </w:t>
      </w:r>
      <w:r w:rsidRPr="00B7619E">
        <w:rPr>
          <w:rFonts w:ascii="Arial Narrow" w:hAnsi="Arial Narrow"/>
        </w:rPr>
        <w:t>uprednostňov</w:t>
      </w:r>
      <w:r>
        <w:rPr>
          <w:rFonts w:ascii="Arial Narrow" w:hAnsi="Arial Narrow"/>
        </w:rPr>
        <w:t xml:space="preserve">ali </w:t>
      </w:r>
      <w:r w:rsidRPr="00B7619E">
        <w:rPr>
          <w:rFonts w:ascii="Arial Narrow" w:hAnsi="Arial Narrow"/>
        </w:rPr>
        <w:t>det</w:t>
      </w:r>
      <w:r>
        <w:rPr>
          <w:rFonts w:ascii="Arial Narrow" w:hAnsi="Arial Narrow"/>
        </w:rPr>
        <w:t>i</w:t>
      </w:r>
      <w:r w:rsidRPr="00B7619E">
        <w:rPr>
          <w:rFonts w:ascii="Arial Narrow" w:hAnsi="Arial Narrow"/>
        </w:rPr>
        <w:t xml:space="preserve"> z rodín, </w:t>
      </w:r>
      <w:r>
        <w:rPr>
          <w:rFonts w:ascii="Arial Narrow" w:hAnsi="Arial Narrow"/>
        </w:rPr>
        <w:t xml:space="preserve">ktoré od úhrady poplatkov oslobodené neboli. </w:t>
      </w:r>
      <w:r w:rsidRPr="00B7619E">
        <w:t xml:space="preserve"> </w:t>
      </w:r>
      <w:r w:rsidRPr="004529A8">
        <w:rPr>
          <w:rFonts w:ascii="Arial Narrow" w:hAnsi="Arial Narrow"/>
          <w:color w:val="000000"/>
        </w:rPr>
        <w:t>Na podporu vyučovania v</w:t>
      </w:r>
      <w:r w:rsidRPr="004239D2">
        <w:rPr>
          <w:rFonts w:ascii="Arial Narrow" w:hAnsi="Arial Narrow"/>
          <w:color w:val="000000"/>
        </w:rPr>
        <w:t> materinskom jazyku bola v</w:t>
      </w:r>
      <w:r w:rsidRPr="004239D2">
        <w:rPr>
          <w:rFonts w:ascii="Arial Narrow" w:hAnsi="Arial Narrow"/>
        </w:rPr>
        <w:t xml:space="preserve"> septembri 2017 legislatívne upravená možnosť prideľovania príspevku na dopravu žiakov základných škôl a špeciálnych základných škôl, ak v obci nie je zriadená škola s príslušným vyučovacím jazykom. </w:t>
      </w:r>
    </w:p>
    <w:p w14:paraId="043F658E" w14:textId="19570876" w:rsidR="00E53C9B" w:rsidRPr="004529A8" w:rsidRDefault="00E53C9B" w:rsidP="00E53C9B">
      <w:pPr>
        <w:spacing w:after="160" w:line="240" w:lineRule="auto"/>
        <w:jc w:val="both"/>
        <w:rPr>
          <w:rFonts w:ascii="Arial Narrow" w:hAnsi="Arial Narrow"/>
        </w:rPr>
      </w:pPr>
      <w:proofErr w:type="spellStart"/>
      <w:r>
        <w:rPr>
          <w:rFonts w:ascii="Arial Narrow" w:hAnsi="Arial Narrow"/>
          <w:b/>
        </w:rPr>
        <w:t>Ink</w:t>
      </w:r>
      <w:r w:rsidRPr="004239D2">
        <w:rPr>
          <w:rFonts w:ascii="Arial Narrow" w:hAnsi="Arial Narrow"/>
          <w:b/>
        </w:rPr>
        <w:t>luzívny</w:t>
      </w:r>
      <w:proofErr w:type="spellEnd"/>
      <w:r w:rsidRPr="004239D2">
        <w:rPr>
          <w:rFonts w:ascii="Arial Narrow" w:hAnsi="Arial Narrow"/>
          <w:b/>
        </w:rPr>
        <w:t xml:space="preserve"> prístup vo </w:t>
      </w:r>
      <w:r w:rsidRPr="004529A8">
        <w:rPr>
          <w:rFonts w:ascii="Arial Narrow" w:hAnsi="Arial Narrow"/>
          <w:b/>
        </w:rPr>
        <w:t xml:space="preserve">vzdelávaní </w:t>
      </w:r>
      <w:r>
        <w:rPr>
          <w:rFonts w:ascii="Arial Narrow" w:hAnsi="Arial Narrow"/>
          <w:b/>
        </w:rPr>
        <w:t>bol podporený aj posilnením personálnych kapacít</w:t>
      </w:r>
      <w:r w:rsidRPr="004239D2">
        <w:rPr>
          <w:rFonts w:ascii="Arial Narrow" w:hAnsi="Arial Narrow"/>
          <w:b/>
        </w:rPr>
        <w:t>.</w:t>
      </w:r>
      <w:r w:rsidRPr="004239D2">
        <w:rPr>
          <w:rFonts w:ascii="Arial Narrow" w:hAnsi="Arial Narrow"/>
        </w:rPr>
        <w:t xml:space="preserve"> Od roku 2017 sa realizuje </w:t>
      </w:r>
      <w:r>
        <w:rPr>
          <w:rFonts w:ascii="Arial Narrow" w:hAnsi="Arial Narrow"/>
        </w:rPr>
        <w:t xml:space="preserve">dopytová </w:t>
      </w:r>
      <w:r w:rsidRPr="004239D2">
        <w:rPr>
          <w:rFonts w:ascii="Arial Narrow" w:hAnsi="Arial Narrow"/>
        </w:rPr>
        <w:t xml:space="preserve">výzva </w:t>
      </w:r>
      <w:r w:rsidRPr="004239D2">
        <w:rPr>
          <w:rFonts w:ascii="Arial Narrow" w:hAnsi="Arial Narrow"/>
          <w:color w:val="000000"/>
        </w:rPr>
        <w:t xml:space="preserve">zameraná na vytvorenie nových pracovných miest </w:t>
      </w:r>
      <w:r w:rsidRPr="00B7619E">
        <w:rPr>
          <w:rFonts w:ascii="Arial Narrow" w:hAnsi="Arial Narrow"/>
        </w:rPr>
        <w:t>pre pedagogických asistentov žiakov zo sociálne znevýhodneného prostredia a žiakov so zdravotným znevýhodnením</w:t>
      </w:r>
      <w:r w:rsidR="00823E8B">
        <w:rPr>
          <w:rFonts w:ascii="Arial Narrow" w:hAnsi="Arial Narrow"/>
          <w:color w:val="000000"/>
        </w:rPr>
        <w:t xml:space="preserve"> a </w:t>
      </w:r>
      <w:r w:rsidRPr="004239D2">
        <w:rPr>
          <w:rFonts w:ascii="Arial Narrow" w:hAnsi="Arial Narrow"/>
          <w:color w:val="000000"/>
        </w:rPr>
        <w:t xml:space="preserve">členov </w:t>
      </w:r>
      <w:proofErr w:type="spellStart"/>
      <w:r w:rsidRPr="004239D2">
        <w:rPr>
          <w:rFonts w:ascii="Arial Narrow" w:hAnsi="Arial Narrow"/>
          <w:color w:val="000000"/>
        </w:rPr>
        <w:t>inkluzívneho</w:t>
      </w:r>
      <w:proofErr w:type="spellEnd"/>
      <w:r w:rsidRPr="004239D2">
        <w:rPr>
          <w:rFonts w:ascii="Arial Narrow" w:hAnsi="Arial Narrow"/>
          <w:color w:val="000000"/>
        </w:rPr>
        <w:t xml:space="preserve"> tímu (školského psychológa/špeciálneho pedagóga/sociálneho pedagóga) v základných školách</w:t>
      </w:r>
      <w:r w:rsidRPr="004529A8">
        <w:rPr>
          <w:rFonts w:ascii="Arial Narrow" w:hAnsi="Arial Narrow"/>
          <w:color w:val="000000"/>
          <w:vertAlign w:val="superscript"/>
        </w:rPr>
        <w:footnoteReference w:id="120"/>
      </w:r>
      <w:r w:rsidRPr="004529A8">
        <w:rPr>
          <w:rFonts w:ascii="Arial Narrow" w:hAnsi="Arial Narrow"/>
          <w:color w:val="000000"/>
        </w:rPr>
        <w:t xml:space="preserve">. </w:t>
      </w:r>
      <w:r w:rsidRPr="004529A8">
        <w:rPr>
          <w:rFonts w:ascii="Arial Narrow" w:hAnsi="Arial Narrow"/>
        </w:rPr>
        <w:t>V roku 2017 sa spustila rea</w:t>
      </w:r>
      <w:r w:rsidRPr="004239D2">
        <w:rPr>
          <w:rFonts w:ascii="Arial Narrow" w:hAnsi="Arial Narrow"/>
        </w:rPr>
        <w:t xml:space="preserve">lizácia národného projektu pre podporu </w:t>
      </w:r>
      <w:proofErr w:type="spellStart"/>
      <w:r w:rsidRPr="004239D2">
        <w:rPr>
          <w:rFonts w:ascii="Arial Narrow" w:hAnsi="Arial Narrow"/>
        </w:rPr>
        <w:t>inkluzívneho</w:t>
      </w:r>
      <w:proofErr w:type="spellEnd"/>
      <w:r w:rsidRPr="004239D2">
        <w:rPr>
          <w:rFonts w:ascii="Arial Narrow" w:hAnsi="Arial Narrow"/>
        </w:rPr>
        <w:t xml:space="preserve"> vzdelávania, ktorý financuje </w:t>
      </w:r>
      <w:r w:rsidRPr="00B7619E">
        <w:rPr>
          <w:rFonts w:ascii="Arial Narrow" w:hAnsi="Arial Narrow"/>
        </w:rPr>
        <w:t>pedagogických asistentov žiakov zo sociálne znevýhodneného prostredia a žiakov so zdravotným znevýhodnením</w:t>
      </w:r>
      <w:r w:rsidRPr="004239D2">
        <w:rPr>
          <w:rFonts w:ascii="Arial Narrow" w:hAnsi="Arial Narrow"/>
        </w:rPr>
        <w:t xml:space="preserve"> a </w:t>
      </w:r>
      <w:proofErr w:type="spellStart"/>
      <w:r w:rsidRPr="004239D2">
        <w:rPr>
          <w:rFonts w:ascii="Arial Narrow" w:hAnsi="Arial Narrow"/>
        </w:rPr>
        <w:t>inkluzívne</w:t>
      </w:r>
      <w:proofErr w:type="spellEnd"/>
      <w:r w:rsidRPr="004239D2">
        <w:rPr>
          <w:rFonts w:ascii="Arial Narrow" w:hAnsi="Arial Narrow"/>
        </w:rPr>
        <w:t xml:space="preserve"> tímy v oblastiach s ohrozenými a vylúčenými komunitami</w:t>
      </w:r>
      <w:r w:rsidRPr="004529A8">
        <w:rPr>
          <w:rFonts w:ascii="Arial Narrow" w:eastAsiaTheme="minorHAnsi" w:hAnsi="Arial Narrow"/>
          <w:vertAlign w:val="superscript"/>
        </w:rPr>
        <w:footnoteReference w:id="121"/>
      </w:r>
      <w:r w:rsidRPr="004529A8">
        <w:rPr>
          <w:rFonts w:ascii="Arial Narrow" w:hAnsi="Arial Narrow"/>
        </w:rPr>
        <w:t>.</w:t>
      </w:r>
      <w:r w:rsidRPr="004529A8">
        <w:rPr>
          <w:rFonts w:ascii="Arial Narrow" w:hAnsi="Arial Narrow"/>
          <w:color w:val="FF0000"/>
        </w:rPr>
        <w:t xml:space="preserve"> </w:t>
      </w:r>
      <w:r w:rsidRPr="004529A8">
        <w:rPr>
          <w:rFonts w:ascii="Arial Narrow" w:hAnsi="Arial Narrow"/>
        </w:rPr>
        <w:t xml:space="preserve"> </w:t>
      </w:r>
    </w:p>
    <w:p w14:paraId="3FADF680" w14:textId="41C8AE47" w:rsidR="00E53C9B" w:rsidRPr="004239D2" w:rsidRDefault="00E53C9B" w:rsidP="00823E8B">
      <w:pPr>
        <w:spacing w:after="160" w:line="240" w:lineRule="auto"/>
        <w:jc w:val="both"/>
        <w:rPr>
          <w:rFonts w:ascii="Arial Narrow" w:hAnsi="Arial Narrow"/>
        </w:rPr>
      </w:pPr>
      <w:r w:rsidRPr="004239D2">
        <w:rPr>
          <w:rFonts w:ascii="Arial Narrow" w:hAnsi="Arial Narrow"/>
          <w:b/>
        </w:rPr>
        <w:t>Opatreniam zlepšujúcim prepojenie vzdelávania s trhom práce dominovalo duálne</w:t>
      </w:r>
      <w:r w:rsidRPr="00FB5149">
        <w:rPr>
          <w:rFonts w:ascii="Arial Narrow" w:hAnsi="Arial Narrow"/>
          <w:b/>
        </w:rPr>
        <w:t xml:space="preserve"> vzdelávanie</w:t>
      </w:r>
      <w:r w:rsidRPr="000F6948">
        <w:rPr>
          <w:rFonts w:ascii="Arial Narrow" w:hAnsi="Arial Narrow"/>
        </w:rPr>
        <w:t>.</w:t>
      </w:r>
      <w:r w:rsidRPr="00D76BBF">
        <w:rPr>
          <w:rFonts w:ascii="Arial Narrow" w:hAnsi="Arial Narrow"/>
        </w:rPr>
        <w:t xml:space="preserve"> </w:t>
      </w:r>
      <w:r w:rsidRPr="007066F5">
        <w:rPr>
          <w:rFonts w:ascii="Arial Narrow" w:hAnsi="Arial Narrow"/>
        </w:rPr>
        <w:t>Od septembra 2018 je v platnosti novela zákona o duálnom vzdelávaní.</w:t>
      </w:r>
      <w:r w:rsidRPr="007066F5">
        <w:rPr>
          <w:rFonts w:ascii="Arial Narrow" w:hAnsi="Arial Narrow"/>
          <w:b/>
        </w:rPr>
        <w:t xml:space="preserve"> </w:t>
      </w:r>
      <w:r w:rsidRPr="007066F5">
        <w:rPr>
          <w:rFonts w:ascii="Arial Narrow" w:hAnsi="Arial Narrow"/>
        </w:rPr>
        <w:t>Jej</w:t>
      </w:r>
      <w:r w:rsidRPr="004E18D3">
        <w:rPr>
          <w:rFonts w:ascii="Arial Narrow" w:hAnsi="Arial Narrow"/>
        </w:rPr>
        <w:t xml:space="preserve"> cieľom bolo</w:t>
      </w:r>
      <w:r w:rsidRPr="004E18D3">
        <w:rPr>
          <w:rFonts w:ascii="Arial Narrow" w:hAnsi="Arial Narrow"/>
          <w:b/>
        </w:rPr>
        <w:t xml:space="preserve"> </w:t>
      </w:r>
      <w:r w:rsidRPr="00484218">
        <w:rPr>
          <w:rFonts w:ascii="Arial Narrow" w:hAnsi="Arial Narrow"/>
        </w:rPr>
        <w:t xml:space="preserve">zvýšenie motivácie na zapojenie </w:t>
      </w:r>
      <w:r w:rsidRPr="0075516A">
        <w:rPr>
          <w:rFonts w:ascii="Arial Narrow" w:hAnsi="Arial Narrow"/>
        </w:rPr>
        <w:t>sa do duálneho vzdelávania. Hlavnými opatreniami bolo zavedenie priamych finančných dotácií pre zamestnávateľov, odstránenie administratívnych bariér, zvýšenie flexibility v otázke miesta pracovného výkonu a naj</w:t>
      </w:r>
      <w:r w:rsidRPr="00632EEF">
        <w:rPr>
          <w:rFonts w:ascii="Arial Narrow" w:hAnsi="Arial Narrow"/>
        </w:rPr>
        <w:t xml:space="preserve">mä zrušenie skracovania normatívov pre stredné školy. </w:t>
      </w:r>
      <w:r>
        <w:rPr>
          <w:rFonts w:ascii="Arial Narrow" w:hAnsi="Arial Narrow" w:cs="Calibri"/>
        </w:rPr>
        <w:t>U</w:t>
      </w:r>
      <w:r w:rsidRPr="004529A8">
        <w:rPr>
          <w:rFonts w:ascii="Arial Narrow" w:hAnsi="Arial Narrow" w:cs="Calibri"/>
        </w:rPr>
        <w:t>možnil</w:t>
      </w:r>
      <w:r>
        <w:rPr>
          <w:rFonts w:ascii="Arial Narrow" w:hAnsi="Arial Narrow" w:cs="Calibri"/>
        </w:rPr>
        <w:t>o sa</w:t>
      </w:r>
      <w:r w:rsidRPr="004529A8">
        <w:rPr>
          <w:rFonts w:ascii="Arial Narrow" w:hAnsi="Arial Narrow" w:cs="Calibri"/>
        </w:rPr>
        <w:t xml:space="preserve"> uznať </w:t>
      </w:r>
      <w:r w:rsidRPr="004239D2">
        <w:rPr>
          <w:rFonts w:ascii="Arial Narrow" w:hAnsi="Arial Narrow" w:cs="Calibri"/>
        </w:rPr>
        <w:t xml:space="preserve">aj výdavky na praktické vyučovanie na strednej odbornej škole a na prevádzku strednej odbornej školy. </w:t>
      </w:r>
      <w:r w:rsidRPr="004239D2">
        <w:rPr>
          <w:rFonts w:ascii="Arial Narrow" w:hAnsi="Arial Narrow"/>
        </w:rPr>
        <w:t xml:space="preserve">Posilnila </w:t>
      </w:r>
      <w:r>
        <w:rPr>
          <w:rFonts w:ascii="Arial Narrow" w:hAnsi="Arial Narrow"/>
        </w:rPr>
        <w:t xml:space="preserve">sa </w:t>
      </w:r>
      <w:r w:rsidRPr="004239D2">
        <w:rPr>
          <w:rFonts w:ascii="Arial Narrow" w:hAnsi="Arial Narrow"/>
        </w:rPr>
        <w:t xml:space="preserve">úloha </w:t>
      </w:r>
      <w:proofErr w:type="spellStart"/>
      <w:r w:rsidRPr="004239D2">
        <w:rPr>
          <w:rFonts w:ascii="Arial Narrow" w:hAnsi="Arial Narrow"/>
        </w:rPr>
        <w:t>kariérového</w:t>
      </w:r>
      <w:proofErr w:type="spellEnd"/>
      <w:r w:rsidRPr="004239D2">
        <w:rPr>
          <w:rFonts w:ascii="Arial Narrow" w:hAnsi="Arial Narrow"/>
        </w:rPr>
        <w:t xml:space="preserve"> </w:t>
      </w:r>
      <w:proofErr w:type="spellStart"/>
      <w:r w:rsidRPr="004239D2">
        <w:rPr>
          <w:rFonts w:ascii="Arial Narrow" w:hAnsi="Arial Narrow"/>
        </w:rPr>
        <w:t>poradensta</w:t>
      </w:r>
      <w:proofErr w:type="spellEnd"/>
      <w:r w:rsidRPr="004239D2">
        <w:rPr>
          <w:rFonts w:ascii="Arial Narrow" w:hAnsi="Arial Narrow"/>
        </w:rPr>
        <w:t xml:space="preserve"> vytvorením pozície </w:t>
      </w:r>
      <w:proofErr w:type="spellStart"/>
      <w:r w:rsidRPr="004239D2">
        <w:rPr>
          <w:rFonts w:ascii="Arial Narrow" w:hAnsi="Arial Narrow"/>
        </w:rPr>
        <w:t>kariérový</w:t>
      </w:r>
      <w:proofErr w:type="spellEnd"/>
      <w:r w:rsidRPr="004239D2">
        <w:rPr>
          <w:rFonts w:ascii="Arial Narrow" w:hAnsi="Arial Narrow"/>
        </w:rPr>
        <w:t xml:space="preserve"> poradca v každom kraji. Prijali sa záväzné kritériá pre určovanie najvyššieho počtu žiakov prvého ročníka pre jednotlivé študijné a učebné odbory prvých ročníkov stredných škôl v územnej pôsobnosti samosprávnych krajov.</w:t>
      </w:r>
      <w:r w:rsidR="00823E8B">
        <w:rPr>
          <w:rFonts w:ascii="Arial Narrow" w:hAnsi="Arial Narrow"/>
        </w:rPr>
        <w:t xml:space="preserve"> </w:t>
      </w:r>
    </w:p>
    <w:p w14:paraId="0187A1E6" w14:textId="77777777" w:rsidR="00E53C9B" w:rsidRPr="0062680A" w:rsidRDefault="00E53C9B" w:rsidP="00E53C9B">
      <w:pPr>
        <w:pStyle w:val="Odsekzoznamu"/>
        <w:numPr>
          <w:ilvl w:val="1"/>
          <w:numId w:val="64"/>
        </w:numPr>
        <w:spacing w:line="240" w:lineRule="auto"/>
        <w:jc w:val="both"/>
        <w:rPr>
          <w:rFonts w:ascii="Arial Narrow" w:hAnsi="Arial Narrow" w:cstheme="minorBidi"/>
          <w:b/>
          <w:lang w:eastAsia="en-US"/>
        </w:rPr>
      </w:pPr>
      <w:r w:rsidRPr="0062680A">
        <w:rPr>
          <w:rFonts w:ascii="Arial Narrow" w:hAnsi="Arial Narrow" w:cstheme="minorBidi"/>
          <w:b/>
          <w:lang w:eastAsia="en-US"/>
        </w:rPr>
        <w:t>Vysoké školstvo</w:t>
      </w:r>
    </w:p>
    <w:p w14:paraId="4B5AB691" w14:textId="58197EE6" w:rsidR="00E53C9B" w:rsidRPr="000F6948" w:rsidRDefault="00E53C9B" w:rsidP="00E53C9B">
      <w:pPr>
        <w:spacing w:after="120" w:line="240" w:lineRule="auto"/>
        <w:jc w:val="both"/>
        <w:rPr>
          <w:rFonts w:ascii="Arial Narrow" w:hAnsi="Arial Narrow"/>
        </w:rPr>
      </w:pPr>
      <w:r w:rsidRPr="00FB5149">
        <w:rPr>
          <w:rFonts w:ascii="Arial Narrow" w:hAnsi="Arial Narrow"/>
          <w:b/>
        </w:rPr>
        <w:t>Opatrenia v oblasti vysokého školstva sa sústredili na posilnenie procesov na zlepšenie kvality.</w:t>
      </w:r>
      <w:r w:rsidRPr="00FB5149">
        <w:rPr>
          <w:rFonts w:ascii="Arial Narrow" w:hAnsi="Arial Narrow"/>
        </w:rPr>
        <w:t xml:space="preserve"> Ukončil sa</w:t>
      </w:r>
      <w:r>
        <w:rPr>
          <w:rFonts w:ascii="Arial Narrow" w:hAnsi="Arial Narrow"/>
        </w:rPr>
        <w:t xml:space="preserve"> legislatívny</w:t>
      </w:r>
      <w:r w:rsidRPr="00FB5149">
        <w:rPr>
          <w:rFonts w:ascii="Arial Narrow" w:hAnsi="Arial Narrow"/>
        </w:rPr>
        <w:t xml:space="preserve"> proces reformy akreditačného procesu a</w:t>
      </w:r>
      <w:r>
        <w:rPr>
          <w:rFonts w:ascii="Arial Narrow" w:hAnsi="Arial Narrow"/>
        </w:rPr>
        <w:t> s cieľom naplniť</w:t>
      </w:r>
      <w:r w:rsidRPr="00FB5149">
        <w:rPr>
          <w:rFonts w:ascii="Arial Narrow" w:hAnsi="Arial Narrow"/>
        </w:rPr>
        <w:t xml:space="preserve"> medzinárodn</w:t>
      </w:r>
      <w:r>
        <w:rPr>
          <w:rFonts w:ascii="Arial Narrow" w:hAnsi="Arial Narrow"/>
        </w:rPr>
        <w:t>é</w:t>
      </w:r>
      <w:r w:rsidRPr="00FB5149">
        <w:rPr>
          <w:rFonts w:ascii="Arial Narrow" w:hAnsi="Arial Narrow"/>
        </w:rPr>
        <w:t xml:space="preserve"> štandard</w:t>
      </w:r>
      <w:r>
        <w:rPr>
          <w:rFonts w:ascii="Arial Narrow" w:hAnsi="Arial Narrow"/>
        </w:rPr>
        <w:t>y</w:t>
      </w:r>
      <w:r w:rsidRPr="00FB5149">
        <w:rPr>
          <w:rFonts w:ascii="Arial Narrow" w:hAnsi="Arial Narrow"/>
        </w:rPr>
        <w:t xml:space="preserve"> </w:t>
      </w:r>
      <w:r w:rsidRPr="00FB5149">
        <w:rPr>
          <w:rFonts w:ascii="Arial Narrow" w:hAnsi="Arial Narrow"/>
        </w:rPr>
        <w:lastRenderedPageBreak/>
        <w:t>sa vytvorila nezávislá Slovenská akreditačná agentúra, ktorá bude dohliadať na kvalitu vzdelávania na vysokých školách</w:t>
      </w:r>
      <w:r>
        <w:rPr>
          <w:rStyle w:val="Odkaznapoznmkupodiarou"/>
          <w:rFonts w:ascii="Arial Narrow" w:hAnsi="Arial Narrow"/>
        </w:rPr>
        <w:footnoteReference w:id="122"/>
      </w:r>
      <w:r w:rsidRPr="00FB5149">
        <w:rPr>
          <w:rFonts w:ascii="Arial Narrow" w:hAnsi="Arial Narrow"/>
        </w:rPr>
        <w:t xml:space="preserve">. Novoprijatý zákon o vysokých školách okrem iného umožňuje vykonávať profesiu na slovenských vysokých školách </w:t>
      </w:r>
      <w:r w:rsidRPr="000F6948">
        <w:rPr>
          <w:rFonts w:ascii="Arial Narrow" w:hAnsi="Arial Narrow"/>
        </w:rPr>
        <w:t xml:space="preserve">zahraničným odborníkom. Prepojenie s praxou na úrovni vysokého školstva </w:t>
      </w:r>
      <w:r>
        <w:rPr>
          <w:rFonts w:ascii="Arial Narrow" w:hAnsi="Arial Narrow"/>
        </w:rPr>
        <w:t>podporila</w:t>
      </w:r>
      <w:r w:rsidRPr="000F6948">
        <w:rPr>
          <w:rFonts w:ascii="Arial Narrow" w:hAnsi="Arial Narrow"/>
        </w:rPr>
        <w:t xml:space="preserve"> novela zákona o vysokých školách zo septembra 2018, ktorá umožňuje vysokým školám flexibilnejšie upravovať študijné programy, či vstupovať do spoločných študijných programov. V roku 2018 boli schválené osobitné kritériá pre profesijné bakalárske programy. </w:t>
      </w:r>
    </w:p>
    <w:p w14:paraId="721AB37D" w14:textId="77777777" w:rsidR="00E53C9B" w:rsidRPr="0062680A" w:rsidRDefault="00E53C9B" w:rsidP="00E53C9B">
      <w:pPr>
        <w:pStyle w:val="Odsekzoznamu"/>
        <w:numPr>
          <w:ilvl w:val="1"/>
          <w:numId w:val="64"/>
        </w:numPr>
        <w:spacing w:line="240" w:lineRule="auto"/>
        <w:jc w:val="both"/>
        <w:rPr>
          <w:rFonts w:ascii="Arial Narrow" w:hAnsi="Arial Narrow" w:cstheme="minorBidi"/>
          <w:b/>
          <w:lang w:eastAsia="en-US"/>
        </w:rPr>
      </w:pPr>
      <w:r w:rsidRPr="0062680A">
        <w:rPr>
          <w:rFonts w:ascii="Arial Narrow" w:hAnsi="Arial Narrow" w:cstheme="minorBidi"/>
          <w:b/>
          <w:lang w:eastAsia="en-US"/>
        </w:rPr>
        <w:t>Výskum a vývoj</w:t>
      </w:r>
    </w:p>
    <w:p w14:paraId="0564AD69" w14:textId="77777777" w:rsidR="00E53C9B" w:rsidRDefault="00E53C9B" w:rsidP="00E53C9B">
      <w:pPr>
        <w:spacing w:line="240" w:lineRule="auto"/>
        <w:jc w:val="both"/>
        <w:rPr>
          <w:rFonts w:ascii="Arial Narrow" w:hAnsi="Arial Narrow"/>
        </w:rPr>
      </w:pPr>
      <w:r w:rsidRPr="00D76BBF">
        <w:rPr>
          <w:rFonts w:ascii="Arial Narrow" w:hAnsi="Arial Narrow"/>
          <w:b/>
        </w:rPr>
        <w:t>Pre zlepšenie výsledkov vo výskume a vývoji sa dôraz kladie na expertné hodnotenie výstupov nezávislými odborníkmi</w:t>
      </w:r>
      <w:r w:rsidRPr="007066F5">
        <w:rPr>
          <w:rFonts w:ascii="Arial Narrow" w:hAnsi="Arial Narrow"/>
          <w:b/>
        </w:rPr>
        <w:t>, posilnenie financovania</w:t>
      </w:r>
      <w:r w:rsidRPr="004E18D3">
        <w:rPr>
          <w:rFonts w:ascii="Arial Narrow" w:hAnsi="Arial Narrow"/>
          <w:b/>
        </w:rPr>
        <w:t xml:space="preserve"> a prepojenie so súkromným sektorom</w:t>
      </w:r>
      <w:r w:rsidRPr="00484218">
        <w:rPr>
          <w:rFonts w:ascii="Arial Narrow" w:hAnsi="Arial Narrow"/>
          <w:b/>
        </w:rPr>
        <w:t xml:space="preserve">. </w:t>
      </w:r>
      <w:r w:rsidRPr="0075516A">
        <w:rPr>
          <w:rFonts w:ascii="Arial Narrow" w:hAnsi="Arial Narrow"/>
        </w:rPr>
        <w:t>Upravili sa</w:t>
      </w:r>
      <w:r w:rsidRPr="00632EEF">
        <w:rPr>
          <w:rFonts w:ascii="Arial Narrow" w:hAnsi="Arial Narrow"/>
        </w:rPr>
        <w:t xml:space="preserve"> pravidlá </w:t>
      </w:r>
      <w:r w:rsidRPr="0062680A">
        <w:rPr>
          <w:rFonts w:ascii="Arial Narrow" w:hAnsi="Arial Narrow"/>
        </w:rPr>
        <w:t>hodnotenia výskumnej činnosti</w:t>
      </w:r>
      <w:r>
        <w:rPr>
          <w:rFonts w:ascii="Arial Narrow" w:hAnsi="Arial Narrow"/>
        </w:rPr>
        <w:t xml:space="preserve"> vysokých škôl. </w:t>
      </w:r>
      <w:r w:rsidRPr="004239D2">
        <w:rPr>
          <w:rFonts w:ascii="Arial Narrow" w:hAnsi="Arial Narrow"/>
        </w:rPr>
        <w:t>Vytvorili sa podmienky spolupráce verejných výskumných inštitúcií s podnikateľskou sférou</w:t>
      </w:r>
      <w:r w:rsidRPr="004529A8">
        <w:rPr>
          <w:rStyle w:val="Odkaznapoznmkupodiarou"/>
          <w:rFonts w:ascii="Arial Narrow" w:hAnsi="Arial Narrow"/>
        </w:rPr>
        <w:footnoteReference w:id="123"/>
      </w:r>
      <w:r w:rsidRPr="004529A8">
        <w:rPr>
          <w:rFonts w:ascii="Arial Narrow" w:hAnsi="Arial Narrow"/>
        </w:rPr>
        <w:t xml:space="preserve">. Novelou zákona o dani z príjmu bol od roku 2015 zavedený nový typ </w:t>
      </w:r>
      <w:r w:rsidRPr="0062680A">
        <w:rPr>
          <w:rFonts w:ascii="Arial Narrow" w:hAnsi="Arial Narrow"/>
        </w:rPr>
        <w:t>daňového zvýhodnenia</w:t>
      </w:r>
      <w:r w:rsidRPr="004529A8">
        <w:rPr>
          <w:rFonts w:ascii="Arial Narrow" w:hAnsi="Arial Narrow"/>
        </w:rPr>
        <w:t xml:space="preserve">, ktoré spočíva v odpočte </w:t>
      </w:r>
      <w:r>
        <w:rPr>
          <w:rFonts w:ascii="Arial Narrow" w:hAnsi="Arial Narrow"/>
        </w:rPr>
        <w:t xml:space="preserve">nákladov na výskum a vývoj </w:t>
      </w:r>
      <w:r w:rsidRPr="004529A8">
        <w:rPr>
          <w:rFonts w:ascii="Arial Narrow" w:hAnsi="Arial Narrow"/>
        </w:rPr>
        <w:t xml:space="preserve">od základu dane (tzv. </w:t>
      </w:r>
      <w:proofErr w:type="spellStart"/>
      <w:r w:rsidRPr="004529A8">
        <w:rPr>
          <w:rFonts w:ascii="Arial Narrow" w:hAnsi="Arial Narrow"/>
        </w:rPr>
        <w:t>superodpočet</w:t>
      </w:r>
      <w:proofErr w:type="spellEnd"/>
      <w:r w:rsidRPr="004529A8">
        <w:rPr>
          <w:rFonts w:ascii="Arial Narrow" w:hAnsi="Arial Narrow"/>
        </w:rPr>
        <w:t xml:space="preserve"> dane). S účinnosťou od januára 2018 je odpočítateľná časť zvýšená</w:t>
      </w:r>
      <w:r>
        <w:rPr>
          <w:rFonts w:ascii="Arial Narrow" w:hAnsi="Arial Narrow"/>
        </w:rPr>
        <w:t xml:space="preserve"> z 25 % na 100 % nákladov na výskum a vývoj</w:t>
      </w:r>
      <w:r>
        <w:rPr>
          <w:rStyle w:val="Odkaznapoznmkupodiarou"/>
          <w:rFonts w:ascii="Arial Narrow" w:hAnsi="Arial Narrow"/>
        </w:rPr>
        <w:footnoteReference w:id="124"/>
      </w:r>
      <w:r>
        <w:rPr>
          <w:rFonts w:ascii="Arial Narrow" w:hAnsi="Arial Narrow"/>
        </w:rPr>
        <w:t>.</w:t>
      </w:r>
    </w:p>
    <w:p w14:paraId="025D574F" w14:textId="77777777" w:rsidR="00E53C9B" w:rsidRPr="00BF0803" w:rsidRDefault="00E53C9B" w:rsidP="00E53C9B">
      <w:pPr>
        <w:spacing w:after="0" w:line="240" w:lineRule="auto"/>
        <w:jc w:val="both"/>
        <w:rPr>
          <w:rFonts w:ascii="Arial Narrow" w:hAnsi="Arial Narrow"/>
        </w:rPr>
      </w:pPr>
    </w:p>
    <w:p w14:paraId="51EB3416" w14:textId="77777777" w:rsidR="00E53C9B" w:rsidRPr="00BF0803" w:rsidRDefault="00E53C9B" w:rsidP="00E53C9B">
      <w:pPr>
        <w:pStyle w:val="Odsekzoznamu"/>
        <w:numPr>
          <w:ilvl w:val="0"/>
          <w:numId w:val="64"/>
        </w:numPr>
        <w:spacing w:line="240" w:lineRule="auto"/>
        <w:jc w:val="both"/>
        <w:rPr>
          <w:rFonts w:ascii="Arial Narrow" w:hAnsi="Arial Narrow" w:cstheme="minorBidi"/>
          <w:b/>
          <w:lang w:eastAsia="en-US"/>
        </w:rPr>
      </w:pPr>
      <w:r w:rsidRPr="00BF0803">
        <w:rPr>
          <w:rFonts w:ascii="Arial Narrow" w:hAnsi="Arial Narrow" w:cstheme="minorBidi"/>
          <w:b/>
          <w:lang w:eastAsia="en-US"/>
        </w:rPr>
        <w:t>Trh práce a sociálna politika</w:t>
      </w:r>
    </w:p>
    <w:p w14:paraId="473A0749" w14:textId="77777777" w:rsidR="00E53C9B" w:rsidRPr="00BF0803" w:rsidRDefault="00E53C9B" w:rsidP="00E53C9B">
      <w:pPr>
        <w:pStyle w:val="Odsekzoznamu"/>
        <w:spacing w:line="240" w:lineRule="auto"/>
        <w:ind w:left="360"/>
        <w:jc w:val="both"/>
        <w:rPr>
          <w:rFonts w:ascii="Arial Narrow" w:hAnsi="Arial Narrow" w:cstheme="minorBidi"/>
          <w:b/>
          <w:lang w:eastAsia="en-US"/>
        </w:rPr>
      </w:pPr>
    </w:p>
    <w:p w14:paraId="18365D74" w14:textId="77777777" w:rsidR="00E53C9B" w:rsidRPr="00BF0803" w:rsidRDefault="00E53C9B" w:rsidP="00E53C9B">
      <w:pPr>
        <w:pStyle w:val="Odsekzoznamu"/>
        <w:numPr>
          <w:ilvl w:val="1"/>
          <w:numId w:val="64"/>
        </w:numPr>
        <w:spacing w:line="240" w:lineRule="auto"/>
        <w:jc w:val="both"/>
        <w:rPr>
          <w:rFonts w:ascii="Arial Narrow" w:hAnsi="Arial Narrow" w:cstheme="minorBidi"/>
          <w:b/>
          <w:lang w:eastAsia="en-US"/>
        </w:rPr>
      </w:pPr>
      <w:r w:rsidRPr="00BF0803">
        <w:rPr>
          <w:rFonts w:ascii="Arial Narrow" w:hAnsi="Arial Narrow" w:cstheme="minorBidi"/>
          <w:b/>
          <w:lang w:eastAsia="en-US"/>
        </w:rPr>
        <w:t>Trh práce</w:t>
      </w:r>
    </w:p>
    <w:p w14:paraId="78ABEE20" w14:textId="0347E31C" w:rsidR="00E53C9B" w:rsidRPr="00D601AC" w:rsidRDefault="00E53C9B" w:rsidP="00E53C9B">
      <w:pPr>
        <w:spacing w:after="160" w:line="240" w:lineRule="auto"/>
        <w:jc w:val="both"/>
        <w:rPr>
          <w:rFonts w:ascii="Arial Narrow" w:hAnsi="Arial Narrow"/>
        </w:rPr>
      </w:pPr>
      <w:r w:rsidRPr="00121E06">
        <w:rPr>
          <w:rFonts w:ascii="Arial Narrow" w:hAnsi="Arial Narrow"/>
          <w:b/>
        </w:rPr>
        <w:t xml:space="preserve">Na výzvy trhu práce reagujú </w:t>
      </w:r>
      <w:r>
        <w:rPr>
          <w:rFonts w:ascii="Arial Narrow" w:hAnsi="Arial Narrow"/>
          <w:b/>
        </w:rPr>
        <w:t xml:space="preserve">AOTP </w:t>
      </w:r>
      <w:proofErr w:type="spellStart"/>
      <w:r>
        <w:rPr>
          <w:rFonts w:ascii="Arial Narrow" w:hAnsi="Arial Narrow"/>
          <w:b/>
        </w:rPr>
        <w:t>r</w:t>
      </w:r>
      <w:r w:rsidRPr="00121E06">
        <w:rPr>
          <w:rFonts w:ascii="Arial Narrow" w:hAnsi="Arial Narrow"/>
          <w:b/>
        </w:rPr>
        <w:t>ealokáciou</w:t>
      </w:r>
      <w:proofErr w:type="spellEnd"/>
      <w:r>
        <w:rPr>
          <w:rFonts w:ascii="Arial Narrow" w:hAnsi="Arial Narrow"/>
          <w:b/>
        </w:rPr>
        <w:t xml:space="preserve"> smerom k účinnejším nástrojom. </w:t>
      </w:r>
      <w:r w:rsidRPr="009663E3">
        <w:rPr>
          <w:rFonts w:ascii="Arial Narrow" w:hAnsi="Arial Narrow"/>
        </w:rPr>
        <w:t>V novembri 2</w:t>
      </w:r>
      <w:r>
        <w:rPr>
          <w:rFonts w:ascii="Arial Narrow" w:hAnsi="Arial Narrow"/>
        </w:rPr>
        <w:t xml:space="preserve">016 MPSVR SR prijalo </w:t>
      </w:r>
      <w:r w:rsidRPr="0075516A">
        <w:rPr>
          <w:rFonts w:ascii="Arial Narrow" w:hAnsi="Arial Narrow"/>
        </w:rPr>
        <w:t>akčný plán</w:t>
      </w:r>
      <w:r w:rsidRPr="0075516A">
        <w:rPr>
          <w:rStyle w:val="Odkaznapoznmkupodiarou"/>
          <w:rFonts w:ascii="Arial Narrow" w:hAnsi="Arial Narrow"/>
        </w:rPr>
        <w:footnoteReference w:id="125"/>
      </w:r>
      <w:r w:rsidRPr="0075516A">
        <w:rPr>
          <w:rFonts w:ascii="Arial Narrow" w:hAnsi="Arial Narrow"/>
        </w:rPr>
        <w:t xml:space="preserve">, </w:t>
      </w:r>
      <w:r>
        <w:rPr>
          <w:rFonts w:ascii="Arial Narrow" w:hAnsi="Arial Narrow"/>
        </w:rPr>
        <w:t xml:space="preserve">na základe ktorého bolo zavedených viacero </w:t>
      </w:r>
      <w:r w:rsidRPr="009663E3">
        <w:rPr>
          <w:rFonts w:ascii="Arial Narrow" w:hAnsi="Arial Narrow"/>
        </w:rPr>
        <w:t>foriem podpory integrácie dlhodobo nezamestnaných na trhu práce, najmä individualizov</w:t>
      </w:r>
      <w:r>
        <w:rPr>
          <w:rFonts w:ascii="Arial Narrow" w:hAnsi="Arial Narrow"/>
        </w:rPr>
        <w:t xml:space="preserve">ané poradenstvo </w:t>
      </w:r>
      <w:r w:rsidRPr="009663E3">
        <w:rPr>
          <w:rFonts w:ascii="Arial Narrow" w:hAnsi="Arial Narrow"/>
        </w:rPr>
        <w:t xml:space="preserve">vrátane profilácie </w:t>
      </w:r>
      <w:proofErr w:type="spellStart"/>
      <w:r w:rsidRPr="009663E3">
        <w:rPr>
          <w:rFonts w:ascii="Arial Narrow" w:hAnsi="Arial Narrow"/>
        </w:rPr>
        <w:t>UoZ</w:t>
      </w:r>
      <w:proofErr w:type="spellEnd"/>
      <w:r w:rsidRPr="009663E3">
        <w:rPr>
          <w:rFonts w:ascii="Arial Narrow" w:hAnsi="Arial Narrow"/>
        </w:rPr>
        <w:t>, či vzdelávacie a rekvalifikačné programy.</w:t>
      </w:r>
      <w:r>
        <w:rPr>
          <w:rFonts w:ascii="Arial Narrow" w:hAnsi="Arial Narrow"/>
        </w:rPr>
        <w:t xml:space="preserve"> </w:t>
      </w:r>
      <w:r w:rsidRPr="009663E3">
        <w:rPr>
          <w:rFonts w:ascii="Arial Narrow" w:hAnsi="Arial Narrow"/>
        </w:rPr>
        <w:t xml:space="preserve">Implementovali </w:t>
      </w:r>
      <w:r w:rsidR="000366B3">
        <w:rPr>
          <w:rFonts w:ascii="Arial Narrow" w:hAnsi="Arial Narrow"/>
        </w:rPr>
        <w:t>sa viaceré zmeny v nástrojoch AO</w:t>
      </w:r>
      <w:r w:rsidRPr="009663E3">
        <w:rPr>
          <w:rFonts w:ascii="Arial Narrow" w:hAnsi="Arial Narrow"/>
        </w:rPr>
        <w:t>TP zameraných na z</w:t>
      </w:r>
      <w:r>
        <w:rPr>
          <w:rFonts w:ascii="Arial Narrow" w:hAnsi="Arial Narrow"/>
        </w:rPr>
        <w:t xml:space="preserve">nevýhodnené skupiny </w:t>
      </w:r>
      <w:proofErr w:type="spellStart"/>
      <w:r>
        <w:rPr>
          <w:rFonts w:ascii="Arial Narrow" w:hAnsi="Arial Narrow"/>
        </w:rPr>
        <w:t>UoZ</w:t>
      </w:r>
      <w:proofErr w:type="spellEnd"/>
      <w:r>
        <w:rPr>
          <w:rFonts w:ascii="Arial Narrow" w:hAnsi="Arial Narrow"/>
        </w:rPr>
        <w:t xml:space="preserve"> na trhu </w:t>
      </w:r>
      <w:r w:rsidRPr="009663E3">
        <w:rPr>
          <w:rFonts w:ascii="Arial Narrow" w:hAnsi="Arial Narrow"/>
        </w:rPr>
        <w:t xml:space="preserve">práce. </w:t>
      </w:r>
      <w:r w:rsidRPr="00D601AC">
        <w:rPr>
          <w:rFonts w:ascii="Arial Narrow" w:hAnsi="Arial Narrow"/>
        </w:rPr>
        <w:t>Revízia vý</w:t>
      </w:r>
      <w:r>
        <w:rPr>
          <w:rFonts w:ascii="Arial Narrow" w:hAnsi="Arial Narrow"/>
        </w:rPr>
        <w:t xml:space="preserve">davkov na služby zamestnanosti </w:t>
      </w:r>
      <w:r w:rsidRPr="00D601AC">
        <w:rPr>
          <w:rFonts w:ascii="Arial Narrow" w:hAnsi="Arial Narrow"/>
        </w:rPr>
        <w:t>z roku 2017 identifik</w:t>
      </w:r>
      <w:r>
        <w:rPr>
          <w:rFonts w:ascii="Arial Narrow" w:hAnsi="Arial Narrow"/>
        </w:rPr>
        <w:t xml:space="preserve">uje ďalší priestor na zlepšenie </w:t>
      </w:r>
      <w:r w:rsidRPr="00D601AC">
        <w:rPr>
          <w:rFonts w:ascii="Arial Narrow" w:hAnsi="Arial Narrow"/>
        </w:rPr>
        <w:t>efektívnosti</w:t>
      </w:r>
      <w:r>
        <w:rPr>
          <w:rFonts w:ascii="Arial Narrow" w:hAnsi="Arial Narrow"/>
        </w:rPr>
        <w:t xml:space="preserve"> služieb zamestnanosti.</w:t>
      </w:r>
      <w:r w:rsidRPr="00D601AC">
        <w:rPr>
          <w:rFonts w:ascii="Arial Narrow" w:hAnsi="Arial Narrow"/>
        </w:rPr>
        <w:t xml:space="preserve"> </w:t>
      </w:r>
      <w:r w:rsidRPr="009663E3">
        <w:rPr>
          <w:rFonts w:ascii="Arial Narrow" w:hAnsi="Arial Narrow"/>
        </w:rPr>
        <w:t xml:space="preserve">Spustili sa projekty na podporu tvorby pracovných miest pre </w:t>
      </w:r>
      <w:proofErr w:type="spellStart"/>
      <w:r w:rsidRPr="009663E3">
        <w:rPr>
          <w:rFonts w:ascii="Arial Narrow" w:hAnsi="Arial Narrow"/>
        </w:rPr>
        <w:t>nízkokvalifikovaných</w:t>
      </w:r>
      <w:proofErr w:type="spellEnd"/>
      <w:r w:rsidRPr="009663E3">
        <w:rPr>
          <w:rFonts w:ascii="Arial Narrow" w:hAnsi="Arial Narrow"/>
        </w:rPr>
        <w:t xml:space="preserve"> a</w:t>
      </w:r>
      <w:r>
        <w:rPr>
          <w:rFonts w:ascii="Arial Narrow" w:hAnsi="Arial Narrow"/>
        </w:rPr>
        <w:t> </w:t>
      </w:r>
      <w:r w:rsidRPr="009663E3">
        <w:rPr>
          <w:rFonts w:ascii="Arial Narrow" w:hAnsi="Arial Narrow"/>
        </w:rPr>
        <w:t>dlhodobo</w:t>
      </w:r>
      <w:r>
        <w:rPr>
          <w:rFonts w:ascii="Arial Narrow" w:hAnsi="Arial Narrow"/>
        </w:rPr>
        <w:t xml:space="preserve"> </w:t>
      </w:r>
      <w:r w:rsidRPr="009663E3">
        <w:rPr>
          <w:rFonts w:ascii="Arial Narrow" w:hAnsi="Arial Narrow"/>
        </w:rPr>
        <w:t xml:space="preserve">nezamestnaných, a takisto </w:t>
      </w:r>
      <w:proofErr w:type="spellStart"/>
      <w:r w:rsidRPr="009663E3">
        <w:rPr>
          <w:rFonts w:ascii="Arial Narrow" w:hAnsi="Arial Narrow"/>
        </w:rPr>
        <w:t>UoZ</w:t>
      </w:r>
      <w:proofErr w:type="spellEnd"/>
      <w:r w:rsidRPr="009663E3">
        <w:rPr>
          <w:rFonts w:ascii="Arial Narrow" w:hAnsi="Arial Narrow"/>
        </w:rPr>
        <w:t xml:space="preserve"> starších ako 50 rokov. Absolventská prax</w:t>
      </w:r>
      <w:r>
        <w:rPr>
          <w:rFonts w:ascii="Arial Narrow" w:hAnsi="Arial Narrow"/>
        </w:rPr>
        <w:t xml:space="preserve"> sa rozšírila na širšiu skupinu </w:t>
      </w:r>
      <w:r w:rsidRPr="009663E3">
        <w:rPr>
          <w:rFonts w:ascii="Arial Narrow" w:hAnsi="Arial Narrow"/>
        </w:rPr>
        <w:t xml:space="preserve">mladých </w:t>
      </w:r>
      <w:proofErr w:type="spellStart"/>
      <w:r w:rsidRPr="009663E3">
        <w:rPr>
          <w:rFonts w:ascii="Arial Narrow" w:hAnsi="Arial Narrow"/>
        </w:rPr>
        <w:t>UoZ</w:t>
      </w:r>
      <w:proofErr w:type="spellEnd"/>
      <w:r w:rsidRPr="009663E3">
        <w:rPr>
          <w:rFonts w:ascii="Arial Narrow" w:hAnsi="Arial Narrow"/>
        </w:rPr>
        <w:t xml:space="preserve"> a zaviedla sa </w:t>
      </w:r>
      <w:r>
        <w:rPr>
          <w:rFonts w:ascii="Arial Narrow" w:hAnsi="Arial Narrow"/>
        </w:rPr>
        <w:t>aj</w:t>
      </w:r>
      <w:r w:rsidR="000366B3">
        <w:rPr>
          <w:rFonts w:ascii="Arial Narrow" w:hAnsi="Arial Narrow"/>
        </w:rPr>
        <w:t xml:space="preserve"> </w:t>
      </w:r>
      <w:r w:rsidRPr="009663E3">
        <w:rPr>
          <w:rFonts w:ascii="Arial Narrow" w:hAnsi="Arial Narrow"/>
        </w:rPr>
        <w:t>mentorovaná prax s vytvorením praco</w:t>
      </w:r>
      <w:r>
        <w:rPr>
          <w:rFonts w:ascii="Arial Narrow" w:hAnsi="Arial Narrow"/>
        </w:rPr>
        <w:t xml:space="preserve">vného miesta u zamestnávateľov. </w:t>
      </w:r>
      <w:r w:rsidRPr="000A6BB3">
        <w:rPr>
          <w:rFonts w:ascii="Arial Narrow" w:hAnsi="Arial Narrow"/>
        </w:rPr>
        <w:t>V</w:t>
      </w:r>
      <w:r>
        <w:rPr>
          <w:rFonts w:ascii="Arial Narrow" w:hAnsi="Arial Narrow"/>
        </w:rPr>
        <w:t> </w:t>
      </w:r>
      <w:r w:rsidRPr="000A6BB3">
        <w:rPr>
          <w:rFonts w:ascii="Arial Narrow" w:hAnsi="Arial Narrow"/>
        </w:rPr>
        <w:t>rámci</w:t>
      </w:r>
      <w:r>
        <w:rPr>
          <w:rFonts w:ascii="Arial Narrow" w:hAnsi="Arial Narrow"/>
        </w:rPr>
        <w:t xml:space="preserve"> projektu</w:t>
      </w:r>
      <w:r w:rsidRPr="000A6BB3">
        <w:rPr>
          <w:rFonts w:ascii="Arial Narrow" w:hAnsi="Arial Narrow"/>
        </w:rPr>
        <w:t xml:space="preserve"> </w:t>
      </w:r>
      <w:r w:rsidRPr="005C3EDF">
        <w:rPr>
          <w:rFonts w:ascii="Arial Narrow" w:hAnsi="Arial Narrow"/>
          <w:i/>
        </w:rPr>
        <w:t>Prognóz</w:t>
      </w:r>
      <w:r>
        <w:rPr>
          <w:rFonts w:ascii="Arial Narrow" w:hAnsi="Arial Narrow"/>
          <w:i/>
        </w:rPr>
        <w:t xml:space="preserve">y </w:t>
      </w:r>
      <w:r w:rsidRPr="005C3EDF">
        <w:rPr>
          <w:rFonts w:ascii="Arial Narrow" w:hAnsi="Arial Narrow"/>
          <w:i/>
        </w:rPr>
        <w:t>vývoja na trhu práce v SR</w:t>
      </w:r>
      <w:r w:rsidRPr="000A6BB3">
        <w:rPr>
          <w:rFonts w:ascii="Arial Narrow" w:hAnsi="Arial Narrow"/>
        </w:rPr>
        <w:t xml:space="preserve">  sa vytvoril nový užívateľský nástroj prezentácie výsledkov</w:t>
      </w:r>
      <w:r>
        <w:rPr>
          <w:rFonts w:ascii="Arial Narrow" w:hAnsi="Arial Narrow"/>
        </w:rPr>
        <w:t xml:space="preserve"> trhu práce</w:t>
      </w:r>
      <w:r>
        <w:rPr>
          <w:rStyle w:val="Odkaznapoznmkupodiarou"/>
          <w:rFonts w:ascii="Arial Narrow" w:hAnsi="Arial Narrow"/>
        </w:rPr>
        <w:footnoteReference w:id="126"/>
      </w:r>
      <w:r w:rsidR="000366B3">
        <w:rPr>
          <w:rFonts w:ascii="Arial Narrow" w:hAnsi="Arial Narrow"/>
        </w:rPr>
        <w:t>.</w:t>
      </w:r>
    </w:p>
    <w:p w14:paraId="76DB2A4C" w14:textId="77777777" w:rsidR="00E53C9B" w:rsidRDefault="00E53C9B" w:rsidP="00E53C9B">
      <w:pPr>
        <w:pStyle w:val="Default"/>
        <w:spacing w:after="160"/>
        <w:jc w:val="both"/>
        <w:rPr>
          <w:rFonts w:ascii="Arial Narrow" w:hAnsi="Arial Narrow"/>
          <w:color w:val="auto"/>
          <w:sz w:val="22"/>
          <w:szCs w:val="22"/>
        </w:rPr>
      </w:pPr>
      <w:r w:rsidRPr="00121E06">
        <w:rPr>
          <w:rFonts w:ascii="Arial Narrow" w:hAnsi="Arial Narrow"/>
          <w:b/>
          <w:bCs/>
          <w:sz w:val="22"/>
          <w:szCs w:val="22"/>
        </w:rPr>
        <w:t>Zvýš</w:t>
      </w:r>
      <w:r>
        <w:rPr>
          <w:rFonts w:ascii="Arial Narrow" w:hAnsi="Arial Narrow"/>
          <w:b/>
          <w:bCs/>
          <w:sz w:val="22"/>
          <w:szCs w:val="22"/>
        </w:rPr>
        <w:t>il sa počet</w:t>
      </w:r>
      <w:r w:rsidRPr="00121E06">
        <w:rPr>
          <w:rFonts w:ascii="Arial Narrow" w:hAnsi="Arial Narrow"/>
          <w:b/>
          <w:bCs/>
          <w:sz w:val="22"/>
          <w:szCs w:val="22"/>
        </w:rPr>
        <w:t xml:space="preserve"> nástrojov AOTP, </w:t>
      </w:r>
      <w:r>
        <w:rPr>
          <w:rFonts w:ascii="Arial Narrow" w:hAnsi="Arial Narrow"/>
          <w:b/>
          <w:bCs/>
          <w:sz w:val="22"/>
          <w:szCs w:val="22"/>
        </w:rPr>
        <w:t>ktoré adresujú</w:t>
      </w:r>
      <w:r w:rsidRPr="00121E06">
        <w:rPr>
          <w:rFonts w:ascii="Arial Narrow" w:hAnsi="Arial Narrow"/>
          <w:b/>
          <w:bCs/>
          <w:sz w:val="22"/>
          <w:szCs w:val="22"/>
        </w:rPr>
        <w:t xml:space="preserve"> regionálne vypuklý nedostatok kvalifikovaných pracovných síl. </w:t>
      </w:r>
      <w:r w:rsidRPr="00121E06">
        <w:rPr>
          <w:rFonts w:ascii="Arial Narrow" w:hAnsi="Arial Narrow"/>
          <w:sz w:val="22"/>
          <w:szCs w:val="22"/>
        </w:rPr>
        <w:t xml:space="preserve">Od mája 2018 sa zatraktívnili podmienky pre vznik nároku na príspevok na dochádzku za prácou a príspevok na podporu mobility za prácou. Zvýšila sa maximálna mesačná výška príspevkov, zaviedlo sa poskytovanie príspevku na dochádzku za prácou bez ohľadu na vymedzenie spôsobu dopravy do zamestnania a predĺžilo sa obdobie jeho poskytovania pre </w:t>
      </w:r>
      <w:r w:rsidRPr="00121E06">
        <w:rPr>
          <w:rFonts w:ascii="Arial Narrow" w:hAnsi="Arial Narrow"/>
          <w:color w:val="auto"/>
          <w:sz w:val="22"/>
          <w:szCs w:val="22"/>
        </w:rPr>
        <w:t xml:space="preserve">znevýhodnených </w:t>
      </w:r>
      <w:proofErr w:type="spellStart"/>
      <w:r w:rsidRPr="00121E06">
        <w:rPr>
          <w:rFonts w:ascii="Arial Narrow" w:hAnsi="Arial Narrow"/>
          <w:color w:val="auto"/>
          <w:sz w:val="22"/>
          <w:szCs w:val="22"/>
        </w:rPr>
        <w:t>UoZ</w:t>
      </w:r>
      <w:proofErr w:type="spellEnd"/>
      <w:r w:rsidRPr="00121E06">
        <w:rPr>
          <w:rFonts w:ascii="Arial Narrow" w:hAnsi="Arial Narrow"/>
          <w:color w:val="auto"/>
          <w:sz w:val="22"/>
          <w:szCs w:val="22"/>
        </w:rPr>
        <w:t>. Zaviedol sa nový príspevok na presťahovanie za prácou, ktorý je určený na úhradu nákladov súvisiacich s presťahovaním občana do nového miesta trvalého pobytu.</w:t>
      </w:r>
    </w:p>
    <w:p w14:paraId="50F29C5F" w14:textId="1DA72BD4" w:rsidR="00E53C9B" w:rsidRDefault="00E53C9B" w:rsidP="00E53C9B">
      <w:pPr>
        <w:pStyle w:val="Default"/>
        <w:spacing w:after="160"/>
        <w:jc w:val="both"/>
        <w:rPr>
          <w:rFonts w:ascii="Arial Narrow" w:hAnsi="Arial Narrow"/>
          <w:sz w:val="22"/>
          <w:szCs w:val="22"/>
        </w:rPr>
      </w:pPr>
      <w:r w:rsidRPr="00824317">
        <w:rPr>
          <w:rFonts w:ascii="Arial Narrow" w:hAnsi="Arial Narrow"/>
          <w:b/>
          <w:sz w:val="22"/>
          <w:szCs w:val="22"/>
        </w:rPr>
        <w:t xml:space="preserve">Zmeny v </w:t>
      </w:r>
      <w:r>
        <w:rPr>
          <w:rFonts w:ascii="Arial Narrow" w:hAnsi="Arial Narrow"/>
          <w:b/>
          <w:sz w:val="22"/>
          <w:szCs w:val="22"/>
        </w:rPr>
        <w:t>Z</w:t>
      </w:r>
      <w:r w:rsidRPr="00824317">
        <w:rPr>
          <w:rFonts w:ascii="Arial Narrow" w:hAnsi="Arial Narrow"/>
          <w:b/>
          <w:sz w:val="22"/>
          <w:szCs w:val="22"/>
        </w:rPr>
        <w:t>ákonníku práce by mali prispieť k</w:t>
      </w:r>
      <w:r>
        <w:rPr>
          <w:rFonts w:ascii="Arial Narrow" w:hAnsi="Arial Narrow"/>
          <w:b/>
          <w:sz w:val="22"/>
          <w:szCs w:val="22"/>
        </w:rPr>
        <w:t xml:space="preserve"> </w:t>
      </w:r>
      <w:r w:rsidRPr="00824317">
        <w:rPr>
          <w:rFonts w:ascii="Arial Narrow" w:hAnsi="Arial Narrow"/>
          <w:b/>
          <w:sz w:val="22"/>
          <w:szCs w:val="22"/>
        </w:rPr>
        <w:t>transparentnejšiemu mzdovému vyjednávaniu pri hľadaní zamestnania a vyššiemu odmeňovaniu v</w:t>
      </w:r>
      <w:r>
        <w:rPr>
          <w:rFonts w:ascii="Arial Narrow" w:hAnsi="Arial Narrow"/>
          <w:b/>
          <w:sz w:val="22"/>
          <w:szCs w:val="22"/>
        </w:rPr>
        <w:t> neštandardných pracovných časoch</w:t>
      </w:r>
      <w:r w:rsidRPr="00824317">
        <w:rPr>
          <w:rFonts w:ascii="Arial Narrow" w:hAnsi="Arial Narrow"/>
          <w:b/>
          <w:sz w:val="22"/>
          <w:szCs w:val="22"/>
        </w:rPr>
        <w:t>.</w:t>
      </w:r>
      <w:r>
        <w:rPr>
          <w:rFonts w:ascii="Arial Narrow" w:hAnsi="Arial Narrow"/>
          <w:sz w:val="22"/>
          <w:szCs w:val="22"/>
        </w:rPr>
        <w:t xml:space="preserve"> </w:t>
      </w:r>
      <w:r w:rsidRPr="004D34A9">
        <w:rPr>
          <w:rFonts w:ascii="Arial Narrow" w:hAnsi="Arial Narrow"/>
          <w:sz w:val="22"/>
          <w:szCs w:val="22"/>
        </w:rPr>
        <w:t xml:space="preserve">V oblasti odmeňovania zamestnancov </w:t>
      </w:r>
      <w:r>
        <w:rPr>
          <w:rFonts w:ascii="Arial Narrow" w:hAnsi="Arial Narrow"/>
          <w:sz w:val="22"/>
          <w:szCs w:val="22"/>
        </w:rPr>
        <w:t xml:space="preserve">sa </w:t>
      </w:r>
      <w:r w:rsidRPr="004D34A9">
        <w:rPr>
          <w:rFonts w:ascii="Arial Narrow" w:hAnsi="Arial Narrow"/>
          <w:sz w:val="22"/>
          <w:szCs w:val="22"/>
        </w:rPr>
        <w:t xml:space="preserve">od mája 2018 </w:t>
      </w:r>
      <w:r>
        <w:rPr>
          <w:rFonts w:ascii="Arial Narrow" w:hAnsi="Arial Narrow"/>
          <w:sz w:val="22"/>
          <w:szCs w:val="22"/>
        </w:rPr>
        <w:t xml:space="preserve">zvyšovala </w:t>
      </w:r>
      <w:r w:rsidRPr="004D34A9">
        <w:rPr>
          <w:rFonts w:ascii="Arial Narrow" w:hAnsi="Arial Narrow"/>
          <w:bCs/>
          <w:sz w:val="22"/>
          <w:szCs w:val="22"/>
        </w:rPr>
        <w:t>minimáln</w:t>
      </w:r>
      <w:r>
        <w:rPr>
          <w:rFonts w:ascii="Arial Narrow" w:hAnsi="Arial Narrow"/>
          <w:bCs/>
          <w:sz w:val="22"/>
          <w:szCs w:val="22"/>
        </w:rPr>
        <w:t>a</w:t>
      </w:r>
      <w:r w:rsidRPr="004D34A9">
        <w:rPr>
          <w:rFonts w:ascii="Arial Narrow" w:hAnsi="Arial Narrow"/>
          <w:bCs/>
          <w:sz w:val="22"/>
          <w:szCs w:val="22"/>
        </w:rPr>
        <w:t xml:space="preserve"> výšk</w:t>
      </w:r>
      <w:r>
        <w:rPr>
          <w:rFonts w:ascii="Arial Narrow" w:hAnsi="Arial Narrow"/>
          <w:bCs/>
          <w:sz w:val="22"/>
          <w:szCs w:val="22"/>
        </w:rPr>
        <w:t>a</w:t>
      </w:r>
      <w:r w:rsidRPr="004D34A9">
        <w:rPr>
          <w:rFonts w:ascii="Arial Narrow" w:hAnsi="Arial Narrow"/>
          <w:bCs/>
          <w:sz w:val="22"/>
          <w:szCs w:val="22"/>
        </w:rPr>
        <w:t xml:space="preserve"> mzdového zvýhodnenia </w:t>
      </w:r>
      <w:r w:rsidRPr="004D34A9">
        <w:rPr>
          <w:rFonts w:ascii="Arial Narrow" w:hAnsi="Arial Narrow"/>
          <w:sz w:val="22"/>
          <w:szCs w:val="22"/>
        </w:rPr>
        <w:t xml:space="preserve">za nočnú prácu </w:t>
      </w:r>
      <w:r>
        <w:rPr>
          <w:rFonts w:ascii="Arial Narrow" w:hAnsi="Arial Narrow"/>
          <w:sz w:val="22"/>
          <w:szCs w:val="22"/>
        </w:rPr>
        <w:t xml:space="preserve">a prácu cez víkendy a sviatky. </w:t>
      </w:r>
      <w:r w:rsidRPr="004D34A9">
        <w:rPr>
          <w:rFonts w:ascii="Arial Narrow" w:hAnsi="Arial Narrow"/>
          <w:sz w:val="22"/>
          <w:szCs w:val="22"/>
        </w:rPr>
        <w:t xml:space="preserve">S cieľom zvýšenia transparentnosti v mzdovom vyjednávaní pri prijímaní zamestnancov sa zavádza povinnosť pre zamestnávateľov </w:t>
      </w:r>
      <w:r w:rsidRPr="004D34A9">
        <w:rPr>
          <w:rFonts w:ascii="Arial Narrow" w:hAnsi="Arial Narrow"/>
          <w:bCs/>
          <w:sz w:val="22"/>
          <w:szCs w:val="22"/>
        </w:rPr>
        <w:t>uvádzať v pracovnej ponuke sumu základnej zložky mzdy</w:t>
      </w:r>
      <w:r w:rsidRPr="004D34A9">
        <w:rPr>
          <w:rFonts w:ascii="Arial Narrow" w:hAnsi="Arial Narrow"/>
          <w:sz w:val="22"/>
          <w:szCs w:val="22"/>
        </w:rPr>
        <w:t xml:space="preserve">. Pri uzatváraní pracovnej zmluvy nemôže byť táto suma nižšia ako v pracovnej ponuke. </w:t>
      </w:r>
    </w:p>
    <w:p w14:paraId="0665BE9C" w14:textId="77777777" w:rsidR="00E53C9B" w:rsidRPr="00442057" w:rsidRDefault="00E53C9B" w:rsidP="00E53C9B">
      <w:pPr>
        <w:pStyle w:val="Default"/>
        <w:spacing w:after="160"/>
        <w:jc w:val="both"/>
        <w:rPr>
          <w:rFonts w:ascii="Arial Narrow" w:hAnsi="Arial Narrow"/>
          <w:sz w:val="20"/>
          <w:szCs w:val="22"/>
        </w:rPr>
      </w:pPr>
      <w:r w:rsidRPr="00442057">
        <w:rPr>
          <w:rFonts w:ascii="Arial Narrow" w:hAnsi="Arial Narrow"/>
          <w:b/>
          <w:sz w:val="22"/>
          <w:szCs w:val="20"/>
        </w:rPr>
        <w:t>Za účelom podpory zosúladenia pracovného a rodinného života sa rozširujú siete zariadení starostlivosti pre deti do troch rokov.</w:t>
      </w:r>
      <w:r w:rsidRPr="00442057">
        <w:rPr>
          <w:rFonts w:ascii="Arial Narrow" w:hAnsi="Arial Narrow"/>
          <w:sz w:val="22"/>
          <w:szCs w:val="20"/>
        </w:rPr>
        <w:t xml:space="preserve"> Po schválení tzv. jasličkového zákona v roku 2017, ktorý definuje legislatívny rámec pre činnosť zariadení starostlivosti o deti do troch rokov, sa pripravili podmienky finančnej </w:t>
      </w:r>
      <w:r w:rsidRPr="00442057">
        <w:rPr>
          <w:rFonts w:ascii="Arial Narrow" w:hAnsi="Arial Narrow"/>
          <w:sz w:val="22"/>
          <w:szCs w:val="20"/>
        </w:rPr>
        <w:lastRenderedPageBreak/>
        <w:t>podpory pre čerpanie finančných zdrojov z EÚ v programovom období na roky 2014 až 2020. V priebehu roka 2018 boli vyhlásené výzvy na podporu týchto zariadení s finančnou alokáciou 13,5 mil. eur. Do júna 2018 boli vyhlásené výzvy na podporu flexibilných foriem starostlivosti o deti a flexibilných pracovných miest s celkovou finančnou alokáciou 13,3 mil. eur.</w:t>
      </w:r>
    </w:p>
    <w:p w14:paraId="084E0ED6" w14:textId="77777777" w:rsidR="00E53C9B" w:rsidRPr="004D34A9" w:rsidRDefault="00E53C9B" w:rsidP="00173A8A">
      <w:pPr>
        <w:pStyle w:val="Default"/>
        <w:jc w:val="both"/>
        <w:rPr>
          <w:rFonts w:ascii="Arial Narrow" w:hAnsi="Arial Narrow"/>
          <w:sz w:val="22"/>
          <w:szCs w:val="22"/>
        </w:rPr>
      </w:pPr>
    </w:p>
    <w:p w14:paraId="359BE901" w14:textId="77777777" w:rsidR="00E53C9B" w:rsidRPr="00024030" w:rsidRDefault="00E53C9B" w:rsidP="00E53C9B">
      <w:pPr>
        <w:pStyle w:val="Odsekzoznamu"/>
        <w:numPr>
          <w:ilvl w:val="1"/>
          <w:numId w:val="64"/>
        </w:numPr>
        <w:spacing w:line="240" w:lineRule="auto"/>
        <w:jc w:val="both"/>
        <w:rPr>
          <w:rFonts w:ascii="Arial Narrow" w:hAnsi="Arial Narrow"/>
          <w:szCs w:val="20"/>
        </w:rPr>
      </w:pPr>
      <w:r>
        <w:rPr>
          <w:rFonts w:ascii="Arial Narrow" w:hAnsi="Arial Narrow"/>
          <w:b/>
          <w:szCs w:val="20"/>
        </w:rPr>
        <w:t>Sociálna politika</w:t>
      </w:r>
    </w:p>
    <w:p w14:paraId="20609B50" w14:textId="77777777" w:rsidR="00E53C9B" w:rsidRPr="00024030" w:rsidRDefault="00E53C9B" w:rsidP="00E53C9B">
      <w:pPr>
        <w:autoSpaceDE w:val="0"/>
        <w:autoSpaceDN w:val="0"/>
        <w:adjustRightInd w:val="0"/>
        <w:spacing w:after="160" w:line="240" w:lineRule="auto"/>
        <w:jc w:val="both"/>
        <w:rPr>
          <w:rFonts w:ascii="Arial Narrow" w:hAnsi="Arial Narrow" w:cstheme="minorBidi"/>
        </w:rPr>
      </w:pPr>
      <w:r w:rsidRPr="00024030">
        <w:rPr>
          <w:rFonts w:ascii="Arial Narrow" w:hAnsi="Arial Narrow"/>
          <w:b/>
        </w:rPr>
        <w:t xml:space="preserve">Zvyšovali sa dávky na podporu starostlivosti o deti. </w:t>
      </w:r>
      <w:r w:rsidRPr="00024030">
        <w:rPr>
          <w:rFonts w:ascii="Arial Narrow" w:hAnsi="Arial Narrow"/>
        </w:rPr>
        <w:t xml:space="preserve">Od januára 2016 sa zvýšila maximálna suma príspevku na starostlivosť o dieťa z 230 eur na 280 eur na pokrytie nákladov rodičov na služby starostlivosti o dieťa. Znížila sa tiež administratívna náročnosť pri jeho poskytovaní. </w:t>
      </w:r>
      <w:r w:rsidRPr="00024030">
        <w:rPr>
          <w:rFonts w:ascii="Arial Narrow" w:hAnsi="Arial Narrow" w:cs="ArialNarrow,Bold"/>
          <w:bCs/>
        </w:rPr>
        <w:t xml:space="preserve">V roku 2017 sa opäť zvyšovalo materské zo 70 % denného vymeriavacieho základu na 75 %. Osoba zarábajúca priemernú mzdu s nárokom na materské tak v súčasnosti dosahuje takmer úplnú náhradu predošlého čistého príjmu. </w:t>
      </w:r>
      <w:r w:rsidRPr="00024030">
        <w:rPr>
          <w:rFonts w:ascii="Arial Narrow" w:hAnsi="Arial Narrow"/>
        </w:rPr>
        <w:t>Zvýšil sa aj maximálny vymeriavací základ na dávky nemocenského poistenia z 1,5 na 2-násobok priemernej mzdy spred dvoch rokov, čo malo tiež vplyv na rast materského.</w:t>
      </w:r>
      <w:r w:rsidRPr="00024030">
        <w:rPr>
          <w:rFonts w:ascii="Arial Narrow" w:hAnsi="Arial Narrow" w:cs="ArialNarrow,Bold"/>
          <w:bCs/>
        </w:rPr>
        <w:t xml:space="preserve"> Osoba, ktorej príjem nepresahuje dvojnásobok priemernej mzdy s nárokom na materské tak v súčasnosti dosahuje v zásade úplnú náhradu predošlého čistého príjmu. Od roku 2019 môžu dvaja rodičia čerpať materské súbežne. Od mája 2017 sa nad rámec bežnej indexácie zvýšil aj rodičovský príspevok z 203,20 eur na 213,20 eur.</w:t>
      </w:r>
    </w:p>
    <w:p w14:paraId="35331EA2" w14:textId="67C9838A" w:rsidR="00E53C9B" w:rsidRPr="00823E8B" w:rsidRDefault="00E53C9B" w:rsidP="00E53C9B">
      <w:pPr>
        <w:pStyle w:val="Default"/>
        <w:spacing w:after="160"/>
        <w:jc w:val="both"/>
        <w:rPr>
          <w:rFonts w:ascii="Arial Narrow" w:hAnsi="Arial Narrow"/>
          <w:sz w:val="20"/>
          <w:szCs w:val="22"/>
        </w:rPr>
      </w:pPr>
      <w:r w:rsidRPr="00824317">
        <w:rPr>
          <w:rFonts w:ascii="Arial Narrow" w:hAnsi="Arial Narrow" w:cs="ArialNarrow,Bold"/>
          <w:b/>
          <w:bCs/>
          <w:sz w:val="22"/>
          <w:szCs w:val="22"/>
        </w:rPr>
        <w:t>Zlepšila sa adresnosť a motivácia niektorých dávok v rámci sociálneho zabezpečenia a</w:t>
      </w:r>
      <w:r>
        <w:rPr>
          <w:rFonts w:ascii="Arial Narrow" w:hAnsi="Arial Narrow" w:cs="ArialNarrow,Bold"/>
          <w:b/>
          <w:bCs/>
          <w:sz w:val="22"/>
          <w:szCs w:val="22"/>
        </w:rPr>
        <w:t xml:space="preserve"> systému pomoci v hmotnej núdzi</w:t>
      </w:r>
      <w:r w:rsidRPr="00824317">
        <w:rPr>
          <w:rFonts w:ascii="Arial Narrow" w:hAnsi="Arial Narrow" w:cs="ArialNarrow,Bold"/>
          <w:b/>
          <w:bCs/>
          <w:sz w:val="22"/>
          <w:szCs w:val="22"/>
        </w:rPr>
        <w:t xml:space="preserve">. </w:t>
      </w:r>
      <w:r w:rsidRPr="00824317">
        <w:rPr>
          <w:rFonts w:ascii="Arial Narrow" w:hAnsi="Arial Narrow"/>
          <w:sz w:val="22"/>
          <w:szCs w:val="22"/>
        </w:rPr>
        <w:t xml:space="preserve">Od roku 2018 sa uvoľnili a zjednotili podmienky nároku na dávku v nezamestnanosti. </w:t>
      </w:r>
      <w:r>
        <w:rPr>
          <w:rFonts w:ascii="Arial Narrow" w:hAnsi="Arial Narrow"/>
          <w:sz w:val="22"/>
          <w:szCs w:val="22"/>
        </w:rPr>
        <w:t>P</w:t>
      </w:r>
      <w:r w:rsidRPr="00824317">
        <w:rPr>
          <w:rFonts w:ascii="Arial Narrow" w:hAnsi="Arial Narrow"/>
          <w:sz w:val="22"/>
          <w:szCs w:val="22"/>
        </w:rPr>
        <w:t>oistenec, ktorý má nárok na dávku v</w:t>
      </w:r>
      <w:r>
        <w:rPr>
          <w:rFonts w:ascii="Arial Narrow" w:hAnsi="Arial Narrow"/>
          <w:sz w:val="22"/>
          <w:szCs w:val="22"/>
        </w:rPr>
        <w:t> </w:t>
      </w:r>
      <w:r w:rsidRPr="00824317">
        <w:rPr>
          <w:rFonts w:ascii="Arial Narrow" w:hAnsi="Arial Narrow"/>
          <w:sz w:val="22"/>
          <w:szCs w:val="22"/>
        </w:rPr>
        <w:t>nezamestnanosti</w:t>
      </w:r>
      <w:r>
        <w:rPr>
          <w:rFonts w:ascii="Arial Narrow" w:hAnsi="Arial Narrow"/>
          <w:sz w:val="22"/>
          <w:szCs w:val="22"/>
        </w:rPr>
        <w:t xml:space="preserve">, musí byť </w:t>
      </w:r>
      <w:r w:rsidRPr="00824317">
        <w:rPr>
          <w:rFonts w:ascii="Arial Narrow" w:hAnsi="Arial Narrow"/>
          <w:sz w:val="22"/>
          <w:szCs w:val="22"/>
        </w:rPr>
        <w:t xml:space="preserve">poistený najmenej dva roky v posledných štyroch rokoch pred zaradením do evidencie </w:t>
      </w:r>
      <w:proofErr w:type="spellStart"/>
      <w:r w:rsidRPr="00824317">
        <w:rPr>
          <w:rFonts w:ascii="Arial Narrow" w:hAnsi="Arial Narrow"/>
          <w:sz w:val="22"/>
          <w:szCs w:val="22"/>
        </w:rPr>
        <w:t>UoZ</w:t>
      </w:r>
      <w:proofErr w:type="spellEnd"/>
      <w:r w:rsidRPr="00824317">
        <w:rPr>
          <w:rFonts w:ascii="Arial Narrow" w:hAnsi="Arial Narrow"/>
          <w:sz w:val="22"/>
          <w:szCs w:val="22"/>
        </w:rPr>
        <w:t xml:space="preserve">. </w:t>
      </w:r>
      <w:r w:rsidRPr="00831613">
        <w:rPr>
          <w:rFonts w:ascii="Arial Narrow" w:hAnsi="Arial Narrow"/>
          <w:sz w:val="22"/>
          <w:szCs w:val="22"/>
        </w:rPr>
        <w:t>V roku 2017 sa prijali opatrenia pre zvýšenie motivácie dlhodobo nezamestnaných alebo dlhodobo neaktívnych osôb v systéme pomoci v hmotnej núdzi uplatniť sa na trhu práce, a to umožnením súbehu mzdy, pomoci v hmotnej núdzi a osobitného príspevku. S účinnosťou od apríla 2019 sa zvyšuje suma aktivačného príspevku pre osoby v hmotnej núdzi, ktoré si nájdu zamestnanie s mesačnou mzdou minimálne na úrovni minimálnej mzdy. V záujme zvýšenia motivácie dlhodobo nezamestnaných alebo dlhodobo neaktívnych osôb v systéme pomoc</w:t>
      </w:r>
      <w:r>
        <w:rPr>
          <w:rFonts w:ascii="Arial Narrow" w:hAnsi="Arial Narrow"/>
          <w:sz w:val="22"/>
          <w:szCs w:val="22"/>
        </w:rPr>
        <w:t>i v hmotnej núdzi zamestnať sa, poskytovanie</w:t>
      </w:r>
      <w:r w:rsidRPr="00831613">
        <w:rPr>
          <w:rFonts w:ascii="Arial Narrow" w:hAnsi="Arial Narrow"/>
          <w:sz w:val="22"/>
          <w:szCs w:val="22"/>
        </w:rPr>
        <w:t xml:space="preserve"> osobitn</w:t>
      </w:r>
      <w:r>
        <w:rPr>
          <w:rFonts w:ascii="Arial Narrow" w:hAnsi="Arial Narrow"/>
          <w:sz w:val="22"/>
          <w:szCs w:val="22"/>
        </w:rPr>
        <w:t xml:space="preserve">ého príspevku sa predlžuje </w:t>
      </w:r>
      <w:r w:rsidRPr="00831613">
        <w:rPr>
          <w:rFonts w:ascii="Arial Narrow" w:hAnsi="Arial Narrow"/>
          <w:sz w:val="22"/>
          <w:szCs w:val="22"/>
        </w:rPr>
        <w:t>na 18 mesiacov. Zároveň sa zvyšujú aj sumy pomoci v hmotnej núdzi o 5 %</w:t>
      </w:r>
      <w:r>
        <w:rPr>
          <w:rFonts w:ascii="Arial Narrow" w:hAnsi="Arial Narrow"/>
          <w:sz w:val="22"/>
          <w:szCs w:val="22"/>
        </w:rPr>
        <w:t xml:space="preserve">. </w:t>
      </w:r>
      <w:r w:rsidRPr="00831613">
        <w:rPr>
          <w:rFonts w:ascii="Arial Narrow" w:hAnsi="Arial Narrow"/>
          <w:sz w:val="22"/>
          <w:szCs w:val="22"/>
        </w:rPr>
        <w:t>Zavádza sa tiež mechanizmus pravidelnej úpravy</w:t>
      </w:r>
      <w:r>
        <w:rPr>
          <w:rFonts w:ascii="Arial Narrow" w:hAnsi="Arial Narrow"/>
          <w:sz w:val="22"/>
          <w:szCs w:val="22"/>
        </w:rPr>
        <w:t xml:space="preserve"> súm pomoci v hmotnej núdzi. </w:t>
      </w:r>
      <w:r w:rsidRPr="00823E8B">
        <w:rPr>
          <w:rFonts w:ascii="Arial Narrow" w:hAnsi="Arial Narrow"/>
          <w:sz w:val="22"/>
        </w:rPr>
        <w:t>Od januára 2019 sa rozširuje existujúca dotácia pre rozvoj stravovacích návykov („obedy zadarmo“) pre všetky deti v poslednom ročníku MŠ a od septembra pre žiakov ZŠ.</w:t>
      </w:r>
    </w:p>
    <w:p w14:paraId="052B0D23" w14:textId="60E0AE87" w:rsidR="00E53C9B" w:rsidRDefault="00E53C9B" w:rsidP="00E53C9B">
      <w:pPr>
        <w:pStyle w:val="Default"/>
        <w:spacing w:after="160"/>
        <w:jc w:val="both"/>
        <w:rPr>
          <w:rFonts w:ascii="Arial Narrow" w:hAnsi="Arial Narrow"/>
          <w:sz w:val="22"/>
          <w:szCs w:val="22"/>
        </w:rPr>
      </w:pPr>
      <w:r w:rsidRPr="00824317">
        <w:rPr>
          <w:rFonts w:ascii="Arial Narrow" w:hAnsi="Arial Narrow"/>
          <w:b/>
          <w:sz w:val="22"/>
          <w:szCs w:val="22"/>
        </w:rPr>
        <w:t>Boli prijaté v</w:t>
      </w:r>
      <w:r w:rsidR="000366B3">
        <w:rPr>
          <w:rFonts w:ascii="Arial Narrow" w:hAnsi="Arial Narrow"/>
          <w:b/>
          <w:sz w:val="22"/>
          <w:szCs w:val="22"/>
        </w:rPr>
        <w:t>iaceré zmeny v systéme sociálnych</w:t>
      </w:r>
      <w:r w:rsidRPr="00824317">
        <w:rPr>
          <w:rFonts w:ascii="Arial Narrow" w:hAnsi="Arial Narrow"/>
          <w:b/>
          <w:sz w:val="22"/>
          <w:szCs w:val="22"/>
        </w:rPr>
        <w:t xml:space="preserve"> služieb </w:t>
      </w:r>
      <w:r>
        <w:rPr>
          <w:rFonts w:ascii="Arial Narrow" w:hAnsi="Arial Narrow"/>
          <w:b/>
          <w:sz w:val="22"/>
          <w:szCs w:val="22"/>
        </w:rPr>
        <w:t xml:space="preserve">a sociálnej pomoci </w:t>
      </w:r>
      <w:r w:rsidRPr="00824317">
        <w:rPr>
          <w:rFonts w:ascii="Arial Narrow" w:hAnsi="Arial Narrow"/>
          <w:b/>
          <w:sz w:val="22"/>
          <w:szCs w:val="22"/>
        </w:rPr>
        <w:t>na pomoc odkázaným osobám.</w:t>
      </w:r>
      <w:r>
        <w:rPr>
          <w:rFonts w:ascii="Arial Narrow" w:hAnsi="Arial Narrow"/>
          <w:sz w:val="22"/>
          <w:szCs w:val="22"/>
        </w:rPr>
        <w:t xml:space="preserve"> </w:t>
      </w:r>
      <w:r w:rsidRPr="004D34A9">
        <w:rPr>
          <w:rFonts w:ascii="Arial Narrow" w:hAnsi="Arial Narrow"/>
          <w:sz w:val="22"/>
          <w:szCs w:val="22"/>
        </w:rPr>
        <w:t xml:space="preserve">V novembri 2017 </w:t>
      </w:r>
      <w:r>
        <w:rPr>
          <w:rFonts w:ascii="Arial Narrow" w:hAnsi="Arial Narrow"/>
          <w:sz w:val="22"/>
          <w:szCs w:val="22"/>
        </w:rPr>
        <w:t>bola prijatá novela</w:t>
      </w:r>
      <w:r w:rsidRPr="004D34A9">
        <w:rPr>
          <w:rFonts w:ascii="Arial Narrow" w:hAnsi="Arial Narrow"/>
          <w:sz w:val="22"/>
          <w:szCs w:val="22"/>
        </w:rPr>
        <w:t xml:space="preserve"> zákona o sociálnych službách, ktorá mení najmä spôsob určenia výšky finančného príspevku pre poskytovateľov sociálnej služby v zariadeni</w:t>
      </w:r>
      <w:r>
        <w:rPr>
          <w:rFonts w:ascii="Arial Narrow" w:hAnsi="Arial Narrow"/>
          <w:sz w:val="22"/>
          <w:szCs w:val="22"/>
        </w:rPr>
        <w:t>ach podmie</w:t>
      </w:r>
      <w:r w:rsidR="000366B3">
        <w:rPr>
          <w:rFonts w:ascii="Arial Narrow" w:hAnsi="Arial Narrow"/>
          <w:sz w:val="22"/>
          <w:szCs w:val="22"/>
        </w:rPr>
        <w:t xml:space="preserve">nených odkázanosťou. Novelou sa </w:t>
      </w:r>
      <w:r w:rsidRPr="004D34A9">
        <w:rPr>
          <w:rFonts w:ascii="Arial Narrow" w:hAnsi="Arial Narrow"/>
          <w:sz w:val="22"/>
          <w:szCs w:val="22"/>
        </w:rPr>
        <w:t>rozšír</w:t>
      </w:r>
      <w:r>
        <w:rPr>
          <w:rFonts w:ascii="Arial Narrow" w:hAnsi="Arial Narrow"/>
          <w:sz w:val="22"/>
          <w:szCs w:val="22"/>
        </w:rPr>
        <w:t>il tiež počet</w:t>
      </w:r>
      <w:r w:rsidRPr="004D34A9">
        <w:rPr>
          <w:rFonts w:ascii="Arial Narrow" w:hAnsi="Arial Narrow"/>
          <w:sz w:val="22"/>
          <w:szCs w:val="22"/>
        </w:rPr>
        <w:t xml:space="preserve"> subjektov s nárokom na finančný príspevok na poskytovanie sociálnej služby (okrem obcí a neverej</w:t>
      </w:r>
      <w:r w:rsidR="000366B3">
        <w:rPr>
          <w:rFonts w:ascii="Arial Narrow" w:hAnsi="Arial Narrow"/>
          <w:sz w:val="22"/>
          <w:szCs w:val="22"/>
        </w:rPr>
        <w:t xml:space="preserve">ných poskytovateľov aj na neverejných poskytovateľov v </w:t>
      </w:r>
      <w:r w:rsidRPr="004D34A9">
        <w:rPr>
          <w:rFonts w:ascii="Arial Narrow" w:hAnsi="Arial Narrow"/>
          <w:sz w:val="22"/>
          <w:szCs w:val="22"/>
        </w:rPr>
        <w:t>pôsobnosti VÚC).</w:t>
      </w:r>
      <w:r>
        <w:rPr>
          <w:rFonts w:ascii="Arial Narrow" w:hAnsi="Arial Narrow"/>
          <w:sz w:val="22"/>
          <w:szCs w:val="22"/>
        </w:rPr>
        <w:t xml:space="preserve"> Od júla 2018 sa zvýšila</w:t>
      </w:r>
      <w:r w:rsidRPr="00824317">
        <w:rPr>
          <w:rFonts w:ascii="Arial Narrow" w:hAnsi="Arial Narrow"/>
          <w:sz w:val="22"/>
          <w:szCs w:val="22"/>
        </w:rPr>
        <w:t xml:space="preserve"> </w:t>
      </w:r>
      <w:r>
        <w:rPr>
          <w:rFonts w:ascii="Arial Narrow" w:hAnsi="Arial Narrow"/>
          <w:sz w:val="22"/>
          <w:szCs w:val="22"/>
        </w:rPr>
        <w:t>výška peňažných príspevkov určených na kompenzáciu odkázanosti osôb s ťažkým zdravotným postihnutím na pomoc inej fyzickej osoby. V</w:t>
      </w:r>
      <w:r w:rsidRPr="00824317">
        <w:rPr>
          <w:rFonts w:ascii="Arial Narrow" w:hAnsi="Arial Narrow"/>
          <w:sz w:val="22"/>
          <w:szCs w:val="22"/>
        </w:rPr>
        <w:t xml:space="preserve">ýrazne </w:t>
      </w:r>
      <w:r>
        <w:rPr>
          <w:rFonts w:ascii="Arial Narrow" w:hAnsi="Arial Narrow"/>
          <w:sz w:val="22"/>
          <w:szCs w:val="22"/>
        </w:rPr>
        <w:t xml:space="preserve">sa </w:t>
      </w:r>
      <w:r w:rsidRPr="00824317">
        <w:rPr>
          <w:rFonts w:ascii="Arial Narrow" w:hAnsi="Arial Narrow"/>
          <w:sz w:val="22"/>
          <w:szCs w:val="22"/>
        </w:rPr>
        <w:t>nav</w:t>
      </w:r>
      <w:r>
        <w:rPr>
          <w:rFonts w:ascii="Arial Narrow" w:hAnsi="Arial Narrow"/>
          <w:sz w:val="22"/>
          <w:szCs w:val="22"/>
        </w:rPr>
        <w:t>ýšil</w:t>
      </w:r>
      <w:r w:rsidRPr="00824317">
        <w:rPr>
          <w:rFonts w:ascii="Arial Narrow" w:hAnsi="Arial Narrow"/>
          <w:sz w:val="22"/>
          <w:szCs w:val="22"/>
        </w:rPr>
        <w:t xml:space="preserve"> </w:t>
      </w:r>
      <w:r>
        <w:rPr>
          <w:rFonts w:ascii="Arial Narrow" w:hAnsi="Arial Narrow"/>
          <w:sz w:val="22"/>
          <w:szCs w:val="22"/>
        </w:rPr>
        <w:t xml:space="preserve">peňažný </w:t>
      </w:r>
      <w:r w:rsidRPr="00824317">
        <w:rPr>
          <w:rFonts w:ascii="Arial Narrow" w:hAnsi="Arial Narrow"/>
          <w:sz w:val="22"/>
          <w:szCs w:val="22"/>
        </w:rPr>
        <w:t xml:space="preserve">príspevok na opatrovanie </w:t>
      </w:r>
      <w:r>
        <w:rPr>
          <w:rFonts w:ascii="Arial Narrow" w:hAnsi="Arial Narrow"/>
          <w:sz w:val="22"/>
          <w:szCs w:val="22"/>
        </w:rPr>
        <w:t xml:space="preserve">nielen </w:t>
      </w:r>
      <w:r w:rsidRPr="00824317">
        <w:rPr>
          <w:rFonts w:ascii="Arial Narrow" w:hAnsi="Arial Narrow"/>
          <w:sz w:val="22"/>
          <w:szCs w:val="22"/>
        </w:rPr>
        <w:t>pre ľudí v produktívnom veku</w:t>
      </w:r>
      <w:r>
        <w:rPr>
          <w:rFonts w:ascii="Arial Narrow" w:hAnsi="Arial Narrow"/>
          <w:sz w:val="22"/>
          <w:szCs w:val="22"/>
        </w:rPr>
        <w:t>, ale aj pre poberateľov dôchodku</w:t>
      </w:r>
      <w:r w:rsidRPr="00824317">
        <w:rPr>
          <w:rFonts w:ascii="Arial Narrow" w:hAnsi="Arial Narrow"/>
          <w:sz w:val="22"/>
          <w:szCs w:val="22"/>
        </w:rPr>
        <w:t xml:space="preserve"> a</w:t>
      </w:r>
      <w:r>
        <w:rPr>
          <w:rFonts w:ascii="Arial Narrow" w:hAnsi="Arial Narrow"/>
          <w:sz w:val="22"/>
          <w:szCs w:val="22"/>
        </w:rPr>
        <w:t> peňažný príspevok na osobnú asistenciu.</w:t>
      </w:r>
    </w:p>
    <w:p w14:paraId="27440D72" w14:textId="77777777" w:rsidR="00E53C9B" w:rsidRDefault="00E53C9B" w:rsidP="00E53C9B">
      <w:pPr>
        <w:spacing w:after="160" w:line="240" w:lineRule="auto"/>
        <w:jc w:val="both"/>
        <w:rPr>
          <w:rFonts w:ascii="Arial Narrow" w:hAnsi="Arial Narrow" w:cs="ArialNarrow"/>
        </w:rPr>
      </w:pPr>
      <w:r w:rsidRPr="00825CA6">
        <w:rPr>
          <w:rFonts w:ascii="Arial Narrow" w:hAnsi="Arial Narrow" w:cs="ArialNarrow"/>
          <w:b/>
        </w:rPr>
        <w:t>Pokračujú projekty na podporu inklúzie vylúčených komunít formou poskytovania vybraných sociálnych služieb a terénnej sociálnej práce.</w:t>
      </w:r>
      <w:r w:rsidRPr="00825CA6">
        <w:rPr>
          <w:rFonts w:ascii="Arial Narrow" w:hAnsi="Arial Narrow" w:cs="ArialNarrow"/>
        </w:rPr>
        <w:t xml:space="preserve"> K októbru 2018 bolo vo výkone 93 poskytovateľov v komunitnom centre, </w:t>
      </w:r>
      <w:proofErr w:type="spellStart"/>
      <w:r w:rsidRPr="00825CA6">
        <w:rPr>
          <w:rFonts w:ascii="Arial Narrow" w:hAnsi="Arial Narrow" w:cs="ArialNarrow"/>
        </w:rPr>
        <w:t>nízkoprahovom</w:t>
      </w:r>
      <w:proofErr w:type="spellEnd"/>
      <w:r w:rsidRPr="00825CA6">
        <w:rPr>
          <w:rFonts w:ascii="Arial Narrow" w:hAnsi="Arial Narrow" w:cs="ArialNarrow"/>
        </w:rPr>
        <w:t xml:space="preserve"> dennom centre alebo </w:t>
      </w:r>
      <w:proofErr w:type="spellStart"/>
      <w:r w:rsidRPr="00825CA6">
        <w:rPr>
          <w:rFonts w:ascii="Arial Narrow" w:hAnsi="Arial Narrow" w:cs="ArialNarrow"/>
        </w:rPr>
        <w:t>nízkoprahovej</w:t>
      </w:r>
      <w:proofErr w:type="spellEnd"/>
      <w:r w:rsidRPr="00825CA6">
        <w:rPr>
          <w:rFonts w:ascii="Arial Narrow" w:hAnsi="Arial Narrow" w:cs="ArialNarrow"/>
        </w:rPr>
        <w:t xml:space="preserve"> sociálnej službe pre deti a rodinu. Počet klientov zúčastnených na pravidelných aktivitách dosiahol takmer 37 tisíc. V období od októbra 2015 do septembra 2019 sa implementuje projekt </w:t>
      </w:r>
      <w:r w:rsidRPr="000366B3">
        <w:rPr>
          <w:rFonts w:ascii="Arial Narrow" w:hAnsi="Arial Narrow" w:cs="ArialNarrow"/>
          <w:i/>
        </w:rPr>
        <w:t>Terénna sociálna práca v obciach I.</w:t>
      </w:r>
      <w:r w:rsidRPr="00825CA6">
        <w:rPr>
          <w:rFonts w:ascii="Arial Narrow" w:hAnsi="Arial Narrow" w:cs="ArialNarrow"/>
        </w:rPr>
        <w:t xml:space="preserve"> vo všetkých krajoch Slovenska s celkovou výškou finančnej alokácie 29,3 mil. eur. Projekt je zameraný na pomoc osobám, ktoré žijú v riziku chudoby, sú ohrozené sociálnym vylúčením alebo sú sociálne vylúčené. V súčasnosti je zapojených 233 subjektov (224 obcí a 9 mimovládnych organizácii) a 523 pracovníkov terénnej sociálnej práce.</w:t>
      </w:r>
    </w:p>
    <w:p w14:paraId="78C4967E" w14:textId="77777777" w:rsidR="00E53C9B" w:rsidRPr="00825CA6" w:rsidRDefault="00E53C9B" w:rsidP="00E53C9B">
      <w:pPr>
        <w:spacing w:after="160" w:line="240" w:lineRule="auto"/>
        <w:jc w:val="both"/>
        <w:rPr>
          <w:rFonts w:ascii="Arial Narrow" w:hAnsi="Arial Narrow" w:cs="ArialNarrow"/>
        </w:rPr>
      </w:pPr>
      <w:r w:rsidRPr="00824317">
        <w:rPr>
          <w:rFonts w:ascii="Arial Narrow" w:hAnsi="Arial Narrow" w:cs="ArialNarrow"/>
          <w:b/>
        </w:rPr>
        <w:t xml:space="preserve">Pokračovala implementácia </w:t>
      </w:r>
      <w:r w:rsidRPr="00824317">
        <w:rPr>
          <w:rFonts w:ascii="Arial Narrow" w:hAnsi="Arial Narrow" w:cs="ArialNarrow,Bold"/>
          <w:b/>
          <w:bCs/>
        </w:rPr>
        <w:t xml:space="preserve">dôchodkovej reformy </w:t>
      </w:r>
      <w:r w:rsidRPr="00824317">
        <w:rPr>
          <w:rFonts w:ascii="Arial Narrow" w:hAnsi="Arial Narrow" w:cs="ArialNarrow"/>
          <w:b/>
        </w:rPr>
        <w:t>z roku 2012, ktorá naviazala dôchodkový vek n</w:t>
      </w:r>
      <w:r>
        <w:rPr>
          <w:rFonts w:ascii="Arial Narrow" w:hAnsi="Arial Narrow" w:cs="ArialNarrow"/>
          <w:b/>
        </w:rPr>
        <w:t xml:space="preserve">a rast očakávanej dĺžky života. </w:t>
      </w:r>
      <w:r w:rsidRPr="009727DF">
        <w:rPr>
          <w:rFonts w:ascii="Arial Narrow" w:hAnsi="Arial Narrow" w:cs="ArialNarrow"/>
        </w:rPr>
        <w:t xml:space="preserve">V roku 2018 sa dôchodkový vek predĺžil </w:t>
      </w:r>
      <w:r>
        <w:rPr>
          <w:rFonts w:ascii="Arial Narrow" w:hAnsi="Arial Narrow" w:cs="ArialNarrow"/>
        </w:rPr>
        <w:t xml:space="preserve">o 63 dní na 62 rokov a 139 dní. </w:t>
      </w:r>
      <w:r w:rsidRPr="00186C4D">
        <w:rPr>
          <w:rFonts w:ascii="Arial Narrow" w:hAnsi="Arial Narrow" w:cs="ArialNarrow"/>
        </w:rPr>
        <w:t>Od roku 2019 sa dôchodkový vek určuje na 5 rokov dopredu a zaokrúhľuje sa na celé mesiace.</w:t>
      </w:r>
      <w:r>
        <w:rPr>
          <w:rFonts w:ascii="Arial Narrow" w:hAnsi="Arial Narrow" w:cs="ArialNarrow"/>
        </w:rPr>
        <w:t xml:space="preserve"> </w:t>
      </w:r>
      <w:r w:rsidRPr="004E2028">
        <w:rPr>
          <w:rFonts w:ascii="Arial Narrow" w:hAnsi="Arial Narrow"/>
        </w:rPr>
        <w:t xml:space="preserve">Na roky 2018 </w:t>
      </w:r>
      <w:r w:rsidRPr="004E2028">
        <w:rPr>
          <w:rFonts w:ascii="Arial Narrow" w:hAnsi="Arial Narrow"/>
        </w:rPr>
        <w:lastRenderedPageBreak/>
        <w:t>až 2021 sa zaviedla minimálna miera valorizácie dô</w:t>
      </w:r>
      <w:r>
        <w:rPr>
          <w:rFonts w:ascii="Arial Narrow" w:hAnsi="Arial Narrow"/>
        </w:rPr>
        <w:t>chodkových dávok. Dôchodcom sa zvyšujú</w:t>
      </w:r>
      <w:r w:rsidRPr="004E2028">
        <w:rPr>
          <w:rFonts w:ascii="Arial Narrow" w:hAnsi="Arial Narrow"/>
        </w:rPr>
        <w:t xml:space="preserve"> dôchodkové dávky o % medziročného rastu spotrebiteľských cien domácností dôchodcov, najmenej však o pevnú sumu určenú ako 2 % z priemernej sumy príslušného druhu dôchodku. Vďaka tomuto opatreniu budú podpr</w:t>
      </w:r>
      <w:r>
        <w:rPr>
          <w:rFonts w:ascii="Arial Narrow" w:hAnsi="Arial Narrow"/>
        </w:rPr>
        <w:t xml:space="preserve">iemerné penzie rásť rýchlejšie. </w:t>
      </w:r>
      <w:r w:rsidRPr="004E2028">
        <w:rPr>
          <w:rFonts w:ascii="Arial Narrow" w:hAnsi="Arial Narrow" w:cs="ArialNarrow"/>
        </w:rPr>
        <w:t>V decembri 2016 bola schválená legislatív</w:t>
      </w:r>
      <w:r>
        <w:rPr>
          <w:rFonts w:ascii="Arial Narrow" w:hAnsi="Arial Narrow" w:cs="ArialNarrow"/>
        </w:rPr>
        <w:t xml:space="preserve">a, ktorá od roku 2018 umožňuje </w:t>
      </w:r>
      <w:r w:rsidRPr="004E2028">
        <w:rPr>
          <w:rFonts w:ascii="Arial Narrow" w:hAnsi="Arial Narrow" w:cs="ArialNarrow,Bold"/>
          <w:bCs/>
        </w:rPr>
        <w:t xml:space="preserve">programový výber a dočasný dôchodok v druhom dôchodkovom pilieri </w:t>
      </w:r>
      <w:r w:rsidRPr="004E2028">
        <w:rPr>
          <w:rFonts w:ascii="Arial Narrow" w:hAnsi="Arial Narrow" w:cs="ArialNarrow"/>
        </w:rPr>
        <w:t xml:space="preserve">pre širší okruh sporiteľov. Jednorazový výber nasporených peňazí (v prípade programového výberu) pri odchode do dôchodku bude dostupný pre sporiteľov, ktorí budú mať vyšší dôchodok ako je priemerný dôchodok priznaný </w:t>
      </w:r>
      <w:r w:rsidRPr="00CE2A8D">
        <w:rPr>
          <w:rFonts w:ascii="Arial Narrow" w:hAnsi="Arial Narrow" w:cs="ArialNarrow"/>
        </w:rPr>
        <w:t>po roku 2003</w:t>
      </w:r>
      <w:r>
        <w:rPr>
          <w:rFonts w:ascii="Arial Narrow" w:hAnsi="Arial Narrow" w:cs="ArialNarrow"/>
        </w:rPr>
        <w:t xml:space="preserve">. </w:t>
      </w:r>
    </w:p>
    <w:p w14:paraId="0EC39CE6" w14:textId="26946AF4" w:rsidR="00E53C9B" w:rsidRDefault="00E53C9B" w:rsidP="00E53C9B">
      <w:pPr>
        <w:spacing w:after="160" w:line="240" w:lineRule="auto"/>
        <w:jc w:val="both"/>
        <w:rPr>
          <w:rFonts w:ascii="Arial Narrow" w:hAnsi="Arial Narrow"/>
          <w:b/>
        </w:rPr>
      </w:pPr>
      <w:r w:rsidRPr="00BF0803">
        <w:rPr>
          <w:rFonts w:ascii="Arial Narrow" w:hAnsi="Arial Narrow"/>
          <w:b/>
        </w:rPr>
        <w:t xml:space="preserve">Opatrenia v dôchodkovom sporení prispievajú k zlepšeniu informovanosti sporiteľov o ich súčasných a budúcich dôchodkových nárokoch z II. a III. piliera. </w:t>
      </w:r>
      <w:r w:rsidRPr="004529A8">
        <w:rPr>
          <w:rFonts w:ascii="Arial Narrow" w:hAnsi="Arial Narrow"/>
        </w:rPr>
        <w:t xml:space="preserve">Od januára 2019 </w:t>
      </w:r>
      <w:r w:rsidR="000366B3">
        <w:rPr>
          <w:rFonts w:ascii="Arial Narrow" w:hAnsi="Arial Narrow"/>
        </w:rPr>
        <w:t xml:space="preserve">sa </w:t>
      </w:r>
      <w:r w:rsidRPr="004529A8">
        <w:rPr>
          <w:rFonts w:ascii="Arial Narrow" w:hAnsi="Arial Narrow"/>
        </w:rPr>
        <w:t xml:space="preserve">ustanovili vzory nových výpisov z osobných účtov účastníkov a poberateľov dávok v III. pilieri. Účastník sa tak môže lepšie rozhodnúť, či si chce na dôchodok sporiť viac, alebo či by mal zmeniť dôchodkový fond. V súčasnosti sa tiež pripravuje zákon s cieľom zvýšenia informovanosti sporiteľov v II. pilieri. </w:t>
      </w:r>
    </w:p>
    <w:p w14:paraId="0166ECB0" w14:textId="77777777" w:rsidR="00E53C9B" w:rsidRPr="00825CA6" w:rsidRDefault="00E53C9B" w:rsidP="00E53C9B">
      <w:pPr>
        <w:spacing w:after="0" w:line="240" w:lineRule="auto"/>
        <w:rPr>
          <w:rFonts w:ascii="Arial Narrow" w:hAnsi="Arial Narrow"/>
          <w:b/>
        </w:rPr>
      </w:pPr>
    </w:p>
    <w:p w14:paraId="6492DA33" w14:textId="77777777" w:rsidR="00E53C9B" w:rsidRPr="00BF0803" w:rsidRDefault="00E53C9B" w:rsidP="00E53C9B">
      <w:pPr>
        <w:numPr>
          <w:ilvl w:val="0"/>
          <w:numId w:val="64"/>
        </w:numPr>
        <w:spacing w:line="240" w:lineRule="auto"/>
        <w:jc w:val="both"/>
        <w:rPr>
          <w:rFonts w:ascii="Arial Narrow" w:hAnsi="Arial Narrow"/>
          <w:b/>
        </w:rPr>
      </w:pPr>
      <w:r w:rsidRPr="00BF0803">
        <w:rPr>
          <w:rFonts w:ascii="Arial Narrow" w:hAnsi="Arial Narrow"/>
          <w:b/>
        </w:rPr>
        <w:t>Zdravotníctvo</w:t>
      </w:r>
    </w:p>
    <w:p w14:paraId="70C9D48E" w14:textId="77777777" w:rsidR="00E53C9B" w:rsidRPr="00BF0803" w:rsidRDefault="00E53C9B" w:rsidP="00E53C9B">
      <w:pPr>
        <w:spacing w:after="160" w:line="240" w:lineRule="auto"/>
        <w:jc w:val="both"/>
        <w:rPr>
          <w:rFonts w:ascii="Arial Narrow" w:hAnsi="Arial Narrow"/>
        </w:rPr>
      </w:pPr>
      <w:r w:rsidRPr="00BF0803">
        <w:rPr>
          <w:rFonts w:ascii="Arial Narrow" w:hAnsi="Arial Narrow"/>
          <w:b/>
        </w:rPr>
        <w:t xml:space="preserve">Nákladovú efektívnosť systému priebežne zlepšuje postupná implementácia opatrení </w:t>
      </w:r>
      <w:r w:rsidRPr="008F72F2">
        <w:rPr>
          <w:rFonts w:ascii="Arial Narrow" w:hAnsi="Arial Narrow"/>
          <w:b/>
          <w:i/>
        </w:rPr>
        <w:t>Hodnoty za peniaze</w:t>
      </w:r>
      <w:r w:rsidRPr="00BF0803">
        <w:rPr>
          <w:rFonts w:ascii="Arial Narrow" w:hAnsi="Arial Narrow"/>
          <w:b/>
        </w:rPr>
        <w:t xml:space="preserve">. </w:t>
      </w:r>
      <w:r>
        <w:rPr>
          <w:rFonts w:ascii="Arial Narrow" w:hAnsi="Arial Narrow"/>
        </w:rPr>
        <w:t>V roku 2016 prebehla prvá r</w:t>
      </w:r>
      <w:r w:rsidRPr="00BF0803">
        <w:rPr>
          <w:rFonts w:ascii="Arial Narrow" w:hAnsi="Arial Narrow"/>
        </w:rPr>
        <w:t>evízia výdavkov na zdravotníctvo, pre jeho dôlež</w:t>
      </w:r>
      <w:r>
        <w:rPr>
          <w:rFonts w:ascii="Arial Narrow" w:hAnsi="Arial Narrow"/>
        </w:rPr>
        <w:t xml:space="preserve">itosť v roku 2018 začalo druhé kolo revízie výdavkov. </w:t>
      </w:r>
      <w:r w:rsidRPr="00BF0803">
        <w:rPr>
          <w:rFonts w:ascii="Arial Narrow" w:hAnsi="Arial Narrow"/>
        </w:rPr>
        <w:t>Obe identifikovali viacero systémových problémov a navrhli ich riešenia. Rezort pri stanovení svojich priorít reaguje na potreby pa</w:t>
      </w:r>
      <w:r>
        <w:rPr>
          <w:rFonts w:ascii="Arial Narrow" w:hAnsi="Arial Narrow"/>
        </w:rPr>
        <w:t>cientov a zohľadňuje aj závery r</w:t>
      </w:r>
      <w:r w:rsidRPr="00BF0803">
        <w:rPr>
          <w:rFonts w:ascii="Arial Narrow" w:hAnsi="Arial Narrow"/>
        </w:rPr>
        <w:t>evízií</w:t>
      </w:r>
      <w:r>
        <w:rPr>
          <w:rFonts w:ascii="Arial Narrow" w:hAnsi="Arial Narrow"/>
        </w:rPr>
        <w:t xml:space="preserve"> výdavkov</w:t>
      </w:r>
      <w:r w:rsidRPr="00BF0803">
        <w:rPr>
          <w:rFonts w:ascii="Arial Narrow" w:hAnsi="Arial Narrow"/>
        </w:rPr>
        <w:t>.</w:t>
      </w:r>
    </w:p>
    <w:p w14:paraId="09EC44D3" w14:textId="18311A0A" w:rsidR="00E53C9B" w:rsidRPr="00BF0803" w:rsidDel="00BD6DBA" w:rsidRDefault="00E53C9B" w:rsidP="00E53C9B">
      <w:pPr>
        <w:spacing w:after="160" w:line="240" w:lineRule="auto"/>
        <w:jc w:val="both"/>
        <w:rPr>
          <w:rFonts w:ascii="Arial Narrow" w:hAnsi="Arial Narrow"/>
          <w:b/>
        </w:rPr>
      </w:pPr>
      <w:r w:rsidRPr="00BF0803">
        <w:rPr>
          <w:rFonts w:ascii="Arial Narrow" w:hAnsi="Arial Narrow"/>
          <w:b/>
        </w:rPr>
        <w:t>Zvyšovanie kvality a dostupnosti zdravotnej starostlivosti pre pacientov sa realizu</w:t>
      </w:r>
      <w:r>
        <w:rPr>
          <w:rFonts w:ascii="Arial Narrow" w:hAnsi="Arial Narrow"/>
          <w:b/>
        </w:rPr>
        <w:t>je pomocou zmien v ambulantnej a</w:t>
      </w:r>
      <w:r w:rsidRPr="00BF0803">
        <w:rPr>
          <w:rFonts w:ascii="Arial Narrow" w:hAnsi="Arial Narrow"/>
          <w:b/>
        </w:rPr>
        <w:t> ústavnej sieti.</w:t>
      </w:r>
      <w:r w:rsidRPr="00BF0803">
        <w:rPr>
          <w:rFonts w:ascii="Arial Narrow" w:hAnsi="Arial Narrow"/>
        </w:rPr>
        <w:t xml:space="preserve"> Prebieha implementácia optimalizácie siete ambulantných pohotovostných služieb a urgentných príjmov, ktorá zefektívni ich využívanie pacientmi, zabezpečí dostupnosť personálu a prístrojového vybavenia. </w:t>
      </w:r>
      <w:r>
        <w:rPr>
          <w:rFonts w:ascii="Arial Narrow" w:hAnsi="Arial Narrow"/>
        </w:rPr>
        <w:t>Optimalizácia siete</w:t>
      </w:r>
      <w:r w:rsidRPr="00BF0803">
        <w:rPr>
          <w:rFonts w:ascii="Arial Narrow" w:hAnsi="Arial Narrow"/>
        </w:rPr>
        <w:t xml:space="preserve"> ústavnej, ambulantnej a </w:t>
      </w:r>
      <w:r>
        <w:rPr>
          <w:rFonts w:ascii="Arial Narrow" w:hAnsi="Arial Narrow"/>
        </w:rPr>
        <w:t>kúpeľnej</w:t>
      </w:r>
      <w:r w:rsidRPr="00BF0803">
        <w:rPr>
          <w:rFonts w:ascii="Arial Narrow" w:hAnsi="Arial Narrow"/>
        </w:rPr>
        <w:t xml:space="preserve"> zdravotnej starostlivosti zvýši kvalitu starostlivosti a zefektívni fungovanie nemocníc.</w:t>
      </w:r>
      <w:r w:rsidRPr="00BF0803">
        <w:rPr>
          <w:rFonts w:ascii="Arial Narrow" w:hAnsi="Arial Narrow"/>
          <w:b/>
        </w:rPr>
        <w:t xml:space="preserve"> </w:t>
      </w:r>
      <w:r w:rsidRPr="00BF0803">
        <w:rPr>
          <w:rFonts w:ascii="Arial Narrow" w:hAnsi="Arial Narrow"/>
        </w:rPr>
        <w:t>V roku 2019 bude pokračovať zverejnením konkrétneho plánu zmien v sieti nemocníc. Úspešnosť projektu ovplyvní aj čakacie lehoty.</w:t>
      </w:r>
      <w:r w:rsidRPr="00BF0803">
        <w:rPr>
          <w:rFonts w:ascii="Arial Narrow" w:hAnsi="Arial Narrow"/>
          <w:b/>
        </w:rPr>
        <w:t xml:space="preserve"> </w:t>
      </w:r>
      <w:r w:rsidRPr="00BF0803" w:rsidDel="00BD6DBA">
        <w:rPr>
          <w:rFonts w:ascii="Arial Narrow" w:hAnsi="Arial Narrow"/>
        </w:rPr>
        <w:t>Aktualizácia zoznamu zdravotných výkonov a nastavenie ich cenovej regulácie ku koncu roka 2019 prispeje k  adekvátnosti financovania poskytovateľov zdravotnej starostlivosti.</w:t>
      </w:r>
    </w:p>
    <w:p w14:paraId="4819023B" w14:textId="2F237980" w:rsidR="00E53C9B" w:rsidRPr="00BF0803" w:rsidRDefault="00E53C9B" w:rsidP="00E53C9B">
      <w:pPr>
        <w:spacing w:after="160" w:line="240" w:lineRule="auto"/>
        <w:jc w:val="both"/>
        <w:rPr>
          <w:rFonts w:ascii="Arial Narrow" w:hAnsi="Arial Narrow"/>
        </w:rPr>
      </w:pPr>
      <w:r w:rsidRPr="00BF0803">
        <w:rPr>
          <w:rFonts w:ascii="Arial Narrow" w:hAnsi="Arial Narrow"/>
          <w:b/>
        </w:rPr>
        <w:t xml:space="preserve">Väčšiu transparentnosť zabezpečuje stanovenie štandardných liečebných postupov a vymedzenie doplatkov pacientov. </w:t>
      </w:r>
      <w:r w:rsidRPr="00BF0803">
        <w:rPr>
          <w:rFonts w:ascii="Arial Narrow" w:hAnsi="Arial Narrow"/>
        </w:rPr>
        <w:t xml:space="preserve">Prvé štandardné diagnostické a liečebné postupy boli schválené a budú sa zavádzať do praxe v priebehu roka 2019, ďalšie budú dopĺňané. </w:t>
      </w:r>
      <w:r>
        <w:rPr>
          <w:rFonts w:ascii="Arial Narrow" w:hAnsi="Arial Narrow"/>
        </w:rPr>
        <w:t xml:space="preserve">Ich skompletizovanie je jedným z predpokladov </w:t>
      </w:r>
      <w:r w:rsidRPr="00BF0803">
        <w:rPr>
          <w:rFonts w:ascii="Arial Narrow" w:hAnsi="Arial Narrow"/>
        </w:rPr>
        <w:t>definovani</w:t>
      </w:r>
      <w:r>
        <w:rPr>
          <w:rFonts w:ascii="Arial Narrow" w:hAnsi="Arial Narrow"/>
        </w:rPr>
        <w:t>a</w:t>
      </w:r>
      <w:r w:rsidRPr="00BF0803">
        <w:rPr>
          <w:rFonts w:ascii="Arial Narrow" w:hAnsi="Arial Narrow"/>
        </w:rPr>
        <w:t xml:space="preserve"> nadštandardnej zdravotnej starostlivosti, ktorá by bola hradená zo súkromného pripoistenia. Platby pacientov zatiaľ sprehľadňuje povolenie objednávania na presný čas za poplatok v doplnkových ordinačných hodinách ambulancií.</w:t>
      </w:r>
      <w:r w:rsidRPr="00BF0803" w:rsidDel="00BD6DBA">
        <w:rPr>
          <w:rFonts w:ascii="Arial Narrow" w:hAnsi="Arial Narrow"/>
        </w:rPr>
        <w:t xml:space="preserve"> </w:t>
      </w:r>
    </w:p>
    <w:p w14:paraId="02777864" w14:textId="456F58CC" w:rsidR="00E53C9B" w:rsidRPr="00BF0803" w:rsidRDefault="00E53C9B" w:rsidP="00E53C9B">
      <w:pPr>
        <w:spacing w:after="160" w:line="240" w:lineRule="auto"/>
        <w:jc w:val="both"/>
        <w:rPr>
          <w:rFonts w:ascii="Arial Narrow" w:hAnsi="Arial Narrow"/>
        </w:rPr>
      </w:pPr>
      <w:r w:rsidRPr="00BF0803">
        <w:rPr>
          <w:rFonts w:ascii="Arial Narrow" w:hAnsi="Arial Narrow"/>
          <w:b/>
        </w:rPr>
        <w:t xml:space="preserve">Dostupnosť </w:t>
      </w:r>
      <w:r>
        <w:rPr>
          <w:rFonts w:ascii="Arial Narrow" w:hAnsi="Arial Narrow"/>
          <w:b/>
        </w:rPr>
        <w:t xml:space="preserve">vybraných </w:t>
      </w:r>
      <w:r w:rsidRPr="00BF0803">
        <w:rPr>
          <w:rFonts w:ascii="Arial Narrow" w:hAnsi="Arial Narrow"/>
          <w:b/>
        </w:rPr>
        <w:t>liekov sa zlepšila</w:t>
      </w:r>
      <w:r w:rsidRPr="00BF0803">
        <w:rPr>
          <w:rFonts w:ascii="Arial Narrow" w:hAnsi="Arial Narrow"/>
        </w:rPr>
        <w:t xml:space="preserve"> vďaka zavedeniu pravidiel na obmedzenie špekulatívneho reexportu liekov v roku 2017 a uvoľneniu pravidiel úhrad </w:t>
      </w:r>
      <w:r w:rsidR="000366B3">
        <w:rPr>
          <w:rFonts w:ascii="Arial Narrow" w:hAnsi="Arial Narrow"/>
        </w:rPr>
        <w:t>inovatívnych liekov v roku 2018</w:t>
      </w:r>
      <w:r>
        <w:rPr>
          <w:rStyle w:val="Odkaznapoznmkupodiarou"/>
          <w:rFonts w:ascii="Arial Narrow" w:hAnsi="Arial Narrow"/>
        </w:rPr>
        <w:footnoteReference w:id="127"/>
      </w:r>
      <w:r w:rsidR="000366B3">
        <w:rPr>
          <w:rFonts w:ascii="Arial Narrow" w:hAnsi="Arial Narrow"/>
        </w:rPr>
        <w:t>.</w:t>
      </w:r>
      <w:r w:rsidRPr="00BF0803">
        <w:rPr>
          <w:rFonts w:ascii="Arial Narrow" w:hAnsi="Arial Narrow"/>
        </w:rPr>
        <w:t xml:space="preserve"> </w:t>
      </w:r>
    </w:p>
    <w:p w14:paraId="3C523778" w14:textId="3E2DEA50" w:rsidR="00E53C9B" w:rsidRPr="00BF0803" w:rsidRDefault="00E53C9B" w:rsidP="00E53C9B">
      <w:pPr>
        <w:spacing w:after="160" w:line="240" w:lineRule="auto"/>
        <w:jc w:val="both"/>
        <w:rPr>
          <w:rFonts w:ascii="Arial Narrow" w:hAnsi="Arial Narrow"/>
        </w:rPr>
      </w:pPr>
      <w:r w:rsidRPr="00BF0803">
        <w:rPr>
          <w:rFonts w:ascii="Arial Narrow" w:hAnsi="Arial Narrow"/>
          <w:b/>
        </w:rPr>
        <w:t xml:space="preserve">Po dlhoročnej príprave nastala implementácia dôležitých reforiem v systéme platieb pre nemocnice a pri evidencii zdravotnej starostlivosti. </w:t>
      </w:r>
      <w:r w:rsidRPr="00BF0803">
        <w:rPr>
          <w:rFonts w:ascii="Arial Narrow" w:hAnsi="Arial Narrow"/>
        </w:rPr>
        <w:t>Zavedenie platieb nemocníc za diagnostickú skupinu (</w:t>
      </w:r>
      <w:r w:rsidRPr="008F72F2">
        <w:rPr>
          <w:rFonts w:ascii="Arial Narrow" w:hAnsi="Arial Narrow"/>
        </w:rPr>
        <w:t>DRG</w:t>
      </w:r>
      <w:r w:rsidRPr="00BF0803">
        <w:rPr>
          <w:rFonts w:ascii="Arial Narrow" w:hAnsi="Arial Narrow"/>
        </w:rPr>
        <w:t>) je zatiaľ v štádiu vykazovania a nastavovania platieb. Obdobie prechodu od pôvodnej platby za výkony k plnej platbe podľa diagnóz začalo v roku 2018 a bude ukončené v roku 2022. Systém elektronického zdravotníctva (</w:t>
      </w:r>
      <w:proofErr w:type="spellStart"/>
      <w:r w:rsidRPr="00BF0803">
        <w:rPr>
          <w:rFonts w:ascii="Arial Narrow" w:hAnsi="Arial Narrow"/>
          <w:i/>
        </w:rPr>
        <w:t>e</w:t>
      </w:r>
      <w:r>
        <w:rPr>
          <w:rFonts w:ascii="Arial Narrow" w:hAnsi="Arial Narrow"/>
          <w:i/>
        </w:rPr>
        <w:t>Zdravie</w:t>
      </w:r>
      <w:proofErr w:type="spellEnd"/>
      <w:r w:rsidRPr="00BF0803">
        <w:rPr>
          <w:rFonts w:ascii="Arial Narrow" w:hAnsi="Arial Narrow"/>
        </w:rPr>
        <w:t>) bol spustený v roku 2018 a</w:t>
      </w:r>
      <w:r>
        <w:rPr>
          <w:rFonts w:ascii="Arial Narrow" w:hAnsi="Arial Narrow"/>
        </w:rPr>
        <w:t> plánuje sa jeho ďalší rozvoj. Z</w:t>
      </w:r>
      <w:r w:rsidRPr="00BF0803">
        <w:rPr>
          <w:rFonts w:ascii="Arial Narrow" w:hAnsi="Arial Narrow"/>
        </w:rPr>
        <w:t>atiaľ sa využívajú moduly na predpisovanie liekov a zápis záznamov o</w:t>
      </w:r>
      <w:r>
        <w:rPr>
          <w:rFonts w:ascii="Arial Narrow" w:hAnsi="Arial Narrow"/>
        </w:rPr>
        <w:t> </w:t>
      </w:r>
      <w:r w:rsidRPr="00BF0803">
        <w:rPr>
          <w:rFonts w:ascii="Arial Narrow" w:hAnsi="Arial Narrow"/>
        </w:rPr>
        <w:t>vyšetreniach</w:t>
      </w:r>
      <w:r>
        <w:rPr>
          <w:rFonts w:ascii="Arial Narrow" w:hAnsi="Arial Narrow"/>
        </w:rPr>
        <w:t>. Dostupný je tiež súhrn zdravotnej dokumentácie k nahliadnutiu pre pacientov a nepovinné elektronické objednávanie.</w:t>
      </w:r>
      <w:r w:rsidRPr="00BF0803">
        <w:rPr>
          <w:rFonts w:ascii="Arial Narrow" w:hAnsi="Arial Narrow"/>
        </w:rPr>
        <w:t xml:space="preserve"> </w:t>
      </w:r>
    </w:p>
    <w:p w14:paraId="3926D7B4" w14:textId="6FC81319" w:rsidR="00E53C9B" w:rsidRPr="00BF0803" w:rsidRDefault="00E53C9B" w:rsidP="00E53C9B">
      <w:pPr>
        <w:spacing w:after="160" w:line="240" w:lineRule="auto"/>
        <w:jc w:val="both"/>
        <w:rPr>
          <w:rFonts w:ascii="Arial Narrow" w:hAnsi="Arial Narrow"/>
        </w:rPr>
      </w:pPr>
      <w:r w:rsidRPr="00BF0803">
        <w:rPr>
          <w:rFonts w:ascii="Arial Narrow" w:hAnsi="Arial Narrow"/>
          <w:b/>
        </w:rPr>
        <w:t xml:space="preserve">Realizuje sa ďalšie oddlženie nemocníc, zlepšovaniu ich finančnej situácie pomáha vzájomné porovnávanie zmlúv pri obstarávaní. </w:t>
      </w:r>
      <w:r w:rsidRPr="00BF0803">
        <w:rPr>
          <w:rFonts w:ascii="Arial Narrow" w:hAnsi="Arial Narrow"/>
        </w:rPr>
        <w:t>K transparentnému riadeniu nemocníc prispieva vzájomné porovnávanie zmlúv na obstarávanie prístrojov, vybavenia, zdravotníckeho materiálu a zabezpečenie prevádzky a služieb,</w:t>
      </w:r>
      <w:r w:rsidRPr="00BF0803">
        <w:rPr>
          <w:rFonts w:ascii="Arial Narrow" w:hAnsi="Arial Narrow"/>
          <w:b/>
        </w:rPr>
        <w:t xml:space="preserve"> </w:t>
      </w:r>
      <w:r w:rsidRPr="00BF0803">
        <w:rPr>
          <w:rFonts w:ascii="Arial Narrow" w:hAnsi="Arial Narrow"/>
        </w:rPr>
        <w:t>ktoré začalo od roku 2016 a priebežne sa rozširuje</w:t>
      </w:r>
      <w:r w:rsidRPr="00BF0803">
        <w:rPr>
          <w:rFonts w:ascii="Arial Narrow" w:hAnsi="Arial Narrow"/>
          <w:b/>
        </w:rPr>
        <w:t>.</w:t>
      </w:r>
      <w:r w:rsidRPr="00353146">
        <w:rPr>
          <w:rFonts w:ascii="Arial Narrow" w:hAnsi="Arial Narrow"/>
        </w:rPr>
        <w:t xml:space="preserve"> </w:t>
      </w:r>
      <w:r w:rsidRPr="00BF0803">
        <w:rPr>
          <w:rFonts w:ascii="Arial Narrow" w:hAnsi="Arial Narrow"/>
        </w:rPr>
        <w:t xml:space="preserve">V rámci oddlženia nemocníc boli </w:t>
      </w:r>
      <w:r w:rsidRPr="00BF0803">
        <w:rPr>
          <w:rFonts w:ascii="Arial Narrow" w:hAnsi="Arial Narrow"/>
        </w:rPr>
        <w:lastRenderedPageBreak/>
        <w:t>v roku 2018 uhradené najstaršie záväzky nemocníc. Úhrada ďalších záväzkov nemocníc v nasledujúcich rokoch je podmienená predložením záväzného ozdravného plánu</w:t>
      </w:r>
      <w:r>
        <w:rPr>
          <w:rFonts w:ascii="Arial Narrow" w:hAnsi="Arial Narrow"/>
        </w:rPr>
        <w:t xml:space="preserve"> a jeho schválenie na úrovni MZ SR</w:t>
      </w:r>
      <w:r w:rsidRPr="00BF0803">
        <w:rPr>
          <w:rFonts w:ascii="Arial Narrow" w:hAnsi="Arial Narrow"/>
        </w:rPr>
        <w:t xml:space="preserve">. </w:t>
      </w:r>
    </w:p>
    <w:p w14:paraId="222DEE75" w14:textId="110D2526" w:rsidR="00E53C9B" w:rsidRPr="00BF0803" w:rsidRDefault="00E53C9B" w:rsidP="00E53C9B">
      <w:pPr>
        <w:spacing w:after="160" w:line="240" w:lineRule="auto"/>
        <w:jc w:val="both"/>
        <w:rPr>
          <w:rFonts w:ascii="Arial Narrow" w:hAnsi="Arial Narrow"/>
          <w:b/>
        </w:rPr>
      </w:pPr>
      <w:r w:rsidRPr="00BF0803">
        <w:rPr>
          <w:rFonts w:ascii="Arial Narrow" w:hAnsi="Arial Narrow"/>
          <w:b/>
        </w:rPr>
        <w:t xml:space="preserve">Úprava kompetencií zdravotníckeho personálu prispieva </w:t>
      </w:r>
      <w:r>
        <w:rPr>
          <w:rFonts w:ascii="Arial Narrow" w:hAnsi="Arial Narrow"/>
          <w:b/>
        </w:rPr>
        <w:t xml:space="preserve">k </w:t>
      </w:r>
      <w:r w:rsidRPr="00BF0803">
        <w:rPr>
          <w:rFonts w:ascii="Arial Narrow" w:hAnsi="Arial Narrow"/>
          <w:b/>
        </w:rPr>
        <w:t xml:space="preserve">zlepšovaniu jeho postavenia i dostupnosti pre pacientov. </w:t>
      </w:r>
      <w:r w:rsidRPr="00BF0803">
        <w:rPr>
          <w:rFonts w:ascii="Arial Narrow" w:hAnsi="Arial Narrow"/>
        </w:rPr>
        <w:t>Zväčšenie rozsahu samostatnej praxe sestier a pôrodných asistentiek od roku 2018 zvyšuje atraktívnosť ich povolania a prispieva k efektívnejšiemu využitiu verejných zdrojov.</w:t>
      </w:r>
      <w:r w:rsidRPr="00BF0803">
        <w:rPr>
          <w:rFonts w:ascii="Arial Narrow" w:hAnsi="Arial Narrow"/>
          <w:b/>
        </w:rPr>
        <w:t xml:space="preserve"> </w:t>
      </w:r>
      <w:r w:rsidRPr="00BF0803">
        <w:rPr>
          <w:rFonts w:ascii="Arial Narrow" w:hAnsi="Arial Narrow"/>
        </w:rPr>
        <w:t>Program rezidentského štúdia</w:t>
      </w:r>
      <w:r>
        <w:rPr>
          <w:rStyle w:val="Odkaznapoznmkupodiarou"/>
          <w:rFonts w:ascii="Arial Narrow" w:hAnsi="Arial Narrow"/>
        </w:rPr>
        <w:footnoteReference w:id="128"/>
      </w:r>
      <w:r w:rsidRPr="00BF0803">
        <w:rPr>
          <w:rFonts w:ascii="Arial Narrow" w:hAnsi="Arial Narrow"/>
        </w:rPr>
        <w:t xml:space="preserve"> má za cieľ prispieť k zlepšeniu dostupnosti ambulantnej starostlivosti v regiónoch a zvyšovaniu vzdelávania zdravotného personálu už od roku 2013. Doteraz bol využívaný v malej miere, v roku 2018 bol rozšírený o ďalšie špecializačné odbory pre lekárov a sestry.</w:t>
      </w:r>
      <w:r w:rsidRPr="00BF0803">
        <w:rPr>
          <w:rFonts w:ascii="Arial Narrow" w:hAnsi="Arial Narrow"/>
          <w:b/>
        </w:rPr>
        <w:t xml:space="preserve"> </w:t>
      </w:r>
    </w:p>
    <w:p w14:paraId="5721BEB7" w14:textId="725EBE06" w:rsidR="00E53C9B" w:rsidRDefault="00E53C9B" w:rsidP="00E53C9B">
      <w:pPr>
        <w:spacing w:after="160" w:line="240" w:lineRule="auto"/>
        <w:jc w:val="both"/>
        <w:rPr>
          <w:rFonts w:ascii="Arial Narrow" w:hAnsi="Arial Narrow"/>
        </w:rPr>
      </w:pPr>
      <w:r w:rsidRPr="00BF0803">
        <w:rPr>
          <w:rFonts w:ascii="Arial Narrow" w:hAnsi="Arial Narrow"/>
          <w:b/>
        </w:rPr>
        <w:t xml:space="preserve">Pripravuje sa výstavba nových resp. rekonštrukcia starých nemocníc. </w:t>
      </w:r>
      <w:r w:rsidRPr="00BF0803">
        <w:rPr>
          <w:rFonts w:ascii="Arial Narrow" w:hAnsi="Arial Narrow"/>
        </w:rPr>
        <w:t xml:space="preserve">V rámci </w:t>
      </w:r>
      <w:r>
        <w:rPr>
          <w:rFonts w:ascii="Arial Narrow" w:hAnsi="Arial Narrow"/>
        </w:rPr>
        <w:t>projektu</w:t>
      </w:r>
      <w:r w:rsidRPr="00BF0803">
        <w:rPr>
          <w:rFonts w:ascii="Arial Narrow" w:hAnsi="Arial Narrow"/>
        </w:rPr>
        <w:t xml:space="preserve"> novej univerzitnej nemocnice Bratislava v súčasnosti prebiehajú verejné obstarávania </w:t>
      </w:r>
      <w:r>
        <w:rPr>
          <w:rFonts w:ascii="Arial Narrow" w:hAnsi="Arial Narrow"/>
        </w:rPr>
        <w:t xml:space="preserve">na búracie práce </w:t>
      </w:r>
      <w:r w:rsidRPr="00BF0803">
        <w:rPr>
          <w:rFonts w:ascii="Arial Narrow" w:hAnsi="Arial Narrow"/>
        </w:rPr>
        <w:t xml:space="preserve">a ich príprava. </w:t>
      </w:r>
      <w:r>
        <w:rPr>
          <w:rFonts w:ascii="Arial Narrow" w:hAnsi="Arial Narrow"/>
        </w:rPr>
        <w:t>Celkové investičné nákl</w:t>
      </w:r>
      <w:r w:rsidR="000366B3">
        <w:rPr>
          <w:rFonts w:ascii="Arial Narrow" w:hAnsi="Arial Narrow"/>
        </w:rPr>
        <w:t>ady majú dosiahnuť 324 mil. eur</w:t>
      </w:r>
      <w:r>
        <w:rPr>
          <w:rStyle w:val="Odkaznapoznmkupodiarou"/>
          <w:rFonts w:ascii="Arial Narrow" w:hAnsi="Arial Narrow"/>
        </w:rPr>
        <w:footnoteReference w:id="129"/>
      </w:r>
      <w:r w:rsidR="000366B3">
        <w:rPr>
          <w:rFonts w:ascii="Arial Narrow" w:hAnsi="Arial Narrow"/>
        </w:rPr>
        <w:t xml:space="preserve">. </w:t>
      </w:r>
      <w:r w:rsidRPr="00BF0803">
        <w:rPr>
          <w:rFonts w:ascii="Arial Narrow" w:hAnsi="Arial Narrow"/>
        </w:rPr>
        <w:t>Vláda schválila komplexnú rekonštrukciu fakultnej nemocnice v Banskej Bystrici</w:t>
      </w:r>
      <w:r>
        <w:rPr>
          <w:rFonts w:ascii="Arial Narrow" w:hAnsi="Arial Narrow"/>
        </w:rPr>
        <w:t xml:space="preserve"> v celkovej hodnote  105 mil. eur</w:t>
      </w:r>
      <w:r w:rsidRPr="00BF0803">
        <w:rPr>
          <w:rFonts w:ascii="Arial Narrow" w:hAnsi="Arial Narrow"/>
        </w:rPr>
        <w:t>, ktorá by mala byť dokončená do roku 2023</w:t>
      </w:r>
      <w:r>
        <w:rPr>
          <w:rStyle w:val="Odkaznapoznmkupodiarou"/>
          <w:rFonts w:ascii="Arial Narrow" w:hAnsi="Arial Narrow"/>
        </w:rPr>
        <w:footnoteReference w:id="130"/>
      </w:r>
      <w:r>
        <w:rPr>
          <w:rFonts w:ascii="Arial Narrow" w:hAnsi="Arial Narrow"/>
        </w:rPr>
        <w:t>. Pripravuje sa</w:t>
      </w:r>
      <w:r w:rsidRPr="00BF0803">
        <w:rPr>
          <w:rFonts w:ascii="Arial Narrow" w:hAnsi="Arial Narrow"/>
        </w:rPr>
        <w:t xml:space="preserve"> projekt novej univerzitnej nemocnice v Martine.</w:t>
      </w:r>
    </w:p>
    <w:p w14:paraId="449E65DF" w14:textId="77777777" w:rsidR="00E53C9B" w:rsidRPr="00EF6D89" w:rsidRDefault="00E53C9B" w:rsidP="00173A8A">
      <w:pPr>
        <w:spacing w:after="0" w:line="240" w:lineRule="auto"/>
        <w:jc w:val="both"/>
        <w:rPr>
          <w:rFonts w:ascii="Arial Narrow" w:hAnsi="Arial Narrow"/>
        </w:rPr>
      </w:pPr>
    </w:p>
    <w:p w14:paraId="0BB6EB5D" w14:textId="77777777" w:rsidR="00E53C9B" w:rsidRPr="00BF0803" w:rsidRDefault="00E53C9B" w:rsidP="00E53C9B">
      <w:pPr>
        <w:pStyle w:val="Odsekzoznamu"/>
        <w:numPr>
          <w:ilvl w:val="0"/>
          <w:numId w:val="64"/>
        </w:numPr>
        <w:spacing w:line="240" w:lineRule="auto"/>
        <w:ind w:left="357" w:hanging="357"/>
        <w:contextualSpacing w:val="0"/>
        <w:jc w:val="both"/>
        <w:rPr>
          <w:rFonts w:ascii="Arial Narrow" w:hAnsi="Arial Narrow"/>
          <w:b/>
        </w:rPr>
      </w:pPr>
      <w:r w:rsidRPr="00BF0803">
        <w:rPr>
          <w:rFonts w:ascii="Arial Narrow" w:hAnsi="Arial Narrow"/>
          <w:b/>
        </w:rPr>
        <w:t>Modernizácia verejnej správy a podnikateľské prostredie</w:t>
      </w:r>
    </w:p>
    <w:p w14:paraId="03700FFA" w14:textId="77777777" w:rsidR="00E53C9B" w:rsidRPr="004529A8" w:rsidRDefault="00E53C9B" w:rsidP="00E53C9B">
      <w:pPr>
        <w:pStyle w:val="Odsekzoznamu"/>
        <w:numPr>
          <w:ilvl w:val="1"/>
          <w:numId w:val="64"/>
        </w:numPr>
        <w:spacing w:line="240" w:lineRule="auto"/>
        <w:jc w:val="both"/>
        <w:rPr>
          <w:rFonts w:ascii="Arial Narrow" w:hAnsi="Arial Narrow" w:cstheme="minorBidi"/>
          <w:b/>
          <w:lang w:eastAsia="en-US"/>
        </w:rPr>
      </w:pPr>
      <w:r>
        <w:rPr>
          <w:rFonts w:ascii="Arial Narrow" w:hAnsi="Arial Narrow" w:cstheme="minorBidi"/>
          <w:b/>
          <w:lang w:eastAsia="en-US"/>
        </w:rPr>
        <w:t>Súdnictvo, boj proti korupcii</w:t>
      </w:r>
    </w:p>
    <w:p w14:paraId="7D219E57" w14:textId="77777777" w:rsidR="00E53C9B" w:rsidRPr="0030665F" w:rsidRDefault="00E53C9B" w:rsidP="00E53C9B">
      <w:pPr>
        <w:spacing w:after="160" w:line="240" w:lineRule="auto"/>
        <w:jc w:val="both"/>
        <w:rPr>
          <w:rFonts w:ascii="Arial Narrow" w:hAnsi="Arial Narrow"/>
          <w:b/>
        </w:rPr>
      </w:pPr>
      <w:r w:rsidRPr="0030665F">
        <w:rPr>
          <w:rFonts w:ascii="Arial Narrow" w:hAnsi="Arial Narrow"/>
          <w:b/>
        </w:rPr>
        <w:t xml:space="preserve">V oblastí súdnictva dochádza ku zlepšeniu a väčšej transparentnosti pri výbere a hodnotení práce sudcov. V nadväznosti na </w:t>
      </w:r>
      <w:r w:rsidRPr="0030665F">
        <w:rPr>
          <w:rFonts w:ascii="Arial Narrow" w:hAnsi="Arial Narrow"/>
          <w:b/>
          <w:i/>
        </w:rPr>
        <w:t>Správu o stave justície</w:t>
      </w:r>
      <w:r w:rsidRPr="0030665F">
        <w:rPr>
          <w:rFonts w:ascii="Arial Narrow" w:hAnsi="Arial Narrow"/>
          <w:b/>
        </w:rPr>
        <w:t xml:space="preserve"> sa</w:t>
      </w:r>
      <w:r>
        <w:rPr>
          <w:rFonts w:ascii="Arial Narrow" w:hAnsi="Arial Narrow"/>
          <w:b/>
        </w:rPr>
        <w:t xml:space="preserve"> pripravujú opatrenia na zvýšenie efektivity a účinnosti</w:t>
      </w:r>
      <w:r w:rsidRPr="0030665F">
        <w:rPr>
          <w:rFonts w:ascii="Arial Narrow" w:hAnsi="Arial Narrow"/>
          <w:b/>
        </w:rPr>
        <w:t xml:space="preserve"> slovenského súdnictva </w:t>
      </w:r>
      <w:r w:rsidRPr="0030665F">
        <w:rPr>
          <w:rFonts w:ascii="Arial Narrow" w:hAnsi="Arial Narrow"/>
        </w:rPr>
        <w:t xml:space="preserve">V roku 2017 bol prijatý zákon o sudcoch a prísediacich, ktorý  rieši tri základné okruhy problematiky – výberové konania na funkciu sudcu, hodnotenie sudcov a disciplinárnu zodpovednosť sudcov. Zaviedlo sa napríklad hromadné výberové konanie pri obsadzovaní voľných miest sudcov na okresných súdoch, boli zriadené hodnotiace komisie, ktoré budú vykonávať hodnotenie sudcov a súčasne sa zavádza zverejňovanie hodnotení sudcov. </w:t>
      </w:r>
      <w:r w:rsidRPr="0062680A">
        <w:rPr>
          <w:rFonts w:ascii="Arial Narrow" w:hAnsi="Arial Narrow"/>
          <w:i/>
        </w:rPr>
        <w:t>Akčný plán implementácie nových opatrení</w:t>
      </w:r>
      <w:r w:rsidRPr="0030665F">
        <w:rPr>
          <w:rFonts w:ascii="Arial Narrow" w:hAnsi="Arial Narrow"/>
        </w:rPr>
        <w:t xml:space="preserve"> </w:t>
      </w:r>
      <w:r>
        <w:rPr>
          <w:rFonts w:ascii="Arial Narrow" w:hAnsi="Arial Narrow"/>
        </w:rPr>
        <w:t>pre</w:t>
      </w:r>
      <w:r w:rsidRPr="0030665F">
        <w:rPr>
          <w:rFonts w:ascii="Arial Narrow" w:hAnsi="Arial Narrow"/>
        </w:rPr>
        <w:t xml:space="preserve"> súdy bol spracovaný na základe správy CEPEJ v septembri 2018, kedy bol aj predložený ako jeden z výstupov projektu </w:t>
      </w:r>
      <w:r w:rsidRPr="0062680A">
        <w:rPr>
          <w:rFonts w:ascii="Arial Narrow" w:hAnsi="Arial Narrow"/>
          <w:i/>
        </w:rPr>
        <w:t>AUDIT</w:t>
      </w:r>
      <w:r w:rsidRPr="0030665F">
        <w:rPr>
          <w:rFonts w:ascii="Arial Narrow" w:hAnsi="Arial Narrow"/>
        </w:rPr>
        <w:t xml:space="preserve"> na Riadiaci orgán (MV SR). Akčný plán vychádza zo siedmych prioritných tém, na ktoré sa rezort spravodlivosti zameral a rieši aktuálny stav rozpracovaných tém a predpokladaný ďalší postup s časovým harmonogramom (medzi kľúčové témy patrí napr. vypracovanie súdnej mapy a návrhu špecializácie súdov a sudcov či riešenie starých exekúcií).</w:t>
      </w:r>
    </w:p>
    <w:p w14:paraId="0DC47C79" w14:textId="77777777" w:rsidR="00E53C9B" w:rsidRPr="0030665F" w:rsidRDefault="00E53C9B" w:rsidP="00E53C9B">
      <w:pPr>
        <w:spacing w:after="160" w:line="240" w:lineRule="auto"/>
        <w:jc w:val="both"/>
        <w:rPr>
          <w:rFonts w:ascii="Arial Narrow" w:hAnsi="Arial Narrow"/>
        </w:rPr>
      </w:pPr>
      <w:r w:rsidRPr="0030665F">
        <w:rPr>
          <w:rFonts w:ascii="Arial Narrow" w:hAnsi="Arial Narrow"/>
          <w:b/>
        </w:rPr>
        <w:t>Pripravila sa nová legislatíva na efektívnejšiu vymožiteľnosť pohľadávok.</w:t>
      </w:r>
      <w:r>
        <w:rPr>
          <w:rFonts w:ascii="Arial Narrow" w:hAnsi="Arial Narrow"/>
        </w:rPr>
        <w:t xml:space="preserve"> </w:t>
      </w:r>
      <w:r w:rsidRPr="0030665F">
        <w:rPr>
          <w:rFonts w:ascii="Arial Narrow" w:hAnsi="Arial Narrow"/>
        </w:rPr>
        <w:t xml:space="preserve">V rámci opatrení na zlepšenie vymáhateľnosti práva sa od apríla 2017 zaviedla nová právna úprava exekučných konaní, náhodný výber exekútora za účelom posilnenia jeho nezávislosti v exekučnom konaní či paušálne odmeňovanie exekútorov. Prijatý zákon o </w:t>
      </w:r>
      <w:proofErr w:type="spellStart"/>
      <w:r w:rsidRPr="0030665F">
        <w:rPr>
          <w:rFonts w:ascii="Arial Narrow" w:hAnsi="Arial Narrow"/>
        </w:rPr>
        <w:t>upomínacom</w:t>
      </w:r>
      <w:proofErr w:type="spellEnd"/>
      <w:r w:rsidRPr="0030665F">
        <w:rPr>
          <w:rFonts w:ascii="Arial Narrow" w:hAnsi="Arial Narrow"/>
        </w:rPr>
        <w:t xml:space="preserve"> konaní má za cieľ zrýchliť a zefektívniť proces vymoženia pohľadávok a výrazne tak skrátiť lehotu, v ktorej podnikateľ dostane svoje peniaze. Prijaté boli tiež zmeny v oblasti osobných bankrotov a zaviedla sa povinná ele</w:t>
      </w:r>
      <w:r>
        <w:rPr>
          <w:rFonts w:ascii="Arial Narrow" w:hAnsi="Arial Narrow"/>
        </w:rPr>
        <w:t xml:space="preserve">ktronická komunikácia so súdom. </w:t>
      </w:r>
      <w:r w:rsidRPr="0030665F">
        <w:rPr>
          <w:rFonts w:ascii="Arial Narrow" w:hAnsi="Arial Narrow"/>
        </w:rPr>
        <w:t xml:space="preserve">V roku 2018 schválila vláda </w:t>
      </w:r>
      <w:r w:rsidRPr="0062680A">
        <w:rPr>
          <w:rFonts w:ascii="Arial Narrow" w:hAnsi="Arial Narrow"/>
          <w:i/>
        </w:rPr>
        <w:t>Návrh opatrení na zlepšenie fungovania obchodného registra</w:t>
      </w:r>
      <w:r w:rsidRPr="0030665F">
        <w:rPr>
          <w:rFonts w:ascii="Arial Narrow" w:hAnsi="Arial Narrow"/>
        </w:rPr>
        <w:t>, na ktorých implementácii sa aktuálne pracuje.  Novela obchodného zákonníka, účinná od januára 2018, rieši nečestné praktiky pri likvidáciách a fúziách obchodných spoločností a družstiev. Nová právna úprava napríklad zav</w:t>
      </w:r>
      <w:r>
        <w:rPr>
          <w:rFonts w:ascii="Arial Narrow" w:hAnsi="Arial Narrow"/>
        </w:rPr>
        <w:t>iedla</w:t>
      </w:r>
      <w:r w:rsidRPr="0030665F">
        <w:rPr>
          <w:rFonts w:ascii="Arial Narrow" w:hAnsi="Arial Narrow"/>
        </w:rPr>
        <w:t xml:space="preserve"> účinné nástroje proti tzv. „bielym koňom“, povoľuje fúzie obchodných spoločností, iba ak sa výsledkom zlúčenia nedostanú do úpadku. </w:t>
      </w:r>
    </w:p>
    <w:p w14:paraId="45E7F404" w14:textId="77777777" w:rsidR="00E53C9B" w:rsidRPr="0030665F" w:rsidRDefault="00E53C9B" w:rsidP="00E53C9B">
      <w:pPr>
        <w:spacing w:after="160" w:line="240" w:lineRule="auto"/>
        <w:jc w:val="both"/>
        <w:rPr>
          <w:rFonts w:ascii="Arial Narrow" w:hAnsi="Arial Narrow"/>
        </w:rPr>
      </w:pPr>
      <w:r w:rsidRPr="0030665F">
        <w:rPr>
          <w:rFonts w:ascii="Arial Narrow" w:hAnsi="Arial Narrow"/>
          <w:b/>
        </w:rPr>
        <w:t>Zjednodušuje sa proces osobných bankrotov a zvyšuje sa ochrana dlžníkov a malých veriteľov pri konkurzoch a reštrukturalizáciách.</w:t>
      </w:r>
      <w:r w:rsidRPr="0030665F">
        <w:rPr>
          <w:rFonts w:ascii="Arial Narrow" w:hAnsi="Arial Narrow"/>
        </w:rPr>
        <w:t xml:space="preserve"> V marci 2017 bola prijatá nová legislatíva pre konkurzy fyzických osôb, ktorá zvyšuje dostupnosť nástroja na vymanenie sa z dlhovej pasce aj pre fyzické osoby bez príjmu a majetku, vrátane ochrany pred úplnou stratou bývania. Dlžníkom je navyše poskytovaná právna pomoc Centra právnej pomoci, ktoré bolo kapacitne posilnené. V prípade právnických osôb majú zmeny v tzv. veľkej reštrukturalizácii zabrániť špekulatívnym reštrukturalizáciám a posilniť postavenia malých nezabezpečených </w:t>
      </w:r>
      <w:r w:rsidRPr="0030665F">
        <w:rPr>
          <w:rFonts w:ascii="Arial Narrow" w:hAnsi="Arial Narrow"/>
        </w:rPr>
        <w:lastRenderedPageBreak/>
        <w:t>veriteľov. Pri reštrukturalizácii podniku musia byť jeho veritelia uspokojení na minimálne 50 % z každej pohľadávky.</w:t>
      </w:r>
    </w:p>
    <w:p w14:paraId="6E8910EC" w14:textId="432B40DA" w:rsidR="00E53C9B" w:rsidRPr="0030665F" w:rsidRDefault="00E53C9B" w:rsidP="00E53C9B">
      <w:pPr>
        <w:spacing w:after="160" w:line="240" w:lineRule="auto"/>
        <w:jc w:val="both"/>
        <w:rPr>
          <w:rFonts w:ascii="Arial Narrow" w:hAnsi="Arial Narrow"/>
        </w:rPr>
      </w:pPr>
      <w:r>
        <w:rPr>
          <w:rFonts w:ascii="Arial Narrow" w:hAnsi="Arial Narrow"/>
          <w:b/>
        </w:rPr>
        <w:t>P</w:t>
      </w:r>
      <w:r w:rsidRPr="0030665F">
        <w:rPr>
          <w:rFonts w:ascii="Arial Narrow" w:hAnsi="Arial Narrow"/>
          <w:b/>
        </w:rPr>
        <w:t>osil</w:t>
      </w:r>
      <w:r>
        <w:rPr>
          <w:rFonts w:ascii="Arial Narrow" w:hAnsi="Arial Narrow"/>
          <w:b/>
        </w:rPr>
        <w:t>ň</w:t>
      </w:r>
      <w:r w:rsidRPr="0030665F">
        <w:rPr>
          <w:rFonts w:ascii="Arial Narrow" w:hAnsi="Arial Narrow"/>
          <w:b/>
        </w:rPr>
        <w:t xml:space="preserve">uje sa boj proti korupcii vznikom špecializovaného úradu na ochranu oznamovateľov korupcie. </w:t>
      </w:r>
      <w:r w:rsidRPr="0030665F">
        <w:rPr>
          <w:rFonts w:ascii="Arial Narrow" w:hAnsi="Arial Narrow"/>
        </w:rPr>
        <w:t>Od marca 2019 vstupuje do účinnosti nová právna úprava ochrany oznamovateľov korupcie (</w:t>
      </w:r>
      <w:proofErr w:type="spellStart"/>
      <w:r w:rsidRPr="0030665F">
        <w:rPr>
          <w:rFonts w:ascii="Arial Narrow" w:hAnsi="Arial Narrow"/>
          <w:i/>
        </w:rPr>
        <w:t>whistleblowe</w:t>
      </w:r>
      <w:r w:rsidRPr="0030665F">
        <w:rPr>
          <w:rFonts w:ascii="Arial Narrow" w:hAnsi="Arial Narrow"/>
        </w:rPr>
        <w:t>r</w:t>
      </w:r>
      <w:proofErr w:type="spellEnd"/>
      <w:r w:rsidRPr="0030665F">
        <w:rPr>
          <w:rFonts w:ascii="Arial Narrow" w:hAnsi="Arial Narrow"/>
        </w:rPr>
        <w:t xml:space="preserve">). Vzniká nový Úrad na ochranu oznamovateľov korupcie, ktorý má za úlohu spolupracovať a právne pomáhať </w:t>
      </w:r>
      <w:proofErr w:type="spellStart"/>
      <w:r w:rsidRPr="0030665F">
        <w:rPr>
          <w:rFonts w:ascii="Arial Narrow" w:hAnsi="Arial Narrow"/>
          <w:i/>
        </w:rPr>
        <w:t>whistleblowerom</w:t>
      </w:r>
      <w:proofErr w:type="spellEnd"/>
      <w:r w:rsidRPr="0030665F">
        <w:rPr>
          <w:rFonts w:ascii="Arial Narrow" w:hAnsi="Arial Narrow"/>
        </w:rPr>
        <w:t xml:space="preserve">. Jeho úlohou bude poskytovať ochranu oznamovateľom, kontrolovať dodržiavanie navrhovaného zákona, poskytovať odborné stanoviská a poradenstvo k aplikácii návrhu zákona, robiť osvetu v oblasti poskytovania ochrany tzv. </w:t>
      </w:r>
      <w:proofErr w:type="spellStart"/>
      <w:r w:rsidRPr="0030665F">
        <w:rPr>
          <w:rFonts w:ascii="Arial Narrow" w:hAnsi="Arial Narrow"/>
          <w:i/>
        </w:rPr>
        <w:t>whistleblowerom</w:t>
      </w:r>
      <w:proofErr w:type="spellEnd"/>
      <w:r>
        <w:rPr>
          <w:rFonts w:ascii="Arial Narrow" w:hAnsi="Arial Narrow"/>
        </w:rPr>
        <w:t xml:space="preserve"> a</w:t>
      </w:r>
      <w:r w:rsidRPr="0030665F">
        <w:rPr>
          <w:rFonts w:ascii="Arial Narrow" w:hAnsi="Arial Narrow"/>
        </w:rPr>
        <w:t xml:space="preserve"> poskytovať odmenu oznamovateľom.</w:t>
      </w:r>
      <w:r>
        <w:rPr>
          <w:rFonts w:ascii="Arial Narrow" w:hAnsi="Arial Narrow"/>
        </w:rPr>
        <w:t xml:space="preserve"> </w:t>
      </w:r>
      <w:r w:rsidRPr="0030665F">
        <w:rPr>
          <w:rFonts w:ascii="Arial Narrow" w:hAnsi="Arial Narrow"/>
        </w:rPr>
        <w:t xml:space="preserve">Od roku 2017 sa tiež implementuje spoločný projekt s OECD týkajúci sa protikorupčných opatrení a tvorby stratégií na riadenie rizík spojených s podvodmi a korupciou.  </w:t>
      </w:r>
      <w:r>
        <w:rPr>
          <w:rFonts w:ascii="Arial Narrow" w:hAnsi="Arial Narrow"/>
        </w:rPr>
        <w:t>H</w:t>
      </w:r>
      <w:r w:rsidRPr="0030665F">
        <w:rPr>
          <w:rFonts w:ascii="Arial Narrow" w:hAnsi="Arial Narrow"/>
        </w:rPr>
        <w:t>lavným výstupom projektu bude akčný plán na zlepšenie využívania metodík a nástrojov na identifikáciu a hodnotenie rizík</w:t>
      </w:r>
      <w:r>
        <w:rPr>
          <w:rFonts w:ascii="Arial Narrow" w:hAnsi="Arial Narrow"/>
        </w:rPr>
        <w:t>, ktorý sa pripraví do konca roku 2019</w:t>
      </w:r>
      <w:r w:rsidRPr="0030665F">
        <w:rPr>
          <w:rFonts w:ascii="Arial Narrow" w:hAnsi="Arial Narrow"/>
        </w:rPr>
        <w:t>.</w:t>
      </w:r>
      <w:r>
        <w:rPr>
          <w:rFonts w:ascii="Arial Narrow" w:hAnsi="Arial Narrow"/>
        </w:rPr>
        <w:t xml:space="preserve"> </w:t>
      </w:r>
      <w:r w:rsidRPr="0030665F">
        <w:rPr>
          <w:rFonts w:ascii="Arial Narrow" w:hAnsi="Arial Narrow"/>
        </w:rPr>
        <w:t xml:space="preserve">V roku 2016 bol prijatý tzv. </w:t>
      </w:r>
      <w:proofErr w:type="spellStart"/>
      <w:r w:rsidRPr="0030665F">
        <w:rPr>
          <w:rFonts w:ascii="Arial Narrow" w:hAnsi="Arial Narrow"/>
        </w:rPr>
        <w:t>protischránkový</w:t>
      </w:r>
      <w:proofErr w:type="spellEnd"/>
      <w:r w:rsidRPr="0030665F">
        <w:rPr>
          <w:rFonts w:ascii="Arial Narrow" w:hAnsi="Arial Narrow"/>
        </w:rPr>
        <w:t xml:space="preserve"> zákon, ktorý zaviedol register partnerov verejného sektora a  povinnosť pre firmy zverejniť vlastnícku štruktúru až na úroveň konečného užívateľa výhod. </w:t>
      </w:r>
    </w:p>
    <w:p w14:paraId="1B5B14EA" w14:textId="6C9D7932" w:rsidR="00E53C9B" w:rsidRDefault="00E53C9B" w:rsidP="00E53C9B">
      <w:pPr>
        <w:spacing w:after="120" w:line="240" w:lineRule="auto"/>
        <w:jc w:val="both"/>
        <w:rPr>
          <w:rFonts w:ascii="Arial Narrow" w:hAnsi="Arial Narrow"/>
          <w:b/>
        </w:rPr>
      </w:pPr>
      <w:r>
        <w:rPr>
          <w:rFonts w:ascii="Arial Narrow" w:hAnsi="Arial Narrow"/>
          <w:b/>
        </w:rPr>
        <w:t>Ú</w:t>
      </w:r>
      <w:r w:rsidRPr="0030665F">
        <w:rPr>
          <w:rFonts w:ascii="Arial Narrow" w:hAnsi="Arial Narrow"/>
          <w:b/>
        </w:rPr>
        <w:t>činnejšie vyšetrovanie trestných činov extrémizmu a rasovo motivovaných trestných činov</w:t>
      </w:r>
      <w:r>
        <w:rPr>
          <w:rFonts w:ascii="Arial Narrow" w:hAnsi="Arial Narrow"/>
          <w:b/>
        </w:rPr>
        <w:t xml:space="preserve"> </w:t>
      </w:r>
      <w:r w:rsidRPr="0062680A">
        <w:rPr>
          <w:rFonts w:ascii="Arial Narrow" w:hAnsi="Arial Narrow"/>
        </w:rPr>
        <w:t>bol</w:t>
      </w:r>
      <w:r>
        <w:rPr>
          <w:rFonts w:ascii="Arial Narrow" w:hAnsi="Arial Narrow"/>
        </w:rPr>
        <w:t>o</w:t>
      </w:r>
      <w:r w:rsidRPr="0062680A">
        <w:rPr>
          <w:rFonts w:ascii="Arial Narrow" w:hAnsi="Arial Narrow"/>
        </w:rPr>
        <w:t xml:space="preserve"> podporené </w:t>
      </w:r>
      <w:r w:rsidRPr="0030665F">
        <w:rPr>
          <w:rFonts w:ascii="Arial Narrow" w:hAnsi="Arial Narrow"/>
        </w:rPr>
        <w:t>novel</w:t>
      </w:r>
      <w:r>
        <w:rPr>
          <w:rFonts w:ascii="Arial Narrow" w:hAnsi="Arial Narrow"/>
        </w:rPr>
        <w:t>ou</w:t>
      </w:r>
      <w:r w:rsidRPr="0030665F">
        <w:rPr>
          <w:rFonts w:ascii="Arial Narrow" w:hAnsi="Arial Narrow"/>
        </w:rPr>
        <w:t xml:space="preserve"> trestných kódexov </w:t>
      </w:r>
      <w:r w:rsidR="0012282F">
        <w:rPr>
          <w:rFonts w:ascii="Arial Narrow" w:hAnsi="Arial Narrow"/>
        </w:rPr>
        <w:t xml:space="preserve">účinnou </w:t>
      </w:r>
      <w:r>
        <w:rPr>
          <w:rFonts w:ascii="Arial Narrow" w:hAnsi="Arial Narrow"/>
        </w:rPr>
        <w:t>o</w:t>
      </w:r>
      <w:r w:rsidRPr="0030665F">
        <w:rPr>
          <w:rFonts w:ascii="Arial Narrow" w:hAnsi="Arial Narrow"/>
        </w:rPr>
        <w:t>d  januára 2017</w:t>
      </w:r>
      <w:r w:rsidRPr="0030665F">
        <w:rPr>
          <w:rFonts w:ascii="Arial Narrow" w:hAnsi="Arial Narrow"/>
          <w:b/>
        </w:rPr>
        <w:t>.</w:t>
      </w:r>
    </w:p>
    <w:p w14:paraId="378A86B4" w14:textId="77777777" w:rsidR="00E53C9B" w:rsidRPr="00825CA6" w:rsidRDefault="00E53C9B" w:rsidP="00E53C9B">
      <w:pPr>
        <w:pStyle w:val="Odsekzoznamu"/>
        <w:numPr>
          <w:ilvl w:val="1"/>
          <w:numId w:val="64"/>
        </w:numPr>
        <w:spacing w:line="240" w:lineRule="auto"/>
        <w:jc w:val="both"/>
        <w:rPr>
          <w:rFonts w:ascii="Arial Narrow" w:hAnsi="Arial Narrow"/>
        </w:rPr>
      </w:pPr>
      <w:r w:rsidRPr="00825CA6">
        <w:rPr>
          <w:rFonts w:ascii="Arial Narrow" w:hAnsi="Arial Narrow" w:cstheme="minorBidi"/>
          <w:b/>
          <w:lang w:eastAsia="en-US"/>
        </w:rPr>
        <w:t>P</w:t>
      </w:r>
      <w:r w:rsidRPr="00825CA6">
        <w:rPr>
          <w:rFonts w:ascii="Arial Narrow" w:hAnsi="Arial Narrow"/>
          <w:b/>
        </w:rPr>
        <w:t>odnikateľské prostredie, výber daní a cla</w:t>
      </w:r>
    </w:p>
    <w:p w14:paraId="585E6774" w14:textId="703F69C6" w:rsidR="00E53C9B" w:rsidRPr="0030665F" w:rsidRDefault="00E53C9B" w:rsidP="00E53C9B">
      <w:pPr>
        <w:spacing w:after="160" w:line="240" w:lineRule="auto"/>
        <w:jc w:val="both"/>
        <w:rPr>
          <w:rFonts w:ascii="Arial Narrow" w:hAnsi="Arial Narrow"/>
        </w:rPr>
      </w:pPr>
      <w:r w:rsidRPr="0030665F">
        <w:rPr>
          <w:rFonts w:ascii="Arial Narrow" w:hAnsi="Arial Narrow"/>
          <w:b/>
        </w:rPr>
        <w:t xml:space="preserve">Na zlepšenie podnikateľského prostredia boli prijaté viaceré kľúčové dokumenty s konkrétnymi návrhmi opatrení na </w:t>
      </w:r>
      <w:r>
        <w:rPr>
          <w:rFonts w:ascii="Arial Narrow" w:hAnsi="Arial Narrow"/>
          <w:b/>
        </w:rPr>
        <w:t>zníženie</w:t>
      </w:r>
      <w:r w:rsidRPr="0030665F">
        <w:rPr>
          <w:rFonts w:ascii="Arial Narrow" w:hAnsi="Arial Narrow"/>
          <w:b/>
        </w:rPr>
        <w:t xml:space="preserve"> regulácie a</w:t>
      </w:r>
      <w:r>
        <w:rPr>
          <w:rFonts w:ascii="Arial Narrow" w:hAnsi="Arial Narrow"/>
          <w:b/>
        </w:rPr>
        <w:t xml:space="preserve"> podporu </w:t>
      </w:r>
      <w:r w:rsidRPr="0030665F">
        <w:rPr>
          <w:rFonts w:ascii="Arial Narrow" w:hAnsi="Arial Narrow"/>
          <w:b/>
        </w:rPr>
        <w:t>rozvoja slovenského hospodárstva.</w:t>
      </w:r>
      <w:r w:rsidRPr="0030665F">
        <w:rPr>
          <w:rFonts w:ascii="Arial Narrow" w:hAnsi="Arial Narrow"/>
        </w:rPr>
        <w:t xml:space="preserve"> Začiatkom roka 2018 vláda prijala </w:t>
      </w:r>
      <w:r w:rsidRPr="0030665F">
        <w:rPr>
          <w:rFonts w:ascii="Arial Narrow" w:hAnsi="Arial Narrow"/>
          <w:i/>
        </w:rPr>
        <w:t>Stratégiu lepšej regulácie - RIA 2020</w:t>
      </w:r>
      <w:r w:rsidRPr="0030665F">
        <w:rPr>
          <w:rFonts w:ascii="Arial Narrow" w:hAnsi="Arial Narrow"/>
        </w:rPr>
        <w:t xml:space="preserve">. Ide o strategický dokument, ktorý obsahuje sériu nástrojov na zvyšovanie kvality zákonov a odbúranie nadbytočnej regulácie nielen pre podnikateľov, ale aj všetkých občanov. Cieľom je dbať na dôsledné posudzovanie vplyvu zákonov na podnikateľov a vytvárať tlak na znižovanie priamych nákladov vyvolaných legislatívou. V roku 2018 bol schválený aj </w:t>
      </w:r>
      <w:r w:rsidRPr="0030665F">
        <w:rPr>
          <w:rFonts w:ascii="Arial Narrow" w:hAnsi="Arial Narrow"/>
          <w:i/>
        </w:rPr>
        <w:t>Akčný plán inteligentného priemyslu SR</w:t>
      </w:r>
      <w:r w:rsidRPr="0030665F">
        <w:rPr>
          <w:rFonts w:ascii="Arial Narrow" w:hAnsi="Arial Narrow"/>
        </w:rPr>
        <w:t xml:space="preserve">, ktorý obsahuje 35 opatrení, zameraných na rozvoj inteligentného priemyslu. Opatrenia by sa mali dotknúť takmer 24 tisíc podnikov pôsobiacich na Slovensku. Ďalej bola schválená </w:t>
      </w:r>
      <w:r w:rsidRPr="0030665F">
        <w:rPr>
          <w:rFonts w:ascii="Arial Narrow" w:hAnsi="Arial Narrow"/>
          <w:i/>
        </w:rPr>
        <w:t>Stratégia hospodárskej politiky SR do roku 2030</w:t>
      </w:r>
      <w:r w:rsidRPr="0030665F">
        <w:rPr>
          <w:rFonts w:ascii="Arial Narrow" w:hAnsi="Arial Narrow"/>
        </w:rPr>
        <w:t xml:space="preserve">, ktorej hlavným cieľom je postupné približovanie sa k znalostným ekonomikám v rámci EÚ. Stratégia identifikuje kľúčové opatrenia, ktoré povedú ku zvýšeniu konkurencieschopnosti Slovenska a k udržateľnému hospodárskemu rastu. Opatrenia v stratégii sa zameriavajú najmä na rozvoj ľudského kapitálu, podporu výskumu a inovácií a prechod na energeticky efektívne a udržateľné hospodárstvo.  </w:t>
      </w:r>
    </w:p>
    <w:p w14:paraId="38B3B298" w14:textId="0C03FF9D" w:rsidR="00E53C9B" w:rsidRPr="0030665F" w:rsidRDefault="00E53C9B" w:rsidP="00E53C9B">
      <w:pPr>
        <w:spacing w:after="160" w:line="240" w:lineRule="auto"/>
        <w:jc w:val="both"/>
        <w:rPr>
          <w:rFonts w:ascii="Arial Narrow" w:hAnsi="Arial Narrow"/>
        </w:rPr>
      </w:pPr>
      <w:r>
        <w:rPr>
          <w:rFonts w:ascii="Arial Narrow" w:hAnsi="Arial Narrow"/>
          <w:b/>
        </w:rPr>
        <w:t xml:space="preserve">Pripravila sa séria </w:t>
      </w:r>
      <w:proofErr w:type="spellStart"/>
      <w:r>
        <w:rPr>
          <w:rFonts w:ascii="Arial Narrow" w:hAnsi="Arial Narrow"/>
          <w:b/>
        </w:rPr>
        <w:t>antibyrokratických</w:t>
      </w:r>
      <w:proofErr w:type="spellEnd"/>
      <w:r>
        <w:rPr>
          <w:rFonts w:ascii="Arial Narrow" w:hAnsi="Arial Narrow"/>
          <w:b/>
        </w:rPr>
        <w:t xml:space="preserve"> balíčkov, ktorých cieľom je </w:t>
      </w:r>
      <w:r w:rsidRPr="0030665F">
        <w:rPr>
          <w:rFonts w:ascii="Arial Narrow" w:hAnsi="Arial Narrow"/>
          <w:b/>
        </w:rPr>
        <w:t>zníž</w:t>
      </w:r>
      <w:r>
        <w:rPr>
          <w:rFonts w:ascii="Arial Narrow" w:hAnsi="Arial Narrow"/>
          <w:b/>
        </w:rPr>
        <w:t xml:space="preserve">iť </w:t>
      </w:r>
      <w:r w:rsidRPr="0030665F">
        <w:rPr>
          <w:rFonts w:ascii="Arial Narrow" w:hAnsi="Arial Narrow"/>
          <w:b/>
        </w:rPr>
        <w:t>administratívn</w:t>
      </w:r>
      <w:r>
        <w:rPr>
          <w:rFonts w:ascii="Arial Narrow" w:hAnsi="Arial Narrow"/>
          <w:b/>
        </w:rPr>
        <w:t>u</w:t>
      </w:r>
      <w:r w:rsidRPr="0030665F">
        <w:rPr>
          <w:rFonts w:ascii="Arial Narrow" w:hAnsi="Arial Narrow"/>
          <w:b/>
        </w:rPr>
        <w:t xml:space="preserve"> </w:t>
      </w:r>
      <w:r w:rsidR="00407378">
        <w:rPr>
          <w:rFonts w:ascii="Arial Narrow" w:hAnsi="Arial Narrow"/>
          <w:b/>
        </w:rPr>
        <w:t xml:space="preserve">a regulačnú </w:t>
      </w:r>
      <w:r w:rsidRPr="0030665F">
        <w:rPr>
          <w:rFonts w:ascii="Arial Narrow" w:hAnsi="Arial Narrow"/>
          <w:b/>
        </w:rPr>
        <w:t>záťaž podnikateľov.</w:t>
      </w:r>
      <w:r w:rsidRPr="0030665F">
        <w:rPr>
          <w:rFonts w:ascii="Arial Narrow" w:hAnsi="Arial Narrow"/>
        </w:rPr>
        <w:t xml:space="preserve"> Vláda SR od roka 2017 schválila </w:t>
      </w:r>
      <w:r>
        <w:rPr>
          <w:rFonts w:ascii="Arial Narrow" w:hAnsi="Arial Narrow"/>
        </w:rPr>
        <w:t>tri</w:t>
      </w:r>
      <w:r w:rsidRPr="0030665F">
        <w:rPr>
          <w:rFonts w:ascii="Arial Narrow" w:hAnsi="Arial Narrow"/>
        </w:rPr>
        <w:t xml:space="preserve"> </w:t>
      </w:r>
      <w:proofErr w:type="spellStart"/>
      <w:r w:rsidRPr="0030665F">
        <w:rPr>
          <w:rFonts w:ascii="Arial Narrow" w:hAnsi="Arial Narrow"/>
        </w:rPr>
        <w:t>antibyrokratické</w:t>
      </w:r>
      <w:proofErr w:type="spellEnd"/>
      <w:r w:rsidRPr="0030665F">
        <w:rPr>
          <w:rFonts w:ascii="Arial Narrow" w:hAnsi="Arial Narrow"/>
        </w:rPr>
        <w:t xml:space="preserve"> podnikateľské balíčky. Obsahom balíčkov je takmer 100 opatrení, ktorých hlavným cieľom je znížiť administratívnu a regulačnú záťaž a tým zlepšovať podnikateľské prostredie na Slovensku. Prvý balíček schválený v lete 2017  obsahoval opatrenia zamerané napríklad na optimalizáciu pracovnej zdravotnej služby, zníženie administratívnych nákladov, zjednodušenie povinností podnikateľov voči Sociálnej poisťovni, či zefektívnenie procesu udeľovania stavebných povolení. Súčasťou druhého balíčka schváleného v máji 2018 bolo aj vypracovanie analýzy efektivity daňovej zábezpeky na DPH, ktorá viedla k vypusteniu povinnosti skladať zábezpeku na daň pri registrácii za platiteľa DPH. Vo februári 2019 vláda schválila </w:t>
      </w:r>
      <w:r>
        <w:rPr>
          <w:rFonts w:ascii="Arial Narrow" w:hAnsi="Arial Narrow"/>
        </w:rPr>
        <w:t>tretí</w:t>
      </w:r>
      <w:r w:rsidRPr="0030665F">
        <w:rPr>
          <w:rFonts w:ascii="Arial Narrow" w:hAnsi="Arial Narrow"/>
        </w:rPr>
        <w:t xml:space="preserve"> </w:t>
      </w:r>
      <w:proofErr w:type="spellStart"/>
      <w:r w:rsidRPr="0030665F">
        <w:rPr>
          <w:rFonts w:ascii="Arial Narrow" w:hAnsi="Arial Narrow"/>
        </w:rPr>
        <w:t>antibyrokratický</w:t>
      </w:r>
      <w:proofErr w:type="spellEnd"/>
      <w:r w:rsidRPr="0030665F">
        <w:rPr>
          <w:rFonts w:ascii="Arial Narrow" w:hAnsi="Arial Narrow"/>
        </w:rPr>
        <w:t xml:space="preserve"> podnikateľský balíček, ktorý obsahuje opatrenia zamerané hlavne na zjednodušenie procesu otvárania prevádzok a sprehľadnenie ich kontroly.</w:t>
      </w:r>
      <w:r>
        <w:rPr>
          <w:rFonts w:ascii="Arial Narrow" w:hAnsi="Arial Narrow"/>
        </w:rPr>
        <w:t xml:space="preserve"> </w:t>
      </w:r>
      <w:r w:rsidRPr="0030665F">
        <w:rPr>
          <w:rFonts w:ascii="Arial Narrow" w:hAnsi="Arial Narrow"/>
        </w:rPr>
        <w:t xml:space="preserve">Rozšírením povinnej elektronickej komunikácie, ktorá bola zavedená v januári 2016, </w:t>
      </w:r>
      <w:r>
        <w:rPr>
          <w:rFonts w:ascii="Arial Narrow" w:hAnsi="Arial Narrow"/>
        </w:rPr>
        <w:t xml:space="preserve">finančná správa </w:t>
      </w:r>
      <w:r w:rsidRPr="0030665F">
        <w:rPr>
          <w:rFonts w:ascii="Arial Narrow" w:hAnsi="Arial Narrow"/>
        </w:rPr>
        <w:t>zjednodušila komunikáciu klientov a výrazným spôsob zredukovala potrebu osobných návštev na daňových a colných úradoch.</w:t>
      </w:r>
      <w:r>
        <w:rPr>
          <w:rFonts w:ascii="Arial Narrow" w:hAnsi="Arial Narrow"/>
        </w:rPr>
        <w:t xml:space="preserve"> Pokračuje implementácia ďalších služieb pre klientov.</w:t>
      </w:r>
      <w:r w:rsidRPr="0030665F">
        <w:rPr>
          <w:rFonts w:ascii="Arial Narrow" w:hAnsi="Arial Narrow"/>
        </w:rPr>
        <w:t xml:space="preserve"> </w:t>
      </w:r>
    </w:p>
    <w:p w14:paraId="60D748CF" w14:textId="7ACBEA01" w:rsidR="00E53C9B" w:rsidRDefault="00E53C9B" w:rsidP="00E53C9B">
      <w:pPr>
        <w:spacing w:after="160" w:line="240" w:lineRule="auto"/>
        <w:jc w:val="both"/>
        <w:rPr>
          <w:rFonts w:ascii="Arial Narrow" w:hAnsi="Arial Narrow"/>
        </w:rPr>
      </w:pPr>
      <w:r>
        <w:rPr>
          <w:rFonts w:ascii="Arial Narrow" w:hAnsi="Arial Narrow"/>
          <w:b/>
        </w:rPr>
        <w:t>Vo finančnej správe sa p</w:t>
      </w:r>
      <w:r w:rsidRPr="0030665F">
        <w:rPr>
          <w:rFonts w:ascii="Arial Narrow" w:hAnsi="Arial Narrow"/>
          <w:b/>
        </w:rPr>
        <w:t>okračuje v boji pr</w:t>
      </w:r>
      <w:r>
        <w:rPr>
          <w:rFonts w:ascii="Arial Narrow" w:hAnsi="Arial Narrow"/>
          <w:b/>
        </w:rPr>
        <w:t>ot</w:t>
      </w:r>
      <w:r w:rsidRPr="0030665F">
        <w:rPr>
          <w:rFonts w:ascii="Arial Narrow" w:hAnsi="Arial Narrow"/>
          <w:b/>
        </w:rPr>
        <w:t>i daňovým únikom a</w:t>
      </w:r>
      <w:r>
        <w:rPr>
          <w:rFonts w:ascii="Arial Narrow" w:hAnsi="Arial Narrow"/>
          <w:b/>
        </w:rPr>
        <w:t xml:space="preserve"> v </w:t>
      </w:r>
      <w:r w:rsidRPr="0030665F">
        <w:rPr>
          <w:rFonts w:ascii="Arial Narrow" w:hAnsi="Arial Narrow"/>
          <w:b/>
        </w:rPr>
        <w:t>zvyšovaní efektivity výberu daní.</w:t>
      </w:r>
      <w:r w:rsidRPr="0030665F">
        <w:rPr>
          <w:rFonts w:ascii="Arial Narrow" w:hAnsi="Arial Narrow"/>
        </w:rPr>
        <w:t xml:space="preserve">  V oblasti zvýšeného výberu spotrebných daní bol úspešne ukončený legislatívny proces pre označovanie minerálneho oleja</w:t>
      </w:r>
      <w:r>
        <w:rPr>
          <w:rFonts w:ascii="Arial Narrow" w:hAnsi="Arial Narrow"/>
        </w:rPr>
        <w:t xml:space="preserve"> značkovačom (tzv. </w:t>
      </w:r>
      <w:proofErr w:type="spellStart"/>
      <w:r w:rsidRPr="00340EE2">
        <w:rPr>
          <w:rFonts w:ascii="Arial Narrow" w:hAnsi="Arial Narrow"/>
          <w:i/>
        </w:rPr>
        <w:t>nanomarker</w:t>
      </w:r>
      <w:proofErr w:type="spellEnd"/>
      <w:r>
        <w:rPr>
          <w:rFonts w:ascii="Arial Narrow" w:hAnsi="Arial Narrow"/>
        </w:rPr>
        <w:t xml:space="preserve">). </w:t>
      </w:r>
      <w:r w:rsidRPr="0030665F">
        <w:rPr>
          <w:rFonts w:ascii="Arial Narrow" w:hAnsi="Arial Narrow"/>
        </w:rPr>
        <w:t>Cieľom navrhovanej právnej úpravy je zabrániť daňovým únikom na spotrebnej dani z minerálnych olejov.</w:t>
      </w:r>
      <w:r>
        <w:rPr>
          <w:rFonts w:ascii="Arial Narrow" w:hAnsi="Arial Narrow"/>
        </w:rPr>
        <w:t xml:space="preserve"> </w:t>
      </w:r>
      <w:r w:rsidRPr="0030665F">
        <w:rPr>
          <w:rFonts w:ascii="Arial Narrow" w:hAnsi="Arial Narrow"/>
        </w:rPr>
        <w:t xml:space="preserve">Finančná správa v spolupráci s MF SR a Medzinárodným menovým fondom pripravuje odhad daňových medzier na dani z pridanej hodnoty a dani z príjmu právnických osôb s použitím individuálnych údajov z </w:t>
      </w:r>
      <w:r>
        <w:rPr>
          <w:rFonts w:ascii="Arial Narrow" w:hAnsi="Arial Narrow"/>
        </w:rPr>
        <w:t xml:space="preserve">daňových kontrol (tzv. </w:t>
      </w:r>
      <w:proofErr w:type="spellStart"/>
      <w:r>
        <w:rPr>
          <w:rFonts w:ascii="Arial Narrow" w:hAnsi="Arial Narrow"/>
        </w:rPr>
        <w:t>bottom-</w:t>
      </w:r>
      <w:r w:rsidRPr="0030665F">
        <w:rPr>
          <w:rFonts w:ascii="Arial Narrow" w:hAnsi="Arial Narrow"/>
        </w:rPr>
        <w:t>up</w:t>
      </w:r>
      <w:proofErr w:type="spellEnd"/>
      <w:r w:rsidRPr="0030665F">
        <w:rPr>
          <w:rFonts w:ascii="Arial Narrow" w:hAnsi="Arial Narrow"/>
        </w:rPr>
        <w:t xml:space="preserve"> prístup). Odhad poskytne detailnejší a analytickejší pohľad na správanie sa rizikových subjektov, čo bude následne využité pre lepšie cielenie daňových kontrol.</w:t>
      </w:r>
      <w:r>
        <w:rPr>
          <w:rFonts w:ascii="Arial Narrow" w:hAnsi="Arial Narrow"/>
        </w:rPr>
        <w:t xml:space="preserve"> </w:t>
      </w:r>
      <w:r w:rsidRPr="00147651">
        <w:rPr>
          <w:rFonts w:ascii="Arial Narrow" w:hAnsi="Arial Narrow"/>
        </w:rPr>
        <w:t xml:space="preserve"> </w:t>
      </w:r>
      <w:r w:rsidRPr="0030665F">
        <w:rPr>
          <w:rFonts w:ascii="Arial Narrow" w:hAnsi="Arial Narrow"/>
        </w:rPr>
        <w:t xml:space="preserve">V rámci realizácie reformných zámerov pripravila </w:t>
      </w:r>
      <w:r>
        <w:rPr>
          <w:rFonts w:ascii="Arial Narrow" w:hAnsi="Arial Narrow"/>
        </w:rPr>
        <w:t>f</w:t>
      </w:r>
      <w:r w:rsidRPr="0030665F">
        <w:rPr>
          <w:rFonts w:ascii="Arial Narrow" w:hAnsi="Arial Narrow"/>
        </w:rPr>
        <w:t xml:space="preserve">inančná správa projekt </w:t>
      </w:r>
      <w:proofErr w:type="spellStart"/>
      <w:r w:rsidRPr="00EC55AA">
        <w:rPr>
          <w:rFonts w:ascii="Arial Narrow" w:hAnsi="Arial Narrow"/>
          <w:i/>
        </w:rPr>
        <w:t>eKasa</w:t>
      </w:r>
      <w:proofErr w:type="spellEnd"/>
      <w:r w:rsidRPr="0030665F">
        <w:rPr>
          <w:rFonts w:ascii="Arial Narrow" w:hAnsi="Arial Narrow"/>
        </w:rPr>
        <w:t xml:space="preserve">, </w:t>
      </w:r>
      <w:r w:rsidRPr="0030665F">
        <w:rPr>
          <w:rFonts w:ascii="Arial Narrow" w:hAnsi="Arial Narrow"/>
        </w:rPr>
        <w:lastRenderedPageBreak/>
        <w:t xml:space="preserve">ktorého cieľom je online napojenie všetkých pokladníc na portál finančnej správy. Návrh navyše počíta s liberalizáciou v oblasti koncových zariadení, pričom </w:t>
      </w:r>
      <w:r w:rsidRPr="00173A8A">
        <w:rPr>
          <w:rFonts w:ascii="Arial Narrow" w:hAnsi="Arial Narrow"/>
          <w:color w:val="000000" w:themeColor="text1"/>
        </w:rPr>
        <w:t xml:space="preserve">na evidovanie tržieb bude slúžiť nielen pokladnica, ale napríklad aj PC, mobil či tablet, ktoré sú pripojené na internet a zároveň budú doplnené o tlačiareň na tlač pokladničných dokladov. </w:t>
      </w:r>
      <w:r w:rsidRPr="0030665F">
        <w:rPr>
          <w:rFonts w:ascii="Arial Narrow" w:hAnsi="Arial Narrow"/>
        </w:rPr>
        <w:t xml:space="preserve">Podnikatelia sa k systému </w:t>
      </w:r>
      <w:proofErr w:type="spellStart"/>
      <w:r w:rsidRPr="00340EE2">
        <w:rPr>
          <w:rFonts w:ascii="Arial Narrow" w:hAnsi="Arial Narrow"/>
          <w:i/>
        </w:rPr>
        <w:t>eKasa</w:t>
      </w:r>
      <w:proofErr w:type="spellEnd"/>
      <w:r w:rsidRPr="0030665F">
        <w:rPr>
          <w:rFonts w:ascii="Arial Narrow" w:hAnsi="Arial Narrow"/>
        </w:rPr>
        <w:t xml:space="preserve"> celoplošne pripoja k júlu 2019.</w:t>
      </w:r>
      <w:r>
        <w:rPr>
          <w:rFonts w:ascii="Arial Narrow" w:hAnsi="Arial Narrow"/>
        </w:rPr>
        <w:t xml:space="preserve">  </w:t>
      </w:r>
      <w:r w:rsidRPr="0030665F">
        <w:rPr>
          <w:rFonts w:ascii="Arial Narrow" w:hAnsi="Arial Narrow"/>
        </w:rPr>
        <w:t>Koncom roka 2018 bol prvýkrát</w:t>
      </w:r>
      <w:r>
        <w:rPr>
          <w:rFonts w:ascii="Arial Narrow" w:hAnsi="Arial Narrow"/>
        </w:rPr>
        <w:t xml:space="preserve"> použitý</w:t>
      </w:r>
      <w:r w:rsidRPr="0030665F">
        <w:rPr>
          <w:rFonts w:ascii="Arial Narrow" w:hAnsi="Arial Narrow"/>
        </w:rPr>
        <w:t xml:space="preserve"> index daňovej spoľahlivosti. Viac ako 294 tis. daňovým subjektom bolo v priebehu decembra 2018 odoslané prvé oznámenie o osobitných daňových režimoch</w:t>
      </w:r>
      <w:r>
        <w:rPr>
          <w:rFonts w:ascii="Arial Narrow" w:hAnsi="Arial Narrow"/>
        </w:rPr>
        <w:t xml:space="preserve">. </w:t>
      </w:r>
    </w:p>
    <w:p w14:paraId="3E111400" w14:textId="15C2759F" w:rsidR="00E53C9B" w:rsidRPr="0030665F" w:rsidRDefault="00E53C9B" w:rsidP="00E53C9B">
      <w:pPr>
        <w:spacing w:after="160" w:line="240" w:lineRule="auto"/>
        <w:jc w:val="both"/>
        <w:rPr>
          <w:rFonts w:ascii="Arial Narrow" w:hAnsi="Arial Narrow"/>
        </w:rPr>
      </w:pPr>
      <w:r w:rsidRPr="00173A8A">
        <w:rPr>
          <w:rFonts w:ascii="Arial Narrow" w:hAnsi="Arial Narrow"/>
          <w:b/>
        </w:rPr>
        <w:t>Celkovo opatrenia prijaté v priebehu rokov 2012 až 2017 pomohli zvrátiť dlhoročný nepriaznivý vývoj úspešnosti výberu DPH.</w:t>
      </w:r>
      <w:r>
        <w:rPr>
          <w:rFonts w:ascii="Arial Narrow" w:hAnsi="Arial Narrow"/>
        </w:rPr>
        <w:t xml:space="preserve"> </w:t>
      </w:r>
      <w:r w:rsidRPr="0004522E">
        <w:rPr>
          <w:rFonts w:ascii="Arial Narrow" w:hAnsi="Arial Narrow"/>
        </w:rPr>
        <w:t xml:space="preserve">Boj proti </w:t>
      </w:r>
      <w:r w:rsidR="0012282F">
        <w:rPr>
          <w:rFonts w:ascii="Arial Narrow" w:hAnsi="Arial Narrow"/>
        </w:rPr>
        <w:t xml:space="preserve">daňovým únikom zameraný na DPH </w:t>
      </w:r>
      <w:r>
        <w:rPr>
          <w:rFonts w:ascii="Arial Narrow" w:hAnsi="Arial Narrow"/>
        </w:rPr>
        <w:t xml:space="preserve">prispel </w:t>
      </w:r>
      <w:r w:rsidRPr="0004522E">
        <w:rPr>
          <w:rFonts w:ascii="Arial Narrow" w:hAnsi="Arial Narrow"/>
        </w:rPr>
        <w:t xml:space="preserve">k poklesu </w:t>
      </w:r>
      <w:r>
        <w:rPr>
          <w:rFonts w:ascii="Arial Narrow" w:hAnsi="Arial Narrow"/>
        </w:rPr>
        <w:t xml:space="preserve">daňovej  </w:t>
      </w:r>
      <w:r w:rsidRPr="0004522E">
        <w:rPr>
          <w:rFonts w:ascii="Arial Narrow" w:hAnsi="Arial Narrow"/>
        </w:rPr>
        <w:t xml:space="preserve">medzery, keď v období </w:t>
      </w:r>
      <w:r>
        <w:rPr>
          <w:rFonts w:ascii="Arial Narrow" w:hAnsi="Arial Narrow"/>
        </w:rPr>
        <w:t xml:space="preserve">od roka </w:t>
      </w:r>
      <w:r w:rsidRPr="0004522E">
        <w:rPr>
          <w:rFonts w:ascii="Arial Narrow" w:hAnsi="Arial Narrow"/>
        </w:rPr>
        <w:t>2012 do 2017</w:t>
      </w:r>
      <w:r>
        <w:rPr>
          <w:rFonts w:ascii="Arial Narrow" w:hAnsi="Arial Narrow"/>
        </w:rPr>
        <w:t xml:space="preserve"> medzera</w:t>
      </w:r>
      <w:r w:rsidRPr="0004522E">
        <w:rPr>
          <w:rFonts w:ascii="Arial Narrow" w:hAnsi="Arial Narrow"/>
        </w:rPr>
        <w:t xml:space="preserve"> klesla z úrovne 41,0 % na 26,3 %. Tento trend potvrdzuje aj zlepšenie h</w:t>
      </w:r>
      <w:r>
        <w:rPr>
          <w:rFonts w:ascii="Arial Narrow" w:hAnsi="Arial Narrow"/>
        </w:rPr>
        <w:t xml:space="preserve">odnotenia Slovenska v rámci EÚ. </w:t>
      </w:r>
      <w:r w:rsidRPr="0004522E">
        <w:rPr>
          <w:rFonts w:ascii="Arial Narrow" w:hAnsi="Arial Narrow"/>
        </w:rPr>
        <w:t>Podľa Komisie klesla medzera na DPH v roku 2016 na úroveň 25,7 %, čo je pokles o 11 p. b. oproti roku 2012 . Medziročný pokles v 2016 predstavoval 3,6 p. b., čo bolo medziročne piate najvyššie zlepšenie medzery DPH v rámci EÚ</w:t>
      </w:r>
      <w:r>
        <w:rPr>
          <w:rStyle w:val="Odkaznapoznmkupodiarou"/>
          <w:rFonts w:ascii="Arial Narrow" w:hAnsi="Arial Narrow"/>
        </w:rPr>
        <w:footnoteReference w:id="131"/>
      </w:r>
      <w:r>
        <w:rPr>
          <w:rFonts w:ascii="Arial Narrow" w:hAnsi="Arial Narrow"/>
        </w:rPr>
        <w:t>.</w:t>
      </w:r>
    </w:p>
    <w:p w14:paraId="303925EF" w14:textId="6E1F57C8" w:rsidR="00E53C9B" w:rsidRDefault="00E53C9B" w:rsidP="00E53C9B">
      <w:pPr>
        <w:spacing w:after="160" w:line="240" w:lineRule="auto"/>
        <w:jc w:val="both"/>
        <w:rPr>
          <w:rFonts w:ascii="Arial Narrow" w:hAnsi="Arial Narrow"/>
        </w:rPr>
      </w:pPr>
      <w:r w:rsidRPr="0030665F">
        <w:rPr>
          <w:rFonts w:ascii="Arial Narrow" w:hAnsi="Arial Narrow"/>
          <w:b/>
        </w:rPr>
        <w:t>Okrem efektívneho výberu sú v daňovej oblasti zavedené opatrenia na zníženie administratívnej záťaže pre podnikateľov.</w:t>
      </w:r>
      <w:r w:rsidRPr="0030665F">
        <w:rPr>
          <w:rFonts w:ascii="Arial Narrow" w:hAnsi="Arial Narrow"/>
        </w:rPr>
        <w:t xml:space="preserve"> Významným opatrením na zvýšenie efektivity výberu daní a zlepšenie podnikateľského prostr</w:t>
      </w:r>
      <w:r>
        <w:rPr>
          <w:rFonts w:ascii="Arial Narrow" w:hAnsi="Arial Narrow"/>
        </w:rPr>
        <w:t xml:space="preserve">edia je implementácia nástroja </w:t>
      </w:r>
      <w:r w:rsidRPr="0030665F">
        <w:rPr>
          <w:rFonts w:ascii="Arial Narrow" w:hAnsi="Arial Narrow"/>
          <w:i/>
        </w:rPr>
        <w:t xml:space="preserve">soft </w:t>
      </w:r>
      <w:proofErr w:type="spellStart"/>
      <w:r w:rsidRPr="0030665F">
        <w:rPr>
          <w:rFonts w:ascii="Arial Narrow" w:hAnsi="Arial Narrow"/>
          <w:i/>
        </w:rPr>
        <w:t>warning</w:t>
      </w:r>
      <w:proofErr w:type="spellEnd"/>
      <w:r w:rsidRPr="0030665F">
        <w:rPr>
          <w:rFonts w:ascii="Arial Narrow" w:hAnsi="Arial Narrow"/>
        </w:rPr>
        <w:t xml:space="preserve">. Cieľom tzv. </w:t>
      </w:r>
      <w:r w:rsidRPr="0030665F">
        <w:rPr>
          <w:rFonts w:ascii="Arial Narrow" w:hAnsi="Arial Narrow"/>
          <w:i/>
        </w:rPr>
        <w:t xml:space="preserve">soft </w:t>
      </w:r>
      <w:proofErr w:type="spellStart"/>
      <w:r w:rsidRPr="0030665F">
        <w:rPr>
          <w:rFonts w:ascii="Arial Narrow" w:hAnsi="Arial Narrow"/>
          <w:i/>
        </w:rPr>
        <w:t>warning</w:t>
      </w:r>
      <w:proofErr w:type="spellEnd"/>
      <w:r w:rsidRPr="0030665F">
        <w:rPr>
          <w:rFonts w:ascii="Arial Narrow" w:hAnsi="Arial Narrow"/>
        </w:rPr>
        <w:t xml:space="preserve"> upozornení je zasielať individualizované upozorňujúce správy daňovým subjektom (napr. </w:t>
      </w:r>
      <w:r>
        <w:rPr>
          <w:rFonts w:ascii="Arial Narrow" w:hAnsi="Arial Narrow"/>
        </w:rPr>
        <w:t>upozornenie klientov Finančného riaditeľstva</w:t>
      </w:r>
      <w:r w:rsidRPr="0030665F">
        <w:rPr>
          <w:rFonts w:ascii="Arial Narrow" w:hAnsi="Arial Narrow"/>
        </w:rPr>
        <w:t xml:space="preserve"> SR na zistený rozdiel medzi kontrolným výkazom DPH  a daňovým priznaním k DPH). </w:t>
      </w:r>
    </w:p>
    <w:p w14:paraId="1B7104D0" w14:textId="77777777" w:rsidR="00E53C9B" w:rsidRPr="00825CA6" w:rsidRDefault="00E53C9B" w:rsidP="00E53C9B">
      <w:pPr>
        <w:pStyle w:val="Odsekzoznamu"/>
        <w:numPr>
          <w:ilvl w:val="1"/>
          <w:numId w:val="64"/>
        </w:numPr>
        <w:spacing w:line="240" w:lineRule="auto"/>
        <w:jc w:val="both"/>
        <w:rPr>
          <w:rFonts w:ascii="Arial Narrow" w:hAnsi="Arial Narrow"/>
        </w:rPr>
      </w:pPr>
      <w:r>
        <w:rPr>
          <w:rFonts w:ascii="Arial Narrow" w:hAnsi="Arial Narrow" w:cstheme="minorBidi"/>
          <w:b/>
          <w:lang w:eastAsia="en-US"/>
        </w:rPr>
        <w:t xml:space="preserve">IT a dopravná </w:t>
      </w:r>
      <w:proofErr w:type="spellStart"/>
      <w:r>
        <w:rPr>
          <w:rFonts w:ascii="Arial Narrow" w:hAnsi="Arial Narrow" w:cstheme="minorBidi"/>
          <w:b/>
          <w:lang w:eastAsia="en-US"/>
        </w:rPr>
        <w:t>infaštruktúra</w:t>
      </w:r>
      <w:proofErr w:type="spellEnd"/>
    </w:p>
    <w:p w14:paraId="59D261DF" w14:textId="77777777" w:rsidR="00E53C9B" w:rsidRDefault="00E53C9B" w:rsidP="00E53C9B">
      <w:pPr>
        <w:spacing w:after="160" w:line="240" w:lineRule="auto"/>
        <w:jc w:val="both"/>
        <w:rPr>
          <w:rFonts w:ascii="Arial Narrow" w:hAnsi="Arial Narrow"/>
        </w:rPr>
      </w:pPr>
      <w:r w:rsidRPr="0086070D">
        <w:rPr>
          <w:rFonts w:ascii="Arial Narrow" w:hAnsi="Arial Narrow"/>
          <w:b/>
        </w:rPr>
        <w:t>Implement</w:t>
      </w:r>
      <w:r>
        <w:rPr>
          <w:rFonts w:ascii="Arial Narrow" w:hAnsi="Arial Narrow"/>
          <w:b/>
        </w:rPr>
        <w:t>ujú sa ďalšie</w:t>
      </w:r>
      <w:r w:rsidRPr="0086070D">
        <w:rPr>
          <w:rFonts w:ascii="Arial Narrow" w:hAnsi="Arial Narrow"/>
          <w:b/>
        </w:rPr>
        <w:t xml:space="preserve"> digitálne služby pre znižovanie administratívnej záť</w:t>
      </w:r>
      <w:r>
        <w:rPr>
          <w:rFonts w:ascii="Arial Narrow" w:hAnsi="Arial Narrow"/>
          <w:b/>
        </w:rPr>
        <w:t>aže pri kontakte občanov a podnikateľov so štá</w:t>
      </w:r>
      <w:r w:rsidRPr="0086070D">
        <w:rPr>
          <w:rFonts w:ascii="Arial Narrow" w:hAnsi="Arial Narrow"/>
          <w:b/>
        </w:rPr>
        <w:t>tom.</w:t>
      </w:r>
      <w:r>
        <w:rPr>
          <w:rFonts w:ascii="Arial Narrow" w:hAnsi="Arial Narrow"/>
        </w:rPr>
        <w:t xml:space="preserve"> </w:t>
      </w:r>
      <w:r w:rsidRPr="00BF0803">
        <w:rPr>
          <w:rFonts w:ascii="Arial Narrow" w:hAnsi="Arial Narrow"/>
        </w:rPr>
        <w:t>Zníženie administratívnej záťaže a informatizácia procesov verejnej správy sa postupne dosahuje implementáciou tzv</w:t>
      </w:r>
      <w:r w:rsidRPr="00EC55AA">
        <w:rPr>
          <w:rFonts w:ascii="Arial Narrow" w:hAnsi="Arial Narrow"/>
        </w:rPr>
        <w:t xml:space="preserve">. </w:t>
      </w:r>
      <w:r w:rsidRPr="0062680A">
        <w:rPr>
          <w:rFonts w:ascii="Arial Narrow" w:hAnsi="Arial Narrow"/>
        </w:rPr>
        <w:t>zákona proti byrokracii</w:t>
      </w:r>
      <w:r w:rsidRPr="00BF0803">
        <w:rPr>
          <w:rStyle w:val="Odkaznapoznmkupodiarou"/>
          <w:rFonts w:ascii="Arial Narrow" w:hAnsi="Arial Narrow"/>
        </w:rPr>
        <w:footnoteReference w:id="132"/>
      </w:r>
      <w:r>
        <w:rPr>
          <w:rFonts w:ascii="Arial Narrow" w:hAnsi="Arial Narrow"/>
        </w:rPr>
        <w:t xml:space="preserve">. </w:t>
      </w:r>
      <w:r w:rsidRPr="00BF0803">
        <w:rPr>
          <w:rFonts w:ascii="Arial Narrow" w:hAnsi="Arial Narrow"/>
        </w:rPr>
        <w:t>V roku 2018 sa vypustila povinnosť pre fyzické osoby a právnické osoby predkladať orgánom verejnej moci v listinnej podobe výpisy z obchodného registra, živnostenského registra, z listu vlastníctva, z registra trestov a odpisy registra trestov. V aktuálne prebiehajúcej druhej vlne novelizácie sa počíta s vypustením povinnosti pre právnické a fyzické osoby predkladať potvrdenie o nedoplatkoch na daniach, sociálnom a zdravotnom poistení, potvrdenie o návšteve školy a výpisy z registra mimovládnych neziskových organizácií.</w:t>
      </w:r>
    </w:p>
    <w:p w14:paraId="77019EB2" w14:textId="19626CF8" w:rsidR="00E53C9B" w:rsidRPr="005E354E" w:rsidRDefault="005E354E" w:rsidP="00E53C9B">
      <w:pPr>
        <w:spacing w:after="160" w:line="240" w:lineRule="auto"/>
        <w:jc w:val="both"/>
        <w:rPr>
          <w:rFonts w:ascii="Arial Narrow" w:hAnsi="Arial Narrow" w:cs="Arial"/>
        </w:rPr>
      </w:pPr>
      <w:r>
        <w:rPr>
          <w:rFonts w:ascii="Arial Narrow" w:hAnsi="Arial Narrow" w:cs="Arial"/>
          <w:b/>
        </w:rPr>
        <w:t>Nastavením legislatívy sa komplexne u</w:t>
      </w:r>
      <w:r w:rsidR="00E53C9B" w:rsidRPr="00E53C9B">
        <w:rPr>
          <w:rFonts w:ascii="Arial Narrow" w:hAnsi="Arial Narrow" w:cs="Arial"/>
          <w:b/>
        </w:rPr>
        <w:t>prav</w:t>
      </w:r>
      <w:r>
        <w:rPr>
          <w:rFonts w:ascii="Arial Narrow" w:hAnsi="Arial Narrow" w:cs="Arial"/>
          <w:b/>
        </w:rPr>
        <w:t xml:space="preserve">ia pravidlá pre IT vo </w:t>
      </w:r>
      <w:r w:rsidR="00E53C9B" w:rsidRPr="00E53C9B">
        <w:rPr>
          <w:rFonts w:ascii="Arial Narrow" w:hAnsi="Arial Narrow" w:cs="Arial"/>
          <w:b/>
        </w:rPr>
        <w:t>verejnej správy</w:t>
      </w:r>
      <w:r w:rsidR="00E53C9B" w:rsidRPr="00173A8A">
        <w:rPr>
          <w:rStyle w:val="Odkaznapoznmkupodiarou"/>
          <w:rFonts w:ascii="Arial Narrow" w:hAnsi="Arial Narrow" w:cs="Arial"/>
        </w:rPr>
        <w:footnoteReference w:id="133"/>
      </w:r>
      <w:r w:rsidR="00E53C9B" w:rsidRPr="00E53C9B">
        <w:rPr>
          <w:rFonts w:ascii="Arial Narrow" w:hAnsi="Arial Narrow" w:cs="Arial"/>
        </w:rPr>
        <w:t xml:space="preserve">. </w:t>
      </w:r>
      <w:r w:rsidR="00E53C9B" w:rsidRPr="00E53C9B">
        <w:rPr>
          <w:rFonts w:ascii="Arial Narrow" w:hAnsi="Arial Narrow" w:cs="Arial"/>
          <w:color w:val="000000"/>
          <w:lang w:eastAsia="cs-CZ"/>
        </w:rPr>
        <w:t>C</w:t>
      </w:r>
      <w:r w:rsidR="00E53C9B" w:rsidRPr="00E53C9B">
        <w:rPr>
          <w:rFonts w:ascii="Arial Narrow" w:hAnsi="Arial Narrow" w:cs="Arial"/>
        </w:rPr>
        <w:t xml:space="preserve">ieľom je zmeniť základné nastavenie tak, aby boli jednotným spôsobom pokryté všetky oblasti vedenia a riadenia v správe informačných technológií verejnej správy, od fázy plánovania a organizácie až po monitoring a hodnotenie. Nová právna úprava pokrýva aj oblasť bezpečnosti </w:t>
      </w:r>
      <w:r>
        <w:rPr>
          <w:rFonts w:ascii="Arial Narrow" w:hAnsi="Arial Narrow" w:cs="Arial"/>
        </w:rPr>
        <w:t xml:space="preserve">– </w:t>
      </w:r>
      <w:r w:rsidR="00E53C9B" w:rsidRPr="00E53C9B">
        <w:rPr>
          <w:rFonts w:ascii="Arial Narrow" w:hAnsi="Arial Narrow" w:cs="Arial"/>
        </w:rPr>
        <w:t>nadväzuje na zákon o kybernetickej bezpečnosti a upravuje činnosť vládnej jednotky CSIRT</w:t>
      </w:r>
      <w:r w:rsidR="00E53C9B" w:rsidRPr="00E53C9B">
        <w:rPr>
          <w:rStyle w:val="Odkaznapoznmkupodiarou"/>
          <w:rFonts w:ascii="Arial Narrow" w:hAnsi="Arial Narrow" w:cs="Arial"/>
        </w:rPr>
        <w:footnoteReference w:id="134"/>
      </w:r>
      <w:r w:rsidR="00E53C9B" w:rsidRPr="00E53C9B">
        <w:rPr>
          <w:rFonts w:ascii="Arial Narrow" w:hAnsi="Arial Narrow" w:cs="Arial"/>
        </w:rPr>
        <w:t xml:space="preserve"> pri riešení a prevencii kybernetických hrozieb. Účinnosť nového zákona sa predpokladá od mája 2019.</w:t>
      </w:r>
    </w:p>
    <w:p w14:paraId="14320814" w14:textId="77777777" w:rsidR="00E53C9B" w:rsidRPr="00BF0803" w:rsidRDefault="00E53C9B" w:rsidP="00E53C9B">
      <w:pPr>
        <w:spacing w:after="160" w:line="240" w:lineRule="auto"/>
        <w:jc w:val="both"/>
        <w:rPr>
          <w:rFonts w:ascii="Arial Narrow" w:hAnsi="Arial Narrow"/>
        </w:rPr>
      </w:pPr>
      <w:r w:rsidRPr="00BF0803">
        <w:rPr>
          <w:rFonts w:ascii="Arial Narrow" w:hAnsi="Arial Narrow"/>
          <w:b/>
        </w:rPr>
        <w:t>Aktivity v oblasti cestovného ruchu majú za cieľ zvýšiť konkurencieschopnosť a podporiť jeho rozvoj</w:t>
      </w:r>
      <w:r w:rsidRPr="00BF0803">
        <w:rPr>
          <w:rFonts w:ascii="Arial Narrow" w:hAnsi="Arial Narrow"/>
        </w:rPr>
        <w:t xml:space="preserve">. Za účelom zvyšovania konkurencieschopnosti v cestovnom ruchu došlo k zníženiu DPH pre ubytovacie služby na 10 %. MDV SR dotuje aktivity oblastných a krajských organizácií cestovného ruchu a aktívne podporuje prezentáciu Slovenska prostredníctvom aktivít Slovenskej agentúry pre cestovný ruch. </w:t>
      </w:r>
    </w:p>
    <w:p w14:paraId="5E6CB304" w14:textId="5D3C72FF" w:rsidR="00E53C9B" w:rsidRPr="00BF0803" w:rsidRDefault="00E53C9B" w:rsidP="00173A8A">
      <w:pPr>
        <w:spacing w:after="160" w:line="240" w:lineRule="auto"/>
        <w:jc w:val="both"/>
        <w:rPr>
          <w:rFonts w:ascii="Arial Narrow" w:hAnsi="Arial Narrow"/>
        </w:rPr>
      </w:pPr>
      <w:r w:rsidRPr="00BF0803">
        <w:rPr>
          <w:rFonts w:ascii="Arial Narrow" w:hAnsi="Arial Narrow"/>
          <w:b/>
        </w:rPr>
        <w:t xml:space="preserve">V roku 2018 pokračovala výstavba chýbajúcich úsekov diaľnic a rýchlostných ciest. </w:t>
      </w:r>
      <w:r w:rsidRPr="00BF0803">
        <w:rPr>
          <w:rFonts w:ascii="Arial Narrow" w:hAnsi="Arial Narrow"/>
        </w:rPr>
        <w:t>V súčasnosti je rozostavaných viac ako 120 km chýbajúcich úsekov. Do roku 2018 doš</w:t>
      </w:r>
      <w:r>
        <w:rPr>
          <w:rFonts w:ascii="Arial Narrow" w:hAnsi="Arial Narrow"/>
        </w:rPr>
        <w:t>lo k zmodernizovaniu viac ako 77</w:t>
      </w:r>
      <w:r w:rsidRPr="00BF0803">
        <w:rPr>
          <w:rFonts w:ascii="Arial Narrow" w:hAnsi="Arial Narrow"/>
        </w:rPr>
        <w:t xml:space="preserve"> km ciest I. triedy, pričom na ďalších 120 km ciest I. triedy bola začatá alebo v súčasnosti prebieha projektová príprava. MDV SR prostredníctvom nástroja CEF</w:t>
      </w:r>
      <w:r>
        <w:rPr>
          <w:rStyle w:val="Odkaznapoznmkupodiarou"/>
          <w:rFonts w:ascii="Arial Narrow" w:hAnsi="Arial Narrow"/>
        </w:rPr>
        <w:footnoteReference w:id="135"/>
      </w:r>
      <w:r w:rsidRPr="00BF0803">
        <w:rPr>
          <w:rFonts w:ascii="Arial Narrow" w:hAnsi="Arial Narrow"/>
        </w:rPr>
        <w:t xml:space="preserve"> podporuje aj výstavbu nabíjacej infraštruktúry v oblasti </w:t>
      </w:r>
      <w:r>
        <w:rPr>
          <w:rFonts w:ascii="Arial Narrow" w:hAnsi="Arial Narrow"/>
        </w:rPr>
        <w:t xml:space="preserve"> alternatívnych palív</w:t>
      </w:r>
      <w:r w:rsidRPr="00BF0803">
        <w:rPr>
          <w:rFonts w:ascii="Arial Narrow" w:hAnsi="Arial Narrow"/>
        </w:rPr>
        <w:t>.</w:t>
      </w:r>
    </w:p>
    <w:p w14:paraId="0B1C92CC" w14:textId="73147E72" w:rsidR="00E53C9B" w:rsidRPr="00BF0803" w:rsidRDefault="00E53C9B" w:rsidP="00E53C9B">
      <w:pPr>
        <w:spacing w:after="160" w:line="240" w:lineRule="auto"/>
        <w:jc w:val="both"/>
        <w:rPr>
          <w:rFonts w:ascii="Arial Narrow" w:hAnsi="Arial Narrow"/>
        </w:rPr>
      </w:pPr>
      <w:r w:rsidRPr="00BF0803">
        <w:rPr>
          <w:rFonts w:ascii="Arial Narrow" w:hAnsi="Arial Narrow"/>
          <w:b/>
        </w:rPr>
        <w:t xml:space="preserve">Prebieha modernizácia </w:t>
      </w:r>
      <w:r>
        <w:rPr>
          <w:rFonts w:ascii="Arial Narrow" w:hAnsi="Arial Narrow"/>
          <w:b/>
        </w:rPr>
        <w:t xml:space="preserve">infraštruktúry </w:t>
      </w:r>
      <w:r w:rsidRPr="00BF0803">
        <w:rPr>
          <w:rFonts w:ascii="Arial Narrow" w:hAnsi="Arial Narrow"/>
          <w:b/>
        </w:rPr>
        <w:t>a posilňovanie železničnej</w:t>
      </w:r>
      <w:r>
        <w:rPr>
          <w:rFonts w:ascii="Arial Narrow" w:hAnsi="Arial Narrow"/>
          <w:b/>
        </w:rPr>
        <w:t xml:space="preserve"> dopravy</w:t>
      </w:r>
      <w:r w:rsidRPr="00BF0803">
        <w:rPr>
          <w:rFonts w:ascii="Arial Narrow" w:hAnsi="Arial Narrow"/>
          <w:b/>
        </w:rPr>
        <w:t>.</w:t>
      </w:r>
      <w:r w:rsidRPr="00BF0803">
        <w:rPr>
          <w:rFonts w:ascii="Arial Narrow" w:hAnsi="Arial Narrow"/>
        </w:rPr>
        <w:t xml:space="preserve"> V osobnej železničnej doprave  boli zavedené nové vlakové spojenia na tratiach s najväčším potenciálom presunu cestujúcich z </w:t>
      </w:r>
      <w:r w:rsidRPr="00BF0803">
        <w:rPr>
          <w:rFonts w:ascii="Arial Narrow" w:hAnsi="Arial Narrow"/>
        </w:rPr>
        <w:lastRenderedPageBreak/>
        <w:t>individuálnej automobilovej dopravy na železničnú. Naďalej prebieha obnova mobilného parku, vo výrobe je 21 nových dieselových jednotiek, ktoré budú postupne nasadzované na trate od mája 2019 do konca roku 2020</w:t>
      </w:r>
      <w:r>
        <w:rPr>
          <w:rFonts w:ascii="Arial Narrow" w:hAnsi="Arial Narrow"/>
        </w:rPr>
        <w:t xml:space="preserve"> a ďalších 25 nových elektrických jednotiek s plánovaným nasedením prvých kusov do prevádzky od roku 2020</w:t>
      </w:r>
      <w:r w:rsidRPr="00BF0803">
        <w:rPr>
          <w:rFonts w:ascii="Arial Narrow" w:hAnsi="Arial Narrow"/>
        </w:rPr>
        <w:t>.</w:t>
      </w:r>
    </w:p>
    <w:p w14:paraId="623856A0" w14:textId="57735B4D" w:rsidR="00E53C9B" w:rsidRDefault="00E53C9B" w:rsidP="00E53C9B">
      <w:pPr>
        <w:spacing w:after="160" w:line="240" w:lineRule="auto"/>
        <w:jc w:val="both"/>
        <w:rPr>
          <w:rFonts w:ascii="Arial Narrow" w:hAnsi="Arial Narrow"/>
        </w:rPr>
      </w:pPr>
      <w:r w:rsidRPr="00866C4C">
        <w:rPr>
          <w:rFonts w:ascii="Arial Narrow" w:hAnsi="Arial Narrow"/>
          <w:b/>
        </w:rPr>
        <w:t xml:space="preserve">Od roku 2016 predstavujú rozpočtované finančné prostriedky na nenávratnú podporu rozvoja bývania 40 mil. eur. </w:t>
      </w:r>
      <w:r w:rsidRPr="00314D8D">
        <w:rPr>
          <w:rFonts w:ascii="Arial Narrow" w:hAnsi="Arial Narrow"/>
        </w:rPr>
        <w:t>Nenávratná podpora je realizovaná prostredníctvom poskytovania dotácií MDV SR na obstaranie nájomných bytov určených na sociálne bývanie</w:t>
      </w:r>
      <w:r>
        <w:rPr>
          <w:rFonts w:ascii="Arial Narrow" w:hAnsi="Arial Narrow"/>
        </w:rPr>
        <w:t xml:space="preserve"> a obnovu bytového fon</w:t>
      </w:r>
      <w:r w:rsidR="0012282F">
        <w:rPr>
          <w:rFonts w:ascii="Arial Narrow" w:hAnsi="Arial Narrow"/>
        </w:rPr>
        <w:t>du</w:t>
      </w:r>
      <w:r>
        <w:rPr>
          <w:rStyle w:val="Odkaznapoznmkupodiarou"/>
          <w:rFonts w:ascii="Arial Narrow" w:hAnsi="Arial Narrow"/>
        </w:rPr>
        <w:footnoteReference w:id="136"/>
      </w:r>
      <w:r w:rsidRPr="00314D8D">
        <w:rPr>
          <w:rFonts w:ascii="Arial Narrow" w:hAnsi="Arial Narrow"/>
        </w:rPr>
        <w:t>. Pre zvýšenie mobility pracovnej sily bola v roku 2017 upravená možnosť poskytnúť zvýšený podiel dotácie na nájomné byty s podlahovou plochou do 50 m²  a s maximálnou dobou prenájmu na 6 rokov. Ďalšie zdroje sú vyčlenené v rozpočte Štátneho fondu rozvoja bývania</w:t>
      </w:r>
      <w:r>
        <w:rPr>
          <w:rFonts w:ascii="Arial Narrow" w:hAnsi="Arial Narrow"/>
        </w:rPr>
        <w:t xml:space="preserve">. </w:t>
      </w:r>
    </w:p>
    <w:p w14:paraId="5391A95E" w14:textId="77777777" w:rsidR="00E53C9B" w:rsidRPr="00BF0803" w:rsidRDefault="00E53C9B" w:rsidP="00173A8A">
      <w:pPr>
        <w:spacing w:after="0" w:line="240" w:lineRule="auto"/>
        <w:jc w:val="both"/>
        <w:rPr>
          <w:rFonts w:ascii="Arial Narrow" w:hAnsi="Arial Narrow"/>
        </w:rPr>
      </w:pPr>
    </w:p>
    <w:p w14:paraId="161B6C98" w14:textId="77777777" w:rsidR="00E53C9B" w:rsidRDefault="00E53C9B" w:rsidP="00E53C9B">
      <w:pPr>
        <w:pStyle w:val="Odsekzoznamu"/>
        <w:numPr>
          <w:ilvl w:val="0"/>
          <w:numId w:val="64"/>
        </w:numPr>
        <w:spacing w:after="0" w:line="240" w:lineRule="auto"/>
        <w:ind w:left="357" w:hanging="357"/>
        <w:contextualSpacing w:val="0"/>
        <w:jc w:val="both"/>
        <w:rPr>
          <w:rFonts w:ascii="Arial Narrow" w:hAnsi="Arial Narrow"/>
          <w:b/>
        </w:rPr>
      </w:pPr>
      <w:r w:rsidRPr="00825CA6">
        <w:rPr>
          <w:rFonts w:ascii="Arial Narrow" w:hAnsi="Arial Narrow"/>
          <w:b/>
        </w:rPr>
        <w:t xml:space="preserve"> Environmentálna udržateľnosť a</w:t>
      </w:r>
      <w:r>
        <w:rPr>
          <w:rFonts w:ascii="Arial Narrow" w:hAnsi="Arial Narrow"/>
          <w:b/>
        </w:rPr>
        <w:t> </w:t>
      </w:r>
      <w:r w:rsidRPr="00825CA6">
        <w:rPr>
          <w:rFonts w:ascii="Arial Narrow" w:hAnsi="Arial Narrow"/>
          <w:b/>
        </w:rPr>
        <w:t>energetika</w:t>
      </w:r>
    </w:p>
    <w:p w14:paraId="3521B6D8" w14:textId="77777777" w:rsidR="00E53C9B" w:rsidRPr="00825CA6" w:rsidRDefault="00E53C9B" w:rsidP="00E53C9B">
      <w:pPr>
        <w:pStyle w:val="Odsekzoznamu"/>
        <w:spacing w:after="0" w:line="240" w:lineRule="auto"/>
        <w:ind w:left="357"/>
        <w:contextualSpacing w:val="0"/>
        <w:jc w:val="both"/>
        <w:rPr>
          <w:rFonts w:ascii="Arial Narrow" w:hAnsi="Arial Narrow"/>
          <w:b/>
        </w:rPr>
      </w:pPr>
    </w:p>
    <w:p w14:paraId="69705C13" w14:textId="13418D96" w:rsidR="00E53C9B" w:rsidRDefault="00E53C9B" w:rsidP="00E53C9B">
      <w:pPr>
        <w:spacing w:line="240" w:lineRule="auto"/>
        <w:jc w:val="both"/>
        <w:rPr>
          <w:rFonts w:ascii="Arial Narrow" w:hAnsi="Arial Narrow"/>
        </w:rPr>
      </w:pPr>
      <w:r w:rsidRPr="002C3594">
        <w:rPr>
          <w:rFonts w:ascii="Arial Narrow" w:hAnsi="Arial Narrow"/>
          <w:b/>
        </w:rPr>
        <w:t xml:space="preserve">V rezorte životného prostredia sa postupne implementujú opatrenia identifikované v rámci revízie výdavkov na životné prostredie. </w:t>
      </w:r>
      <w:r w:rsidRPr="002C3594">
        <w:rPr>
          <w:rFonts w:ascii="Arial Narrow" w:hAnsi="Arial Narrow"/>
        </w:rPr>
        <w:t xml:space="preserve"> Spustená bola implementácia </w:t>
      </w:r>
      <w:r w:rsidRPr="002C3594">
        <w:rPr>
          <w:rFonts w:ascii="Arial Narrow" w:hAnsi="Arial Narrow"/>
          <w:i/>
        </w:rPr>
        <w:t xml:space="preserve">Operačného programu - Kvalita životného prostredia </w:t>
      </w:r>
      <w:r w:rsidRPr="002C3594">
        <w:rPr>
          <w:rFonts w:ascii="Arial Narrow" w:hAnsi="Arial Narrow"/>
        </w:rPr>
        <w:t xml:space="preserve">a posilnila sa celková efektivita využívania finančných prostriedkov. Na sprehľadnenie pravidiel pre posudzovanie vplyvov na životné prostredie MŽP SR pripravilo novelu zákona o posudzovaní vplyvov na životné prostredie. K nižšej miere skládkovania prispeje aj postupné zvyšovanie poplatkov za uloženie odpadu na skládku (novela zákona o poplatkoch za uloženie odpadov prijatá v roku 2018) a tiež príprava a spustenie systému zálohovania plastových fliaš. V roku 2019 vláda schválila strategický dokument </w:t>
      </w:r>
      <w:r w:rsidRPr="002C3594">
        <w:rPr>
          <w:rFonts w:ascii="Arial Narrow" w:hAnsi="Arial Narrow"/>
          <w:i/>
        </w:rPr>
        <w:t>Zelenšie Slovensko – Stratégia environmentálnej politiky Slovenskej republiky do roku 2030</w:t>
      </w:r>
      <w:r w:rsidRPr="002C3594">
        <w:rPr>
          <w:rFonts w:ascii="Arial Narrow" w:hAnsi="Arial Narrow"/>
        </w:rPr>
        <w:t xml:space="preserve">. Cieľom dokumentu je predstaviť dlhodobú víziu reagujúcu na najväčšie environmentálne výzvy. V roku 2018 schválila vláda SR </w:t>
      </w:r>
      <w:r w:rsidRPr="002C3594">
        <w:rPr>
          <w:rFonts w:ascii="Arial Narrow" w:hAnsi="Arial Narrow"/>
          <w:i/>
        </w:rPr>
        <w:t>Aktualizáciu stratégie adaptácie Slovenskej republiky na zmenu klímy</w:t>
      </w:r>
      <w:r w:rsidRPr="002C3594">
        <w:rPr>
          <w:rFonts w:ascii="Arial Narrow" w:hAnsi="Arial Narrow"/>
        </w:rPr>
        <w:t xml:space="preserve"> ako aj </w:t>
      </w:r>
      <w:r w:rsidRPr="002C3594">
        <w:rPr>
          <w:rFonts w:ascii="Arial Narrow" w:hAnsi="Arial Narrow"/>
          <w:i/>
        </w:rPr>
        <w:t>Akčný plán na riešenie dôsledkov sucha a nedostatku vody</w:t>
      </w:r>
      <w:r w:rsidRPr="002C3594">
        <w:rPr>
          <w:rFonts w:ascii="Arial Narrow" w:hAnsi="Arial Narrow"/>
        </w:rPr>
        <w:t xml:space="preserve">. MŽP SR spolupracovalo s MH SR na príprave </w:t>
      </w:r>
      <w:r w:rsidRPr="0062680A">
        <w:rPr>
          <w:rFonts w:ascii="Arial Narrow" w:hAnsi="Arial Narrow"/>
          <w:i/>
        </w:rPr>
        <w:t xml:space="preserve">Akčného plánu rozvoja </w:t>
      </w:r>
      <w:proofErr w:type="spellStart"/>
      <w:r w:rsidRPr="0062680A">
        <w:rPr>
          <w:rFonts w:ascii="Arial Narrow" w:hAnsi="Arial Narrow"/>
          <w:i/>
        </w:rPr>
        <w:t>elektromobility</w:t>
      </w:r>
      <w:proofErr w:type="spellEnd"/>
      <w:r w:rsidRPr="0062680A">
        <w:rPr>
          <w:rFonts w:ascii="Arial Narrow" w:hAnsi="Arial Narrow"/>
          <w:i/>
        </w:rPr>
        <w:t xml:space="preserve"> v</w:t>
      </w:r>
      <w:r w:rsidRPr="002C3594">
        <w:rPr>
          <w:rFonts w:ascii="Arial Narrow" w:hAnsi="Arial Narrow"/>
          <w:i/>
        </w:rPr>
        <w:t> SR</w:t>
      </w:r>
      <w:r>
        <w:rPr>
          <w:rFonts w:ascii="Arial Narrow" w:hAnsi="Arial Narrow"/>
          <w:i/>
        </w:rPr>
        <w:t xml:space="preserve">. </w:t>
      </w:r>
      <w:r w:rsidRPr="00220BCC">
        <w:rPr>
          <w:rFonts w:ascii="Arial Narrow" w:hAnsi="Arial Narrow"/>
        </w:rPr>
        <w:t>P</w:t>
      </w:r>
      <w:r w:rsidRPr="002C3594">
        <w:rPr>
          <w:rFonts w:ascii="Arial Narrow" w:hAnsi="Arial Narrow"/>
        </w:rPr>
        <w:t>okračuje</w:t>
      </w:r>
      <w:r>
        <w:rPr>
          <w:rFonts w:ascii="Arial Narrow" w:hAnsi="Arial Narrow"/>
        </w:rPr>
        <w:t xml:space="preserve"> sa</w:t>
      </w:r>
      <w:r w:rsidRPr="002C3594">
        <w:rPr>
          <w:rFonts w:ascii="Arial Narrow" w:hAnsi="Arial Narrow"/>
        </w:rPr>
        <w:t xml:space="preserve"> tiež v </w:t>
      </w:r>
      <w:proofErr w:type="spellStart"/>
      <w:r w:rsidRPr="002C3594">
        <w:rPr>
          <w:rFonts w:ascii="Arial Narrow" w:hAnsi="Arial Narrow"/>
        </w:rPr>
        <w:t>zonácii</w:t>
      </w:r>
      <w:proofErr w:type="spellEnd"/>
      <w:r w:rsidRPr="002C3594">
        <w:rPr>
          <w:rFonts w:ascii="Arial Narrow" w:hAnsi="Arial Narrow"/>
        </w:rPr>
        <w:t xml:space="preserve"> národných parkov s dôrazom na </w:t>
      </w:r>
      <w:proofErr w:type="spellStart"/>
      <w:r w:rsidRPr="002C3594">
        <w:rPr>
          <w:rFonts w:ascii="Arial Narrow" w:hAnsi="Arial Narrow"/>
        </w:rPr>
        <w:t>zonáciu</w:t>
      </w:r>
      <w:proofErr w:type="spellEnd"/>
      <w:r w:rsidRPr="002C3594">
        <w:rPr>
          <w:rFonts w:ascii="Arial Narrow" w:hAnsi="Arial Narrow"/>
        </w:rPr>
        <w:t xml:space="preserve"> </w:t>
      </w:r>
      <w:proofErr w:type="spellStart"/>
      <w:r w:rsidRPr="002C3594">
        <w:rPr>
          <w:rFonts w:ascii="Arial Narrow" w:hAnsi="Arial Narrow"/>
        </w:rPr>
        <w:t>TANAPu</w:t>
      </w:r>
      <w:proofErr w:type="spellEnd"/>
      <w:r w:rsidRPr="002C3594">
        <w:rPr>
          <w:rFonts w:ascii="Arial Narrow" w:hAnsi="Arial Narrow"/>
        </w:rPr>
        <w:t>.</w:t>
      </w:r>
      <w:r w:rsidRPr="002C3594" w:rsidDel="00C204A6">
        <w:rPr>
          <w:rFonts w:ascii="Arial Narrow" w:hAnsi="Arial Narrow"/>
        </w:rPr>
        <w:t xml:space="preserve"> </w:t>
      </w:r>
    </w:p>
    <w:p w14:paraId="16893C6A" w14:textId="77777777" w:rsidR="00E53C9B" w:rsidRDefault="00E53C9B" w:rsidP="00173A8A">
      <w:pPr>
        <w:spacing w:after="0" w:line="240" w:lineRule="auto"/>
        <w:jc w:val="both"/>
        <w:rPr>
          <w:rFonts w:ascii="Arial Narrow" w:hAnsi="Arial Narrow"/>
        </w:rPr>
      </w:pPr>
    </w:p>
    <w:p w14:paraId="29DF7D7C" w14:textId="77777777" w:rsidR="00E53C9B" w:rsidRDefault="00E53C9B" w:rsidP="00E53C9B">
      <w:pPr>
        <w:pStyle w:val="Odsekzoznamu"/>
        <w:numPr>
          <w:ilvl w:val="0"/>
          <w:numId w:val="64"/>
        </w:numPr>
        <w:spacing w:after="0" w:line="240" w:lineRule="auto"/>
        <w:ind w:left="357" w:hanging="357"/>
        <w:contextualSpacing w:val="0"/>
        <w:jc w:val="both"/>
        <w:rPr>
          <w:rFonts w:ascii="Arial Narrow" w:hAnsi="Arial Narrow"/>
          <w:b/>
        </w:rPr>
      </w:pPr>
      <w:r>
        <w:rPr>
          <w:rFonts w:ascii="Arial Narrow" w:hAnsi="Arial Narrow"/>
          <w:b/>
        </w:rPr>
        <w:t>Iné oblasti</w:t>
      </w:r>
    </w:p>
    <w:p w14:paraId="7DDDC2C1" w14:textId="77777777" w:rsidR="00E53C9B" w:rsidRDefault="00E53C9B" w:rsidP="00E53C9B">
      <w:pPr>
        <w:pStyle w:val="Odsekzoznamu"/>
        <w:spacing w:after="0" w:line="240" w:lineRule="auto"/>
        <w:ind w:left="357"/>
        <w:contextualSpacing w:val="0"/>
        <w:jc w:val="both"/>
        <w:rPr>
          <w:rFonts w:ascii="Arial Narrow" w:hAnsi="Arial Narrow"/>
          <w:b/>
        </w:rPr>
      </w:pPr>
    </w:p>
    <w:p w14:paraId="3939234F" w14:textId="6D401C63" w:rsidR="00E53C9B" w:rsidRDefault="00E53C9B" w:rsidP="00E53C9B">
      <w:pPr>
        <w:spacing w:after="160" w:line="240" w:lineRule="auto"/>
        <w:jc w:val="both"/>
        <w:rPr>
          <w:rFonts w:ascii="Arial Narrow" w:hAnsi="Arial Narrow" w:cs="Arial"/>
        </w:rPr>
      </w:pPr>
      <w:r>
        <w:rPr>
          <w:rFonts w:ascii="Arial Narrow" w:hAnsi="Arial Narrow" w:cs="Arial"/>
          <w:b/>
        </w:rPr>
        <w:t xml:space="preserve">S cieľom zníženia regionálnych rozdielov sa opatrenia zameriavajú na menej rozvinuté regióny. </w:t>
      </w:r>
      <w:r w:rsidRPr="00E012FE">
        <w:rPr>
          <w:rFonts w:ascii="Arial Narrow" w:hAnsi="Arial Narrow" w:cs="Arial"/>
        </w:rPr>
        <w:t xml:space="preserve">Slovensko sa </w:t>
      </w:r>
      <w:r>
        <w:rPr>
          <w:rFonts w:ascii="Arial Narrow" w:hAnsi="Arial Narrow" w:cs="Arial"/>
        </w:rPr>
        <w:t xml:space="preserve">od roku 2018 zapája do </w:t>
      </w:r>
      <w:r w:rsidRPr="00E012FE">
        <w:rPr>
          <w:rFonts w:ascii="Arial Narrow" w:hAnsi="Arial Narrow" w:cs="Arial"/>
        </w:rPr>
        <w:t xml:space="preserve">implementácie dvoch iniciatív EÚ. Ako pilotný región Slovenska v rámci </w:t>
      </w:r>
      <w:r w:rsidRPr="00E012FE">
        <w:rPr>
          <w:rFonts w:ascii="Arial Narrow" w:hAnsi="Arial Narrow" w:cs="Arial"/>
          <w:b/>
          <w:i/>
        </w:rPr>
        <w:t>Iniciatívy EÚ pre dobiehajúce regióny</w:t>
      </w:r>
      <w:r w:rsidRPr="00E012FE">
        <w:rPr>
          <w:rFonts w:ascii="Arial Narrow" w:hAnsi="Arial Narrow" w:cs="Arial"/>
        </w:rPr>
        <w:t xml:space="preserve"> (</w:t>
      </w:r>
      <w:proofErr w:type="spellStart"/>
      <w:r w:rsidRPr="00173A8A">
        <w:rPr>
          <w:rFonts w:ascii="Arial Narrow" w:hAnsi="Arial Narrow" w:cs="Arial"/>
          <w:i/>
        </w:rPr>
        <w:t>catching-up</w:t>
      </w:r>
      <w:proofErr w:type="spellEnd"/>
      <w:r w:rsidRPr="00173A8A">
        <w:rPr>
          <w:rFonts w:ascii="Arial Narrow" w:hAnsi="Arial Narrow" w:cs="Arial"/>
          <w:i/>
        </w:rPr>
        <w:t xml:space="preserve"> </w:t>
      </w:r>
      <w:proofErr w:type="spellStart"/>
      <w:r w:rsidRPr="00173A8A">
        <w:rPr>
          <w:rFonts w:ascii="Arial Narrow" w:hAnsi="Arial Narrow" w:cs="Arial"/>
          <w:i/>
        </w:rPr>
        <w:t>regions</w:t>
      </w:r>
      <w:proofErr w:type="spellEnd"/>
      <w:r w:rsidRPr="00E012FE">
        <w:rPr>
          <w:rFonts w:ascii="Arial Narrow" w:hAnsi="Arial Narrow" w:cs="Arial"/>
        </w:rPr>
        <w:t xml:space="preserve">) s HDP pod priemerom EÚ bol vybraný Prešovský samosprávny kraj. Pod vedením riadiaceho výboru iniciatívy (Svetová banka, EK, </w:t>
      </w:r>
      <w:r w:rsidR="00EE676F">
        <w:rPr>
          <w:rFonts w:ascii="Arial Narrow" w:hAnsi="Arial Narrow" w:cs="Arial"/>
        </w:rPr>
        <w:t>ÚPVII</w:t>
      </w:r>
      <w:r w:rsidRPr="00E012FE">
        <w:rPr>
          <w:rFonts w:ascii="Arial Narrow" w:hAnsi="Arial Narrow" w:cs="Arial"/>
        </w:rPr>
        <w:t>, regionálni predstavitelia) vznikol v roku 2018 akčný plán zameraný na štyri oblasti:  zlepšenie energetickej efektívnosti budov, využívanie geografického informačného systému, zvýšenie výkonnosti v oblasti cestovného ruchu a lepšie prepo</w:t>
      </w:r>
      <w:r>
        <w:rPr>
          <w:rFonts w:ascii="Arial Narrow" w:hAnsi="Arial Narrow" w:cs="Arial"/>
        </w:rPr>
        <w:t>jenie vzdelávania a trhu práce.</w:t>
      </w:r>
      <w:r w:rsidRPr="00E012FE">
        <w:rPr>
          <w:rFonts w:ascii="Arial Narrow" w:hAnsi="Arial Narrow" w:cs="Arial"/>
        </w:rPr>
        <w:t xml:space="preserve"> V marci 2019 začal</w:t>
      </w:r>
      <w:r>
        <w:rPr>
          <w:rFonts w:ascii="Arial Narrow" w:hAnsi="Arial Narrow" w:cs="Arial"/>
        </w:rPr>
        <w:t xml:space="preserve">i </w:t>
      </w:r>
      <w:r w:rsidRPr="00E012FE">
        <w:rPr>
          <w:rFonts w:ascii="Arial Narrow" w:hAnsi="Arial Narrow" w:cs="Arial"/>
        </w:rPr>
        <w:t xml:space="preserve"> rokovania o zapojení Banskobystrického samosprávneho kraja do iniciatívy</w:t>
      </w:r>
      <w:r>
        <w:rPr>
          <w:rFonts w:ascii="Arial Narrow" w:hAnsi="Arial Narrow" w:cs="Arial"/>
        </w:rPr>
        <w:t xml:space="preserve">. Podpora najmenej rozvinutých okresov prebieha vyhlasovaním osobitných výziev na realizáciu projektov. Boli zriadené informačné poradenské centrá v siedmich krajoch na </w:t>
      </w:r>
      <w:r w:rsidR="0012282F">
        <w:rPr>
          <w:rFonts w:ascii="Arial Narrow" w:hAnsi="Arial Narrow" w:cs="Arial"/>
        </w:rPr>
        <w:t xml:space="preserve">podporu projektových aktivít </w:t>
      </w:r>
      <w:r>
        <w:rPr>
          <w:rFonts w:ascii="Arial Narrow" w:hAnsi="Arial Narrow" w:cs="Arial"/>
        </w:rPr>
        <w:t xml:space="preserve">v týchto okresoch. </w:t>
      </w:r>
    </w:p>
    <w:p w14:paraId="25C44776" w14:textId="1A000B4A" w:rsidR="00E53C9B" w:rsidRDefault="00E53C9B" w:rsidP="00823E8B">
      <w:pPr>
        <w:spacing w:after="160" w:line="240" w:lineRule="auto"/>
        <w:jc w:val="both"/>
        <w:rPr>
          <w:rFonts w:ascii="Arial Narrow" w:hAnsi="Arial Narrow" w:cs="Arial"/>
        </w:rPr>
      </w:pPr>
      <w:r w:rsidRPr="00E53C9B">
        <w:rPr>
          <w:rFonts w:ascii="Arial Narrow" w:hAnsi="Arial Narrow" w:cs="Arial"/>
          <w:b/>
        </w:rPr>
        <w:t>Vláda SR schválila niekoľko materiálov strategického plánovania priorít:</w:t>
      </w:r>
      <w:r w:rsidRPr="00E53C9B">
        <w:rPr>
          <w:rFonts w:ascii="Arial Narrow" w:hAnsi="Arial Narrow" w:cs="Arial"/>
        </w:rPr>
        <w:t xml:space="preserve"> Cestovnú mapa Národného infraštruktúrneho plánu SR na roky 2018 – 2030, Metodiku a inštitucionálny rámec tvorby verejných stratégií, Rámec na hodnotenie verejných investičných projektov v SR, Pilotnú verziu Národného investičného plánu SR na roky 2018 – 2030. </w:t>
      </w:r>
      <w:proofErr w:type="spellStart"/>
      <w:r w:rsidRPr="00E53C9B">
        <w:rPr>
          <w:rFonts w:ascii="Arial Narrow" w:hAnsi="Arial Narrow" w:cs="Arial"/>
        </w:rPr>
        <w:t>Participatívnym</w:t>
      </w:r>
      <w:proofErr w:type="spellEnd"/>
      <w:r w:rsidRPr="00E53C9B">
        <w:rPr>
          <w:rFonts w:ascii="Arial Narrow" w:hAnsi="Arial Narrow" w:cs="Arial"/>
        </w:rPr>
        <w:t xml:space="preserve"> spôsobom pripravený Návrh národných priorít implementácie Agendy 2030 bol schválený vládou v júni 2018. Definuje šesť oblastí kľúčových pre udržateľný rozvoj Slovenska: vzdelanie pre dôstojný život; smerovanie k znalostnej a environmentálne udržateľnej ekonomike pri demografických zmenách a meniacom sa globálnom prostredí; znižovanie chudoby a sociálna inklúzia; právny štát; demokracia a bezpečnosť; dobré zdravie. V priebehu roka 2019 sa predloží finálna podoba stratégie Vízia a stratégia rozvoja Slovenska do roku 2030. Na základe vízie vznikne nová verzia </w:t>
      </w:r>
      <w:r w:rsidRPr="00823E8B">
        <w:rPr>
          <w:rFonts w:ascii="Arial Narrow" w:hAnsi="Arial Narrow" w:cs="Arial"/>
          <w:i/>
        </w:rPr>
        <w:t>Národného investičného plánu SR</w:t>
      </w:r>
      <w:r w:rsidRPr="00E53C9B">
        <w:rPr>
          <w:rFonts w:ascii="Arial Narrow" w:hAnsi="Arial Narrow" w:cs="Arial"/>
        </w:rPr>
        <w:t>.</w:t>
      </w:r>
    </w:p>
    <w:p w14:paraId="6CD8A3F7" w14:textId="32B0C6E3" w:rsidR="00E64732" w:rsidRPr="00E77855" w:rsidRDefault="00AB20C2" w:rsidP="00823E8B">
      <w:pPr>
        <w:keepNext/>
        <w:keepLines/>
        <w:spacing w:after="0" w:line="240" w:lineRule="auto"/>
        <w:ind w:hanging="709"/>
        <w:jc w:val="both"/>
        <w:outlineLvl w:val="0"/>
        <w:rPr>
          <w:rFonts w:ascii="Arial Narrow" w:eastAsiaTheme="majorEastAsia" w:hAnsi="Arial Narrow" w:cstheme="majorBidi"/>
          <w:b/>
          <w:bCs/>
          <w:sz w:val="32"/>
          <w:szCs w:val="32"/>
        </w:rPr>
      </w:pPr>
      <w:bookmarkStart w:id="93" w:name="_Toc4766852"/>
      <w:r>
        <w:rPr>
          <w:rFonts w:ascii="Arial Narrow" w:eastAsiaTheme="majorEastAsia" w:hAnsi="Arial Narrow" w:cstheme="majorBidi"/>
          <w:b/>
          <w:bCs/>
          <w:sz w:val="32"/>
          <w:szCs w:val="32"/>
        </w:rPr>
        <w:lastRenderedPageBreak/>
        <w:t xml:space="preserve">Príloha </w:t>
      </w:r>
      <w:r w:rsidR="00E64732" w:rsidRPr="00E77855">
        <w:rPr>
          <w:rFonts w:ascii="Arial Narrow" w:eastAsiaTheme="majorEastAsia" w:hAnsi="Arial Narrow" w:cstheme="majorBidi"/>
          <w:b/>
          <w:bCs/>
          <w:sz w:val="32"/>
          <w:szCs w:val="32"/>
        </w:rPr>
        <w:t>č. </w:t>
      </w:r>
      <w:r w:rsidR="00173A8A" w:rsidRPr="00173A8A">
        <w:rPr>
          <w:rFonts w:ascii="Arial Narrow" w:eastAsiaTheme="majorEastAsia" w:hAnsi="Arial Narrow" w:cstheme="majorBidi"/>
          <w:b/>
          <w:bCs/>
          <w:sz w:val="32"/>
          <w:szCs w:val="32"/>
        </w:rPr>
        <w:t>7</w:t>
      </w:r>
      <w:r w:rsidR="00E64732" w:rsidRPr="00E77855">
        <w:rPr>
          <w:rFonts w:ascii="Arial Narrow" w:eastAsiaTheme="majorEastAsia" w:hAnsi="Arial Narrow" w:cstheme="majorBidi"/>
          <w:b/>
          <w:bCs/>
          <w:sz w:val="32"/>
          <w:szCs w:val="32"/>
        </w:rPr>
        <w:t>: Opatrenia prijaté na elimináciu dopadov prípadného vystúpenia Spojeného kráľovstva Veľkej Británie</w:t>
      </w:r>
      <w:r w:rsidR="00EA40F4">
        <w:rPr>
          <w:rFonts w:ascii="Arial Narrow" w:eastAsiaTheme="majorEastAsia" w:hAnsi="Arial Narrow" w:cstheme="majorBidi"/>
          <w:b/>
          <w:bCs/>
          <w:sz w:val="32"/>
          <w:szCs w:val="32"/>
        </w:rPr>
        <w:t xml:space="preserve"> a Severného Írska  </w:t>
      </w:r>
      <w:r w:rsidR="00E64732" w:rsidRPr="00E77855">
        <w:rPr>
          <w:rFonts w:ascii="Arial Narrow" w:eastAsiaTheme="majorEastAsia" w:hAnsi="Arial Narrow" w:cstheme="majorBidi"/>
          <w:b/>
          <w:bCs/>
          <w:sz w:val="32"/>
          <w:szCs w:val="32"/>
        </w:rPr>
        <w:t>z Európskej únie bez dohody</w:t>
      </w:r>
      <w:bookmarkEnd w:id="93"/>
    </w:p>
    <w:p w14:paraId="4E173AC8" w14:textId="77777777" w:rsidR="00E64732" w:rsidRDefault="00E64732" w:rsidP="00E64732">
      <w:pPr>
        <w:spacing w:line="240" w:lineRule="auto"/>
        <w:rPr>
          <w:rFonts w:ascii="Arial Narrow" w:hAnsi="Arial Narrow"/>
        </w:rPr>
      </w:pPr>
    </w:p>
    <w:p w14:paraId="4DEBE1FC" w14:textId="2654ECE2" w:rsidR="00541050" w:rsidRDefault="00823E8B" w:rsidP="00541050">
      <w:pPr>
        <w:spacing w:line="240" w:lineRule="auto"/>
        <w:jc w:val="both"/>
        <w:rPr>
          <w:rFonts w:ascii="Arial Narrow" w:hAnsi="Arial Narrow"/>
        </w:rPr>
      </w:pPr>
      <w:r>
        <w:rPr>
          <w:rFonts w:ascii="Arial Narrow" w:hAnsi="Arial Narrow"/>
        </w:rPr>
        <w:t>Príloha č. 7</w:t>
      </w:r>
      <w:r w:rsidR="00541050">
        <w:rPr>
          <w:rFonts w:ascii="Arial Narrow" w:hAnsi="Arial Narrow"/>
        </w:rPr>
        <w:t xml:space="preserve"> reaguje na uznesenie vlády SR č. 42/2019</w:t>
      </w:r>
      <w:r w:rsidR="00541050">
        <w:rPr>
          <w:rStyle w:val="Odkaznapoznmkupodiarou"/>
          <w:rFonts w:ascii="Arial Narrow" w:hAnsi="Arial Narrow"/>
        </w:rPr>
        <w:footnoteReference w:id="137"/>
      </w:r>
      <w:r w:rsidR="00541050">
        <w:rPr>
          <w:rFonts w:ascii="Arial Narrow" w:hAnsi="Arial Narrow"/>
        </w:rPr>
        <w:t xml:space="preserve">, na základe ktorého má NPR 2019 reflektovať </w:t>
      </w:r>
      <w:r w:rsidR="00541050" w:rsidRPr="0037200F">
        <w:rPr>
          <w:rFonts w:ascii="Arial Narrow" w:hAnsi="Arial Narrow"/>
        </w:rPr>
        <w:t xml:space="preserve">opatrenia na elimináciu dopadov prípadného vystúpenia Spojeného kráľovstva Veľkej Británie a Severného Írska </w:t>
      </w:r>
      <w:r w:rsidR="00C150A7">
        <w:rPr>
          <w:rFonts w:ascii="Arial Narrow" w:hAnsi="Arial Narrow"/>
        </w:rPr>
        <w:t xml:space="preserve">(ďalej len UK) </w:t>
      </w:r>
      <w:r w:rsidR="00541050" w:rsidRPr="0037200F">
        <w:rPr>
          <w:rFonts w:ascii="Arial Narrow" w:hAnsi="Arial Narrow"/>
        </w:rPr>
        <w:t>z Európskej únie bez dohody</w:t>
      </w:r>
      <w:r w:rsidR="00541050">
        <w:rPr>
          <w:rFonts w:ascii="Arial Narrow" w:hAnsi="Arial Narrow"/>
        </w:rPr>
        <w:t>.</w:t>
      </w:r>
    </w:p>
    <w:p w14:paraId="6C36F4D4" w14:textId="77777777" w:rsidR="00E64732" w:rsidRPr="00E64732" w:rsidRDefault="00E64732" w:rsidP="00E64732">
      <w:pPr>
        <w:numPr>
          <w:ilvl w:val="0"/>
          <w:numId w:val="46"/>
        </w:numPr>
        <w:spacing w:after="0" w:line="240" w:lineRule="auto"/>
        <w:ind w:left="0" w:hanging="425"/>
        <w:contextualSpacing/>
        <w:jc w:val="both"/>
        <w:rPr>
          <w:rFonts w:ascii="Arial Narrow" w:hAnsi="Arial Narrow"/>
        </w:rPr>
      </w:pPr>
      <w:r w:rsidRPr="00E64732">
        <w:rPr>
          <w:rFonts w:ascii="Arial Narrow" w:hAnsi="Arial Narrow"/>
          <w:b/>
        </w:rPr>
        <w:t>Ministerstvo financií SR a Finančné riaditeľstvo SR</w:t>
      </w:r>
    </w:p>
    <w:p w14:paraId="135B519E" w14:textId="77777777" w:rsidR="00E64732" w:rsidRPr="00E64732" w:rsidRDefault="00E64732" w:rsidP="00E64732">
      <w:pPr>
        <w:spacing w:after="120" w:line="240" w:lineRule="auto"/>
        <w:jc w:val="both"/>
        <w:rPr>
          <w:rFonts w:ascii="Arial Narrow" w:hAnsi="Arial Narrow"/>
          <w:b/>
          <w:i/>
        </w:rPr>
      </w:pPr>
      <w:r w:rsidRPr="00E64732">
        <w:rPr>
          <w:rFonts w:ascii="Arial Narrow" w:hAnsi="Arial Narrow"/>
        </w:rPr>
        <w:t xml:space="preserve">V záujme zachovania právnej istoty občanov </w:t>
      </w:r>
      <w:r w:rsidR="00CC7590">
        <w:rPr>
          <w:rFonts w:ascii="Arial Narrow" w:hAnsi="Arial Narrow"/>
        </w:rPr>
        <w:t>UK</w:t>
      </w:r>
      <w:r w:rsidRPr="00E64732">
        <w:rPr>
          <w:rFonts w:ascii="Arial Narrow" w:hAnsi="Arial Narrow"/>
        </w:rPr>
        <w:t xml:space="preserve">, ktorí chcú v Slovenskej republike poskytovať daňové poradenstvo, sa navrhuje do zákona o daňových poradcoch prechodné ustanovenie pre prípad vystúpenia </w:t>
      </w:r>
      <w:r w:rsidR="00CC7590">
        <w:rPr>
          <w:rFonts w:ascii="Arial Narrow" w:hAnsi="Arial Narrow"/>
        </w:rPr>
        <w:t>UK</w:t>
      </w:r>
      <w:r w:rsidRPr="00E64732">
        <w:rPr>
          <w:rFonts w:ascii="Arial Narrow" w:hAnsi="Arial Narrow"/>
        </w:rPr>
        <w:t xml:space="preserve"> bez dohody</w:t>
      </w:r>
      <w:r w:rsidRPr="00E64732">
        <w:rPr>
          <w:rFonts w:ascii="Arial Narrow" w:hAnsi="Arial Narrow"/>
          <w:b/>
          <w:i/>
        </w:rPr>
        <w:t>.</w:t>
      </w:r>
    </w:p>
    <w:p w14:paraId="3156E3C1" w14:textId="77777777" w:rsidR="00E64732" w:rsidRPr="00E64732" w:rsidRDefault="00E64732" w:rsidP="00E64732">
      <w:pPr>
        <w:spacing w:after="120" w:line="240" w:lineRule="auto"/>
        <w:jc w:val="both"/>
        <w:rPr>
          <w:rFonts w:ascii="Arial Narrow" w:hAnsi="Arial Narrow"/>
        </w:rPr>
      </w:pPr>
      <w:r w:rsidRPr="00E64732">
        <w:rPr>
          <w:rFonts w:ascii="Arial Narrow" w:hAnsi="Arial Narrow"/>
        </w:rPr>
        <w:t>Finančné riaditeľstvo SR sa bude podieľať na príprave potrebných legislatívnych zmien týkajúcich sa daňovej a colnej oblasti. Predpokladaný je vplyv najmä na daň z pridanej hodnoty, spotrebné dane a daň z príjmov.</w:t>
      </w:r>
    </w:p>
    <w:p w14:paraId="6D6C3648" w14:textId="77777777" w:rsidR="00E64732" w:rsidRPr="00E64732" w:rsidRDefault="00E64732" w:rsidP="00E64732">
      <w:pPr>
        <w:spacing w:after="120" w:line="240" w:lineRule="auto"/>
        <w:jc w:val="both"/>
        <w:rPr>
          <w:rFonts w:ascii="Arial Narrow" w:hAnsi="Arial Narrow"/>
        </w:rPr>
      </w:pPr>
      <w:r w:rsidRPr="00E64732">
        <w:rPr>
          <w:rFonts w:ascii="Arial Narrow" w:hAnsi="Arial Narrow"/>
        </w:rPr>
        <w:t xml:space="preserve">Tovar vstupujúci do EÚ zo </w:t>
      </w:r>
      <w:r w:rsidR="00CC7590">
        <w:rPr>
          <w:rFonts w:ascii="Arial Narrow" w:hAnsi="Arial Narrow"/>
        </w:rPr>
        <w:t>UK</w:t>
      </w:r>
      <w:r w:rsidRPr="00E64732">
        <w:rPr>
          <w:rFonts w:ascii="Arial Narrow" w:hAnsi="Arial Narrow"/>
        </w:rPr>
        <w:t xml:space="preserve">, ako aj tovar smerujúci z EÚ do </w:t>
      </w:r>
      <w:r w:rsidR="00CC7590">
        <w:rPr>
          <w:rFonts w:ascii="Arial Narrow" w:hAnsi="Arial Narrow"/>
        </w:rPr>
        <w:t>UK</w:t>
      </w:r>
      <w:r w:rsidRPr="00E64732">
        <w:rPr>
          <w:rFonts w:ascii="Arial Narrow" w:hAnsi="Arial Narrow"/>
        </w:rPr>
        <w:t xml:space="preserve"> bude považovaný za tovar z tretej krajiny. Z uvedeného dôvodu začnú platiť všetky právne predpisy EÚ a SR o tovare dovážanom z tretích krajín, vrátane odvodu cla a daní. Tovar bude podliehať colnému dohľadu a môže podliehať colným kontrolám v súlade s Colným kódexom únie, čím dôjde k navýšeniu objemu dovozu tovarov a zásielok z tretích krajín. V dôsledku zvýšenia nárokov na výkon colných agend je potrebné prijať opatrenie na národnej úrovni, ktorým je navýšenie počtu colníkov (predpokladá sa zvýšenie o 40 systemizovaných miest colníkov). </w:t>
      </w:r>
    </w:p>
    <w:p w14:paraId="6B6B59D2" w14:textId="1A151861" w:rsidR="00E64732" w:rsidRPr="00E64732" w:rsidRDefault="00E64732" w:rsidP="00E64732">
      <w:pPr>
        <w:spacing w:line="240" w:lineRule="auto"/>
        <w:jc w:val="both"/>
        <w:rPr>
          <w:rFonts w:ascii="Arial Narrow" w:hAnsi="Arial Narrow"/>
        </w:rPr>
      </w:pPr>
      <w:r w:rsidRPr="00E64732">
        <w:rPr>
          <w:rFonts w:ascii="Arial Narrow" w:hAnsi="Arial Narrow"/>
        </w:rPr>
        <w:t>F</w:t>
      </w:r>
      <w:r w:rsidR="009653D1">
        <w:rPr>
          <w:rFonts w:ascii="Arial Narrow" w:hAnsi="Arial Narrow"/>
        </w:rPr>
        <w:t xml:space="preserve">R </w:t>
      </w:r>
      <w:r w:rsidRPr="00E64732">
        <w:rPr>
          <w:rFonts w:ascii="Arial Narrow" w:hAnsi="Arial Narrow"/>
        </w:rPr>
        <w:t>SR zabezpečí spoluprácu s Európskou komisiou na vytváraní spoločných postupov v oblasti vymáhania poh</w:t>
      </w:r>
      <w:r w:rsidR="0012282F">
        <w:rPr>
          <w:rFonts w:ascii="Arial Narrow" w:hAnsi="Arial Narrow"/>
        </w:rPr>
        <w:t>ľadávok zaslaných a prijatých z</w:t>
      </w:r>
      <w:r w:rsidRPr="00E64732">
        <w:rPr>
          <w:rFonts w:ascii="Arial Narrow" w:hAnsi="Arial Narrow"/>
        </w:rPr>
        <w:t xml:space="preserve"> </w:t>
      </w:r>
      <w:r w:rsidR="00CC7590">
        <w:rPr>
          <w:rFonts w:ascii="Arial Narrow" w:hAnsi="Arial Narrow"/>
        </w:rPr>
        <w:t>UK</w:t>
      </w:r>
      <w:r w:rsidRPr="00E64732">
        <w:rPr>
          <w:rFonts w:ascii="Arial Narrow" w:hAnsi="Arial Narrow"/>
        </w:rPr>
        <w:t>.</w:t>
      </w:r>
    </w:p>
    <w:p w14:paraId="1061BC43" w14:textId="5EFF01BB" w:rsidR="00E64732" w:rsidRPr="00E64732" w:rsidRDefault="009653D1" w:rsidP="00E64732">
      <w:pPr>
        <w:spacing w:after="120" w:line="240" w:lineRule="auto"/>
        <w:jc w:val="both"/>
        <w:rPr>
          <w:rFonts w:ascii="Arial Narrow" w:hAnsi="Arial Narrow"/>
        </w:rPr>
      </w:pPr>
      <w:r>
        <w:rPr>
          <w:rFonts w:ascii="Arial Narrow" w:hAnsi="Arial Narrow"/>
        </w:rPr>
        <w:t xml:space="preserve">FR </w:t>
      </w:r>
      <w:r w:rsidR="00E64732" w:rsidRPr="00E64732">
        <w:rPr>
          <w:rFonts w:ascii="Arial Narrow" w:hAnsi="Arial Narrow"/>
        </w:rPr>
        <w:t xml:space="preserve">SR zabezpečí masívnu informačnú kampaň voči klientom finančnej správy, ako aj do vnútra organizácie. Za účelom informovanosti zverejnilo FR SR na svojom webovom portáli základné informácie k </w:t>
      </w:r>
      <w:proofErr w:type="spellStart"/>
      <w:r w:rsidR="00E64732" w:rsidRPr="00E64732">
        <w:rPr>
          <w:rFonts w:ascii="Arial Narrow" w:hAnsi="Arial Narrow"/>
        </w:rPr>
        <w:t>Brexitu</w:t>
      </w:r>
      <w:proofErr w:type="spellEnd"/>
      <w:r w:rsidR="00E64732" w:rsidRPr="00E64732">
        <w:rPr>
          <w:rFonts w:ascii="Arial Narrow" w:hAnsi="Arial Narrow"/>
        </w:rPr>
        <w:t xml:space="preserve"> viažuce sa k scenárom </w:t>
      </w:r>
      <w:proofErr w:type="spellStart"/>
      <w:r w:rsidR="00E64732" w:rsidRPr="00E64732">
        <w:rPr>
          <w:rFonts w:ascii="Arial Narrow" w:hAnsi="Arial Narrow"/>
        </w:rPr>
        <w:t>Brexitu</w:t>
      </w:r>
      <w:proofErr w:type="spellEnd"/>
      <w:r w:rsidR="00E64732" w:rsidRPr="00E64732">
        <w:rPr>
          <w:rFonts w:ascii="Arial Narrow" w:hAnsi="Arial Narrow"/>
        </w:rPr>
        <w:t xml:space="preserve"> bez dohody, aj s dohodou.</w:t>
      </w:r>
      <w:r w:rsidR="001B292A">
        <w:rPr>
          <w:rFonts w:ascii="Arial Narrow" w:hAnsi="Arial Narrow"/>
        </w:rPr>
        <w:t xml:space="preserve"> Zároveň FR SR posilnilo a špecializovalo odborné kapacity na </w:t>
      </w:r>
      <w:proofErr w:type="spellStart"/>
      <w:r w:rsidR="001B292A">
        <w:rPr>
          <w:rFonts w:ascii="Arial Narrow" w:hAnsi="Arial Narrow"/>
        </w:rPr>
        <w:t>call</w:t>
      </w:r>
      <w:proofErr w:type="spellEnd"/>
      <w:r w:rsidR="001B292A">
        <w:rPr>
          <w:rFonts w:ascii="Arial Narrow" w:hAnsi="Arial Narrow"/>
        </w:rPr>
        <w:t xml:space="preserve"> centre finančnej správy a boli vyčlenení experti na informovanie o </w:t>
      </w:r>
      <w:proofErr w:type="spellStart"/>
      <w:r w:rsidR="001B292A">
        <w:rPr>
          <w:rFonts w:ascii="Arial Narrow" w:hAnsi="Arial Narrow"/>
        </w:rPr>
        <w:t>Brexite</w:t>
      </w:r>
      <w:proofErr w:type="spellEnd"/>
      <w:r w:rsidR="001B292A">
        <w:rPr>
          <w:rFonts w:ascii="Arial Narrow" w:hAnsi="Arial Narrow"/>
        </w:rPr>
        <w:t xml:space="preserve"> nielen v colnej, ale aj v daňovej oblasti.</w:t>
      </w:r>
    </w:p>
    <w:p w14:paraId="10800A45" w14:textId="5D5C961F" w:rsidR="00E64732" w:rsidRPr="00E64732" w:rsidRDefault="00E64732" w:rsidP="00E64732">
      <w:pPr>
        <w:spacing w:line="240" w:lineRule="auto"/>
        <w:jc w:val="both"/>
        <w:rPr>
          <w:rFonts w:ascii="Arial Narrow" w:hAnsi="Arial Narrow"/>
        </w:rPr>
      </w:pPr>
      <w:r w:rsidRPr="00E64732">
        <w:rPr>
          <w:rFonts w:ascii="Arial Narrow" w:hAnsi="Arial Narrow"/>
        </w:rPr>
        <w:t xml:space="preserve">V súvislosti so zaradením </w:t>
      </w:r>
      <w:r w:rsidR="009653D1">
        <w:rPr>
          <w:rFonts w:ascii="Arial Narrow" w:hAnsi="Arial Narrow"/>
        </w:rPr>
        <w:t>UK</w:t>
      </w:r>
      <w:r w:rsidRPr="00E64732">
        <w:rPr>
          <w:rFonts w:ascii="Arial Narrow" w:hAnsi="Arial Narrow"/>
        </w:rPr>
        <w:t xml:space="preserve"> do zoznamu tretích krajín zabezpečí FR SR potrebné úpravy dotknutých informačných systémov podporujúcich procesy v daňovej a colnej oblasti. Na podporu nárastu nárokov na výkon colného dohľadu realizuje v súčasnosti FR SR testovanie colných národných systémov s cieľom potvrdiť bezproblémový chod týchto systémov v prípade </w:t>
      </w:r>
      <w:proofErr w:type="spellStart"/>
      <w:r w:rsidRPr="00E64732">
        <w:rPr>
          <w:rFonts w:ascii="Arial Narrow" w:hAnsi="Arial Narrow"/>
        </w:rPr>
        <w:t>Brexitu</w:t>
      </w:r>
      <w:proofErr w:type="spellEnd"/>
      <w:r w:rsidRPr="00E64732">
        <w:rPr>
          <w:rFonts w:ascii="Arial Narrow" w:hAnsi="Arial Narrow"/>
        </w:rPr>
        <w:t xml:space="preserve"> bez dohody.</w:t>
      </w:r>
    </w:p>
    <w:p w14:paraId="1B16A7D3" w14:textId="77777777" w:rsidR="00E64732" w:rsidRPr="00E64732" w:rsidRDefault="00E64732" w:rsidP="00E64732">
      <w:pPr>
        <w:numPr>
          <w:ilvl w:val="0"/>
          <w:numId w:val="46"/>
        </w:numPr>
        <w:spacing w:after="0" w:line="240" w:lineRule="auto"/>
        <w:ind w:left="0" w:hanging="425"/>
        <w:jc w:val="both"/>
        <w:rPr>
          <w:rFonts w:ascii="Arial Narrow" w:hAnsi="Arial Narrow"/>
          <w:b/>
        </w:rPr>
      </w:pPr>
      <w:r w:rsidRPr="00E64732">
        <w:rPr>
          <w:rFonts w:ascii="Arial Narrow" w:hAnsi="Arial Narrow"/>
          <w:b/>
        </w:rPr>
        <w:t>Ministerstvo školstva, vedy, výskumu a športu SR</w:t>
      </w:r>
    </w:p>
    <w:p w14:paraId="4F310A51" w14:textId="2EFE3C4C" w:rsidR="00E64732" w:rsidRPr="00E64732" w:rsidRDefault="00E64732" w:rsidP="00E64732">
      <w:pPr>
        <w:spacing w:line="240" w:lineRule="auto"/>
        <w:jc w:val="both"/>
        <w:rPr>
          <w:rFonts w:ascii="Arial Narrow" w:hAnsi="Arial Narrow"/>
        </w:rPr>
      </w:pPr>
      <w:r w:rsidRPr="00E64732">
        <w:rPr>
          <w:rFonts w:ascii="Arial Narrow" w:hAnsi="Arial Narrow"/>
        </w:rPr>
        <w:t xml:space="preserve">V podmienkach rezortu školstva sa bude meniť a dopĺňať zákon o uznávaní odborných kvalifikácií. Účelom úpravy budú prechodné ustanovenia uznania kvalifikácii pre slovenských odborníkov po návrate </w:t>
      </w:r>
      <w:r w:rsidR="009653D1">
        <w:rPr>
          <w:rFonts w:ascii="Arial Narrow" w:hAnsi="Arial Narrow"/>
        </w:rPr>
        <w:t xml:space="preserve">na Slovensko </w:t>
      </w:r>
      <w:r w:rsidRPr="00E64732">
        <w:rPr>
          <w:rFonts w:ascii="Arial Narrow" w:hAnsi="Arial Narrow"/>
        </w:rPr>
        <w:t xml:space="preserve">na vykonávanie regulovaných povolaní bez potreby doplňujúcej skúšky, ktorá sa vzťahuje na všetky zdravotnícke kvalifikácie nadobudnuté v tretích štátoch. Od roku 2021 sa bude uplatňovať všeobecný systém uznania odbornej kvalifikácie v plnom rozsahu vrátane vykonania doplňujúcej skúšky. </w:t>
      </w:r>
    </w:p>
    <w:p w14:paraId="276595E7" w14:textId="77777777" w:rsidR="00E64732" w:rsidRPr="00E64732" w:rsidRDefault="00E64732" w:rsidP="00E64732">
      <w:pPr>
        <w:numPr>
          <w:ilvl w:val="0"/>
          <w:numId w:val="46"/>
        </w:numPr>
        <w:spacing w:after="0" w:line="240" w:lineRule="auto"/>
        <w:ind w:left="0" w:hanging="425"/>
        <w:jc w:val="both"/>
        <w:rPr>
          <w:rFonts w:ascii="Arial Narrow" w:hAnsi="Arial Narrow"/>
          <w:b/>
        </w:rPr>
      </w:pPr>
      <w:r w:rsidRPr="00E64732">
        <w:rPr>
          <w:rFonts w:ascii="Arial Narrow" w:hAnsi="Arial Narrow"/>
          <w:b/>
        </w:rPr>
        <w:t>Ministerstvo práce, sociálnych vecí a rodiny SR</w:t>
      </w:r>
    </w:p>
    <w:p w14:paraId="7F34758A" w14:textId="67E35272" w:rsidR="00E64732" w:rsidRPr="00E64732" w:rsidRDefault="00E64732" w:rsidP="00E64732">
      <w:pPr>
        <w:spacing w:after="120" w:line="240" w:lineRule="auto"/>
        <w:jc w:val="both"/>
        <w:rPr>
          <w:rFonts w:ascii="Arial Narrow" w:hAnsi="Arial Narrow"/>
        </w:rPr>
      </w:pPr>
      <w:r w:rsidRPr="00E64732">
        <w:rPr>
          <w:rFonts w:ascii="Arial Narrow" w:hAnsi="Arial Narrow"/>
        </w:rPr>
        <w:t>V oblasti sociálneho zabezpečenia sa pripravuje novela zákona o sociálnom poistení s cieľom zabezpečiť občanom SR, ktor</w:t>
      </w:r>
      <w:r w:rsidR="009653D1">
        <w:rPr>
          <w:rFonts w:ascii="Arial Narrow" w:hAnsi="Arial Narrow"/>
        </w:rPr>
        <w:t>í sa vrátia na územie SR po 29.</w:t>
      </w:r>
      <w:r w:rsidRPr="00E64732">
        <w:rPr>
          <w:rFonts w:ascii="Arial Narrow" w:hAnsi="Arial Narrow"/>
        </w:rPr>
        <w:t>3. 2019, nároky na dávky aj s prihliadnutím na obdobia poistenia získané v</w:t>
      </w:r>
      <w:r w:rsidR="00CC7590">
        <w:rPr>
          <w:rFonts w:ascii="Arial Narrow" w:hAnsi="Arial Narrow"/>
        </w:rPr>
        <w:t xml:space="preserve"> UK</w:t>
      </w:r>
      <w:r w:rsidRPr="00E64732">
        <w:rPr>
          <w:rFonts w:ascii="Arial Narrow" w:hAnsi="Arial Narrow"/>
        </w:rPr>
        <w:t xml:space="preserve"> do príchodu na územie SR. Ide o priznanie dávok v nezamestnanosti a materských dávok po návrate na naše územie. </w:t>
      </w:r>
    </w:p>
    <w:p w14:paraId="1A8E18EF" w14:textId="77777777" w:rsidR="00E64732" w:rsidRPr="00E64732" w:rsidRDefault="00E64732" w:rsidP="00E64732">
      <w:pPr>
        <w:spacing w:after="120" w:line="240" w:lineRule="auto"/>
        <w:jc w:val="both"/>
        <w:rPr>
          <w:rFonts w:ascii="Arial Narrow" w:hAnsi="Arial Narrow"/>
        </w:rPr>
      </w:pPr>
      <w:r w:rsidRPr="00E64732">
        <w:rPr>
          <w:rFonts w:ascii="Arial Narrow" w:hAnsi="Arial Narrow"/>
        </w:rPr>
        <w:t xml:space="preserve">Zákon o sociálnom poistení vo vzťahu k dôchodkom už teraz umožňuje výplatu všetkých dôchodkov aj do tretích štátov, </w:t>
      </w:r>
      <w:r w:rsidR="00CC7590">
        <w:rPr>
          <w:rFonts w:ascii="Arial Narrow" w:hAnsi="Arial Narrow"/>
        </w:rPr>
        <w:t>ktorým</w:t>
      </w:r>
      <w:r w:rsidRPr="00E64732">
        <w:rPr>
          <w:rFonts w:ascii="Arial Narrow" w:hAnsi="Arial Narrow"/>
        </w:rPr>
        <w:t xml:space="preserve"> </w:t>
      </w:r>
      <w:r w:rsidR="00CC7590">
        <w:rPr>
          <w:rFonts w:ascii="Arial Narrow" w:hAnsi="Arial Narrow"/>
        </w:rPr>
        <w:t xml:space="preserve">bude </w:t>
      </w:r>
      <w:r w:rsidRPr="00E64732">
        <w:rPr>
          <w:rFonts w:ascii="Arial Narrow" w:hAnsi="Arial Narrow"/>
        </w:rPr>
        <w:t xml:space="preserve">po prípadnom tvrdom </w:t>
      </w:r>
      <w:proofErr w:type="spellStart"/>
      <w:r w:rsidRPr="00E64732">
        <w:rPr>
          <w:rFonts w:ascii="Arial Narrow" w:hAnsi="Arial Narrow"/>
        </w:rPr>
        <w:t>Brexite</w:t>
      </w:r>
      <w:proofErr w:type="spellEnd"/>
      <w:r w:rsidR="00CC7590">
        <w:rPr>
          <w:rFonts w:ascii="Arial Narrow" w:hAnsi="Arial Narrow"/>
        </w:rPr>
        <w:t xml:space="preserve"> aj UK</w:t>
      </w:r>
      <w:r w:rsidRPr="00E64732">
        <w:rPr>
          <w:rFonts w:ascii="Arial Narrow" w:hAnsi="Arial Narrow"/>
        </w:rPr>
        <w:t xml:space="preserve">.  </w:t>
      </w:r>
    </w:p>
    <w:p w14:paraId="585F4E95" w14:textId="7F2442D8" w:rsidR="00E64732" w:rsidRPr="00E64732" w:rsidRDefault="00E64732" w:rsidP="00E64732">
      <w:pPr>
        <w:spacing w:line="240" w:lineRule="auto"/>
        <w:jc w:val="both"/>
        <w:rPr>
          <w:rFonts w:ascii="Arial Narrow" w:hAnsi="Arial Narrow"/>
          <w:color w:val="1F497D"/>
        </w:rPr>
      </w:pPr>
      <w:r w:rsidRPr="00E64732">
        <w:rPr>
          <w:rFonts w:ascii="Arial Narrow" w:hAnsi="Arial Narrow"/>
        </w:rPr>
        <w:lastRenderedPageBreak/>
        <w:t xml:space="preserve">V rámci garantovania  reciprocity, občania </w:t>
      </w:r>
      <w:r w:rsidR="00CC7590">
        <w:rPr>
          <w:rFonts w:ascii="Arial Narrow" w:hAnsi="Arial Narrow"/>
        </w:rPr>
        <w:t>UK</w:t>
      </w:r>
      <w:r w:rsidRPr="00E64732">
        <w:rPr>
          <w:rFonts w:ascii="Arial Narrow" w:hAnsi="Arial Narrow"/>
        </w:rPr>
        <w:t xml:space="preserve">, ktorí sú zamestnaní </w:t>
      </w:r>
      <w:r w:rsidR="009653D1">
        <w:rPr>
          <w:rFonts w:ascii="Arial Narrow" w:hAnsi="Arial Narrow"/>
        </w:rPr>
        <w:t>na našom území, budú mať po 29.</w:t>
      </w:r>
      <w:r w:rsidRPr="00E64732">
        <w:rPr>
          <w:rFonts w:ascii="Arial Narrow" w:hAnsi="Arial Narrow"/>
        </w:rPr>
        <w:t>3. 2019 tie isté práva a povinnosti ako doteraz. Toto im bude zabezpečené novelou zákona o službách zamestnanosti  v znení neskorších predpisov.</w:t>
      </w:r>
      <w:r w:rsidRPr="00E64732">
        <w:rPr>
          <w:rFonts w:ascii="Arial Narrow" w:hAnsi="Arial Narrow"/>
          <w:color w:val="1F497D"/>
        </w:rPr>
        <w:t> </w:t>
      </w:r>
    </w:p>
    <w:p w14:paraId="5B568816" w14:textId="77777777" w:rsidR="00E64732" w:rsidRPr="00E64732" w:rsidRDefault="00E64732" w:rsidP="00E64732">
      <w:pPr>
        <w:numPr>
          <w:ilvl w:val="0"/>
          <w:numId w:val="46"/>
        </w:numPr>
        <w:spacing w:after="0" w:line="240" w:lineRule="auto"/>
        <w:ind w:left="0" w:hanging="425"/>
        <w:jc w:val="both"/>
        <w:rPr>
          <w:rFonts w:ascii="Arial Narrow" w:hAnsi="Arial Narrow"/>
          <w:b/>
        </w:rPr>
      </w:pPr>
      <w:r w:rsidRPr="00E64732">
        <w:rPr>
          <w:rFonts w:ascii="Arial Narrow" w:hAnsi="Arial Narrow"/>
          <w:b/>
        </w:rPr>
        <w:t>Ministerstvo zdravotníctva SR</w:t>
      </w:r>
    </w:p>
    <w:p w14:paraId="21AFABA8" w14:textId="77777777" w:rsidR="00E64732" w:rsidRPr="00E64732" w:rsidRDefault="00CC7590" w:rsidP="00E64732">
      <w:pPr>
        <w:spacing w:line="240" w:lineRule="auto"/>
        <w:jc w:val="both"/>
        <w:rPr>
          <w:rFonts w:ascii="Arial Narrow" w:hAnsi="Arial Narrow"/>
        </w:rPr>
      </w:pPr>
      <w:r>
        <w:rPr>
          <w:rFonts w:ascii="Arial Narrow" w:hAnsi="Arial Narrow"/>
        </w:rPr>
        <w:t xml:space="preserve">S cieľom </w:t>
      </w:r>
      <w:r w:rsidR="00E64732" w:rsidRPr="00E64732">
        <w:rPr>
          <w:rFonts w:ascii="Arial Narrow" w:hAnsi="Arial Narrow"/>
        </w:rPr>
        <w:t xml:space="preserve">zabezpečenia poskytovania zdravotnej starostlivosti </w:t>
      </w:r>
      <w:r>
        <w:rPr>
          <w:rFonts w:ascii="Arial Narrow" w:hAnsi="Arial Narrow"/>
        </w:rPr>
        <w:t xml:space="preserve">občanom </w:t>
      </w:r>
      <w:r w:rsidR="00E64732" w:rsidRPr="00E64732">
        <w:rPr>
          <w:rFonts w:ascii="Arial Narrow" w:hAnsi="Arial Narrow"/>
        </w:rPr>
        <w:t xml:space="preserve">UK </w:t>
      </w:r>
      <w:r>
        <w:rPr>
          <w:rFonts w:ascii="Arial Narrow" w:hAnsi="Arial Narrow"/>
        </w:rPr>
        <w:t xml:space="preserve">v rovnakom režime ako príslušníkom ostatných </w:t>
      </w:r>
      <w:r w:rsidR="00E64732" w:rsidRPr="00E64732">
        <w:rPr>
          <w:rFonts w:ascii="Arial Narrow" w:hAnsi="Arial Narrow"/>
        </w:rPr>
        <w:t>členským štáto</w:t>
      </w:r>
      <w:r>
        <w:rPr>
          <w:rFonts w:ascii="Arial Narrow" w:hAnsi="Arial Narrow"/>
        </w:rPr>
        <w:t>v</w:t>
      </w:r>
      <w:r w:rsidR="00E64732" w:rsidRPr="00E64732">
        <w:rPr>
          <w:rFonts w:ascii="Arial Narrow" w:hAnsi="Arial Narrow"/>
        </w:rPr>
        <w:t xml:space="preserve"> EÚ </w:t>
      </w:r>
      <w:r>
        <w:rPr>
          <w:rFonts w:ascii="Arial Narrow" w:hAnsi="Arial Narrow"/>
        </w:rPr>
        <w:t xml:space="preserve">pripraví MZ SR opatrenia na </w:t>
      </w:r>
      <w:r w:rsidR="00E64732" w:rsidRPr="00E64732">
        <w:rPr>
          <w:rFonts w:ascii="Arial Narrow" w:hAnsi="Arial Narrow"/>
        </w:rPr>
        <w:t>zachova</w:t>
      </w:r>
      <w:r>
        <w:rPr>
          <w:rFonts w:ascii="Arial Narrow" w:hAnsi="Arial Narrow"/>
        </w:rPr>
        <w:t>nie</w:t>
      </w:r>
      <w:r w:rsidR="00E64732" w:rsidRPr="00E64732">
        <w:rPr>
          <w:rFonts w:ascii="Arial Narrow" w:hAnsi="Arial Narrow"/>
        </w:rPr>
        <w:t xml:space="preserve"> vzájomné</w:t>
      </w:r>
      <w:r>
        <w:rPr>
          <w:rFonts w:ascii="Arial Narrow" w:hAnsi="Arial Narrow"/>
        </w:rPr>
        <w:t>ho</w:t>
      </w:r>
      <w:r w:rsidR="00E64732" w:rsidRPr="00E64732">
        <w:rPr>
          <w:rFonts w:ascii="Arial Narrow" w:hAnsi="Arial Narrow"/>
        </w:rPr>
        <w:t xml:space="preserve"> uznávani</w:t>
      </w:r>
      <w:r>
        <w:rPr>
          <w:rFonts w:ascii="Arial Narrow" w:hAnsi="Arial Narrow"/>
        </w:rPr>
        <w:t>a</w:t>
      </w:r>
      <w:r w:rsidR="00E64732" w:rsidRPr="00E64732">
        <w:rPr>
          <w:rFonts w:ascii="Arial Narrow" w:hAnsi="Arial Narrow"/>
        </w:rPr>
        <w:t xml:space="preserve"> nárokových dokladov (pobytový formulár, formulár s predchádzajúcim súhlasom o liečbe v inom štáte) a Európskeho preukazu zdravotného poistenia</w:t>
      </w:r>
      <w:r>
        <w:rPr>
          <w:rFonts w:ascii="Arial Narrow" w:hAnsi="Arial Narrow"/>
        </w:rPr>
        <w:t xml:space="preserve">. Zároveň bude zabezpečená garancia rovnakých nárokov </w:t>
      </w:r>
      <w:r w:rsidR="00E64732" w:rsidRPr="00E64732">
        <w:rPr>
          <w:rFonts w:ascii="Arial Narrow" w:hAnsi="Arial Narrow"/>
        </w:rPr>
        <w:t>pre slovenských občanov, zúčastnených na systéme zdravotného zabezpečenia v UK, vrátane tzv. rodinného poistenia (ich nezaopatrených rodinných príslušníkov – ekonomicky neaktívny manžel/manželka a nezaopatrené deti).</w:t>
      </w:r>
    </w:p>
    <w:p w14:paraId="6B590294" w14:textId="77777777" w:rsidR="00E64732" w:rsidRPr="00E64732" w:rsidRDefault="00E64732" w:rsidP="00E64732">
      <w:pPr>
        <w:numPr>
          <w:ilvl w:val="0"/>
          <w:numId w:val="46"/>
        </w:numPr>
        <w:spacing w:after="0" w:line="240" w:lineRule="auto"/>
        <w:ind w:left="0" w:hanging="425"/>
        <w:jc w:val="both"/>
        <w:rPr>
          <w:rFonts w:ascii="Arial Narrow" w:hAnsi="Arial Narrow"/>
          <w:b/>
        </w:rPr>
      </w:pPr>
      <w:r w:rsidRPr="00E64732">
        <w:rPr>
          <w:rFonts w:ascii="Arial Narrow" w:hAnsi="Arial Narrow"/>
          <w:b/>
        </w:rPr>
        <w:t>Ministerstvo hospodárstva SR</w:t>
      </w:r>
    </w:p>
    <w:p w14:paraId="50C4CA98" w14:textId="0D2DDABC" w:rsidR="00E64732" w:rsidRPr="00E64732" w:rsidRDefault="009653D1" w:rsidP="00E64732">
      <w:pPr>
        <w:spacing w:line="240" w:lineRule="auto"/>
        <w:jc w:val="both"/>
        <w:rPr>
          <w:rFonts w:ascii="Arial Narrow" w:hAnsi="Arial Narrow"/>
        </w:rPr>
      </w:pPr>
      <w:r>
        <w:rPr>
          <w:rFonts w:ascii="Arial Narrow" w:hAnsi="Arial Narrow"/>
        </w:rPr>
        <w:t xml:space="preserve">MH SR </w:t>
      </w:r>
      <w:r w:rsidR="00E64732" w:rsidRPr="00E64732">
        <w:rPr>
          <w:rFonts w:ascii="Arial Narrow" w:hAnsi="Arial Narrow"/>
        </w:rPr>
        <w:t xml:space="preserve">zabezpečuje všestrannú pomoc vrátane sprostredkovania informácií pre podnikateľov týkajúcich sa obchodu s tovarom a službami, vrátane colných a daňových informácií, s cieľom zmierniť negatívne dopady prípadného vystúpenia </w:t>
      </w:r>
      <w:r w:rsidR="00CC7590">
        <w:rPr>
          <w:rFonts w:ascii="Arial Narrow" w:hAnsi="Arial Narrow"/>
        </w:rPr>
        <w:t>UK</w:t>
      </w:r>
      <w:r w:rsidR="00E64732" w:rsidRPr="00E64732">
        <w:rPr>
          <w:rFonts w:ascii="Arial Narrow" w:hAnsi="Arial Narrow"/>
        </w:rPr>
        <w:t xml:space="preserve"> bez dohody.  MH SR na svojej internetovej stránke  zverejnilo informáciami pre podnikateľov, ktorí by mohli byť dotknutí tvrdým odchodom </w:t>
      </w:r>
      <w:r w:rsidR="00CC7590">
        <w:rPr>
          <w:rFonts w:ascii="Arial Narrow" w:hAnsi="Arial Narrow"/>
        </w:rPr>
        <w:t>UK</w:t>
      </w:r>
      <w:r w:rsidR="00E64732" w:rsidRPr="00E64732">
        <w:rPr>
          <w:rFonts w:ascii="Arial Narrow" w:hAnsi="Arial Narrow"/>
        </w:rPr>
        <w:t xml:space="preserve"> z EÚ. Informácie budú priebežne dopĺňané podľa dopytu a otázok z podnikateľského sektora. MH SR </w:t>
      </w:r>
      <w:r w:rsidR="00CC7590">
        <w:rPr>
          <w:rFonts w:ascii="Arial Narrow" w:hAnsi="Arial Narrow"/>
        </w:rPr>
        <w:t xml:space="preserve">analyzuje </w:t>
      </w:r>
      <w:r w:rsidR="00E64732" w:rsidRPr="00E64732">
        <w:rPr>
          <w:rFonts w:ascii="Arial Narrow" w:hAnsi="Arial Narrow"/>
        </w:rPr>
        <w:t xml:space="preserve">možnosti cielenej pomoc najväčším exportérom zo Slovenska do </w:t>
      </w:r>
      <w:r w:rsidR="00CC7590">
        <w:rPr>
          <w:rFonts w:ascii="Arial Narrow" w:hAnsi="Arial Narrow"/>
        </w:rPr>
        <w:t>UK</w:t>
      </w:r>
      <w:r w:rsidR="00E64732" w:rsidRPr="00E64732">
        <w:rPr>
          <w:rFonts w:ascii="Arial Narrow" w:hAnsi="Arial Narrow"/>
        </w:rPr>
        <w:t xml:space="preserve">, ktorí budú odchodom </w:t>
      </w:r>
      <w:r w:rsidR="00CC7590">
        <w:rPr>
          <w:rFonts w:ascii="Arial Narrow" w:hAnsi="Arial Narrow"/>
        </w:rPr>
        <w:t>UK</w:t>
      </w:r>
      <w:r w:rsidR="00E64732" w:rsidRPr="00E64732">
        <w:rPr>
          <w:rFonts w:ascii="Arial Narrow" w:hAnsi="Arial Narrow"/>
        </w:rPr>
        <w:t xml:space="preserve"> z EÚ bez dohody postihnutí. </w:t>
      </w:r>
    </w:p>
    <w:p w14:paraId="289D198A" w14:textId="77777777" w:rsidR="00E64732" w:rsidRPr="00E64732" w:rsidRDefault="00E64732" w:rsidP="00E64732">
      <w:pPr>
        <w:numPr>
          <w:ilvl w:val="0"/>
          <w:numId w:val="46"/>
        </w:numPr>
        <w:spacing w:after="0" w:line="240" w:lineRule="auto"/>
        <w:ind w:left="0" w:hanging="425"/>
        <w:jc w:val="both"/>
        <w:rPr>
          <w:rFonts w:ascii="Arial Narrow" w:hAnsi="Arial Narrow"/>
          <w:b/>
        </w:rPr>
      </w:pPr>
      <w:r w:rsidRPr="00E64732">
        <w:rPr>
          <w:rFonts w:ascii="Arial Narrow" w:hAnsi="Arial Narrow"/>
          <w:b/>
        </w:rPr>
        <w:t>Ministerstvo spravodlivosti SR</w:t>
      </w:r>
    </w:p>
    <w:p w14:paraId="2DE98153" w14:textId="51EF4A20" w:rsidR="00E64732" w:rsidRPr="00E64732" w:rsidRDefault="009653D1" w:rsidP="00E64732">
      <w:pPr>
        <w:spacing w:after="120" w:line="240" w:lineRule="auto"/>
        <w:jc w:val="both"/>
        <w:rPr>
          <w:rFonts w:ascii="Arial Narrow" w:hAnsi="Arial Narrow"/>
        </w:rPr>
      </w:pPr>
      <w:r>
        <w:rPr>
          <w:rFonts w:ascii="Arial Narrow" w:hAnsi="Arial Narrow"/>
        </w:rPr>
        <w:t xml:space="preserve">MS SR </w:t>
      </w:r>
      <w:r w:rsidR="00E64732" w:rsidRPr="00E64732">
        <w:rPr>
          <w:rFonts w:ascii="Arial Narrow" w:hAnsi="Arial Narrow"/>
        </w:rPr>
        <w:t xml:space="preserve">pripravilo novelu zákona č. 586/2003 Z. z. o advokácii. Občania </w:t>
      </w:r>
      <w:r w:rsidR="00CC7590">
        <w:rPr>
          <w:rFonts w:ascii="Arial Narrow" w:hAnsi="Arial Narrow"/>
        </w:rPr>
        <w:t>UK</w:t>
      </w:r>
      <w:r w:rsidR="00E64732" w:rsidRPr="00E64732">
        <w:rPr>
          <w:rFonts w:ascii="Arial Narrow" w:hAnsi="Arial Narrow"/>
        </w:rPr>
        <w:t xml:space="preserve"> budú môcť poskytovať do konca roku 2020 právne služby ako usadení </w:t>
      </w:r>
      <w:proofErr w:type="spellStart"/>
      <w:r w:rsidR="00E64732" w:rsidRPr="00E64732">
        <w:rPr>
          <w:rFonts w:ascii="Arial Narrow" w:hAnsi="Arial Narrow"/>
        </w:rPr>
        <w:t>euroadvokáti</w:t>
      </w:r>
      <w:proofErr w:type="spellEnd"/>
      <w:r w:rsidR="00E64732" w:rsidRPr="00E64732">
        <w:rPr>
          <w:rFonts w:ascii="Arial Narrow" w:hAnsi="Arial Narrow"/>
        </w:rPr>
        <w:t xml:space="preserve"> za podmienky rovnakého zaobchádzania pre občanov SR v </w:t>
      </w:r>
      <w:r w:rsidR="00CC7590">
        <w:rPr>
          <w:rFonts w:ascii="Arial Narrow" w:hAnsi="Arial Narrow"/>
        </w:rPr>
        <w:t>UK</w:t>
      </w:r>
      <w:r w:rsidR="00E64732" w:rsidRPr="00E64732">
        <w:rPr>
          <w:rFonts w:ascii="Arial Narrow" w:hAnsi="Arial Narrow"/>
        </w:rPr>
        <w:t xml:space="preserve">. Finalizujú sa nezáväzné usmernenia pre sudcov (použiteľné aj pre prokurátorov), ako postupovať pri jednotlivých nástrojoch EÚ v prípade </w:t>
      </w:r>
      <w:proofErr w:type="spellStart"/>
      <w:r w:rsidR="00E64732" w:rsidRPr="00E64732">
        <w:rPr>
          <w:rFonts w:ascii="Arial Narrow" w:hAnsi="Arial Narrow"/>
        </w:rPr>
        <w:t>Brexitu</w:t>
      </w:r>
      <w:proofErr w:type="spellEnd"/>
      <w:r w:rsidR="00E64732" w:rsidRPr="00E64732">
        <w:rPr>
          <w:rFonts w:ascii="Arial Narrow" w:hAnsi="Arial Narrow"/>
        </w:rPr>
        <w:t xml:space="preserve"> bez dohody. Usmernenia sú pripravované v konzultácii so zástupcami Najvyššieho súdu SR a Generálnej prokuratúry SR. </w:t>
      </w:r>
    </w:p>
    <w:p w14:paraId="72131DD9" w14:textId="1D4B99C6" w:rsidR="00E64732" w:rsidRPr="00E64732" w:rsidRDefault="00E64732" w:rsidP="00E64732">
      <w:pPr>
        <w:spacing w:after="120" w:line="240" w:lineRule="auto"/>
        <w:jc w:val="both"/>
        <w:rPr>
          <w:rFonts w:ascii="Arial Narrow" w:hAnsi="Arial Narrow"/>
        </w:rPr>
      </w:pPr>
      <w:r w:rsidRPr="00E64732">
        <w:rPr>
          <w:rFonts w:ascii="Arial Narrow" w:hAnsi="Arial Narrow"/>
        </w:rPr>
        <w:t xml:space="preserve">Na webstránke </w:t>
      </w:r>
      <w:r w:rsidR="009653D1">
        <w:rPr>
          <w:rFonts w:ascii="Arial Narrow" w:hAnsi="Arial Narrow"/>
        </w:rPr>
        <w:t>MS</w:t>
      </w:r>
      <w:r w:rsidRPr="00E64732">
        <w:rPr>
          <w:rFonts w:ascii="Arial Narrow" w:hAnsi="Arial Narrow"/>
        </w:rPr>
        <w:t xml:space="preserve"> SR a webstránke </w:t>
      </w:r>
      <w:proofErr w:type="spellStart"/>
      <w:r w:rsidR="009653D1">
        <w:rPr>
          <w:rFonts w:ascii="Arial Narrow" w:hAnsi="Arial Narrow"/>
        </w:rPr>
        <w:t>MZVaEZ</w:t>
      </w:r>
      <w:proofErr w:type="spellEnd"/>
      <w:r w:rsidRPr="00E64732">
        <w:rPr>
          <w:rFonts w:ascii="Arial Narrow" w:hAnsi="Arial Narrow"/>
        </w:rPr>
        <w:t xml:space="preserve"> SR bola zverejnená informácia pre občanov a podnikateľov o dopadoch </w:t>
      </w:r>
      <w:proofErr w:type="spellStart"/>
      <w:r w:rsidRPr="00E64732">
        <w:rPr>
          <w:rFonts w:ascii="Arial Narrow" w:hAnsi="Arial Narrow"/>
        </w:rPr>
        <w:t>Brexitu</w:t>
      </w:r>
      <w:proofErr w:type="spellEnd"/>
      <w:r w:rsidRPr="00E64732">
        <w:rPr>
          <w:rFonts w:ascii="Arial Narrow" w:hAnsi="Arial Narrow"/>
        </w:rPr>
        <w:t xml:space="preserve"> (s dohodou aj bez dohody) v oblasti justície. Školenia pre sudcov o dopadoch </w:t>
      </w:r>
      <w:proofErr w:type="spellStart"/>
      <w:r w:rsidRPr="00E64732">
        <w:rPr>
          <w:rFonts w:ascii="Arial Narrow" w:hAnsi="Arial Narrow"/>
        </w:rPr>
        <w:t>Brexitu</w:t>
      </w:r>
      <w:proofErr w:type="spellEnd"/>
      <w:r w:rsidRPr="00E64732">
        <w:rPr>
          <w:rFonts w:ascii="Arial Narrow" w:hAnsi="Arial Narrow"/>
        </w:rPr>
        <w:t xml:space="preserve"> sú naplánované na marec 2019. </w:t>
      </w:r>
    </w:p>
    <w:p w14:paraId="626CFFB9" w14:textId="4B8FA203" w:rsidR="00E64732" w:rsidRPr="00E64732" w:rsidRDefault="009653D1" w:rsidP="00E64732">
      <w:pPr>
        <w:spacing w:after="120" w:line="240" w:lineRule="auto"/>
        <w:jc w:val="both"/>
        <w:rPr>
          <w:rFonts w:ascii="Arial Narrow" w:hAnsi="Arial Narrow"/>
        </w:rPr>
      </w:pPr>
      <w:r>
        <w:rPr>
          <w:rFonts w:ascii="Arial Narrow" w:hAnsi="Arial Narrow"/>
        </w:rPr>
        <w:t>Tiež bola pripravená novela</w:t>
      </w:r>
      <w:r w:rsidR="00E64732" w:rsidRPr="00E64732">
        <w:rPr>
          <w:rFonts w:ascii="Arial Narrow" w:hAnsi="Arial Narrow"/>
        </w:rPr>
        <w:t xml:space="preserve"> zákona č. 236/2017 Z. z. o európskom vyšetrovacom príkaze v trestných veciach. Európsky vyšetrovací príkaz zaslaný </w:t>
      </w:r>
      <w:r>
        <w:rPr>
          <w:rFonts w:ascii="Arial Narrow" w:hAnsi="Arial Narrow"/>
        </w:rPr>
        <w:t>UK</w:t>
      </w:r>
      <w:r w:rsidR="00E64732" w:rsidRPr="00E64732">
        <w:rPr>
          <w:rFonts w:ascii="Arial Narrow" w:hAnsi="Arial Narrow"/>
        </w:rPr>
        <w:t xml:space="preserve"> pred jeho vystúpením sa po </w:t>
      </w:r>
      <w:proofErr w:type="spellStart"/>
      <w:r w:rsidR="00E64732" w:rsidRPr="00E64732">
        <w:rPr>
          <w:rFonts w:ascii="Arial Narrow" w:hAnsi="Arial Narrow"/>
        </w:rPr>
        <w:t>Brexite</w:t>
      </w:r>
      <w:proofErr w:type="spellEnd"/>
      <w:r w:rsidR="00E64732" w:rsidRPr="00E64732">
        <w:rPr>
          <w:rFonts w:ascii="Arial Narrow" w:hAnsi="Arial Narrow"/>
        </w:rPr>
        <w:t xml:space="preserve"> bude považovať za dožiadanie o právnu pomoc podľa Trestného poriadku. Cieľom je zaručiť, aby bolo možné platne vykonať požadovaný dôkaz aj po vystúpení </w:t>
      </w:r>
      <w:r w:rsidR="00CC7590">
        <w:rPr>
          <w:rFonts w:ascii="Arial Narrow" w:hAnsi="Arial Narrow"/>
        </w:rPr>
        <w:t>UK</w:t>
      </w:r>
      <w:r w:rsidR="00E64732" w:rsidRPr="00E64732">
        <w:rPr>
          <w:rFonts w:ascii="Arial Narrow" w:hAnsi="Arial Narrow"/>
        </w:rPr>
        <w:t xml:space="preserve"> bez dohody, pokiaľ bol príkaz zaslaný pred dňom vystúpenia. </w:t>
      </w:r>
    </w:p>
    <w:p w14:paraId="0A9B39A5" w14:textId="36550786" w:rsidR="00E64732" w:rsidRPr="00E64732" w:rsidRDefault="00E64732" w:rsidP="0062680A">
      <w:pPr>
        <w:spacing w:after="0" w:line="240" w:lineRule="auto"/>
        <w:jc w:val="both"/>
        <w:rPr>
          <w:rFonts w:ascii="Arial Narrow" w:hAnsi="Arial Narrow"/>
        </w:rPr>
      </w:pPr>
      <w:r w:rsidRPr="00E64732">
        <w:rPr>
          <w:rFonts w:ascii="Arial Narrow" w:hAnsi="Arial Narrow"/>
        </w:rPr>
        <w:t xml:space="preserve">Ochranu občanov SR žijúcich v </w:t>
      </w:r>
      <w:r w:rsidR="009653D1">
        <w:rPr>
          <w:rFonts w:ascii="Arial Narrow" w:hAnsi="Arial Narrow"/>
        </w:rPr>
        <w:t>UK</w:t>
      </w:r>
      <w:r w:rsidRPr="00E64732">
        <w:rPr>
          <w:rFonts w:ascii="Arial Narrow" w:hAnsi="Arial Narrow"/>
        </w:rPr>
        <w:t xml:space="preserve"> v iných oblastiach </w:t>
      </w:r>
      <w:r w:rsidR="0012282F">
        <w:rPr>
          <w:rFonts w:ascii="Arial Narrow" w:hAnsi="Arial Narrow"/>
        </w:rPr>
        <w:t xml:space="preserve">ako </w:t>
      </w:r>
      <w:r w:rsidRPr="00E64732">
        <w:rPr>
          <w:rFonts w:ascii="Arial Narrow" w:hAnsi="Arial Narrow"/>
        </w:rPr>
        <w:t>uvedených (starostlivosť o deti, vymáhanie výživného a ďalšie) bude možné zabezpečiť nelegislatívnym spôsobom alebo medzinárodnými dohodami, ktoré ale budú mus</w:t>
      </w:r>
      <w:r w:rsidR="009653D1">
        <w:rPr>
          <w:rFonts w:ascii="Arial Narrow" w:hAnsi="Arial Narrow"/>
        </w:rPr>
        <w:t xml:space="preserve">ieť byť uzatvorené na úrovni EÚ a </w:t>
      </w:r>
      <w:r w:rsidRPr="00E64732">
        <w:rPr>
          <w:rFonts w:ascii="Arial Narrow" w:hAnsi="Arial Narrow"/>
        </w:rPr>
        <w:t>UK, nakoľko členské štáty nemajú právomoc uzatvárať samostatné dohody s UK v uvedených oblastiach.</w:t>
      </w:r>
    </w:p>
    <w:p w14:paraId="7FFF35D2" w14:textId="77777777" w:rsidR="00E64732" w:rsidRPr="00E64732" w:rsidRDefault="00E64732" w:rsidP="00E64732">
      <w:pPr>
        <w:spacing w:after="0" w:line="240" w:lineRule="auto"/>
        <w:jc w:val="both"/>
        <w:rPr>
          <w:rFonts w:ascii="Arial Narrow" w:hAnsi="Arial Narrow"/>
        </w:rPr>
      </w:pPr>
    </w:p>
    <w:p w14:paraId="7CC0B30B" w14:textId="77777777" w:rsidR="00E64732" w:rsidRPr="00E64732" w:rsidRDefault="00E64732" w:rsidP="00E64732">
      <w:pPr>
        <w:numPr>
          <w:ilvl w:val="0"/>
          <w:numId w:val="46"/>
        </w:numPr>
        <w:spacing w:after="0" w:line="240" w:lineRule="auto"/>
        <w:ind w:left="0" w:hanging="425"/>
        <w:jc w:val="both"/>
        <w:rPr>
          <w:rFonts w:ascii="Arial Narrow" w:hAnsi="Arial Narrow"/>
          <w:b/>
        </w:rPr>
      </w:pPr>
      <w:r w:rsidRPr="00E64732">
        <w:rPr>
          <w:rFonts w:ascii="Arial Narrow" w:hAnsi="Arial Narrow"/>
          <w:b/>
        </w:rPr>
        <w:t>Ministerstvo vnútra SR</w:t>
      </w:r>
    </w:p>
    <w:p w14:paraId="07A1B3A5" w14:textId="55615FCF" w:rsidR="00E64732" w:rsidRPr="00E64732" w:rsidRDefault="00E64732" w:rsidP="00E64732">
      <w:pPr>
        <w:spacing w:line="240" w:lineRule="auto"/>
        <w:jc w:val="both"/>
        <w:rPr>
          <w:rFonts w:ascii="Arial Narrow" w:hAnsi="Arial Narrow"/>
        </w:rPr>
      </w:pPr>
      <w:r w:rsidRPr="00E64732">
        <w:rPr>
          <w:rFonts w:ascii="Arial Narrow" w:hAnsi="Arial Narrow"/>
        </w:rPr>
        <w:t xml:space="preserve">MV SR pripravilo a ukončilo proces novelizácie zákona č. 404/2011 Z. z. o pobyte cudzincov v znení neskorších predpisov (s účinnosťou ku dňu vystúpenia UK z EÚ) a postúpilo novelu Úradu vlády do pripravovaného balíka Lex </w:t>
      </w:r>
      <w:proofErr w:type="spellStart"/>
      <w:r w:rsidRPr="00E64732">
        <w:rPr>
          <w:rFonts w:ascii="Arial Narrow" w:hAnsi="Arial Narrow"/>
        </w:rPr>
        <w:t>Brexit</w:t>
      </w:r>
      <w:proofErr w:type="spellEnd"/>
      <w:r w:rsidRPr="00E64732">
        <w:rPr>
          <w:rFonts w:ascii="Arial Narrow" w:hAnsi="Arial Narrow"/>
        </w:rPr>
        <w:t xml:space="preserve">. MV SR priebežne vykonáva administratívno-technické kroky v oblasti prípravy zamestnancov </w:t>
      </w:r>
      <w:r w:rsidR="0012282F">
        <w:rPr>
          <w:rFonts w:ascii="Arial Narrow" w:hAnsi="Arial Narrow"/>
        </w:rPr>
        <w:t xml:space="preserve">a dotknutých </w:t>
      </w:r>
      <w:r w:rsidRPr="00E64732">
        <w:rPr>
          <w:rFonts w:ascii="Arial Narrow" w:hAnsi="Arial Narrow"/>
        </w:rPr>
        <w:t>príslušníkov Prezídia policajného zboru na styk s britskými občanmi po vystúpení  UK z EÚ, realizuje prípravu (vrátane IT systémov) na zmenu evidencie statusov resp. dokladov  britských občanov žijúcich v SR.</w:t>
      </w:r>
    </w:p>
    <w:p w14:paraId="61758426" w14:textId="77777777" w:rsidR="00E64732" w:rsidRPr="00E64732" w:rsidRDefault="00E64732" w:rsidP="00E64732">
      <w:pPr>
        <w:numPr>
          <w:ilvl w:val="0"/>
          <w:numId w:val="46"/>
        </w:numPr>
        <w:spacing w:after="0" w:line="240" w:lineRule="auto"/>
        <w:ind w:left="0" w:hanging="425"/>
        <w:jc w:val="both"/>
        <w:rPr>
          <w:rFonts w:ascii="Arial Narrow" w:hAnsi="Arial Narrow"/>
          <w:b/>
        </w:rPr>
      </w:pPr>
      <w:r w:rsidRPr="00E64732">
        <w:rPr>
          <w:rFonts w:ascii="Arial Narrow" w:hAnsi="Arial Narrow"/>
          <w:b/>
        </w:rPr>
        <w:t>Ministerstvo dopravy a výstavy SR</w:t>
      </w:r>
    </w:p>
    <w:p w14:paraId="745BA362" w14:textId="77777777" w:rsidR="00E64732" w:rsidRPr="00E64732" w:rsidRDefault="00E64732" w:rsidP="00E64732">
      <w:pPr>
        <w:spacing w:after="120" w:line="240" w:lineRule="auto"/>
        <w:jc w:val="both"/>
        <w:rPr>
          <w:rFonts w:ascii="Arial Narrow" w:hAnsi="Arial Narrow"/>
        </w:rPr>
      </w:pPr>
      <w:r w:rsidRPr="00E64732">
        <w:rPr>
          <w:rFonts w:ascii="Arial Narrow" w:hAnsi="Arial Narrow"/>
        </w:rPr>
        <w:t xml:space="preserve">V oblasti všetkých druhov dopravy sú kľúčovými dohody na úrovni EÚ. Ak nebudú takéto dohody prijaté, sú alternatívnymi riešeniami medzinárodné režimy resp. bilaterálne dohody uzavreté v minulosti. Ich platnosť nebola zrušená, no nevykonávali sa z dôvodu členstva v EÚ. V cestnej nákladnej doprave (režim CEMT) sa aplikuje systém kvót pre jednotlivé štáty, pričom Slovensko disponuje voľnou rezervou. Príležitostná autobusová doprava by zodpovedala pravidlám </w:t>
      </w:r>
      <w:proofErr w:type="spellStart"/>
      <w:r w:rsidRPr="00E64732">
        <w:rPr>
          <w:rFonts w:ascii="Arial Narrow" w:hAnsi="Arial Narrow"/>
        </w:rPr>
        <w:t>Interbus</w:t>
      </w:r>
      <w:proofErr w:type="spellEnd"/>
      <w:r w:rsidRPr="00E64732">
        <w:rPr>
          <w:rFonts w:ascii="Arial Narrow" w:hAnsi="Arial Narrow"/>
        </w:rPr>
        <w:t xml:space="preserve">. Kvalifikačné karty vodičov zostanú uznané do </w:t>
      </w:r>
      <w:r w:rsidRPr="00E64732">
        <w:rPr>
          <w:rFonts w:ascii="Arial Narrow" w:hAnsi="Arial Narrow"/>
        </w:rPr>
        <w:lastRenderedPageBreak/>
        <w:t>ukončenia platnosti, doklady o odbornej spôsobilosti vedúceho dopravy do konca roka 2019. V oblasti letectva bude aktualizovaný zoznam leteckých dopravcov a pravidelných letov. V železničnej doprave sa nebudú prijímať nové vnútroštátne legislatívne opatrenia. V lodnej doprave bude pokračovať vzájomné uznávanie kvalifikácií medzi UK a EÚ.</w:t>
      </w:r>
    </w:p>
    <w:p w14:paraId="7A97D0EC" w14:textId="02EBC1A5" w:rsidR="004A1C3A" w:rsidRDefault="00E64732" w:rsidP="00150548">
      <w:pPr>
        <w:spacing w:line="240" w:lineRule="auto"/>
        <w:jc w:val="both"/>
        <w:rPr>
          <w:rFonts w:ascii="Arial Narrow" w:hAnsi="Arial Narrow"/>
        </w:rPr>
      </w:pPr>
      <w:r w:rsidRPr="00E64732">
        <w:rPr>
          <w:rFonts w:ascii="Arial Narrow" w:hAnsi="Arial Narrow"/>
        </w:rPr>
        <w:t xml:space="preserve">Telekomunikačné služby sa už nebudú riadiť cenovými limitmi v EÚ a zostanú predmetom komerčných dohôd medzi operátormi. Poštové služby budú postupovať podľa Aktov Svetovej poštovej únie, ako dôsledok výstupu UK z colnej únie sa očakáva predĺženie doby dopravy. V oblasti typového schvaľovania a </w:t>
      </w:r>
      <w:proofErr w:type="spellStart"/>
      <w:r w:rsidRPr="00E64732">
        <w:rPr>
          <w:rFonts w:ascii="Arial Narrow" w:hAnsi="Arial Narrow"/>
        </w:rPr>
        <w:t>transeurópskych</w:t>
      </w:r>
      <w:proofErr w:type="spellEnd"/>
      <w:r w:rsidRPr="00E64732">
        <w:rPr>
          <w:rFonts w:ascii="Arial Narrow" w:hAnsi="Arial Narrow"/>
        </w:rPr>
        <w:t xml:space="preserve"> sietí sú nové európske nariadenia už dorokované a schválené, zmena vnútroštátnej legislatívy teda nie je potrebná. V bytovej politike ani cestovnom ruchu sa nepripravujú opatrenia </w:t>
      </w:r>
      <w:r w:rsidR="00150548">
        <w:rPr>
          <w:rFonts w:ascii="Arial Narrow" w:hAnsi="Arial Narrow"/>
        </w:rPr>
        <w:t>na vnútroštátnej ani EÚ úrovní.</w:t>
      </w:r>
    </w:p>
    <w:p w14:paraId="2970865F" w14:textId="77777777" w:rsidR="004A1C3A" w:rsidRDefault="004A1C3A">
      <w:pPr>
        <w:spacing w:after="0" w:line="240" w:lineRule="auto"/>
        <w:rPr>
          <w:rFonts w:ascii="Arial Narrow" w:hAnsi="Arial Narrow"/>
        </w:rPr>
      </w:pPr>
      <w:r>
        <w:rPr>
          <w:rFonts w:ascii="Arial Narrow" w:hAnsi="Arial Narrow"/>
        </w:rPr>
        <w:br w:type="page"/>
      </w:r>
    </w:p>
    <w:p w14:paraId="5CDFC387" w14:textId="4EDEBF5D" w:rsidR="004A1C3A" w:rsidRDefault="004A1C3A" w:rsidP="004A1C3A">
      <w:pPr>
        <w:keepNext/>
        <w:keepLines/>
        <w:spacing w:after="0" w:line="240" w:lineRule="auto"/>
        <w:ind w:hanging="709"/>
        <w:jc w:val="both"/>
        <w:outlineLvl w:val="0"/>
        <w:rPr>
          <w:rFonts w:ascii="Arial Narrow" w:eastAsiaTheme="majorEastAsia" w:hAnsi="Arial Narrow" w:cstheme="majorBidi"/>
          <w:b/>
          <w:bCs/>
          <w:sz w:val="32"/>
          <w:szCs w:val="32"/>
        </w:rPr>
      </w:pPr>
      <w:bookmarkStart w:id="94" w:name="_Toc4766853"/>
      <w:r>
        <w:rPr>
          <w:rFonts w:ascii="Arial Narrow" w:eastAsiaTheme="majorEastAsia" w:hAnsi="Arial Narrow" w:cstheme="majorBidi"/>
          <w:b/>
          <w:bCs/>
          <w:sz w:val="32"/>
          <w:szCs w:val="32"/>
        </w:rPr>
        <w:lastRenderedPageBreak/>
        <w:t xml:space="preserve">Príloha </w:t>
      </w:r>
      <w:r w:rsidRPr="00E77855">
        <w:rPr>
          <w:rFonts w:ascii="Arial Narrow" w:eastAsiaTheme="majorEastAsia" w:hAnsi="Arial Narrow" w:cstheme="majorBidi"/>
          <w:b/>
          <w:bCs/>
          <w:sz w:val="32"/>
          <w:szCs w:val="32"/>
        </w:rPr>
        <w:t>č. </w:t>
      </w:r>
      <w:r>
        <w:rPr>
          <w:rFonts w:ascii="Arial Narrow" w:eastAsiaTheme="majorEastAsia" w:hAnsi="Arial Narrow" w:cstheme="majorBidi"/>
          <w:b/>
          <w:bCs/>
          <w:sz w:val="32"/>
          <w:szCs w:val="32"/>
        </w:rPr>
        <w:t>8</w:t>
      </w:r>
      <w:r w:rsidRPr="00E77855">
        <w:rPr>
          <w:rFonts w:ascii="Arial Narrow" w:eastAsiaTheme="majorEastAsia" w:hAnsi="Arial Narrow" w:cstheme="majorBidi"/>
          <w:b/>
          <w:bCs/>
          <w:sz w:val="32"/>
          <w:szCs w:val="32"/>
        </w:rPr>
        <w:t xml:space="preserve">: </w:t>
      </w:r>
      <w:r>
        <w:rPr>
          <w:rFonts w:ascii="Arial Narrow" w:eastAsiaTheme="majorEastAsia" w:hAnsi="Arial Narrow" w:cstheme="majorBidi"/>
          <w:b/>
          <w:bCs/>
          <w:sz w:val="32"/>
          <w:szCs w:val="32"/>
        </w:rPr>
        <w:t>Zoznam skratiek</w:t>
      </w:r>
      <w:bookmarkEnd w:id="94"/>
    </w:p>
    <w:p w14:paraId="0A3CFBE8" w14:textId="77777777" w:rsidR="004A1C3A" w:rsidRDefault="004A1C3A" w:rsidP="004A1C3A">
      <w:pPr>
        <w:keepNext/>
        <w:keepLines/>
        <w:spacing w:after="0" w:line="240" w:lineRule="auto"/>
        <w:ind w:hanging="709"/>
        <w:jc w:val="both"/>
        <w:outlineLvl w:val="0"/>
        <w:rPr>
          <w:rFonts w:ascii="Arial Narrow" w:eastAsiaTheme="majorEastAsia" w:hAnsi="Arial Narrow" w:cstheme="majorBidi"/>
          <w:b/>
          <w:bCs/>
          <w:sz w:val="32"/>
          <w:szCs w:val="32"/>
        </w:rPr>
      </w:pPr>
    </w:p>
    <w:tbl>
      <w:tblPr>
        <w:tblW w:w="8460" w:type="dxa"/>
        <w:tblCellMar>
          <w:left w:w="70" w:type="dxa"/>
          <w:right w:w="70" w:type="dxa"/>
        </w:tblCellMar>
        <w:tblLook w:val="04A0" w:firstRow="1" w:lastRow="0" w:firstColumn="1" w:lastColumn="0" w:noHBand="0" w:noVBand="1"/>
      </w:tblPr>
      <w:tblGrid>
        <w:gridCol w:w="1220"/>
        <w:gridCol w:w="7240"/>
      </w:tblGrid>
      <w:tr w:rsidR="004A1C3A" w:rsidRPr="009E38D0" w14:paraId="23A51720" w14:textId="77777777" w:rsidTr="00EE676F">
        <w:trPr>
          <w:trHeight w:val="330"/>
        </w:trPr>
        <w:tc>
          <w:tcPr>
            <w:tcW w:w="1220" w:type="dxa"/>
            <w:tcBorders>
              <w:top w:val="nil"/>
              <w:left w:val="nil"/>
              <w:bottom w:val="nil"/>
              <w:right w:val="nil"/>
            </w:tcBorders>
            <w:shd w:val="clear" w:color="auto" w:fill="auto"/>
            <w:noWrap/>
            <w:vAlign w:val="center"/>
            <w:hideMark/>
          </w:tcPr>
          <w:p w14:paraId="5BCC2BF0"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AOTP</w:t>
            </w:r>
          </w:p>
        </w:tc>
        <w:tc>
          <w:tcPr>
            <w:tcW w:w="7240" w:type="dxa"/>
            <w:tcBorders>
              <w:top w:val="nil"/>
              <w:left w:val="nil"/>
              <w:bottom w:val="nil"/>
              <w:right w:val="nil"/>
            </w:tcBorders>
            <w:shd w:val="clear" w:color="auto" w:fill="auto"/>
            <w:noWrap/>
            <w:vAlign w:val="center"/>
            <w:hideMark/>
          </w:tcPr>
          <w:p w14:paraId="42BE8FF2"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aktívne opatrenia trhu práce</w:t>
            </w:r>
          </w:p>
        </w:tc>
      </w:tr>
      <w:tr w:rsidR="004A1C3A" w:rsidRPr="009E38D0" w14:paraId="70E6F89A" w14:textId="77777777" w:rsidTr="00EE676F">
        <w:trPr>
          <w:trHeight w:val="330"/>
        </w:trPr>
        <w:tc>
          <w:tcPr>
            <w:tcW w:w="1220" w:type="dxa"/>
            <w:tcBorders>
              <w:top w:val="nil"/>
              <w:left w:val="nil"/>
              <w:bottom w:val="nil"/>
              <w:right w:val="nil"/>
            </w:tcBorders>
            <w:shd w:val="clear" w:color="auto" w:fill="auto"/>
            <w:noWrap/>
            <w:vAlign w:val="center"/>
            <w:hideMark/>
          </w:tcPr>
          <w:p w14:paraId="0F74E2CC"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APVV</w:t>
            </w:r>
          </w:p>
        </w:tc>
        <w:tc>
          <w:tcPr>
            <w:tcW w:w="7240" w:type="dxa"/>
            <w:tcBorders>
              <w:top w:val="nil"/>
              <w:left w:val="nil"/>
              <w:bottom w:val="nil"/>
              <w:right w:val="nil"/>
            </w:tcBorders>
            <w:shd w:val="clear" w:color="auto" w:fill="auto"/>
            <w:noWrap/>
            <w:vAlign w:val="center"/>
            <w:hideMark/>
          </w:tcPr>
          <w:p w14:paraId="122D5A1E"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Agentúra na podporu výskumu a vývoja</w:t>
            </w:r>
          </w:p>
        </w:tc>
      </w:tr>
      <w:tr w:rsidR="00514DFE" w:rsidRPr="009E38D0" w14:paraId="62AF3765" w14:textId="77777777" w:rsidTr="00EE676F">
        <w:trPr>
          <w:trHeight w:val="330"/>
        </w:trPr>
        <w:tc>
          <w:tcPr>
            <w:tcW w:w="1220" w:type="dxa"/>
            <w:tcBorders>
              <w:top w:val="nil"/>
              <w:left w:val="nil"/>
              <w:bottom w:val="nil"/>
              <w:right w:val="nil"/>
            </w:tcBorders>
            <w:shd w:val="clear" w:color="auto" w:fill="auto"/>
            <w:noWrap/>
            <w:vAlign w:val="center"/>
          </w:tcPr>
          <w:p w14:paraId="5900388F" w14:textId="76ECFF52" w:rsidR="00514DFE" w:rsidRPr="009E38D0" w:rsidRDefault="00514DFE" w:rsidP="00EE676F">
            <w:pPr>
              <w:spacing w:after="0" w:line="240" w:lineRule="auto"/>
              <w:rPr>
                <w:rFonts w:ascii="Arial Narrow" w:hAnsi="Arial Narrow"/>
                <w:color w:val="000000"/>
              </w:rPr>
            </w:pPr>
            <w:r>
              <w:rPr>
                <w:rFonts w:ascii="Arial Narrow" w:hAnsi="Arial Narrow"/>
                <w:color w:val="000000"/>
              </w:rPr>
              <w:t xml:space="preserve">BSK </w:t>
            </w:r>
          </w:p>
        </w:tc>
        <w:tc>
          <w:tcPr>
            <w:tcW w:w="7240" w:type="dxa"/>
            <w:tcBorders>
              <w:top w:val="nil"/>
              <w:left w:val="nil"/>
              <w:bottom w:val="nil"/>
              <w:right w:val="nil"/>
            </w:tcBorders>
            <w:shd w:val="clear" w:color="auto" w:fill="auto"/>
            <w:noWrap/>
            <w:vAlign w:val="center"/>
          </w:tcPr>
          <w:p w14:paraId="7886B3DE" w14:textId="7D0BE0A0" w:rsidR="00514DFE" w:rsidRPr="009E38D0" w:rsidRDefault="00514DFE" w:rsidP="00EE676F">
            <w:pPr>
              <w:spacing w:after="0" w:line="240" w:lineRule="auto"/>
              <w:rPr>
                <w:rFonts w:ascii="Arial Narrow" w:hAnsi="Arial Narrow"/>
                <w:color w:val="000000"/>
              </w:rPr>
            </w:pPr>
            <w:r>
              <w:rPr>
                <w:rFonts w:ascii="Arial Narrow" w:hAnsi="Arial Narrow"/>
                <w:color w:val="000000"/>
              </w:rPr>
              <w:t>Bratislavský samosprávny kraj</w:t>
            </w:r>
          </w:p>
        </w:tc>
      </w:tr>
      <w:tr w:rsidR="004A1C3A" w:rsidRPr="009E38D0" w14:paraId="22B74839" w14:textId="77777777" w:rsidTr="00EE676F">
        <w:trPr>
          <w:trHeight w:val="330"/>
        </w:trPr>
        <w:tc>
          <w:tcPr>
            <w:tcW w:w="1220" w:type="dxa"/>
            <w:tcBorders>
              <w:top w:val="nil"/>
              <w:left w:val="nil"/>
              <w:bottom w:val="nil"/>
              <w:right w:val="nil"/>
            </w:tcBorders>
            <w:shd w:val="clear" w:color="auto" w:fill="auto"/>
            <w:noWrap/>
            <w:vAlign w:val="center"/>
            <w:hideMark/>
          </w:tcPr>
          <w:p w14:paraId="67DC25A0"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CKO</w:t>
            </w:r>
          </w:p>
        </w:tc>
        <w:tc>
          <w:tcPr>
            <w:tcW w:w="7240" w:type="dxa"/>
            <w:tcBorders>
              <w:top w:val="nil"/>
              <w:left w:val="nil"/>
              <w:bottom w:val="nil"/>
              <w:right w:val="nil"/>
            </w:tcBorders>
            <w:shd w:val="clear" w:color="auto" w:fill="auto"/>
            <w:noWrap/>
            <w:vAlign w:val="center"/>
            <w:hideMark/>
          </w:tcPr>
          <w:p w14:paraId="039C6ABB"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centrálny koordinačný orgán</w:t>
            </w:r>
          </w:p>
        </w:tc>
      </w:tr>
      <w:tr w:rsidR="004A1C3A" w:rsidRPr="009E38D0" w14:paraId="41AFFF53" w14:textId="77777777" w:rsidTr="00EE676F">
        <w:trPr>
          <w:trHeight w:val="330"/>
        </w:trPr>
        <w:tc>
          <w:tcPr>
            <w:tcW w:w="1220" w:type="dxa"/>
            <w:tcBorders>
              <w:top w:val="nil"/>
              <w:left w:val="nil"/>
              <w:bottom w:val="nil"/>
              <w:right w:val="nil"/>
            </w:tcBorders>
            <w:shd w:val="clear" w:color="auto" w:fill="auto"/>
            <w:noWrap/>
            <w:vAlign w:val="center"/>
            <w:hideMark/>
          </w:tcPr>
          <w:p w14:paraId="6C5A86B3"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CSR</w:t>
            </w:r>
          </w:p>
        </w:tc>
        <w:tc>
          <w:tcPr>
            <w:tcW w:w="7240" w:type="dxa"/>
            <w:tcBorders>
              <w:top w:val="nil"/>
              <w:left w:val="nil"/>
              <w:bottom w:val="nil"/>
              <w:right w:val="nil"/>
            </w:tcBorders>
            <w:shd w:val="clear" w:color="auto" w:fill="auto"/>
            <w:noWrap/>
            <w:vAlign w:val="center"/>
            <w:hideMark/>
          </w:tcPr>
          <w:p w14:paraId="67EE729E"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 xml:space="preserve">country </w:t>
            </w:r>
            <w:proofErr w:type="spellStart"/>
            <w:r w:rsidRPr="009E38D0">
              <w:rPr>
                <w:rFonts w:ascii="Arial Narrow" w:hAnsi="Arial Narrow"/>
                <w:color w:val="000000"/>
              </w:rPr>
              <w:t>specific</w:t>
            </w:r>
            <w:proofErr w:type="spellEnd"/>
            <w:r w:rsidRPr="009E38D0">
              <w:rPr>
                <w:rFonts w:ascii="Arial Narrow" w:hAnsi="Arial Narrow"/>
                <w:color w:val="000000"/>
              </w:rPr>
              <w:t xml:space="preserve"> </w:t>
            </w:r>
            <w:proofErr w:type="spellStart"/>
            <w:r w:rsidRPr="009E38D0">
              <w:rPr>
                <w:rFonts w:ascii="Arial Narrow" w:hAnsi="Arial Narrow"/>
                <w:color w:val="000000"/>
              </w:rPr>
              <w:t>recommendation</w:t>
            </w:r>
            <w:proofErr w:type="spellEnd"/>
            <w:r w:rsidRPr="009E38D0">
              <w:rPr>
                <w:rFonts w:ascii="Arial Narrow" w:hAnsi="Arial Narrow"/>
                <w:color w:val="000000"/>
              </w:rPr>
              <w:t>, špecifické odporúčanie Rady</w:t>
            </w:r>
          </w:p>
        </w:tc>
      </w:tr>
      <w:tr w:rsidR="004A1C3A" w:rsidRPr="009E38D0" w14:paraId="30667FEA" w14:textId="77777777" w:rsidTr="00EE676F">
        <w:trPr>
          <w:trHeight w:val="330"/>
        </w:trPr>
        <w:tc>
          <w:tcPr>
            <w:tcW w:w="1220" w:type="dxa"/>
            <w:tcBorders>
              <w:top w:val="nil"/>
              <w:left w:val="nil"/>
              <w:bottom w:val="nil"/>
              <w:right w:val="nil"/>
            </w:tcBorders>
            <w:shd w:val="clear" w:color="auto" w:fill="auto"/>
            <w:noWrap/>
            <w:vAlign w:val="center"/>
            <w:hideMark/>
          </w:tcPr>
          <w:p w14:paraId="17E2EA86"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DRG</w:t>
            </w:r>
          </w:p>
        </w:tc>
        <w:tc>
          <w:tcPr>
            <w:tcW w:w="7240" w:type="dxa"/>
            <w:tcBorders>
              <w:top w:val="nil"/>
              <w:left w:val="nil"/>
              <w:bottom w:val="nil"/>
              <w:right w:val="nil"/>
            </w:tcBorders>
            <w:shd w:val="clear" w:color="auto" w:fill="auto"/>
            <w:noWrap/>
            <w:vAlign w:val="center"/>
            <w:hideMark/>
          </w:tcPr>
          <w:p w14:paraId="774BC236" w14:textId="77777777" w:rsidR="004A1C3A" w:rsidRPr="009E38D0" w:rsidRDefault="004A1C3A" w:rsidP="00EE676F">
            <w:pPr>
              <w:spacing w:after="0" w:line="240" w:lineRule="auto"/>
              <w:rPr>
                <w:rFonts w:ascii="Arial Narrow" w:hAnsi="Arial Narrow"/>
                <w:color w:val="000000"/>
              </w:rPr>
            </w:pPr>
            <w:proofErr w:type="spellStart"/>
            <w:r w:rsidRPr="009E38D0">
              <w:rPr>
                <w:rFonts w:ascii="Arial Narrow" w:hAnsi="Arial Narrow"/>
                <w:color w:val="000000"/>
              </w:rPr>
              <w:t>diagnoses</w:t>
            </w:r>
            <w:proofErr w:type="spellEnd"/>
            <w:r w:rsidRPr="009E38D0">
              <w:rPr>
                <w:rFonts w:ascii="Arial Narrow" w:hAnsi="Arial Narrow"/>
                <w:color w:val="000000"/>
              </w:rPr>
              <w:t xml:space="preserve"> </w:t>
            </w:r>
            <w:proofErr w:type="spellStart"/>
            <w:r w:rsidRPr="009E38D0">
              <w:rPr>
                <w:rFonts w:ascii="Arial Narrow" w:hAnsi="Arial Narrow"/>
                <w:color w:val="000000"/>
              </w:rPr>
              <w:t>related</w:t>
            </w:r>
            <w:proofErr w:type="spellEnd"/>
            <w:r w:rsidRPr="009E38D0">
              <w:rPr>
                <w:rFonts w:ascii="Arial Narrow" w:hAnsi="Arial Narrow"/>
                <w:color w:val="000000"/>
              </w:rPr>
              <w:t xml:space="preserve"> </w:t>
            </w:r>
            <w:proofErr w:type="spellStart"/>
            <w:r w:rsidRPr="009E38D0">
              <w:rPr>
                <w:rFonts w:ascii="Arial Narrow" w:hAnsi="Arial Narrow"/>
                <w:color w:val="000000"/>
              </w:rPr>
              <w:t>groups</w:t>
            </w:r>
            <w:proofErr w:type="spellEnd"/>
            <w:r w:rsidRPr="009E38D0">
              <w:rPr>
                <w:rFonts w:ascii="Arial Narrow" w:hAnsi="Arial Narrow"/>
                <w:color w:val="000000"/>
              </w:rPr>
              <w:t>, diagnostické skupiny</w:t>
            </w:r>
          </w:p>
        </w:tc>
      </w:tr>
      <w:tr w:rsidR="004A1C3A" w:rsidRPr="009E38D0" w14:paraId="5DF1443D" w14:textId="77777777" w:rsidTr="00EE676F">
        <w:trPr>
          <w:trHeight w:val="330"/>
        </w:trPr>
        <w:tc>
          <w:tcPr>
            <w:tcW w:w="1220" w:type="dxa"/>
            <w:tcBorders>
              <w:top w:val="nil"/>
              <w:left w:val="nil"/>
              <w:bottom w:val="nil"/>
              <w:right w:val="nil"/>
            </w:tcBorders>
            <w:shd w:val="clear" w:color="auto" w:fill="auto"/>
            <w:noWrap/>
            <w:vAlign w:val="center"/>
            <w:hideMark/>
          </w:tcPr>
          <w:p w14:paraId="6745F5DE"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EK</w:t>
            </w:r>
          </w:p>
        </w:tc>
        <w:tc>
          <w:tcPr>
            <w:tcW w:w="7240" w:type="dxa"/>
            <w:tcBorders>
              <w:top w:val="nil"/>
              <w:left w:val="nil"/>
              <w:bottom w:val="nil"/>
              <w:right w:val="nil"/>
            </w:tcBorders>
            <w:shd w:val="clear" w:color="auto" w:fill="auto"/>
            <w:noWrap/>
            <w:vAlign w:val="center"/>
            <w:hideMark/>
          </w:tcPr>
          <w:p w14:paraId="01F638E4"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Európska komisia</w:t>
            </w:r>
          </w:p>
        </w:tc>
      </w:tr>
      <w:tr w:rsidR="007F2923" w:rsidRPr="009E38D0" w14:paraId="6B72C184" w14:textId="77777777" w:rsidTr="00EE676F">
        <w:trPr>
          <w:trHeight w:val="330"/>
        </w:trPr>
        <w:tc>
          <w:tcPr>
            <w:tcW w:w="1220" w:type="dxa"/>
            <w:tcBorders>
              <w:top w:val="nil"/>
              <w:left w:val="nil"/>
              <w:bottom w:val="nil"/>
              <w:right w:val="nil"/>
            </w:tcBorders>
            <w:shd w:val="clear" w:color="auto" w:fill="auto"/>
            <w:noWrap/>
            <w:vAlign w:val="center"/>
          </w:tcPr>
          <w:p w14:paraId="513B6FA0" w14:textId="675C0B9F" w:rsidR="007F2923" w:rsidRPr="009E38D0" w:rsidRDefault="007F2923" w:rsidP="00EE676F">
            <w:pPr>
              <w:spacing w:after="0" w:line="240" w:lineRule="auto"/>
              <w:rPr>
                <w:rFonts w:ascii="Arial Narrow" w:hAnsi="Arial Narrow"/>
                <w:color w:val="000000"/>
              </w:rPr>
            </w:pPr>
            <w:r>
              <w:rPr>
                <w:rFonts w:ascii="Arial Narrow" w:hAnsi="Arial Narrow"/>
                <w:color w:val="000000"/>
              </w:rPr>
              <w:t>EÚ</w:t>
            </w:r>
          </w:p>
        </w:tc>
        <w:tc>
          <w:tcPr>
            <w:tcW w:w="7240" w:type="dxa"/>
            <w:tcBorders>
              <w:top w:val="nil"/>
              <w:left w:val="nil"/>
              <w:bottom w:val="nil"/>
              <w:right w:val="nil"/>
            </w:tcBorders>
            <w:shd w:val="clear" w:color="auto" w:fill="auto"/>
            <w:noWrap/>
            <w:vAlign w:val="center"/>
          </w:tcPr>
          <w:p w14:paraId="70363A98" w14:textId="279369E4" w:rsidR="007F2923" w:rsidRPr="009E38D0" w:rsidRDefault="007F2923" w:rsidP="00EE676F">
            <w:pPr>
              <w:spacing w:after="0" w:line="240" w:lineRule="auto"/>
              <w:rPr>
                <w:rFonts w:ascii="Arial Narrow" w:hAnsi="Arial Narrow"/>
                <w:color w:val="000000"/>
              </w:rPr>
            </w:pPr>
            <w:r>
              <w:rPr>
                <w:rFonts w:ascii="Arial Narrow" w:hAnsi="Arial Narrow"/>
                <w:color w:val="000000"/>
              </w:rPr>
              <w:t>Európska únia</w:t>
            </w:r>
          </w:p>
        </w:tc>
      </w:tr>
      <w:tr w:rsidR="004A1C3A" w:rsidRPr="009E38D0" w14:paraId="717EF922" w14:textId="77777777" w:rsidTr="00EE676F">
        <w:trPr>
          <w:trHeight w:val="330"/>
        </w:trPr>
        <w:tc>
          <w:tcPr>
            <w:tcW w:w="1220" w:type="dxa"/>
            <w:tcBorders>
              <w:top w:val="nil"/>
              <w:left w:val="nil"/>
              <w:bottom w:val="nil"/>
              <w:right w:val="nil"/>
            </w:tcBorders>
            <w:shd w:val="clear" w:color="auto" w:fill="auto"/>
            <w:noWrap/>
            <w:vAlign w:val="center"/>
            <w:hideMark/>
          </w:tcPr>
          <w:p w14:paraId="0BD3C7F6"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EŠIF</w:t>
            </w:r>
          </w:p>
        </w:tc>
        <w:tc>
          <w:tcPr>
            <w:tcW w:w="7240" w:type="dxa"/>
            <w:tcBorders>
              <w:top w:val="nil"/>
              <w:left w:val="nil"/>
              <w:bottom w:val="nil"/>
              <w:right w:val="nil"/>
            </w:tcBorders>
            <w:shd w:val="clear" w:color="auto" w:fill="auto"/>
            <w:noWrap/>
            <w:vAlign w:val="center"/>
            <w:hideMark/>
          </w:tcPr>
          <w:p w14:paraId="56AACCC8"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európske štrukturálne a investičné fondy</w:t>
            </w:r>
          </w:p>
        </w:tc>
      </w:tr>
      <w:tr w:rsidR="004A1C3A" w:rsidRPr="009E38D0" w14:paraId="12FC98E0" w14:textId="77777777" w:rsidTr="00EE676F">
        <w:trPr>
          <w:trHeight w:val="330"/>
        </w:trPr>
        <w:tc>
          <w:tcPr>
            <w:tcW w:w="1220" w:type="dxa"/>
            <w:tcBorders>
              <w:top w:val="nil"/>
              <w:left w:val="nil"/>
              <w:bottom w:val="nil"/>
              <w:right w:val="nil"/>
            </w:tcBorders>
            <w:shd w:val="clear" w:color="auto" w:fill="auto"/>
            <w:noWrap/>
            <w:vAlign w:val="center"/>
            <w:hideMark/>
          </w:tcPr>
          <w:p w14:paraId="2F287D72"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FR SR</w:t>
            </w:r>
          </w:p>
        </w:tc>
        <w:tc>
          <w:tcPr>
            <w:tcW w:w="7240" w:type="dxa"/>
            <w:tcBorders>
              <w:top w:val="nil"/>
              <w:left w:val="nil"/>
              <w:bottom w:val="nil"/>
              <w:right w:val="nil"/>
            </w:tcBorders>
            <w:shd w:val="clear" w:color="auto" w:fill="auto"/>
            <w:noWrap/>
            <w:vAlign w:val="center"/>
            <w:hideMark/>
          </w:tcPr>
          <w:p w14:paraId="3F614E10"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Finančné riaditeľstvo SR</w:t>
            </w:r>
          </w:p>
        </w:tc>
      </w:tr>
      <w:tr w:rsidR="004A1C3A" w:rsidRPr="009E38D0" w14:paraId="447D1895" w14:textId="77777777" w:rsidTr="00EE676F">
        <w:trPr>
          <w:trHeight w:val="330"/>
        </w:trPr>
        <w:tc>
          <w:tcPr>
            <w:tcW w:w="1220" w:type="dxa"/>
            <w:tcBorders>
              <w:top w:val="nil"/>
              <w:left w:val="nil"/>
              <w:bottom w:val="nil"/>
              <w:right w:val="nil"/>
            </w:tcBorders>
            <w:shd w:val="clear" w:color="auto" w:fill="auto"/>
            <w:noWrap/>
            <w:vAlign w:val="center"/>
            <w:hideMark/>
          </w:tcPr>
          <w:p w14:paraId="7F8193C6"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IROP</w:t>
            </w:r>
          </w:p>
        </w:tc>
        <w:tc>
          <w:tcPr>
            <w:tcW w:w="7240" w:type="dxa"/>
            <w:tcBorders>
              <w:top w:val="nil"/>
              <w:left w:val="nil"/>
              <w:bottom w:val="nil"/>
              <w:right w:val="nil"/>
            </w:tcBorders>
            <w:shd w:val="clear" w:color="auto" w:fill="auto"/>
            <w:noWrap/>
            <w:vAlign w:val="center"/>
            <w:hideMark/>
          </w:tcPr>
          <w:p w14:paraId="290F214C"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Integrovaný regionálny operačný program</w:t>
            </w:r>
          </w:p>
        </w:tc>
      </w:tr>
      <w:tr w:rsidR="004A1C3A" w:rsidRPr="009E38D0" w14:paraId="40549C32" w14:textId="77777777" w:rsidTr="00EE676F">
        <w:trPr>
          <w:trHeight w:val="330"/>
        </w:trPr>
        <w:tc>
          <w:tcPr>
            <w:tcW w:w="1220" w:type="dxa"/>
            <w:tcBorders>
              <w:top w:val="nil"/>
              <w:left w:val="nil"/>
              <w:bottom w:val="nil"/>
              <w:right w:val="nil"/>
            </w:tcBorders>
            <w:shd w:val="clear" w:color="auto" w:fill="auto"/>
            <w:noWrap/>
            <w:vAlign w:val="center"/>
            <w:hideMark/>
          </w:tcPr>
          <w:p w14:paraId="0E24D9E8"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JLR</w:t>
            </w:r>
          </w:p>
        </w:tc>
        <w:tc>
          <w:tcPr>
            <w:tcW w:w="7240" w:type="dxa"/>
            <w:tcBorders>
              <w:top w:val="nil"/>
              <w:left w:val="nil"/>
              <w:bottom w:val="nil"/>
              <w:right w:val="nil"/>
            </w:tcBorders>
            <w:shd w:val="clear" w:color="auto" w:fill="auto"/>
            <w:noWrap/>
            <w:vAlign w:val="center"/>
            <w:hideMark/>
          </w:tcPr>
          <w:p w14:paraId="36C86197" w14:textId="77777777" w:rsidR="004A1C3A" w:rsidRPr="009E38D0" w:rsidRDefault="004A1C3A" w:rsidP="00EE676F">
            <w:pPr>
              <w:spacing w:after="0" w:line="240" w:lineRule="auto"/>
              <w:rPr>
                <w:rFonts w:ascii="Arial Narrow" w:hAnsi="Arial Narrow"/>
                <w:color w:val="000000"/>
              </w:rPr>
            </w:pPr>
            <w:proofErr w:type="spellStart"/>
            <w:r w:rsidRPr="009E38D0">
              <w:rPr>
                <w:rFonts w:ascii="Arial Narrow" w:hAnsi="Arial Narrow"/>
                <w:color w:val="000000"/>
              </w:rPr>
              <w:t>Jaguar</w:t>
            </w:r>
            <w:proofErr w:type="spellEnd"/>
            <w:r w:rsidRPr="009E38D0">
              <w:rPr>
                <w:rFonts w:ascii="Arial Narrow" w:hAnsi="Arial Narrow"/>
                <w:color w:val="000000"/>
              </w:rPr>
              <w:t xml:space="preserve"> </w:t>
            </w:r>
            <w:proofErr w:type="spellStart"/>
            <w:r w:rsidRPr="009E38D0">
              <w:rPr>
                <w:rFonts w:ascii="Arial Narrow" w:hAnsi="Arial Narrow"/>
                <w:color w:val="000000"/>
              </w:rPr>
              <w:t>Land</w:t>
            </w:r>
            <w:proofErr w:type="spellEnd"/>
            <w:r w:rsidRPr="009E38D0">
              <w:rPr>
                <w:rFonts w:ascii="Arial Narrow" w:hAnsi="Arial Narrow"/>
                <w:color w:val="000000"/>
              </w:rPr>
              <w:t xml:space="preserve"> </w:t>
            </w:r>
            <w:proofErr w:type="spellStart"/>
            <w:r w:rsidRPr="009E38D0">
              <w:rPr>
                <w:rFonts w:ascii="Arial Narrow" w:hAnsi="Arial Narrow"/>
                <w:color w:val="000000"/>
              </w:rPr>
              <w:t>Rover</w:t>
            </w:r>
            <w:proofErr w:type="spellEnd"/>
          </w:p>
        </w:tc>
      </w:tr>
      <w:tr w:rsidR="004A1C3A" w:rsidRPr="009E38D0" w14:paraId="4CA6E7A9" w14:textId="77777777" w:rsidTr="00EE676F">
        <w:trPr>
          <w:trHeight w:val="330"/>
        </w:trPr>
        <w:tc>
          <w:tcPr>
            <w:tcW w:w="1220" w:type="dxa"/>
            <w:tcBorders>
              <w:top w:val="nil"/>
              <w:left w:val="nil"/>
              <w:bottom w:val="nil"/>
              <w:right w:val="nil"/>
            </w:tcBorders>
            <w:shd w:val="clear" w:color="auto" w:fill="auto"/>
            <w:noWrap/>
            <w:vAlign w:val="center"/>
            <w:hideMark/>
          </w:tcPr>
          <w:p w14:paraId="08F908CD"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KEGA</w:t>
            </w:r>
          </w:p>
        </w:tc>
        <w:tc>
          <w:tcPr>
            <w:tcW w:w="7240" w:type="dxa"/>
            <w:tcBorders>
              <w:top w:val="nil"/>
              <w:left w:val="nil"/>
              <w:bottom w:val="nil"/>
              <w:right w:val="nil"/>
            </w:tcBorders>
            <w:shd w:val="clear" w:color="auto" w:fill="auto"/>
            <w:noWrap/>
            <w:vAlign w:val="center"/>
            <w:hideMark/>
          </w:tcPr>
          <w:p w14:paraId="54D363C2"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Kultúrna a edukačná grantová agentúra</w:t>
            </w:r>
          </w:p>
        </w:tc>
      </w:tr>
      <w:tr w:rsidR="004A1C3A" w:rsidRPr="009E38D0" w14:paraId="1E141FF2" w14:textId="77777777" w:rsidTr="00EE676F">
        <w:trPr>
          <w:trHeight w:val="330"/>
        </w:trPr>
        <w:tc>
          <w:tcPr>
            <w:tcW w:w="1220" w:type="dxa"/>
            <w:tcBorders>
              <w:top w:val="nil"/>
              <w:left w:val="nil"/>
              <w:bottom w:val="nil"/>
              <w:right w:val="nil"/>
            </w:tcBorders>
            <w:shd w:val="clear" w:color="auto" w:fill="auto"/>
            <w:noWrap/>
            <w:vAlign w:val="center"/>
            <w:hideMark/>
          </w:tcPr>
          <w:p w14:paraId="3A122499"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KF</w:t>
            </w:r>
          </w:p>
        </w:tc>
        <w:tc>
          <w:tcPr>
            <w:tcW w:w="7240" w:type="dxa"/>
            <w:tcBorders>
              <w:top w:val="nil"/>
              <w:left w:val="nil"/>
              <w:bottom w:val="nil"/>
              <w:right w:val="nil"/>
            </w:tcBorders>
            <w:shd w:val="clear" w:color="auto" w:fill="auto"/>
            <w:noWrap/>
            <w:vAlign w:val="center"/>
            <w:hideMark/>
          </w:tcPr>
          <w:p w14:paraId="6512D221"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kohézny fond</w:t>
            </w:r>
          </w:p>
        </w:tc>
      </w:tr>
      <w:tr w:rsidR="004A1C3A" w:rsidRPr="009E38D0" w14:paraId="4899941D" w14:textId="77777777" w:rsidTr="00EE676F">
        <w:trPr>
          <w:trHeight w:val="330"/>
        </w:trPr>
        <w:tc>
          <w:tcPr>
            <w:tcW w:w="1220" w:type="dxa"/>
            <w:tcBorders>
              <w:top w:val="nil"/>
              <w:left w:val="nil"/>
              <w:bottom w:val="nil"/>
              <w:right w:val="nil"/>
            </w:tcBorders>
            <w:shd w:val="clear" w:color="auto" w:fill="auto"/>
            <w:noWrap/>
            <w:vAlign w:val="center"/>
            <w:hideMark/>
          </w:tcPr>
          <w:p w14:paraId="051A463B"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MDV SR</w:t>
            </w:r>
          </w:p>
        </w:tc>
        <w:tc>
          <w:tcPr>
            <w:tcW w:w="7240" w:type="dxa"/>
            <w:tcBorders>
              <w:top w:val="nil"/>
              <w:left w:val="nil"/>
              <w:bottom w:val="nil"/>
              <w:right w:val="nil"/>
            </w:tcBorders>
            <w:shd w:val="clear" w:color="auto" w:fill="auto"/>
            <w:noWrap/>
            <w:vAlign w:val="center"/>
            <w:hideMark/>
          </w:tcPr>
          <w:p w14:paraId="5C050B91"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Ministerstvo dopravy a výstavby SR</w:t>
            </w:r>
          </w:p>
        </w:tc>
      </w:tr>
      <w:tr w:rsidR="004A1C3A" w:rsidRPr="009E38D0" w14:paraId="1C9ABECE" w14:textId="77777777" w:rsidTr="00EE676F">
        <w:trPr>
          <w:trHeight w:val="330"/>
        </w:trPr>
        <w:tc>
          <w:tcPr>
            <w:tcW w:w="1220" w:type="dxa"/>
            <w:tcBorders>
              <w:top w:val="nil"/>
              <w:left w:val="nil"/>
              <w:bottom w:val="nil"/>
              <w:right w:val="nil"/>
            </w:tcBorders>
            <w:shd w:val="clear" w:color="auto" w:fill="auto"/>
            <w:noWrap/>
            <w:vAlign w:val="center"/>
            <w:hideMark/>
          </w:tcPr>
          <w:p w14:paraId="46D3FF97"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MF SR</w:t>
            </w:r>
          </w:p>
        </w:tc>
        <w:tc>
          <w:tcPr>
            <w:tcW w:w="7240" w:type="dxa"/>
            <w:tcBorders>
              <w:top w:val="nil"/>
              <w:left w:val="nil"/>
              <w:bottom w:val="nil"/>
              <w:right w:val="nil"/>
            </w:tcBorders>
            <w:shd w:val="clear" w:color="auto" w:fill="auto"/>
            <w:noWrap/>
            <w:vAlign w:val="center"/>
            <w:hideMark/>
          </w:tcPr>
          <w:p w14:paraId="4E0122A4"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Ministerstvo financií SR</w:t>
            </w:r>
          </w:p>
        </w:tc>
      </w:tr>
      <w:tr w:rsidR="004A1C3A" w:rsidRPr="009E38D0" w14:paraId="36E7B186" w14:textId="77777777" w:rsidTr="00EE676F">
        <w:trPr>
          <w:trHeight w:val="330"/>
        </w:trPr>
        <w:tc>
          <w:tcPr>
            <w:tcW w:w="1220" w:type="dxa"/>
            <w:tcBorders>
              <w:top w:val="nil"/>
              <w:left w:val="nil"/>
              <w:bottom w:val="nil"/>
              <w:right w:val="nil"/>
            </w:tcBorders>
            <w:shd w:val="clear" w:color="auto" w:fill="auto"/>
            <w:noWrap/>
            <w:vAlign w:val="center"/>
            <w:hideMark/>
          </w:tcPr>
          <w:p w14:paraId="7796946A"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MPRV SR</w:t>
            </w:r>
          </w:p>
        </w:tc>
        <w:tc>
          <w:tcPr>
            <w:tcW w:w="7240" w:type="dxa"/>
            <w:tcBorders>
              <w:top w:val="nil"/>
              <w:left w:val="nil"/>
              <w:bottom w:val="nil"/>
              <w:right w:val="nil"/>
            </w:tcBorders>
            <w:shd w:val="clear" w:color="auto" w:fill="auto"/>
            <w:noWrap/>
            <w:vAlign w:val="center"/>
            <w:hideMark/>
          </w:tcPr>
          <w:p w14:paraId="66C88D75"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Ministerstvo pôdohospodárstva a rozvoja vidieka SR</w:t>
            </w:r>
          </w:p>
        </w:tc>
      </w:tr>
      <w:tr w:rsidR="004A1C3A" w:rsidRPr="009E38D0" w14:paraId="53D4C069" w14:textId="77777777" w:rsidTr="00EE676F">
        <w:trPr>
          <w:trHeight w:val="330"/>
        </w:trPr>
        <w:tc>
          <w:tcPr>
            <w:tcW w:w="1220" w:type="dxa"/>
            <w:tcBorders>
              <w:top w:val="nil"/>
              <w:left w:val="nil"/>
              <w:bottom w:val="nil"/>
              <w:right w:val="nil"/>
            </w:tcBorders>
            <w:shd w:val="clear" w:color="auto" w:fill="auto"/>
            <w:noWrap/>
            <w:vAlign w:val="center"/>
            <w:hideMark/>
          </w:tcPr>
          <w:p w14:paraId="71922A5C"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MPSVR SR</w:t>
            </w:r>
          </w:p>
        </w:tc>
        <w:tc>
          <w:tcPr>
            <w:tcW w:w="7240" w:type="dxa"/>
            <w:tcBorders>
              <w:top w:val="nil"/>
              <w:left w:val="nil"/>
              <w:bottom w:val="nil"/>
              <w:right w:val="nil"/>
            </w:tcBorders>
            <w:shd w:val="clear" w:color="auto" w:fill="auto"/>
            <w:noWrap/>
            <w:vAlign w:val="center"/>
            <w:hideMark/>
          </w:tcPr>
          <w:p w14:paraId="0F6FEC9B"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Ministerstvo práce, sociálnych vecí a rodiny SR</w:t>
            </w:r>
          </w:p>
        </w:tc>
      </w:tr>
      <w:tr w:rsidR="004A1C3A" w:rsidRPr="009E38D0" w14:paraId="5EAB31C3" w14:textId="77777777" w:rsidTr="00EE676F">
        <w:trPr>
          <w:trHeight w:val="330"/>
        </w:trPr>
        <w:tc>
          <w:tcPr>
            <w:tcW w:w="1220" w:type="dxa"/>
            <w:tcBorders>
              <w:top w:val="nil"/>
              <w:left w:val="nil"/>
              <w:bottom w:val="nil"/>
              <w:right w:val="nil"/>
            </w:tcBorders>
            <w:shd w:val="clear" w:color="auto" w:fill="auto"/>
            <w:noWrap/>
            <w:vAlign w:val="center"/>
            <w:hideMark/>
          </w:tcPr>
          <w:p w14:paraId="23E66EA3"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MRK</w:t>
            </w:r>
          </w:p>
        </w:tc>
        <w:tc>
          <w:tcPr>
            <w:tcW w:w="7240" w:type="dxa"/>
            <w:tcBorders>
              <w:top w:val="nil"/>
              <w:left w:val="nil"/>
              <w:bottom w:val="nil"/>
              <w:right w:val="nil"/>
            </w:tcBorders>
            <w:shd w:val="clear" w:color="auto" w:fill="auto"/>
            <w:noWrap/>
            <w:vAlign w:val="center"/>
            <w:hideMark/>
          </w:tcPr>
          <w:p w14:paraId="5A2F2BAB" w14:textId="4FECB95E" w:rsidR="004A1C3A" w:rsidRPr="009E38D0" w:rsidRDefault="004A1C3A" w:rsidP="00EE676F">
            <w:pPr>
              <w:spacing w:after="0" w:line="240" w:lineRule="auto"/>
              <w:rPr>
                <w:rFonts w:ascii="Arial Narrow" w:hAnsi="Arial Narrow"/>
                <w:color w:val="000000"/>
              </w:rPr>
            </w:pPr>
            <w:r>
              <w:rPr>
                <w:rFonts w:ascii="Arial Narrow" w:hAnsi="Arial Narrow"/>
                <w:color w:val="000000"/>
              </w:rPr>
              <w:t>m</w:t>
            </w:r>
            <w:r w:rsidRPr="009E38D0">
              <w:rPr>
                <w:rFonts w:ascii="Arial Narrow" w:hAnsi="Arial Narrow"/>
                <w:color w:val="000000"/>
              </w:rPr>
              <w:t>arginalizované rómske komunity</w:t>
            </w:r>
          </w:p>
        </w:tc>
      </w:tr>
      <w:tr w:rsidR="004A1C3A" w:rsidRPr="009E38D0" w14:paraId="39729B85" w14:textId="77777777" w:rsidTr="00EE676F">
        <w:trPr>
          <w:trHeight w:val="330"/>
        </w:trPr>
        <w:tc>
          <w:tcPr>
            <w:tcW w:w="1220" w:type="dxa"/>
            <w:tcBorders>
              <w:top w:val="nil"/>
              <w:left w:val="nil"/>
              <w:bottom w:val="nil"/>
              <w:right w:val="nil"/>
            </w:tcBorders>
            <w:shd w:val="clear" w:color="auto" w:fill="auto"/>
            <w:noWrap/>
            <w:vAlign w:val="center"/>
            <w:hideMark/>
          </w:tcPr>
          <w:p w14:paraId="68A0DC3B"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MS SR</w:t>
            </w:r>
          </w:p>
        </w:tc>
        <w:tc>
          <w:tcPr>
            <w:tcW w:w="7240" w:type="dxa"/>
            <w:tcBorders>
              <w:top w:val="nil"/>
              <w:left w:val="nil"/>
              <w:bottom w:val="nil"/>
              <w:right w:val="nil"/>
            </w:tcBorders>
            <w:shd w:val="clear" w:color="auto" w:fill="auto"/>
            <w:noWrap/>
            <w:vAlign w:val="center"/>
            <w:hideMark/>
          </w:tcPr>
          <w:p w14:paraId="7E2DADD4"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Ministerstvo spravodlivosti SR</w:t>
            </w:r>
          </w:p>
        </w:tc>
      </w:tr>
      <w:tr w:rsidR="004A1C3A" w:rsidRPr="009E38D0" w14:paraId="00B93570" w14:textId="77777777" w:rsidTr="00EE676F">
        <w:trPr>
          <w:trHeight w:val="330"/>
        </w:trPr>
        <w:tc>
          <w:tcPr>
            <w:tcW w:w="1220" w:type="dxa"/>
            <w:tcBorders>
              <w:top w:val="nil"/>
              <w:left w:val="nil"/>
              <w:bottom w:val="nil"/>
              <w:right w:val="nil"/>
            </w:tcBorders>
            <w:shd w:val="clear" w:color="auto" w:fill="auto"/>
            <w:noWrap/>
            <w:vAlign w:val="center"/>
            <w:hideMark/>
          </w:tcPr>
          <w:p w14:paraId="7CC520BE"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MV SR</w:t>
            </w:r>
          </w:p>
        </w:tc>
        <w:tc>
          <w:tcPr>
            <w:tcW w:w="7240" w:type="dxa"/>
            <w:tcBorders>
              <w:top w:val="nil"/>
              <w:left w:val="nil"/>
              <w:bottom w:val="nil"/>
              <w:right w:val="nil"/>
            </w:tcBorders>
            <w:shd w:val="clear" w:color="auto" w:fill="auto"/>
            <w:noWrap/>
            <w:vAlign w:val="center"/>
            <w:hideMark/>
          </w:tcPr>
          <w:p w14:paraId="31861AA7"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Ministerstvo vnútra SR</w:t>
            </w:r>
          </w:p>
        </w:tc>
      </w:tr>
      <w:tr w:rsidR="004A1C3A" w:rsidRPr="009E38D0" w14:paraId="3BBDE4EE" w14:textId="77777777" w:rsidTr="00EE676F">
        <w:trPr>
          <w:trHeight w:val="330"/>
        </w:trPr>
        <w:tc>
          <w:tcPr>
            <w:tcW w:w="1220" w:type="dxa"/>
            <w:tcBorders>
              <w:top w:val="nil"/>
              <w:left w:val="nil"/>
              <w:bottom w:val="nil"/>
              <w:right w:val="nil"/>
            </w:tcBorders>
            <w:shd w:val="clear" w:color="auto" w:fill="auto"/>
            <w:noWrap/>
            <w:vAlign w:val="center"/>
            <w:hideMark/>
          </w:tcPr>
          <w:p w14:paraId="5C43C913" w14:textId="77777777" w:rsidR="004A1C3A" w:rsidRPr="009E38D0" w:rsidRDefault="004A1C3A" w:rsidP="00EE676F">
            <w:pPr>
              <w:spacing w:after="0" w:line="240" w:lineRule="auto"/>
              <w:rPr>
                <w:rFonts w:ascii="Arial Narrow" w:hAnsi="Arial Narrow"/>
                <w:color w:val="000000"/>
              </w:rPr>
            </w:pPr>
            <w:proofErr w:type="spellStart"/>
            <w:r w:rsidRPr="009E38D0">
              <w:rPr>
                <w:rFonts w:ascii="Arial Narrow" w:hAnsi="Arial Narrow"/>
                <w:color w:val="000000"/>
              </w:rPr>
              <w:t>MZVaEZ</w:t>
            </w:r>
            <w:proofErr w:type="spellEnd"/>
            <w:r w:rsidRPr="009E38D0">
              <w:rPr>
                <w:rFonts w:ascii="Arial Narrow" w:hAnsi="Arial Narrow"/>
                <w:color w:val="000000"/>
              </w:rPr>
              <w:t xml:space="preserve"> SR</w:t>
            </w:r>
          </w:p>
        </w:tc>
        <w:tc>
          <w:tcPr>
            <w:tcW w:w="7240" w:type="dxa"/>
            <w:tcBorders>
              <w:top w:val="nil"/>
              <w:left w:val="nil"/>
              <w:bottom w:val="nil"/>
              <w:right w:val="nil"/>
            </w:tcBorders>
            <w:shd w:val="clear" w:color="auto" w:fill="auto"/>
            <w:noWrap/>
            <w:vAlign w:val="center"/>
            <w:hideMark/>
          </w:tcPr>
          <w:p w14:paraId="2F85D15F"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Ministerstvo zahraničných vecí a európskych záležitostí SR</w:t>
            </w:r>
          </w:p>
        </w:tc>
      </w:tr>
      <w:tr w:rsidR="004A1C3A" w:rsidRPr="009E38D0" w14:paraId="33A86A1C" w14:textId="77777777" w:rsidTr="00EE676F">
        <w:trPr>
          <w:trHeight w:val="330"/>
        </w:trPr>
        <w:tc>
          <w:tcPr>
            <w:tcW w:w="1220" w:type="dxa"/>
            <w:tcBorders>
              <w:top w:val="nil"/>
              <w:left w:val="nil"/>
              <w:bottom w:val="nil"/>
              <w:right w:val="nil"/>
            </w:tcBorders>
            <w:shd w:val="clear" w:color="auto" w:fill="auto"/>
            <w:noWrap/>
            <w:vAlign w:val="center"/>
            <w:hideMark/>
          </w:tcPr>
          <w:p w14:paraId="7F0459DF"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MŽP SR</w:t>
            </w:r>
          </w:p>
        </w:tc>
        <w:tc>
          <w:tcPr>
            <w:tcW w:w="7240" w:type="dxa"/>
            <w:tcBorders>
              <w:top w:val="nil"/>
              <w:left w:val="nil"/>
              <w:bottom w:val="nil"/>
              <w:right w:val="nil"/>
            </w:tcBorders>
            <w:shd w:val="clear" w:color="auto" w:fill="auto"/>
            <w:noWrap/>
            <w:vAlign w:val="center"/>
            <w:hideMark/>
          </w:tcPr>
          <w:p w14:paraId="64F8B0ED"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Ministerstvo životného prostredia SR</w:t>
            </w:r>
          </w:p>
        </w:tc>
      </w:tr>
      <w:tr w:rsidR="004A1C3A" w:rsidRPr="009E38D0" w14:paraId="2A400D88" w14:textId="77777777" w:rsidTr="00EE676F">
        <w:trPr>
          <w:trHeight w:val="330"/>
        </w:trPr>
        <w:tc>
          <w:tcPr>
            <w:tcW w:w="1220" w:type="dxa"/>
            <w:tcBorders>
              <w:top w:val="nil"/>
              <w:left w:val="nil"/>
              <w:bottom w:val="nil"/>
              <w:right w:val="nil"/>
            </w:tcBorders>
            <w:shd w:val="clear" w:color="auto" w:fill="auto"/>
            <w:noWrap/>
            <w:vAlign w:val="center"/>
            <w:hideMark/>
          </w:tcPr>
          <w:p w14:paraId="5EFB913B"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NFP</w:t>
            </w:r>
          </w:p>
        </w:tc>
        <w:tc>
          <w:tcPr>
            <w:tcW w:w="7240" w:type="dxa"/>
            <w:tcBorders>
              <w:top w:val="nil"/>
              <w:left w:val="nil"/>
              <w:bottom w:val="nil"/>
              <w:right w:val="nil"/>
            </w:tcBorders>
            <w:shd w:val="clear" w:color="auto" w:fill="auto"/>
            <w:noWrap/>
            <w:vAlign w:val="center"/>
            <w:hideMark/>
          </w:tcPr>
          <w:p w14:paraId="73FF7533"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nenávratné finančné prostriedky</w:t>
            </w:r>
          </w:p>
        </w:tc>
      </w:tr>
      <w:tr w:rsidR="004A1C3A" w:rsidRPr="009E38D0" w14:paraId="7ABFDEE8" w14:textId="77777777" w:rsidTr="00EE676F">
        <w:trPr>
          <w:trHeight w:val="330"/>
        </w:trPr>
        <w:tc>
          <w:tcPr>
            <w:tcW w:w="1220" w:type="dxa"/>
            <w:tcBorders>
              <w:top w:val="nil"/>
              <w:left w:val="nil"/>
              <w:bottom w:val="nil"/>
              <w:right w:val="nil"/>
            </w:tcBorders>
            <w:shd w:val="clear" w:color="auto" w:fill="auto"/>
            <w:noWrap/>
            <w:vAlign w:val="center"/>
            <w:hideMark/>
          </w:tcPr>
          <w:p w14:paraId="7653D260"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NPR</w:t>
            </w:r>
          </w:p>
        </w:tc>
        <w:tc>
          <w:tcPr>
            <w:tcW w:w="7240" w:type="dxa"/>
            <w:tcBorders>
              <w:top w:val="nil"/>
              <w:left w:val="nil"/>
              <w:bottom w:val="nil"/>
              <w:right w:val="nil"/>
            </w:tcBorders>
            <w:shd w:val="clear" w:color="auto" w:fill="auto"/>
            <w:noWrap/>
            <w:vAlign w:val="center"/>
            <w:hideMark/>
          </w:tcPr>
          <w:p w14:paraId="08BAA104"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Národný program reforiem</w:t>
            </w:r>
          </w:p>
        </w:tc>
      </w:tr>
      <w:tr w:rsidR="004A1C3A" w:rsidRPr="009E38D0" w14:paraId="445595C4" w14:textId="77777777" w:rsidTr="00EE676F">
        <w:trPr>
          <w:trHeight w:val="330"/>
        </w:trPr>
        <w:tc>
          <w:tcPr>
            <w:tcW w:w="1220" w:type="dxa"/>
            <w:tcBorders>
              <w:top w:val="nil"/>
              <w:left w:val="nil"/>
              <w:bottom w:val="nil"/>
              <w:right w:val="nil"/>
            </w:tcBorders>
            <w:shd w:val="clear" w:color="auto" w:fill="auto"/>
            <w:noWrap/>
            <w:vAlign w:val="center"/>
            <w:hideMark/>
          </w:tcPr>
          <w:p w14:paraId="2DD75CEC"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NPRVV</w:t>
            </w:r>
          </w:p>
        </w:tc>
        <w:tc>
          <w:tcPr>
            <w:tcW w:w="7240" w:type="dxa"/>
            <w:tcBorders>
              <w:top w:val="nil"/>
              <w:left w:val="nil"/>
              <w:bottom w:val="nil"/>
              <w:right w:val="nil"/>
            </w:tcBorders>
            <w:shd w:val="clear" w:color="auto" w:fill="auto"/>
            <w:noWrap/>
            <w:vAlign w:val="center"/>
            <w:hideMark/>
          </w:tcPr>
          <w:p w14:paraId="3A14A047"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Národný program pre rozvoj výchovy a vzdelávania</w:t>
            </w:r>
          </w:p>
        </w:tc>
      </w:tr>
      <w:tr w:rsidR="004A1C3A" w:rsidRPr="009E38D0" w14:paraId="3938FA79" w14:textId="77777777" w:rsidTr="00EE676F">
        <w:trPr>
          <w:trHeight w:val="330"/>
        </w:trPr>
        <w:tc>
          <w:tcPr>
            <w:tcW w:w="1220" w:type="dxa"/>
            <w:tcBorders>
              <w:top w:val="nil"/>
              <w:left w:val="nil"/>
              <w:bottom w:val="nil"/>
              <w:right w:val="nil"/>
            </w:tcBorders>
            <w:shd w:val="clear" w:color="auto" w:fill="auto"/>
            <w:noWrap/>
            <w:vAlign w:val="center"/>
            <w:hideMark/>
          </w:tcPr>
          <w:p w14:paraId="225F4F1B"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OP ĽZ</w:t>
            </w:r>
          </w:p>
        </w:tc>
        <w:tc>
          <w:tcPr>
            <w:tcW w:w="7240" w:type="dxa"/>
            <w:tcBorders>
              <w:top w:val="nil"/>
              <w:left w:val="nil"/>
              <w:bottom w:val="nil"/>
              <w:right w:val="nil"/>
            </w:tcBorders>
            <w:shd w:val="clear" w:color="auto" w:fill="auto"/>
            <w:noWrap/>
            <w:vAlign w:val="center"/>
            <w:hideMark/>
          </w:tcPr>
          <w:p w14:paraId="3D6A7C8D"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Operačný program Ľudské zdroje</w:t>
            </w:r>
          </w:p>
        </w:tc>
      </w:tr>
      <w:tr w:rsidR="004A1C3A" w:rsidRPr="009E38D0" w14:paraId="69EA3CD8" w14:textId="77777777" w:rsidTr="00EE676F">
        <w:trPr>
          <w:trHeight w:val="330"/>
        </w:trPr>
        <w:tc>
          <w:tcPr>
            <w:tcW w:w="1220" w:type="dxa"/>
            <w:tcBorders>
              <w:top w:val="nil"/>
              <w:left w:val="nil"/>
              <w:bottom w:val="nil"/>
              <w:right w:val="nil"/>
            </w:tcBorders>
            <w:shd w:val="clear" w:color="auto" w:fill="auto"/>
            <w:noWrap/>
            <w:vAlign w:val="center"/>
            <w:hideMark/>
          </w:tcPr>
          <w:p w14:paraId="59EDD836"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OP EVS</w:t>
            </w:r>
          </w:p>
        </w:tc>
        <w:tc>
          <w:tcPr>
            <w:tcW w:w="7240" w:type="dxa"/>
            <w:tcBorders>
              <w:top w:val="nil"/>
              <w:left w:val="nil"/>
              <w:bottom w:val="nil"/>
              <w:right w:val="nil"/>
            </w:tcBorders>
            <w:shd w:val="clear" w:color="auto" w:fill="auto"/>
            <w:noWrap/>
            <w:vAlign w:val="center"/>
            <w:hideMark/>
          </w:tcPr>
          <w:p w14:paraId="148C6ACF"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Operačný program Efektívna verejná správa</w:t>
            </w:r>
          </w:p>
        </w:tc>
      </w:tr>
      <w:tr w:rsidR="004A1C3A" w:rsidRPr="009E38D0" w14:paraId="3DD39EDC" w14:textId="77777777" w:rsidTr="00EE676F">
        <w:trPr>
          <w:trHeight w:val="330"/>
        </w:trPr>
        <w:tc>
          <w:tcPr>
            <w:tcW w:w="1220" w:type="dxa"/>
            <w:tcBorders>
              <w:top w:val="nil"/>
              <w:left w:val="nil"/>
              <w:bottom w:val="nil"/>
              <w:right w:val="nil"/>
            </w:tcBorders>
            <w:shd w:val="clear" w:color="auto" w:fill="auto"/>
            <w:noWrap/>
            <w:vAlign w:val="center"/>
            <w:hideMark/>
          </w:tcPr>
          <w:p w14:paraId="5A2D2CC5"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RRZ</w:t>
            </w:r>
          </w:p>
        </w:tc>
        <w:tc>
          <w:tcPr>
            <w:tcW w:w="7240" w:type="dxa"/>
            <w:tcBorders>
              <w:top w:val="nil"/>
              <w:left w:val="nil"/>
              <w:bottom w:val="nil"/>
              <w:right w:val="nil"/>
            </w:tcBorders>
            <w:shd w:val="clear" w:color="auto" w:fill="auto"/>
            <w:noWrap/>
            <w:vAlign w:val="center"/>
            <w:hideMark/>
          </w:tcPr>
          <w:p w14:paraId="121B568A"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Rada pre rozpočtovú zodpovednosť</w:t>
            </w:r>
          </w:p>
        </w:tc>
      </w:tr>
      <w:tr w:rsidR="004A1C3A" w:rsidRPr="009E38D0" w14:paraId="1C9A17B2" w14:textId="77777777" w:rsidTr="00EE676F">
        <w:trPr>
          <w:trHeight w:val="330"/>
        </w:trPr>
        <w:tc>
          <w:tcPr>
            <w:tcW w:w="1220" w:type="dxa"/>
            <w:tcBorders>
              <w:top w:val="nil"/>
              <w:left w:val="nil"/>
              <w:bottom w:val="nil"/>
              <w:right w:val="nil"/>
            </w:tcBorders>
            <w:shd w:val="clear" w:color="auto" w:fill="auto"/>
            <w:noWrap/>
            <w:vAlign w:val="center"/>
            <w:hideMark/>
          </w:tcPr>
          <w:p w14:paraId="7A8236A2"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SHMÚ</w:t>
            </w:r>
          </w:p>
        </w:tc>
        <w:tc>
          <w:tcPr>
            <w:tcW w:w="7240" w:type="dxa"/>
            <w:tcBorders>
              <w:top w:val="nil"/>
              <w:left w:val="nil"/>
              <w:bottom w:val="nil"/>
              <w:right w:val="nil"/>
            </w:tcBorders>
            <w:shd w:val="clear" w:color="auto" w:fill="auto"/>
            <w:noWrap/>
            <w:vAlign w:val="center"/>
            <w:hideMark/>
          </w:tcPr>
          <w:p w14:paraId="7076E773"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 xml:space="preserve">Slovenský </w:t>
            </w:r>
            <w:proofErr w:type="spellStart"/>
            <w:r w:rsidRPr="009E38D0">
              <w:rPr>
                <w:rFonts w:ascii="Arial Narrow" w:hAnsi="Arial Narrow"/>
                <w:color w:val="000000"/>
              </w:rPr>
              <w:t>hydro</w:t>
            </w:r>
            <w:proofErr w:type="spellEnd"/>
            <w:r w:rsidRPr="009E38D0">
              <w:rPr>
                <w:rFonts w:ascii="Arial Narrow" w:hAnsi="Arial Narrow"/>
                <w:color w:val="000000"/>
              </w:rPr>
              <w:t>-meteorologický ústav</w:t>
            </w:r>
          </w:p>
        </w:tc>
      </w:tr>
      <w:tr w:rsidR="004A1C3A" w:rsidRPr="009E38D0" w14:paraId="05FB9708" w14:textId="77777777" w:rsidTr="00EE676F">
        <w:trPr>
          <w:trHeight w:val="330"/>
        </w:trPr>
        <w:tc>
          <w:tcPr>
            <w:tcW w:w="1220" w:type="dxa"/>
            <w:tcBorders>
              <w:top w:val="nil"/>
              <w:left w:val="nil"/>
              <w:bottom w:val="nil"/>
              <w:right w:val="nil"/>
            </w:tcBorders>
            <w:shd w:val="clear" w:color="auto" w:fill="auto"/>
            <w:noWrap/>
            <w:vAlign w:val="center"/>
          </w:tcPr>
          <w:p w14:paraId="5E8BD750" w14:textId="77777777" w:rsidR="004A1C3A" w:rsidRPr="009E38D0" w:rsidRDefault="004A1C3A" w:rsidP="00EE676F">
            <w:pPr>
              <w:spacing w:after="0" w:line="240" w:lineRule="auto"/>
              <w:rPr>
                <w:rFonts w:ascii="Arial Narrow" w:hAnsi="Arial Narrow"/>
                <w:color w:val="000000"/>
              </w:rPr>
            </w:pPr>
            <w:r>
              <w:rPr>
                <w:rFonts w:ascii="Arial Narrow" w:hAnsi="Arial Narrow"/>
                <w:color w:val="000000"/>
              </w:rPr>
              <w:t>SŠ</w:t>
            </w:r>
          </w:p>
        </w:tc>
        <w:tc>
          <w:tcPr>
            <w:tcW w:w="7240" w:type="dxa"/>
            <w:tcBorders>
              <w:top w:val="nil"/>
              <w:left w:val="nil"/>
              <w:bottom w:val="nil"/>
              <w:right w:val="nil"/>
            </w:tcBorders>
            <w:shd w:val="clear" w:color="auto" w:fill="auto"/>
            <w:noWrap/>
            <w:vAlign w:val="center"/>
          </w:tcPr>
          <w:p w14:paraId="35CFF520" w14:textId="77777777" w:rsidR="004A1C3A" w:rsidRPr="009E38D0" w:rsidRDefault="004A1C3A" w:rsidP="00EE676F">
            <w:pPr>
              <w:spacing w:after="0" w:line="240" w:lineRule="auto"/>
              <w:rPr>
                <w:rFonts w:ascii="Arial Narrow" w:hAnsi="Arial Narrow"/>
                <w:color w:val="000000"/>
              </w:rPr>
            </w:pPr>
            <w:r>
              <w:rPr>
                <w:rFonts w:ascii="Arial Narrow" w:hAnsi="Arial Narrow"/>
                <w:color w:val="000000"/>
              </w:rPr>
              <w:t>stredná škola</w:t>
            </w:r>
          </w:p>
        </w:tc>
      </w:tr>
      <w:tr w:rsidR="004A1C3A" w:rsidRPr="009E38D0" w14:paraId="2ED0EA28" w14:textId="77777777" w:rsidTr="00EE676F">
        <w:trPr>
          <w:trHeight w:val="330"/>
        </w:trPr>
        <w:tc>
          <w:tcPr>
            <w:tcW w:w="1220" w:type="dxa"/>
            <w:tcBorders>
              <w:top w:val="nil"/>
              <w:left w:val="nil"/>
              <w:bottom w:val="nil"/>
              <w:right w:val="nil"/>
            </w:tcBorders>
            <w:shd w:val="clear" w:color="auto" w:fill="auto"/>
            <w:noWrap/>
            <w:vAlign w:val="center"/>
            <w:hideMark/>
          </w:tcPr>
          <w:p w14:paraId="1FDDCF8C"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SVLZ</w:t>
            </w:r>
          </w:p>
        </w:tc>
        <w:tc>
          <w:tcPr>
            <w:tcW w:w="7240" w:type="dxa"/>
            <w:tcBorders>
              <w:top w:val="nil"/>
              <w:left w:val="nil"/>
              <w:bottom w:val="nil"/>
              <w:right w:val="nil"/>
            </w:tcBorders>
            <w:shd w:val="clear" w:color="auto" w:fill="auto"/>
            <w:noWrap/>
            <w:vAlign w:val="center"/>
            <w:hideMark/>
          </w:tcPr>
          <w:p w14:paraId="1B6FE5D5" w14:textId="58A00B1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Spoločné vyšetrovacie a liečebné zložky (</w:t>
            </w:r>
            <w:proofErr w:type="spellStart"/>
            <w:r w:rsidRPr="009E38D0">
              <w:rPr>
                <w:rFonts w:ascii="Arial Narrow" w:hAnsi="Arial Narrow"/>
                <w:color w:val="000000"/>
              </w:rPr>
              <w:t>t.j</w:t>
            </w:r>
            <w:proofErr w:type="spellEnd"/>
            <w:r w:rsidRPr="009E38D0">
              <w:rPr>
                <w:rFonts w:ascii="Arial Narrow" w:hAnsi="Arial Narrow"/>
                <w:color w:val="000000"/>
              </w:rPr>
              <w:t>.</w:t>
            </w:r>
            <w:r>
              <w:rPr>
                <w:rFonts w:ascii="Arial Narrow" w:hAnsi="Arial Narrow"/>
                <w:color w:val="000000"/>
              </w:rPr>
              <w:t xml:space="preserve"> </w:t>
            </w:r>
            <w:r w:rsidRPr="009E38D0">
              <w:rPr>
                <w:rFonts w:ascii="Arial Narrow" w:hAnsi="Arial Narrow"/>
                <w:color w:val="000000"/>
              </w:rPr>
              <w:t>zobrazovacie a laboratórne vyšetrenia)</w:t>
            </w:r>
          </w:p>
        </w:tc>
      </w:tr>
      <w:tr w:rsidR="004A1C3A" w:rsidRPr="009E38D0" w14:paraId="7DC75A0C" w14:textId="77777777" w:rsidTr="00EE676F">
        <w:trPr>
          <w:trHeight w:val="330"/>
        </w:trPr>
        <w:tc>
          <w:tcPr>
            <w:tcW w:w="1220" w:type="dxa"/>
            <w:tcBorders>
              <w:top w:val="nil"/>
              <w:left w:val="nil"/>
              <w:bottom w:val="nil"/>
              <w:right w:val="nil"/>
            </w:tcBorders>
            <w:shd w:val="clear" w:color="auto" w:fill="auto"/>
            <w:noWrap/>
            <w:vAlign w:val="center"/>
            <w:hideMark/>
          </w:tcPr>
          <w:p w14:paraId="1FB3C8D7"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ŠFRB</w:t>
            </w:r>
          </w:p>
        </w:tc>
        <w:tc>
          <w:tcPr>
            <w:tcW w:w="7240" w:type="dxa"/>
            <w:tcBorders>
              <w:top w:val="nil"/>
              <w:left w:val="nil"/>
              <w:bottom w:val="nil"/>
              <w:right w:val="nil"/>
            </w:tcBorders>
            <w:shd w:val="clear" w:color="auto" w:fill="auto"/>
            <w:noWrap/>
            <w:vAlign w:val="center"/>
            <w:hideMark/>
          </w:tcPr>
          <w:p w14:paraId="4F2C9E72"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Štátny fond rozvoja bývania</w:t>
            </w:r>
          </w:p>
        </w:tc>
      </w:tr>
      <w:tr w:rsidR="004A1C3A" w:rsidRPr="009E38D0" w14:paraId="29597A97" w14:textId="77777777" w:rsidTr="00EE676F">
        <w:trPr>
          <w:trHeight w:val="330"/>
        </w:trPr>
        <w:tc>
          <w:tcPr>
            <w:tcW w:w="1220" w:type="dxa"/>
            <w:tcBorders>
              <w:top w:val="nil"/>
              <w:left w:val="nil"/>
              <w:bottom w:val="nil"/>
              <w:right w:val="nil"/>
            </w:tcBorders>
            <w:shd w:val="clear" w:color="auto" w:fill="auto"/>
            <w:noWrap/>
            <w:vAlign w:val="center"/>
            <w:hideMark/>
          </w:tcPr>
          <w:p w14:paraId="63D66802"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ŠF</w:t>
            </w:r>
          </w:p>
        </w:tc>
        <w:tc>
          <w:tcPr>
            <w:tcW w:w="7240" w:type="dxa"/>
            <w:tcBorders>
              <w:top w:val="nil"/>
              <w:left w:val="nil"/>
              <w:bottom w:val="nil"/>
              <w:right w:val="nil"/>
            </w:tcBorders>
            <w:shd w:val="clear" w:color="auto" w:fill="auto"/>
            <w:noWrap/>
            <w:vAlign w:val="center"/>
            <w:hideMark/>
          </w:tcPr>
          <w:p w14:paraId="3360F310"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štrukturálne fondy</w:t>
            </w:r>
          </w:p>
        </w:tc>
      </w:tr>
      <w:tr w:rsidR="004A1C3A" w:rsidRPr="009E38D0" w14:paraId="52C5E437" w14:textId="77777777" w:rsidTr="00EE676F">
        <w:trPr>
          <w:trHeight w:val="330"/>
        </w:trPr>
        <w:tc>
          <w:tcPr>
            <w:tcW w:w="1220" w:type="dxa"/>
            <w:tcBorders>
              <w:top w:val="nil"/>
              <w:left w:val="nil"/>
              <w:bottom w:val="nil"/>
              <w:right w:val="nil"/>
            </w:tcBorders>
            <w:shd w:val="clear" w:color="auto" w:fill="auto"/>
            <w:noWrap/>
            <w:vAlign w:val="center"/>
            <w:hideMark/>
          </w:tcPr>
          <w:p w14:paraId="68C0BB29"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ŠZM</w:t>
            </w:r>
          </w:p>
        </w:tc>
        <w:tc>
          <w:tcPr>
            <w:tcW w:w="7240" w:type="dxa"/>
            <w:tcBorders>
              <w:top w:val="nil"/>
              <w:left w:val="nil"/>
              <w:bottom w:val="nil"/>
              <w:right w:val="nil"/>
            </w:tcBorders>
            <w:shd w:val="clear" w:color="auto" w:fill="auto"/>
            <w:noWrap/>
            <w:vAlign w:val="center"/>
            <w:hideMark/>
          </w:tcPr>
          <w:p w14:paraId="44D8F899"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špeciálny zdravotnícky materiál</w:t>
            </w:r>
          </w:p>
        </w:tc>
      </w:tr>
      <w:tr w:rsidR="00EA40F4" w:rsidRPr="009E38D0" w14:paraId="22255D58" w14:textId="77777777" w:rsidTr="00EE676F">
        <w:trPr>
          <w:trHeight w:val="330"/>
        </w:trPr>
        <w:tc>
          <w:tcPr>
            <w:tcW w:w="1220" w:type="dxa"/>
            <w:tcBorders>
              <w:top w:val="nil"/>
              <w:left w:val="nil"/>
              <w:bottom w:val="nil"/>
              <w:right w:val="nil"/>
            </w:tcBorders>
            <w:shd w:val="clear" w:color="auto" w:fill="auto"/>
            <w:noWrap/>
            <w:vAlign w:val="center"/>
          </w:tcPr>
          <w:p w14:paraId="3E662087" w14:textId="0E7AD06A" w:rsidR="00EA40F4" w:rsidRPr="009E38D0" w:rsidRDefault="00EA40F4" w:rsidP="00EE676F">
            <w:pPr>
              <w:spacing w:after="0" w:line="240" w:lineRule="auto"/>
              <w:rPr>
                <w:rFonts w:ascii="Arial Narrow" w:hAnsi="Arial Narrow"/>
                <w:color w:val="000000"/>
              </w:rPr>
            </w:pPr>
            <w:r>
              <w:rPr>
                <w:rFonts w:ascii="Arial Narrow" w:hAnsi="Arial Narrow"/>
                <w:color w:val="000000"/>
              </w:rPr>
              <w:t>UK</w:t>
            </w:r>
          </w:p>
        </w:tc>
        <w:tc>
          <w:tcPr>
            <w:tcW w:w="7240" w:type="dxa"/>
            <w:tcBorders>
              <w:top w:val="nil"/>
              <w:left w:val="nil"/>
              <w:bottom w:val="nil"/>
              <w:right w:val="nil"/>
            </w:tcBorders>
            <w:shd w:val="clear" w:color="auto" w:fill="auto"/>
            <w:noWrap/>
            <w:vAlign w:val="center"/>
          </w:tcPr>
          <w:p w14:paraId="6EFAAF56" w14:textId="05092CAD" w:rsidR="00EA40F4" w:rsidRPr="009E38D0" w:rsidRDefault="00EA40F4" w:rsidP="00EE676F">
            <w:pPr>
              <w:spacing w:after="0" w:line="240" w:lineRule="auto"/>
              <w:rPr>
                <w:rFonts w:ascii="Arial Narrow" w:hAnsi="Arial Narrow"/>
                <w:color w:val="000000"/>
              </w:rPr>
            </w:pPr>
            <w:r>
              <w:rPr>
                <w:rFonts w:ascii="Arial Narrow" w:hAnsi="Arial Narrow"/>
                <w:color w:val="000000"/>
              </w:rPr>
              <w:t>Spojené kráľovstvo</w:t>
            </w:r>
            <w:r w:rsidRPr="00EA40F4">
              <w:rPr>
                <w:rFonts w:ascii="Arial Narrow" w:hAnsi="Arial Narrow"/>
                <w:color w:val="000000"/>
              </w:rPr>
              <w:t xml:space="preserve"> Veľkej Británie a Severného Írska</w:t>
            </w:r>
          </w:p>
        </w:tc>
      </w:tr>
      <w:tr w:rsidR="004A1C3A" w:rsidRPr="009E38D0" w14:paraId="13AF05B1" w14:textId="77777777" w:rsidTr="00EE676F">
        <w:trPr>
          <w:trHeight w:val="330"/>
        </w:trPr>
        <w:tc>
          <w:tcPr>
            <w:tcW w:w="1220" w:type="dxa"/>
            <w:tcBorders>
              <w:top w:val="nil"/>
              <w:left w:val="nil"/>
              <w:bottom w:val="nil"/>
              <w:right w:val="nil"/>
            </w:tcBorders>
            <w:shd w:val="clear" w:color="auto" w:fill="auto"/>
            <w:noWrap/>
            <w:vAlign w:val="center"/>
            <w:hideMark/>
          </w:tcPr>
          <w:p w14:paraId="0CD0FBA2"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ÚHP</w:t>
            </w:r>
          </w:p>
        </w:tc>
        <w:tc>
          <w:tcPr>
            <w:tcW w:w="7240" w:type="dxa"/>
            <w:tcBorders>
              <w:top w:val="nil"/>
              <w:left w:val="nil"/>
              <w:bottom w:val="nil"/>
              <w:right w:val="nil"/>
            </w:tcBorders>
            <w:shd w:val="clear" w:color="auto" w:fill="auto"/>
            <w:noWrap/>
            <w:vAlign w:val="center"/>
            <w:hideMark/>
          </w:tcPr>
          <w:p w14:paraId="48522DAC"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Útvar hodnoty za peniaze</w:t>
            </w:r>
          </w:p>
        </w:tc>
      </w:tr>
      <w:tr w:rsidR="004A1C3A" w:rsidRPr="009E38D0" w14:paraId="6EF9A3AD" w14:textId="77777777" w:rsidTr="00EE676F">
        <w:trPr>
          <w:trHeight w:val="330"/>
        </w:trPr>
        <w:tc>
          <w:tcPr>
            <w:tcW w:w="1220" w:type="dxa"/>
            <w:tcBorders>
              <w:top w:val="nil"/>
              <w:left w:val="nil"/>
              <w:bottom w:val="nil"/>
              <w:right w:val="nil"/>
            </w:tcBorders>
            <w:shd w:val="clear" w:color="auto" w:fill="auto"/>
            <w:noWrap/>
            <w:vAlign w:val="center"/>
            <w:hideMark/>
          </w:tcPr>
          <w:p w14:paraId="3C7A017C" w14:textId="77777777" w:rsidR="004A1C3A" w:rsidRPr="009E38D0" w:rsidRDefault="004A1C3A" w:rsidP="00EE676F">
            <w:pPr>
              <w:spacing w:after="0" w:line="240" w:lineRule="auto"/>
              <w:rPr>
                <w:rFonts w:ascii="Arial Narrow" w:hAnsi="Arial Narrow"/>
                <w:color w:val="000000"/>
              </w:rPr>
            </w:pPr>
            <w:proofErr w:type="spellStart"/>
            <w:r w:rsidRPr="009E38D0">
              <w:rPr>
                <w:rFonts w:ascii="Arial Narrow" w:hAnsi="Arial Narrow"/>
                <w:color w:val="000000"/>
              </w:rPr>
              <w:t>UoZ</w:t>
            </w:r>
            <w:proofErr w:type="spellEnd"/>
          </w:p>
        </w:tc>
        <w:tc>
          <w:tcPr>
            <w:tcW w:w="7240" w:type="dxa"/>
            <w:tcBorders>
              <w:top w:val="nil"/>
              <w:left w:val="nil"/>
              <w:bottom w:val="nil"/>
              <w:right w:val="nil"/>
            </w:tcBorders>
            <w:shd w:val="clear" w:color="auto" w:fill="auto"/>
            <w:noWrap/>
            <w:vAlign w:val="center"/>
            <w:hideMark/>
          </w:tcPr>
          <w:p w14:paraId="2F97D601"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uchádzač o zamestnanie</w:t>
            </w:r>
          </w:p>
        </w:tc>
      </w:tr>
      <w:tr w:rsidR="004A1C3A" w:rsidRPr="009E38D0" w14:paraId="42FBAAE9" w14:textId="77777777" w:rsidTr="00EE676F">
        <w:trPr>
          <w:trHeight w:val="330"/>
        </w:trPr>
        <w:tc>
          <w:tcPr>
            <w:tcW w:w="1220" w:type="dxa"/>
            <w:tcBorders>
              <w:top w:val="nil"/>
              <w:left w:val="nil"/>
              <w:bottom w:val="nil"/>
              <w:right w:val="nil"/>
            </w:tcBorders>
            <w:shd w:val="clear" w:color="auto" w:fill="auto"/>
            <w:noWrap/>
            <w:vAlign w:val="center"/>
            <w:hideMark/>
          </w:tcPr>
          <w:p w14:paraId="7A091057"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ÚPSVR</w:t>
            </w:r>
          </w:p>
        </w:tc>
        <w:tc>
          <w:tcPr>
            <w:tcW w:w="7240" w:type="dxa"/>
            <w:tcBorders>
              <w:top w:val="nil"/>
              <w:left w:val="nil"/>
              <w:bottom w:val="nil"/>
              <w:right w:val="nil"/>
            </w:tcBorders>
            <w:shd w:val="clear" w:color="auto" w:fill="auto"/>
            <w:noWrap/>
            <w:vAlign w:val="center"/>
            <w:hideMark/>
          </w:tcPr>
          <w:p w14:paraId="48C4DA68"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Ústredie práce, sociálnych vecí a rodiny</w:t>
            </w:r>
          </w:p>
        </w:tc>
      </w:tr>
      <w:tr w:rsidR="004A1C3A" w:rsidRPr="009E38D0" w14:paraId="7E5F74D8" w14:textId="77777777" w:rsidTr="00EE676F">
        <w:trPr>
          <w:trHeight w:val="330"/>
        </w:trPr>
        <w:tc>
          <w:tcPr>
            <w:tcW w:w="1220" w:type="dxa"/>
            <w:tcBorders>
              <w:top w:val="nil"/>
              <w:left w:val="nil"/>
              <w:bottom w:val="nil"/>
              <w:right w:val="nil"/>
            </w:tcBorders>
            <w:shd w:val="clear" w:color="auto" w:fill="auto"/>
            <w:noWrap/>
            <w:vAlign w:val="center"/>
            <w:hideMark/>
          </w:tcPr>
          <w:p w14:paraId="4BD89266" w14:textId="329707FF" w:rsidR="004A1C3A" w:rsidRPr="009E38D0" w:rsidRDefault="007F2923" w:rsidP="00EE676F">
            <w:pPr>
              <w:spacing w:after="0" w:line="240" w:lineRule="auto"/>
              <w:rPr>
                <w:rFonts w:ascii="Arial Narrow" w:hAnsi="Arial Narrow"/>
                <w:color w:val="000000"/>
              </w:rPr>
            </w:pPr>
            <w:r>
              <w:rPr>
                <w:rFonts w:ascii="Arial Narrow" w:hAnsi="Arial Narrow"/>
                <w:color w:val="000000"/>
              </w:rPr>
              <w:lastRenderedPageBreak/>
              <w:t>ÚP</w:t>
            </w:r>
            <w:r w:rsidR="004A1C3A" w:rsidRPr="009E38D0">
              <w:rPr>
                <w:rFonts w:ascii="Arial Narrow" w:hAnsi="Arial Narrow"/>
                <w:color w:val="000000"/>
              </w:rPr>
              <w:t>VII</w:t>
            </w:r>
          </w:p>
        </w:tc>
        <w:tc>
          <w:tcPr>
            <w:tcW w:w="7240" w:type="dxa"/>
            <w:tcBorders>
              <w:top w:val="nil"/>
              <w:left w:val="nil"/>
              <w:bottom w:val="nil"/>
              <w:right w:val="nil"/>
            </w:tcBorders>
            <w:shd w:val="clear" w:color="auto" w:fill="auto"/>
            <w:noWrap/>
            <w:vAlign w:val="center"/>
            <w:hideMark/>
          </w:tcPr>
          <w:p w14:paraId="4E752028"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Úrad podpredsedu vlády pre investície a informatizáciu</w:t>
            </w:r>
          </w:p>
        </w:tc>
      </w:tr>
      <w:tr w:rsidR="004A1C3A" w:rsidRPr="009E38D0" w14:paraId="7361F3CB" w14:textId="77777777" w:rsidTr="00EE676F">
        <w:trPr>
          <w:trHeight w:val="330"/>
        </w:trPr>
        <w:tc>
          <w:tcPr>
            <w:tcW w:w="1220" w:type="dxa"/>
            <w:tcBorders>
              <w:top w:val="nil"/>
              <w:left w:val="nil"/>
              <w:bottom w:val="nil"/>
              <w:right w:val="nil"/>
            </w:tcBorders>
            <w:shd w:val="clear" w:color="auto" w:fill="auto"/>
            <w:noWrap/>
            <w:vAlign w:val="center"/>
            <w:hideMark/>
          </w:tcPr>
          <w:p w14:paraId="2F128C43"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ÚVO</w:t>
            </w:r>
          </w:p>
        </w:tc>
        <w:tc>
          <w:tcPr>
            <w:tcW w:w="7240" w:type="dxa"/>
            <w:tcBorders>
              <w:top w:val="nil"/>
              <w:left w:val="nil"/>
              <w:bottom w:val="nil"/>
              <w:right w:val="nil"/>
            </w:tcBorders>
            <w:shd w:val="clear" w:color="auto" w:fill="auto"/>
            <w:noWrap/>
            <w:vAlign w:val="center"/>
            <w:hideMark/>
          </w:tcPr>
          <w:p w14:paraId="759BC1AD"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Úrad pre verejné obstarávanie</w:t>
            </w:r>
          </w:p>
        </w:tc>
      </w:tr>
      <w:tr w:rsidR="004A1C3A" w:rsidRPr="009E38D0" w14:paraId="1CAF3D49" w14:textId="77777777" w:rsidTr="00EE676F">
        <w:trPr>
          <w:trHeight w:val="330"/>
        </w:trPr>
        <w:tc>
          <w:tcPr>
            <w:tcW w:w="1220" w:type="dxa"/>
            <w:tcBorders>
              <w:top w:val="nil"/>
              <w:left w:val="nil"/>
              <w:bottom w:val="nil"/>
              <w:right w:val="nil"/>
            </w:tcBorders>
            <w:shd w:val="clear" w:color="auto" w:fill="auto"/>
            <w:noWrap/>
            <w:vAlign w:val="center"/>
            <w:hideMark/>
          </w:tcPr>
          <w:p w14:paraId="0FD2ACF5"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ÚV SR</w:t>
            </w:r>
          </w:p>
        </w:tc>
        <w:tc>
          <w:tcPr>
            <w:tcW w:w="7240" w:type="dxa"/>
            <w:tcBorders>
              <w:top w:val="nil"/>
              <w:left w:val="nil"/>
              <w:bottom w:val="nil"/>
              <w:right w:val="nil"/>
            </w:tcBorders>
            <w:shd w:val="clear" w:color="auto" w:fill="auto"/>
            <w:noWrap/>
            <w:vAlign w:val="center"/>
            <w:hideMark/>
          </w:tcPr>
          <w:p w14:paraId="2041F05F"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Úrad vlády SR</w:t>
            </w:r>
          </w:p>
        </w:tc>
      </w:tr>
      <w:tr w:rsidR="004A1C3A" w:rsidRPr="009E38D0" w14:paraId="79AC02D2" w14:textId="77777777" w:rsidTr="00EE676F">
        <w:trPr>
          <w:trHeight w:val="330"/>
        </w:trPr>
        <w:tc>
          <w:tcPr>
            <w:tcW w:w="1220" w:type="dxa"/>
            <w:tcBorders>
              <w:top w:val="nil"/>
              <w:left w:val="nil"/>
              <w:bottom w:val="nil"/>
              <w:right w:val="nil"/>
            </w:tcBorders>
            <w:shd w:val="clear" w:color="auto" w:fill="auto"/>
            <w:noWrap/>
            <w:vAlign w:val="center"/>
            <w:hideMark/>
          </w:tcPr>
          <w:p w14:paraId="09CEEC05"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VEGA</w:t>
            </w:r>
          </w:p>
        </w:tc>
        <w:tc>
          <w:tcPr>
            <w:tcW w:w="7240" w:type="dxa"/>
            <w:tcBorders>
              <w:top w:val="nil"/>
              <w:left w:val="nil"/>
              <w:bottom w:val="nil"/>
              <w:right w:val="nil"/>
            </w:tcBorders>
            <w:shd w:val="clear" w:color="auto" w:fill="auto"/>
            <w:noWrap/>
            <w:vAlign w:val="center"/>
            <w:hideMark/>
          </w:tcPr>
          <w:p w14:paraId="62412EC4"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Vedecká grantová agentúra</w:t>
            </w:r>
          </w:p>
        </w:tc>
      </w:tr>
      <w:tr w:rsidR="004A1C3A" w:rsidRPr="009E38D0" w14:paraId="7A12F415" w14:textId="77777777" w:rsidTr="00EE676F">
        <w:trPr>
          <w:trHeight w:val="330"/>
        </w:trPr>
        <w:tc>
          <w:tcPr>
            <w:tcW w:w="1220" w:type="dxa"/>
            <w:tcBorders>
              <w:top w:val="nil"/>
              <w:left w:val="nil"/>
              <w:bottom w:val="nil"/>
              <w:right w:val="nil"/>
            </w:tcBorders>
            <w:shd w:val="clear" w:color="auto" w:fill="auto"/>
            <w:noWrap/>
            <w:vAlign w:val="center"/>
            <w:hideMark/>
          </w:tcPr>
          <w:p w14:paraId="56F52886"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VFR</w:t>
            </w:r>
          </w:p>
        </w:tc>
        <w:tc>
          <w:tcPr>
            <w:tcW w:w="7240" w:type="dxa"/>
            <w:tcBorders>
              <w:top w:val="nil"/>
              <w:left w:val="nil"/>
              <w:bottom w:val="nil"/>
              <w:right w:val="nil"/>
            </w:tcBorders>
            <w:shd w:val="clear" w:color="auto" w:fill="auto"/>
            <w:noWrap/>
            <w:vAlign w:val="center"/>
            <w:hideMark/>
          </w:tcPr>
          <w:p w14:paraId="16208ECC"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viacročný finančný rámec</w:t>
            </w:r>
          </w:p>
        </w:tc>
      </w:tr>
      <w:tr w:rsidR="004A1C3A" w:rsidRPr="009E38D0" w14:paraId="2F3807B5" w14:textId="77777777" w:rsidTr="00EE676F">
        <w:trPr>
          <w:trHeight w:val="330"/>
        </w:trPr>
        <w:tc>
          <w:tcPr>
            <w:tcW w:w="1220" w:type="dxa"/>
            <w:tcBorders>
              <w:top w:val="nil"/>
              <w:left w:val="nil"/>
              <w:bottom w:val="nil"/>
              <w:right w:val="nil"/>
            </w:tcBorders>
            <w:shd w:val="clear" w:color="auto" w:fill="auto"/>
            <w:noWrap/>
            <w:vAlign w:val="center"/>
            <w:hideMark/>
          </w:tcPr>
          <w:p w14:paraId="442AD0E0"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VW</w:t>
            </w:r>
          </w:p>
        </w:tc>
        <w:tc>
          <w:tcPr>
            <w:tcW w:w="7240" w:type="dxa"/>
            <w:tcBorders>
              <w:top w:val="nil"/>
              <w:left w:val="nil"/>
              <w:bottom w:val="nil"/>
              <w:right w:val="nil"/>
            </w:tcBorders>
            <w:shd w:val="clear" w:color="auto" w:fill="auto"/>
            <w:noWrap/>
            <w:vAlign w:val="center"/>
            <w:hideMark/>
          </w:tcPr>
          <w:p w14:paraId="399BF5F8"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Volkswagen</w:t>
            </w:r>
          </w:p>
        </w:tc>
      </w:tr>
      <w:tr w:rsidR="004A1C3A" w:rsidRPr="009E38D0" w14:paraId="4524A3C5" w14:textId="77777777" w:rsidTr="00EE676F">
        <w:trPr>
          <w:trHeight w:val="330"/>
        </w:trPr>
        <w:tc>
          <w:tcPr>
            <w:tcW w:w="1220" w:type="dxa"/>
            <w:tcBorders>
              <w:top w:val="nil"/>
              <w:left w:val="nil"/>
              <w:bottom w:val="nil"/>
              <w:right w:val="nil"/>
            </w:tcBorders>
            <w:shd w:val="clear" w:color="auto" w:fill="auto"/>
            <w:noWrap/>
            <w:vAlign w:val="center"/>
            <w:hideMark/>
          </w:tcPr>
          <w:p w14:paraId="138C71B7" w14:textId="77777777" w:rsidR="004A1C3A" w:rsidRPr="009E38D0" w:rsidRDefault="004A1C3A" w:rsidP="00EE676F">
            <w:pPr>
              <w:spacing w:after="0" w:line="240" w:lineRule="auto"/>
              <w:rPr>
                <w:rFonts w:ascii="Arial Narrow" w:hAnsi="Arial Narrow"/>
                <w:color w:val="000000"/>
              </w:rPr>
            </w:pPr>
            <w:proofErr w:type="spellStart"/>
            <w:r w:rsidRPr="009E38D0">
              <w:rPr>
                <w:rFonts w:ascii="Arial Narrow" w:hAnsi="Arial Narrow"/>
                <w:color w:val="000000"/>
              </w:rPr>
              <w:t>VšZP</w:t>
            </w:r>
            <w:proofErr w:type="spellEnd"/>
          </w:p>
        </w:tc>
        <w:tc>
          <w:tcPr>
            <w:tcW w:w="7240" w:type="dxa"/>
            <w:tcBorders>
              <w:top w:val="nil"/>
              <w:left w:val="nil"/>
              <w:bottom w:val="nil"/>
              <w:right w:val="nil"/>
            </w:tcBorders>
            <w:shd w:val="clear" w:color="auto" w:fill="auto"/>
            <w:noWrap/>
            <w:vAlign w:val="center"/>
            <w:hideMark/>
          </w:tcPr>
          <w:p w14:paraId="0DF32D7C"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Všeobecná zdravotná poisťovňa</w:t>
            </w:r>
          </w:p>
        </w:tc>
      </w:tr>
      <w:tr w:rsidR="004A1C3A" w:rsidRPr="009E38D0" w14:paraId="1A78794E" w14:textId="77777777" w:rsidTr="00EE676F">
        <w:trPr>
          <w:trHeight w:val="330"/>
        </w:trPr>
        <w:tc>
          <w:tcPr>
            <w:tcW w:w="1220" w:type="dxa"/>
            <w:tcBorders>
              <w:top w:val="nil"/>
              <w:left w:val="nil"/>
              <w:bottom w:val="nil"/>
              <w:right w:val="nil"/>
            </w:tcBorders>
            <w:shd w:val="clear" w:color="auto" w:fill="auto"/>
            <w:noWrap/>
            <w:vAlign w:val="center"/>
            <w:hideMark/>
          </w:tcPr>
          <w:p w14:paraId="29AB9F79"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ZP</w:t>
            </w:r>
          </w:p>
        </w:tc>
        <w:tc>
          <w:tcPr>
            <w:tcW w:w="7240" w:type="dxa"/>
            <w:tcBorders>
              <w:top w:val="nil"/>
              <w:left w:val="nil"/>
              <w:bottom w:val="nil"/>
              <w:right w:val="nil"/>
            </w:tcBorders>
            <w:shd w:val="clear" w:color="auto" w:fill="auto"/>
            <w:noWrap/>
            <w:vAlign w:val="center"/>
            <w:hideMark/>
          </w:tcPr>
          <w:p w14:paraId="3811B5CE" w14:textId="77777777" w:rsidR="004A1C3A" w:rsidRPr="009E38D0" w:rsidRDefault="004A1C3A" w:rsidP="00EE676F">
            <w:pPr>
              <w:spacing w:after="0" w:line="240" w:lineRule="auto"/>
              <w:rPr>
                <w:rFonts w:ascii="Arial Narrow" w:hAnsi="Arial Narrow"/>
                <w:color w:val="000000"/>
              </w:rPr>
            </w:pPr>
            <w:r w:rsidRPr="009E38D0">
              <w:rPr>
                <w:rFonts w:ascii="Arial Narrow" w:hAnsi="Arial Narrow"/>
                <w:color w:val="000000"/>
              </w:rPr>
              <w:t>zdravotné poistenie resp. poisťovne</w:t>
            </w:r>
          </w:p>
        </w:tc>
      </w:tr>
      <w:tr w:rsidR="004A1C3A" w:rsidRPr="009E38D0" w14:paraId="4EB032F7" w14:textId="77777777" w:rsidTr="00EE676F">
        <w:trPr>
          <w:trHeight w:val="330"/>
        </w:trPr>
        <w:tc>
          <w:tcPr>
            <w:tcW w:w="1220" w:type="dxa"/>
            <w:tcBorders>
              <w:top w:val="nil"/>
              <w:left w:val="nil"/>
              <w:bottom w:val="nil"/>
              <w:right w:val="nil"/>
            </w:tcBorders>
            <w:shd w:val="clear" w:color="auto" w:fill="auto"/>
            <w:noWrap/>
            <w:vAlign w:val="center"/>
          </w:tcPr>
          <w:p w14:paraId="1AD2542B" w14:textId="77777777" w:rsidR="004A1C3A" w:rsidRPr="009E38D0" w:rsidRDefault="004A1C3A" w:rsidP="00EE676F">
            <w:pPr>
              <w:spacing w:after="0" w:line="240" w:lineRule="auto"/>
              <w:rPr>
                <w:rFonts w:ascii="Arial Narrow" w:hAnsi="Arial Narrow"/>
                <w:color w:val="000000"/>
              </w:rPr>
            </w:pPr>
            <w:r>
              <w:rPr>
                <w:rFonts w:ascii="Arial Narrow" w:hAnsi="Arial Narrow"/>
                <w:color w:val="000000"/>
              </w:rPr>
              <w:t>ZŠ</w:t>
            </w:r>
          </w:p>
        </w:tc>
        <w:tc>
          <w:tcPr>
            <w:tcW w:w="7240" w:type="dxa"/>
            <w:tcBorders>
              <w:top w:val="nil"/>
              <w:left w:val="nil"/>
              <w:bottom w:val="nil"/>
              <w:right w:val="nil"/>
            </w:tcBorders>
            <w:shd w:val="clear" w:color="auto" w:fill="auto"/>
            <w:noWrap/>
            <w:vAlign w:val="center"/>
          </w:tcPr>
          <w:p w14:paraId="11F3BD41" w14:textId="77777777" w:rsidR="004A1C3A" w:rsidRPr="009E38D0" w:rsidRDefault="004A1C3A" w:rsidP="00EE676F">
            <w:pPr>
              <w:spacing w:after="0" w:line="240" w:lineRule="auto"/>
              <w:rPr>
                <w:rFonts w:ascii="Arial Narrow" w:hAnsi="Arial Narrow"/>
                <w:color w:val="000000"/>
              </w:rPr>
            </w:pPr>
            <w:r>
              <w:rPr>
                <w:rFonts w:ascii="Arial Narrow" w:hAnsi="Arial Narrow"/>
                <w:color w:val="000000"/>
              </w:rPr>
              <w:t>základná škola</w:t>
            </w:r>
          </w:p>
        </w:tc>
      </w:tr>
    </w:tbl>
    <w:p w14:paraId="6098AA5A" w14:textId="77777777" w:rsidR="004A1C3A" w:rsidRPr="00E77855" w:rsidRDefault="004A1C3A" w:rsidP="004A1C3A">
      <w:pPr>
        <w:keepNext/>
        <w:keepLines/>
        <w:spacing w:after="0" w:line="240" w:lineRule="auto"/>
        <w:ind w:hanging="709"/>
        <w:jc w:val="both"/>
        <w:outlineLvl w:val="0"/>
        <w:rPr>
          <w:rFonts w:ascii="Arial Narrow" w:eastAsiaTheme="majorEastAsia" w:hAnsi="Arial Narrow" w:cstheme="majorBidi"/>
          <w:b/>
          <w:bCs/>
          <w:sz w:val="32"/>
          <w:szCs w:val="32"/>
        </w:rPr>
      </w:pPr>
    </w:p>
    <w:p w14:paraId="169F938A" w14:textId="77777777" w:rsidR="00E64732" w:rsidRPr="00E64732" w:rsidRDefault="00E64732" w:rsidP="00150548">
      <w:pPr>
        <w:spacing w:line="240" w:lineRule="auto"/>
        <w:jc w:val="both"/>
        <w:rPr>
          <w:rFonts w:ascii="Arial Narrow" w:hAnsi="Arial Narrow"/>
        </w:rPr>
      </w:pPr>
    </w:p>
    <w:p w14:paraId="2D36E459" w14:textId="77777777" w:rsidR="00E64732" w:rsidRPr="00E64732" w:rsidRDefault="00E64732" w:rsidP="00E64732">
      <w:pPr>
        <w:spacing w:after="0" w:line="240" w:lineRule="auto"/>
        <w:jc w:val="both"/>
        <w:rPr>
          <w:rFonts w:ascii="Arial Narrow" w:hAnsi="Arial Narrow"/>
          <w:color w:val="000000"/>
        </w:rPr>
      </w:pPr>
    </w:p>
    <w:p w14:paraId="2DE2F27D" w14:textId="77777777" w:rsidR="00E64732" w:rsidRPr="00E64732" w:rsidRDefault="00E64732" w:rsidP="00E64732">
      <w:pPr>
        <w:spacing w:after="0" w:line="240" w:lineRule="auto"/>
        <w:jc w:val="both"/>
        <w:rPr>
          <w:rFonts w:ascii="Arial Narrow" w:hAnsi="Arial Narrow"/>
          <w:color w:val="000000"/>
        </w:rPr>
      </w:pPr>
    </w:p>
    <w:p w14:paraId="767D7C2D" w14:textId="77777777" w:rsidR="00E64732" w:rsidRPr="004C54B9" w:rsidRDefault="00E64732" w:rsidP="004C54B9">
      <w:pPr>
        <w:spacing w:line="240" w:lineRule="auto"/>
        <w:rPr>
          <w:rFonts w:ascii="Arial Narrow" w:hAnsi="Arial Narrow"/>
        </w:rPr>
      </w:pPr>
    </w:p>
    <w:sectPr w:rsidR="00E64732" w:rsidRPr="004C54B9" w:rsidSect="005E6EFA">
      <w:footerReference w:type="default" r:id="rId55"/>
      <w:type w:val="nextColumn"/>
      <w:pgSz w:w="11920" w:h="16840"/>
      <w:pgMar w:top="1559" w:right="1678" w:bottom="278" w:left="167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88FF4" w14:textId="77777777" w:rsidR="00EE676F" w:rsidRDefault="00EE676F" w:rsidP="005B2D07">
      <w:pPr>
        <w:spacing w:after="0" w:line="240" w:lineRule="auto"/>
      </w:pPr>
      <w:r>
        <w:separator/>
      </w:r>
    </w:p>
  </w:endnote>
  <w:endnote w:type="continuationSeparator" w:id="0">
    <w:p w14:paraId="2939B87D" w14:textId="77777777" w:rsidR="00EE676F" w:rsidRDefault="00EE676F" w:rsidP="005B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NeueHaasGroteskDisp W02 Bd">
    <w:panose1 w:val="020B0804020202020204"/>
    <w:charset w:val="EE"/>
    <w:family w:val="swiss"/>
    <w:pitch w:val="variable"/>
    <w:sig w:usb0="800000AF" w:usb1="4000204A" w:usb2="00000000" w:usb3="00000000" w:csb0="00000093" w:csb1="00000000"/>
  </w:font>
  <w:font w:name="NeueHaasGroteskText W02">
    <w:panose1 w:val="020B0504020202020204"/>
    <w:charset w:val="EE"/>
    <w:family w:val="swiss"/>
    <w:pitch w:val="variable"/>
    <w:sig w:usb0="800000AF" w:usb1="4000204A" w:usb2="00000000" w:usb3="00000000" w:csb0="00000093" w:csb1="00000000"/>
  </w:font>
  <w:font w:name="PF Square Sans Pro">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NeueHaasGroteskDisp W02">
    <w:panose1 w:val="020B0504020202020204"/>
    <w:charset w:val="EE"/>
    <w:family w:val="swiss"/>
    <w:pitch w:val="variable"/>
    <w:sig w:usb0="800000AF" w:usb1="40002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Narrow">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4B781" w14:textId="77777777" w:rsidR="00EE676F" w:rsidRPr="005B2D07" w:rsidRDefault="00EE676F" w:rsidP="005B2D07">
    <w:pPr>
      <w:widowControl w:val="0"/>
      <w:autoSpaceDE w:val="0"/>
      <w:autoSpaceDN w:val="0"/>
      <w:adjustRightInd w:val="0"/>
      <w:spacing w:after="0" w:line="200" w:lineRule="exact"/>
      <w:ind w:left="7200" w:firstLine="720"/>
      <w:rPr>
        <w:rFonts w:ascii="NeueHaasGroteskDisp W02" w:hAnsi="NeueHaasGroteskDisp W02"/>
        <w:sz w:val="20"/>
        <w:szCs w:val="20"/>
      </w:rPr>
    </w:pPr>
    <w:r>
      <w:rPr>
        <w:rFonts w:ascii="NeueHaasGroteskDisp W02" w:hAnsi="NeueHaasGroteskDisp W02"/>
        <w:noProof/>
        <w:lang w:val="en-GB" w:eastAsia="en-GB"/>
      </w:rPr>
      <mc:AlternateContent>
        <mc:Choice Requires="wps">
          <w:drawing>
            <wp:anchor distT="0" distB="0" distL="114300" distR="114300" simplePos="0" relativeHeight="251661312" behindDoc="1" locked="0" layoutInCell="0" allowOverlap="1" wp14:anchorId="608857B0" wp14:editId="6998E58F">
              <wp:simplePos x="0" y="0"/>
              <wp:positionH relativeFrom="page">
                <wp:posOffset>6960235</wp:posOffset>
              </wp:positionH>
              <wp:positionV relativeFrom="page">
                <wp:posOffset>10374630</wp:posOffset>
              </wp:positionV>
              <wp:extent cx="294640" cy="5905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 cy="59055"/>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7E3F5" id="Rectangle 14" o:spid="_x0000_s1026" style="position:absolute;margin-left:548.05pt;margin-top:816.9pt;width:23.2pt;height: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" o:allowincell="f" fillcolor="#37abe1" stroked="f">
              <v:path arrowok="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764775"/>
      <w:docPartObj>
        <w:docPartGallery w:val="Page Numbers (Bottom of Page)"/>
        <w:docPartUnique/>
      </w:docPartObj>
    </w:sdtPr>
    <w:sdtEndPr>
      <w:rPr>
        <w:rFonts w:ascii="Arial Narrow" w:hAnsi="Arial Narrow"/>
      </w:rPr>
    </w:sdtEndPr>
    <w:sdtContent>
      <w:p w14:paraId="0A0ED8EF" w14:textId="77777777" w:rsidR="00EE676F" w:rsidRPr="001C5F40" w:rsidRDefault="00EE676F">
        <w:pPr>
          <w:pStyle w:val="Pta"/>
          <w:jc w:val="right"/>
          <w:rPr>
            <w:rFonts w:ascii="Arial Narrow" w:hAnsi="Arial Narrow"/>
          </w:rPr>
        </w:pPr>
        <w:r w:rsidRPr="001C5F40">
          <w:rPr>
            <w:rFonts w:ascii="Arial Narrow" w:hAnsi="Arial Narrow"/>
          </w:rPr>
          <w:fldChar w:fldCharType="begin"/>
        </w:r>
        <w:r w:rsidRPr="001C5F40">
          <w:rPr>
            <w:rFonts w:ascii="Arial Narrow" w:hAnsi="Arial Narrow"/>
          </w:rPr>
          <w:instrText>PAGE   \* MERGEFORMAT</w:instrText>
        </w:r>
        <w:r w:rsidRPr="001C5F40">
          <w:rPr>
            <w:rFonts w:ascii="Arial Narrow" w:hAnsi="Arial Narrow"/>
          </w:rPr>
          <w:fldChar w:fldCharType="separate"/>
        </w:r>
        <w:r w:rsidR="005952C3">
          <w:rPr>
            <w:rFonts w:ascii="Arial Narrow" w:hAnsi="Arial Narrow"/>
            <w:noProof/>
          </w:rPr>
          <w:t>30</w:t>
        </w:r>
        <w:r w:rsidRPr="001C5F40">
          <w:rPr>
            <w:rFonts w:ascii="Arial Narrow" w:hAnsi="Arial Narrow"/>
          </w:rPr>
          <w:fldChar w:fldCharType="end"/>
        </w:r>
      </w:p>
    </w:sdtContent>
  </w:sdt>
  <w:p w14:paraId="76A4F9E6" w14:textId="77777777" w:rsidR="00EE676F" w:rsidRDefault="00EE676F" w:rsidP="00FB625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B7F3A" w14:textId="77777777" w:rsidR="00EE676F" w:rsidRDefault="00EE676F" w:rsidP="005B2D07">
      <w:pPr>
        <w:spacing w:after="0" w:line="240" w:lineRule="auto"/>
      </w:pPr>
      <w:r>
        <w:separator/>
      </w:r>
    </w:p>
  </w:footnote>
  <w:footnote w:type="continuationSeparator" w:id="0">
    <w:p w14:paraId="04AAE402" w14:textId="77777777" w:rsidR="00EE676F" w:rsidRDefault="00EE676F" w:rsidP="005B2D07">
      <w:pPr>
        <w:spacing w:after="0" w:line="240" w:lineRule="auto"/>
      </w:pPr>
      <w:r>
        <w:continuationSeparator/>
      </w:r>
    </w:p>
  </w:footnote>
  <w:footnote w:id="1">
    <w:p w14:paraId="660030EA" w14:textId="1C830AEA" w:rsidR="00EE676F" w:rsidRPr="00C065B0" w:rsidRDefault="00EE676F">
      <w:pPr>
        <w:pStyle w:val="Textpoznmkypodiarou"/>
        <w:rPr>
          <w:rFonts w:ascii="Arial Narrow" w:hAnsi="Arial Narrow"/>
          <w:sz w:val="16"/>
          <w:szCs w:val="16"/>
        </w:rPr>
      </w:pPr>
      <w:r w:rsidRPr="00C065B0">
        <w:rPr>
          <w:rStyle w:val="Odkaznapoznmkupodiarou"/>
          <w:rFonts w:ascii="Arial Narrow" w:hAnsi="Arial Narrow"/>
          <w:sz w:val="16"/>
          <w:szCs w:val="16"/>
        </w:rPr>
        <w:footnoteRef/>
      </w:r>
      <w:r w:rsidRPr="00C065B0">
        <w:rPr>
          <w:rFonts w:ascii="Arial Narrow" w:hAnsi="Arial Narrow"/>
          <w:sz w:val="16"/>
          <w:szCs w:val="16"/>
        </w:rPr>
        <w:t xml:space="preserve"> Podľa konceptu národných účtov (ESA).</w:t>
      </w:r>
    </w:p>
  </w:footnote>
  <w:footnote w:id="2">
    <w:p w14:paraId="7EDFD042" w14:textId="77777777" w:rsidR="00EE676F" w:rsidRPr="00E417FC" w:rsidRDefault="00EE676F" w:rsidP="007B7C04">
      <w:pPr>
        <w:pStyle w:val="Textpoznmkypodiarou"/>
        <w:rPr>
          <w:rFonts w:ascii="Arial Narrow" w:hAnsi="Arial Narrow"/>
        </w:rPr>
      </w:pPr>
      <w:r w:rsidRPr="00E417FC">
        <w:rPr>
          <w:rStyle w:val="Odkaznapoznmkupodiarou"/>
          <w:rFonts w:ascii="Arial Narrow" w:hAnsi="Arial Narrow"/>
          <w:sz w:val="16"/>
        </w:rPr>
        <w:footnoteRef/>
      </w:r>
      <w:r w:rsidRPr="00E417FC">
        <w:rPr>
          <w:rFonts w:ascii="Arial Narrow" w:hAnsi="Arial Narrow"/>
          <w:sz w:val="16"/>
        </w:rPr>
        <w:t xml:space="preserve"> </w:t>
      </w:r>
      <w:r>
        <w:rPr>
          <w:rFonts w:ascii="Arial Narrow" w:hAnsi="Arial Narrow"/>
          <w:sz w:val="16"/>
        </w:rPr>
        <w:t xml:space="preserve">Návrh zákona bol schválený vládou SR a v </w:t>
      </w:r>
      <w:r w:rsidRPr="00E417FC">
        <w:rPr>
          <w:rFonts w:ascii="Arial Narrow" w:hAnsi="Arial Narrow"/>
          <w:sz w:val="16"/>
        </w:rPr>
        <w:t xml:space="preserve">čase prípravy NPR </w:t>
      </w:r>
      <w:r>
        <w:rPr>
          <w:rFonts w:ascii="Arial Narrow" w:hAnsi="Arial Narrow"/>
          <w:sz w:val="16"/>
        </w:rPr>
        <w:t xml:space="preserve">2019 </w:t>
      </w:r>
      <w:r w:rsidRPr="00E417FC">
        <w:rPr>
          <w:rFonts w:ascii="Arial Narrow" w:hAnsi="Arial Narrow"/>
          <w:sz w:val="16"/>
        </w:rPr>
        <w:t>je zákon predmetom rokovania NR SR.</w:t>
      </w:r>
    </w:p>
  </w:footnote>
  <w:footnote w:id="3">
    <w:p w14:paraId="29AB8AFF" w14:textId="77777777" w:rsidR="00EE676F" w:rsidRPr="002E24EA" w:rsidRDefault="00EE676F">
      <w:pPr>
        <w:pStyle w:val="Textpoznmkypodiarou"/>
        <w:rPr>
          <w:rFonts w:ascii="Arial Narrow" w:hAnsi="Arial Narrow"/>
          <w:sz w:val="16"/>
          <w:szCs w:val="16"/>
        </w:rPr>
      </w:pPr>
      <w:r w:rsidRPr="00642B43">
        <w:rPr>
          <w:rFonts w:ascii="Arial Narrow" w:hAnsi="Arial Narrow"/>
          <w:sz w:val="16"/>
          <w:szCs w:val="16"/>
          <w:vertAlign w:val="superscript"/>
        </w:rPr>
        <w:footnoteRef/>
      </w:r>
      <w:r w:rsidRPr="00642B43">
        <w:rPr>
          <w:rFonts w:ascii="Arial Narrow" w:hAnsi="Arial Narrow"/>
          <w:sz w:val="16"/>
          <w:szCs w:val="16"/>
          <w:vertAlign w:val="superscript"/>
        </w:rPr>
        <w:t xml:space="preserve"> </w:t>
      </w:r>
      <w:hyperlink r:id="rId1" w:history="1">
        <w:r w:rsidRPr="00642B43">
          <w:rPr>
            <w:rStyle w:val="Hypertextovprepojenie"/>
            <w:rFonts w:ascii="Arial Narrow" w:hAnsi="Arial Narrow"/>
            <w:color w:val="2C9ADC"/>
            <w:sz w:val="16"/>
            <w:szCs w:val="16"/>
          </w:rPr>
          <w:t>Správa o krajine 2019</w:t>
        </w:r>
      </w:hyperlink>
    </w:p>
  </w:footnote>
  <w:footnote w:id="4">
    <w:p w14:paraId="35A128A0" w14:textId="499E5312" w:rsidR="00EE676F" w:rsidRPr="00DB3458" w:rsidRDefault="00EE676F" w:rsidP="00334F26">
      <w:pPr>
        <w:pStyle w:val="Textpoznmkypodiarou"/>
        <w:jc w:val="both"/>
        <w:rPr>
          <w:rFonts w:ascii="Arial Narrow" w:hAnsi="Arial Narrow"/>
          <w:sz w:val="16"/>
          <w:szCs w:val="16"/>
        </w:rPr>
      </w:pPr>
      <w:r w:rsidRPr="00DB3458">
        <w:rPr>
          <w:rStyle w:val="Odkaznapoznmkupodiarou"/>
          <w:rFonts w:ascii="Arial Narrow" w:hAnsi="Arial Narrow"/>
          <w:sz w:val="16"/>
          <w:szCs w:val="16"/>
        </w:rPr>
        <w:footnoteRef/>
      </w:r>
      <w:r w:rsidRPr="00DB3458">
        <w:rPr>
          <w:rFonts w:ascii="Arial Narrow" w:hAnsi="Arial Narrow"/>
          <w:sz w:val="16"/>
          <w:szCs w:val="16"/>
        </w:rPr>
        <w:t xml:space="preserve"> PISA </w:t>
      </w:r>
      <w:r>
        <w:rPr>
          <w:rFonts w:ascii="Arial Narrow" w:hAnsi="Arial Narrow"/>
          <w:sz w:val="16"/>
          <w:szCs w:val="16"/>
        </w:rPr>
        <w:t>testy sú realizované každé</w:t>
      </w:r>
      <w:r w:rsidRPr="00DB3458">
        <w:rPr>
          <w:rFonts w:ascii="Arial Narrow" w:hAnsi="Arial Narrow"/>
          <w:sz w:val="16"/>
          <w:szCs w:val="16"/>
        </w:rPr>
        <w:t xml:space="preserve"> tri roky, naposledy v roku 2018. Výsledky testovania z roku 2018 budú však dostupné až v decembri 2019.</w:t>
      </w:r>
    </w:p>
  </w:footnote>
  <w:footnote w:id="5">
    <w:p w14:paraId="02A054C6" w14:textId="77777777" w:rsidR="00EE676F" w:rsidRPr="00FB7EFA" w:rsidRDefault="00EE676F" w:rsidP="00334F26">
      <w:pPr>
        <w:pStyle w:val="Textpoznmkypodiarou"/>
        <w:jc w:val="both"/>
        <w:rPr>
          <w:rFonts w:ascii="NeueHaasGroteskDisp W02" w:hAnsi="NeueHaasGroteskDisp W02"/>
          <w:sz w:val="16"/>
          <w:szCs w:val="16"/>
        </w:rPr>
      </w:pPr>
      <w:r w:rsidRPr="00DB3458">
        <w:rPr>
          <w:rStyle w:val="Odkaznapoznmkupodiarou"/>
          <w:rFonts w:ascii="Arial Narrow" w:hAnsi="Arial Narrow"/>
          <w:sz w:val="16"/>
          <w:szCs w:val="16"/>
        </w:rPr>
        <w:footnoteRef/>
      </w:r>
      <w:r w:rsidRPr="00DB3458">
        <w:rPr>
          <w:rFonts w:ascii="Arial Narrow" w:hAnsi="Arial Narrow"/>
          <w:sz w:val="16"/>
          <w:szCs w:val="16"/>
        </w:rPr>
        <w:t xml:space="preserve"> Komentár IFP: </w:t>
      </w:r>
      <w:hyperlink r:id="rId2" w:history="1">
        <w:r w:rsidRPr="00DB3458">
          <w:rPr>
            <w:rStyle w:val="Hypertextovprepojenie"/>
            <w:rFonts w:ascii="Arial Narrow" w:hAnsi="Arial Narrow"/>
            <w:color w:val="2C9ADC"/>
            <w:sz w:val="16"/>
            <w:szCs w:val="16"/>
          </w:rPr>
          <w:t>Jablko padá ďaleko od stromu</w:t>
        </w:r>
      </w:hyperlink>
      <w:r w:rsidRPr="00DB3458">
        <w:rPr>
          <w:rFonts w:ascii="Arial Narrow" w:hAnsi="Arial Narrow"/>
          <w:sz w:val="16"/>
          <w:szCs w:val="16"/>
        </w:rPr>
        <w:t>.</w:t>
      </w:r>
    </w:p>
  </w:footnote>
  <w:footnote w:id="6">
    <w:p w14:paraId="5BE0F0D1" w14:textId="77777777" w:rsidR="00EE676F" w:rsidRPr="00DB3458" w:rsidRDefault="00EE676F" w:rsidP="00334F26">
      <w:pPr>
        <w:pStyle w:val="Textpoznmkypodiarou"/>
        <w:jc w:val="both"/>
        <w:rPr>
          <w:rFonts w:ascii="Arial Narrow" w:hAnsi="Arial Narrow"/>
          <w:sz w:val="16"/>
          <w:szCs w:val="16"/>
        </w:rPr>
      </w:pPr>
      <w:r w:rsidRPr="00DB3458">
        <w:rPr>
          <w:rStyle w:val="Odkaznapoznmkupodiarou"/>
          <w:rFonts w:ascii="Arial Narrow" w:hAnsi="Arial Narrow"/>
          <w:sz w:val="16"/>
          <w:szCs w:val="16"/>
        </w:rPr>
        <w:footnoteRef/>
      </w:r>
      <w:r w:rsidRPr="00DB3458">
        <w:rPr>
          <w:rFonts w:ascii="Arial Narrow" w:hAnsi="Arial Narrow"/>
          <w:sz w:val="16"/>
          <w:szCs w:val="16"/>
        </w:rPr>
        <w:t xml:space="preserve"> Mzdy učiteľov sa zvyšovali v januári 2016 o 4 %, v septembri 2016 a v septembri 2017 o ďalších 6 %. V januári 2019 sa zvyšovali o 10% a rovnaké zvýšenie sa plánuje v roku 2020. Okrem toho vláda vyčlenila prostriedky na zvyšovanie tarifných platov pre začínajúcich učiteľov od septembra 2019.</w:t>
      </w:r>
    </w:p>
  </w:footnote>
  <w:footnote w:id="7">
    <w:p w14:paraId="5F83674E" w14:textId="77777777" w:rsidR="00EE676F" w:rsidRPr="00DB3458" w:rsidRDefault="00EE676F" w:rsidP="00334F26">
      <w:pPr>
        <w:pStyle w:val="Textpoznmkypodiarou"/>
        <w:jc w:val="both"/>
        <w:rPr>
          <w:rFonts w:ascii="Arial Narrow" w:hAnsi="Arial Narrow"/>
          <w:sz w:val="16"/>
          <w:szCs w:val="16"/>
        </w:rPr>
      </w:pPr>
      <w:r w:rsidRPr="00DB3458">
        <w:rPr>
          <w:rStyle w:val="Odkaznapoznmkupodiarou"/>
          <w:rFonts w:ascii="Arial Narrow" w:hAnsi="Arial Narrow"/>
          <w:sz w:val="16"/>
          <w:szCs w:val="16"/>
        </w:rPr>
        <w:footnoteRef/>
      </w:r>
      <w:r w:rsidRPr="00DB3458">
        <w:rPr>
          <w:rFonts w:ascii="Arial Narrow" w:hAnsi="Arial Narrow"/>
          <w:sz w:val="16"/>
          <w:szCs w:val="16"/>
        </w:rPr>
        <w:t xml:space="preserve"> Podiel priemerného platu učiteľov na platoch VŠ vzdelaných z roku 2016 je 64 %. Priemer OECD v tom istom roku je 92 %. Podľa prepočtov ÚHP po plánovanom zvýšení platov učiteľov v roku 2020 očakávame hodnotu tohto indikátora na úrovni 68 %, čo predstavuje približne úroveň priemernej mzdy zamestnancov v národnom hospodárstve.  </w:t>
      </w:r>
    </w:p>
  </w:footnote>
  <w:footnote w:id="8">
    <w:p w14:paraId="745E4022" w14:textId="77777777" w:rsidR="00EE676F" w:rsidRPr="00DB3458" w:rsidRDefault="00EE676F" w:rsidP="00334F26">
      <w:pPr>
        <w:pStyle w:val="Textpoznmkypodiarou"/>
        <w:rPr>
          <w:rFonts w:ascii="Arial Narrow" w:hAnsi="Arial Narrow"/>
          <w:sz w:val="16"/>
          <w:szCs w:val="16"/>
        </w:rPr>
      </w:pPr>
      <w:r w:rsidRPr="00DB3458">
        <w:rPr>
          <w:rStyle w:val="Odkaznapoznmkupodiarou"/>
          <w:rFonts w:ascii="Arial Narrow" w:hAnsi="Arial Narrow"/>
          <w:sz w:val="16"/>
          <w:szCs w:val="16"/>
        </w:rPr>
        <w:footnoteRef/>
      </w:r>
      <w:r w:rsidRPr="00DB3458">
        <w:rPr>
          <w:rFonts w:ascii="Arial Narrow" w:hAnsi="Arial Narrow"/>
          <w:sz w:val="16"/>
          <w:szCs w:val="16"/>
        </w:rPr>
        <w:t xml:space="preserve"> </w:t>
      </w:r>
      <w:hyperlink r:id="rId3" w:history="1">
        <w:r w:rsidRPr="00DB3458">
          <w:rPr>
            <w:rStyle w:val="Hypertextovprepojenie"/>
            <w:rFonts w:ascii="Arial Narrow" w:hAnsi="Arial Narrow"/>
            <w:color w:val="2C9ADC"/>
            <w:sz w:val="16"/>
            <w:szCs w:val="16"/>
          </w:rPr>
          <w:t>Revízia výdavkov na skupiny ohrozené chudobou alebo sociálnym vylúčením, priebežná správa</w:t>
        </w:r>
      </w:hyperlink>
      <w:r w:rsidRPr="00DB3458">
        <w:rPr>
          <w:rFonts w:ascii="Arial Narrow" w:hAnsi="Arial Narrow"/>
          <w:sz w:val="16"/>
          <w:szCs w:val="16"/>
        </w:rPr>
        <w:t>, str. 21</w:t>
      </w:r>
    </w:p>
  </w:footnote>
  <w:footnote w:id="9">
    <w:p w14:paraId="5ECF4EF6" w14:textId="77777777" w:rsidR="00EE676F" w:rsidRPr="00DB3458" w:rsidRDefault="00EE676F" w:rsidP="00334F26">
      <w:pPr>
        <w:pStyle w:val="Textpoznmkypodiarou"/>
        <w:jc w:val="both"/>
        <w:rPr>
          <w:rFonts w:ascii="Arial Narrow" w:hAnsi="Arial Narrow"/>
          <w:sz w:val="16"/>
          <w:szCs w:val="16"/>
        </w:rPr>
      </w:pPr>
      <w:r w:rsidRPr="00DB3458">
        <w:rPr>
          <w:rStyle w:val="Odkaznapoznmkupodiarou"/>
          <w:rFonts w:ascii="Arial Narrow" w:hAnsi="Arial Narrow"/>
          <w:sz w:val="16"/>
          <w:szCs w:val="16"/>
        </w:rPr>
        <w:footnoteRef/>
      </w:r>
      <w:r w:rsidRPr="00DB3458">
        <w:rPr>
          <w:rFonts w:ascii="Arial Narrow" w:hAnsi="Arial Narrow"/>
          <w:sz w:val="16"/>
          <w:szCs w:val="16"/>
        </w:rPr>
        <w:t xml:space="preserve"> </w:t>
      </w:r>
      <w:r w:rsidRPr="00DB3458">
        <w:rPr>
          <w:rStyle w:val="Odkaznapoznmkupodiarou"/>
          <w:rFonts w:ascii="Arial Narrow" w:hAnsi="Arial Narrow"/>
          <w:sz w:val="16"/>
          <w:szCs w:val="16"/>
          <w:vertAlign w:val="baseline"/>
        </w:rPr>
        <w:t>Komentár IFP 18/2018:</w:t>
      </w:r>
      <w:r w:rsidRPr="00DB3458">
        <w:rPr>
          <w:rStyle w:val="Odkaznapoznmkupodiarou"/>
          <w:rFonts w:ascii="Arial Narrow" w:hAnsi="Arial Narrow"/>
          <w:sz w:val="16"/>
          <w:szCs w:val="16"/>
        </w:rPr>
        <w:t xml:space="preserve"> </w:t>
      </w:r>
      <w:hyperlink r:id="rId4" w:history="1">
        <w:r w:rsidRPr="00DB3458">
          <w:rPr>
            <w:rStyle w:val="Hypertextovprepojenie"/>
            <w:rFonts w:ascii="Arial Narrow" w:hAnsi="Arial Narrow"/>
            <w:color w:val="2C9ADC"/>
            <w:sz w:val="16"/>
            <w:szCs w:val="16"/>
          </w:rPr>
          <w:t>Inklúzia Rómov je celospoločenskou výzvou</w:t>
        </w:r>
      </w:hyperlink>
      <w:r w:rsidRPr="00DB3458">
        <w:rPr>
          <w:rStyle w:val="Odkaznapoznmkupodiarou"/>
          <w:rFonts w:ascii="Arial Narrow" w:hAnsi="Arial Narrow"/>
          <w:sz w:val="16"/>
          <w:szCs w:val="16"/>
        </w:rPr>
        <w:t>.</w:t>
      </w:r>
    </w:p>
  </w:footnote>
  <w:footnote w:id="10">
    <w:p w14:paraId="521521E3" w14:textId="77777777" w:rsidR="00EE676F" w:rsidRPr="00DB3458" w:rsidRDefault="00EE676F" w:rsidP="00334F26">
      <w:pPr>
        <w:spacing w:after="0" w:line="240" w:lineRule="auto"/>
        <w:jc w:val="both"/>
        <w:rPr>
          <w:rFonts w:ascii="Arial Narrow" w:hAnsi="Arial Narrow"/>
          <w:sz w:val="16"/>
          <w:szCs w:val="16"/>
        </w:rPr>
      </w:pPr>
      <w:r w:rsidRPr="00DB3458">
        <w:rPr>
          <w:rStyle w:val="Odkaznapoznmkupodiarou"/>
          <w:rFonts w:ascii="Arial Narrow" w:hAnsi="Arial Narrow"/>
          <w:sz w:val="16"/>
          <w:szCs w:val="16"/>
        </w:rPr>
        <w:footnoteRef/>
      </w:r>
      <w:r w:rsidRPr="00DB3458">
        <w:rPr>
          <w:rFonts w:ascii="Arial Narrow" w:hAnsi="Arial Narrow"/>
          <w:sz w:val="16"/>
          <w:szCs w:val="16"/>
        </w:rPr>
        <w:t xml:space="preserve"> </w:t>
      </w:r>
      <w:r w:rsidRPr="00DB3458">
        <w:rPr>
          <w:rFonts w:ascii="Arial Narrow" w:hAnsi="Arial Narrow"/>
          <w:color w:val="000000" w:themeColor="text1"/>
          <w:sz w:val="16"/>
          <w:szCs w:val="16"/>
        </w:rPr>
        <w:t xml:space="preserve">Viac v komentári </w:t>
      </w:r>
      <w:hyperlink r:id="rId5" w:history="1">
        <w:r w:rsidRPr="00DB3458">
          <w:rPr>
            <w:rStyle w:val="Hypertextovprepojenie"/>
            <w:rFonts w:ascii="Arial Narrow" w:eastAsiaTheme="majorEastAsia" w:hAnsi="Arial Narrow"/>
            <w:color w:val="2C9ADC"/>
            <w:sz w:val="16"/>
            <w:szCs w:val="16"/>
          </w:rPr>
          <w:t>Milovať i pracovať</w:t>
        </w:r>
      </w:hyperlink>
      <w:r w:rsidRPr="00DB3458">
        <w:rPr>
          <w:rFonts w:ascii="Arial Narrow" w:hAnsi="Arial Narrow"/>
          <w:color w:val="000000" w:themeColor="text1"/>
          <w:sz w:val="16"/>
          <w:szCs w:val="16"/>
        </w:rPr>
        <w:t xml:space="preserve">, či v analýze </w:t>
      </w:r>
      <w:hyperlink r:id="rId6" w:history="1">
        <w:proofErr w:type="spellStart"/>
        <w:r w:rsidRPr="00DB3458">
          <w:rPr>
            <w:rStyle w:val="Hypertextovprepojenie"/>
            <w:rFonts w:ascii="Arial Narrow" w:eastAsiaTheme="majorEastAsia" w:hAnsi="Arial Narrow"/>
            <w:color w:val="2C9ADC"/>
            <w:sz w:val="16"/>
            <w:szCs w:val="16"/>
          </w:rPr>
          <w:t>Women</w:t>
        </w:r>
        <w:proofErr w:type="spellEnd"/>
        <w:r w:rsidRPr="00DB3458">
          <w:rPr>
            <w:rStyle w:val="Hypertextovprepojenie"/>
            <w:rFonts w:ascii="Arial Narrow" w:eastAsiaTheme="majorEastAsia" w:hAnsi="Arial Narrow"/>
            <w:color w:val="2C9ADC"/>
            <w:sz w:val="16"/>
            <w:szCs w:val="16"/>
          </w:rPr>
          <w:t xml:space="preserve"> </w:t>
        </w:r>
        <w:proofErr w:type="spellStart"/>
        <w:r w:rsidRPr="00DB3458">
          <w:rPr>
            <w:rStyle w:val="Hypertextovprepojenie"/>
            <w:rFonts w:ascii="Arial Narrow" w:eastAsiaTheme="majorEastAsia" w:hAnsi="Arial Narrow"/>
            <w:color w:val="2C9ADC"/>
            <w:sz w:val="16"/>
            <w:szCs w:val="16"/>
          </w:rPr>
          <w:t>Still</w:t>
        </w:r>
        <w:proofErr w:type="spellEnd"/>
        <w:r w:rsidRPr="00DB3458">
          <w:rPr>
            <w:rStyle w:val="Hypertextovprepojenie"/>
            <w:rFonts w:ascii="Arial Narrow" w:eastAsiaTheme="majorEastAsia" w:hAnsi="Arial Narrow"/>
            <w:color w:val="2C9ADC"/>
            <w:sz w:val="16"/>
            <w:szCs w:val="16"/>
          </w:rPr>
          <w:t xml:space="preserve"> </w:t>
        </w:r>
        <w:proofErr w:type="spellStart"/>
        <w:r w:rsidRPr="00DB3458">
          <w:rPr>
            <w:rStyle w:val="Hypertextovprepojenie"/>
            <w:rFonts w:ascii="Arial Narrow" w:eastAsiaTheme="majorEastAsia" w:hAnsi="Arial Narrow"/>
            <w:color w:val="2C9ADC"/>
            <w:sz w:val="16"/>
            <w:szCs w:val="16"/>
          </w:rPr>
          <w:t>Can't</w:t>
        </w:r>
        <w:proofErr w:type="spellEnd"/>
        <w:r w:rsidRPr="00DB3458">
          <w:rPr>
            <w:rStyle w:val="Hypertextovprepojenie"/>
            <w:rFonts w:ascii="Arial Narrow" w:eastAsiaTheme="majorEastAsia" w:hAnsi="Arial Narrow"/>
            <w:color w:val="2C9ADC"/>
            <w:sz w:val="16"/>
            <w:szCs w:val="16"/>
          </w:rPr>
          <w:t xml:space="preserve"> </w:t>
        </w:r>
        <w:proofErr w:type="spellStart"/>
        <w:r w:rsidRPr="00DB3458">
          <w:rPr>
            <w:rStyle w:val="Hypertextovprepojenie"/>
            <w:rFonts w:ascii="Arial Narrow" w:eastAsiaTheme="majorEastAsia" w:hAnsi="Arial Narrow"/>
            <w:color w:val="2C9ADC"/>
            <w:sz w:val="16"/>
            <w:szCs w:val="16"/>
          </w:rPr>
          <w:t>Have</w:t>
        </w:r>
        <w:proofErr w:type="spellEnd"/>
        <w:r w:rsidRPr="00DB3458">
          <w:rPr>
            <w:rStyle w:val="Hypertextovprepojenie"/>
            <w:rFonts w:ascii="Arial Narrow" w:eastAsiaTheme="majorEastAsia" w:hAnsi="Arial Narrow"/>
            <w:color w:val="2C9ADC"/>
            <w:sz w:val="16"/>
            <w:szCs w:val="16"/>
          </w:rPr>
          <w:t xml:space="preserve"> </w:t>
        </w:r>
        <w:proofErr w:type="spellStart"/>
        <w:r w:rsidRPr="00DB3458">
          <w:rPr>
            <w:rStyle w:val="Hypertextovprepojenie"/>
            <w:rFonts w:ascii="Arial Narrow" w:eastAsiaTheme="majorEastAsia" w:hAnsi="Arial Narrow"/>
            <w:color w:val="2C9ADC"/>
            <w:sz w:val="16"/>
            <w:szCs w:val="16"/>
          </w:rPr>
          <w:t>It</w:t>
        </w:r>
        <w:proofErr w:type="spellEnd"/>
        <w:r w:rsidRPr="00DB3458">
          <w:rPr>
            <w:rStyle w:val="Hypertextovprepojenie"/>
            <w:rFonts w:ascii="Arial Narrow" w:eastAsiaTheme="majorEastAsia" w:hAnsi="Arial Narrow"/>
            <w:color w:val="2C9ADC"/>
            <w:sz w:val="16"/>
            <w:szCs w:val="16"/>
          </w:rPr>
          <w:t xml:space="preserve"> </w:t>
        </w:r>
        <w:proofErr w:type="spellStart"/>
        <w:r w:rsidRPr="00DB3458">
          <w:rPr>
            <w:rStyle w:val="Hypertextovprepojenie"/>
            <w:rFonts w:ascii="Arial Narrow" w:eastAsiaTheme="majorEastAsia" w:hAnsi="Arial Narrow"/>
            <w:color w:val="2C9ADC"/>
            <w:sz w:val="16"/>
            <w:szCs w:val="16"/>
          </w:rPr>
          <w:t>All</w:t>
        </w:r>
        <w:proofErr w:type="spellEnd"/>
        <w:r w:rsidRPr="00DB3458">
          <w:rPr>
            <w:rStyle w:val="Hypertextovprepojenie"/>
            <w:rFonts w:ascii="Arial Narrow" w:eastAsiaTheme="majorEastAsia" w:hAnsi="Arial Narrow"/>
            <w:color w:val="2C9ADC"/>
            <w:sz w:val="16"/>
            <w:szCs w:val="16"/>
          </w:rPr>
          <w:t xml:space="preserve">: </w:t>
        </w:r>
        <w:proofErr w:type="spellStart"/>
        <w:r w:rsidRPr="00DB3458">
          <w:rPr>
            <w:rStyle w:val="Hypertextovprepojenie"/>
            <w:rFonts w:ascii="Arial Narrow" w:eastAsiaTheme="majorEastAsia" w:hAnsi="Arial Narrow"/>
            <w:color w:val="2C9ADC"/>
            <w:sz w:val="16"/>
            <w:szCs w:val="16"/>
          </w:rPr>
          <w:t>Barriers</w:t>
        </w:r>
        <w:proofErr w:type="spellEnd"/>
        <w:r w:rsidRPr="00DB3458">
          <w:rPr>
            <w:rStyle w:val="Hypertextovprepojenie"/>
            <w:rFonts w:ascii="Arial Narrow" w:eastAsiaTheme="majorEastAsia" w:hAnsi="Arial Narrow"/>
            <w:color w:val="2C9ADC"/>
            <w:sz w:val="16"/>
            <w:szCs w:val="16"/>
          </w:rPr>
          <w:t xml:space="preserve"> to </w:t>
        </w:r>
        <w:proofErr w:type="spellStart"/>
        <w:r w:rsidRPr="00DB3458">
          <w:rPr>
            <w:rStyle w:val="Hypertextovprepojenie"/>
            <w:rFonts w:ascii="Arial Narrow" w:eastAsiaTheme="majorEastAsia" w:hAnsi="Arial Narrow"/>
            <w:color w:val="2C9ADC"/>
            <w:sz w:val="16"/>
            <w:szCs w:val="16"/>
          </w:rPr>
          <w:t>Higher</w:t>
        </w:r>
        <w:proofErr w:type="spellEnd"/>
        <w:r w:rsidRPr="00DB3458">
          <w:rPr>
            <w:rStyle w:val="Hypertextovprepojenie"/>
            <w:rFonts w:ascii="Arial Narrow" w:eastAsiaTheme="majorEastAsia" w:hAnsi="Arial Narrow"/>
            <w:color w:val="2C9ADC"/>
            <w:sz w:val="16"/>
            <w:szCs w:val="16"/>
          </w:rPr>
          <w:t xml:space="preserve"> </w:t>
        </w:r>
        <w:proofErr w:type="spellStart"/>
        <w:r w:rsidRPr="00DB3458">
          <w:rPr>
            <w:rStyle w:val="Hypertextovprepojenie"/>
            <w:rFonts w:ascii="Arial Narrow" w:eastAsiaTheme="majorEastAsia" w:hAnsi="Arial Narrow"/>
            <w:color w:val="2C9ADC"/>
            <w:sz w:val="16"/>
            <w:szCs w:val="16"/>
          </w:rPr>
          <w:t>Maternal</w:t>
        </w:r>
        <w:proofErr w:type="spellEnd"/>
        <w:r w:rsidRPr="00DB3458">
          <w:rPr>
            <w:rStyle w:val="Hypertextovprepojenie"/>
            <w:rFonts w:ascii="Arial Narrow" w:eastAsiaTheme="majorEastAsia" w:hAnsi="Arial Narrow"/>
            <w:color w:val="2C9ADC"/>
            <w:sz w:val="16"/>
            <w:szCs w:val="16"/>
          </w:rPr>
          <w:t xml:space="preserve"> </w:t>
        </w:r>
        <w:proofErr w:type="spellStart"/>
        <w:r w:rsidRPr="00DB3458">
          <w:rPr>
            <w:rStyle w:val="Hypertextovprepojenie"/>
            <w:rFonts w:ascii="Arial Narrow" w:eastAsiaTheme="majorEastAsia" w:hAnsi="Arial Narrow"/>
            <w:color w:val="2C9ADC"/>
            <w:sz w:val="16"/>
            <w:szCs w:val="16"/>
          </w:rPr>
          <w:t>Employment</w:t>
        </w:r>
        <w:proofErr w:type="spellEnd"/>
        <w:r w:rsidRPr="00DB3458">
          <w:rPr>
            <w:rStyle w:val="Hypertextovprepojenie"/>
            <w:rFonts w:ascii="Arial Narrow" w:eastAsiaTheme="majorEastAsia" w:hAnsi="Arial Narrow"/>
            <w:color w:val="2C9ADC"/>
            <w:sz w:val="16"/>
            <w:szCs w:val="16"/>
          </w:rPr>
          <w:t xml:space="preserve"> in Slovakia</w:t>
        </w:r>
      </w:hyperlink>
      <w:r w:rsidRPr="00DB3458">
        <w:rPr>
          <w:rFonts w:ascii="Arial Narrow" w:hAnsi="Arial Narrow"/>
          <w:color w:val="1F497D"/>
          <w:sz w:val="16"/>
          <w:szCs w:val="16"/>
        </w:rPr>
        <w:t>.</w:t>
      </w:r>
    </w:p>
  </w:footnote>
  <w:footnote w:id="11">
    <w:p w14:paraId="0FC1D83C" w14:textId="0589A928" w:rsidR="00EE676F" w:rsidRDefault="00EE676F" w:rsidP="00334F26">
      <w:pPr>
        <w:pStyle w:val="Textpoznmkypodiarou"/>
        <w:jc w:val="both"/>
      </w:pPr>
      <w:r w:rsidRPr="00DB3458">
        <w:rPr>
          <w:rStyle w:val="Odkaznapoznmkupodiarou"/>
          <w:rFonts w:ascii="Arial Narrow" w:hAnsi="Arial Narrow"/>
          <w:sz w:val="16"/>
          <w:szCs w:val="16"/>
        </w:rPr>
        <w:footnoteRef/>
      </w:r>
      <w:r w:rsidRPr="00DB3458">
        <w:rPr>
          <w:rFonts w:ascii="Arial Narrow" w:hAnsi="Arial Narrow"/>
          <w:sz w:val="16"/>
          <w:szCs w:val="16"/>
        </w:rPr>
        <w:t xml:space="preserve"> Celková miera odvrátiteľnej úmrtnosti sa  skladá z dvoch indikátorov. Prvý indikátor </w:t>
      </w:r>
      <w:r w:rsidRPr="009B3E89">
        <w:rPr>
          <w:rFonts w:ascii="Arial Narrow" w:hAnsi="Arial Narrow"/>
          <w:i/>
          <w:sz w:val="16"/>
          <w:szCs w:val="16"/>
        </w:rPr>
        <w:t>Miera úmrtnosti odvrátiteľná zdravotnou starostlivosťou</w:t>
      </w:r>
      <w:r w:rsidRPr="00DB3458">
        <w:rPr>
          <w:rFonts w:ascii="Arial Narrow" w:hAnsi="Arial Narrow"/>
          <w:sz w:val="16"/>
          <w:szCs w:val="16"/>
        </w:rPr>
        <w:t xml:space="preserve">, alebo inými slovami </w:t>
      </w:r>
      <w:r w:rsidRPr="009B3E89">
        <w:rPr>
          <w:rFonts w:ascii="Arial Narrow" w:hAnsi="Arial Narrow"/>
          <w:i/>
          <w:sz w:val="16"/>
          <w:szCs w:val="16"/>
        </w:rPr>
        <w:t>Miera liečiteľnej úmrtnosti</w:t>
      </w:r>
      <w:r w:rsidRPr="00DB3458">
        <w:rPr>
          <w:rFonts w:ascii="Arial Narrow" w:hAnsi="Arial Narrow"/>
          <w:sz w:val="16"/>
          <w:szCs w:val="16"/>
        </w:rPr>
        <w:t xml:space="preserve">, zahŕňa úmrtia, ktoré je možné odvrátiť včasnou a efektívnou diagnostikou, či adekvátnym zásahom zdravotnej starostlivosti a liečbou. Okrem liečiteľných úmrtí sa používa aj indikátor </w:t>
      </w:r>
      <w:proofErr w:type="spellStart"/>
      <w:r w:rsidRPr="009B3E89">
        <w:rPr>
          <w:rFonts w:ascii="Arial Narrow" w:hAnsi="Arial Narrow"/>
          <w:i/>
          <w:sz w:val="16"/>
          <w:szCs w:val="16"/>
        </w:rPr>
        <w:t>Predchádzateľná</w:t>
      </w:r>
      <w:proofErr w:type="spellEnd"/>
      <w:r w:rsidRPr="009B3E89">
        <w:rPr>
          <w:rFonts w:ascii="Arial Narrow" w:hAnsi="Arial Narrow"/>
          <w:i/>
          <w:sz w:val="16"/>
          <w:szCs w:val="16"/>
        </w:rPr>
        <w:t xml:space="preserve"> úmrtnosť</w:t>
      </w:r>
      <w:r w:rsidRPr="00DB3458">
        <w:rPr>
          <w:rFonts w:ascii="Arial Narrow" w:hAnsi="Arial Narrow"/>
          <w:sz w:val="16"/>
          <w:szCs w:val="16"/>
        </w:rPr>
        <w:t>. Tá sa dá zlepšiť pomocou opatrení zameraných na prevenciu ochorení (napr. podpora zdravého životného štýlu). U oboch indikátorov platí, že vyššie hodnoty sú horšie (znamenajú väčší počet úmrtí, ktoré sú odvrátiteľné).</w:t>
      </w:r>
    </w:p>
  </w:footnote>
  <w:footnote w:id="12">
    <w:p w14:paraId="226156D6" w14:textId="77777777" w:rsidR="00EE676F" w:rsidRPr="00A804AD" w:rsidRDefault="00EE676F" w:rsidP="00AE7BDD">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w:t>
      </w:r>
      <w:r w:rsidRPr="00A804AD">
        <w:rPr>
          <w:rStyle w:val="Hypertextovprepojenie"/>
          <w:rFonts w:ascii="Arial Narrow" w:hAnsi="Arial Narrow"/>
          <w:color w:val="2C9ADC"/>
          <w:sz w:val="16"/>
          <w:szCs w:val="16"/>
        </w:rPr>
        <w:t>Špecifické odporúčania pre Slovensko 2018</w:t>
      </w:r>
    </w:p>
  </w:footnote>
  <w:footnote w:id="13">
    <w:p w14:paraId="463E3045" w14:textId="13AA7908" w:rsidR="00EE676F" w:rsidRPr="00AA09E1" w:rsidRDefault="00EE676F" w:rsidP="00AA09E1">
      <w:pPr>
        <w:pStyle w:val="Textpoznmkypodiarou"/>
        <w:rPr>
          <w:rFonts w:ascii="Arial Narrow" w:hAnsi="Arial Narrow"/>
          <w:sz w:val="16"/>
          <w:szCs w:val="16"/>
        </w:rPr>
      </w:pPr>
      <w:r w:rsidRPr="00AA09E1">
        <w:rPr>
          <w:rStyle w:val="Odkaznapoznmkupodiarou"/>
          <w:rFonts w:ascii="Arial Narrow" w:hAnsi="Arial Narrow"/>
          <w:sz w:val="16"/>
          <w:szCs w:val="16"/>
        </w:rPr>
        <w:footnoteRef/>
      </w:r>
      <w:r w:rsidRPr="00AA09E1">
        <w:rPr>
          <w:rFonts w:ascii="Arial Narrow" w:hAnsi="Arial Narrow"/>
          <w:sz w:val="16"/>
          <w:szCs w:val="16"/>
        </w:rPr>
        <w:t xml:space="preserve"> S výnimkou obcí a VÚC, resp. nimi zriadenej rozpočtovej a príspevkovej organizácie.</w:t>
      </w:r>
    </w:p>
  </w:footnote>
  <w:footnote w:id="14">
    <w:p w14:paraId="5ACEA94C" w14:textId="77777777" w:rsidR="00EE676F" w:rsidRPr="00AA09E1" w:rsidRDefault="00EE676F" w:rsidP="00AA09E1">
      <w:pPr>
        <w:pStyle w:val="Textpoznmkypodiarou"/>
        <w:rPr>
          <w:rFonts w:ascii="Arial Narrow" w:hAnsi="Arial Narrow"/>
          <w:sz w:val="16"/>
          <w:szCs w:val="16"/>
        </w:rPr>
      </w:pPr>
      <w:r w:rsidRPr="00AA09E1">
        <w:rPr>
          <w:rStyle w:val="Odkaznapoznmkupodiarou"/>
          <w:rFonts w:ascii="Arial Narrow" w:hAnsi="Arial Narrow"/>
          <w:sz w:val="16"/>
          <w:szCs w:val="16"/>
        </w:rPr>
        <w:footnoteRef/>
      </w:r>
      <w:r w:rsidRPr="00AA09E1">
        <w:rPr>
          <w:rFonts w:ascii="Arial Narrow" w:hAnsi="Arial Narrow"/>
          <w:sz w:val="16"/>
          <w:szCs w:val="16"/>
        </w:rPr>
        <w:t xml:space="preserve"> Neplatí v prípade utajovanej skutočnosti, kedy je štúdia uskutočniteľnosti posielaná priamo ministerstvu financií.</w:t>
      </w:r>
    </w:p>
  </w:footnote>
  <w:footnote w:id="15">
    <w:p w14:paraId="4541A778" w14:textId="6F12AE4A" w:rsidR="00EE676F" w:rsidRDefault="00EE676F" w:rsidP="00AA09E1">
      <w:pPr>
        <w:pStyle w:val="Default"/>
        <w:jc w:val="both"/>
      </w:pPr>
      <w:r w:rsidRPr="00AA09E1">
        <w:rPr>
          <w:rStyle w:val="Odkaznapoznmkupodiarou"/>
          <w:rFonts w:ascii="Arial Narrow" w:hAnsi="Arial Narrow"/>
          <w:sz w:val="16"/>
          <w:szCs w:val="16"/>
        </w:rPr>
        <w:footnoteRef/>
      </w:r>
      <w:r w:rsidRPr="00AA09E1">
        <w:rPr>
          <w:rFonts w:ascii="Arial Narrow" w:hAnsi="Arial Narrow"/>
          <w:sz w:val="16"/>
          <w:szCs w:val="16"/>
        </w:rPr>
        <w:t xml:space="preserve"> Investíciou sa rozumejú výdavky na obstaranie hmotného majetku a nehmotného majetku (aj ak je vylúčený z odpisovania, vrátane výdavkov na nájom veci s práv</w:t>
      </w:r>
      <w:r>
        <w:rPr>
          <w:rFonts w:ascii="Arial Narrow" w:hAnsi="Arial Narrow"/>
          <w:sz w:val="16"/>
          <w:szCs w:val="16"/>
        </w:rPr>
        <w:t>om kúpy prenajatej veci a výdavkov</w:t>
      </w:r>
      <w:r w:rsidRPr="00AA09E1">
        <w:rPr>
          <w:rFonts w:ascii="Arial Narrow" w:hAnsi="Arial Narrow"/>
          <w:sz w:val="16"/>
          <w:szCs w:val="16"/>
        </w:rPr>
        <w:t xml:space="preserve"> na operatívny lízing</w:t>
      </w:r>
      <w:r>
        <w:rPr>
          <w:rFonts w:ascii="Arial Narrow" w:hAnsi="Arial Narrow"/>
          <w:sz w:val="16"/>
          <w:szCs w:val="16"/>
        </w:rPr>
        <w:t xml:space="preserve">). </w:t>
      </w:r>
      <w:r w:rsidRPr="00AA09E1">
        <w:rPr>
          <w:rFonts w:ascii="Arial Narrow" w:hAnsi="Arial Narrow"/>
          <w:sz w:val="16"/>
          <w:szCs w:val="16"/>
        </w:rPr>
        <w:t>Hodnotu investície</w:t>
      </w:r>
      <w:r w:rsidRPr="000E7B64">
        <w:rPr>
          <w:rFonts w:ascii="Arial Narrow" w:hAnsi="Arial Narrow"/>
          <w:sz w:val="16"/>
          <w:szCs w:val="16"/>
        </w:rPr>
        <w:t xml:space="preserve"> a koncesie, pri ktorých sa vypracovávajú a zverejňujú štúdie uskutočniteľnosti a podmienky ich vypracovania</w:t>
      </w:r>
      <w:r>
        <w:rPr>
          <w:rFonts w:ascii="Arial Narrow" w:hAnsi="Arial Narrow"/>
          <w:sz w:val="16"/>
          <w:szCs w:val="16"/>
        </w:rPr>
        <w:t xml:space="preserve">, </w:t>
      </w:r>
      <w:r w:rsidRPr="000E7B64">
        <w:rPr>
          <w:rFonts w:ascii="Arial Narrow" w:hAnsi="Arial Narrow"/>
          <w:sz w:val="16"/>
          <w:szCs w:val="16"/>
        </w:rPr>
        <w:t>ustanoví vláda nariadením.</w:t>
      </w:r>
    </w:p>
  </w:footnote>
  <w:footnote w:id="16">
    <w:p w14:paraId="0B4D102F" w14:textId="07BEF1DD" w:rsidR="00EE676F" w:rsidRPr="00752B46" w:rsidRDefault="00EE676F" w:rsidP="00F856B9">
      <w:pPr>
        <w:pStyle w:val="Textpoznmkypodiarou"/>
        <w:rPr>
          <w:rFonts w:ascii="Arial Narrow" w:hAnsi="Arial Narrow"/>
          <w:sz w:val="16"/>
          <w:szCs w:val="16"/>
        </w:rPr>
      </w:pPr>
      <w:r w:rsidRPr="00A804AD">
        <w:rPr>
          <w:rStyle w:val="Odkaznapoznmkupodiarou"/>
          <w:rFonts w:ascii="Arial Narrow" w:hAnsi="Arial Narrow"/>
          <w:sz w:val="16"/>
          <w:szCs w:val="16"/>
        </w:rPr>
        <w:footnoteRef/>
      </w:r>
      <w:r w:rsidRPr="00A804AD">
        <w:rPr>
          <w:rFonts w:ascii="Arial Narrow" w:hAnsi="Arial Narrow"/>
          <w:sz w:val="16"/>
          <w:szCs w:val="16"/>
        </w:rPr>
        <w:t xml:space="preserve"> </w:t>
      </w:r>
      <w:r w:rsidRPr="00017828">
        <w:rPr>
          <w:rFonts w:ascii="Arial Narrow" w:hAnsi="Arial Narrow"/>
          <w:sz w:val="16"/>
          <w:szCs w:val="16"/>
        </w:rPr>
        <w:t>10</w:t>
      </w:r>
      <w:r>
        <w:rPr>
          <w:rFonts w:ascii="Arial Narrow" w:hAnsi="Arial Narrow"/>
          <w:sz w:val="16"/>
          <w:szCs w:val="16"/>
        </w:rPr>
        <w:t>4</w:t>
      </w:r>
      <w:r w:rsidRPr="00017828">
        <w:rPr>
          <w:rFonts w:ascii="Arial Narrow" w:hAnsi="Arial Narrow"/>
          <w:sz w:val="16"/>
          <w:szCs w:val="16"/>
        </w:rPr>
        <w:t xml:space="preserve"> mil</w:t>
      </w:r>
      <w:r w:rsidRPr="00A804AD">
        <w:rPr>
          <w:rFonts w:ascii="Arial Narrow" w:hAnsi="Arial Narrow"/>
          <w:sz w:val="16"/>
          <w:szCs w:val="16"/>
        </w:rPr>
        <w:t xml:space="preserve">. eur predstavuje </w:t>
      </w:r>
      <w:r>
        <w:rPr>
          <w:rFonts w:ascii="Arial Narrow" w:hAnsi="Arial Narrow"/>
          <w:sz w:val="16"/>
          <w:szCs w:val="16"/>
        </w:rPr>
        <w:t>60</w:t>
      </w:r>
      <w:r w:rsidRPr="00A804AD">
        <w:rPr>
          <w:rFonts w:ascii="Arial Narrow" w:hAnsi="Arial Narrow"/>
          <w:sz w:val="16"/>
          <w:szCs w:val="16"/>
        </w:rPr>
        <w:t xml:space="preserve"> % ročného plánu</w:t>
      </w:r>
      <w:r>
        <w:rPr>
          <w:rFonts w:ascii="Arial Narrow" w:hAnsi="Arial Narrow"/>
          <w:sz w:val="16"/>
          <w:szCs w:val="16"/>
        </w:rPr>
        <w:t xml:space="preserve"> pre celkovú úsporu - verejného zdravotného poistenia aj výdavkov nemocníc</w:t>
      </w:r>
      <w:r w:rsidRPr="00642B43">
        <w:rPr>
          <w:rFonts w:ascii="Arial Narrow" w:hAnsi="Arial Narrow"/>
          <w:sz w:val="16"/>
          <w:szCs w:val="16"/>
        </w:rPr>
        <w:t>. Ide o štrukturálnu úsporu, ktorá znižuje každoročné výdavky v zdravotníctve.</w:t>
      </w:r>
    </w:p>
  </w:footnote>
  <w:footnote w:id="17">
    <w:p w14:paraId="0810D4C8" w14:textId="5731B6D3" w:rsidR="00EE676F" w:rsidRPr="00017828" w:rsidRDefault="00EE676F">
      <w:pPr>
        <w:pStyle w:val="Textpoznmkypodiarou"/>
        <w:rPr>
          <w:rFonts w:ascii="Arial Narrow" w:hAnsi="Arial Narrow"/>
        </w:rPr>
      </w:pPr>
      <w:r w:rsidRPr="00017828">
        <w:rPr>
          <w:rStyle w:val="Odkaznapoznmkupodiarou"/>
          <w:rFonts w:ascii="Arial Narrow" w:hAnsi="Arial Narrow"/>
          <w:sz w:val="16"/>
          <w:szCs w:val="16"/>
        </w:rPr>
        <w:footnoteRef/>
      </w:r>
      <w:r w:rsidRPr="00017828">
        <w:rPr>
          <w:rFonts w:ascii="Arial Narrow" w:hAnsi="Arial Narrow"/>
          <w:sz w:val="16"/>
          <w:szCs w:val="16"/>
        </w:rPr>
        <w:t xml:space="preserve"> Časť z</w:t>
      </w:r>
      <w:r>
        <w:rPr>
          <w:rFonts w:ascii="Arial Narrow" w:hAnsi="Arial Narrow"/>
          <w:sz w:val="16"/>
          <w:szCs w:val="16"/>
        </w:rPr>
        <w:t> </w:t>
      </w:r>
      <w:r w:rsidRPr="00017828">
        <w:rPr>
          <w:rFonts w:ascii="Arial Narrow" w:hAnsi="Arial Narrow"/>
          <w:sz w:val="16"/>
          <w:szCs w:val="16"/>
        </w:rPr>
        <w:t>menovan</w:t>
      </w:r>
      <w:r>
        <w:rPr>
          <w:rFonts w:ascii="Arial Narrow" w:hAnsi="Arial Narrow"/>
          <w:sz w:val="16"/>
          <w:szCs w:val="16"/>
        </w:rPr>
        <w:t>ých položiek</w:t>
      </w:r>
      <w:r w:rsidRPr="00017828">
        <w:rPr>
          <w:rFonts w:ascii="Arial Narrow" w:hAnsi="Arial Narrow"/>
          <w:sz w:val="16"/>
          <w:szCs w:val="16"/>
        </w:rPr>
        <w:t xml:space="preserve"> sa pritom už obstaráva centrálne.</w:t>
      </w:r>
    </w:p>
  </w:footnote>
  <w:footnote w:id="18">
    <w:p w14:paraId="267296A5" w14:textId="50DAFE80" w:rsidR="00EE676F" w:rsidRPr="00642B43" w:rsidRDefault="00EE676F" w:rsidP="00F856B9">
      <w:pPr>
        <w:pStyle w:val="Textpoznmkypodiarou"/>
        <w:rPr>
          <w:rFonts w:ascii="Arial Narrow" w:hAnsi="Arial Narrow"/>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Aktualizovaný plán pre rok 2018 = plán 2017 + navýšenie pre rok 2018 vyplývajúce z postupného nábehu – skutočné plnenie roku 2017</w:t>
      </w:r>
      <w:r>
        <w:rPr>
          <w:rFonts w:ascii="Arial Narrow" w:hAnsi="Arial Narrow"/>
          <w:sz w:val="16"/>
          <w:szCs w:val="16"/>
        </w:rPr>
        <w:t>.</w:t>
      </w:r>
    </w:p>
  </w:footnote>
  <w:footnote w:id="19">
    <w:p w14:paraId="37FD4EB7" w14:textId="524AB29D" w:rsidR="00EE676F" w:rsidRPr="00A804AD" w:rsidRDefault="00EE676F">
      <w:pPr>
        <w:pStyle w:val="Textpoznmkypodiarou"/>
        <w:rPr>
          <w:rFonts w:ascii="Arial Narrow" w:hAnsi="Arial Narrow"/>
          <w:sz w:val="16"/>
          <w:szCs w:val="16"/>
        </w:rPr>
      </w:pPr>
      <w:r w:rsidRPr="00A804AD">
        <w:rPr>
          <w:rStyle w:val="Odkaznapoznmkupodiarou"/>
          <w:rFonts w:ascii="Arial Narrow" w:hAnsi="Arial Narrow"/>
          <w:sz w:val="16"/>
          <w:szCs w:val="16"/>
        </w:rPr>
        <w:footnoteRef/>
      </w:r>
      <w:r w:rsidRPr="00A804AD">
        <w:rPr>
          <w:rFonts w:ascii="Arial Narrow" w:hAnsi="Arial Narrow"/>
          <w:sz w:val="16"/>
          <w:szCs w:val="16"/>
        </w:rPr>
        <w:t xml:space="preserve"> </w:t>
      </w:r>
      <w:r>
        <w:rPr>
          <w:rFonts w:ascii="Arial Narrow" w:hAnsi="Arial Narrow"/>
          <w:sz w:val="16"/>
          <w:szCs w:val="16"/>
        </w:rPr>
        <w:t xml:space="preserve">Celkový počet zdravotníckych pracovníkov </w:t>
      </w:r>
      <w:r w:rsidRPr="00A804AD">
        <w:rPr>
          <w:rFonts w:ascii="Arial Narrow" w:hAnsi="Arial Narrow"/>
          <w:color w:val="000000"/>
          <w:sz w:val="16"/>
          <w:szCs w:val="16"/>
        </w:rPr>
        <w:t xml:space="preserve">zahŕňa všetky zdravotnícke povolania (lekár, laboratórny pracovník, sanitár, sestra, fyzioterapeut...) pričom služby </w:t>
      </w:r>
      <w:r>
        <w:rPr>
          <w:rFonts w:ascii="Arial Narrow" w:hAnsi="Arial Narrow"/>
          <w:color w:val="000000"/>
          <w:sz w:val="16"/>
          <w:szCs w:val="16"/>
        </w:rPr>
        <w:t xml:space="preserve">elektronického zdravotníctva sú zatiaľ dostupné </w:t>
      </w:r>
      <w:r w:rsidRPr="00A804AD">
        <w:rPr>
          <w:rFonts w:ascii="Arial Narrow" w:hAnsi="Arial Narrow"/>
          <w:color w:val="000000"/>
          <w:sz w:val="16"/>
          <w:szCs w:val="16"/>
        </w:rPr>
        <w:t>len pre určitú skupinu z nich (lekár, sestra, lekárnik).</w:t>
      </w:r>
    </w:p>
  </w:footnote>
  <w:footnote w:id="20">
    <w:p w14:paraId="1509FAEE" w14:textId="77777777" w:rsidR="00EE676F" w:rsidRPr="00642B43" w:rsidRDefault="00EE676F" w:rsidP="00F856B9">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Celkový počet všeobecných a špecializovaných nemocníc na Slovensku je 113.</w:t>
      </w:r>
    </w:p>
  </w:footnote>
  <w:footnote w:id="21">
    <w:p w14:paraId="5D39A804" w14:textId="435155D8" w:rsidR="00EE676F" w:rsidRPr="00642B43" w:rsidRDefault="00EE676F">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Čerpanie 2018, údaj z marca 2019.</w:t>
      </w:r>
      <w:r>
        <w:rPr>
          <w:rFonts w:ascii="Arial Narrow" w:hAnsi="Arial Narrow"/>
          <w:sz w:val="16"/>
          <w:szCs w:val="16"/>
        </w:rPr>
        <w:t xml:space="preserve"> Finálne údaje za  december 2018 neboli v čase tvorby dokument k dispozícii – hodnota je zatiaľ odhadom.</w:t>
      </w:r>
    </w:p>
  </w:footnote>
  <w:footnote w:id="22">
    <w:p w14:paraId="3AEC3EC6" w14:textId="77777777" w:rsidR="00EE676F" w:rsidRPr="00A804AD" w:rsidRDefault="00EE676F" w:rsidP="006F6BFF">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Platový automat je odmeňovanie odvodzované od násobku priemernej mesačnej mzdy zamestnanca v hospodárstve SR za kalendárny rok, ktorý dva roky predchádza kalendárnemu roku, v ktorom sa priznáva základná zložka mzdy. Násobok je špecifický pre jednotlivé ka</w:t>
      </w:r>
      <w:r w:rsidRPr="00A804AD">
        <w:rPr>
          <w:rFonts w:ascii="Arial Narrow" w:hAnsi="Arial Narrow"/>
          <w:sz w:val="16"/>
          <w:szCs w:val="16"/>
        </w:rPr>
        <w:t>tegórie pracovníkov.</w:t>
      </w:r>
    </w:p>
  </w:footnote>
  <w:footnote w:id="23">
    <w:p w14:paraId="14310241" w14:textId="77777777" w:rsidR="00EE676F" w:rsidRPr="00642B43" w:rsidRDefault="00EE676F" w:rsidP="006F6BFF">
      <w:pPr>
        <w:pStyle w:val="Textpoznmkypodiarou"/>
        <w:jc w:val="both"/>
        <w:rPr>
          <w:rFonts w:ascii="Arial Narrow" w:hAnsi="Arial Narrow"/>
          <w:sz w:val="16"/>
          <w:szCs w:val="16"/>
        </w:rPr>
      </w:pPr>
      <w:r w:rsidRPr="00A804AD">
        <w:rPr>
          <w:rStyle w:val="Odkaznapoznmkupodiarou"/>
          <w:rFonts w:ascii="Arial Narrow" w:hAnsi="Arial Narrow"/>
          <w:sz w:val="16"/>
          <w:szCs w:val="16"/>
        </w:rPr>
        <w:footnoteRef/>
      </w:r>
      <w:r w:rsidRPr="00A804AD">
        <w:rPr>
          <w:rFonts w:ascii="Arial Narrow" w:hAnsi="Arial Narrow"/>
          <w:sz w:val="16"/>
          <w:szCs w:val="16"/>
        </w:rPr>
        <w:t xml:space="preserve"> Údaje za rok 2016</w:t>
      </w:r>
    </w:p>
  </w:footnote>
  <w:footnote w:id="24">
    <w:p w14:paraId="373046AA" w14:textId="4C413D0A" w:rsidR="00EE676F" w:rsidRPr="00642B43" w:rsidRDefault="00EE676F">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w:t>
      </w:r>
      <w:hyperlink r:id="rId7" w:history="1">
        <w:r w:rsidRPr="009612BE">
          <w:rPr>
            <w:rStyle w:val="Hypertextovprepojenie"/>
            <w:rFonts w:ascii="Arial Narrow" w:hAnsi="Arial Narrow"/>
            <w:color w:val="2C9ADC"/>
            <w:sz w:val="16"/>
            <w:szCs w:val="16"/>
          </w:rPr>
          <w:t>Akčný plán na posilnenie integrácie dlhodobo nezamestnaných na trh práce v SR</w:t>
        </w:r>
        <w:r w:rsidRPr="009612BE">
          <w:rPr>
            <w:rStyle w:val="Hypertextovprepojenie"/>
            <w:rFonts w:ascii="Arial Narrow" w:hAnsi="Arial Narrow"/>
            <w:color w:val="000000" w:themeColor="text1"/>
            <w:sz w:val="16"/>
            <w:szCs w:val="16"/>
            <w:u w:val="none"/>
          </w:rPr>
          <w:t>.</w:t>
        </w:r>
      </w:hyperlink>
    </w:p>
  </w:footnote>
  <w:footnote w:id="25">
    <w:p w14:paraId="76F1900A" w14:textId="5BF12D03" w:rsidR="00EE676F" w:rsidRPr="00DA3EC9" w:rsidRDefault="00EE676F">
      <w:pPr>
        <w:pStyle w:val="Textpoznmkypodiarou"/>
        <w:rPr>
          <w:rFonts w:ascii="Arial Narrow" w:hAnsi="Arial Narrow"/>
        </w:rPr>
      </w:pPr>
      <w:r w:rsidRPr="00DA3EC9">
        <w:rPr>
          <w:rStyle w:val="Odkaznapoznmkupodiarou"/>
          <w:rFonts w:ascii="Arial Narrow" w:hAnsi="Arial Narrow"/>
          <w:sz w:val="16"/>
        </w:rPr>
        <w:footnoteRef/>
      </w:r>
      <w:r w:rsidRPr="00DA3EC9">
        <w:rPr>
          <w:rFonts w:ascii="Arial Narrow" w:hAnsi="Arial Narrow"/>
          <w:sz w:val="16"/>
        </w:rPr>
        <w:t xml:space="preserve"> </w:t>
      </w:r>
      <w:r w:rsidRPr="00DA3EC9">
        <w:rPr>
          <w:rFonts w:ascii="Arial Narrow" w:hAnsi="Arial Narrow" w:cs="Arial"/>
          <w:sz w:val="16"/>
        </w:rPr>
        <w:t>V implementácii je 24 projektov.</w:t>
      </w:r>
    </w:p>
  </w:footnote>
  <w:footnote w:id="26">
    <w:p w14:paraId="5213B36F" w14:textId="036FB1FF" w:rsidR="00EE676F" w:rsidRPr="00642B43" w:rsidRDefault="00EE676F">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Každý z rodičov poberá matersk</w:t>
      </w:r>
      <w:r>
        <w:rPr>
          <w:rFonts w:ascii="Arial Narrow" w:hAnsi="Arial Narrow"/>
          <w:sz w:val="16"/>
          <w:szCs w:val="16"/>
        </w:rPr>
        <w:t>é</w:t>
      </w:r>
      <w:r w:rsidRPr="00642B43">
        <w:rPr>
          <w:rFonts w:ascii="Arial Narrow" w:hAnsi="Arial Narrow"/>
          <w:sz w:val="16"/>
          <w:szCs w:val="16"/>
        </w:rPr>
        <w:t xml:space="preserve"> na iné dieťa.</w:t>
      </w:r>
    </w:p>
  </w:footnote>
  <w:footnote w:id="27">
    <w:p w14:paraId="1224A56A" w14:textId="2B772B09" w:rsidR="00EE676F" w:rsidRPr="00B94E25" w:rsidRDefault="00EE676F">
      <w:pPr>
        <w:pStyle w:val="Textpoznmkypodiarou"/>
        <w:rPr>
          <w:rFonts w:ascii="Arial Narrow" w:hAnsi="Arial Narrow"/>
          <w:sz w:val="16"/>
        </w:rPr>
      </w:pPr>
      <w:r w:rsidRPr="00B94E25">
        <w:rPr>
          <w:rStyle w:val="Odkaznapoznmkupodiarou"/>
          <w:rFonts w:ascii="Arial Narrow" w:hAnsi="Arial Narrow"/>
          <w:sz w:val="16"/>
        </w:rPr>
        <w:footnoteRef/>
      </w:r>
      <w:r w:rsidRPr="00B94E25">
        <w:rPr>
          <w:rFonts w:ascii="Arial Narrow" w:hAnsi="Arial Narrow"/>
          <w:sz w:val="16"/>
        </w:rPr>
        <w:t xml:space="preserve"> </w:t>
      </w:r>
      <w:hyperlink r:id="rId8" w:history="1">
        <w:r w:rsidRPr="005C3EDF">
          <w:rPr>
            <w:rStyle w:val="Hypertextovprepojenie"/>
            <w:rFonts w:ascii="Arial Narrow" w:hAnsi="Arial Narrow"/>
            <w:color w:val="2C9ADC"/>
            <w:sz w:val="16"/>
          </w:rPr>
          <w:t xml:space="preserve">Národný projekt Podpora </w:t>
        </w:r>
        <w:proofErr w:type="spellStart"/>
        <w:r w:rsidRPr="005C3EDF">
          <w:rPr>
            <w:rStyle w:val="Hypertextovprepojenie"/>
            <w:rFonts w:ascii="Arial Narrow" w:hAnsi="Arial Narrow"/>
            <w:color w:val="2C9ADC"/>
            <w:sz w:val="16"/>
          </w:rPr>
          <w:t>predprimárneho</w:t>
        </w:r>
        <w:proofErr w:type="spellEnd"/>
        <w:r w:rsidRPr="005C3EDF">
          <w:rPr>
            <w:rStyle w:val="Hypertextovprepojenie"/>
            <w:rFonts w:ascii="Arial Narrow" w:hAnsi="Arial Narrow"/>
            <w:color w:val="2C9ADC"/>
            <w:sz w:val="16"/>
          </w:rPr>
          <w:t xml:space="preserve"> vzdelávania detí z marginalizovaných rómskych komunít I.</w:t>
        </w:r>
      </w:hyperlink>
    </w:p>
  </w:footnote>
  <w:footnote w:id="28">
    <w:p w14:paraId="58D794B2" w14:textId="77777777" w:rsidR="00EE676F" w:rsidRPr="00642B43" w:rsidRDefault="00EE676F" w:rsidP="00B802FA">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Od začiatku volebného obdobia sa platy zvyšovali o 6 % v septembri 2016 a takisto v 2017.</w:t>
      </w:r>
    </w:p>
  </w:footnote>
  <w:footnote w:id="29">
    <w:p w14:paraId="272CCAAF" w14:textId="77777777" w:rsidR="00EE676F" w:rsidRPr="00E417FC" w:rsidRDefault="00EE676F" w:rsidP="007B7C04">
      <w:pPr>
        <w:pStyle w:val="Textpoznmkypodiarou"/>
        <w:rPr>
          <w:rFonts w:ascii="Arial Narrow" w:hAnsi="Arial Narrow"/>
        </w:rPr>
      </w:pPr>
      <w:r w:rsidRPr="00E417FC">
        <w:rPr>
          <w:rStyle w:val="Odkaznapoznmkupodiarou"/>
          <w:rFonts w:ascii="Arial Narrow" w:hAnsi="Arial Narrow"/>
          <w:sz w:val="16"/>
        </w:rPr>
        <w:footnoteRef/>
      </w:r>
      <w:r>
        <w:rPr>
          <w:rFonts w:ascii="Arial Narrow" w:hAnsi="Arial Narrow"/>
          <w:sz w:val="16"/>
        </w:rPr>
        <w:t xml:space="preserve"> V čase prípravy NPR 2019 je zákon predmetom rokovania NR SR.</w:t>
      </w:r>
    </w:p>
  </w:footnote>
  <w:footnote w:id="30">
    <w:p w14:paraId="617055AA" w14:textId="77777777" w:rsidR="00EE676F" w:rsidRPr="00A804AD" w:rsidRDefault="00EE676F" w:rsidP="00B802FA">
      <w:pPr>
        <w:pStyle w:val="Textpoznmkypodiarou"/>
        <w:rPr>
          <w:rFonts w:ascii="Arial Narrow" w:hAnsi="Arial Narrow"/>
          <w:sz w:val="16"/>
          <w:szCs w:val="16"/>
        </w:rPr>
      </w:pPr>
      <w:r w:rsidRPr="002974DB">
        <w:rPr>
          <w:rStyle w:val="Odkaznapoznmkupodiarou"/>
          <w:rFonts w:ascii="Arial Narrow" w:hAnsi="Arial Narrow"/>
          <w:sz w:val="16"/>
          <w:szCs w:val="16"/>
        </w:rPr>
        <w:footnoteRef/>
      </w:r>
      <w:r w:rsidRPr="002974DB">
        <w:rPr>
          <w:rFonts w:ascii="Arial Narrow" w:hAnsi="Arial Narrow"/>
          <w:sz w:val="16"/>
          <w:szCs w:val="16"/>
        </w:rPr>
        <w:t xml:space="preserve"> </w:t>
      </w:r>
      <w:r w:rsidRPr="00642B43">
        <w:rPr>
          <w:rFonts w:ascii="Arial Narrow" w:hAnsi="Arial Narrow"/>
          <w:sz w:val="16"/>
          <w:szCs w:val="16"/>
        </w:rPr>
        <w:t>Novela bola schválená v júni 2018.</w:t>
      </w:r>
    </w:p>
  </w:footnote>
  <w:footnote w:id="31">
    <w:p w14:paraId="083AEADF" w14:textId="413E87A3" w:rsidR="00EE676F" w:rsidRPr="002974DB" w:rsidRDefault="00EE676F" w:rsidP="007E2F71">
      <w:pPr>
        <w:pStyle w:val="Textpoznmkypodiarou"/>
        <w:rPr>
          <w:rFonts w:ascii="Arial Narrow" w:hAnsi="Arial Narrow"/>
          <w:sz w:val="16"/>
          <w:szCs w:val="16"/>
        </w:rPr>
      </w:pPr>
      <w:r w:rsidRPr="00642B43">
        <w:rPr>
          <w:rStyle w:val="Odkaznapoznmkupodiarou"/>
          <w:rFonts w:ascii="Arial Narrow" w:hAnsi="Arial Narrow"/>
          <w:sz w:val="16"/>
          <w:szCs w:val="16"/>
        </w:rPr>
        <w:footnoteRef/>
      </w:r>
      <w:r>
        <w:rPr>
          <w:rFonts w:ascii="Arial Narrow" w:hAnsi="Arial Narrow"/>
          <w:sz w:val="16"/>
          <w:szCs w:val="16"/>
        </w:rPr>
        <w:t xml:space="preserve"> </w:t>
      </w:r>
      <w:hyperlink r:id="rId9" w:history="1">
        <w:r>
          <w:rPr>
            <w:rStyle w:val="Hypertextovprepojenie"/>
            <w:rFonts w:ascii="Arial Narrow" w:hAnsi="Arial Narrow"/>
            <w:color w:val="2C9ADC"/>
            <w:sz w:val="16"/>
            <w:szCs w:val="16"/>
          </w:rPr>
          <w:t>Správa k stavu justície</w:t>
        </w:r>
      </w:hyperlink>
    </w:p>
  </w:footnote>
  <w:footnote w:id="32">
    <w:p w14:paraId="4C576298" w14:textId="22A95F8D" w:rsidR="00EE676F" w:rsidRPr="000E1C59" w:rsidRDefault="00EE676F">
      <w:pPr>
        <w:pStyle w:val="Textpoznmkypodiarou"/>
        <w:rPr>
          <w:rFonts w:ascii="Arial Narrow" w:hAnsi="Arial Narrow"/>
          <w:sz w:val="16"/>
          <w:szCs w:val="16"/>
        </w:rPr>
      </w:pPr>
      <w:r w:rsidRPr="000E1C59">
        <w:rPr>
          <w:rStyle w:val="Odkaznapoznmkupodiarou"/>
          <w:rFonts w:ascii="Arial Narrow" w:hAnsi="Arial Narrow"/>
          <w:sz w:val="16"/>
          <w:szCs w:val="16"/>
        </w:rPr>
        <w:footnoteRef/>
      </w:r>
      <w:r w:rsidRPr="000E1C59">
        <w:rPr>
          <w:rFonts w:ascii="Arial Narrow" w:hAnsi="Arial Narrow"/>
          <w:sz w:val="16"/>
          <w:szCs w:val="16"/>
        </w:rPr>
        <w:t xml:space="preserve"> </w:t>
      </w:r>
      <w:proofErr w:type="spellStart"/>
      <w:r w:rsidRPr="000E1C59">
        <w:rPr>
          <w:rFonts w:ascii="Arial Narrow" w:hAnsi="Arial Narrow"/>
          <w:sz w:val="16"/>
          <w:szCs w:val="16"/>
        </w:rPr>
        <w:t>Entrepreneurial</w:t>
      </w:r>
      <w:proofErr w:type="spellEnd"/>
      <w:r w:rsidRPr="000E1C59">
        <w:rPr>
          <w:rFonts w:ascii="Arial Narrow" w:hAnsi="Arial Narrow"/>
          <w:sz w:val="16"/>
          <w:szCs w:val="16"/>
        </w:rPr>
        <w:t xml:space="preserve"> </w:t>
      </w:r>
      <w:proofErr w:type="spellStart"/>
      <w:r w:rsidRPr="000E1C59">
        <w:rPr>
          <w:rFonts w:ascii="Arial Narrow" w:hAnsi="Arial Narrow"/>
          <w:sz w:val="16"/>
          <w:szCs w:val="16"/>
        </w:rPr>
        <w:t>Discovery</w:t>
      </w:r>
      <w:proofErr w:type="spellEnd"/>
      <w:r w:rsidRPr="000E1C59">
        <w:rPr>
          <w:rFonts w:ascii="Arial Narrow" w:hAnsi="Arial Narrow"/>
          <w:sz w:val="16"/>
          <w:szCs w:val="16"/>
        </w:rPr>
        <w:t xml:space="preserve"> Proces – proces podnikateľského objavovania.</w:t>
      </w:r>
    </w:p>
  </w:footnote>
  <w:footnote w:id="33">
    <w:p w14:paraId="47BFC4EF" w14:textId="48684864" w:rsidR="00EE676F" w:rsidRPr="00F01FF3" w:rsidRDefault="00EE676F">
      <w:pPr>
        <w:pStyle w:val="Textpoznmkypodiarou"/>
        <w:rPr>
          <w:rFonts w:ascii="Arial Narrow" w:hAnsi="Arial Narrow"/>
          <w:color w:val="2C9ADC"/>
        </w:rPr>
      </w:pPr>
      <w:r w:rsidRPr="00F01FF3">
        <w:rPr>
          <w:rStyle w:val="Odkaznapoznmkupodiarou"/>
          <w:rFonts w:ascii="Arial Narrow" w:hAnsi="Arial Narrow"/>
          <w:sz w:val="16"/>
        </w:rPr>
        <w:footnoteRef/>
      </w:r>
      <w:r w:rsidRPr="00F01FF3">
        <w:rPr>
          <w:rFonts w:ascii="Arial Narrow" w:hAnsi="Arial Narrow"/>
          <w:sz w:val="16"/>
        </w:rPr>
        <w:t xml:space="preserve"> </w:t>
      </w:r>
      <w:r w:rsidRPr="005B400F">
        <w:rPr>
          <w:rFonts w:ascii="Arial Narrow" w:hAnsi="Arial Narrow"/>
          <w:color w:val="000000" w:themeColor="text1"/>
          <w:sz w:val="16"/>
        </w:rPr>
        <w:t xml:space="preserve">Program na podporu štrukturálnych reforiem – </w:t>
      </w:r>
      <w:r w:rsidRPr="00F01FF3">
        <w:rPr>
          <w:rFonts w:ascii="Arial Narrow" w:hAnsi="Arial Narrow"/>
          <w:sz w:val="16"/>
        </w:rPr>
        <w:t>SRSP (</w:t>
      </w:r>
      <w:proofErr w:type="spellStart"/>
      <w:r w:rsidRPr="00F01FF3">
        <w:rPr>
          <w:rFonts w:ascii="Arial Narrow" w:hAnsi="Arial Narrow"/>
          <w:sz w:val="16"/>
        </w:rPr>
        <w:t>Structural</w:t>
      </w:r>
      <w:proofErr w:type="spellEnd"/>
      <w:r w:rsidRPr="00F01FF3">
        <w:rPr>
          <w:rFonts w:ascii="Arial Narrow" w:hAnsi="Arial Narrow"/>
          <w:sz w:val="16"/>
        </w:rPr>
        <w:t xml:space="preserve"> </w:t>
      </w:r>
      <w:proofErr w:type="spellStart"/>
      <w:r w:rsidRPr="00F01FF3">
        <w:rPr>
          <w:rFonts w:ascii="Arial Narrow" w:hAnsi="Arial Narrow"/>
          <w:sz w:val="16"/>
        </w:rPr>
        <w:t>Reform</w:t>
      </w:r>
      <w:proofErr w:type="spellEnd"/>
      <w:r w:rsidRPr="00F01FF3">
        <w:rPr>
          <w:rFonts w:ascii="Arial Narrow" w:hAnsi="Arial Narrow"/>
          <w:sz w:val="16"/>
        </w:rPr>
        <w:t xml:space="preserve"> </w:t>
      </w:r>
      <w:proofErr w:type="spellStart"/>
      <w:r w:rsidRPr="00F01FF3">
        <w:rPr>
          <w:rFonts w:ascii="Arial Narrow" w:hAnsi="Arial Narrow"/>
          <w:sz w:val="16"/>
        </w:rPr>
        <w:t>Support</w:t>
      </w:r>
      <w:proofErr w:type="spellEnd"/>
      <w:r w:rsidRPr="00F01FF3">
        <w:rPr>
          <w:rFonts w:ascii="Arial Narrow" w:hAnsi="Arial Narrow"/>
          <w:sz w:val="16"/>
        </w:rPr>
        <w:t xml:space="preserve"> </w:t>
      </w:r>
      <w:proofErr w:type="spellStart"/>
      <w:r w:rsidRPr="00F01FF3">
        <w:rPr>
          <w:rFonts w:ascii="Arial Narrow" w:hAnsi="Arial Narrow"/>
          <w:sz w:val="16"/>
        </w:rPr>
        <w:t>Programme</w:t>
      </w:r>
      <w:proofErr w:type="spellEnd"/>
      <w:r w:rsidRPr="00F01FF3">
        <w:rPr>
          <w:rFonts w:ascii="Arial Narrow" w:hAnsi="Arial Narrow"/>
          <w:sz w:val="16"/>
        </w:rPr>
        <w:t>).</w:t>
      </w:r>
    </w:p>
  </w:footnote>
  <w:footnote w:id="34">
    <w:p w14:paraId="57512655" w14:textId="755007DF" w:rsidR="00EE676F" w:rsidRPr="002974DB" w:rsidRDefault="00EE676F" w:rsidP="007E2F71">
      <w:pPr>
        <w:pStyle w:val="Textpoznmkypodiarou"/>
        <w:rPr>
          <w:rFonts w:ascii="Arial Narrow" w:hAnsi="Arial Narrow"/>
          <w:sz w:val="16"/>
          <w:szCs w:val="16"/>
        </w:rPr>
      </w:pPr>
      <w:r>
        <w:rPr>
          <w:rFonts w:ascii="Arial Narrow" w:hAnsi="Arial Narrow"/>
          <w:sz w:val="16"/>
          <w:szCs w:val="16"/>
        </w:rPr>
        <w:t xml:space="preserve"> </w:t>
      </w:r>
      <w:r w:rsidRPr="00642B43">
        <w:rPr>
          <w:rStyle w:val="Odkaznapoznmkupodiarou"/>
          <w:rFonts w:ascii="Arial Narrow" w:hAnsi="Arial Narrow"/>
          <w:sz w:val="16"/>
          <w:szCs w:val="16"/>
        </w:rPr>
        <w:footnoteRef/>
      </w:r>
      <w:r w:rsidRPr="00642B43">
        <w:rPr>
          <w:rFonts w:ascii="Arial Narrow" w:hAnsi="Arial Narrow"/>
          <w:sz w:val="16"/>
          <w:szCs w:val="16"/>
        </w:rPr>
        <w:t xml:space="preserve"> Zákon č. 98/2004 Z. z. o spotrebnej dani z minerálneho oleja</w:t>
      </w:r>
      <w:r>
        <w:rPr>
          <w:rFonts w:ascii="Arial Narrow" w:hAnsi="Arial Narrow"/>
          <w:sz w:val="16"/>
          <w:szCs w:val="16"/>
        </w:rPr>
        <w:t>.</w:t>
      </w:r>
    </w:p>
  </w:footnote>
  <w:footnote w:id="35">
    <w:p w14:paraId="5F3862FE" w14:textId="0B3302C4" w:rsidR="00EE676F" w:rsidRPr="00A804AD" w:rsidRDefault="00EE676F" w:rsidP="007E2F71">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Napríklad analýza postupov udeľovania prechodných pobytov cudzincov reaguje na potreby slovenského trhu práce a nepriamo nadväzuje </w:t>
      </w:r>
      <w:r>
        <w:rPr>
          <w:rFonts w:ascii="Arial Narrow" w:hAnsi="Arial Narrow"/>
          <w:sz w:val="16"/>
          <w:szCs w:val="16"/>
        </w:rPr>
        <w:t xml:space="preserve">na </w:t>
      </w:r>
      <w:r w:rsidRPr="00642B43">
        <w:rPr>
          <w:rFonts w:ascii="Arial Narrow" w:hAnsi="Arial Narrow"/>
          <w:sz w:val="16"/>
          <w:szCs w:val="16"/>
        </w:rPr>
        <w:t xml:space="preserve">novelu zákona o službách zamestnanosti z roku 2018, ktorá zjednodušuje zamestnávanie cudzincov.  </w:t>
      </w:r>
    </w:p>
  </w:footnote>
  <w:footnote w:id="36">
    <w:p w14:paraId="2E30A33E" w14:textId="77777777" w:rsidR="00EE676F" w:rsidRPr="0052262F" w:rsidRDefault="00EE676F" w:rsidP="004D21D5">
      <w:pPr>
        <w:pStyle w:val="Textpoznmkypodiarou"/>
        <w:rPr>
          <w:rFonts w:ascii="Arial Narrow" w:hAnsi="Arial Narrow"/>
          <w:sz w:val="16"/>
          <w:szCs w:val="16"/>
        </w:rPr>
      </w:pPr>
      <w:r w:rsidRPr="0052262F">
        <w:rPr>
          <w:rStyle w:val="Odkaznapoznmkupodiarou"/>
          <w:rFonts w:ascii="Arial Narrow" w:hAnsi="Arial Narrow"/>
          <w:color w:val="000000" w:themeColor="text1"/>
          <w:sz w:val="16"/>
          <w:szCs w:val="16"/>
        </w:rPr>
        <w:footnoteRef/>
      </w:r>
      <w:r w:rsidRPr="0052262F">
        <w:rPr>
          <w:rFonts w:ascii="Arial Narrow" w:hAnsi="Arial Narrow"/>
          <w:color w:val="000000" w:themeColor="text1"/>
          <w:sz w:val="16"/>
          <w:szCs w:val="16"/>
        </w:rPr>
        <w:t xml:space="preserve"> </w:t>
      </w:r>
      <w:hyperlink r:id="rId10" w:history="1">
        <w:r w:rsidRPr="0052262F">
          <w:rPr>
            <w:rStyle w:val="Hypertextovprepojenie"/>
            <w:rFonts w:ascii="Arial Narrow" w:hAnsi="Arial Narrow"/>
            <w:color w:val="2C9ADC"/>
            <w:sz w:val="16"/>
            <w:szCs w:val="16"/>
          </w:rPr>
          <w:t>Podľa priebežnej Implementačnej správy za prvý polrok 2018</w:t>
        </w:r>
      </w:hyperlink>
      <w:r w:rsidRPr="0052262F">
        <w:rPr>
          <w:rFonts w:ascii="Arial Narrow" w:hAnsi="Arial Narrow"/>
          <w:color w:val="2C9ADC"/>
          <w:sz w:val="16"/>
          <w:szCs w:val="16"/>
        </w:rPr>
        <w:t>.</w:t>
      </w:r>
    </w:p>
  </w:footnote>
  <w:footnote w:id="37">
    <w:p w14:paraId="0213B258" w14:textId="36BD4D62" w:rsidR="00EE676F" w:rsidRPr="0052262F" w:rsidRDefault="00EE676F" w:rsidP="004D21D5">
      <w:pPr>
        <w:pStyle w:val="Textpoznmkypodiarou"/>
        <w:rPr>
          <w:rFonts w:ascii="Arial Narrow" w:hAnsi="Arial Narrow"/>
          <w:sz w:val="16"/>
          <w:szCs w:val="16"/>
        </w:rPr>
      </w:pPr>
      <w:r w:rsidRPr="0052262F">
        <w:rPr>
          <w:rStyle w:val="Odkaznapoznmkupodiarou"/>
          <w:rFonts w:ascii="Arial Narrow" w:hAnsi="Arial Narrow"/>
          <w:sz w:val="16"/>
          <w:szCs w:val="16"/>
        </w:rPr>
        <w:footnoteRef/>
      </w:r>
      <w:r w:rsidRPr="0052262F">
        <w:rPr>
          <w:rFonts w:ascii="Arial Narrow" w:hAnsi="Arial Narrow"/>
          <w:sz w:val="16"/>
          <w:szCs w:val="16"/>
        </w:rPr>
        <w:t xml:space="preserve"> </w:t>
      </w:r>
      <w:hyperlink r:id="rId11" w:history="1">
        <w:r w:rsidRPr="0052262F">
          <w:rPr>
            <w:rStyle w:val="Hypertextovprepojenie"/>
            <w:rFonts w:ascii="Arial Narrow" w:hAnsi="Arial Narrow"/>
            <w:bCs/>
            <w:color w:val="2C9ADC"/>
            <w:sz w:val="16"/>
            <w:szCs w:val="16"/>
          </w:rPr>
          <w:t>Metodika dopravného modelovania a dopravných prognóz</w:t>
        </w:r>
      </w:hyperlink>
      <w:r>
        <w:rPr>
          <w:rFonts w:ascii="Arial Narrow" w:hAnsi="Arial Narrow"/>
          <w:sz w:val="16"/>
          <w:szCs w:val="16"/>
        </w:rPr>
        <w:t>.</w:t>
      </w:r>
    </w:p>
  </w:footnote>
  <w:footnote w:id="38">
    <w:p w14:paraId="106BF5DC" w14:textId="77777777" w:rsidR="00EE676F" w:rsidRPr="0052262F" w:rsidRDefault="00EE676F">
      <w:pPr>
        <w:pStyle w:val="Textpoznmkypodiarou"/>
        <w:rPr>
          <w:rFonts w:ascii="Arial Narrow" w:hAnsi="Arial Narrow"/>
          <w:sz w:val="16"/>
          <w:szCs w:val="16"/>
        </w:rPr>
      </w:pPr>
      <w:r w:rsidRPr="0052262F">
        <w:rPr>
          <w:rStyle w:val="Odkaznapoznmkupodiarou"/>
          <w:rFonts w:ascii="Arial Narrow" w:hAnsi="Arial Narrow"/>
          <w:sz w:val="16"/>
          <w:szCs w:val="16"/>
        </w:rPr>
        <w:footnoteRef/>
      </w:r>
      <w:r w:rsidRPr="0052262F">
        <w:rPr>
          <w:rFonts w:ascii="Arial Narrow" w:hAnsi="Arial Narrow"/>
          <w:sz w:val="16"/>
          <w:szCs w:val="16"/>
        </w:rPr>
        <w:t xml:space="preserve"> Dokument </w:t>
      </w:r>
      <w:r w:rsidRPr="0052262F">
        <w:rPr>
          <w:rFonts w:ascii="Arial Narrow" w:hAnsi="Arial Narrow" w:cstheme="minorHAnsi"/>
          <w:sz w:val="16"/>
          <w:szCs w:val="16"/>
          <w:lang w:eastAsia="cs-CZ"/>
        </w:rPr>
        <w:t>bol schválený vládou SR v roku 2018.</w:t>
      </w:r>
    </w:p>
  </w:footnote>
  <w:footnote w:id="39">
    <w:p w14:paraId="3FE82E6F" w14:textId="1E3324AA" w:rsidR="00EE676F" w:rsidRDefault="00EE676F">
      <w:pPr>
        <w:pStyle w:val="Textpoznmkypodiarou"/>
      </w:pPr>
      <w:r w:rsidRPr="0052262F">
        <w:rPr>
          <w:rStyle w:val="Odkaznapoznmkupodiarou"/>
          <w:rFonts w:ascii="Arial Narrow" w:hAnsi="Arial Narrow"/>
          <w:sz w:val="16"/>
          <w:szCs w:val="16"/>
        </w:rPr>
        <w:footnoteRef/>
      </w:r>
      <w:r w:rsidRPr="0052262F">
        <w:rPr>
          <w:rFonts w:ascii="Arial Narrow" w:hAnsi="Arial Narrow"/>
          <w:sz w:val="16"/>
          <w:szCs w:val="16"/>
        </w:rPr>
        <w:t xml:space="preserve"> </w:t>
      </w:r>
      <w:r>
        <w:rPr>
          <w:rFonts w:ascii="Arial Narrow" w:hAnsi="Arial Narrow" w:cstheme="minorHAnsi"/>
          <w:sz w:val="16"/>
          <w:szCs w:val="16"/>
          <w:lang w:eastAsia="cs-CZ"/>
        </w:rPr>
        <w:t>MD SR, MŽP SR, MPSVR SR a </w:t>
      </w:r>
      <w:r w:rsidRPr="0052262F">
        <w:rPr>
          <w:rFonts w:ascii="Arial Narrow" w:hAnsi="Arial Narrow" w:cstheme="minorHAnsi"/>
          <w:sz w:val="16"/>
          <w:szCs w:val="16"/>
          <w:lang w:eastAsia="cs-CZ"/>
        </w:rPr>
        <w:t>MŠVVŠ</w:t>
      </w:r>
      <w:r>
        <w:rPr>
          <w:rFonts w:ascii="Arial Narrow" w:hAnsi="Arial Narrow" w:cstheme="minorHAnsi"/>
          <w:sz w:val="16"/>
          <w:szCs w:val="16"/>
          <w:lang w:eastAsia="cs-CZ"/>
        </w:rPr>
        <w:t xml:space="preserve"> SR</w:t>
      </w:r>
      <w:r w:rsidRPr="0052262F">
        <w:rPr>
          <w:rFonts w:ascii="Arial Narrow" w:hAnsi="Arial Narrow" w:cstheme="minorHAnsi"/>
          <w:sz w:val="16"/>
          <w:szCs w:val="16"/>
          <w:lang w:eastAsia="cs-CZ"/>
        </w:rPr>
        <w:t>.</w:t>
      </w:r>
    </w:p>
  </w:footnote>
  <w:footnote w:id="40">
    <w:p w14:paraId="18C3BE88" w14:textId="77777777" w:rsidR="00EE676F" w:rsidRPr="002974DB" w:rsidRDefault="00EE676F" w:rsidP="007E2F71">
      <w:pPr>
        <w:pStyle w:val="Textpoznmkypodiarou"/>
        <w:rPr>
          <w:rFonts w:ascii="Arial Narrow" w:hAnsi="Arial Narrow"/>
          <w:sz w:val="16"/>
          <w:szCs w:val="16"/>
        </w:rPr>
      </w:pPr>
      <w:r w:rsidRPr="002B0601">
        <w:rPr>
          <w:rStyle w:val="Odkaznapoznmkupodiarou"/>
          <w:rFonts w:ascii="Arial Narrow" w:hAnsi="Arial Narrow"/>
          <w:sz w:val="16"/>
          <w:szCs w:val="16"/>
        </w:rPr>
        <w:footnoteRef/>
      </w:r>
      <w:r w:rsidRPr="002B0601">
        <w:rPr>
          <w:rFonts w:ascii="Arial Narrow" w:hAnsi="Arial Narrow"/>
          <w:sz w:val="16"/>
          <w:szCs w:val="16"/>
        </w:rPr>
        <w:t xml:space="preserve"> Finančná alokácia na projekty predstavuje 142 tisíc eur.</w:t>
      </w:r>
    </w:p>
  </w:footnote>
  <w:footnote w:id="41">
    <w:p w14:paraId="4E7EBCB6" w14:textId="6F1A95E6" w:rsidR="00EE676F" w:rsidRPr="0034055A" w:rsidRDefault="00EE676F">
      <w:pPr>
        <w:pStyle w:val="Textpoznmkypodiarou"/>
        <w:rPr>
          <w:rFonts w:ascii="Arial Narrow" w:hAnsi="Arial Narrow"/>
        </w:rPr>
      </w:pPr>
      <w:r w:rsidRPr="0034055A">
        <w:rPr>
          <w:rStyle w:val="Odkaznapoznmkupodiarou"/>
          <w:rFonts w:ascii="Arial Narrow" w:hAnsi="Arial Narrow"/>
          <w:sz w:val="16"/>
        </w:rPr>
        <w:footnoteRef/>
      </w:r>
      <w:r w:rsidRPr="0034055A">
        <w:rPr>
          <w:rFonts w:ascii="Arial Narrow" w:hAnsi="Arial Narrow"/>
          <w:sz w:val="16"/>
        </w:rPr>
        <w:t xml:space="preserve"> </w:t>
      </w:r>
      <w:r w:rsidRPr="0034055A">
        <w:rPr>
          <w:rFonts w:ascii="Arial Narrow" w:eastAsia="NeueHaasGroteskText W02" w:hAnsi="Arial Narrow" w:cs="NeueHaasGroteskText W02"/>
          <w:sz w:val="16"/>
        </w:rPr>
        <w:t>Vykazovaná pomocou Výberového zisťovania pracovných síl ŠÚ SR.</w:t>
      </w:r>
    </w:p>
  </w:footnote>
  <w:footnote w:id="42">
    <w:p w14:paraId="466729BE" w14:textId="77777777" w:rsidR="00EE676F" w:rsidRPr="00A804AD" w:rsidRDefault="00EE676F" w:rsidP="004239D2">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Podľa konceptu národných účtov (ESA).</w:t>
      </w:r>
    </w:p>
  </w:footnote>
  <w:footnote w:id="43">
    <w:p w14:paraId="7EB93F80" w14:textId="77777777" w:rsidR="00EE676F" w:rsidRPr="00A43547" w:rsidRDefault="00EE676F" w:rsidP="004239D2">
      <w:pPr>
        <w:pStyle w:val="Textpoznmkypodiarou"/>
        <w:rPr>
          <w:rFonts w:ascii="Arial Narrow" w:hAnsi="Arial Narrow"/>
          <w:sz w:val="16"/>
          <w:szCs w:val="16"/>
        </w:rPr>
      </w:pPr>
      <w:r w:rsidRPr="00A43547">
        <w:rPr>
          <w:rStyle w:val="Odkaznapoznmkupodiarou"/>
          <w:rFonts w:ascii="Arial Narrow" w:hAnsi="Arial Narrow"/>
          <w:sz w:val="16"/>
          <w:szCs w:val="16"/>
        </w:rPr>
        <w:footnoteRef/>
      </w:r>
      <w:r w:rsidRPr="00A43547">
        <w:rPr>
          <w:rFonts w:ascii="Arial Narrow" w:hAnsi="Arial Narrow"/>
          <w:sz w:val="16"/>
          <w:szCs w:val="16"/>
        </w:rPr>
        <w:t xml:space="preserve"> Výberového zisťovania pracovných síl (ŠÚ SR).</w:t>
      </w:r>
    </w:p>
  </w:footnote>
  <w:footnote w:id="44">
    <w:p w14:paraId="23C61DC5" w14:textId="77777777" w:rsidR="00EE676F" w:rsidRPr="00E15BD5" w:rsidRDefault="00EE676F" w:rsidP="004239D2">
      <w:pPr>
        <w:pStyle w:val="Textpoznmkypodiarou"/>
        <w:rPr>
          <w:rFonts w:ascii="Arial Narrow" w:hAnsi="Arial Narrow"/>
          <w:sz w:val="16"/>
          <w:szCs w:val="16"/>
        </w:rPr>
      </w:pPr>
      <w:r w:rsidRPr="00A43547">
        <w:rPr>
          <w:rStyle w:val="Odkaznapoznmkupodiarou"/>
          <w:rFonts w:ascii="Arial Narrow" w:hAnsi="Arial Narrow"/>
          <w:sz w:val="16"/>
          <w:szCs w:val="16"/>
        </w:rPr>
        <w:footnoteRef/>
      </w:r>
      <w:r w:rsidRPr="00E15BD5">
        <w:rPr>
          <w:rFonts w:ascii="Arial Narrow" w:hAnsi="Arial Narrow"/>
          <w:sz w:val="16"/>
          <w:szCs w:val="16"/>
        </w:rPr>
        <w:t xml:space="preserve"> Celoročný priemer.</w:t>
      </w:r>
    </w:p>
  </w:footnote>
  <w:footnote w:id="45">
    <w:p w14:paraId="0270C33F" w14:textId="77777777" w:rsidR="00EE676F" w:rsidRPr="000E26B9" w:rsidRDefault="00EE676F" w:rsidP="004239D2">
      <w:pPr>
        <w:pStyle w:val="Textpoznmkypodiarou"/>
        <w:rPr>
          <w:rFonts w:ascii="Arial Narrow" w:hAnsi="Arial Narrow"/>
          <w:sz w:val="16"/>
          <w:szCs w:val="16"/>
        </w:rPr>
      </w:pPr>
      <w:r w:rsidRPr="00E15BD5">
        <w:rPr>
          <w:rStyle w:val="Odkaznapoznmkupodiarou"/>
          <w:rFonts w:ascii="Arial Narrow" w:hAnsi="Arial Narrow"/>
          <w:sz w:val="16"/>
          <w:szCs w:val="16"/>
        </w:rPr>
        <w:footnoteRef/>
      </w:r>
      <w:r w:rsidRPr="00F13310">
        <w:rPr>
          <w:rFonts w:ascii="Arial Narrow" w:hAnsi="Arial Narrow"/>
          <w:sz w:val="16"/>
          <w:szCs w:val="16"/>
        </w:rPr>
        <w:t xml:space="preserve"> Harmonizovaný index spotrebiteľských cien.</w:t>
      </w:r>
      <w:r w:rsidRPr="000E26B9">
        <w:rPr>
          <w:rFonts w:ascii="Arial Narrow" w:hAnsi="Arial Narrow"/>
          <w:sz w:val="16"/>
          <w:szCs w:val="16"/>
        </w:rPr>
        <w:t xml:space="preserve"> </w:t>
      </w:r>
    </w:p>
  </w:footnote>
  <w:footnote w:id="46">
    <w:p w14:paraId="3AFEEF99" w14:textId="6A3E1202" w:rsidR="00EE676F" w:rsidRPr="00A804AD" w:rsidRDefault="00EE676F" w:rsidP="006659DC">
      <w:pPr>
        <w:pStyle w:val="Textpoznmkypodiarou"/>
        <w:rPr>
          <w:rFonts w:ascii="Arial Narrow" w:hAnsi="Arial Narrow" w:cs="Arial"/>
          <w:sz w:val="16"/>
          <w:szCs w:val="16"/>
        </w:rPr>
      </w:pPr>
      <w:r w:rsidRPr="00642B43">
        <w:rPr>
          <w:rStyle w:val="Odkaznapoznmkupodiarou"/>
          <w:rFonts w:ascii="Arial Narrow" w:hAnsi="Arial Narrow" w:cs="Arial"/>
          <w:sz w:val="16"/>
          <w:szCs w:val="16"/>
        </w:rPr>
        <w:footnoteRef/>
      </w:r>
      <w:r w:rsidRPr="00A804AD">
        <w:rPr>
          <w:rFonts w:ascii="Arial Narrow" w:hAnsi="Arial Narrow" w:cs="Arial"/>
          <w:sz w:val="16"/>
          <w:szCs w:val="16"/>
        </w:rPr>
        <w:t xml:space="preserve"> Okolo 17 % produkcie automobilov </w:t>
      </w:r>
      <w:proofErr w:type="spellStart"/>
      <w:r w:rsidRPr="00A804AD">
        <w:rPr>
          <w:rFonts w:ascii="Arial Narrow" w:hAnsi="Arial Narrow" w:cs="Arial"/>
          <w:sz w:val="16"/>
          <w:szCs w:val="16"/>
        </w:rPr>
        <w:t>Land</w:t>
      </w:r>
      <w:proofErr w:type="spellEnd"/>
      <w:r w:rsidRPr="00A804AD">
        <w:rPr>
          <w:rFonts w:ascii="Arial Narrow" w:hAnsi="Arial Narrow" w:cs="Arial"/>
          <w:sz w:val="16"/>
          <w:szCs w:val="16"/>
        </w:rPr>
        <w:t xml:space="preserve"> </w:t>
      </w:r>
      <w:proofErr w:type="spellStart"/>
      <w:r w:rsidRPr="00A804AD">
        <w:rPr>
          <w:rFonts w:ascii="Arial Narrow" w:hAnsi="Arial Narrow" w:cs="Arial"/>
          <w:sz w:val="16"/>
          <w:szCs w:val="16"/>
        </w:rPr>
        <w:t>Rover</w:t>
      </w:r>
      <w:proofErr w:type="spellEnd"/>
      <w:r w:rsidRPr="00A804AD">
        <w:rPr>
          <w:rFonts w:ascii="Arial Narrow" w:hAnsi="Arial Narrow" w:cs="Arial"/>
          <w:sz w:val="16"/>
          <w:szCs w:val="16"/>
        </w:rPr>
        <w:t xml:space="preserve"> </w:t>
      </w:r>
      <w:proofErr w:type="spellStart"/>
      <w:r w:rsidRPr="00A804AD">
        <w:rPr>
          <w:rFonts w:ascii="Arial Narrow" w:hAnsi="Arial Narrow" w:cs="Arial"/>
          <w:sz w:val="16"/>
          <w:szCs w:val="16"/>
        </w:rPr>
        <w:t>Discovery</w:t>
      </w:r>
      <w:proofErr w:type="spellEnd"/>
      <w:r w:rsidRPr="00A804AD">
        <w:rPr>
          <w:rFonts w:ascii="Arial Narrow" w:hAnsi="Arial Narrow" w:cs="Arial"/>
          <w:sz w:val="16"/>
          <w:szCs w:val="16"/>
        </w:rPr>
        <w:t xml:space="preserve"> má svojich zákazníkov priamo v</w:t>
      </w:r>
      <w:r>
        <w:rPr>
          <w:rFonts w:ascii="Arial Narrow" w:hAnsi="Arial Narrow" w:cs="Arial"/>
          <w:sz w:val="16"/>
          <w:szCs w:val="16"/>
        </w:rPr>
        <w:t xml:space="preserve">o Veľkej </w:t>
      </w:r>
      <w:r w:rsidRPr="00A804AD">
        <w:rPr>
          <w:rFonts w:ascii="Arial Narrow" w:hAnsi="Arial Narrow" w:cs="Arial"/>
          <w:sz w:val="16"/>
          <w:szCs w:val="16"/>
        </w:rPr>
        <w:t>Británii.</w:t>
      </w:r>
    </w:p>
  </w:footnote>
  <w:footnote w:id="47">
    <w:p w14:paraId="613AA4C3" w14:textId="5AD6AED7" w:rsidR="00EE676F" w:rsidRPr="00642B43" w:rsidRDefault="00EE676F" w:rsidP="006659DC">
      <w:pPr>
        <w:pStyle w:val="Textpoznmkypodiarou"/>
        <w:jc w:val="both"/>
        <w:rPr>
          <w:rFonts w:ascii="Arial Narrow" w:hAnsi="Arial Narrow"/>
          <w:sz w:val="16"/>
          <w:szCs w:val="16"/>
        </w:rPr>
      </w:pPr>
      <w:r w:rsidRPr="00A43547">
        <w:rPr>
          <w:rStyle w:val="Odkaznapoznmkupodiarou"/>
          <w:rFonts w:ascii="Arial Narrow" w:hAnsi="Arial Narrow"/>
          <w:sz w:val="16"/>
          <w:szCs w:val="16"/>
        </w:rPr>
        <w:footnoteRef/>
      </w:r>
      <w:r w:rsidRPr="00A43547">
        <w:rPr>
          <w:rFonts w:ascii="Arial Narrow" w:hAnsi="Arial Narrow"/>
          <w:sz w:val="16"/>
          <w:szCs w:val="16"/>
        </w:rPr>
        <w:t xml:space="preserve"> V prípade soft </w:t>
      </w:r>
      <w:proofErr w:type="spellStart"/>
      <w:r w:rsidRPr="00A43547">
        <w:rPr>
          <w:rFonts w:ascii="Arial Narrow" w:hAnsi="Arial Narrow"/>
          <w:sz w:val="16"/>
          <w:szCs w:val="16"/>
        </w:rPr>
        <w:t>Brexitu</w:t>
      </w:r>
      <w:proofErr w:type="spellEnd"/>
      <w:r w:rsidRPr="00A43547">
        <w:rPr>
          <w:rFonts w:ascii="Arial Narrow" w:hAnsi="Arial Narrow"/>
          <w:sz w:val="16"/>
          <w:szCs w:val="16"/>
        </w:rPr>
        <w:t xml:space="preserve"> by do rozpočtu EÚ ešte nie</w:t>
      </w:r>
      <w:r>
        <w:rPr>
          <w:rFonts w:ascii="Arial Narrow" w:hAnsi="Arial Narrow"/>
          <w:sz w:val="16"/>
          <w:szCs w:val="16"/>
        </w:rPr>
        <w:t xml:space="preserve">koľko rokov prúdili príspevky Veľkej Británie </w:t>
      </w:r>
      <w:r w:rsidRPr="00A43547">
        <w:rPr>
          <w:rFonts w:ascii="Arial Narrow" w:hAnsi="Arial Narrow"/>
          <w:sz w:val="16"/>
          <w:szCs w:val="16"/>
        </w:rPr>
        <w:t>súvisiace s finančným vyrovnaním medzi UK a EÚ. Ich o</w:t>
      </w:r>
      <w:r>
        <w:rPr>
          <w:rFonts w:ascii="Arial Narrow" w:hAnsi="Arial Narrow"/>
          <w:sz w:val="16"/>
          <w:szCs w:val="16"/>
        </w:rPr>
        <w:t>čakávaný objem (približne 20 mld. eur</w:t>
      </w:r>
      <w:r w:rsidRPr="00A43547">
        <w:rPr>
          <w:rFonts w:ascii="Arial Narrow" w:hAnsi="Arial Narrow"/>
          <w:sz w:val="16"/>
          <w:szCs w:val="16"/>
        </w:rPr>
        <w:t xml:space="preserve"> je zane</w:t>
      </w:r>
      <w:r>
        <w:rPr>
          <w:rFonts w:ascii="Arial Narrow" w:hAnsi="Arial Narrow"/>
          <w:sz w:val="16"/>
          <w:szCs w:val="16"/>
        </w:rPr>
        <w:t xml:space="preserve">dbateľný k celkovému objemu Viacročného finančného rámca EÚ (návrh EK vo výške 1,279 </w:t>
      </w:r>
      <w:proofErr w:type="spellStart"/>
      <w:r>
        <w:rPr>
          <w:rFonts w:ascii="Arial Narrow" w:hAnsi="Arial Narrow"/>
          <w:sz w:val="16"/>
          <w:szCs w:val="16"/>
        </w:rPr>
        <w:t>bn</w:t>
      </w:r>
      <w:proofErr w:type="spellEnd"/>
      <w:r>
        <w:rPr>
          <w:rFonts w:ascii="Arial Narrow" w:hAnsi="Arial Narrow"/>
          <w:sz w:val="16"/>
          <w:szCs w:val="16"/>
        </w:rPr>
        <w:t>. eur</w:t>
      </w:r>
      <w:r w:rsidRPr="00A43547">
        <w:rPr>
          <w:rFonts w:ascii="Arial Narrow" w:hAnsi="Arial Narrow"/>
          <w:sz w:val="16"/>
          <w:szCs w:val="16"/>
        </w:rPr>
        <w:t>) a predstavoval by pozitívne riziko pre súč</w:t>
      </w:r>
      <w:r w:rsidRPr="00642B43">
        <w:rPr>
          <w:rFonts w:ascii="Arial Narrow" w:hAnsi="Arial Narrow"/>
          <w:sz w:val="16"/>
          <w:szCs w:val="16"/>
        </w:rPr>
        <w:t>asný odhad MF SR pre odv</w:t>
      </w:r>
      <w:r>
        <w:rPr>
          <w:rFonts w:ascii="Arial Narrow" w:hAnsi="Arial Narrow"/>
          <w:sz w:val="16"/>
          <w:szCs w:val="16"/>
        </w:rPr>
        <w:t>ody do rozpočtu EÚ na roky 2020 až 20</w:t>
      </w:r>
      <w:r w:rsidRPr="00642B43">
        <w:rPr>
          <w:rFonts w:ascii="Arial Narrow" w:hAnsi="Arial Narrow"/>
          <w:sz w:val="16"/>
          <w:szCs w:val="16"/>
        </w:rPr>
        <w:t>22.</w:t>
      </w:r>
    </w:p>
  </w:footnote>
  <w:footnote w:id="48">
    <w:p w14:paraId="21CFB810" w14:textId="77777777" w:rsidR="00EE676F" w:rsidRPr="00642B43" w:rsidRDefault="00EE676F" w:rsidP="00E41831">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Údaje sú dostupné iba pre Slovensko.</w:t>
      </w:r>
    </w:p>
  </w:footnote>
  <w:footnote w:id="49">
    <w:p w14:paraId="2B05BCD8" w14:textId="7A013032" w:rsidR="00EE676F" w:rsidRPr="00500E63" w:rsidRDefault="00EE676F" w:rsidP="00E41831">
      <w:pPr>
        <w:pStyle w:val="Textpoznmkypodiarou"/>
        <w:rPr>
          <w:rFonts w:ascii="Arial Narrow" w:hAnsi="Arial Narrow"/>
          <w:sz w:val="16"/>
          <w:szCs w:val="16"/>
        </w:rPr>
      </w:pPr>
      <w:r w:rsidRPr="00500E63">
        <w:rPr>
          <w:rStyle w:val="Odkaznapoznmkupodiarou"/>
          <w:rFonts w:ascii="Arial Narrow" w:hAnsi="Arial Narrow"/>
          <w:sz w:val="16"/>
          <w:szCs w:val="16"/>
        </w:rPr>
        <w:footnoteRef/>
      </w:r>
      <w:r w:rsidRPr="00500E63">
        <w:rPr>
          <w:rFonts w:ascii="Arial Narrow" w:hAnsi="Arial Narrow"/>
          <w:sz w:val="16"/>
          <w:szCs w:val="16"/>
        </w:rPr>
        <w:t xml:space="preserve"> </w:t>
      </w:r>
      <w:r>
        <w:rPr>
          <w:rFonts w:ascii="Arial Narrow" w:hAnsi="Arial Narrow"/>
          <w:sz w:val="16"/>
          <w:szCs w:val="16"/>
        </w:rPr>
        <w:t xml:space="preserve">MF SR </w:t>
      </w:r>
      <w:r w:rsidRPr="00500E63">
        <w:rPr>
          <w:rFonts w:ascii="Arial Narrow" w:hAnsi="Arial Narrow"/>
          <w:sz w:val="16"/>
          <w:szCs w:val="16"/>
        </w:rPr>
        <w:t xml:space="preserve">publikovalo v októbri 2018 </w:t>
      </w:r>
      <w:hyperlink r:id="rId12" w:history="1">
        <w:r w:rsidRPr="00950182">
          <w:rPr>
            <w:rStyle w:val="Hypertextovprepojenie"/>
            <w:rFonts w:ascii="Arial Narrow" w:hAnsi="Arial Narrow" w:cs="Book Antiqua"/>
            <w:color w:val="2C9ADC"/>
            <w:sz w:val="16"/>
            <w:szCs w:val="16"/>
          </w:rPr>
          <w:t>diskusnú štúdiu</w:t>
        </w:r>
      </w:hyperlink>
      <w:r w:rsidRPr="00500E63">
        <w:rPr>
          <w:rFonts w:ascii="Arial Narrow" w:hAnsi="Arial Narrow"/>
          <w:sz w:val="16"/>
          <w:szCs w:val="16"/>
        </w:rPr>
        <w:t>, ktorá otvorila verejnú debatu o možnej podobe výdavkových stropov na Slovensku</w:t>
      </w:r>
    </w:p>
  </w:footnote>
  <w:footnote w:id="50">
    <w:p w14:paraId="162A72ED" w14:textId="1A1717EA" w:rsidR="00EE676F" w:rsidRPr="00500E63" w:rsidRDefault="00EE676F" w:rsidP="00E41831">
      <w:pPr>
        <w:jc w:val="both"/>
        <w:rPr>
          <w:rFonts w:ascii="Arial Narrow" w:hAnsi="Arial Narrow"/>
          <w:sz w:val="16"/>
          <w:szCs w:val="16"/>
        </w:rPr>
      </w:pPr>
      <w:r w:rsidRPr="00500E63">
        <w:rPr>
          <w:rStyle w:val="Odkaznapoznmkupodiarou"/>
          <w:rFonts w:ascii="Arial Narrow" w:hAnsi="Arial Narrow"/>
          <w:sz w:val="16"/>
          <w:szCs w:val="16"/>
        </w:rPr>
        <w:footnoteRef/>
      </w:r>
      <w:r>
        <w:rPr>
          <w:rFonts w:ascii="Arial Narrow" w:hAnsi="Arial Narrow"/>
          <w:sz w:val="16"/>
          <w:szCs w:val="16"/>
        </w:rPr>
        <w:t xml:space="preserve"> MF </w:t>
      </w:r>
      <w:r w:rsidRPr="00500E63">
        <w:rPr>
          <w:rFonts w:ascii="Arial Narrow" w:hAnsi="Arial Narrow"/>
          <w:sz w:val="16"/>
          <w:szCs w:val="16"/>
        </w:rPr>
        <w:t>SR v spolupráci so Zastúpením Európskej komisie na Slovensku organizovalo 21. februára workshop k implementácii výdavkových stropov. Viac na</w:t>
      </w:r>
      <w:r w:rsidRPr="00950182">
        <w:rPr>
          <w:rFonts w:ascii="Arial Narrow" w:hAnsi="Arial Narrow"/>
          <w:color w:val="2C9ADC"/>
          <w:sz w:val="16"/>
          <w:szCs w:val="16"/>
        </w:rPr>
        <w:t xml:space="preserve"> </w:t>
      </w:r>
      <w:hyperlink r:id="rId13" w:history="1">
        <w:r w:rsidRPr="00950182">
          <w:rPr>
            <w:rStyle w:val="Hypertextovprepojenie"/>
            <w:rFonts w:ascii="Arial Narrow" w:eastAsiaTheme="majorEastAsia" w:hAnsi="Arial Narrow" w:cs="Book Antiqua"/>
            <w:color w:val="2C9ADC"/>
            <w:sz w:val="16"/>
            <w:szCs w:val="16"/>
          </w:rPr>
          <w:t>webe MF SR</w:t>
        </w:r>
      </w:hyperlink>
      <w:r w:rsidRPr="00500E63">
        <w:rPr>
          <w:rFonts w:ascii="Arial Narrow" w:hAnsi="Arial Narrow"/>
          <w:sz w:val="16"/>
          <w:szCs w:val="16"/>
        </w:rPr>
        <w:t>.</w:t>
      </w:r>
    </w:p>
    <w:p w14:paraId="7587BA5F" w14:textId="77777777" w:rsidR="00EE676F" w:rsidRPr="006761B2" w:rsidRDefault="00EE676F" w:rsidP="00E41831">
      <w:pPr>
        <w:pStyle w:val="Textpoznmkypodiarou"/>
        <w:rPr>
          <w:sz w:val="16"/>
          <w:szCs w:val="16"/>
        </w:rPr>
      </w:pPr>
    </w:p>
  </w:footnote>
  <w:footnote w:id="51">
    <w:p w14:paraId="36F751FF" w14:textId="3B7CC797" w:rsidR="00EE676F" w:rsidRDefault="00EE676F" w:rsidP="00584072">
      <w:pPr>
        <w:pStyle w:val="Textpoznmkypodiarou"/>
        <w:jc w:val="both"/>
      </w:pPr>
      <w:r w:rsidRPr="00584072">
        <w:rPr>
          <w:rStyle w:val="Odkaznapoznmkupodiarou"/>
          <w:rFonts w:ascii="Arial Narrow" w:hAnsi="Arial Narrow"/>
          <w:sz w:val="16"/>
        </w:rPr>
        <w:footnoteRef/>
      </w:r>
      <w:r w:rsidRPr="00584072">
        <w:rPr>
          <w:rFonts w:ascii="Arial Narrow" w:hAnsi="Arial Narrow"/>
          <w:sz w:val="16"/>
          <w:szCs w:val="16"/>
        </w:rPr>
        <w:t xml:space="preserve"> Podľa OECD </w:t>
      </w:r>
      <w:proofErr w:type="spellStart"/>
      <w:r w:rsidRPr="00584072">
        <w:rPr>
          <w:rFonts w:ascii="Arial Narrow" w:hAnsi="Arial Narrow"/>
          <w:sz w:val="16"/>
          <w:szCs w:val="16"/>
        </w:rPr>
        <w:t>zaškolenosť</w:t>
      </w:r>
      <w:proofErr w:type="spellEnd"/>
      <w:r>
        <w:rPr>
          <w:rFonts w:ascii="Arial Narrow" w:hAnsi="Arial Narrow"/>
          <w:sz w:val="16"/>
          <w:szCs w:val="16"/>
        </w:rPr>
        <w:t xml:space="preserve"> detí vo vekovej skupine 3 až </w:t>
      </w:r>
      <w:r w:rsidRPr="00584072">
        <w:rPr>
          <w:rFonts w:ascii="Arial Narrow" w:hAnsi="Arial Narrow"/>
          <w:sz w:val="16"/>
          <w:szCs w:val="16"/>
        </w:rPr>
        <w:t xml:space="preserve">5 rokov v roku 2016 bola </w:t>
      </w:r>
      <w:r>
        <w:rPr>
          <w:rFonts w:ascii="Arial Narrow" w:hAnsi="Arial Narrow"/>
          <w:sz w:val="16"/>
          <w:szCs w:val="16"/>
        </w:rPr>
        <w:t xml:space="preserve">na Slovensku </w:t>
      </w:r>
      <w:r w:rsidRPr="00584072">
        <w:rPr>
          <w:rFonts w:ascii="Arial Narrow" w:hAnsi="Arial Narrow"/>
          <w:sz w:val="16"/>
          <w:szCs w:val="16"/>
        </w:rPr>
        <w:t>na úrovni 73,4 %, priemer OECD je 86,3 % (</w:t>
      </w:r>
      <w:hyperlink r:id="rId14" w:history="1">
        <w:r w:rsidRPr="001F1004">
          <w:rPr>
            <w:rStyle w:val="Hypertextovprepojenie"/>
            <w:rFonts w:ascii="Arial Narrow" w:hAnsi="Arial Narrow"/>
            <w:color w:val="2C9ADC"/>
            <w:sz w:val="16"/>
            <w:szCs w:val="16"/>
            <w:u w:val="none"/>
          </w:rPr>
          <w:t xml:space="preserve">OECD </w:t>
        </w:r>
        <w:proofErr w:type="spellStart"/>
        <w:r w:rsidRPr="001F1004">
          <w:rPr>
            <w:rStyle w:val="Hypertextovprepojenie"/>
            <w:rFonts w:ascii="Arial Narrow" w:hAnsi="Arial Narrow"/>
            <w:color w:val="2C9ADC"/>
            <w:sz w:val="16"/>
            <w:szCs w:val="16"/>
            <w:u w:val="none"/>
          </w:rPr>
          <w:t>Family</w:t>
        </w:r>
        <w:proofErr w:type="spellEnd"/>
        <w:r w:rsidRPr="001F1004">
          <w:rPr>
            <w:rStyle w:val="Hypertextovprepojenie"/>
            <w:rFonts w:ascii="Arial Narrow" w:hAnsi="Arial Narrow"/>
            <w:color w:val="2C9ADC"/>
            <w:sz w:val="16"/>
            <w:szCs w:val="16"/>
            <w:u w:val="none"/>
          </w:rPr>
          <w:t xml:space="preserve"> </w:t>
        </w:r>
        <w:proofErr w:type="spellStart"/>
        <w:r w:rsidRPr="001F1004">
          <w:rPr>
            <w:rStyle w:val="Hypertextovprepojenie"/>
            <w:rFonts w:ascii="Arial Narrow" w:hAnsi="Arial Narrow"/>
            <w:color w:val="2C9ADC"/>
            <w:sz w:val="16"/>
            <w:szCs w:val="16"/>
            <w:u w:val="none"/>
          </w:rPr>
          <w:t>Database</w:t>
        </w:r>
        <w:proofErr w:type="spellEnd"/>
      </w:hyperlink>
      <w:r w:rsidRPr="00584072">
        <w:rPr>
          <w:rFonts w:ascii="Arial Narrow" w:hAnsi="Arial Narrow"/>
          <w:sz w:val="16"/>
          <w:szCs w:val="16"/>
        </w:rPr>
        <w:t>).</w:t>
      </w:r>
    </w:p>
  </w:footnote>
  <w:footnote w:id="52">
    <w:p w14:paraId="38D514E1" w14:textId="5A9DEA7E" w:rsidR="00EE676F" w:rsidRPr="00642B43" w:rsidRDefault="00EE676F" w:rsidP="00FB5149">
      <w:pPr>
        <w:pStyle w:val="Textpoznmkypodiarou"/>
        <w:jc w:val="both"/>
        <w:rPr>
          <w:rFonts w:ascii="Arial Narrow" w:hAnsi="Arial Narrow"/>
          <w:sz w:val="16"/>
          <w:szCs w:val="16"/>
          <w:lang w:val="en-US"/>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Vplyv socioekonomického zázemia v PISA vyjadruje mieru rovností príležitostí v školstve. V testovaní čitateľskej gramotnosti bol tento vplyv na Slovensku v roku 2015 na úrovni 17</w:t>
      </w:r>
      <w:r>
        <w:rPr>
          <w:rFonts w:ascii="Arial Narrow" w:hAnsi="Arial Narrow"/>
          <w:sz w:val="16"/>
          <w:szCs w:val="16"/>
        </w:rPr>
        <w:t xml:space="preserve"> </w:t>
      </w:r>
      <w:r w:rsidRPr="00642B43">
        <w:rPr>
          <w:rFonts w:ascii="Arial Narrow" w:hAnsi="Arial Narrow"/>
          <w:sz w:val="16"/>
          <w:szCs w:val="16"/>
          <w:lang w:val="en-US"/>
        </w:rPr>
        <w:t xml:space="preserve">% </w:t>
      </w:r>
      <w:r w:rsidRPr="00642B43">
        <w:rPr>
          <w:rFonts w:ascii="Arial Narrow" w:hAnsi="Arial Narrow"/>
          <w:sz w:val="16"/>
          <w:szCs w:val="16"/>
        </w:rPr>
        <w:t>(percento výkonu vysvetlené rodinným zázemím žiaka), v OECD 12</w:t>
      </w:r>
      <w:r>
        <w:rPr>
          <w:rFonts w:ascii="Arial Narrow" w:hAnsi="Arial Narrow"/>
          <w:sz w:val="16"/>
          <w:szCs w:val="16"/>
        </w:rPr>
        <w:t xml:space="preserve"> </w:t>
      </w:r>
      <w:r w:rsidRPr="00642B43">
        <w:rPr>
          <w:rFonts w:ascii="Arial Narrow" w:hAnsi="Arial Narrow"/>
          <w:sz w:val="16"/>
          <w:szCs w:val="16"/>
          <w:lang w:val="en-US"/>
        </w:rPr>
        <w:t>% a z </w:t>
      </w:r>
      <w:r w:rsidRPr="00642B43">
        <w:rPr>
          <w:rFonts w:ascii="Arial Narrow" w:hAnsi="Arial Narrow"/>
          <w:sz w:val="16"/>
          <w:szCs w:val="16"/>
        </w:rPr>
        <w:t>krajín V3 malo lepšiu hodnotu len Poľsko na úrovni 12,5</w:t>
      </w:r>
      <w:r>
        <w:rPr>
          <w:rFonts w:ascii="Arial Narrow" w:hAnsi="Arial Narrow"/>
          <w:sz w:val="16"/>
          <w:szCs w:val="16"/>
        </w:rPr>
        <w:t xml:space="preserve"> </w:t>
      </w:r>
      <w:r w:rsidRPr="00642B43">
        <w:rPr>
          <w:rFonts w:ascii="Arial Narrow" w:hAnsi="Arial Narrow"/>
          <w:sz w:val="16"/>
          <w:szCs w:val="16"/>
          <w:lang w:val="en-US"/>
        </w:rPr>
        <w:t>%.</w:t>
      </w:r>
    </w:p>
  </w:footnote>
  <w:footnote w:id="53">
    <w:p w14:paraId="618ED820" w14:textId="26EB5092" w:rsidR="00EE676F" w:rsidRPr="00642B43" w:rsidRDefault="00EE676F" w:rsidP="00FB5149">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w:t>
      </w:r>
      <w:proofErr w:type="spellStart"/>
      <w:r w:rsidRPr="00642B43">
        <w:rPr>
          <w:rFonts w:ascii="Arial Narrow" w:hAnsi="Arial Narrow"/>
          <w:sz w:val="16"/>
          <w:szCs w:val="16"/>
          <w:lang w:val="en-US"/>
        </w:rPr>
        <w:t>Až</w:t>
      </w:r>
      <w:proofErr w:type="spellEnd"/>
      <w:r w:rsidRPr="00642B43">
        <w:rPr>
          <w:rFonts w:ascii="Arial Narrow" w:hAnsi="Arial Narrow"/>
          <w:sz w:val="16"/>
          <w:szCs w:val="16"/>
          <w:lang w:val="en-US"/>
        </w:rPr>
        <w:t xml:space="preserve"> </w:t>
      </w:r>
      <w:proofErr w:type="spellStart"/>
      <w:r w:rsidRPr="00642B43">
        <w:rPr>
          <w:rFonts w:ascii="Arial Narrow" w:hAnsi="Arial Narrow"/>
          <w:sz w:val="16"/>
          <w:szCs w:val="16"/>
          <w:lang w:val="en-US"/>
        </w:rPr>
        <w:t>zhruba</w:t>
      </w:r>
      <w:proofErr w:type="spellEnd"/>
      <w:r w:rsidRPr="00642B43">
        <w:rPr>
          <w:rFonts w:ascii="Arial Narrow" w:hAnsi="Arial Narrow"/>
          <w:sz w:val="16"/>
          <w:szCs w:val="16"/>
          <w:lang w:val="en-US"/>
        </w:rPr>
        <w:t xml:space="preserve"> 90 </w:t>
      </w:r>
      <w:r>
        <w:rPr>
          <w:rFonts w:ascii="Arial Narrow" w:hAnsi="Arial Narrow"/>
          <w:sz w:val="16"/>
          <w:szCs w:val="16"/>
          <w:lang w:val="en-US"/>
        </w:rPr>
        <w:t>%</w:t>
      </w:r>
      <w:r w:rsidRPr="00642B43">
        <w:rPr>
          <w:rFonts w:ascii="Arial Narrow" w:hAnsi="Arial Narrow"/>
          <w:sz w:val="16"/>
          <w:szCs w:val="16"/>
          <w:lang w:val="en-US"/>
        </w:rPr>
        <w:t xml:space="preserve"> </w:t>
      </w:r>
      <w:proofErr w:type="spellStart"/>
      <w:r>
        <w:rPr>
          <w:rFonts w:ascii="Arial Narrow" w:hAnsi="Arial Narrow"/>
          <w:sz w:val="16"/>
          <w:szCs w:val="16"/>
          <w:lang w:val="en-US"/>
        </w:rPr>
        <w:t>populácie</w:t>
      </w:r>
      <w:proofErr w:type="spellEnd"/>
      <w:r>
        <w:rPr>
          <w:rFonts w:ascii="Arial Narrow" w:hAnsi="Arial Narrow"/>
          <w:sz w:val="16"/>
          <w:szCs w:val="16"/>
          <w:lang w:val="en-US"/>
        </w:rPr>
        <w:t xml:space="preserve"> </w:t>
      </w:r>
      <w:proofErr w:type="spellStart"/>
      <w:r>
        <w:rPr>
          <w:rFonts w:ascii="Arial Narrow" w:hAnsi="Arial Narrow"/>
          <w:sz w:val="16"/>
          <w:szCs w:val="16"/>
          <w:lang w:val="en-US"/>
        </w:rPr>
        <w:t>vo</w:t>
      </w:r>
      <w:proofErr w:type="spellEnd"/>
      <w:r>
        <w:rPr>
          <w:rFonts w:ascii="Arial Narrow" w:hAnsi="Arial Narrow"/>
          <w:sz w:val="16"/>
          <w:szCs w:val="16"/>
          <w:lang w:val="en-US"/>
        </w:rPr>
        <w:t xml:space="preserve"> </w:t>
      </w:r>
      <w:proofErr w:type="spellStart"/>
      <w:r>
        <w:rPr>
          <w:rFonts w:ascii="Arial Narrow" w:hAnsi="Arial Narrow"/>
          <w:sz w:val="16"/>
          <w:szCs w:val="16"/>
          <w:lang w:val="en-US"/>
        </w:rPr>
        <w:t>vekovej</w:t>
      </w:r>
      <w:proofErr w:type="spellEnd"/>
      <w:r>
        <w:rPr>
          <w:rFonts w:ascii="Arial Narrow" w:hAnsi="Arial Narrow"/>
          <w:sz w:val="16"/>
          <w:szCs w:val="16"/>
          <w:lang w:val="en-US"/>
        </w:rPr>
        <w:t xml:space="preserve"> </w:t>
      </w:r>
      <w:proofErr w:type="spellStart"/>
      <w:r>
        <w:rPr>
          <w:rFonts w:ascii="Arial Narrow" w:hAnsi="Arial Narrow"/>
          <w:sz w:val="16"/>
          <w:szCs w:val="16"/>
          <w:lang w:val="en-US"/>
        </w:rPr>
        <w:t>skupine</w:t>
      </w:r>
      <w:proofErr w:type="spellEnd"/>
      <w:r>
        <w:rPr>
          <w:rFonts w:ascii="Arial Narrow" w:hAnsi="Arial Narrow"/>
          <w:sz w:val="16"/>
          <w:szCs w:val="16"/>
          <w:lang w:val="en-US"/>
        </w:rPr>
        <w:t xml:space="preserve"> 20 </w:t>
      </w:r>
      <w:proofErr w:type="spellStart"/>
      <w:r>
        <w:rPr>
          <w:rFonts w:ascii="Arial Narrow" w:hAnsi="Arial Narrow"/>
          <w:sz w:val="16"/>
          <w:szCs w:val="16"/>
          <w:lang w:val="en-US"/>
        </w:rPr>
        <w:t>až</w:t>
      </w:r>
      <w:proofErr w:type="spellEnd"/>
      <w:r>
        <w:rPr>
          <w:rFonts w:ascii="Arial Narrow" w:hAnsi="Arial Narrow"/>
          <w:sz w:val="16"/>
          <w:szCs w:val="16"/>
          <w:lang w:val="en-US"/>
        </w:rPr>
        <w:t xml:space="preserve"> </w:t>
      </w:r>
      <w:r w:rsidRPr="00642B43">
        <w:rPr>
          <w:rFonts w:ascii="Arial Narrow" w:hAnsi="Arial Narrow"/>
          <w:sz w:val="16"/>
          <w:szCs w:val="16"/>
          <w:lang w:val="en-US"/>
        </w:rPr>
        <w:t>24</w:t>
      </w:r>
      <w:r>
        <w:rPr>
          <w:rFonts w:ascii="Arial Narrow" w:hAnsi="Arial Narrow"/>
          <w:sz w:val="16"/>
          <w:szCs w:val="16"/>
          <w:lang w:val="en-US"/>
        </w:rPr>
        <w:t xml:space="preserve"> </w:t>
      </w:r>
      <w:proofErr w:type="spellStart"/>
      <w:r>
        <w:rPr>
          <w:rFonts w:ascii="Arial Narrow" w:hAnsi="Arial Narrow"/>
          <w:sz w:val="16"/>
          <w:szCs w:val="16"/>
          <w:lang w:val="en-US"/>
        </w:rPr>
        <w:t>rokov</w:t>
      </w:r>
      <w:proofErr w:type="spellEnd"/>
      <w:r>
        <w:rPr>
          <w:rFonts w:ascii="Arial Narrow" w:hAnsi="Arial Narrow"/>
          <w:sz w:val="16"/>
          <w:szCs w:val="16"/>
          <w:lang w:val="en-US"/>
        </w:rPr>
        <w:t xml:space="preserve"> </w:t>
      </w:r>
      <w:proofErr w:type="spellStart"/>
      <w:r w:rsidRPr="00642B43">
        <w:rPr>
          <w:rFonts w:ascii="Arial Narrow" w:hAnsi="Arial Narrow"/>
          <w:sz w:val="16"/>
          <w:szCs w:val="16"/>
          <w:lang w:val="en-US"/>
        </w:rPr>
        <w:t>ukončí</w:t>
      </w:r>
      <w:proofErr w:type="spellEnd"/>
      <w:r w:rsidRPr="00642B43">
        <w:rPr>
          <w:rFonts w:ascii="Arial Narrow" w:hAnsi="Arial Narrow"/>
          <w:sz w:val="16"/>
          <w:szCs w:val="16"/>
          <w:lang w:val="en-US"/>
        </w:rPr>
        <w:t xml:space="preserve"> </w:t>
      </w:r>
      <w:proofErr w:type="spellStart"/>
      <w:r w:rsidRPr="00642B43">
        <w:rPr>
          <w:rFonts w:ascii="Arial Narrow" w:hAnsi="Arial Narrow"/>
          <w:sz w:val="16"/>
          <w:szCs w:val="16"/>
          <w:lang w:val="en-US"/>
        </w:rPr>
        <w:t>najmenej</w:t>
      </w:r>
      <w:proofErr w:type="spellEnd"/>
      <w:r w:rsidRPr="00642B43">
        <w:rPr>
          <w:rFonts w:ascii="Arial Narrow" w:hAnsi="Arial Narrow"/>
          <w:sz w:val="16"/>
          <w:szCs w:val="16"/>
          <w:lang w:val="en-US"/>
        </w:rPr>
        <w:t xml:space="preserve"> </w:t>
      </w:r>
      <w:proofErr w:type="spellStart"/>
      <w:r w:rsidRPr="00642B43">
        <w:rPr>
          <w:rFonts w:ascii="Arial Narrow" w:hAnsi="Arial Narrow"/>
          <w:sz w:val="16"/>
          <w:szCs w:val="16"/>
          <w:lang w:val="en-US"/>
        </w:rPr>
        <w:t>stredoškolské</w:t>
      </w:r>
      <w:proofErr w:type="spellEnd"/>
      <w:r w:rsidRPr="00642B43">
        <w:rPr>
          <w:rFonts w:ascii="Arial Narrow" w:hAnsi="Arial Narrow"/>
          <w:sz w:val="16"/>
          <w:szCs w:val="16"/>
          <w:lang w:val="en-US"/>
        </w:rPr>
        <w:t xml:space="preserve"> </w:t>
      </w:r>
      <w:proofErr w:type="spellStart"/>
      <w:r w:rsidRPr="00642B43">
        <w:rPr>
          <w:rFonts w:ascii="Arial Narrow" w:hAnsi="Arial Narrow"/>
          <w:sz w:val="16"/>
          <w:szCs w:val="16"/>
          <w:lang w:val="en-US"/>
        </w:rPr>
        <w:t>vzdelanie</w:t>
      </w:r>
      <w:proofErr w:type="spellEnd"/>
      <w:r w:rsidRPr="00642B43">
        <w:rPr>
          <w:rFonts w:ascii="Arial Narrow" w:hAnsi="Arial Narrow"/>
          <w:sz w:val="16"/>
          <w:szCs w:val="16"/>
          <w:lang w:val="en-US"/>
        </w:rPr>
        <w:t xml:space="preserve"> (ISCED 3-8), </w:t>
      </w:r>
      <w:r w:rsidRPr="00642B43">
        <w:rPr>
          <w:rFonts w:ascii="Arial Narrow" w:hAnsi="Arial Narrow"/>
          <w:sz w:val="16"/>
          <w:szCs w:val="16"/>
        </w:rPr>
        <w:t>čo je nad priemerom EÚ (</w:t>
      </w:r>
      <w:proofErr w:type="spellStart"/>
      <w:r w:rsidRPr="00642B43">
        <w:rPr>
          <w:rFonts w:ascii="Arial Narrow" w:hAnsi="Arial Narrow"/>
          <w:sz w:val="16"/>
          <w:szCs w:val="16"/>
        </w:rPr>
        <w:t>Eurostat</w:t>
      </w:r>
      <w:proofErr w:type="spellEnd"/>
      <w:r w:rsidRPr="00642B43">
        <w:rPr>
          <w:rFonts w:ascii="Arial Narrow" w:hAnsi="Arial Narrow"/>
          <w:sz w:val="16"/>
          <w:szCs w:val="16"/>
        </w:rPr>
        <w:t xml:space="preserve">, edat_lfse_03). </w:t>
      </w:r>
    </w:p>
  </w:footnote>
  <w:footnote w:id="54">
    <w:p w14:paraId="40061C0A" w14:textId="77777777" w:rsidR="00EE676F" w:rsidRPr="00642B43" w:rsidRDefault="00EE676F" w:rsidP="00F2305B">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Podiel slovenských VŠ študentov študujúcich v zahraničí (17 %) je druhý najvyšší v krajinách OECD, pričom priemer OECD krajín je 6 %. V roku 2010 bol tento podiel 13 %.</w:t>
      </w:r>
    </w:p>
  </w:footnote>
  <w:footnote w:id="55">
    <w:p w14:paraId="456E925C" w14:textId="62DECBF0" w:rsidR="00EE676F" w:rsidRPr="00642B43" w:rsidRDefault="00EE676F" w:rsidP="00F2305B">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Po</w:t>
      </w:r>
      <w:r>
        <w:rPr>
          <w:rFonts w:ascii="Arial Narrow" w:hAnsi="Arial Narrow"/>
          <w:sz w:val="16"/>
          <w:szCs w:val="16"/>
        </w:rPr>
        <w:t xml:space="preserve">dľa komentára IVP </w:t>
      </w:r>
      <w:hyperlink r:id="rId15" w:history="1">
        <w:r w:rsidRPr="00454527">
          <w:rPr>
            <w:rStyle w:val="Hypertextovprepojenie"/>
            <w:rFonts w:ascii="Arial Narrow" w:hAnsi="Arial Narrow"/>
            <w:color w:val="2C9ADC"/>
            <w:sz w:val="16"/>
            <w:szCs w:val="16"/>
          </w:rPr>
          <w:t>Mať volá</w:t>
        </w:r>
      </w:hyperlink>
      <w:r w:rsidRPr="00642B43">
        <w:rPr>
          <w:rFonts w:ascii="Arial Narrow" w:hAnsi="Arial Narrow"/>
          <w:sz w:val="16"/>
          <w:szCs w:val="16"/>
        </w:rPr>
        <w:t xml:space="preserve"> Slováci žijúci v Česku mali vyššie platy v porovnaní so Slovákmi žijúcimi v SR aj po zohľadnení demografických faktorov. Takisto dosahovali v priemere vyššiu úroveň v testovaní matematickej a čitateľskej gramotnosti dospelých (PIAAC). Slováci s VŠ vzdelaním v ČR získali diplom až v ČR.</w:t>
      </w:r>
    </w:p>
  </w:footnote>
  <w:footnote w:id="56">
    <w:p w14:paraId="3DF1AE63" w14:textId="77777777" w:rsidR="00EE676F" w:rsidRPr="00642B43" w:rsidRDefault="00EE676F" w:rsidP="0062680A">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V roku 2017 sa len 3,4 % dospelej populácie zúčastnilo programov formálneho alebo neformálneho vzdelávania (za posledné štyri týždne v prieskume). Priemer krajín EÚ je 11 % (</w:t>
      </w:r>
      <w:proofErr w:type="spellStart"/>
      <w:r w:rsidRPr="00642B43">
        <w:rPr>
          <w:rFonts w:ascii="Arial Narrow" w:hAnsi="Arial Narrow"/>
          <w:sz w:val="16"/>
          <w:szCs w:val="16"/>
        </w:rPr>
        <w:t>Eurostat</w:t>
      </w:r>
      <w:proofErr w:type="spellEnd"/>
      <w:r w:rsidRPr="00642B43">
        <w:rPr>
          <w:rFonts w:ascii="Arial Narrow" w:hAnsi="Arial Narrow"/>
          <w:sz w:val="16"/>
          <w:szCs w:val="16"/>
        </w:rPr>
        <w:t xml:space="preserve">  [trng_lfse_01]). </w:t>
      </w:r>
    </w:p>
  </w:footnote>
  <w:footnote w:id="57">
    <w:p w14:paraId="7BBBD312" w14:textId="77777777" w:rsidR="00EE676F" w:rsidRPr="00642B43" w:rsidRDefault="00EE676F" w:rsidP="00F2305B">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Produkty </w:t>
      </w:r>
      <w:proofErr w:type="spellStart"/>
      <w:r w:rsidRPr="00642B43">
        <w:rPr>
          <w:rFonts w:ascii="Arial Narrow" w:hAnsi="Arial Narrow"/>
          <w:sz w:val="16"/>
          <w:szCs w:val="16"/>
        </w:rPr>
        <w:t>high-tech</w:t>
      </w:r>
      <w:proofErr w:type="spellEnd"/>
      <w:r w:rsidRPr="00642B43">
        <w:rPr>
          <w:rFonts w:ascii="Arial Narrow" w:hAnsi="Arial Narrow"/>
          <w:sz w:val="16"/>
          <w:szCs w:val="16"/>
        </w:rPr>
        <w:t xml:space="preserve"> sú vybrané produkty nasledovných odvetví podľa klasifikácie SITC: letecký priemysel, počítače a kancelárske stroje, elektronické telekomunikačné zariadenia, farmaceutický priemysel, vedecké prístroje, elektrické stroje, chemický priemysel, neelektronické prístroje, zbrojný priemysel. </w:t>
      </w:r>
    </w:p>
  </w:footnote>
  <w:footnote w:id="58">
    <w:p w14:paraId="49BD8FEB" w14:textId="6DF43527" w:rsidR="00EE676F" w:rsidRPr="0011347B" w:rsidRDefault="00EE676F">
      <w:pPr>
        <w:pStyle w:val="Textpoznmkypodiarou"/>
        <w:rPr>
          <w:rFonts w:ascii="Arial Narrow" w:hAnsi="Arial Narrow"/>
        </w:rPr>
      </w:pPr>
      <w:r w:rsidRPr="0011347B">
        <w:rPr>
          <w:rStyle w:val="Odkaznapoznmkupodiarou"/>
          <w:rFonts w:ascii="Arial Narrow" w:hAnsi="Arial Narrow"/>
          <w:sz w:val="16"/>
        </w:rPr>
        <w:footnoteRef/>
      </w:r>
      <w:r w:rsidRPr="0011347B">
        <w:rPr>
          <w:rFonts w:ascii="Arial Narrow" w:hAnsi="Arial Narrow"/>
          <w:sz w:val="16"/>
        </w:rPr>
        <w:t xml:space="preserve"> V roku 2020 by tak priemerná mzda učiteľov mala byť zhruba na úrovni priemernej mzdy zamestnancov v národnom hospodárstve.</w:t>
      </w:r>
    </w:p>
  </w:footnote>
  <w:footnote w:id="59">
    <w:p w14:paraId="330A8EEA" w14:textId="41925551" w:rsidR="00EE676F" w:rsidRPr="00A43547" w:rsidRDefault="00EE676F" w:rsidP="00A57A55">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w:t>
      </w:r>
      <w:r w:rsidRPr="0034055A">
        <w:rPr>
          <w:rFonts w:ascii="Arial Narrow" w:hAnsi="Arial Narrow"/>
          <w:sz w:val="16"/>
          <w:szCs w:val="16"/>
        </w:rPr>
        <w:t>§64 ods. 2 návrhu nového zákona o pedagogických a odborných zamestnancoch.</w:t>
      </w:r>
      <w:r w:rsidRPr="00A804AD">
        <w:rPr>
          <w:rFonts w:ascii="Arial Narrow" w:hAnsi="Arial Narrow"/>
          <w:sz w:val="16"/>
          <w:szCs w:val="16"/>
        </w:rPr>
        <w:t xml:space="preserve"> Príplatok za profesijný rozvoj bude možné získať za rozširujúce, špecializačné a inovačné vzdelávanie a štátnu jazykovú skúšku.</w:t>
      </w:r>
    </w:p>
  </w:footnote>
  <w:footnote w:id="60">
    <w:p w14:paraId="64A55601" w14:textId="221FC5A4" w:rsidR="00EE676F" w:rsidRPr="001F1004" w:rsidRDefault="00EE676F">
      <w:pPr>
        <w:pStyle w:val="Textpoznmkypodiarou"/>
        <w:rPr>
          <w:rFonts w:ascii="Arial Narrow" w:hAnsi="Arial Narrow"/>
          <w:color w:val="000000" w:themeColor="text1"/>
          <w:sz w:val="16"/>
          <w:szCs w:val="16"/>
        </w:rPr>
      </w:pPr>
      <w:r w:rsidRPr="00CD4C35">
        <w:rPr>
          <w:rStyle w:val="Odkaznapoznmkupodiarou"/>
          <w:rFonts w:ascii="Arial Narrow" w:hAnsi="Arial Narrow"/>
          <w:color w:val="000000" w:themeColor="text1"/>
          <w:sz w:val="16"/>
          <w:szCs w:val="16"/>
        </w:rPr>
        <w:footnoteRef/>
      </w:r>
      <w:r w:rsidRPr="00CD4C35">
        <w:rPr>
          <w:rFonts w:ascii="Arial Narrow" w:hAnsi="Arial Narrow"/>
          <w:color w:val="000000" w:themeColor="text1"/>
          <w:sz w:val="16"/>
          <w:szCs w:val="16"/>
        </w:rPr>
        <w:t xml:space="preserve"> </w:t>
      </w:r>
      <w:hyperlink r:id="rId16" w:history="1">
        <w:r w:rsidRPr="00541050">
          <w:rPr>
            <w:rStyle w:val="Hypertextovprepojenie"/>
            <w:rFonts w:ascii="Arial Narrow" w:hAnsi="Arial Narrow"/>
            <w:color w:val="2C9ADC"/>
            <w:sz w:val="16"/>
            <w:szCs w:val="16"/>
          </w:rPr>
          <w:t>Národný program rozvoja výchovy a vzdelávania</w:t>
        </w:r>
      </w:hyperlink>
      <w:r>
        <w:rPr>
          <w:rStyle w:val="Hypertextovprepojenie"/>
          <w:rFonts w:ascii="Arial Narrow" w:hAnsi="Arial Narrow"/>
          <w:color w:val="000000" w:themeColor="text1"/>
          <w:sz w:val="16"/>
          <w:szCs w:val="16"/>
          <w:u w:val="none"/>
        </w:rPr>
        <w:t>.</w:t>
      </w:r>
    </w:p>
  </w:footnote>
  <w:footnote w:id="61">
    <w:p w14:paraId="35E15B93" w14:textId="78AB3A27" w:rsidR="00EE676F" w:rsidRPr="00A43547" w:rsidRDefault="00EE676F" w:rsidP="00763C24">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Podľa OECD v roku 2016 podiel priemernej mzdy v školstve ku priemernej mzde VŠ vzdelaných zamestnancov predstavoval 64%. Po navyšovaní miezd v školstve v roku 2020 očakávame tento podiel na úrovni 68</w:t>
      </w:r>
      <w:r>
        <w:rPr>
          <w:rFonts w:ascii="Arial Narrow" w:hAnsi="Arial Narrow"/>
          <w:sz w:val="16"/>
          <w:szCs w:val="16"/>
        </w:rPr>
        <w:t xml:space="preserve"> </w:t>
      </w:r>
      <w:r w:rsidRPr="00A804AD">
        <w:rPr>
          <w:rFonts w:ascii="Arial Narrow" w:hAnsi="Arial Narrow"/>
          <w:sz w:val="16"/>
          <w:szCs w:val="16"/>
        </w:rPr>
        <w:t>% berúc do úvahy predpokladaný rast miezd v súkromnom sektore (prepočty ÚHP).</w:t>
      </w:r>
    </w:p>
  </w:footnote>
  <w:footnote w:id="62">
    <w:p w14:paraId="2182EFDE" w14:textId="77777777" w:rsidR="00EE676F" w:rsidRPr="00A43547" w:rsidRDefault="00EE676F" w:rsidP="00763C24">
      <w:pPr>
        <w:pStyle w:val="Textpoznmkypodiarou"/>
        <w:jc w:val="both"/>
        <w:rPr>
          <w:rFonts w:ascii="Arial Narrow" w:hAnsi="Arial Narrow"/>
          <w:sz w:val="16"/>
          <w:szCs w:val="16"/>
        </w:rPr>
      </w:pPr>
      <w:r w:rsidRPr="00A43547">
        <w:rPr>
          <w:rStyle w:val="Odkaznapoznmkupodiarou"/>
          <w:rFonts w:ascii="Arial Narrow" w:hAnsi="Arial Narrow"/>
          <w:sz w:val="16"/>
          <w:szCs w:val="16"/>
        </w:rPr>
        <w:footnoteRef/>
      </w:r>
      <w:r w:rsidRPr="00A43547">
        <w:rPr>
          <w:rFonts w:ascii="Arial Narrow" w:hAnsi="Arial Narrow"/>
          <w:sz w:val="16"/>
          <w:szCs w:val="16"/>
        </w:rPr>
        <w:t xml:space="preserve"> Na zvyšovanie platov začínajúcim učiteľom od septembra 2019 sú v rozpočte SR alokované zdroje v sume 10 mil. eur.</w:t>
      </w:r>
    </w:p>
  </w:footnote>
  <w:footnote w:id="63">
    <w:p w14:paraId="3738ECD8" w14:textId="77777777" w:rsidR="00EE676F" w:rsidRPr="00642B43" w:rsidRDefault="00EE676F" w:rsidP="00BB78F4">
      <w:pPr>
        <w:pStyle w:val="Textpoznmkypodiarou"/>
        <w:jc w:val="both"/>
        <w:rPr>
          <w:rFonts w:ascii="Arial Narrow" w:hAnsi="Arial Narrow"/>
          <w:sz w:val="16"/>
          <w:szCs w:val="16"/>
        </w:rPr>
      </w:pPr>
      <w:r w:rsidRPr="00642B43">
        <w:rPr>
          <w:rFonts w:ascii="Arial Narrow" w:hAnsi="Arial Narrow"/>
          <w:sz w:val="16"/>
          <w:szCs w:val="16"/>
          <w:vertAlign w:val="superscript"/>
        </w:rPr>
        <w:footnoteRef/>
      </w:r>
      <w:r w:rsidRPr="00642B43">
        <w:rPr>
          <w:rFonts w:ascii="Arial Narrow" w:hAnsi="Arial Narrow"/>
          <w:sz w:val="16"/>
          <w:szCs w:val="16"/>
          <w:vertAlign w:val="superscript"/>
        </w:rPr>
        <w:t xml:space="preserve"> </w:t>
      </w:r>
      <w:r w:rsidRPr="00642B43">
        <w:rPr>
          <w:rFonts w:ascii="Arial Narrow" w:hAnsi="Arial Narrow"/>
          <w:sz w:val="16"/>
          <w:szCs w:val="16"/>
        </w:rPr>
        <w:t>Prieskumu sa zúčastnili stredoškolskí študenti maturitných odborov, študenti VŠ učiteľských/neučiteľských študijných programov, učitelia ZŠ a SŠ.</w:t>
      </w:r>
    </w:p>
  </w:footnote>
  <w:footnote w:id="64">
    <w:p w14:paraId="1DE2E21A" w14:textId="77777777" w:rsidR="00EE676F" w:rsidRPr="00642B43" w:rsidRDefault="00EE676F" w:rsidP="00763C24">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Ide o pracovný názov zákona. </w:t>
      </w:r>
    </w:p>
  </w:footnote>
  <w:footnote w:id="65">
    <w:p w14:paraId="2408CBCD" w14:textId="77777777" w:rsidR="00EE676F" w:rsidRPr="00642B43" w:rsidRDefault="00EE676F" w:rsidP="00763C24">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w:t>
      </w:r>
      <w:r w:rsidRPr="00642B43">
        <w:rPr>
          <w:rFonts w:ascii="Arial Narrow" w:hAnsi="Arial Narrow" w:cs="Times New Roman"/>
          <w:sz w:val="16"/>
          <w:szCs w:val="16"/>
        </w:rPr>
        <w:t>Ide o pomaturitné špecializačné štúdium a vyššie odborné štúdium</w:t>
      </w:r>
    </w:p>
  </w:footnote>
  <w:footnote w:id="66">
    <w:p w14:paraId="007F2E79" w14:textId="77777777" w:rsidR="00EE676F" w:rsidRPr="00642B43" w:rsidRDefault="00EE676F" w:rsidP="00763C24">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Stratégia definuje prioritné oblasti nasledovne: </w:t>
      </w:r>
      <w:r w:rsidRPr="00642B43">
        <w:rPr>
          <w:rFonts w:ascii="Arial Narrow" w:hAnsi="Arial Narrow" w:cs="Times New Roman"/>
          <w:sz w:val="16"/>
          <w:szCs w:val="16"/>
        </w:rPr>
        <w:t>posilňovanie zručností mladých ľudí vrátane znevýhodnenej populácie, znižovanie nesúladu zručností na trhu práce, podpora účasti na celoživotnom vzdelávaní, posilňovanie zručností na pracovisku.</w:t>
      </w:r>
    </w:p>
  </w:footnote>
  <w:footnote w:id="67">
    <w:p w14:paraId="2A2697DF" w14:textId="77777777" w:rsidR="00EE676F" w:rsidRPr="00F51C1B" w:rsidRDefault="00EE676F" w:rsidP="00763C24">
      <w:pPr>
        <w:pStyle w:val="Textpoznmkypodiarou"/>
        <w:jc w:val="both"/>
        <w:rPr>
          <w:rFonts w:ascii="Arial Narrow" w:hAnsi="Arial Narrow" w:cs="Times New Roman"/>
          <w:sz w:val="16"/>
          <w:szCs w:val="16"/>
        </w:rPr>
      </w:pPr>
      <w:r w:rsidRPr="00642B43">
        <w:rPr>
          <w:rStyle w:val="Odkaznapoznmkupodiarou"/>
          <w:rFonts w:ascii="Arial Narrow" w:hAnsi="Arial Narrow" w:cs="Times New Roman"/>
          <w:sz w:val="16"/>
          <w:szCs w:val="16"/>
        </w:rPr>
        <w:footnoteRef/>
      </w:r>
      <w:r w:rsidRPr="00642B43">
        <w:rPr>
          <w:rFonts w:ascii="Arial Narrow" w:hAnsi="Arial Narrow" w:cs="Times New Roman"/>
          <w:sz w:val="16"/>
          <w:szCs w:val="16"/>
        </w:rPr>
        <w:t xml:space="preserve"> V rámci operačných programov spadajúcich pod MV SR, MPRV SR.</w:t>
      </w:r>
    </w:p>
  </w:footnote>
  <w:footnote w:id="68">
    <w:p w14:paraId="259D1D88" w14:textId="79369714" w:rsidR="00EE676F" w:rsidRPr="00F13310" w:rsidRDefault="00EE676F" w:rsidP="00763C24">
      <w:pPr>
        <w:pStyle w:val="Textpoznmkypodiarou"/>
        <w:jc w:val="both"/>
        <w:rPr>
          <w:rFonts w:ascii="Arial Narrow" w:hAnsi="Arial Narrow" w:cs="Times New Roman"/>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Novela</w:t>
      </w:r>
      <w:r>
        <w:rPr>
          <w:rFonts w:ascii="Arial Narrow" w:hAnsi="Arial Narrow"/>
          <w:sz w:val="16"/>
          <w:szCs w:val="16"/>
        </w:rPr>
        <w:t xml:space="preserve"> zákona o VŠ prijatá</w:t>
      </w:r>
      <w:r w:rsidRPr="00752B46">
        <w:rPr>
          <w:rFonts w:ascii="Arial Narrow" w:hAnsi="Arial Narrow"/>
          <w:sz w:val="16"/>
          <w:szCs w:val="16"/>
        </w:rPr>
        <w:t xml:space="preserve"> v septembri 2018: </w:t>
      </w:r>
      <w:r w:rsidRPr="00A43547">
        <w:rPr>
          <w:rFonts w:ascii="Arial Narrow" w:hAnsi="Arial Narrow" w:cs="Times New Roman"/>
          <w:sz w:val="16"/>
          <w:szCs w:val="16"/>
        </w:rPr>
        <w:t>Podľa §88a ods. 5 zákona 131/2002 ministerstvo zabezpečuje periodické hodnotenie tvorivej činnosti škôl (výskum, vývoj, umelecká činnosť) prostredníctvom hodnotiteľskej komisie, ktorej členmi sú spravidla zahraniční odborníci. Novelizáciou zákona 131/2002 (zákon o VŠ) a prijatím zákona  269/2018 o zabezpečení kvality VŠ, hodnotenie kvality vzdelávania na VŠ bude mať v kompetencii novovytvorená Akreditačná agentúra a hodnotenie výskumnej činnosti na VŠ bude v kompetencii poradného orgánu ministerstva.</w:t>
      </w:r>
      <w:r w:rsidRPr="00E15BD5">
        <w:rPr>
          <w:rFonts w:ascii="Arial Narrow" w:hAnsi="Arial Narrow" w:cs="Arial"/>
          <w:color w:val="000000"/>
          <w:sz w:val="16"/>
          <w:szCs w:val="16"/>
          <w:shd w:val="clear" w:color="auto" w:fill="FFFFFF"/>
        </w:rPr>
        <w:t> </w:t>
      </w:r>
      <w:r w:rsidRPr="00F13310">
        <w:rPr>
          <w:rFonts w:ascii="Arial Narrow" w:hAnsi="Arial Narrow" w:cs="Times New Roman"/>
          <w:sz w:val="16"/>
          <w:szCs w:val="16"/>
        </w:rPr>
        <w:t xml:space="preserve">  </w:t>
      </w:r>
    </w:p>
  </w:footnote>
  <w:footnote w:id="69">
    <w:p w14:paraId="4A119330" w14:textId="66991380" w:rsidR="00EE676F" w:rsidRPr="005819D4" w:rsidRDefault="00EE676F">
      <w:pPr>
        <w:pStyle w:val="Textpoznmkypodiarou"/>
        <w:rPr>
          <w:rFonts w:ascii="Arial Narrow" w:hAnsi="Arial Narrow"/>
          <w:sz w:val="16"/>
          <w:szCs w:val="16"/>
        </w:rPr>
      </w:pPr>
      <w:r w:rsidRPr="005819D4">
        <w:rPr>
          <w:rStyle w:val="Odkaznapoznmkupodiarou"/>
          <w:rFonts w:ascii="Arial Narrow" w:hAnsi="Arial Narrow"/>
          <w:sz w:val="16"/>
          <w:szCs w:val="16"/>
        </w:rPr>
        <w:footnoteRef/>
      </w:r>
      <w:r w:rsidRPr="005819D4">
        <w:rPr>
          <w:rFonts w:ascii="Arial Narrow" w:hAnsi="Arial Narrow"/>
          <w:sz w:val="16"/>
          <w:szCs w:val="16"/>
        </w:rPr>
        <w:t xml:space="preserve"> </w:t>
      </w:r>
      <w:r w:rsidRPr="005819D4">
        <w:rPr>
          <w:rFonts w:ascii="Arial Narrow" w:hAnsi="Arial Narrow" w:cs="Times New Roman"/>
          <w:sz w:val="16"/>
          <w:szCs w:val="16"/>
        </w:rPr>
        <w:t xml:space="preserve">Európske strategické fórum o výskumných infraštruktúrach (ESFRI – </w:t>
      </w:r>
      <w:proofErr w:type="spellStart"/>
      <w:r w:rsidRPr="005819D4">
        <w:rPr>
          <w:rFonts w:ascii="Arial Narrow" w:hAnsi="Arial Narrow" w:cs="Times New Roman"/>
          <w:sz w:val="16"/>
          <w:szCs w:val="16"/>
        </w:rPr>
        <w:t>European</w:t>
      </w:r>
      <w:proofErr w:type="spellEnd"/>
      <w:r w:rsidRPr="005819D4">
        <w:rPr>
          <w:rFonts w:ascii="Arial Narrow" w:hAnsi="Arial Narrow" w:cs="Times New Roman"/>
          <w:sz w:val="16"/>
          <w:szCs w:val="16"/>
        </w:rPr>
        <w:t xml:space="preserve"> </w:t>
      </w:r>
      <w:proofErr w:type="spellStart"/>
      <w:r w:rsidRPr="005819D4">
        <w:rPr>
          <w:rFonts w:ascii="Arial Narrow" w:hAnsi="Arial Narrow" w:cs="Times New Roman"/>
          <w:sz w:val="16"/>
          <w:szCs w:val="16"/>
        </w:rPr>
        <w:t>Strategy</w:t>
      </w:r>
      <w:proofErr w:type="spellEnd"/>
      <w:r w:rsidRPr="005819D4">
        <w:rPr>
          <w:rFonts w:ascii="Arial Narrow" w:hAnsi="Arial Narrow" w:cs="Times New Roman"/>
          <w:sz w:val="16"/>
          <w:szCs w:val="16"/>
        </w:rPr>
        <w:t xml:space="preserve">. </w:t>
      </w:r>
      <w:proofErr w:type="spellStart"/>
      <w:r w:rsidRPr="005819D4">
        <w:rPr>
          <w:rFonts w:ascii="Arial Narrow" w:hAnsi="Arial Narrow" w:cs="Times New Roman"/>
          <w:sz w:val="16"/>
          <w:szCs w:val="16"/>
        </w:rPr>
        <w:t>Forum</w:t>
      </w:r>
      <w:proofErr w:type="spellEnd"/>
      <w:r w:rsidRPr="005819D4">
        <w:rPr>
          <w:rFonts w:ascii="Arial Narrow" w:hAnsi="Arial Narrow" w:cs="Times New Roman"/>
          <w:sz w:val="16"/>
          <w:szCs w:val="16"/>
        </w:rPr>
        <w:t xml:space="preserve"> on </w:t>
      </w:r>
      <w:proofErr w:type="spellStart"/>
      <w:r w:rsidRPr="005819D4">
        <w:rPr>
          <w:rFonts w:ascii="Arial Narrow" w:hAnsi="Arial Narrow" w:cs="Times New Roman"/>
          <w:sz w:val="16"/>
          <w:szCs w:val="16"/>
        </w:rPr>
        <w:t>Research</w:t>
      </w:r>
      <w:proofErr w:type="spellEnd"/>
      <w:r w:rsidRPr="005819D4">
        <w:rPr>
          <w:rFonts w:ascii="Arial Narrow" w:hAnsi="Arial Narrow" w:cs="Times New Roman"/>
          <w:sz w:val="16"/>
          <w:szCs w:val="16"/>
        </w:rPr>
        <w:t xml:space="preserve"> </w:t>
      </w:r>
      <w:proofErr w:type="spellStart"/>
      <w:r w:rsidRPr="005819D4">
        <w:rPr>
          <w:rFonts w:ascii="Arial Narrow" w:hAnsi="Arial Narrow" w:cs="Times New Roman"/>
          <w:sz w:val="16"/>
          <w:szCs w:val="16"/>
        </w:rPr>
        <w:t>Infrastructures</w:t>
      </w:r>
      <w:proofErr w:type="spellEnd"/>
      <w:r w:rsidRPr="005819D4">
        <w:rPr>
          <w:rFonts w:ascii="Arial Narrow" w:hAnsi="Arial Narrow" w:cs="Times New Roman"/>
          <w:sz w:val="16"/>
          <w:szCs w:val="16"/>
        </w:rPr>
        <w:t>).</w:t>
      </w:r>
    </w:p>
  </w:footnote>
  <w:footnote w:id="70">
    <w:p w14:paraId="0B8EEA94" w14:textId="77777777" w:rsidR="00EE676F" w:rsidRPr="0045515E" w:rsidRDefault="00EE676F" w:rsidP="00DC54F3">
      <w:pPr>
        <w:pStyle w:val="Textpoznmkypodiarou"/>
        <w:rPr>
          <w:rFonts w:ascii="Arial Narrow" w:hAnsi="Arial Narrow"/>
          <w:sz w:val="16"/>
          <w:szCs w:val="16"/>
        </w:rPr>
      </w:pPr>
      <w:r w:rsidRPr="0045515E">
        <w:rPr>
          <w:rStyle w:val="Odkaznapoznmkupodiarou"/>
          <w:rFonts w:ascii="Arial Narrow" w:hAnsi="Arial Narrow"/>
          <w:sz w:val="16"/>
          <w:szCs w:val="16"/>
        </w:rPr>
        <w:footnoteRef/>
      </w:r>
      <w:r w:rsidRPr="0045515E">
        <w:rPr>
          <w:rFonts w:ascii="Arial Narrow" w:hAnsi="Arial Narrow"/>
          <w:sz w:val="16"/>
          <w:szCs w:val="16"/>
        </w:rPr>
        <w:t xml:space="preserve"> Podľa konceptu národných účtov (ESA).</w:t>
      </w:r>
    </w:p>
  </w:footnote>
  <w:footnote w:id="71">
    <w:p w14:paraId="092FA5FF" w14:textId="25DFE217" w:rsidR="00EE676F" w:rsidRDefault="00EE676F">
      <w:pPr>
        <w:pStyle w:val="Textpoznmkypodiarou"/>
      </w:pPr>
      <w:r w:rsidRPr="0045515E">
        <w:rPr>
          <w:rStyle w:val="Odkaznapoznmkupodiarou"/>
          <w:rFonts w:ascii="Arial Narrow" w:hAnsi="Arial Narrow"/>
          <w:sz w:val="16"/>
          <w:szCs w:val="16"/>
        </w:rPr>
        <w:footnoteRef/>
      </w:r>
      <w:r w:rsidRPr="0045515E">
        <w:rPr>
          <w:rFonts w:ascii="Arial Narrow" w:hAnsi="Arial Narrow"/>
          <w:sz w:val="16"/>
          <w:szCs w:val="16"/>
        </w:rPr>
        <w:t xml:space="preserve"> </w:t>
      </w:r>
      <w:r w:rsidRPr="00920ABD">
        <w:rPr>
          <w:rFonts w:ascii="Arial Narrow" w:eastAsia="NeueHaasGroteskText W02" w:hAnsi="Arial Narrow" w:cs="NeueHaasGroteskText W02"/>
          <w:sz w:val="16"/>
          <w:szCs w:val="16"/>
        </w:rPr>
        <w:t>Vykazovaná pomocou Výberového zisťovania pracovných síl ŠÚ SR.</w:t>
      </w:r>
    </w:p>
  </w:footnote>
  <w:footnote w:id="72">
    <w:p w14:paraId="04C9F2CB" w14:textId="77777777" w:rsidR="00EE676F" w:rsidRPr="00642B43" w:rsidRDefault="00EE676F" w:rsidP="00DC54F3">
      <w:pPr>
        <w:pStyle w:val="Textpoznmkypodiarou"/>
        <w:rPr>
          <w:rFonts w:ascii="Arial Narrow" w:hAnsi="Arial Narrow"/>
          <w:sz w:val="16"/>
          <w:szCs w:val="16"/>
        </w:rPr>
      </w:pPr>
      <w:r w:rsidRPr="00A43547">
        <w:rPr>
          <w:rStyle w:val="Odkaznapoznmkupodiarou"/>
          <w:rFonts w:ascii="Arial Narrow" w:hAnsi="Arial Narrow"/>
          <w:sz w:val="16"/>
          <w:szCs w:val="16"/>
        </w:rPr>
        <w:footnoteRef/>
      </w:r>
      <w:r w:rsidRPr="00A43547">
        <w:rPr>
          <w:rFonts w:ascii="Arial Narrow" w:hAnsi="Arial Narrow"/>
          <w:sz w:val="16"/>
          <w:szCs w:val="16"/>
        </w:rPr>
        <w:t xml:space="preserve"> </w:t>
      </w:r>
      <w:hyperlink r:id="rId17" w:history="1">
        <w:proofErr w:type="spellStart"/>
        <w:r w:rsidRPr="00642B43">
          <w:rPr>
            <w:rStyle w:val="Hypertextovprepojenie"/>
            <w:rFonts w:ascii="Arial Narrow" w:hAnsi="Arial Narrow"/>
            <w:color w:val="2C9ADC"/>
            <w:sz w:val="16"/>
            <w:szCs w:val="16"/>
          </w:rPr>
          <w:t>Second</w:t>
        </w:r>
        <w:proofErr w:type="spellEnd"/>
        <w:r w:rsidRPr="00642B43">
          <w:rPr>
            <w:rStyle w:val="Hypertextovprepojenie"/>
            <w:rFonts w:ascii="Arial Narrow" w:hAnsi="Arial Narrow"/>
            <w:color w:val="2C9ADC"/>
            <w:sz w:val="16"/>
            <w:szCs w:val="16"/>
          </w:rPr>
          <w:t xml:space="preserve"> </w:t>
        </w:r>
        <w:proofErr w:type="spellStart"/>
        <w:r w:rsidRPr="00642B43">
          <w:rPr>
            <w:rStyle w:val="Hypertextovprepojenie"/>
            <w:rFonts w:ascii="Arial Narrow" w:hAnsi="Arial Narrow"/>
            <w:color w:val="2C9ADC"/>
            <w:sz w:val="16"/>
            <w:szCs w:val="16"/>
          </w:rPr>
          <w:t>European</w:t>
        </w:r>
        <w:proofErr w:type="spellEnd"/>
        <w:r w:rsidRPr="00642B43">
          <w:rPr>
            <w:rStyle w:val="Hypertextovprepojenie"/>
            <w:rFonts w:ascii="Arial Narrow" w:hAnsi="Arial Narrow"/>
            <w:color w:val="2C9ADC"/>
            <w:sz w:val="16"/>
            <w:szCs w:val="16"/>
          </w:rPr>
          <w:t xml:space="preserve"> </w:t>
        </w:r>
        <w:proofErr w:type="spellStart"/>
        <w:r w:rsidRPr="00642B43">
          <w:rPr>
            <w:rStyle w:val="Hypertextovprepojenie"/>
            <w:rFonts w:ascii="Arial Narrow" w:hAnsi="Arial Narrow"/>
            <w:color w:val="2C9ADC"/>
            <w:sz w:val="16"/>
            <w:szCs w:val="16"/>
          </w:rPr>
          <w:t>Union</w:t>
        </w:r>
        <w:proofErr w:type="spellEnd"/>
        <w:r w:rsidRPr="00642B43">
          <w:rPr>
            <w:rStyle w:val="Hypertextovprepojenie"/>
            <w:rFonts w:ascii="Arial Narrow" w:hAnsi="Arial Narrow"/>
            <w:color w:val="2C9ADC"/>
            <w:sz w:val="16"/>
            <w:szCs w:val="16"/>
          </w:rPr>
          <w:t xml:space="preserve"> </w:t>
        </w:r>
        <w:proofErr w:type="spellStart"/>
        <w:r w:rsidRPr="00642B43">
          <w:rPr>
            <w:rStyle w:val="Hypertextovprepojenie"/>
            <w:rFonts w:ascii="Arial Narrow" w:hAnsi="Arial Narrow"/>
            <w:color w:val="2C9ADC"/>
            <w:sz w:val="16"/>
            <w:szCs w:val="16"/>
          </w:rPr>
          <w:t>Minorities</w:t>
        </w:r>
        <w:proofErr w:type="spellEnd"/>
        <w:r w:rsidRPr="00642B43">
          <w:rPr>
            <w:rStyle w:val="Hypertextovprepojenie"/>
            <w:rFonts w:ascii="Arial Narrow" w:hAnsi="Arial Narrow"/>
            <w:color w:val="2C9ADC"/>
            <w:sz w:val="16"/>
            <w:szCs w:val="16"/>
          </w:rPr>
          <w:t xml:space="preserve"> and </w:t>
        </w:r>
        <w:proofErr w:type="spellStart"/>
        <w:r w:rsidRPr="00642B43">
          <w:rPr>
            <w:rStyle w:val="Hypertextovprepojenie"/>
            <w:rFonts w:ascii="Arial Narrow" w:hAnsi="Arial Narrow"/>
            <w:color w:val="2C9ADC"/>
            <w:sz w:val="16"/>
            <w:szCs w:val="16"/>
          </w:rPr>
          <w:t>Discrimination</w:t>
        </w:r>
        <w:proofErr w:type="spellEnd"/>
        <w:r w:rsidRPr="00642B43">
          <w:rPr>
            <w:rStyle w:val="Hypertextovprepojenie"/>
            <w:rFonts w:ascii="Arial Narrow" w:hAnsi="Arial Narrow"/>
            <w:color w:val="2C9ADC"/>
            <w:sz w:val="16"/>
            <w:szCs w:val="16"/>
          </w:rPr>
          <w:t xml:space="preserve"> </w:t>
        </w:r>
        <w:proofErr w:type="spellStart"/>
        <w:r w:rsidRPr="00642B43">
          <w:rPr>
            <w:rStyle w:val="Hypertextovprepojenie"/>
            <w:rFonts w:ascii="Arial Narrow" w:hAnsi="Arial Narrow"/>
            <w:color w:val="2C9ADC"/>
            <w:sz w:val="16"/>
            <w:szCs w:val="16"/>
          </w:rPr>
          <w:t>Survey</w:t>
        </w:r>
        <w:proofErr w:type="spellEnd"/>
        <w:r w:rsidRPr="00642B43">
          <w:rPr>
            <w:rStyle w:val="Hypertextovprepojenie"/>
            <w:rFonts w:ascii="Arial Narrow" w:hAnsi="Arial Narrow"/>
            <w:color w:val="2C9ADC"/>
            <w:sz w:val="16"/>
            <w:szCs w:val="16"/>
          </w:rPr>
          <w:t xml:space="preserve"> - </w:t>
        </w:r>
        <w:proofErr w:type="spellStart"/>
        <w:r w:rsidRPr="00642B43">
          <w:rPr>
            <w:rStyle w:val="Hypertextovprepojenie"/>
            <w:rFonts w:ascii="Arial Narrow" w:hAnsi="Arial Narrow"/>
            <w:color w:val="2C9ADC"/>
            <w:sz w:val="16"/>
            <w:szCs w:val="16"/>
          </w:rPr>
          <w:t>Main</w:t>
        </w:r>
        <w:proofErr w:type="spellEnd"/>
        <w:r w:rsidRPr="00642B43">
          <w:rPr>
            <w:rStyle w:val="Hypertextovprepojenie"/>
            <w:rFonts w:ascii="Arial Narrow" w:hAnsi="Arial Narrow"/>
            <w:color w:val="2C9ADC"/>
            <w:sz w:val="16"/>
            <w:szCs w:val="16"/>
          </w:rPr>
          <w:t xml:space="preserve"> </w:t>
        </w:r>
        <w:proofErr w:type="spellStart"/>
        <w:r w:rsidRPr="00642B43">
          <w:rPr>
            <w:rStyle w:val="Hypertextovprepojenie"/>
            <w:rFonts w:ascii="Arial Narrow" w:hAnsi="Arial Narrow"/>
            <w:color w:val="2C9ADC"/>
            <w:sz w:val="16"/>
            <w:szCs w:val="16"/>
          </w:rPr>
          <w:t>results</w:t>
        </w:r>
        <w:proofErr w:type="spellEnd"/>
      </w:hyperlink>
      <w:r w:rsidRPr="00642B43">
        <w:rPr>
          <w:rStyle w:val="Hypertextovprepojenie"/>
          <w:rFonts w:ascii="Arial Narrow" w:hAnsi="Arial Narrow"/>
          <w:color w:val="000000" w:themeColor="text1"/>
          <w:sz w:val="16"/>
          <w:szCs w:val="16"/>
          <w:u w:val="none"/>
        </w:rPr>
        <w:t>.</w:t>
      </w:r>
    </w:p>
  </w:footnote>
  <w:footnote w:id="73">
    <w:p w14:paraId="5274085C" w14:textId="77777777" w:rsidR="00EE676F" w:rsidRPr="005B2BB7" w:rsidRDefault="00EE676F" w:rsidP="00DC54F3">
      <w:pPr>
        <w:pStyle w:val="Textpoznmkypodiarou"/>
        <w:rPr>
          <w:rStyle w:val="Odkaznapoznmkupodiarou"/>
          <w:rFonts w:ascii="Arial Narrow" w:hAnsi="Arial Narrow"/>
          <w:sz w:val="16"/>
          <w:szCs w:val="16"/>
          <w:vertAlign w:val="baseline"/>
        </w:rPr>
      </w:pPr>
      <w:r w:rsidRPr="00642B43">
        <w:rPr>
          <w:rStyle w:val="Odkaznapoznmkupodiarou"/>
          <w:rFonts w:ascii="Arial Narrow" w:hAnsi="Arial Narrow"/>
          <w:sz w:val="16"/>
          <w:szCs w:val="16"/>
        </w:rPr>
        <w:footnoteRef/>
      </w:r>
      <w:r w:rsidRPr="00642B43">
        <w:rPr>
          <w:rStyle w:val="Odkaznapoznmkupodiarou"/>
          <w:rFonts w:ascii="Arial Narrow" w:hAnsi="Arial Narrow"/>
          <w:sz w:val="16"/>
          <w:szCs w:val="16"/>
        </w:rPr>
        <w:t xml:space="preserve"> </w:t>
      </w:r>
      <w:r w:rsidRPr="00642B43">
        <w:rPr>
          <w:rStyle w:val="Odkaznapoznmkupodiarou"/>
          <w:rFonts w:ascii="Arial Narrow" w:hAnsi="Arial Narrow"/>
          <w:sz w:val="16"/>
          <w:szCs w:val="16"/>
          <w:vertAlign w:val="baseline"/>
        </w:rPr>
        <w:t xml:space="preserve">Komentár IFP 18/2018: </w:t>
      </w:r>
      <w:hyperlink r:id="rId18" w:history="1">
        <w:r w:rsidRPr="00642B43">
          <w:rPr>
            <w:rStyle w:val="Hypertextovprepojenie"/>
            <w:rFonts w:ascii="Arial Narrow" w:hAnsi="Arial Narrow"/>
            <w:color w:val="2C9ADC"/>
            <w:sz w:val="16"/>
            <w:szCs w:val="16"/>
          </w:rPr>
          <w:t>Inklúzia Rómov je celospoločenskou výzvou</w:t>
        </w:r>
      </w:hyperlink>
      <w:r w:rsidRPr="00642B43">
        <w:rPr>
          <w:rStyle w:val="Odkaznapoznmkupodiarou"/>
          <w:rFonts w:ascii="Arial Narrow" w:hAnsi="Arial Narrow"/>
          <w:sz w:val="16"/>
          <w:szCs w:val="16"/>
          <w:vertAlign w:val="baseline"/>
        </w:rPr>
        <w:t xml:space="preserve">. </w:t>
      </w:r>
    </w:p>
  </w:footnote>
  <w:footnote w:id="74">
    <w:p w14:paraId="761152A2" w14:textId="77777777" w:rsidR="00EE676F" w:rsidRPr="00840FBF" w:rsidRDefault="00EE676F" w:rsidP="00920ABD">
      <w:pPr>
        <w:pStyle w:val="Textpoznmkypodiarou"/>
        <w:rPr>
          <w:rFonts w:ascii="Arial Narrow" w:hAnsi="Arial Narrow"/>
          <w:sz w:val="16"/>
          <w:szCs w:val="16"/>
        </w:rPr>
      </w:pPr>
      <w:r w:rsidRPr="00840FBF">
        <w:rPr>
          <w:rStyle w:val="Odkaznapoznmkupodiarou"/>
          <w:rFonts w:ascii="Arial Narrow" w:hAnsi="Arial Narrow"/>
          <w:sz w:val="16"/>
          <w:szCs w:val="16"/>
        </w:rPr>
        <w:footnoteRef/>
      </w:r>
      <w:r w:rsidRPr="00840FBF">
        <w:rPr>
          <w:rFonts w:ascii="Arial Narrow" w:hAnsi="Arial Narrow"/>
          <w:sz w:val="16"/>
          <w:szCs w:val="16"/>
        </w:rPr>
        <w:t xml:space="preserve"> Vymaniť z rizika chudoby alebo sociálneho vylúčenia do roku 2020 aspoň 170 tis. ľudí.</w:t>
      </w:r>
    </w:p>
  </w:footnote>
  <w:footnote w:id="75">
    <w:p w14:paraId="487192DE" w14:textId="77777777" w:rsidR="00EE676F" w:rsidRPr="00642B43" w:rsidRDefault="00EE676F" w:rsidP="00DC54F3">
      <w:pPr>
        <w:pStyle w:val="Textpoznmkypodiarou"/>
        <w:rPr>
          <w:rFonts w:ascii="Arial Narrow" w:hAnsi="Arial Narrow"/>
          <w:color w:val="000000" w:themeColor="text1"/>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w:t>
      </w:r>
      <w:hyperlink r:id="rId19" w:history="1">
        <w:proofErr w:type="spellStart"/>
        <w:r w:rsidRPr="00642B43">
          <w:rPr>
            <w:rStyle w:val="Hypertextovprepojenie"/>
            <w:rFonts w:ascii="Arial Narrow" w:hAnsi="Arial Narrow"/>
            <w:color w:val="2C9ADC"/>
            <w:sz w:val="16"/>
            <w:szCs w:val="16"/>
          </w:rPr>
          <w:t>Second</w:t>
        </w:r>
        <w:proofErr w:type="spellEnd"/>
        <w:r w:rsidRPr="00642B43">
          <w:rPr>
            <w:rStyle w:val="Hypertextovprepojenie"/>
            <w:rFonts w:ascii="Arial Narrow" w:hAnsi="Arial Narrow"/>
            <w:color w:val="2C9ADC"/>
            <w:sz w:val="16"/>
            <w:szCs w:val="16"/>
          </w:rPr>
          <w:t xml:space="preserve"> </w:t>
        </w:r>
        <w:proofErr w:type="spellStart"/>
        <w:r w:rsidRPr="00642B43">
          <w:rPr>
            <w:rStyle w:val="Hypertextovprepojenie"/>
            <w:rFonts w:ascii="Arial Narrow" w:hAnsi="Arial Narrow"/>
            <w:color w:val="2C9ADC"/>
            <w:sz w:val="16"/>
            <w:szCs w:val="16"/>
          </w:rPr>
          <w:t>European</w:t>
        </w:r>
        <w:proofErr w:type="spellEnd"/>
        <w:r w:rsidRPr="00642B43">
          <w:rPr>
            <w:rStyle w:val="Hypertextovprepojenie"/>
            <w:rFonts w:ascii="Arial Narrow" w:hAnsi="Arial Narrow"/>
            <w:color w:val="2C9ADC"/>
            <w:sz w:val="16"/>
            <w:szCs w:val="16"/>
          </w:rPr>
          <w:t xml:space="preserve"> </w:t>
        </w:r>
        <w:proofErr w:type="spellStart"/>
        <w:r w:rsidRPr="00642B43">
          <w:rPr>
            <w:rStyle w:val="Hypertextovprepojenie"/>
            <w:rFonts w:ascii="Arial Narrow" w:hAnsi="Arial Narrow"/>
            <w:color w:val="2C9ADC"/>
            <w:sz w:val="16"/>
            <w:szCs w:val="16"/>
          </w:rPr>
          <w:t>Union</w:t>
        </w:r>
        <w:proofErr w:type="spellEnd"/>
        <w:r w:rsidRPr="00642B43">
          <w:rPr>
            <w:rStyle w:val="Hypertextovprepojenie"/>
            <w:rFonts w:ascii="Arial Narrow" w:hAnsi="Arial Narrow"/>
            <w:color w:val="2C9ADC"/>
            <w:sz w:val="16"/>
            <w:szCs w:val="16"/>
          </w:rPr>
          <w:t xml:space="preserve"> </w:t>
        </w:r>
        <w:proofErr w:type="spellStart"/>
        <w:r w:rsidRPr="00642B43">
          <w:rPr>
            <w:rStyle w:val="Hypertextovprepojenie"/>
            <w:rFonts w:ascii="Arial Narrow" w:hAnsi="Arial Narrow"/>
            <w:color w:val="2C9ADC"/>
            <w:sz w:val="16"/>
            <w:szCs w:val="16"/>
          </w:rPr>
          <w:t>Minorities</w:t>
        </w:r>
        <w:proofErr w:type="spellEnd"/>
        <w:r w:rsidRPr="00642B43">
          <w:rPr>
            <w:rStyle w:val="Hypertextovprepojenie"/>
            <w:rFonts w:ascii="Arial Narrow" w:hAnsi="Arial Narrow"/>
            <w:color w:val="2C9ADC"/>
            <w:sz w:val="16"/>
            <w:szCs w:val="16"/>
          </w:rPr>
          <w:t xml:space="preserve"> and </w:t>
        </w:r>
        <w:proofErr w:type="spellStart"/>
        <w:r w:rsidRPr="00642B43">
          <w:rPr>
            <w:rStyle w:val="Hypertextovprepojenie"/>
            <w:rFonts w:ascii="Arial Narrow" w:hAnsi="Arial Narrow"/>
            <w:color w:val="2C9ADC"/>
            <w:sz w:val="16"/>
            <w:szCs w:val="16"/>
          </w:rPr>
          <w:t>Discrimination</w:t>
        </w:r>
        <w:proofErr w:type="spellEnd"/>
        <w:r w:rsidRPr="00642B43">
          <w:rPr>
            <w:rStyle w:val="Hypertextovprepojenie"/>
            <w:rFonts w:ascii="Arial Narrow" w:hAnsi="Arial Narrow"/>
            <w:color w:val="2C9ADC"/>
            <w:sz w:val="16"/>
            <w:szCs w:val="16"/>
          </w:rPr>
          <w:t xml:space="preserve"> </w:t>
        </w:r>
        <w:proofErr w:type="spellStart"/>
        <w:r w:rsidRPr="00642B43">
          <w:rPr>
            <w:rStyle w:val="Hypertextovprepojenie"/>
            <w:rFonts w:ascii="Arial Narrow" w:hAnsi="Arial Narrow"/>
            <w:color w:val="2C9ADC"/>
            <w:sz w:val="16"/>
            <w:szCs w:val="16"/>
          </w:rPr>
          <w:t>Survey</w:t>
        </w:r>
        <w:proofErr w:type="spellEnd"/>
        <w:r w:rsidRPr="00642B43">
          <w:rPr>
            <w:rStyle w:val="Hypertextovprepojenie"/>
            <w:rFonts w:ascii="Arial Narrow" w:hAnsi="Arial Narrow"/>
            <w:color w:val="2C9ADC"/>
            <w:sz w:val="16"/>
            <w:szCs w:val="16"/>
          </w:rPr>
          <w:t xml:space="preserve"> - </w:t>
        </w:r>
        <w:proofErr w:type="spellStart"/>
        <w:r w:rsidRPr="00642B43">
          <w:rPr>
            <w:rStyle w:val="Hypertextovprepojenie"/>
            <w:rFonts w:ascii="Arial Narrow" w:hAnsi="Arial Narrow"/>
            <w:color w:val="2C9ADC"/>
            <w:sz w:val="16"/>
            <w:szCs w:val="16"/>
          </w:rPr>
          <w:t>Main</w:t>
        </w:r>
        <w:proofErr w:type="spellEnd"/>
        <w:r w:rsidRPr="00642B43">
          <w:rPr>
            <w:rStyle w:val="Hypertextovprepojenie"/>
            <w:rFonts w:ascii="Arial Narrow" w:hAnsi="Arial Narrow"/>
            <w:color w:val="2C9ADC"/>
            <w:sz w:val="16"/>
            <w:szCs w:val="16"/>
          </w:rPr>
          <w:t xml:space="preserve"> </w:t>
        </w:r>
        <w:proofErr w:type="spellStart"/>
        <w:r w:rsidRPr="00642B43">
          <w:rPr>
            <w:rStyle w:val="Hypertextovprepojenie"/>
            <w:rFonts w:ascii="Arial Narrow" w:hAnsi="Arial Narrow"/>
            <w:color w:val="2C9ADC"/>
            <w:sz w:val="16"/>
            <w:szCs w:val="16"/>
          </w:rPr>
          <w:t>results</w:t>
        </w:r>
        <w:proofErr w:type="spellEnd"/>
      </w:hyperlink>
      <w:r w:rsidRPr="00642B43">
        <w:rPr>
          <w:rStyle w:val="Hypertextovprepojenie"/>
          <w:rFonts w:ascii="Arial Narrow" w:hAnsi="Arial Narrow"/>
          <w:color w:val="000000" w:themeColor="text1"/>
          <w:sz w:val="16"/>
          <w:szCs w:val="16"/>
          <w:u w:val="none"/>
        </w:rPr>
        <w:t>.</w:t>
      </w:r>
    </w:p>
  </w:footnote>
  <w:footnote w:id="76">
    <w:p w14:paraId="481C1DEC" w14:textId="77777777" w:rsidR="00EE676F" w:rsidRPr="00642B43" w:rsidRDefault="00EE676F" w:rsidP="00DC54F3">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color w:val="2C9ADC"/>
          <w:sz w:val="16"/>
          <w:szCs w:val="16"/>
        </w:rPr>
        <w:t xml:space="preserve"> </w:t>
      </w:r>
      <w:hyperlink r:id="rId20" w:history="1">
        <w:r w:rsidRPr="00642B43">
          <w:rPr>
            <w:rStyle w:val="Hypertextovprepojenie"/>
            <w:rFonts w:ascii="Arial Narrow" w:hAnsi="Arial Narrow"/>
            <w:color w:val="2C9ADC"/>
            <w:sz w:val="16"/>
            <w:szCs w:val="16"/>
          </w:rPr>
          <w:t>Ekonomický prehľad Slovenska 2019</w:t>
        </w:r>
      </w:hyperlink>
      <w:r w:rsidRPr="00642B43">
        <w:rPr>
          <w:rFonts w:ascii="Arial Narrow" w:hAnsi="Arial Narrow"/>
          <w:color w:val="000000" w:themeColor="text1"/>
          <w:sz w:val="16"/>
          <w:szCs w:val="16"/>
        </w:rPr>
        <w:t xml:space="preserve">. </w:t>
      </w:r>
    </w:p>
  </w:footnote>
  <w:footnote w:id="77">
    <w:p w14:paraId="79B4C750" w14:textId="77777777" w:rsidR="00EE676F" w:rsidRPr="005B2BB7" w:rsidRDefault="00EE676F" w:rsidP="007066F5">
      <w:pPr>
        <w:pStyle w:val="Textpoznmkypodiarou"/>
        <w:rPr>
          <w:rFonts w:ascii="Arial Narrow" w:hAnsi="Arial Narrow"/>
          <w:sz w:val="16"/>
          <w:szCs w:val="16"/>
        </w:rPr>
      </w:pPr>
      <w:r w:rsidRPr="002B0601">
        <w:rPr>
          <w:rStyle w:val="Odkaznapoznmkupodiarou"/>
          <w:rFonts w:ascii="Arial Narrow" w:hAnsi="Arial Narrow"/>
          <w:sz w:val="16"/>
          <w:szCs w:val="16"/>
        </w:rPr>
        <w:footnoteRef/>
      </w:r>
      <w:r w:rsidRPr="002B0601">
        <w:rPr>
          <w:rFonts w:ascii="Arial Narrow" w:hAnsi="Arial Narrow"/>
          <w:sz w:val="16"/>
          <w:szCs w:val="16"/>
        </w:rPr>
        <w:t xml:space="preserve"> </w:t>
      </w:r>
      <w:hyperlink r:id="rId21" w:history="1">
        <w:r w:rsidRPr="00541050">
          <w:rPr>
            <w:rStyle w:val="Hypertextovprepojenie"/>
            <w:rFonts w:ascii="Arial Narrow" w:hAnsi="Arial Narrow"/>
            <w:color w:val="2C9AE5"/>
            <w:sz w:val="16"/>
            <w:szCs w:val="16"/>
          </w:rPr>
          <w:t>http://www.nro.vlada.gov.sk/</w:t>
        </w:r>
      </w:hyperlink>
    </w:p>
  </w:footnote>
  <w:footnote w:id="78">
    <w:p w14:paraId="274F4D70" w14:textId="77777777" w:rsidR="00EE676F" w:rsidRPr="00642B43" w:rsidRDefault="00EE676F" w:rsidP="007066F5">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w:t>
      </w:r>
      <w:hyperlink r:id="rId22" w:history="1">
        <w:r w:rsidRPr="00642B43">
          <w:rPr>
            <w:rStyle w:val="Hypertextovprepojenie"/>
            <w:rFonts w:ascii="Arial Narrow" w:hAnsi="Arial Narrow"/>
            <w:color w:val="2C9ADC"/>
            <w:sz w:val="16"/>
            <w:szCs w:val="16"/>
          </w:rPr>
          <w:t>Ekonomický prehľad Slovenska 2019</w:t>
        </w:r>
      </w:hyperlink>
      <w:r w:rsidRPr="00642B43">
        <w:rPr>
          <w:rFonts w:ascii="Arial Narrow" w:hAnsi="Arial Narrow"/>
          <w:color w:val="000000" w:themeColor="text1"/>
          <w:sz w:val="16"/>
          <w:szCs w:val="16"/>
        </w:rPr>
        <w:t>.</w:t>
      </w:r>
    </w:p>
  </w:footnote>
  <w:footnote w:id="79">
    <w:p w14:paraId="285A8174" w14:textId="77777777" w:rsidR="00EE676F" w:rsidRPr="00642B43" w:rsidRDefault="00EE676F" w:rsidP="0062680A">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OECD (2018), </w:t>
      </w:r>
      <w:proofErr w:type="spellStart"/>
      <w:r w:rsidRPr="00642B43">
        <w:rPr>
          <w:rFonts w:ascii="Arial Narrow" w:hAnsi="Arial Narrow"/>
          <w:sz w:val="16"/>
          <w:szCs w:val="16"/>
        </w:rPr>
        <w:t>Job</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creation</w:t>
      </w:r>
      <w:proofErr w:type="spellEnd"/>
      <w:r w:rsidRPr="00642B43">
        <w:rPr>
          <w:rFonts w:ascii="Arial Narrow" w:hAnsi="Arial Narrow"/>
          <w:sz w:val="16"/>
          <w:szCs w:val="16"/>
        </w:rPr>
        <w:t xml:space="preserve"> and </w:t>
      </w:r>
      <w:proofErr w:type="spellStart"/>
      <w:r w:rsidRPr="00642B43">
        <w:rPr>
          <w:rFonts w:ascii="Arial Narrow" w:hAnsi="Arial Narrow"/>
          <w:sz w:val="16"/>
          <w:szCs w:val="16"/>
        </w:rPr>
        <w:t>Local</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Economic</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Development</w:t>
      </w:r>
      <w:proofErr w:type="spellEnd"/>
      <w:r w:rsidRPr="00642B43">
        <w:rPr>
          <w:rFonts w:ascii="Arial Narrow" w:hAnsi="Arial Narrow"/>
          <w:sz w:val="16"/>
          <w:szCs w:val="16"/>
        </w:rPr>
        <w:t xml:space="preserve"> 2018: </w:t>
      </w:r>
      <w:proofErr w:type="spellStart"/>
      <w:r w:rsidRPr="00642B43">
        <w:rPr>
          <w:rFonts w:ascii="Arial Narrow" w:hAnsi="Arial Narrow"/>
          <w:sz w:val="16"/>
          <w:szCs w:val="16"/>
        </w:rPr>
        <w:t>Preparing</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for</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the</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Future</w:t>
      </w:r>
      <w:proofErr w:type="spellEnd"/>
      <w:r w:rsidRPr="00642B43">
        <w:rPr>
          <w:rFonts w:ascii="Arial Narrow" w:hAnsi="Arial Narrow"/>
          <w:sz w:val="16"/>
          <w:szCs w:val="16"/>
        </w:rPr>
        <w:t xml:space="preserve"> of </w:t>
      </w:r>
      <w:proofErr w:type="spellStart"/>
      <w:r w:rsidRPr="00642B43">
        <w:rPr>
          <w:rFonts w:ascii="Arial Narrow" w:hAnsi="Arial Narrow"/>
          <w:sz w:val="16"/>
          <w:szCs w:val="16"/>
        </w:rPr>
        <w:t>Work</w:t>
      </w:r>
      <w:proofErr w:type="spellEnd"/>
      <w:r w:rsidRPr="00642B43">
        <w:rPr>
          <w:rFonts w:ascii="Arial Narrow" w:hAnsi="Arial Narrow"/>
          <w:sz w:val="16"/>
          <w:szCs w:val="16"/>
        </w:rPr>
        <w:t xml:space="preserve">, OECD </w:t>
      </w:r>
      <w:proofErr w:type="spellStart"/>
      <w:r w:rsidRPr="00642B43">
        <w:rPr>
          <w:rFonts w:ascii="Arial Narrow" w:hAnsi="Arial Narrow"/>
          <w:sz w:val="16"/>
          <w:szCs w:val="16"/>
        </w:rPr>
        <w:t>Publishing</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Paris</w:t>
      </w:r>
      <w:proofErr w:type="spellEnd"/>
    </w:p>
  </w:footnote>
  <w:footnote w:id="80">
    <w:p w14:paraId="332508B9" w14:textId="77777777" w:rsidR="00EE676F" w:rsidRPr="00642B43" w:rsidRDefault="00EE676F" w:rsidP="007066F5">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w:t>
      </w:r>
      <w:hyperlink r:id="rId23" w:history="1">
        <w:r w:rsidRPr="00642B43">
          <w:rPr>
            <w:rStyle w:val="Hypertextovprepojenie"/>
            <w:rFonts w:ascii="Arial Narrow" w:hAnsi="Arial Narrow"/>
            <w:color w:val="2C9ADC"/>
            <w:sz w:val="16"/>
            <w:szCs w:val="16"/>
          </w:rPr>
          <w:t>Ekonomický prehľad Slovenska 2019</w:t>
        </w:r>
      </w:hyperlink>
      <w:r w:rsidRPr="00642B43">
        <w:rPr>
          <w:rFonts w:ascii="Arial Narrow" w:hAnsi="Arial Narrow"/>
          <w:color w:val="000000" w:themeColor="text1"/>
          <w:sz w:val="16"/>
          <w:szCs w:val="16"/>
        </w:rPr>
        <w:t xml:space="preserve">. </w:t>
      </w:r>
      <w:r w:rsidRPr="00642B43">
        <w:rPr>
          <w:rFonts w:ascii="Arial Narrow" w:hAnsi="Arial Narrow"/>
          <w:sz w:val="16"/>
          <w:szCs w:val="16"/>
        </w:rPr>
        <w:t xml:space="preserve"> </w:t>
      </w:r>
    </w:p>
  </w:footnote>
  <w:footnote w:id="81">
    <w:p w14:paraId="2ECC62EC" w14:textId="77777777" w:rsidR="00EE676F" w:rsidRPr="00541050" w:rsidRDefault="00EE676F" w:rsidP="003A5426">
      <w:pPr>
        <w:pStyle w:val="Textpoznmkypodiarou"/>
        <w:rPr>
          <w:rFonts w:ascii="Arial Narrow" w:hAnsi="Arial Narrow"/>
          <w:sz w:val="16"/>
          <w:szCs w:val="16"/>
        </w:rPr>
      </w:pPr>
      <w:r w:rsidRPr="002B0601">
        <w:rPr>
          <w:rStyle w:val="Odkaznapoznmkupodiarou"/>
          <w:rFonts w:ascii="Arial Narrow" w:hAnsi="Arial Narrow"/>
          <w:sz w:val="16"/>
          <w:szCs w:val="16"/>
        </w:rPr>
        <w:footnoteRef/>
      </w:r>
      <w:r w:rsidRPr="002B0601">
        <w:rPr>
          <w:rFonts w:ascii="Arial Narrow" w:hAnsi="Arial Narrow"/>
          <w:sz w:val="16"/>
          <w:szCs w:val="16"/>
        </w:rPr>
        <w:t xml:space="preserve"> </w:t>
      </w:r>
      <w:hyperlink r:id="rId24" w:history="1">
        <w:proofErr w:type="spellStart"/>
        <w:r w:rsidRPr="00541050">
          <w:rPr>
            <w:rStyle w:val="Hypertextovprepojenie"/>
            <w:rFonts w:ascii="Arial Narrow" w:hAnsi="Arial Narrow"/>
            <w:color w:val="2C9AE5"/>
            <w:sz w:val="16"/>
            <w:szCs w:val="16"/>
          </w:rPr>
          <w:t>Ageing</w:t>
        </w:r>
        <w:proofErr w:type="spellEnd"/>
        <w:r w:rsidRPr="00541050">
          <w:rPr>
            <w:rStyle w:val="Hypertextovprepojenie"/>
            <w:rFonts w:ascii="Arial Narrow" w:hAnsi="Arial Narrow"/>
            <w:color w:val="2C9AE5"/>
            <w:sz w:val="16"/>
            <w:szCs w:val="16"/>
          </w:rPr>
          <w:t xml:space="preserve"> Report: </w:t>
        </w:r>
        <w:proofErr w:type="spellStart"/>
        <w:r w:rsidRPr="00541050">
          <w:rPr>
            <w:rStyle w:val="Hypertextovprepojenie"/>
            <w:rFonts w:ascii="Arial Narrow" w:hAnsi="Arial Narrow"/>
            <w:color w:val="2C9AE5"/>
            <w:sz w:val="16"/>
            <w:szCs w:val="16"/>
          </w:rPr>
          <w:t>Economic</w:t>
        </w:r>
        <w:proofErr w:type="spellEnd"/>
        <w:r w:rsidRPr="00541050">
          <w:rPr>
            <w:rStyle w:val="Hypertextovprepojenie"/>
            <w:rFonts w:ascii="Arial Narrow" w:hAnsi="Arial Narrow"/>
            <w:color w:val="2C9AE5"/>
            <w:sz w:val="16"/>
            <w:szCs w:val="16"/>
          </w:rPr>
          <w:t xml:space="preserve"> and </w:t>
        </w:r>
        <w:proofErr w:type="spellStart"/>
        <w:r w:rsidRPr="00541050">
          <w:rPr>
            <w:rStyle w:val="Hypertextovprepojenie"/>
            <w:rFonts w:ascii="Arial Narrow" w:hAnsi="Arial Narrow"/>
            <w:color w:val="2C9AE5"/>
            <w:sz w:val="16"/>
            <w:szCs w:val="16"/>
          </w:rPr>
          <w:t>Budgetary</w:t>
        </w:r>
        <w:proofErr w:type="spellEnd"/>
        <w:r w:rsidRPr="00541050">
          <w:rPr>
            <w:rStyle w:val="Hypertextovprepojenie"/>
            <w:rFonts w:ascii="Arial Narrow" w:hAnsi="Arial Narrow"/>
            <w:color w:val="2C9AE5"/>
            <w:sz w:val="16"/>
            <w:szCs w:val="16"/>
          </w:rPr>
          <w:t xml:space="preserve"> </w:t>
        </w:r>
        <w:proofErr w:type="spellStart"/>
        <w:r w:rsidRPr="00541050">
          <w:rPr>
            <w:rStyle w:val="Hypertextovprepojenie"/>
            <w:rFonts w:ascii="Arial Narrow" w:hAnsi="Arial Narrow"/>
            <w:color w:val="2C9AE5"/>
            <w:sz w:val="16"/>
            <w:szCs w:val="16"/>
          </w:rPr>
          <w:t>Projections</w:t>
        </w:r>
        <w:proofErr w:type="spellEnd"/>
        <w:r w:rsidRPr="00541050">
          <w:rPr>
            <w:rStyle w:val="Hypertextovprepojenie"/>
            <w:rFonts w:ascii="Arial Narrow" w:hAnsi="Arial Narrow"/>
            <w:color w:val="2C9AE5"/>
            <w:sz w:val="16"/>
            <w:szCs w:val="16"/>
          </w:rPr>
          <w:t xml:space="preserve"> </w:t>
        </w:r>
        <w:proofErr w:type="spellStart"/>
        <w:r w:rsidRPr="00541050">
          <w:rPr>
            <w:rStyle w:val="Hypertextovprepojenie"/>
            <w:rFonts w:ascii="Arial Narrow" w:hAnsi="Arial Narrow"/>
            <w:color w:val="2C9AE5"/>
            <w:sz w:val="16"/>
            <w:szCs w:val="16"/>
          </w:rPr>
          <w:t>for</w:t>
        </w:r>
        <w:proofErr w:type="spellEnd"/>
        <w:r w:rsidRPr="00541050">
          <w:rPr>
            <w:rStyle w:val="Hypertextovprepojenie"/>
            <w:rFonts w:ascii="Arial Narrow" w:hAnsi="Arial Narrow"/>
            <w:color w:val="2C9AE5"/>
            <w:sz w:val="16"/>
            <w:szCs w:val="16"/>
          </w:rPr>
          <w:t xml:space="preserve"> </w:t>
        </w:r>
        <w:proofErr w:type="spellStart"/>
        <w:r w:rsidRPr="00541050">
          <w:rPr>
            <w:rStyle w:val="Hypertextovprepojenie"/>
            <w:rFonts w:ascii="Arial Narrow" w:hAnsi="Arial Narrow"/>
            <w:color w:val="2C9AE5"/>
            <w:sz w:val="16"/>
            <w:szCs w:val="16"/>
          </w:rPr>
          <w:t>the</w:t>
        </w:r>
        <w:proofErr w:type="spellEnd"/>
        <w:r w:rsidRPr="00541050">
          <w:rPr>
            <w:rStyle w:val="Hypertextovprepojenie"/>
            <w:rFonts w:ascii="Arial Narrow" w:hAnsi="Arial Narrow"/>
            <w:color w:val="2C9AE5"/>
            <w:sz w:val="16"/>
            <w:szCs w:val="16"/>
          </w:rPr>
          <w:t xml:space="preserve"> EU </w:t>
        </w:r>
        <w:proofErr w:type="spellStart"/>
        <w:r w:rsidRPr="00541050">
          <w:rPr>
            <w:rStyle w:val="Hypertextovprepojenie"/>
            <w:rFonts w:ascii="Arial Narrow" w:hAnsi="Arial Narrow"/>
            <w:color w:val="2C9AE5"/>
            <w:sz w:val="16"/>
            <w:szCs w:val="16"/>
          </w:rPr>
          <w:t>Member</w:t>
        </w:r>
        <w:proofErr w:type="spellEnd"/>
        <w:r w:rsidRPr="00541050">
          <w:rPr>
            <w:rStyle w:val="Hypertextovprepojenie"/>
            <w:rFonts w:ascii="Arial Narrow" w:hAnsi="Arial Narrow"/>
            <w:color w:val="2C9AE5"/>
            <w:sz w:val="16"/>
            <w:szCs w:val="16"/>
          </w:rPr>
          <w:t xml:space="preserve"> </w:t>
        </w:r>
        <w:proofErr w:type="spellStart"/>
        <w:r w:rsidRPr="00541050">
          <w:rPr>
            <w:rStyle w:val="Hypertextovprepojenie"/>
            <w:rFonts w:ascii="Arial Narrow" w:hAnsi="Arial Narrow"/>
            <w:color w:val="2C9AE5"/>
            <w:sz w:val="16"/>
            <w:szCs w:val="16"/>
          </w:rPr>
          <w:t>States</w:t>
        </w:r>
        <w:proofErr w:type="spellEnd"/>
        <w:r w:rsidRPr="00541050">
          <w:rPr>
            <w:rStyle w:val="Hypertextovprepojenie"/>
            <w:rFonts w:ascii="Arial Narrow" w:hAnsi="Arial Narrow"/>
            <w:color w:val="2C9AE5"/>
            <w:sz w:val="16"/>
            <w:szCs w:val="16"/>
          </w:rPr>
          <w:t xml:space="preserve"> (2016-2070)</w:t>
        </w:r>
      </w:hyperlink>
      <w:r w:rsidRPr="00541050">
        <w:rPr>
          <w:rFonts w:ascii="Arial Narrow" w:hAnsi="Arial Narrow"/>
          <w:color w:val="2C9AE5"/>
          <w:sz w:val="16"/>
          <w:szCs w:val="16"/>
        </w:rPr>
        <w:t>.</w:t>
      </w:r>
    </w:p>
  </w:footnote>
  <w:footnote w:id="82">
    <w:p w14:paraId="49ED58CC" w14:textId="7219A99D" w:rsidR="00EE676F" w:rsidRPr="0044312A" w:rsidRDefault="00EE676F">
      <w:pPr>
        <w:pStyle w:val="Textpoznmkypodiarou"/>
        <w:rPr>
          <w:rFonts w:ascii="Arial Narrow" w:hAnsi="Arial Narrow"/>
        </w:rPr>
      </w:pPr>
      <w:r w:rsidRPr="0044312A">
        <w:rPr>
          <w:rStyle w:val="Odkaznapoznmkupodiarou"/>
          <w:rFonts w:ascii="Arial Narrow" w:hAnsi="Arial Narrow"/>
          <w:sz w:val="16"/>
        </w:rPr>
        <w:footnoteRef/>
      </w:r>
      <w:r w:rsidRPr="0044312A">
        <w:rPr>
          <w:rFonts w:ascii="Arial Narrow" w:hAnsi="Arial Narrow"/>
          <w:sz w:val="16"/>
        </w:rPr>
        <w:t xml:space="preserve"> </w:t>
      </w:r>
      <w:hyperlink r:id="rId25" w:history="1">
        <w:r w:rsidRPr="0044312A">
          <w:rPr>
            <w:rStyle w:val="Hypertextovprepojenie"/>
            <w:rFonts w:ascii="Arial Narrow" w:hAnsi="Arial Narrow"/>
            <w:color w:val="2C9ADC"/>
            <w:sz w:val="16"/>
          </w:rPr>
          <w:t>Akčný plán na posilnenie integrácie dlhodobo nezamestnaných na trh práce v SR.</w:t>
        </w:r>
      </w:hyperlink>
    </w:p>
  </w:footnote>
  <w:footnote w:id="83">
    <w:p w14:paraId="12336AE3" w14:textId="77777777" w:rsidR="00EE676F" w:rsidRPr="005B2BB7" w:rsidRDefault="00EE676F">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w:t>
      </w:r>
      <w:hyperlink r:id="rId26" w:history="1">
        <w:r w:rsidRPr="00642B43">
          <w:rPr>
            <w:rStyle w:val="Hypertextovprepojenie"/>
            <w:rFonts w:ascii="Arial Narrow" w:hAnsi="Arial Narrow"/>
            <w:color w:val="2C9ADC"/>
            <w:sz w:val="16"/>
            <w:szCs w:val="16"/>
          </w:rPr>
          <w:t>https://www.employment.gov.sk/sk/praca-zamestnanost/podpora-zamestnanosti/np-prognozy-vyvoja-trhu-prace-sr-ii/</w:t>
        </w:r>
      </w:hyperlink>
    </w:p>
  </w:footnote>
  <w:footnote w:id="84">
    <w:p w14:paraId="29774506" w14:textId="77777777" w:rsidR="00EE676F" w:rsidRPr="00C150A7" w:rsidRDefault="00EE676F" w:rsidP="006E1DBC">
      <w:pPr>
        <w:pStyle w:val="Textpoznmkypodiarou"/>
        <w:rPr>
          <w:rFonts w:ascii="Arial Narrow" w:hAnsi="Arial Narrow"/>
          <w:color w:val="000000" w:themeColor="text1"/>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w:t>
      </w:r>
      <w:hyperlink r:id="rId27" w:history="1">
        <w:r w:rsidRPr="00541050">
          <w:rPr>
            <w:rStyle w:val="Hypertextovprepojenie"/>
            <w:rFonts w:ascii="Arial Narrow" w:hAnsi="Arial Narrow"/>
            <w:color w:val="2C9ADC"/>
            <w:sz w:val="16"/>
            <w:szCs w:val="16"/>
          </w:rPr>
          <w:t>Stratégia pracovnej mobility cudzincov v SR</w:t>
        </w:r>
      </w:hyperlink>
      <w:r w:rsidRPr="00C150A7">
        <w:rPr>
          <w:rStyle w:val="Hypertextovprepojenie"/>
          <w:rFonts w:ascii="Arial Narrow" w:hAnsi="Arial Narrow"/>
          <w:color w:val="000000" w:themeColor="text1"/>
          <w:sz w:val="16"/>
          <w:szCs w:val="16"/>
          <w:u w:val="none"/>
        </w:rPr>
        <w:t>.</w:t>
      </w:r>
    </w:p>
  </w:footnote>
  <w:footnote w:id="85">
    <w:p w14:paraId="3155EB35" w14:textId="77777777" w:rsidR="00EE676F" w:rsidRPr="00642B43" w:rsidRDefault="00EE676F" w:rsidP="00872DA0">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OECD </w:t>
      </w:r>
      <w:proofErr w:type="spellStart"/>
      <w:r w:rsidRPr="00642B43">
        <w:rPr>
          <w:rFonts w:ascii="Arial Narrow" w:hAnsi="Arial Narrow"/>
          <w:sz w:val="16"/>
          <w:szCs w:val="16"/>
        </w:rPr>
        <w:t>database</w:t>
      </w:r>
      <w:proofErr w:type="spellEnd"/>
      <w:r w:rsidRPr="00642B43">
        <w:rPr>
          <w:rFonts w:ascii="Arial Narrow" w:hAnsi="Arial Narrow"/>
          <w:sz w:val="16"/>
          <w:szCs w:val="16"/>
        </w:rPr>
        <w:t xml:space="preserve"> (2019). </w:t>
      </w:r>
      <w:proofErr w:type="spellStart"/>
      <w:r w:rsidRPr="00642B43">
        <w:rPr>
          <w:rFonts w:ascii="Arial Narrow" w:hAnsi="Arial Narrow"/>
          <w:sz w:val="16"/>
          <w:szCs w:val="16"/>
        </w:rPr>
        <w:t>Regional</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demography</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inter-regional</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migration</w:t>
      </w:r>
      <w:proofErr w:type="spellEnd"/>
    </w:p>
  </w:footnote>
  <w:footnote w:id="86">
    <w:p w14:paraId="482D2812" w14:textId="77777777" w:rsidR="00EE676F" w:rsidRPr="005B2BB7" w:rsidRDefault="00EE676F" w:rsidP="00872DA0">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OECD, 2011: </w:t>
      </w:r>
      <w:proofErr w:type="spellStart"/>
      <w:r w:rsidRPr="00642B43">
        <w:rPr>
          <w:rFonts w:ascii="Arial Narrow" w:hAnsi="Arial Narrow"/>
          <w:sz w:val="16"/>
          <w:szCs w:val="16"/>
        </w:rPr>
        <w:t>Housing</w:t>
      </w:r>
      <w:proofErr w:type="spellEnd"/>
      <w:r w:rsidRPr="00642B43">
        <w:rPr>
          <w:rFonts w:ascii="Arial Narrow" w:hAnsi="Arial Narrow"/>
          <w:sz w:val="16"/>
          <w:szCs w:val="16"/>
        </w:rPr>
        <w:t xml:space="preserve"> and </w:t>
      </w:r>
      <w:proofErr w:type="spellStart"/>
      <w:r w:rsidRPr="00642B43">
        <w:rPr>
          <w:rFonts w:ascii="Arial Narrow" w:hAnsi="Arial Narrow"/>
          <w:sz w:val="16"/>
          <w:szCs w:val="16"/>
        </w:rPr>
        <w:t>Economy</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Policies</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for</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Renovation</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Chapeter</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from</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Economy</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Policy</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Reforms</w:t>
      </w:r>
      <w:proofErr w:type="spellEnd"/>
      <w:r w:rsidRPr="00642B43">
        <w:rPr>
          <w:rFonts w:ascii="Arial Narrow" w:hAnsi="Arial Narrow"/>
          <w:sz w:val="16"/>
          <w:szCs w:val="16"/>
        </w:rPr>
        <w:t xml:space="preserve"> </w:t>
      </w:r>
    </w:p>
  </w:footnote>
  <w:footnote w:id="87">
    <w:p w14:paraId="07670FE3" w14:textId="77777777" w:rsidR="00EE676F" w:rsidRPr="005B2BB7" w:rsidRDefault="00EE676F" w:rsidP="00872DA0">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w:t>
      </w:r>
      <w:proofErr w:type="spellStart"/>
      <w:r w:rsidRPr="00A804AD">
        <w:rPr>
          <w:rFonts w:ascii="Arial Narrow" w:hAnsi="Arial Narrow"/>
          <w:sz w:val="16"/>
          <w:szCs w:val="16"/>
        </w:rPr>
        <w:t>Blanchflower</w:t>
      </w:r>
      <w:proofErr w:type="spellEnd"/>
      <w:r w:rsidRPr="00A804AD">
        <w:rPr>
          <w:rFonts w:ascii="Arial Narrow" w:hAnsi="Arial Narrow"/>
          <w:sz w:val="16"/>
          <w:szCs w:val="16"/>
        </w:rPr>
        <w:t xml:space="preserve"> a </w:t>
      </w:r>
      <w:proofErr w:type="spellStart"/>
      <w:r w:rsidRPr="00A804AD">
        <w:rPr>
          <w:rFonts w:ascii="Arial Narrow" w:hAnsi="Arial Narrow"/>
          <w:sz w:val="16"/>
          <w:szCs w:val="16"/>
        </w:rPr>
        <w:t>Oswald</w:t>
      </w:r>
      <w:proofErr w:type="spellEnd"/>
      <w:r w:rsidRPr="00A804AD">
        <w:rPr>
          <w:rFonts w:ascii="Arial Narrow" w:hAnsi="Arial Narrow"/>
          <w:sz w:val="16"/>
          <w:szCs w:val="16"/>
        </w:rPr>
        <w:t xml:space="preserve"> (2013). </w:t>
      </w:r>
      <w:proofErr w:type="spellStart"/>
      <w:r w:rsidRPr="00A804AD">
        <w:rPr>
          <w:rFonts w:ascii="Arial Narrow" w:hAnsi="Arial Narrow"/>
          <w:sz w:val="16"/>
          <w:szCs w:val="16"/>
        </w:rPr>
        <w:t>Does</w:t>
      </w:r>
      <w:proofErr w:type="spellEnd"/>
      <w:r w:rsidRPr="00A804AD">
        <w:rPr>
          <w:rFonts w:ascii="Arial Narrow" w:hAnsi="Arial Narrow"/>
          <w:sz w:val="16"/>
          <w:szCs w:val="16"/>
        </w:rPr>
        <w:t xml:space="preserve"> </w:t>
      </w:r>
      <w:proofErr w:type="spellStart"/>
      <w:r w:rsidRPr="00A804AD">
        <w:rPr>
          <w:rFonts w:ascii="Arial Narrow" w:hAnsi="Arial Narrow"/>
          <w:sz w:val="16"/>
          <w:szCs w:val="16"/>
        </w:rPr>
        <w:t>High</w:t>
      </w:r>
      <w:proofErr w:type="spellEnd"/>
      <w:r w:rsidRPr="00A804AD">
        <w:rPr>
          <w:rFonts w:ascii="Arial Narrow" w:hAnsi="Arial Narrow"/>
          <w:sz w:val="16"/>
          <w:szCs w:val="16"/>
        </w:rPr>
        <w:t xml:space="preserve"> </w:t>
      </w:r>
      <w:proofErr w:type="spellStart"/>
      <w:r w:rsidRPr="00A804AD">
        <w:rPr>
          <w:rFonts w:ascii="Arial Narrow" w:hAnsi="Arial Narrow"/>
          <w:sz w:val="16"/>
          <w:szCs w:val="16"/>
        </w:rPr>
        <w:t>Home-ownership</w:t>
      </w:r>
      <w:proofErr w:type="spellEnd"/>
      <w:r w:rsidRPr="00A804AD">
        <w:rPr>
          <w:rFonts w:ascii="Arial Narrow" w:hAnsi="Arial Narrow"/>
          <w:sz w:val="16"/>
          <w:szCs w:val="16"/>
        </w:rPr>
        <w:t xml:space="preserve"> </w:t>
      </w:r>
      <w:proofErr w:type="spellStart"/>
      <w:r w:rsidRPr="00A804AD">
        <w:rPr>
          <w:rFonts w:ascii="Arial Narrow" w:hAnsi="Arial Narrow"/>
          <w:sz w:val="16"/>
          <w:szCs w:val="16"/>
        </w:rPr>
        <w:t>Impair</w:t>
      </w:r>
      <w:proofErr w:type="spellEnd"/>
      <w:r w:rsidRPr="00A804AD">
        <w:rPr>
          <w:rFonts w:ascii="Arial Narrow" w:hAnsi="Arial Narrow"/>
          <w:sz w:val="16"/>
          <w:szCs w:val="16"/>
        </w:rPr>
        <w:t xml:space="preserve"> </w:t>
      </w:r>
      <w:proofErr w:type="spellStart"/>
      <w:r w:rsidRPr="00A804AD">
        <w:rPr>
          <w:rFonts w:ascii="Arial Narrow" w:hAnsi="Arial Narrow"/>
          <w:sz w:val="16"/>
          <w:szCs w:val="16"/>
        </w:rPr>
        <w:t>The</w:t>
      </w:r>
      <w:proofErr w:type="spellEnd"/>
      <w:r w:rsidRPr="00A804AD">
        <w:rPr>
          <w:rFonts w:ascii="Arial Narrow" w:hAnsi="Arial Narrow"/>
          <w:sz w:val="16"/>
          <w:szCs w:val="16"/>
        </w:rPr>
        <w:t xml:space="preserve"> </w:t>
      </w:r>
      <w:proofErr w:type="spellStart"/>
      <w:r w:rsidRPr="00752B46">
        <w:rPr>
          <w:rFonts w:ascii="Arial Narrow" w:hAnsi="Arial Narrow"/>
          <w:sz w:val="16"/>
          <w:szCs w:val="16"/>
        </w:rPr>
        <w:t>Labor</w:t>
      </w:r>
      <w:proofErr w:type="spellEnd"/>
      <w:r w:rsidRPr="00752B46">
        <w:rPr>
          <w:rFonts w:ascii="Arial Narrow" w:hAnsi="Arial Narrow"/>
          <w:sz w:val="16"/>
          <w:szCs w:val="16"/>
        </w:rPr>
        <w:t xml:space="preserve"> </w:t>
      </w:r>
      <w:proofErr w:type="spellStart"/>
      <w:r w:rsidRPr="00752B46">
        <w:rPr>
          <w:rFonts w:ascii="Arial Narrow" w:hAnsi="Arial Narrow"/>
          <w:sz w:val="16"/>
          <w:szCs w:val="16"/>
        </w:rPr>
        <w:t>Market</w:t>
      </w:r>
      <w:proofErr w:type="spellEnd"/>
      <w:r w:rsidRPr="00752B46">
        <w:rPr>
          <w:rFonts w:ascii="Arial Narrow" w:hAnsi="Arial Narrow"/>
          <w:sz w:val="16"/>
          <w:szCs w:val="16"/>
        </w:rPr>
        <w:t xml:space="preserve">?, NBER </w:t>
      </w:r>
      <w:proofErr w:type="spellStart"/>
      <w:r w:rsidRPr="00752B46">
        <w:rPr>
          <w:rFonts w:ascii="Arial Narrow" w:hAnsi="Arial Narrow"/>
          <w:sz w:val="16"/>
          <w:szCs w:val="16"/>
        </w:rPr>
        <w:t>Working</w:t>
      </w:r>
      <w:proofErr w:type="spellEnd"/>
      <w:r w:rsidRPr="00752B46">
        <w:rPr>
          <w:rFonts w:ascii="Arial Narrow" w:hAnsi="Arial Narrow"/>
          <w:sz w:val="16"/>
          <w:szCs w:val="16"/>
        </w:rPr>
        <w:t xml:space="preserve"> </w:t>
      </w:r>
      <w:proofErr w:type="spellStart"/>
      <w:r w:rsidRPr="00752B46">
        <w:rPr>
          <w:rFonts w:ascii="Arial Narrow" w:hAnsi="Arial Narrow"/>
          <w:sz w:val="16"/>
          <w:szCs w:val="16"/>
        </w:rPr>
        <w:t>Paper</w:t>
      </w:r>
      <w:proofErr w:type="spellEnd"/>
      <w:r w:rsidRPr="00752B46">
        <w:rPr>
          <w:rFonts w:ascii="Arial Narrow" w:hAnsi="Arial Narrow"/>
          <w:sz w:val="16"/>
          <w:szCs w:val="16"/>
        </w:rPr>
        <w:t xml:space="preserve"> </w:t>
      </w:r>
      <w:proofErr w:type="spellStart"/>
      <w:r w:rsidRPr="00752B46">
        <w:rPr>
          <w:rFonts w:ascii="Arial Narrow" w:hAnsi="Arial Narrow"/>
          <w:sz w:val="16"/>
          <w:szCs w:val="16"/>
        </w:rPr>
        <w:t>Series</w:t>
      </w:r>
      <w:proofErr w:type="spellEnd"/>
    </w:p>
  </w:footnote>
  <w:footnote w:id="88">
    <w:p w14:paraId="17D926AC" w14:textId="77777777" w:rsidR="00EE676F" w:rsidRPr="005B2BB7" w:rsidRDefault="00EE676F" w:rsidP="00872DA0">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V Londýne musí byť z nových developerských projektov 35 % bytov cenovo dostupných pre slabšie sociálne skupiny. Záväzok starostu je zvýšiť ich podiel na 50 %. V New Yorku musí byť podiel cenovo dostupných bytov v nových projektoch v rozmedzí od 10 % do 25 %. Nájomné je vo výške 40 % až 70 % lokálneho </w:t>
      </w:r>
      <w:proofErr w:type="spellStart"/>
      <w:r w:rsidRPr="00A804AD">
        <w:rPr>
          <w:rFonts w:ascii="Arial Narrow" w:hAnsi="Arial Narrow"/>
          <w:sz w:val="16"/>
          <w:szCs w:val="16"/>
        </w:rPr>
        <w:t>mediánového</w:t>
      </w:r>
      <w:proofErr w:type="spellEnd"/>
      <w:r w:rsidRPr="00A804AD">
        <w:rPr>
          <w:rFonts w:ascii="Arial Narrow" w:hAnsi="Arial Narrow"/>
          <w:sz w:val="16"/>
          <w:szCs w:val="16"/>
        </w:rPr>
        <w:t xml:space="preserve"> príjmu domácností.</w:t>
      </w:r>
    </w:p>
  </w:footnote>
  <w:footnote w:id="89">
    <w:p w14:paraId="00AD5899" w14:textId="6D5FE3F6" w:rsidR="00EE676F" w:rsidRPr="005B2BB7" w:rsidRDefault="00EE676F" w:rsidP="00872DA0">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Rôzne schémy implement</w:t>
      </w:r>
      <w:r w:rsidRPr="00752B46">
        <w:rPr>
          <w:rFonts w:ascii="Arial Narrow" w:hAnsi="Arial Narrow"/>
          <w:sz w:val="16"/>
          <w:szCs w:val="16"/>
        </w:rPr>
        <w:t>ácie poukážok na bývanie (</w:t>
      </w:r>
      <w:proofErr w:type="spellStart"/>
      <w:r w:rsidRPr="00752B46">
        <w:rPr>
          <w:rFonts w:ascii="Arial Narrow" w:hAnsi="Arial Narrow"/>
          <w:i/>
          <w:sz w:val="16"/>
          <w:szCs w:val="16"/>
        </w:rPr>
        <w:t>housing</w:t>
      </w:r>
      <w:proofErr w:type="spellEnd"/>
      <w:r w:rsidRPr="00752B46">
        <w:rPr>
          <w:rFonts w:ascii="Arial Narrow" w:hAnsi="Arial Narrow"/>
          <w:i/>
          <w:sz w:val="16"/>
          <w:szCs w:val="16"/>
        </w:rPr>
        <w:t xml:space="preserve"> </w:t>
      </w:r>
      <w:proofErr w:type="spellStart"/>
      <w:r w:rsidRPr="00752B46">
        <w:rPr>
          <w:rFonts w:ascii="Arial Narrow" w:hAnsi="Arial Narrow"/>
          <w:i/>
          <w:sz w:val="16"/>
          <w:szCs w:val="16"/>
        </w:rPr>
        <w:t>allowances</w:t>
      </w:r>
      <w:proofErr w:type="spellEnd"/>
      <w:r w:rsidRPr="00752B46">
        <w:rPr>
          <w:rFonts w:ascii="Arial Narrow" w:hAnsi="Arial Narrow"/>
          <w:sz w:val="16"/>
          <w:szCs w:val="16"/>
        </w:rPr>
        <w:t xml:space="preserve">) sú uvedené napr. </w:t>
      </w:r>
      <w:r>
        <w:rPr>
          <w:rFonts w:ascii="Arial Narrow" w:hAnsi="Arial Narrow"/>
          <w:sz w:val="16"/>
          <w:szCs w:val="16"/>
        </w:rPr>
        <w:t xml:space="preserve">v publikácii </w:t>
      </w:r>
      <w:hyperlink r:id="rId28" w:history="1">
        <w:proofErr w:type="spellStart"/>
        <w:r w:rsidRPr="001F1004">
          <w:rPr>
            <w:rStyle w:val="Hypertextovprepojenie"/>
            <w:rFonts w:ascii="Arial Narrow" w:hAnsi="Arial Narrow"/>
            <w:color w:val="2C9ADC"/>
            <w:sz w:val="16"/>
            <w:szCs w:val="16"/>
          </w:rPr>
          <w:t>Recent</w:t>
        </w:r>
        <w:proofErr w:type="spellEnd"/>
        <w:r w:rsidRPr="001F1004">
          <w:rPr>
            <w:rStyle w:val="Hypertextovprepojenie"/>
            <w:rFonts w:ascii="Arial Narrow" w:hAnsi="Arial Narrow"/>
            <w:color w:val="2C9ADC"/>
            <w:sz w:val="16"/>
            <w:szCs w:val="16"/>
          </w:rPr>
          <w:t xml:space="preserve"> </w:t>
        </w:r>
        <w:proofErr w:type="spellStart"/>
        <w:r w:rsidRPr="001F1004">
          <w:rPr>
            <w:rStyle w:val="Hypertextovprepojenie"/>
            <w:rFonts w:ascii="Arial Narrow" w:hAnsi="Arial Narrow"/>
            <w:color w:val="2C9ADC"/>
            <w:sz w:val="16"/>
            <w:szCs w:val="16"/>
          </w:rPr>
          <w:t>changes</w:t>
        </w:r>
        <w:proofErr w:type="spellEnd"/>
        <w:r w:rsidRPr="001F1004">
          <w:rPr>
            <w:rStyle w:val="Hypertextovprepojenie"/>
            <w:rFonts w:ascii="Arial Narrow" w:hAnsi="Arial Narrow"/>
            <w:color w:val="2C9ADC"/>
            <w:sz w:val="16"/>
            <w:szCs w:val="16"/>
          </w:rPr>
          <w:t xml:space="preserve"> in </w:t>
        </w:r>
        <w:proofErr w:type="spellStart"/>
        <w:r w:rsidRPr="001F1004">
          <w:rPr>
            <w:rStyle w:val="Hypertextovprepojenie"/>
            <w:rFonts w:ascii="Arial Narrow" w:hAnsi="Arial Narrow"/>
            <w:color w:val="2C9ADC"/>
            <w:sz w:val="16"/>
            <w:szCs w:val="16"/>
          </w:rPr>
          <w:t>housing</w:t>
        </w:r>
        <w:proofErr w:type="spellEnd"/>
        <w:r w:rsidRPr="001F1004">
          <w:rPr>
            <w:rStyle w:val="Hypertextovprepojenie"/>
            <w:rFonts w:ascii="Arial Narrow" w:hAnsi="Arial Narrow"/>
            <w:color w:val="2C9ADC"/>
            <w:sz w:val="16"/>
            <w:szCs w:val="16"/>
          </w:rPr>
          <w:t xml:space="preserve"> </w:t>
        </w:r>
        <w:proofErr w:type="spellStart"/>
        <w:r w:rsidRPr="001F1004">
          <w:rPr>
            <w:rStyle w:val="Hypertextovprepojenie"/>
            <w:rFonts w:ascii="Arial Narrow" w:hAnsi="Arial Narrow"/>
            <w:color w:val="2C9ADC"/>
            <w:sz w:val="16"/>
            <w:szCs w:val="16"/>
          </w:rPr>
          <w:t>policies</w:t>
        </w:r>
        <w:proofErr w:type="spellEnd"/>
        <w:r w:rsidRPr="001F1004">
          <w:rPr>
            <w:rStyle w:val="Hypertextovprepojenie"/>
            <w:rFonts w:ascii="Arial Narrow" w:hAnsi="Arial Narrow"/>
            <w:color w:val="2C9ADC"/>
            <w:sz w:val="16"/>
            <w:szCs w:val="16"/>
          </w:rPr>
          <w:t xml:space="preserve"> and </w:t>
        </w:r>
        <w:proofErr w:type="spellStart"/>
        <w:r w:rsidRPr="001F1004">
          <w:rPr>
            <w:rStyle w:val="Hypertextovprepojenie"/>
            <w:rFonts w:ascii="Arial Narrow" w:hAnsi="Arial Narrow"/>
            <w:color w:val="2C9ADC"/>
            <w:sz w:val="16"/>
            <w:szCs w:val="16"/>
          </w:rPr>
          <w:t>their</w:t>
        </w:r>
        <w:proofErr w:type="spellEnd"/>
        <w:r w:rsidRPr="001F1004">
          <w:rPr>
            <w:rStyle w:val="Hypertextovprepojenie"/>
            <w:rFonts w:ascii="Arial Narrow" w:hAnsi="Arial Narrow"/>
            <w:color w:val="2C9ADC"/>
            <w:sz w:val="16"/>
            <w:szCs w:val="16"/>
          </w:rPr>
          <w:t xml:space="preserve"> </w:t>
        </w:r>
        <w:proofErr w:type="spellStart"/>
        <w:r w:rsidRPr="001F1004">
          <w:rPr>
            <w:rStyle w:val="Hypertextovprepojenie"/>
            <w:rFonts w:ascii="Arial Narrow" w:hAnsi="Arial Narrow"/>
            <w:color w:val="2C9ADC"/>
            <w:sz w:val="16"/>
            <w:szCs w:val="16"/>
          </w:rPr>
          <w:t>distributional</w:t>
        </w:r>
        <w:proofErr w:type="spellEnd"/>
        <w:r w:rsidRPr="001F1004">
          <w:rPr>
            <w:rStyle w:val="Hypertextovprepojenie"/>
            <w:rFonts w:ascii="Arial Narrow" w:hAnsi="Arial Narrow"/>
            <w:color w:val="2C9ADC"/>
            <w:sz w:val="16"/>
            <w:szCs w:val="16"/>
          </w:rPr>
          <w:t xml:space="preserve"> </w:t>
        </w:r>
        <w:proofErr w:type="spellStart"/>
        <w:r w:rsidRPr="001F1004">
          <w:rPr>
            <w:rStyle w:val="Hypertextovprepojenie"/>
            <w:rFonts w:ascii="Arial Narrow" w:hAnsi="Arial Narrow"/>
            <w:color w:val="2C9ADC"/>
            <w:sz w:val="16"/>
            <w:szCs w:val="16"/>
          </w:rPr>
          <w:t>impact</w:t>
        </w:r>
        <w:proofErr w:type="spellEnd"/>
        <w:r w:rsidRPr="001F1004">
          <w:rPr>
            <w:rStyle w:val="Hypertextovprepojenie"/>
            <w:rFonts w:ascii="Arial Narrow" w:hAnsi="Arial Narrow"/>
            <w:color w:val="2C9ADC"/>
            <w:sz w:val="16"/>
            <w:szCs w:val="16"/>
          </w:rPr>
          <w:t xml:space="preserve"> </w:t>
        </w:r>
        <w:proofErr w:type="spellStart"/>
        <w:r w:rsidRPr="001F1004">
          <w:rPr>
            <w:rStyle w:val="Hypertextovprepojenie"/>
            <w:rFonts w:ascii="Arial Narrow" w:hAnsi="Arial Narrow"/>
            <w:color w:val="2C9ADC"/>
            <w:sz w:val="16"/>
            <w:szCs w:val="16"/>
          </w:rPr>
          <w:t>across</w:t>
        </w:r>
        <w:proofErr w:type="spellEnd"/>
        <w:r w:rsidRPr="001F1004">
          <w:rPr>
            <w:rStyle w:val="Hypertextovprepojenie"/>
            <w:rFonts w:ascii="Arial Narrow" w:hAnsi="Arial Narrow"/>
            <w:color w:val="2C9ADC"/>
            <w:sz w:val="16"/>
            <w:szCs w:val="16"/>
          </w:rPr>
          <w:t xml:space="preserve"> </w:t>
        </w:r>
        <w:proofErr w:type="spellStart"/>
        <w:r w:rsidRPr="001F1004">
          <w:rPr>
            <w:rStyle w:val="Hypertextovprepojenie"/>
            <w:rFonts w:ascii="Arial Narrow" w:hAnsi="Arial Narrow"/>
            <w:color w:val="2C9ADC"/>
            <w:sz w:val="16"/>
            <w:szCs w:val="16"/>
          </w:rPr>
          <w:t>Europe</w:t>
        </w:r>
        <w:proofErr w:type="spellEnd"/>
      </w:hyperlink>
      <w:r>
        <w:rPr>
          <w:rFonts w:ascii="Arial Narrow" w:hAnsi="Arial Narrow"/>
          <w:sz w:val="16"/>
          <w:szCs w:val="16"/>
        </w:rPr>
        <w:t>.</w:t>
      </w:r>
    </w:p>
  </w:footnote>
  <w:footnote w:id="90">
    <w:p w14:paraId="152C9D55" w14:textId="77777777" w:rsidR="00EE676F" w:rsidRPr="005B2BB7" w:rsidRDefault="00EE676F" w:rsidP="00872DA0">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Napr. zákon č. 150/2013 o Štátnom fonde rozvoja bývania</w:t>
      </w:r>
      <w:r>
        <w:rPr>
          <w:rFonts w:ascii="Arial Narrow" w:hAnsi="Arial Narrow"/>
          <w:sz w:val="16"/>
          <w:szCs w:val="16"/>
        </w:rPr>
        <w:t xml:space="preserve"> v znení neskorších predpisov, </w:t>
      </w:r>
      <w:r w:rsidRPr="00C4500C">
        <w:rPr>
          <w:rFonts w:ascii="Arial Narrow" w:hAnsi="Arial Narrow"/>
          <w:sz w:val="16"/>
          <w:szCs w:val="16"/>
        </w:rPr>
        <w:t>vyhláška Ministerstva dopravy, výstavby a regionálneho rozvoja SR č. 284/2013 Z. z. o podrobnostiach o výške poskytovanej podpory zo ŠFRB, o všeobecných podmienkach poskytnutia podpory a o obsahu žiadosti v znení neskorších predpiso</w:t>
      </w:r>
      <w:r>
        <w:rPr>
          <w:rFonts w:ascii="Arial Narrow" w:hAnsi="Arial Narrow"/>
          <w:sz w:val="16"/>
          <w:szCs w:val="16"/>
        </w:rPr>
        <w:t>v</w:t>
      </w:r>
      <w:r w:rsidRPr="00A804AD">
        <w:rPr>
          <w:rFonts w:ascii="Arial Narrow" w:hAnsi="Arial Narrow"/>
          <w:sz w:val="16"/>
          <w:szCs w:val="16"/>
        </w:rPr>
        <w:t>, Zákon č. 443/2010 o dotáciách na rozvoj bývania a o sociálnom bývaní, vyhláška Ministerstva dopravy, výstavby a regionálneho rozvoja SR č. 326/2015 Z. z. o výške dotácie na obstaranie nájomného bytu, opatrenie Ministerstva dopravy, výstavby a regionálneho rozvoja SR č. 304/2017 Z. z., ktorým sa ustanovujú vzory žiadostí o poskytnutie dotácie na rozvoj bývania a ďalšie.</w:t>
      </w:r>
    </w:p>
  </w:footnote>
  <w:footnote w:id="91">
    <w:p w14:paraId="432F7EFA" w14:textId="77777777" w:rsidR="00EE676F" w:rsidRPr="005B2BB7" w:rsidRDefault="00EE676F" w:rsidP="00DC54F3">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Terénna sociálna práca a terénna práca v obciach s prítomnosťou MRK, Komunitné centrá v mestách a obciach s prítomnosťou MRK - I. Fáza, Podpora </w:t>
      </w:r>
      <w:proofErr w:type="spellStart"/>
      <w:r w:rsidRPr="00A804AD">
        <w:rPr>
          <w:rFonts w:ascii="Arial Narrow" w:hAnsi="Arial Narrow"/>
          <w:sz w:val="16"/>
          <w:szCs w:val="16"/>
        </w:rPr>
        <w:t>predprimárneho</w:t>
      </w:r>
      <w:proofErr w:type="spellEnd"/>
      <w:r w:rsidRPr="00A804AD">
        <w:rPr>
          <w:rFonts w:ascii="Arial Narrow" w:hAnsi="Arial Narrow"/>
          <w:sz w:val="16"/>
          <w:szCs w:val="16"/>
        </w:rPr>
        <w:t xml:space="preserve"> vzdelávania detí z marginalizovaných rómskych komunít I., Podpora </w:t>
      </w:r>
      <w:proofErr w:type="spellStart"/>
      <w:r w:rsidRPr="00A804AD">
        <w:rPr>
          <w:rFonts w:ascii="Arial Narrow" w:hAnsi="Arial Narrow"/>
          <w:sz w:val="16"/>
          <w:szCs w:val="16"/>
        </w:rPr>
        <w:t>vysporiadavania</w:t>
      </w:r>
      <w:proofErr w:type="spellEnd"/>
      <w:r w:rsidRPr="00A804AD">
        <w:rPr>
          <w:rFonts w:ascii="Arial Narrow" w:hAnsi="Arial Narrow"/>
          <w:sz w:val="16"/>
          <w:szCs w:val="16"/>
        </w:rPr>
        <w:t xml:space="preserve"> pozemkov v mar</w:t>
      </w:r>
      <w:r w:rsidRPr="00752B46">
        <w:rPr>
          <w:rFonts w:ascii="Arial Narrow" w:hAnsi="Arial Narrow"/>
          <w:sz w:val="16"/>
          <w:szCs w:val="16"/>
        </w:rPr>
        <w:t xml:space="preserve">ginalizovaných rómskych komunitách) a Národný projekt Monitorovanie a hodnotenie </w:t>
      </w:r>
      <w:proofErr w:type="spellStart"/>
      <w:r w:rsidRPr="00752B46">
        <w:rPr>
          <w:rFonts w:ascii="Arial Narrow" w:hAnsi="Arial Narrow"/>
          <w:sz w:val="16"/>
          <w:szCs w:val="16"/>
        </w:rPr>
        <w:t>inkluzívnych</w:t>
      </w:r>
      <w:proofErr w:type="spellEnd"/>
      <w:r w:rsidRPr="00752B46">
        <w:rPr>
          <w:rFonts w:ascii="Arial Narrow" w:hAnsi="Arial Narrow"/>
          <w:sz w:val="16"/>
          <w:szCs w:val="16"/>
        </w:rPr>
        <w:t xml:space="preserve"> politík a ich dopad na marginalizované rómske komunity, ktorý podporuje v rámci OP ĽZ komplexné monitorovanie a hodnotenie </w:t>
      </w:r>
      <w:proofErr w:type="spellStart"/>
      <w:r w:rsidRPr="00752B46">
        <w:rPr>
          <w:rFonts w:ascii="Arial Narrow" w:hAnsi="Arial Narrow"/>
          <w:sz w:val="16"/>
          <w:szCs w:val="16"/>
        </w:rPr>
        <w:t>inkluzívnych</w:t>
      </w:r>
      <w:proofErr w:type="spellEnd"/>
      <w:r w:rsidRPr="00752B46">
        <w:rPr>
          <w:rFonts w:ascii="Arial Narrow" w:hAnsi="Arial Narrow"/>
          <w:sz w:val="16"/>
          <w:szCs w:val="16"/>
        </w:rPr>
        <w:t xml:space="preserve"> politík a vyhodnotenie ich dopadu na marginalizované rómske komunity</w:t>
      </w:r>
    </w:p>
  </w:footnote>
  <w:footnote w:id="92">
    <w:p w14:paraId="1027189C" w14:textId="77777777" w:rsidR="00EE676F" w:rsidRPr="00642B43" w:rsidRDefault="005952C3" w:rsidP="00F856B9">
      <w:pPr>
        <w:pStyle w:val="Textpoznmkypodiarou"/>
        <w:rPr>
          <w:rFonts w:ascii="Arial Narrow" w:hAnsi="Arial Narrow"/>
          <w:color w:val="2C9ADC"/>
          <w:sz w:val="16"/>
          <w:szCs w:val="16"/>
        </w:rPr>
      </w:pPr>
      <w:hyperlink r:id="rId29" w:history="1">
        <w:r w:rsidR="00EE676F" w:rsidRPr="00642B43">
          <w:rPr>
            <w:rStyle w:val="Hypertextovprepojenie"/>
            <w:rFonts w:ascii="Arial Narrow" w:hAnsi="Arial Narrow"/>
            <w:color w:val="000000" w:themeColor="text1"/>
            <w:sz w:val="16"/>
            <w:szCs w:val="16"/>
            <w:u w:val="none"/>
            <w:vertAlign w:val="superscript"/>
          </w:rPr>
          <w:footnoteRef/>
        </w:r>
        <w:r w:rsidR="00EE676F" w:rsidRPr="00642B43">
          <w:rPr>
            <w:rStyle w:val="Hypertextovprepojenie"/>
            <w:rFonts w:ascii="Arial Narrow" w:hAnsi="Arial Narrow"/>
            <w:color w:val="000000" w:themeColor="text1"/>
            <w:sz w:val="16"/>
            <w:szCs w:val="16"/>
            <w:u w:val="none"/>
          </w:rPr>
          <w:t xml:space="preserve"> </w:t>
        </w:r>
        <w:r w:rsidR="00EE676F" w:rsidRPr="00642B43">
          <w:rPr>
            <w:rStyle w:val="Hypertextovprepojenie"/>
            <w:rFonts w:ascii="Arial Narrow" w:hAnsi="Arial Narrow" w:cs="Arial"/>
            <w:color w:val="2C9ADC"/>
            <w:sz w:val="16"/>
            <w:szCs w:val="16"/>
          </w:rPr>
          <w:t>Implementačný plán zdravotníctvo (november 2018).</w:t>
        </w:r>
      </w:hyperlink>
    </w:p>
  </w:footnote>
  <w:footnote w:id="93">
    <w:p w14:paraId="46E7DFB4" w14:textId="696AD392" w:rsidR="00EE676F" w:rsidRPr="00642B43" w:rsidRDefault="00EE676F" w:rsidP="00FA52E1">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Pr>
          <w:rFonts w:ascii="Arial Narrow" w:hAnsi="Arial Narrow"/>
          <w:sz w:val="16"/>
          <w:szCs w:val="16"/>
        </w:rPr>
        <w:t xml:space="preserve"> </w:t>
      </w:r>
      <w:r w:rsidRPr="00CC6E4A">
        <w:rPr>
          <w:rFonts w:ascii="Arial Narrow" w:hAnsi="Arial Narrow"/>
          <w:b/>
          <w:i/>
          <w:sz w:val="16"/>
          <w:szCs w:val="16"/>
        </w:rPr>
        <w:t>Celková miera odvrátiteľnej úmrtnosti</w:t>
      </w:r>
      <w:r w:rsidRPr="00642B43">
        <w:rPr>
          <w:rFonts w:ascii="Arial Narrow" w:hAnsi="Arial Narrow"/>
          <w:sz w:val="16"/>
          <w:szCs w:val="16"/>
        </w:rPr>
        <w:t xml:space="preserve"> sa </w:t>
      </w:r>
      <w:r>
        <w:rPr>
          <w:rFonts w:ascii="Arial Narrow" w:hAnsi="Arial Narrow"/>
          <w:sz w:val="16"/>
          <w:szCs w:val="16"/>
        </w:rPr>
        <w:t xml:space="preserve"> skladá </w:t>
      </w:r>
      <w:r w:rsidRPr="00642B43">
        <w:rPr>
          <w:rFonts w:ascii="Arial Narrow" w:hAnsi="Arial Narrow"/>
          <w:sz w:val="16"/>
          <w:szCs w:val="16"/>
        </w:rPr>
        <w:t xml:space="preserve">z dvoch indikátorov. Prvý indikátor </w:t>
      </w:r>
      <w:r w:rsidRPr="00642B43">
        <w:rPr>
          <w:rFonts w:ascii="Arial Narrow" w:hAnsi="Arial Narrow"/>
          <w:b/>
          <w:i/>
          <w:sz w:val="16"/>
          <w:szCs w:val="16"/>
        </w:rPr>
        <w:t>Miera</w:t>
      </w:r>
      <w:r>
        <w:rPr>
          <w:rFonts w:ascii="Arial Narrow" w:hAnsi="Arial Narrow"/>
          <w:b/>
          <w:i/>
          <w:sz w:val="16"/>
          <w:szCs w:val="16"/>
        </w:rPr>
        <w:t xml:space="preserve"> úmrtnosti odvrátiteľnej zdravotnou starostlivosťou alebo inými slovami miera </w:t>
      </w:r>
      <w:r w:rsidRPr="00642B43">
        <w:rPr>
          <w:rFonts w:ascii="Arial Narrow" w:hAnsi="Arial Narrow"/>
          <w:b/>
          <w:i/>
          <w:sz w:val="16"/>
          <w:szCs w:val="16"/>
        </w:rPr>
        <w:t>liečiteľnej úmrtnosti</w:t>
      </w:r>
      <w:r w:rsidRPr="00642B43">
        <w:rPr>
          <w:rFonts w:ascii="Arial Narrow" w:hAnsi="Arial Narrow"/>
          <w:sz w:val="16"/>
          <w:szCs w:val="16"/>
        </w:rPr>
        <w:t xml:space="preserve"> (prezentovaný vyššie) zahŕňa úmrtia, ktoré je možné odvrátiť včasnou a efektívnou diagnostikou či adekvátnym zásahom zdravotnej starostlivosti a liečbou. Okrem liečiteľných úmrtí sa používa aj indikátor </w:t>
      </w:r>
      <w:proofErr w:type="spellStart"/>
      <w:r w:rsidRPr="00642B43">
        <w:rPr>
          <w:rFonts w:ascii="Arial Narrow" w:hAnsi="Arial Narrow"/>
          <w:b/>
          <w:i/>
          <w:sz w:val="16"/>
          <w:szCs w:val="16"/>
        </w:rPr>
        <w:t>Predchádzateľná</w:t>
      </w:r>
      <w:proofErr w:type="spellEnd"/>
      <w:r w:rsidRPr="00642B43">
        <w:rPr>
          <w:rFonts w:ascii="Arial Narrow" w:hAnsi="Arial Narrow"/>
          <w:b/>
          <w:i/>
          <w:sz w:val="16"/>
          <w:szCs w:val="16"/>
        </w:rPr>
        <w:t xml:space="preserve"> úmrtnosť</w:t>
      </w:r>
      <w:r w:rsidRPr="00642B43">
        <w:rPr>
          <w:rFonts w:ascii="Arial Narrow" w:hAnsi="Arial Narrow"/>
          <w:sz w:val="16"/>
          <w:szCs w:val="16"/>
        </w:rPr>
        <w:t xml:space="preserve">. Tá sa dá zlepšiť pomocou opatrení zameraných na prevenciu ochorení (napr. podpora zdravého životného štýlu) . </w:t>
      </w:r>
    </w:p>
  </w:footnote>
  <w:footnote w:id="94">
    <w:p w14:paraId="487DDDB9" w14:textId="77777777" w:rsidR="00EE676F" w:rsidRPr="005B2BB7" w:rsidRDefault="00EE676F" w:rsidP="00FA52E1">
      <w:pPr>
        <w:pStyle w:val="Default"/>
        <w:jc w:val="both"/>
        <w:rPr>
          <w:rFonts w:ascii="Arial Narrow" w:hAnsi="Arial Narrow"/>
          <w:sz w:val="16"/>
          <w:szCs w:val="16"/>
        </w:rPr>
      </w:pPr>
      <w:r w:rsidRPr="00642B43">
        <w:rPr>
          <w:rStyle w:val="Odkaznapoznmkupodiarou"/>
          <w:rFonts w:ascii="Arial Narrow" w:eastAsiaTheme="minorHAnsi" w:hAnsi="Arial Narrow" w:cstheme="minorBidi"/>
          <w:color w:val="auto"/>
          <w:sz w:val="16"/>
          <w:szCs w:val="16"/>
          <w:lang w:eastAsia="en-US"/>
        </w:rPr>
        <w:footnoteRef/>
      </w:r>
      <w:r w:rsidRPr="005B2BB7">
        <w:rPr>
          <w:rStyle w:val="Odkaznapoznmkupodiarou"/>
          <w:rFonts w:ascii="Arial Narrow" w:eastAsiaTheme="minorHAnsi" w:hAnsi="Arial Narrow" w:cstheme="minorBidi"/>
          <w:color w:val="auto"/>
          <w:sz w:val="16"/>
          <w:szCs w:val="16"/>
          <w:lang w:eastAsia="en-US"/>
        </w:rPr>
        <w:t xml:space="preserve"> </w:t>
      </w:r>
      <w:r w:rsidRPr="00642B43">
        <w:rPr>
          <w:rFonts w:ascii="Arial Narrow" w:hAnsi="Arial Narrow" w:cs="NeueHaasGroteskText W02"/>
          <w:sz w:val="16"/>
          <w:szCs w:val="16"/>
        </w:rPr>
        <w:t>Výsledok s</w:t>
      </w:r>
      <w:r w:rsidRPr="00A804AD">
        <w:rPr>
          <w:rFonts w:ascii="Arial Narrow" w:hAnsi="Arial Narrow" w:cs="NeueHaasGroteskText W02"/>
          <w:sz w:val="16"/>
          <w:szCs w:val="16"/>
        </w:rPr>
        <w:t xml:space="preserve">a nesústredí na celú rómsku populáciu, ale len na Rómov z obcí, kde je aspoň jedno koncentrované osídlenie. Identifikovaná populácia predstavuje vyše 80 % z rómskej populácie podľa Atlasu rómskych komunít 2013 a približne 6 % z celkovej populácie Slovenska. Z toho približne 71 % tvorí rómska populácia z obcí s koncentrovanými osídleniami. </w:t>
      </w:r>
      <w:r w:rsidRPr="00752B46">
        <w:rPr>
          <w:rFonts w:ascii="Arial Narrow" w:hAnsi="Arial Narrow" w:cs="NeueHaasGroteskText W02"/>
          <w:sz w:val="16"/>
          <w:szCs w:val="16"/>
        </w:rPr>
        <w:t xml:space="preserve">Podľa komentára IFP </w:t>
      </w:r>
      <w:hyperlink r:id="rId30" w:history="1">
        <w:r w:rsidRPr="00642B43">
          <w:rPr>
            <w:rStyle w:val="Hypertextovprepojenie"/>
            <w:rFonts w:ascii="Arial Narrow" w:eastAsiaTheme="minorHAnsi" w:hAnsi="Arial Narrow" w:cstheme="minorBidi"/>
            <w:color w:val="2C9ADC"/>
            <w:sz w:val="16"/>
            <w:szCs w:val="16"/>
            <w:lang w:eastAsia="en-US"/>
          </w:rPr>
          <w:t>Inklúzia Rómov je potrebná aj v zdravotníctve</w:t>
        </w:r>
      </w:hyperlink>
      <w:r w:rsidRPr="00642B43">
        <w:rPr>
          <w:rFonts w:ascii="Arial Narrow" w:hAnsi="Arial Narrow" w:cs="NeueHaasGroteskText W02"/>
          <w:sz w:val="16"/>
          <w:szCs w:val="16"/>
        </w:rPr>
        <w:t>.</w:t>
      </w:r>
    </w:p>
  </w:footnote>
  <w:footnote w:id="95">
    <w:p w14:paraId="1FAFDA2D" w14:textId="4F8D5031" w:rsidR="00EE676F" w:rsidRPr="00752B46" w:rsidRDefault="00EE676F" w:rsidP="00FA52E1">
      <w:pPr>
        <w:pStyle w:val="Textpoznmkypodiarou"/>
        <w:jc w:val="both"/>
        <w:rPr>
          <w:rFonts w:ascii="Arial Narrow" w:hAnsi="Arial Narrow"/>
          <w:sz w:val="16"/>
          <w:szCs w:val="16"/>
        </w:rPr>
      </w:pPr>
      <w:r w:rsidRPr="00642B43">
        <w:rPr>
          <w:rFonts w:ascii="Arial Narrow" w:hAnsi="Arial Narrow"/>
          <w:sz w:val="16"/>
          <w:szCs w:val="16"/>
          <w:vertAlign w:val="superscript"/>
        </w:rPr>
        <w:footnoteRef/>
      </w:r>
      <w:r w:rsidRPr="00A804AD">
        <w:rPr>
          <w:rFonts w:ascii="Arial Narrow" w:hAnsi="Arial Narrow"/>
          <w:sz w:val="16"/>
          <w:szCs w:val="16"/>
          <w:vertAlign w:val="superscript"/>
        </w:rPr>
        <w:t xml:space="preserve"> </w:t>
      </w:r>
      <w:r w:rsidRPr="00A804AD">
        <w:rPr>
          <w:rFonts w:ascii="Arial Narrow" w:hAnsi="Arial Narrow"/>
          <w:sz w:val="16"/>
          <w:szCs w:val="16"/>
        </w:rPr>
        <w:t xml:space="preserve">Odchýlka od priemeru je vysvetlená najmä nepozorovanými faktormi špecifickými pre Slovensko, medzi ktoré </w:t>
      </w:r>
      <w:r>
        <w:rPr>
          <w:rFonts w:ascii="Arial Narrow" w:hAnsi="Arial Narrow"/>
          <w:sz w:val="16"/>
          <w:szCs w:val="16"/>
        </w:rPr>
        <w:t xml:space="preserve">môže patriť napr. kvalita inštitúcií, </w:t>
      </w:r>
      <w:r w:rsidRPr="00A804AD">
        <w:rPr>
          <w:rFonts w:ascii="Arial Narrow" w:hAnsi="Arial Narrow"/>
          <w:sz w:val="16"/>
          <w:szCs w:val="16"/>
        </w:rPr>
        <w:t>či životný štýl</w:t>
      </w:r>
      <w:r w:rsidRPr="00752B46">
        <w:rPr>
          <w:rFonts w:ascii="Arial Narrow" w:hAnsi="Arial Narrow"/>
          <w:sz w:val="16"/>
          <w:szCs w:val="16"/>
        </w:rPr>
        <w:t>.</w:t>
      </w:r>
    </w:p>
  </w:footnote>
  <w:footnote w:id="96">
    <w:p w14:paraId="3851AD44" w14:textId="38EB0899" w:rsidR="00EE676F" w:rsidRPr="005B2BB7" w:rsidRDefault="00EE676F" w:rsidP="00F856B9">
      <w:pPr>
        <w:pStyle w:val="Textpoznmkypodiarou"/>
        <w:jc w:val="both"/>
        <w:rPr>
          <w:rFonts w:ascii="Arial Narrow" w:hAnsi="Arial Narrow"/>
          <w:sz w:val="16"/>
          <w:szCs w:val="16"/>
        </w:rPr>
      </w:pPr>
      <w:r w:rsidRPr="00A43547">
        <w:rPr>
          <w:rStyle w:val="Odkaznapoznmkupodiarou"/>
          <w:rFonts w:ascii="Arial Narrow" w:hAnsi="Arial Narrow"/>
          <w:sz w:val="16"/>
          <w:szCs w:val="16"/>
        </w:rPr>
        <w:footnoteRef/>
      </w:r>
      <w:r w:rsidRPr="00A43547">
        <w:rPr>
          <w:rFonts w:ascii="Arial Narrow" w:hAnsi="Arial Narrow"/>
          <w:sz w:val="16"/>
          <w:szCs w:val="16"/>
        </w:rPr>
        <w:t xml:space="preserve"> Model vychádza z analýzy IFP </w:t>
      </w:r>
      <w:hyperlink r:id="rId31" w:history="1">
        <w:r w:rsidRPr="00642B43">
          <w:rPr>
            <w:rStyle w:val="Hypertextovprepojenie"/>
            <w:rFonts w:ascii="Arial Narrow" w:hAnsi="Arial Narrow"/>
            <w:color w:val="2C9ADC"/>
            <w:sz w:val="16"/>
            <w:szCs w:val="16"/>
          </w:rPr>
          <w:t>Málo zdravia za veľa peňazí: Analýza efektívnosti slovenského zdravotníctva</w:t>
        </w:r>
      </w:hyperlink>
      <w:r w:rsidRPr="002B0601">
        <w:rPr>
          <w:rFonts w:ascii="Arial Narrow" w:hAnsi="Arial Narrow"/>
          <w:sz w:val="16"/>
          <w:szCs w:val="16"/>
        </w:rPr>
        <w:t xml:space="preserve"> z roku 2012. Tento model odhaduje implikovanú očakávanú dĺžku života pri zdrojoch, ktoré sú využité na financovanie systému v jednotlivých krajinách. Kladné hodnoty znamenajú, že krajina dosahuje v skutočnosti vyššiu očakávanú dĺžku života než akú jej </w:t>
      </w:r>
      <w:proofErr w:type="spellStart"/>
      <w:r w:rsidRPr="002B0601">
        <w:rPr>
          <w:rFonts w:ascii="Arial Narrow" w:hAnsi="Arial Narrow"/>
          <w:sz w:val="16"/>
          <w:szCs w:val="16"/>
        </w:rPr>
        <w:t>predikujú</w:t>
      </w:r>
      <w:proofErr w:type="spellEnd"/>
      <w:r w:rsidRPr="002B0601">
        <w:rPr>
          <w:rFonts w:ascii="Arial Narrow" w:hAnsi="Arial Narrow"/>
          <w:sz w:val="16"/>
          <w:szCs w:val="16"/>
        </w:rPr>
        <w:t xml:space="preserve"> zdroje, ktoré využíva na financovanie. Záporné hodnoty naopak značia nižšiu než priemernú efektivitu systému a neoptimálne využitie zdrojov. Odhad bol vytvorený na základe údajov z krajín OECD z tokov 1990</w:t>
      </w:r>
      <w:r>
        <w:rPr>
          <w:rFonts w:ascii="Arial Narrow" w:hAnsi="Arial Narrow"/>
          <w:sz w:val="16"/>
          <w:szCs w:val="16"/>
        </w:rPr>
        <w:t xml:space="preserve"> až </w:t>
      </w:r>
      <w:r w:rsidRPr="002B0601">
        <w:rPr>
          <w:rFonts w:ascii="Arial Narrow" w:hAnsi="Arial Narrow"/>
          <w:sz w:val="16"/>
          <w:szCs w:val="16"/>
        </w:rPr>
        <w:t xml:space="preserve">2017 (alebo najbližší dostupný údaj). Do modelu boli zahrnuté vysvetľujúce premenné z  uvedenej štúdie a kontrolné premenné za jednotlivé krajiny a roky. </w:t>
      </w:r>
    </w:p>
  </w:footnote>
  <w:footnote w:id="97">
    <w:p w14:paraId="6FCE05F0" w14:textId="4B5AFA2E" w:rsidR="00EE676F" w:rsidRPr="00353146" w:rsidRDefault="00EE676F">
      <w:pPr>
        <w:pStyle w:val="Textpoznmkypodiarou"/>
        <w:rPr>
          <w:rFonts w:ascii="Arial Narrow" w:hAnsi="Arial Narrow"/>
          <w:sz w:val="16"/>
          <w:szCs w:val="16"/>
        </w:rPr>
      </w:pPr>
      <w:r w:rsidRPr="00353146">
        <w:rPr>
          <w:rStyle w:val="Odkaznapoznmkupodiarou"/>
          <w:rFonts w:ascii="Arial Narrow" w:hAnsi="Arial Narrow"/>
          <w:sz w:val="16"/>
          <w:szCs w:val="16"/>
        </w:rPr>
        <w:footnoteRef/>
      </w:r>
      <w:r w:rsidRPr="00353146">
        <w:rPr>
          <w:rFonts w:ascii="Arial Narrow" w:hAnsi="Arial Narrow"/>
          <w:sz w:val="16"/>
          <w:szCs w:val="16"/>
        </w:rPr>
        <w:t xml:space="preserve"> 113 mil. eur predstavuje hodnotu záväzkov všetkých nemocníc zapojených do oddlženia, nie iba </w:t>
      </w:r>
      <w:r>
        <w:rPr>
          <w:rFonts w:ascii="Arial Narrow" w:hAnsi="Arial Narrow"/>
          <w:sz w:val="16"/>
          <w:szCs w:val="16"/>
        </w:rPr>
        <w:t>fakultných a univerzitných nemocníc</w:t>
      </w:r>
      <w:r w:rsidRPr="00353146">
        <w:rPr>
          <w:rFonts w:ascii="Arial Narrow" w:hAnsi="Arial Narrow"/>
          <w:sz w:val="16"/>
          <w:szCs w:val="16"/>
        </w:rPr>
        <w:t>.</w:t>
      </w:r>
    </w:p>
  </w:footnote>
  <w:footnote w:id="98">
    <w:p w14:paraId="38CC9391" w14:textId="35E83D85" w:rsidR="00EE676F" w:rsidRPr="005B2BB7" w:rsidRDefault="00EE676F">
      <w:pPr>
        <w:pStyle w:val="Textpoznmkypodiarou"/>
        <w:rPr>
          <w:rFonts w:ascii="Arial Narrow" w:hAnsi="Arial Narrow"/>
          <w:sz w:val="16"/>
          <w:szCs w:val="16"/>
        </w:rPr>
      </w:pPr>
      <w:r w:rsidRPr="005B2BB7">
        <w:rPr>
          <w:rStyle w:val="Odkaznapoznmkupodiarou"/>
          <w:rFonts w:ascii="Arial Narrow" w:hAnsi="Arial Narrow"/>
          <w:sz w:val="16"/>
          <w:szCs w:val="16"/>
        </w:rPr>
        <w:footnoteRef/>
      </w:r>
      <w:r w:rsidRPr="005B2BB7">
        <w:rPr>
          <w:rFonts w:ascii="Arial Narrow" w:hAnsi="Arial Narrow"/>
          <w:sz w:val="16"/>
          <w:szCs w:val="16"/>
        </w:rPr>
        <w:t xml:space="preserve"> Celková suma oddlženia vo všetkých troch etapách spolu má podľa plánu dosiahnuť 585 mil. eur. V prvej etape sa pôvodný plán 187 mil. eur nerealizoval v plnej miere. V druhej etape boli doteraz uhradené záväzky voči Sociálnej poisťovni vo výške 198 mil. eur. Prevzala ich na seba dcérska spoločnosť MZ SR „</w:t>
      </w:r>
      <w:proofErr w:type="spellStart"/>
      <w:r w:rsidRPr="005B2BB7">
        <w:rPr>
          <w:rFonts w:ascii="Arial Narrow" w:hAnsi="Arial Narrow"/>
          <w:sz w:val="16"/>
          <w:szCs w:val="16"/>
        </w:rPr>
        <w:t>Debitum</w:t>
      </w:r>
      <w:proofErr w:type="spellEnd"/>
      <w:r w:rsidRPr="005B2BB7">
        <w:rPr>
          <w:rFonts w:ascii="Arial Narrow" w:hAnsi="Arial Narrow"/>
          <w:sz w:val="16"/>
          <w:szCs w:val="16"/>
        </w:rPr>
        <w:t>“ a v súčasnosti pripravuje dohody o </w:t>
      </w:r>
      <w:proofErr w:type="spellStart"/>
      <w:r w:rsidRPr="005B2BB7">
        <w:rPr>
          <w:rFonts w:ascii="Arial Narrow" w:hAnsi="Arial Narrow"/>
          <w:sz w:val="16"/>
          <w:szCs w:val="16"/>
        </w:rPr>
        <w:t>novácii</w:t>
      </w:r>
      <w:proofErr w:type="spellEnd"/>
      <w:r w:rsidRPr="005B2BB7">
        <w:rPr>
          <w:rFonts w:ascii="Arial Narrow" w:hAnsi="Arial Narrow"/>
          <w:sz w:val="16"/>
          <w:szCs w:val="16"/>
        </w:rPr>
        <w:t xml:space="preserve"> záväzkov s jednotlivými nemocnicami.</w:t>
      </w:r>
    </w:p>
  </w:footnote>
  <w:footnote w:id="99">
    <w:p w14:paraId="3070D708" w14:textId="00472E68" w:rsidR="00EE676F" w:rsidRPr="007922AD" w:rsidRDefault="00EE676F" w:rsidP="00C24690">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Celé porovnanie sa týka súdov prvého stupňa. </w:t>
      </w:r>
      <w:r w:rsidRPr="00752B46">
        <w:rPr>
          <w:rFonts w:ascii="Arial Narrow" w:hAnsi="Arial Narrow"/>
          <w:sz w:val="16"/>
          <w:szCs w:val="16"/>
        </w:rPr>
        <w:t xml:space="preserve">Zmena metodiky vo vykazovaní voči CEPEJ </w:t>
      </w:r>
      <w:proofErr w:type="spellStart"/>
      <w:r w:rsidRPr="00752B46">
        <w:rPr>
          <w:rFonts w:ascii="Arial Narrow" w:hAnsi="Arial Narrow"/>
          <w:sz w:val="16"/>
          <w:szCs w:val="16"/>
        </w:rPr>
        <w:t>scoreboard</w:t>
      </w:r>
      <w:proofErr w:type="spellEnd"/>
      <w:r w:rsidRPr="00752B46">
        <w:rPr>
          <w:rFonts w:ascii="Arial Narrow" w:hAnsi="Arial Narrow"/>
          <w:sz w:val="16"/>
          <w:szCs w:val="16"/>
        </w:rPr>
        <w:t xml:space="preserve">: V roku 2017 </w:t>
      </w:r>
      <w:r w:rsidRPr="00A43547">
        <w:rPr>
          <w:rFonts w:ascii="Arial Narrow" w:hAnsi="Arial Narrow"/>
          <w:sz w:val="16"/>
          <w:szCs w:val="16"/>
        </w:rPr>
        <w:t xml:space="preserve">sa za rok 2016 poskytli po prvýkrát dáta pre potreby </w:t>
      </w:r>
      <w:proofErr w:type="spellStart"/>
      <w:r w:rsidRPr="00A43547">
        <w:rPr>
          <w:rFonts w:ascii="Arial Narrow" w:hAnsi="Arial Narrow"/>
          <w:sz w:val="16"/>
          <w:szCs w:val="16"/>
        </w:rPr>
        <w:t>sco</w:t>
      </w:r>
      <w:r>
        <w:rPr>
          <w:rFonts w:ascii="Arial Narrow" w:hAnsi="Arial Narrow"/>
          <w:sz w:val="16"/>
          <w:szCs w:val="16"/>
        </w:rPr>
        <w:t>reboard</w:t>
      </w:r>
      <w:proofErr w:type="spellEnd"/>
      <w:r>
        <w:rPr>
          <w:rFonts w:ascii="Arial Narrow" w:hAnsi="Arial Narrow"/>
          <w:sz w:val="16"/>
          <w:szCs w:val="16"/>
        </w:rPr>
        <w:t xml:space="preserve"> (CEPEJ) v štruktúre vecí</w:t>
      </w:r>
      <w:r w:rsidRPr="00A43547">
        <w:rPr>
          <w:rFonts w:ascii="Arial Narrow" w:hAnsi="Arial Narrow"/>
          <w:sz w:val="16"/>
          <w:szCs w:val="16"/>
        </w:rPr>
        <w:t xml:space="preserve"> rozhodnutých a nerozhodnutých a nie v štruktúre vecí vybavených a nevybavených, ako tomu bolo v predošlých obdobiach. Uvedené bolo možné urobiť preto, že z dôvodu auditu realizovaného organizáciou CEPEJ za oblasť súdnictva v roku 2017 a pokračovaním do dnes, sa urobil jednorazový </w:t>
      </w:r>
      <w:proofErr w:type="spellStart"/>
      <w:r w:rsidRPr="00A43547">
        <w:rPr>
          <w:rFonts w:ascii="Arial Narrow" w:hAnsi="Arial Narrow"/>
          <w:sz w:val="16"/>
          <w:szCs w:val="16"/>
        </w:rPr>
        <w:t>dozber</w:t>
      </w:r>
      <w:proofErr w:type="spellEnd"/>
      <w:r w:rsidRPr="00A43547">
        <w:rPr>
          <w:rFonts w:ascii="Arial Narrow" w:hAnsi="Arial Narrow"/>
          <w:sz w:val="16"/>
          <w:szCs w:val="16"/>
        </w:rPr>
        <w:t xml:space="preserve"> nerozhodnutých vecí a od roku 2017 sa zber nerozhodnutých vecí zaviedol ako povinný. Zjednotením metodiky s porovnávanými štátmi použitím rozhodnutých namiesto vybavených vecí sa ukazovatele efektivity súdnictva výrazne zlepšili. Rovnako ak CEPEJ udával </w:t>
      </w:r>
      <w:proofErr w:type="spellStart"/>
      <w:r w:rsidRPr="00A43547">
        <w:rPr>
          <w:rFonts w:ascii="Arial Narrow" w:hAnsi="Arial Narrow"/>
          <w:sz w:val="16"/>
          <w:szCs w:val="16"/>
        </w:rPr>
        <w:t>dispostion</w:t>
      </w:r>
      <w:proofErr w:type="spellEnd"/>
      <w:r w:rsidRPr="00A43547">
        <w:rPr>
          <w:rFonts w:ascii="Arial Narrow" w:hAnsi="Arial Narrow"/>
          <w:sz w:val="16"/>
          <w:szCs w:val="16"/>
        </w:rPr>
        <w:t xml:space="preserve"> </w:t>
      </w:r>
      <w:proofErr w:type="spellStart"/>
      <w:r w:rsidRPr="00A43547">
        <w:rPr>
          <w:rFonts w:ascii="Arial Narrow" w:hAnsi="Arial Narrow"/>
          <w:sz w:val="16"/>
          <w:szCs w:val="16"/>
        </w:rPr>
        <w:t>time</w:t>
      </w:r>
      <w:proofErr w:type="spellEnd"/>
      <w:r w:rsidRPr="00A43547">
        <w:rPr>
          <w:rFonts w:ascii="Arial Narrow" w:hAnsi="Arial Narrow"/>
          <w:sz w:val="16"/>
          <w:szCs w:val="16"/>
        </w:rPr>
        <w:t xml:space="preserve"> (DT) pred rokom 2016 </w:t>
      </w:r>
      <w:r w:rsidRPr="00F13310">
        <w:rPr>
          <w:rFonts w:ascii="Arial Narrow" w:hAnsi="Arial Narrow"/>
          <w:sz w:val="16"/>
          <w:szCs w:val="16"/>
        </w:rPr>
        <w:t>za SR, počítal ho z pomeru nevybavených vecí ku vybaveným veciam, čo je nesprávny výpočet. Nevybavených vecí na súdoch v SR je viac ako nerozhodnutých, preto DT vychádzal v rokoch pre 2016 horšie ako po 2016, kedy sa už na CEPEJ počítal z nerozhodnutých ve</w:t>
      </w:r>
      <w:r w:rsidRPr="007922AD">
        <w:rPr>
          <w:rFonts w:ascii="Arial Narrow" w:hAnsi="Arial Narrow"/>
          <w:sz w:val="16"/>
          <w:szCs w:val="16"/>
        </w:rPr>
        <w:t>cí.</w:t>
      </w:r>
    </w:p>
  </w:footnote>
  <w:footnote w:id="100">
    <w:p w14:paraId="73F612C3" w14:textId="0BF32580" w:rsidR="00EE676F" w:rsidRPr="002E0CC6" w:rsidRDefault="00EE676F" w:rsidP="00A161F2">
      <w:pPr>
        <w:pStyle w:val="Textpoznmkypodiarou"/>
        <w:jc w:val="both"/>
        <w:rPr>
          <w:rFonts w:ascii="Arial Narrow" w:hAnsi="Arial Narrow"/>
          <w:sz w:val="16"/>
          <w:szCs w:val="16"/>
        </w:rPr>
      </w:pPr>
      <w:r w:rsidRPr="00000575">
        <w:rPr>
          <w:rStyle w:val="Odkaznapoznmkupodiarou"/>
          <w:rFonts w:ascii="Arial Narrow" w:hAnsi="Arial Narrow"/>
          <w:sz w:val="16"/>
          <w:szCs w:val="16"/>
        </w:rPr>
        <w:footnoteRef/>
      </w:r>
      <w:r w:rsidRPr="00000575">
        <w:rPr>
          <w:rFonts w:ascii="Arial Narrow" w:hAnsi="Arial Narrow"/>
          <w:sz w:val="16"/>
          <w:szCs w:val="16"/>
        </w:rPr>
        <w:t xml:space="preserve"> </w:t>
      </w:r>
      <w:proofErr w:type="spellStart"/>
      <w:r w:rsidRPr="00000575">
        <w:rPr>
          <w:rFonts w:ascii="Arial Narrow" w:hAnsi="Arial Narrow"/>
          <w:sz w:val="16"/>
          <w:szCs w:val="16"/>
        </w:rPr>
        <w:t>Dispostion</w:t>
      </w:r>
      <w:proofErr w:type="spellEnd"/>
      <w:r w:rsidRPr="00000575">
        <w:rPr>
          <w:rFonts w:ascii="Arial Narrow" w:hAnsi="Arial Narrow"/>
          <w:sz w:val="16"/>
          <w:szCs w:val="16"/>
        </w:rPr>
        <w:t xml:space="preserve"> </w:t>
      </w:r>
      <w:proofErr w:type="spellStart"/>
      <w:r w:rsidRPr="00000575">
        <w:rPr>
          <w:rFonts w:ascii="Arial Narrow" w:hAnsi="Arial Narrow"/>
          <w:sz w:val="16"/>
          <w:szCs w:val="16"/>
        </w:rPr>
        <w:t>time</w:t>
      </w:r>
      <w:proofErr w:type="spellEnd"/>
      <w:r w:rsidRPr="00000575">
        <w:rPr>
          <w:rFonts w:ascii="Arial Narrow" w:hAnsi="Arial Narrow"/>
          <w:sz w:val="16"/>
          <w:szCs w:val="16"/>
        </w:rPr>
        <w:t xml:space="preserve"> – dispozičný čas, jedná sa o vypočítanú veličinu pomeru nerozhodnutých vecí na konci roka a rozhodnutých vecí v danom  roku prenásobenú počtom dní v kalendárnom roku </w:t>
      </w:r>
      <w:proofErr w:type="spellStart"/>
      <w:r w:rsidRPr="00000575">
        <w:rPr>
          <w:rFonts w:ascii="Arial Narrow" w:hAnsi="Arial Narrow"/>
          <w:sz w:val="16"/>
          <w:szCs w:val="16"/>
        </w:rPr>
        <w:t>t.j</w:t>
      </w:r>
      <w:proofErr w:type="spellEnd"/>
      <w:r w:rsidRPr="00000575">
        <w:rPr>
          <w:rFonts w:ascii="Arial Narrow" w:hAnsi="Arial Narrow"/>
          <w:sz w:val="16"/>
          <w:szCs w:val="16"/>
        </w:rPr>
        <w:t>. (nerozhodnuté veci/rozhodnuté veci)*365. Jedná sa o  odhadovaný</w:t>
      </w:r>
      <w:r>
        <w:rPr>
          <w:rFonts w:ascii="Arial Narrow" w:hAnsi="Arial Narrow"/>
          <w:sz w:val="16"/>
          <w:szCs w:val="16"/>
        </w:rPr>
        <w:t xml:space="preserve"> čas v dňoch, ktorý má </w:t>
      </w:r>
      <w:r w:rsidRPr="0003738F">
        <w:rPr>
          <w:rFonts w:ascii="Arial Narrow" w:hAnsi="Arial Narrow"/>
          <w:sz w:val="16"/>
          <w:szCs w:val="16"/>
        </w:rPr>
        <w:t xml:space="preserve">informatívny charakter a indikuje, koľko času by trvalo </w:t>
      </w:r>
      <w:proofErr w:type="spellStart"/>
      <w:r w:rsidRPr="0003738F">
        <w:rPr>
          <w:rFonts w:ascii="Arial Narrow" w:hAnsi="Arial Narrow"/>
          <w:sz w:val="16"/>
          <w:szCs w:val="16"/>
        </w:rPr>
        <w:t>dorozhodovanie</w:t>
      </w:r>
      <w:proofErr w:type="spellEnd"/>
      <w:r w:rsidRPr="0003738F">
        <w:rPr>
          <w:rFonts w:ascii="Arial Narrow" w:hAnsi="Arial Narrow"/>
          <w:sz w:val="16"/>
          <w:szCs w:val="16"/>
        </w:rPr>
        <w:t xml:space="preserve"> nerozhodnutých vecí na konci roka, ak by súd rozhodoval rovnakou výkonnosťou ako predošlý rok a zároveň by sa ničím iným (nové veci) nezapodieval.</w:t>
      </w:r>
    </w:p>
  </w:footnote>
  <w:footnote w:id="101">
    <w:p w14:paraId="423AC045" w14:textId="77777777" w:rsidR="00EE676F" w:rsidRPr="00642B43" w:rsidRDefault="00EE676F" w:rsidP="00C24690">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2E0CC6">
        <w:rPr>
          <w:rFonts w:ascii="Arial Narrow" w:hAnsi="Arial Narrow"/>
          <w:sz w:val="16"/>
          <w:szCs w:val="16"/>
        </w:rPr>
        <w:t xml:space="preserve"> </w:t>
      </w:r>
      <w:hyperlink r:id="rId32" w:history="1">
        <w:r w:rsidRPr="00642B43">
          <w:rPr>
            <w:rStyle w:val="Hypertextovprepojenie"/>
            <w:rFonts w:ascii="Arial Narrow" w:hAnsi="Arial Narrow" w:cs="Arial"/>
            <w:color w:val="2C9BDC"/>
            <w:sz w:val="16"/>
            <w:szCs w:val="16"/>
          </w:rPr>
          <w:t>https://www.coe.int/t/DGHL/cooperation/cepej/evaluation/2016/STAT/default.asp</w:t>
        </w:r>
      </w:hyperlink>
    </w:p>
  </w:footnote>
  <w:footnote w:id="102">
    <w:p w14:paraId="62EEF39A" w14:textId="77777777" w:rsidR="00EE676F" w:rsidRPr="002E0CC6" w:rsidRDefault="00EE676F" w:rsidP="00C24690">
      <w:pPr>
        <w:pStyle w:val="Textpoznmkypodiarou"/>
        <w:rPr>
          <w:rFonts w:ascii="Arial Narrow" w:hAnsi="Arial Narrow"/>
          <w:color w:val="2C9BDC"/>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w:t>
      </w:r>
      <w:hyperlink r:id="rId33" w:history="1">
        <w:r w:rsidRPr="00642B43">
          <w:rPr>
            <w:rStyle w:val="Hypertextovprepojenie"/>
            <w:rFonts w:ascii="Arial Narrow" w:hAnsi="Arial Narrow" w:cs="Arial"/>
            <w:color w:val="2C9BDC"/>
            <w:sz w:val="16"/>
            <w:szCs w:val="16"/>
          </w:rPr>
          <w:t>https://www.coe.int/t/DGHL/cooperation/cepej/evaluation/2016/STAT/default.asp</w:t>
        </w:r>
      </w:hyperlink>
    </w:p>
  </w:footnote>
  <w:footnote w:id="103">
    <w:p w14:paraId="78C8AB63" w14:textId="2B2AE036" w:rsidR="00EE676F" w:rsidRPr="005B2BB7" w:rsidRDefault="00EE676F">
      <w:pPr>
        <w:pStyle w:val="Textpoznmkypodiarou"/>
        <w:rPr>
          <w:rFonts w:ascii="Arial Narrow" w:hAnsi="Arial Narrow"/>
          <w:sz w:val="16"/>
          <w:szCs w:val="16"/>
        </w:rPr>
      </w:pPr>
      <w:r w:rsidRPr="005B2BB7">
        <w:rPr>
          <w:rStyle w:val="Odkaznapoznmkupodiarou"/>
          <w:rFonts w:ascii="Arial Narrow" w:hAnsi="Arial Narrow"/>
          <w:sz w:val="16"/>
          <w:szCs w:val="16"/>
        </w:rPr>
        <w:footnoteRef/>
      </w:r>
      <w:r w:rsidRPr="005B2BB7">
        <w:rPr>
          <w:rFonts w:ascii="Arial Narrow" w:hAnsi="Arial Narrow"/>
          <w:sz w:val="16"/>
          <w:szCs w:val="16"/>
        </w:rPr>
        <w:t xml:space="preserve"> </w:t>
      </w:r>
      <w:r w:rsidRPr="005B2BB7">
        <w:rPr>
          <w:rStyle w:val="Hypertextovprepojenie"/>
          <w:rFonts w:ascii="Arial Narrow" w:hAnsi="Arial Narrow" w:cs="Arial"/>
          <w:color w:val="2C9BDC"/>
          <w:sz w:val="16"/>
          <w:szCs w:val="16"/>
        </w:rPr>
        <w:t>https://www.transparency.org/cpi2018</w:t>
      </w:r>
    </w:p>
  </w:footnote>
  <w:footnote w:id="104">
    <w:p w14:paraId="61C24784" w14:textId="77777777" w:rsidR="00EE676F" w:rsidRPr="000366B3" w:rsidRDefault="00EE676F" w:rsidP="00780749">
      <w:pPr>
        <w:pStyle w:val="Textpoznmkypodiarou"/>
        <w:rPr>
          <w:rFonts w:ascii="Arial Narrow" w:hAnsi="Arial Narrow"/>
          <w:sz w:val="16"/>
          <w:szCs w:val="16"/>
        </w:rPr>
      </w:pPr>
      <w:r w:rsidRPr="000366B3">
        <w:rPr>
          <w:rStyle w:val="Odkaznapoznmkupodiarou"/>
          <w:rFonts w:ascii="Arial Narrow" w:hAnsi="Arial Narrow"/>
          <w:sz w:val="16"/>
          <w:szCs w:val="16"/>
        </w:rPr>
        <w:footnoteRef/>
      </w:r>
      <w:r w:rsidRPr="000366B3">
        <w:rPr>
          <w:rFonts w:ascii="Arial Narrow" w:hAnsi="Arial Narrow"/>
          <w:sz w:val="16"/>
          <w:szCs w:val="16"/>
        </w:rPr>
        <w:t xml:space="preserve"> Opatrenie vychádza zo zistení auditu v spolupráci s Európskou komisiou pre efektívnosť súdnictva (CEPEJ).</w:t>
      </w:r>
    </w:p>
  </w:footnote>
  <w:footnote w:id="105">
    <w:p w14:paraId="01969826" w14:textId="0E3302E6" w:rsidR="00EE676F" w:rsidRPr="000366B3" w:rsidRDefault="00EE676F">
      <w:pPr>
        <w:pStyle w:val="Textpoznmkypodiarou"/>
        <w:rPr>
          <w:rFonts w:ascii="Arial Narrow" w:hAnsi="Arial Narrow"/>
          <w:sz w:val="16"/>
          <w:szCs w:val="16"/>
        </w:rPr>
      </w:pPr>
      <w:r w:rsidRPr="000366B3">
        <w:rPr>
          <w:rStyle w:val="Odkaznapoznmkupodiarou"/>
          <w:rFonts w:ascii="Arial Narrow" w:hAnsi="Arial Narrow"/>
          <w:sz w:val="16"/>
          <w:szCs w:val="16"/>
        </w:rPr>
        <w:footnoteRef/>
      </w:r>
      <w:r w:rsidRPr="000366B3">
        <w:rPr>
          <w:rFonts w:ascii="Arial Narrow" w:hAnsi="Arial Narrow"/>
          <w:sz w:val="16"/>
          <w:szCs w:val="16"/>
        </w:rPr>
        <w:t xml:space="preserve"> </w:t>
      </w:r>
      <w:hyperlink r:id="rId34" w:history="1">
        <w:r w:rsidRPr="000366B3">
          <w:rPr>
            <w:rStyle w:val="Hypertextovprepojenie"/>
            <w:rFonts w:ascii="Arial Narrow" w:hAnsi="Arial Narrow"/>
            <w:color w:val="2C9ADC"/>
            <w:sz w:val="16"/>
            <w:szCs w:val="16"/>
          </w:rPr>
          <w:t>http://www.oecd.org/slovakia/assessment-anti-corruption-legislation-slovak-republic.htm</w:t>
        </w:r>
      </w:hyperlink>
    </w:p>
  </w:footnote>
  <w:footnote w:id="106">
    <w:p w14:paraId="1FD92992" w14:textId="77777777" w:rsidR="00EE676F" w:rsidRPr="00533004" w:rsidRDefault="00EE676F" w:rsidP="00B01BC7">
      <w:pPr>
        <w:pStyle w:val="Textpoznmkypodiarou"/>
        <w:rPr>
          <w:rFonts w:ascii="Arial Narrow" w:hAnsi="Arial Narrow"/>
        </w:rPr>
      </w:pPr>
      <w:r w:rsidRPr="000366B3">
        <w:rPr>
          <w:rStyle w:val="Odkaznapoznmkupodiarou"/>
          <w:rFonts w:ascii="Arial Narrow" w:hAnsi="Arial Narrow"/>
          <w:sz w:val="16"/>
        </w:rPr>
        <w:footnoteRef/>
      </w:r>
      <w:r w:rsidRPr="000366B3">
        <w:rPr>
          <w:rFonts w:ascii="Arial Narrow" w:hAnsi="Arial Narrow"/>
          <w:sz w:val="16"/>
        </w:rPr>
        <w:t xml:space="preserve"> </w:t>
      </w:r>
      <w:hyperlink r:id="rId35" w:history="1">
        <w:r w:rsidRPr="000366B3">
          <w:rPr>
            <w:rStyle w:val="Hypertextovprepojenie"/>
            <w:rFonts w:ascii="Arial Narrow" w:hAnsi="Arial Narrow"/>
            <w:color w:val="2C9ADC"/>
            <w:sz w:val="16"/>
          </w:rPr>
          <w:t>SRSP (</w:t>
        </w:r>
        <w:proofErr w:type="spellStart"/>
        <w:r w:rsidRPr="000366B3">
          <w:rPr>
            <w:rStyle w:val="Hypertextovprepojenie"/>
            <w:rFonts w:ascii="Arial Narrow" w:hAnsi="Arial Narrow"/>
            <w:color w:val="2C9ADC"/>
            <w:sz w:val="16"/>
          </w:rPr>
          <w:t>Structural</w:t>
        </w:r>
        <w:proofErr w:type="spellEnd"/>
        <w:r w:rsidRPr="000366B3">
          <w:rPr>
            <w:rStyle w:val="Hypertextovprepojenie"/>
            <w:rFonts w:ascii="Arial Narrow" w:hAnsi="Arial Narrow"/>
            <w:color w:val="2C9ADC"/>
            <w:sz w:val="16"/>
          </w:rPr>
          <w:t xml:space="preserve"> </w:t>
        </w:r>
        <w:proofErr w:type="spellStart"/>
        <w:r w:rsidRPr="000366B3">
          <w:rPr>
            <w:rStyle w:val="Hypertextovprepojenie"/>
            <w:rFonts w:ascii="Arial Narrow" w:hAnsi="Arial Narrow"/>
            <w:color w:val="2C9ADC"/>
            <w:sz w:val="16"/>
          </w:rPr>
          <w:t>Reform</w:t>
        </w:r>
        <w:proofErr w:type="spellEnd"/>
        <w:r w:rsidRPr="000366B3">
          <w:rPr>
            <w:rStyle w:val="Hypertextovprepojenie"/>
            <w:rFonts w:ascii="Arial Narrow" w:hAnsi="Arial Narrow"/>
            <w:color w:val="2C9ADC"/>
            <w:sz w:val="16"/>
          </w:rPr>
          <w:t xml:space="preserve"> </w:t>
        </w:r>
        <w:proofErr w:type="spellStart"/>
        <w:r w:rsidRPr="000366B3">
          <w:rPr>
            <w:rStyle w:val="Hypertextovprepojenie"/>
            <w:rFonts w:ascii="Arial Narrow" w:hAnsi="Arial Narrow"/>
            <w:color w:val="2C9ADC"/>
            <w:sz w:val="16"/>
          </w:rPr>
          <w:t>Support</w:t>
        </w:r>
        <w:proofErr w:type="spellEnd"/>
        <w:r w:rsidRPr="000366B3">
          <w:rPr>
            <w:rStyle w:val="Hypertextovprepojenie"/>
            <w:rFonts w:ascii="Arial Narrow" w:hAnsi="Arial Narrow"/>
            <w:color w:val="2C9ADC"/>
            <w:sz w:val="16"/>
          </w:rPr>
          <w:t xml:space="preserve"> </w:t>
        </w:r>
        <w:proofErr w:type="spellStart"/>
        <w:r w:rsidRPr="000366B3">
          <w:rPr>
            <w:rStyle w:val="Hypertextovprepojenie"/>
            <w:rFonts w:ascii="Arial Narrow" w:hAnsi="Arial Narrow"/>
            <w:color w:val="2C9ADC"/>
            <w:sz w:val="16"/>
          </w:rPr>
          <w:t>Programme</w:t>
        </w:r>
        <w:proofErr w:type="spellEnd"/>
        <w:r w:rsidRPr="000366B3">
          <w:rPr>
            <w:rStyle w:val="Hypertextovprepojenie"/>
            <w:rFonts w:ascii="Arial Narrow" w:hAnsi="Arial Narrow"/>
            <w:color w:val="2C9ADC"/>
            <w:sz w:val="16"/>
          </w:rPr>
          <w:t>)</w:t>
        </w:r>
      </w:hyperlink>
    </w:p>
  </w:footnote>
  <w:footnote w:id="107">
    <w:p w14:paraId="0404414D" w14:textId="7BC775A3" w:rsidR="00EE676F" w:rsidRPr="00A804AD" w:rsidRDefault="00EE676F" w:rsidP="00C24690">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Napr. upozornenie klientov Finančnej správy SR na zistený rozdiel medzi kontrolným výkazom DPH  a daňovým priznaním k DPH. Zároveň ich požiada o overenie správnosti údajov v</w:t>
      </w:r>
      <w:r>
        <w:rPr>
          <w:rFonts w:ascii="Arial Narrow" w:hAnsi="Arial Narrow"/>
          <w:sz w:val="16"/>
          <w:szCs w:val="16"/>
        </w:rPr>
        <w:t xml:space="preserve"> týchto podaniach a odporučí im, aby ich dali </w:t>
      </w:r>
      <w:r w:rsidRPr="00A804AD">
        <w:rPr>
          <w:rFonts w:ascii="Arial Narrow" w:hAnsi="Arial Narrow"/>
          <w:sz w:val="16"/>
          <w:szCs w:val="16"/>
        </w:rPr>
        <w:t>do súladu s platnou legislatívou.</w:t>
      </w:r>
    </w:p>
  </w:footnote>
  <w:footnote w:id="108">
    <w:p w14:paraId="3249DF18" w14:textId="0BE69095" w:rsidR="00EE676F" w:rsidRPr="00A43547" w:rsidRDefault="00EE676F" w:rsidP="000E0382">
      <w:pPr>
        <w:pStyle w:val="Textpoznmkypodiarou"/>
        <w:jc w:val="both"/>
        <w:rPr>
          <w:rStyle w:val="Odkaznapoznmkupodiarou"/>
          <w:rFonts w:ascii="Arial Narrow" w:hAnsi="Arial Narrow"/>
          <w:sz w:val="16"/>
          <w:szCs w:val="16"/>
        </w:rPr>
      </w:pPr>
      <w:r w:rsidRPr="00752B46">
        <w:rPr>
          <w:rStyle w:val="Odkaznapoznmkupodiarou"/>
          <w:rFonts w:ascii="Arial Narrow" w:hAnsi="Arial Narrow"/>
          <w:sz w:val="16"/>
          <w:szCs w:val="16"/>
        </w:rPr>
        <w:footnoteRef/>
      </w:r>
      <w:r w:rsidRPr="00752B46">
        <w:rPr>
          <w:rStyle w:val="Odkaznapoznmkupodiarou"/>
          <w:rFonts w:ascii="Arial Narrow" w:hAnsi="Arial Narrow"/>
          <w:sz w:val="16"/>
          <w:szCs w:val="16"/>
        </w:rPr>
        <w:t xml:space="preserve"> </w:t>
      </w:r>
      <w:r w:rsidRPr="00752B46">
        <w:rPr>
          <w:rFonts w:ascii="Arial Narrow" w:hAnsi="Arial Narrow"/>
          <w:sz w:val="16"/>
          <w:szCs w:val="16"/>
        </w:rPr>
        <w:t>Novela</w:t>
      </w:r>
      <w:r w:rsidRPr="00A43547">
        <w:rPr>
          <w:rFonts w:ascii="Arial Narrow" w:hAnsi="Arial Narrow"/>
          <w:sz w:val="16"/>
          <w:szCs w:val="16"/>
        </w:rPr>
        <w:t xml:space="preserve"> zákona o nelegálnej práci a nelegálnom zamestnávaní napr. rozšíri výnimku priamych rodinných príslušní</w:t>
      </w:r>
      <w:r>
        <w:rPr>
          <w:rFonts w:ascii="Arial Narrow" w:hAnsi="Arial Narrow"/>
          <w:sz w:val="16"/>
          <w:szCs w:val="16"/>
        </w:rPr>
        <w:t>kov aj pre iné formy podnikania</w:t>
      </w:r>
    </w:p>
  </w:footnote>
  <w:footnote w:id="109">
    <w:p w14:paraId="5700776E" w14:textId="77777777" w:rsidR="00EE676F" w:rsidRPr="002E0CC6" w:rsidRDefault="00EE676F">
      <w:pPr>
        <w:pStyle w:val="Textpoznmkypodiarou"/>
        <w:rPr>
          <w:rFonts w:ascii="Arial Narrow" w:hAnsi="Arial Narrow"/>
          <w:sz w:val="16"/>
          <w:szCs w:val="16"/>
        </w:rPr>
      </w:pPr>
      <w:r w:rsidRPr="00A43547">
        <w:rPr>
          <w:rStyle w:val="Odkaznapoznmkupodiarou"/>
          <w:rFonts w:ascii="Arial Narrow" w:hAnsi="Arial Narrow"/>
          <w:sz w:val="16"/>
          <w:szCs w:val="16"/>
        </w:rPr>
        <w:footnoteRef/>
      </w:r>
      <w:r w:rsidRPr="00A43547">
        <w:rPr>
          <w:rFonts w:ascii="Arial Narrow" w:hAnsi="Arial Narrow"/>
          <w:sz w:val="16"/>
          <w:szCs w:val="16"/>
        </w:rPr>
        <w:t xml:space="preserve"> Schválený na rokovaní vlády SR vo februári 2019.</w:t>
      </w:r>
    </w:p>
  </w:footnote>
  <w:footnote w:id="110">
    <w:p w14:paraId="47F29D63" w14:textId="6091800E" w:rsidR="00EE676F" w:rsidRPr="002E0CC6" w:rsidRDefault="00EE676F" w:rsidP="008D44FD">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Pr>
          <w:rFonts w:ascii="Arial Narrow" w:hAnsi="Arial Narrow"/>
          <w:sz w:val="16"/>
          <w:szCs w:val="16"/>
        </w:rPr>
        <w:t xml:space="preserve"> </w:t>
      </w:r>
      <w:proofErr w:type="spellStart"/>
      <w:r w:rsidRPr="000366B3">
        <w:rPr>
          <w:rFonts w:ascii="Arial Narrow" w:hAnsi="Arial Narrow"/>
          <w:i/>
          <w:sz w:val="16"/>
          <w:szCs w:val="16"/>
        </w:rPr>
        <w:t>Goldplatin</w:t>
      </w:r>
      <w:r w:rsidRPr="00C150A7">
        <w:rPr>
          <w:rFonts w:ascii="Arial Narrow" w:hAnsi="Arial Narrow"/>
          <w:i/>
          <w:sz w:val="16"/>
          <w:szCs w:val="16"/>
        </w:rPr>
        <w:t>g</w:t>
      </w:r>
      <w:proofErr w:type="spellEnd"/>
      <w:r>
        <w:rPr>
          <w:rFonts w:ascii="Arial Narrow" w:hAnsi="Arial Narrow"/>
          <w:sz w:val="16"/>
          <w:szCs w:val="16"/>
        </w:rPr>
        <w:t xml:space="preserve"> – </w:t>
      </w:r>
      <w:r w:rsidRPr="00A804AD">
        <w:rPr>
          <w:rFonts w:ascii="Arial Narrow" w:hAnsi="Arial Narrow"/>
          <w:sz w:val="16"/>
          <w:szCs w:val="16"/>
        </w:rPr>
        <w:t>neprimerané rozširovanie obsahu právnych predpisov EÚ nad rámec minimálnych požiadaviek pri ich transpozícii do národného právneho systému</w:t>
      </w:r>
      <w:r>
        <w:rPr>
          <w:rFonts w:ascii="Arial Narrow" w:hAnsi="Arial Narrow"/>
          <w:sz w:val="16"/>
          <w:szCs w:val="16"/>
        </w:rPr>
        <w:t>.</w:t>
      </w:r>
    </w:p>
  </w:footnote>
  <w:footnote w:id="111">
    <w:p w14:paraId="418CC46B" w14:textId="77777777" w:rsidR="00EE676F" w:rsidRPr="00A43547" w:rsidRDefault="00EE676F" w:rsidP="00D652E3">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ETS - systém obchodovania s </w:t>
      </w:r>
      <w:r w:rsidRPr="00752B46">
        <w:rPr>
          <w:rFonts w:ascii="Arial Narrow" w:hAnsi="Arial Narrow"/>
          <w:sz w:val="16"/>
          <w:szCs w:val="16"/>
        </w:rPr>
        <w:t>emisiami; SHMÚ má výhradu k spôsobu výpočtu a vlastné dáta považuje za správnejšie. Pri použití dát od SHMÚ dosahuje Slovensko ešte výraznejší pokles (v roku 2016 by bol pokles až -22,2 %).</w:t>
      </w:r>
    </w:p>
  </w:footnote>
  <w:footnote w:id="112">
    <w:p w14:paraId="50581476" w14:textId="77777777" w:rsidR="00EE676F" w:rsidRPr="005B2BB7" w:rsidRDefault="00EE676F" w:rsidP="00D652E3">
      <w:pPr>
        <w:pStyle w:val="Textpoznmkypodiarou"/>
        <w:rPr>
          <w:rFonts w:ascii="Arial Narrow" w:hAnsi="Arial Narrow"/>
          <w:sz w:val="16"/>
          <w:szCs w:val="16"/>
        </w:rPr>
      </w:pPr>
      <w:r w:rsidRPr="00A43547">
        <w:rPr>
          <w:rStyle w:val="Odkaznapoznmkupodiarou"/>
          <w:rFonts w:ascii="Arial Narrow" w:hAnsi="Arial Narrow"/>
          <w:sz w:val="16"/>
          <w:szCs w:val="16"/>
        </w:rPr>
        <w:footnoteRef/>
      </w:r>
      <w:r w:rsidRPr="005B2BB7">
        <w:rPr>
          <w:rFonts w:ascii="Arial Narrow" w:hAnsi="Arial Narrow"/>
          <w:sz w:val="16"/>
          <w:szCs w:val="16"/>
        </w:rPr>
        <w:t xml:space="preserve"> </w:t>
      </w:r>
      <w:r w:rsidRPr="00642B43">
        <w:rPr>
          <w:rFonts w:ascii="Arial Narrow" w:hAnsi="Arial Narrow"/>
          <w:sz w:val="16"/>
          <w:szCs w:val="16"/>
        </w:rPr>
        <w:t>OZE - obnoviteľné zdroje energie</w:t>
      </w:r>
    </w:p>
  </w:footnote>
  <w:footnote w:id="113">
    <w:p w14:paraId="5E15D9AB" w14:textId="77777777" w:rsidR="00EE676F" w:rsidRPr="005B2BB7" w:rsidRDefault="00EE676F" w:rsidP="00D652E3">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5B2BB7">
        <w:rPr>
          <w:rFonts w:ascii="Arial Narrow" w:hAnsi="Arial Narrow"/>
          <w:sz w:val="16"/>
          <w:szCs w:val="16"/>
        </w:rPr>
        <w:t xml:space="preserve"> </w:t>
      </w:r>
      <w:proofErr w:type="spellStart"/>
      <w:r w:rsidRPr="00642B43">
        <w:rPr>
          <w:rFonts w:ascii="Arial Narrow" w:hAnsi="Arial Narrow"/>
          <w:sz w:val="16"/>
          <w:szCs w:val="16"/>
        </w:rPr>
        <w:t>Environmental</w:t>
      </w:r>
      <w:proofErr w:type="spellEnd"/>
      <w:r w:rsidRPr="00642B43">
        <w:rPr>
          <w:rFonts w:ascii="Arial Narrow" w:hAnsi="Arial Narrow"/>
          <w:sz w:val="16"/>
          <w:szCs w:val="16"/>
        </w:rPr>
        <w:t xml:space="preserve"> </w:t>
      </w:r>
      <w:proofErr w:type="spellStart"/>
      <w:r w:rsidRPr="00642B43">
        <w:rPr>
          <w:rFonts w:ascii="Arial Narrow" w:hAnsi="Arial Narrow"/>
          <w:sz w:val="16"/>
          <w:szCs w:val="16"/>
        </w:rPr>
        <w:t>Performance</w:t>
      </w:r>
      <w:proofErr w:type="spellEnd"/>
      <w:r w:rsidRPr="00642B43">
        <w:rPr>
          <w:rFonts w:ascii="Arial Narrow" w:hAnsi="Arial Narrow"/>
          <w:sz w:val="16"/>
          <w:szCs w:val="16"/>
        </w:rPr>
        <w:t xml:space="preserve"> Index (Index environmentálnej výkonnosti) je spôsob hodnotenia štátov z hľadiska celkov</w:t>
      </w:r>
      <w:r w:rsidRPr="00A804AD">
        <w:rPr>
          <w:rFonts w:ascii="Arial Narrow" w:hAnsi="Arial Narrow"/>
          <w:sz w:val="16"/>
          <w:szCs w:val="16"/>
        </w:rPr>
        <w:t xml:space="preserve">ej ohľaduplnosti voči životnému prostrediu. Tento index bol vyvinutý na </w:t>
      </w:r>
      <w:proofErr w:type="spellStart"/>
      <w:r w:rsidRPr="00A804AD">
        <w:rPr>
          <w:rFonts w:ascii="Arial Narrow" w:hAnsi="Arial Narrow"/>
          <w:sz w:val="16"/>
          <w:szCs w:val="16"/>
        </w:rPr>
        <w:t>Yale</w:t>
      </w:r>
      <w:proofErr w:type="spellEnd"/>
      <w:r w:rsidRPr="00A804AD">
        <w:rPr>
          <w:rFonts w:ascii="Arial Narrow" w:hAnsi="Arial Narrow"/>
          <w:sz w:val="16"/>
          <w:szCs w:val="16"/>
        </w:rPr>
        <w:t xml:space="preserve"> </w:t>
      </w:r>
      <w:proofErr w:type="spellStart"/>
      <w:r w:rsidRPr="00A804AD">
        <w:rPr>
          <w:rFonts w:ascii="Arial Narrow" w:hAnsi="Arial Narrow"/>
          <w:sz w:val="16"/>
          <w:szCs w:val="16"/>
        </w:rPr>
        <w:t>University</w:t>
      </w:r>
      <w:proofErr w:type="spellEnd"/>
      <w:r w:rsidRPr="00A804AD">
        <w:rPr>
          <w:rFonts w:ascii="Arial Narrow" w:hAnsi="Arial Narrow"/>
          <w:sz w:val="16"/>
          <w:szCs w:val="16"/>
        </w:rPr>
        <w:t>, kde sa aj vyhodnocuje pre jednotlivé štáty.</w:t>
      </w:r>
    </w:p>
  </w:footnote>
  <w:footnote w:id="114">
    <w:p w14:paraId="074C570E" w14:textId="37AAD75D" w:rsidR="00EE676F" w:rsidRPr="005B2BB7" w:rsidRDefault="00EE676F" w:rsidP="00D652E3">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A804AD">
        <w:rPr>
          <w:rFonts w:ascii="Arial Narrow" w:hAnsi="Arial Narrow"/>
          <w:sz w:val="16"/>
          <w:szCs w:val="16"/>
        </w:rPr>
        <w:t xml:space="preserve"> </w:t>
      </w:r>
      <w:hyperlink r:id="rId36" w:history="1">
        <w:r w:rsidRPr="00ED64EF">
          <w:rPr>
            <w:rStyle w:val="Hypertextovprepojenie"/>
            <w:rFonts w:ascii="Arial Narrow" w:hAnsi="Arial Narrow"/>
            <w:color w:val="2C9ADC"/>
            <w:sz w:val="16"/>
            <w:szCs w:val="16"/>
          </w:rPr>
          <w:t xml:space="preserve">Návrh Akčného plánu rozvoja </w:t>
        </w:r>
        <w:proofErr w:type="spellStart"/>
        <w:r w:rsidRPr="00ED64EF">
          <w:rPr>
            <w:rStyle w:val="Hypertextovprepojenie"/>
            <w:rFonts w:ascii="Arial Narrow" w:hAnsi="Arial Narrow"/>
            <w:color w:val="2C9ADC"/>
            <w:sz w:val="16"/>
            <w:szCs w:val="16"/>
          </w:rPr>
          <w:t>elektromobility</w:t>
        </w:r>
        <w:proofErr w:type="spellEnd"/>
        <w:r w:rsidRPr="00ED64EF">
          <w:rPr>
            <w:rStyle w:val="Hypertextovprepojenie"/>
            <w:rFonts w:ascii="Arial Narrow" w:hAnsi="Arial Narrow"/>
            <w:color w:val="2C9ADC"/>
            <w:sz w:val="16"/>
            <w:szCs w:val="16"/>
          </w:rPr>
          <w:t xml:space="preserve"> v Slovenskej republike</w:t>
        </w:r>
      </w:hyperlink>
      <w:r w:rsidRPr="00766651">
        <w:rPr>
          <w:rFonts w:ascii="Arial Narrow" w:hAnsi="Arial Narrow"/>
          <w:color w:val="000000" w:themeColor="text1"/>
          <w:sz w:val="16"/>
          <w:szCs w:val="16"/>
        </w:rPr>
        <w:t>.</w:t>
      </w:r>
    </w:p>
  </w:footnote>
  <w:footnote w:id="115">
    <w:p w14:paraId="4EB60396" w14:textId="6440E526" w:rsidR="00EE676F" w:rsidRPr="00575968" w:rsidRDefault="00EE676F" w:rsidP="00575968">
      <w:pPr>
        <w:pStyle w:val="Textpoznmkypodiarou"/>
        <w:jc w:val="both"/>
        <w:rPr>
          <w:rFonts w:ascii="Arial Narrow" w:hAnsi="Arial Narrow"/>
          <w:sz w:val="16"/>
          <w:szCs w:val="16"/>
        </w:rPr>
      </w:pPr>
      <w:r w:rsidRPr="00575968">
        <w:rPr>
          <w:rStyle w:val="Odkaznapoznmkupodiarou"/>
          <w:rFonts w:ascii="Arial Narrow" w:hAnsi="Arial Narrow"/>
          <w:sz w:val="16"/>
          <w:szCs w:val="16"/>
        </w:rPr>
        <w:footnoteRef/>
      </w:r>
      <w:r w:rsidRPr="00575968">
        <w:rPr>
          <w:rFonts w:ascii="Arial Narrow" w:hAnsi="Arial Narrow"/>
          <w:sz w:val="16"/>
          <w:szCs w:val="16"/>
        </w:rPr>
        <w:t xml:space="preserve"> </w:t>
      </w:r>
      <w:r>
        <w:rPr>
          <w:rFonts w:ascii="Arial Narrow" w:hAnsi="Arial Narrow"/>
          <w:sz w:val="16"/>
          <w:szCs w:val="16"/>
        </w:rPr>
        <w:t xml:space="preserve">Pôjde </w:t>
      </w:r>
      <w:r>
        <w:rPr>
          <w:rFonts w:ascii="Arial Narrow" w:hAnsi="Arial Narrow" w:cs="Arial"/>
          <w:sz w:val="16"/>
          <w:szCs w:val="16"/>
        </w:rPr>
        <w:t>n</w:t>
      </w:r>
      <w:r w:rsidRPr="00575968">
        <w:rPr>
          <w:rFonts w:ascii="Arial Narrow" w:hAnsi="Arial Narrow" w:cs="Arial"/>
          <w:sz w:val="16"/>
          <w:szCs w:val="16"/>
        </w:rPr>
        <w:t>apr</w:t>
      </w:r>
      <w:r>
        <w:rPr>
          <w:rFonts w:ascii="Arial Narrow" w:hAnsi="Arial Narrow" w:cs="Arial"/>
          <w:sz w:val="16"/>
          <w:szCs w:val="16"/>
        </w:rPr>
        <w:t xml:space="preserve">íklad o </w:t>
      </w:r>
      <w:r w:rsidRPr="00575968">
        <w:rPr>
          <w:rFonts w:ascii="Arial Narrow" w:hAnsi="Arial Narrow" w:cs="Arial"/>
          <w:sz w:val="16"/>
          <w:szCs w:val="16"/>
        </w:rPr>
        <w:t>vyššie zastúpenie iných subjektov ako ústredných orgánov štátnej správy v monitorovacích výboroch, zavedenie hodnotenia verejných investičných projektov, zvýšenie nárokov na odbornosť ho</w:t>
      </w:r>
      <w:r>
        <w:rPr>
          <w:rFonts w:ascii="Arial Narrow" w:hAnsi="Arial Narrow" w:cs="Arial"/>
          <w:sz w:val="16"/>
          <w:szCs w:val="16"/>
        </w:rPr>
        <w:t>dnotiteľov a jej preukázateľnosť</w:t>
      </w:r>
      <w:r w:rsidRPr="00575968">
        <w:rPr>
          <w:rFonts w:ascii="Arial Narrow" w:hAnsi="Arial Narrow" w:cs="Arial"/>
          <w:sz w:val="16"/>
          <w:szCs w:val="16"/>
        </w:rPr>
        <w:t xml:space="preserve">, elektronické žrebovanie hodnotiteľov, rizikovú analýzu výziev, povinné hodnotenie vedecko-výskumných projektov a projektov zavádzajúcich inovácie vrátane národných projektov s výškou NFP nad 10 miliónov eur skupinou expertov, využívanie systému na odhaľovanie podvodov </w:t>
      </w:r>
      <w:proofErr w:type="spellStart"/>
      <w:r w:rsidRPr="00575968">
        <w:rPr>
          <w:rFonts w:ascii="Arial Narrow" w:hAnsi="Arial Narrow" w:cs="Arial"/>
          <w:i/>
          <w:sz w:val="16"/>
          <w:szCs w:val="16"/>
        </w:rPr>
        <w:t>Arachne</w:t>
      </w:r>
      <w:proofErr w:type="spellEnd"/>
      <w:r w:rsidRPr="00575968">
        <w:rPr>
          <w:rFonts w:ascii="Arial Narrow" w:hAnsi="Arial Narrow" w:cs="Arial"/>
          <w:sz w:val="16"/>
          <w:szCs w:val="16"/>
        </w:rPr>
        <w:t>, zlepšenie prehľadnosti riadiacej dokumentácie a obmedzenie počtu aktualizácií, možnosť dvojkolového výberu žiadostí o</w:t>
      </w:r>
      <w:r>
        <w:rPr>
          <w:rFonts w:ascii="Arial Narrow" w:hAnsi="Arial Narrow" w:cs="Arial"/>
          <w:sz w:val="16"/>
          <w:szCs w:val="16"/>
        </w:rPr>
        <w:t> nenávratný finančný príspevok</w:t>
      </w:r>
      <w:r w:rsidRPr="00575968">
        <w:rPr>
          <w:rFonts w:ascii="Arial Narrow" w:hAnsi="Arial Narrow" w:cs="Arial"/>
          <w:sz w:val="16"/>
          <w:szCs w:val="16"/>
        </w:rPr>
        <w:t>, či opatrenia týkajúce sa zjednodušovania napr. komunikácie, podpisovania zmlúv v ITMS2014+, povinných príloh atď.</w:t>
      </w:r>
    </w:p>
  </w:footnote>
  <w:footnote w:id="116">
    <w:p w14:paraId="7DA81C73" w14:textId="3BC93CDE" w:rsidR="00EE676F" w:rsidRPr="008D77FF" w:rsidRDefault="00EE676F">
      <w:pPr>
        <w:pStyle w:val="Textpoznmkypodiarou"/>
        <w:rPr>
          <w:rFonts w:ascii="Arial Narrow" w:hAnsi="Arial Narrow"/>
        </w:rPr>
      </w:pPr>
      <w:r w:rsidRPr="008D77FF">
        <w:rPr>
          <w:rStyle w:val="Odkaznapoznmkupodiarou"/>
          <w:rFonts w:ascii="Arial Narrow" w:hAnsi="Arial Narrow"/>
          <w:color w:val="2C9ADC"/>
          <w:sz w:val="16"/>
        </w:rPr>
        <w:footnoteRef/>
      </w:r>
      <w:r w:rsidRPr="008D77FF">
        <w:rPr>
          <w:rFonts w:ascii="Arial Narrow" w:hAnsi="Arial Narrow"/>
          <w:color w:val="2C9ADC"/>
          <w:sz w:val="16"/>
        </w:rPr>
        <w:t xml:space="preserve"> </w:t>
      </w:r>
      <w:hyperlink r:id="rId37" w:history="1">
        <w:r w:rsidRPr="008D77FF">
          <w:rPr>
            <w:rStyle w:val="Hypertextovprepojenie"/>
            <w:rFonts w:ascii="Arial Narrow" w:hAnsi="Arial Narrow"/>
            <w:color w:val="2C9ADC"/>
            <w:sz w:val="16"/>
          </w:rPr>
          <w:t xml:space="preserve">2019 </w:t>
        </w:r>
        <w:proofErr w:type="spellStart"/>
        <w:r w:rsidRPr="008D77FF">
          <w:rPr>
            <w:rStyle w:val="Hypertextovprepojenie"/>
            <w:rFonts w:ascii="Arial Narrow" w:hAnsi="Arial Narrow"/>
            <w:color w:val="2C9ADC"/>
            <w:sz w:val="16"/>
          </w:rPr>
          <w:t>European</w:t>
        </w:r>
        <w:proofErr w:type="spellEnd"/>
        <w:r w:rsidRPr="008D77FF">
          <w:rPr>
            <w:rStyle w:val="Hypertextovprepojenie"/>
            <w:rFonts w:ascii="Arial Narrow" w:hAnsi="Arial Narrow"/>
            <w:color w:val="2C9ADC"/>
            <w:sz w:val="16"/>
          </w:rPr>
          <w:t xml:space="preserve"> Semester: </w:t>
        </w:r>
        <w:proofErr w:type="spellStart"/>
        <w:r w:rsidRPr="008D77FF">
          <w:rPr>
            <w:rStyle w:val="Hypertextovprepojenie"/>
            <w:rFonts w:ascii="Arial Narrow" w:hAnsi="Arial Narrow"/>
            <w:color w:val="2C9ADC"/>
            <w:sz w:val="16"/>
          </w:rPr>
          <w:t>Annual</w:t>
        </w:r>
        <w:proofErr w:type="spellEnd"/>
        <w:r w:rsidRPr="008D77FF">
          <w:rPr>
            <w:rStyle w:val="Hypertextovprepojenie"/>
            <w:rFonts w:ascii="Arial Narrow" w:hAnsi="Arial Narrow"/>
            <w:color w:val="2C9ADC"/>
            <w:sz w:val="16"/>
          </w:rPr>
          <w:t xml:space="preserve"> </w:t>
        </w:r>
        <w:proofErr w:type="spellStart"/>
        <w:r w:rsidRPr="008D77FF">
          <w:rPr>
            <w:rStyle w:val="Hypertextovprepojenie"/>
            <w:rFonts w:ascii="Arial Narrow" w:hAnsi="Arial Narrow"/>
            <w:color w:val="2C9ADC"/>
            <w:sz w:val="16"/>
          </w:rPr>
          <w:t>Growth</w:t>
        </w:r>
        <w:proofErr w:type="spellEnd"/>
        <w:r w:rsidRPr="008D77FF">
          <w:rPr>
            <w:rStyle w:val="Hypertextovprepojenie"/>
            <w:rFonts w:ascii="Arial Narrow" w:hAnsi="Arial Narrow"/>
            <w:color w:val="2C9ADC"/>
            <w:sz w:val="16"/>
          </w:rPr>
          <w:t xml:space="preserve"> </w:t>
        </w:r>
        <w:proofErr w:type="spellStart"/>
        <w:r w:rsidRPr="008D77FF">
          <w:rPr>
            <w:rStyle w:val="Hypertextovprepojenie"/>
            <w:rFonts w:ascii="Arial Narrow" w:hAnsi="Arial Narrow"/>
            <w:color w:val="2C9ADC"/>
            <w:sz w:val="16"/>
          </w:rPr>
          <w:t>Survey</w:t>
        </w:r>
        <w:proofErr w:type="spellEnd"/>
      </w:hyperlink>
      <w:r w:rsidRPr="008D77FF">
        <w:rPr>
          <w:rFonts w:ascii="Arial Narrow" w:hAnsi="Arial Narrow"/>
          <w:color w:val="2C9ADC"/>
          <w:sz w:val="16"/>
        </w:rPr>
        <w:t xml:space="preserve"> </w:t>
      </w:r>
    </w:p>
  </w:footnote>
  <w:footnote w:id="117">
    <w:p w14:paraId="16B47713" w14:textId="77777777" w:rsidR="00EE676F" w:rsidRPr="003948E0" w:rsidRDefault="00EE676F" w:rsidP="00401C38">
      <w:pPr>
        <w:pStyle w:val="Textpoznmkypodiarou"/>
        <w:rPr>
          <w:rFonts w:ascii="Arial Narrow" w:hAnsi="Arial Narrow"/>
          <w:sz w:val="16"/>
          <w:szCs w:val="16"/>
        </w:rPr>
      </w:pPr>
      <w:r w:rsidRPr="00642B43">
        <w:rPr>
          <w:rFonts w:ascii="Arial Narrow" w:hAnsi="Arial Narrow"/>
          <w:sz w:val="16"/>
          <w:szCs w:val="16"/>
          <w:vertAlign w:val="superscript"/>
        </w:rPr>
        <w:footnoteRef/>
      </w:r>
      <w:r w:rsidRPr="00A804AD">
        <w:rPr>
          <w:rFonts w:ascii="Arial Narrow" w:hAnsi="Arial Narrow"/>
          <w:sz w:val="16"/>
          <w:szCs w:val="16"/>
          <w:vertAlign w:val="superscript"/>
        </w:rPr>
        <w:t xml:space="preserve"> </w:t>
      </w:r>
      <w:hyperlink r:id="rId38" w:history="1">
        <w:r w:rsidRPr="00642B43">
          <w:rPr>
            <w:rStyle w:val="Hypertextovprepojenie"/>
            <w:rFonts w:ascii="Arial Narrow" w:hAnsi="Arial Narrow"/>
            <w:color w:val="2C9ADC"/>
            <w:sz w:val="16"/>
            <w:szCs w:val="16"/>
          </w:rPr>
          <w:t>Správa o krajine 2019</w:t>
        </w:r>
      </w:hyperlink>
    </w:p>
  </w:footnote>
  <w:footnote w:id="118">
    <w:p w14:paraId="0A85B5A4" w14:textId="77777777" w:rsidR="00EE676F" w:rsidRPr="00642B43" w:rsidRDefault="00EE676F" w:rsidP="00E53C9B">
      <w:pPr>
        <w:pStyle w:val="Textpoznmkypodiarou"/>
        <w:jc w:val="both"/>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Za učiteľov sa považujú pedagogickí a odborní zamestnanci regionálneho školstva a vysokoškolskí učitelia, výskumní a vývojoví pracovníci.</w:t>
      </w:r>
    </w:p>
  </w:footnote>
  <w:footnote w:id="119">
    <w:p w14:paraId="46961431" w14:textId="77777777" w:rsidR="00EE676F" w:rsidRPr="00703F16" w:rsidRDefault="00EE676F" w:rsidP="00E53C9B">
      <w:pPr>
        <w:pStyle w:val="Textpoznmkypodiarou"/>
        <w:rPr>
          <w:rFonts w:ascii="Arial Narrow" w:hAnsi="Arial Narrow"/>
        </w:rPr>
      </w:pPr>
      <w:r w:rsidRPr="00703F16">
        <w:rPr>
          <w:rStyle w:val="Odkaznapoznmkupodiarou"/>
          <w:rFonts w:ascii="Arial Narrow" w:hAnsi="Arial Narrow"/>
          <w:sz w:val="16"/>
        </w:rPr>
        <w:footnoteRef/>
      </w:r>
      <w:r w:rsidRPr="00703F16">
        <w:rPr>
          <w:rFonts w:ascii="Arial Narrow" w:hAnsi="Arial Narrow"/>
          <w:sz w:val="16"/>
        </w:rPr>
        <w:t xml:space="preserve"> Návrh zákona je v čase prípravy predmetom rokovania NR SR.</w:t>
      </w:r>
    </w:p>
  </w:footnote>
  <w:footnote w:id="120">
    <w:p w14:paraId="06917DD0" w14:textId="77777777" w:rsidR="00EE676F" w:rsidRPr="00A804AD" w:rsidRDefault="00EE676F" w:rsidP="00E53C9B">
      <w:pPr>
        <w:pStyle w:val="Textpoznmkypodiarou"/>
        <w:jc w:val="both"/>
        <w:rPr>
          <w:rFonts w:ascii="Arial Narrow" w:hAnsi="Arial Narrow"/>
          <w:sz w:val="16"/>
          <w:szCs w:val="16"/>
        </w:rPr>
      </w:pPr>
      <w:r w:rsidRPr="00A804AD">
        <w:rPr>
          <w:rStyle w:val="Odkaznapoznmkupodiarou"/>
          <w:rFonts w:ascii="Arial Narrow" w:hAnsi="Arial Narrow"/>
          <w:sz w:val="16"/>
          <w:szCs w:val="16"/>
        </w:rPr>
        <w:footnoteRef/>
      </w:r>
      <w:r w:rsidRPr="00A804AD">
        <w:rPr>
          <w:rFonts w:ascii="Arial Narrow" w:hAnsi="Arial Narrow"/>
          <w:sz w:val="16"/>
          <w:szCs w:val="16"/>
        </w:rPr>
        <w:t xml:space="preserve"> K januáru 2019 bolo celkovo uzatvorených 474 zmlúv vo výške 47 mil.</w:t>
      </w:r>
      <w:r>
        <w:rPr>
          <w:rFonts w:ascii="Arial Narrow" w:hAnsi="Arial Narrow"/>
          <w:sz w:val="16"/>
          <w:szCs w:val="16"/>
        </w:rPr>
        <w:t xml:space="preserve"> eur.</w:t>
      </w:r>
    </w:p>
  </w:footnote>
  <w:footnote w:id="121">
    <w:p w14:paraId="16943828" w14:textId="77777777" w:rsidR="00EE676F" w:rsidRPr="005C3EDF" w:rsidRDefault="00EE676F" w:rsidP="00E53C9B">
      <w:pPr>
        <w:pStyle w:val="Textpoznmkypodiarou"/>
        <w:jc w:val="both"/>
        <w:rPr>
          <w:rFonts w:ascii="Arial Narrow" w:hAnsi="Arial Narrow"/>
          <w:sz w:val="16"/>
          <w:szCs w:val="16"/>
        </w:rPr>
      </w:pPr>
      <w:r w:rsidRPr="005C3EDF">
        <w:rPr>
          <w:rStyle w:val="Odkaznapoznmkupodiarou"/>
          <w:rFonts w:ascii="Arial Narrow" w:hAnsi="Arial Narrow"/>
          <w:sz w:val="16"/>
          <w:szCs w:val="16"/>
        </w:rPr>
        <w:footnoteRef/>
      </w:r>
      <w:r w:rsidRPr="005C3EDF">
        <w:rPr>
          <w:rFonts w:ascii="Arial Narrow" w:hAnsi="Arial Narrow"/>
          <w:sz w:val="16"/>
          <w:szCs w:val="16"/>
        </w:rPr>
        <w:t xml:space="preserve"> K januáru 2019 bolo podporených 19 106 žiakov ZŠ, 5 353 detí MŠ a 2 027 pedagogických a odborných zamestnancov.</w:t>
      </w:r>
    </w:p>
  </w:footnote>
  <w:footnote w:id="122">
    <w:p w14:paraId="4F3B14B9" w14:textId="77E06483" w:rsidR="00EE676F" w:rsidRDefault="00EE676F" w:rsidP="00E53C9B">
      <w:pPr>
        <w:pStyle w:val="Textpoznmkypodiarou"/>
      </w:pPr>
      <w:r w:rsidRPr="005C3EDF">
        <w:rPr>
          <w:rStyle w:val="Odkaznapoznmkupodiarou"/>
          <w:rFonts w:ascii="Arial Narrow" w:hAnsi="Arial Narrow"/>
          <w:sz w:val="16"/>
          <w:szCs w:val="16"/>
        </w:rPr>
        <w:footnoteRef/>
      </w:r>
      <w:r>
        <w:rPr>
          <w:rFonts w:ascii="Arial Narrow" w:hAnsi="Arial Narrow"/>
          <w:sz w:val="16"/>
          <w:szCs w:val="16"/>
        </w:rPr>
        <w:t xml:space="preserve"> </w:t>
      </w:r>
      <w:r w:rsidRPr="005C3EDF">
        <w:rPr>
          <w:rFonts w:ascii="Arial Narrow" w:hAnsi="Arial Narrow"/>
          <w:sz w:val="16"/>
          <w:szCs w:val="16"/>
        </w:rPr>
        <w:t>Plné fungovanie Slovenskej akreditačnej agentúry sa predpokladá  v roku 2020.</w:t>
      </w:r>
    </w:p>
  </w:footnote>
  <w:footnote w:id="123">
    <w:p w14:paraId="2896CDE8" w14:textId="77777777" w:rsidR="00EE676F" w:rsidRPr="00752B46" w:rsidRDefault="00EE676F" w:rsidP="00E53C9B">
      <w:pPr>
        <w:pStyle w:val="Textpoznmkypodiarou"/>
        <w:rPr>
          <w:rFonts w:ascii="Arial Narrow" w:hAnsi="Arial Narrow"/>
          <w:sz w:val="16"/>
          <w:szCs w:val="16"/>
        </w:rPr>
      </w:pPr>
      <w:r w:rsidRPr="00752B46">
        <w:rPr>
          <w:rStyle w:val="Odkaznapoznmkupodiarou"/>
          <w:rFonts w:ascii="Arial Narrow" w:hAnsi="Arial Narrow"/>
          <w:sz w:val="16"/>
          <w:szCs w:val="16"/>
        </w:rPr>
        <w:footnoteRef/>
      </w:r>
      <w:r w:rsidRPr="00752B46">
        <w:rPr>
          <w:rFonts w:ascii="Arial Narrow" w:hAnsi="Arial Narrow"/>
          <w:sz w:val="16"/>
          <w:szCs w:val="16"/>
        </w:rPr>
        <w:t xml:space="preserve"> Bol prijatý zákon o verejných výskumných inštitúciách s účinnosťou k začiatku 2018.</w:t>
      </w:r>
    </w:p>
  </w:footnote>
  <w:footnote w:id="124">
    <w:p w14:paraId="3C6608CF" w14:textId="77777777" w:rsidR="00EE676F" w:rsidRPr="002974DB" w:rsidRDefault="00EE676F" w:rsidP="00E53C9B">
      <w:pPr>
        <w:pStyle w:val="Textpoznmkypodiarou"/>
        <w:jc w:val="both"/>
        <w:rPr>
          <w:rFonts w:ascii="Arial Narrow" w:hAnsi="Arial Narrow"/>
          <w:sz w:val="16"/>
          <w:szCs w:val="16"/>
        </w:rPr>
      </w:pPr>
      <w:r w:rsidRPr="00A43547">
        <w:rPr>
          <w:rStyle w:val="Odkaznapoznmkupodiarou"/>
          <w:rFonts w:ascii="Arial Narrow" w:hAnsi="Arial Narrow"/>
          <w:sz w:val="16"/>
          <w:szCs w:val="16"/>
        </w:rPr>
        <w:footnoteRef/>
      </w:r>
      <w:r>
        <w:rPr>
          <w:rFonts w:ascii="Arial Narrow" w:hAnsi="Arial Narrow"/>
          <w:sz w:val="16"/>
          <w:szCs w:val="16"/>
        </w:rPr>
        <w:t xml:space="preserve"> V roku 2019 v</w:t>
      </w:r>
      <w:r w:rsidRPr="00A43547">
        <w:rPr>
          <w:rFonts w:ascii="Arial Narrow" w:hAnsi="Arial Narrow"/>
          <w:sz w:val="16"/>
          <w:szCs w:val="16"/>
        </w:rPr>
        <w:t>lád</w:t>
      </w:r>
      <w:r>
        <w:rPr>
          <w:rFonts w:ascii="Arial Narrow" w:hAnsi="Arial Narrow"/>
          <w:sz w:val="16"/>
          <w:szCs w:val="16"/>
        </w:rPr>
        <w:t xml:space="preserve">a </w:t>
      </w:r>
      <w:r w:rsidRPr="00F13310">
        <w:rPr>
          <w:rFonts w:ascii="Arial Narrow" w:hAnsi="Arial Narrow"/>
          <w:sz w:val="16"/>
          <w:szCs w:val="16"/>
        </w:rPr>
        <w:t>plánuje zvýšenie tz</w:t>
      </w:r>
      <w:r>
        <w:rPr>
          <w:rFonts w:ascii="Arial Narrow" w:hAnsi="Arial Narrow"/>
          <w:sz w:val="16"/>
          <w:szCs w:val="16"/>
        </w:rPr>
        <w:t xml:space="preserve">v. daňového </w:t>
      </w:r>
      <w:proofErr w:type="spellStart"/>
      <w:r>
        <w:rPr>
          <w:rFonts w:ascii="Arial Narrow" w:hAnsi="Arial Narrow"/>
          <w:sz w:val="16"/>
          <w:szCs w:val="16"/>
        </w:rPr>
        <w:t>superodpočtu</w:t>
      </w:r>
      <w:proofErr w:type="spellEnd"/>
      <w:r>
        <w:rPr>
          <w:rFonts w:ascii="Arial Narrow" w:hAnsi="Arial Narrow"/>
          <w:sz w:val="16"/>
          <w:szCs w:val="16"/>
        </w:rPr>
        <w:t xml:space="preserve"> na vývoj </w:t>
      </w:r>
      <w:r w:rsidRPr="00F13310">
        <w:rPr>
          <w:rFonts w:ascii="Arial Narrow" w:hAnsi="Arial Narrow"/>
          <w:sz w:val="16"/>
          <w:szCs w:val="16"/>
        </w:rPr>
        <w:t>a výskum z doterajších 100 percent na 150 percent a na 200 percent v budúcom roku.</w:t>
      </w:r>
    </w:p>
  </w:footnote>
  <w:footnote w:id="125">
    <w:p w14:paraId="316CCAA3" w14:textId="0371AD46" w:rsidR="00EE676F" w:rsidRPr="002974DB" w:rsidRDefault="00EE676F" w:rsidP="00E53C9B">
      <w:pPr>
        <w:pStyle w:val="Textpoznmkypodiarou"/>
        <w:rPr>
          <w:rFonts w:ascii="Arial Narrow" w:hAnsi="Arial Narrow"/>
          <w:sz w:val="16"/>
          <w:szCs w:val="16"/>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w:t>
      </w:r>
      <w:hyperlink r:id="rId39" w:history="1">
        <w:r>
          <w:rPr>
            <w:rStyle w:val="Hypertextovprepojenie"/>
            <w:rFonts w:ascii="Arial Narrow" w:hAnsi="Arial Narrow" w:cs="Arial"/>
            <w:color w:val="2C9ADC"/>
            <w:sz w:val="16"/>
            <w:szCs w:val="16"/>
          </w:rPr>
          <w:t>Akčný plán na posilnenie integrácie dlhodobo nezamestnaných na trh práce v SR.</w:t>
        </w:r>
      </w:hyperlink>
      <w:r w:rsidRPr="00642B43">
        <w:rPr>
          <w:rFonts w:ascii="Arial Narrow" w:hAnsi="Arial Narrow" w:cs="Arial"/>
          <w:sz w:val="16"/>
          <w:szCs w:val="16"/>
        </w:rPr>
        <w:t>.</w:t>
      </w:r>
    </w:p>
  </w:footnote>
  <w:footnote w:id="126">
    <w:p w14:paraId="35A69619" w14:textId="46FD7572" w:rsidR="00EE676F" w:rsidRPr="005C3EDF" w:rsidRDefault="00EE676F" w:rsidP="00E53C9B">
      <w:pPr>
        <w:pStyle w:val="Textpoznmkypodiarou"/>
        <w:rPr>
          <w:rFonts w:ascii="Arial Narrow" w:hAnsi="Arial Narrow"/>
        </w:rPr>
      </w:pPr>
      <w:r w:rsidRPr="005C3EDF">
        <w:rPr>
          <w:rStyle w:val="Odkaznapoznmkupodiarou"/>
          <w:rFonts w:ascii="Arial Narrow" w:hAnsi="Arial Narrow"/>
          <w:sz w:val="16"/>
        </w:rPr>
        <w:footnoteRef/>
      </w:r>
      <w:r w:rsidRPr="005C3EDF">
        <w:rPr>
          <w:rFonts w:ascii="Arial Narrow" w:hAnsi="Arial Narrow"/>
          <w:sz w:val="16"/>
        </w:rPr>
        <w:t xml:space="preserve"> </w:t>
      </w:r>
      <w:hyperlink r:id="rId40" w:history="1">
        <w:r w:rsidRPr="00024030">
          <w:rPr>
            <w:rStyle w:val="Hypertextovprepojenie"/>
            <w:rFonts w:ascii="Arial Narrow" w:hAnsi="Arial Narrow"/>
            <w:color w:val="2C9ADC"/>
            <w:sz w:val="16"/>
          </w:rPr>
          <w:t>www.trendypráce.sk</w:t>
        </w:r>
      </w:hyperlink>
    </w:p>
  </w:footnote>
  <w:footnote w:id="127">
    <w:p w14:paraId="52D9107A" w14:textId="77777777" w:rsidR="00EE676F" w:rsidRPr="00E41831" w:rsidRDefault="00EE676F" w:rsidP="00E53C9B">
      <w:pPr>
        <w:pStyle w:val="Textpoznmkypodiarou"/>
        <w:jc w:val="both"/>
        <w:rPr>
          <w:rFonts w:ascii="Arial Narrow" w:hAnsi="Arial Narrow"/>
        </w:rPr>
      </w:pPr>
      <w:r w:rsidRPr="00E41831">
        <w:rPr>
          <w:rStyle w:val="Odkaznapoznmkupodiarou"/>
          <w:rFonts w:ascii="Arial Narrow" w:hAnsi="Arial Narrow"/>
          <w:sz w:val="16"/>
        </w:rPr>
        <w:footnoteRef/>
      </w:r>
      <w:r w:rsidRPr="00E41831">
        <w:rPr>
          <w:rFonts w:ascii="Arial Narrow" w:hAnsi="Arial Narrow"/>
          <w:sz w:val="16"/>
        </w:rPr>
        <w:t xml:space="preserve"> Do budúcnosti bude potrebné vyriešiť dostupnosť ďalšej skupiny vysoko inovatívnych  liekov, ktorých dostupnosťou sa novela z roku 2018 nezaoberala. </w:t>
      </w:r>
    </w:p>
  </w:footnote>
  <w:footnote w:id="128">
    <w:p w14:paraId="6C59F887" w14:textId="77777777" w:rsidR="00EE676F" w:rsidRPr="00A804AD" w:rsidRDefault="00EE676F" w:rsidP="00E53C9B">
      <w:pPr>
        <w:spacing w:after="0" w:line="240" w:lineRule="auto"/>
        <w:jc w:val="both"/>
        <w:rPr>
          <w:rFonts w:ascii="Arial Narrow" w:hAnsi="Arial Narrow"/>
          <w:sz w:val="16"/>
          <w:szCs w:val="16"/>
          <w:lang w:eastAsia="en-US"/>
        </w:rPr>
      </w:pPr>
      <w:r w:rsidRPr="00642B43">
        <w:rPr>
          <w:rStyle w:val="Odkaznapoznmkupodiarou"/>
          <w:rFonts w:ascii="Arial Narrow" w:hAnsi="Arial Narrow"/>
          <w:sz w:val="16"/>
          <w:szCs w:val="16"/>
        </w:rPr>
        <w:footnoteRef/>
      </w:r>
      <w:r w:rsidRPr="00642B43">
        <w:rPr>
          <w:rFonts w:ascii="Arial Narrow" w:hAnsi="Arial Narrow"/>
          <w:sz w:val="16"/>
          <w:szCs w:val="16"/>
        </w:rPr>
        <w:t xml:space="preserve"> </w:t>
      </w:r>
      <w:r w:rsidRPr="00642B43">
        <w:rPr>
          <w:rFonts w:ascii="Arial Narrow" w:hAnsi="Arial Narrow"/>
          <w:sz w:val="16"/>
          <w:szCs w:val="16"/>
          <w:lang w:eastAsia="en-US"/>
        </w:rPr>
        <w:t>Financ</w:t>
      </w:r>
      <w:r w:rsidRPr="00A804AD">
        <w:rPr>
          <w:rFonts w:ascii="Arial Narrow" w:hAnsi="Arial Narrow"/>
          <w:sz w:val="16"/>
          <w:szCs w:val="16"/>
          <w:lang w:eastAsia="en-US"/>
        </w:rPr>
        <w:t>ovanie špecializovaného vzdelávania vo vybraných nedostatkových odboroch zo štátneho rozpočtu, s následnou podmienkou praxe v regiónoch.</w:t>
      </w:r>
    </w:p>
  </w:footnote>
  <w:footnote w:id="129">
    <w:p w14:paraId="52A03593" w14:textId="77777777" w:rsidR="00EE676F" w:rsidRPr="009C4001" w:rsidRDefault="00EE676F" w:rsidP="00E53C9B">
      <w:pPr>
        <w:pStyle w:val="Nadpis5"/>
        <w:shd w:val="clear" w:color="auto" w:fill="FFFFFF"/>
        <w:spacing w:before="0"/>
        <w:rPr>
          <w:rFonts w:ascii="Arial" w:hAnsi="Arial" w:cs="Arial"/>
          <w:color w:val="1E4E9D"/>
          <w:sz w:val="20"/>
          <w:szCs w:val="20"/>
        </w:rPr>
      </w:pPr>
      <w:r w:rsidRPr="009C4001">
        <w:rPr>
          <w:rStyle w:val="Odkaznapoznmkupodiarou"/>
          <w:rFonts w:ascii="Arial Narrow" w:hAnsi="Arial Narrow"/>
          <w:color w:val="auto"/>
          <w:sz w:val="16"/>
          <w:szCs w:val="16"/>
        </w:rPr>
        <w:footnoteRef/>
      </w:r>
      <w:r w:rsidRPr="009C4001">
        <w:rPr>
          <w:rFonts w:ascii="Arial Narrow" w:hAnsi="Arial Narrow"/>
          <w:color w:val="auto"/>
          <w:sz w:val="16"/>
          <w:szCs w:val="16"/>
        </w:rPr>
        <w:t xml:space="preserve"> Podľa </w:t>
      </w:r>
      <w:hyperlink r:id="rId41" w:history="1">
        <w:r w:rsidRPr="002974DB">
          <w:rPr>
            <w:rStyle w:val="Hypertextovprepojenie"/>
            <w:rFonts w:ascii="Arial Narrow" w:hAnsi="Arial Narrow"/>
            <w:color w:val="2C9ADC"/>
            <w:sz w:val="16"/>
            <w:szCs w:val="16"/>
          </w:rPr>
          <w:t>hodnotenia projektu</w:t>
        </w:r>
        <w:r>
          <w:rPr>
            <w:rStyle w:val="Hypertextovprepojenie"/>
            <w:rFonts w:ascii="Arial Narrow" w:hAnsi="Arial Narrow"/>
            <w:color w:val="2C9ADC"/>
            <w:sz w:val="16"/>
            <w:szCs w:val="16"/>
          </w:rPr>
          <w:t xml:space="preserve"> </w:t>
        </w:r>
        <w:r w:rsidRPr="009C4001">
          <w:rPr>
            <w:rStyle w:val="Hypertextovprepojenie"/>
            <w:rFonts w:ascii="Arial Narrow" w:hAnsi="Arial Narrow"/>
            <w:color w:val="2C9ADC"/>
            <w:sz w:val="16"/>
            <w:szCs w:val="16"/>
          </w:rPr>
          <w:t>Zdravotníctvo: Nová univerzitná nemocnica v</w:t>
        </w:r>
        <w:r>
          <w:rPr>
            <w:rStyle w:val="Hypertextovprepojenie"/>
            <w:rFonts w:ascii="Arial Narrow" w:hAnsi="Arial Narrow"/>
            <w:color w:val="2C9ADC"/>
            <w:sz w:val="16"/>
            <w:szCs w:val="16"/>
          </w:rPr>
          <w:t> </w:t>
        </w:r>
        <w:r w:rsidRPr="009C4001">
          <w:rPr>
            <w:rStyle w:val="Hypertextovprepojenie"/>
            <w:rFonts w:ascii="Arial Narrow" w:hAnsi="Arial Narrow"/>
            <w:color w:val="2C9ADC"/>
            <w:sz w:val="16"/>
            <w:szCs w:val="16"/>
          </w:rPr>
          <w:t>Bratislave</w:t>
        </w:r>
        <w:r>
          <w:rPr>
            <w:rStyle w:val="Hypertextovprepojenie"/>
            <w:rFonts w:ascii="Arial Narrow" w:hAnsi="Arial Narrow"/>
            <w:color w:val="2C9ADC"/>
            <w:sz w:val="16"/>
            <w:szCs w:val="16"/>
          </w:rPr>
          <w:t xml:space="preserve"> (apríl 2017)</w:t>
        </w:r>
      </w:hyperlink>
      <w:r>
        <w:rPr>
          <w:rStyle w:val="Hypertextovprepojenie"/>
          <w:rFonts w:ascii="Arial Narrow" w:hAnsi="Arial Narrow"/>
          <w:color w:val="2C9ADC"/>
          <w:sz w:val="16"/>
          <w:szCs w:val="16"/>
        </w:rPr>
        <w:t>.</w:t>
      </w:r>
      <w:r w:rsidRPr="00752B46">
        <w:rPr>
          <w:rFonts w:ascii="Arial Narrow" w:hAnsi="Arial Narrow"/>
          <w:sz w:val="16"/>
          <w:szCs w:val="16"/>
        </w:rPr>
        <w:t xml:space="preserve"> </w:t>
      </w:r>
    </w:p>
  </w:footnote>
  <w:footnote w:id="130">
    <w:p w14:paraId="67341CD8" w14:textId="77777777" w:rsidR="00EE676F" w:rsidRPr="00642B43" w:rsidRDefault="00EE676F" w:rsidP="00E53C9B">
      <w:pPr>
        <w:pStyle w:val="Textpoznmkypodiarou"/>
        <w:rPr>
          <w:rFonts w:ascii="Arial Narrow" w:hAnsi="Arial Narrow"/>
          <w:sz w:val="16"/>
          <w:szCs w:val="16"/>
        </w:rPr>
      </w:pPr>
      <w:r w:rsidRPr="009C4001">
        <w:rPr>
          <w:rStyle w:val="Odkaznapoznmkupodiarou"/>
          <w:rFonts w:ascii="Arial Narrow" w:hAnsi="Arial Narrow"/>
          <w:sz w:val="16"/>
          <w:szCs w:val="16"/>
        </w:rPr>
        <w:footnoteRef/>
      </w:r>
      <w:r w:rsidRPr="009C4001">
        <w:rPr>
          <w:rFonts w:ascii="Arial Narrow" w:hAnsi="Arial Narrow"/>
          <w:sz w:val="16"/>
          <w:szCs w:val="16"/>
        </w:rPr>
        <w:t xml:space="preserve"> Podľa </w:t>
      </w:r>
      <w:hyperlink r:id="rId42" w:history="1">
        <w:r w:rsidRPr="003F2218">
          <w:rPr>
            <w:rStyle w:val="Hypertextovprepojenie"/>
            <w:rFonts w:ascii="Arial Narrow" w:hAnsi="Arial Narrow"/>
            <w:color w:val="2C9ADC"/>
            <w:sz w:val="16"/>
            <w:szCs w:val="16"/>
          </w:rPr>
          <w:t xml:space="preserve">hodnotenia projektu Zdravotníctvo: Rekonštrukcia Fakultnej nemocnice s poliklinikou v Banskej Bystrici </w:t>
        </w:r>
        <w:r>
          <w:rPr>
            <w:rStyle w:val="Hypertextovprepojenie"/>
            <w:rFonts w:ascii="Arial Narrow" w:hAnsi="Arial Narrow"/>
            <w:color w:val="2C9ADC"/>
            <w:sz w:val="16"/>
            <w:szCs w:val="16"/>
          </w:rPr>
          <w:t>(január 2019)</w:t>
        </w:r>
      </w:hyperlink>
    </w:p>
  </w:footnote>
  <w:footnote w:id="131">
    <w:p w14:paraId="55437F81" w14:textId="77777777" w:rsidR="00EE676F" w:rsidRPr="002974DB" w:rsidRDefault="00EE676F" w:rsidP="00E53C9B">
      <w:pPr>
        <w:pStyle w:val="Textpoznmkypodiarou"/>
        <w:rPr>
          <w:rFonts w:ascii="Arial Narrow" w:hAnsi="Arial Narrow"/>
          <w:sz w:val="16"/>
          <w:szCs w:val="16"/>
        </w:rPr>
      </w:pPr>
      <w:r w:rsidRPr="002974DB">
        <w:rPr>
          <w:rStyle w:val="Odkaznapoznmkupodiarou"/>
          <w:rFonts w:ascii="Arial Narrow" w:hAnsi="Arial Narrow"/>
          <w:sz w:val="16"/>
          <w:szCs w:val="16"/>
        </w:rPr>
        <w:footnoteRef/>
      </w:r>
      <w:r w:rsidRPr="002974DB">
        <w:rPr>
          <w:rFonts w:ascii="Arial Narrow" w:hAnsi="Arial Narrow"/>
          <w:sz w:val="16"/>
          <w:szCs w:val="16"/>
        </w:rPr>
        <w:t xml:space="preserve"> Návrh rozpočtového plánu Slovenskej republiky na rok 2019</w:t>
      </w:r>
    </w:p>
  </w:footnote>
  <w:footnote w:id="132">
    <w:p w14:paraId="197F6D6E" w14:textId="77777777" w:rsidR="00EE676F" w:rsidRPr="001D6024" w:rsidRDefault="00EE676F" w:rsidP="00E53C9B">
      <w:pPr>
        <w:pStyle w:val="Textpoznmkypodiarou"/>
        <w:rPr>
          <w:rFonts w:ascii="Arial Narrow" w:hAnsi="Arial Narrow"/>
          <w:sz w:val="16"/>
          <w:szCs w:val="16"/>
        </w:rPr>
      </w:pPr>
      <w:r w:rsidRPr="001D6024">
        <w:rPr>
          <w:rStyle w:val="Odkaznapoznmkupodiarou"/>
          <w:rFonts w:ascii="Arial Narrow" w:hAnsi="Arial Narrow"/>
          <w:sz w:val="16"/>
          <w:szCs w:val="16"/>
        </w:rPr>
        <w:footnoteRef/>
      </w:r>
      <w:r w:rsidRPr="001D6024">
        <w:rPr>
          <w:rFonts w:ascii="Arial Narrow" w:hAnsi="Arial Narrow"/>
          <w:sz w:val="16"/>
          <w:szCs w:val="16"/>
        </w:rPr>
        <w:t xml:space="preserve"> Zákon č. 177/2018 Z. z. o niektorých opatreniach na znižovanie administratívnej záťaže využívaním informačných systémov verejnej správy a o zmene a doplnení niektorých zákonov</w:t>
      </w:r>
    </w:p>
  </w:footnote>
  <w:footnote w:id="133">
    <w:p w14:paraId="4895C836" w14:textId="637626D7" w:rsidR="00EE676F" w:rsidRDefault="00EE676F" w:rsidP="00E53C9B">
      <w:pPr>
        <w:pStyle w:val="Textpoznmkypodiarou"/>
      </w:pPr>
      <w:r w:rsidRPr="009C7372">
        <w:rPr>
          <w:rStyle w:val="Odkaznapoznmkupodiarou"/>
          <w:rFonts w:ascii="Arial Narrow" w:hAnsi="Arial Narrow"/>
          <w:sz w:val="16"/>
          <w:szCs w:val="16"/>
        </w:rPr>
        <w:footnoteRef/>
      </w:r>
      <w:r w:rsidRPr="009C7372">
        <w:rPr>
          <w:rFonts w:ascii="Arial Narrow" w:hAnsi="Arial Narrow"/>
          <w:sz w:val="16"/>
          <w:szCs w:val="16"/>
        </w:rPr>
        <w:t xml:space="preserve"> </w:t>
      </w:r>
      <w:r>
        <w:rPr>
          <w:rFonts w:ascii="Arial Narrow" w:hAnsi="Arial Narrow"/>
          <w:sz w:val="16"/>
          <w:szCs w:val="16"/>
        </w:rPr>
        <w:t>N</w:t>
      </w:r>
      <w:r w:rsidRPr="005E354E">
        <w:rPr>
          <w:rFonts w:ascii="Arial Narrow" w:hAnsi="Arial Narrow"/>
          <w:sz w:val="16"/>
          <w:szCs w:val="16"/>
        </w:rPr>
        <w:t>ávrh zákona o informačných technológiách vo verejnej správe</w:t>
      </w:r>
      <w:r>
        <w:rPr>
          <w:rFonts w:ascii="Arial Narrow" w:hAnsi="Arial Narrow"/>
          <w:sz w:val="16"/>
          <w:szCs w:val="16"/>
        </w:rPr>
        <w:t xml:space="preserve"> bol schválený vládou v decembri 2018. </w:t>
      </w:r>
      <w:r w:rsidRPr="009C7372">
        <w:rPr>
          <w:rFonts w:ascii="Arial Narrow" w:hAnsi="Arial Narrow" w:cs="Arial"/>
          <w:sz w:val="16"/>
          <w:szCs w:val="16"/>
        </w:rPr>
        <w:t>Aktuálne</w:t>
      </w:r>
      <w:r>
        <w:rPr>
          <w:rFonts w:ascii="Arial Narrow" w:hAnsi="Arial Narrow" w:cs="Arial"/>
          <w:sz w:val="16"/>
          <w:szCs w:val="16"/>
        </w:rPr>
        <w:t xml:space="preserve"> stále p</w:t>
      </w:r>
      <w:r w:rsidRPr="005E354E">
        <w:rPr>
          <w:rFonts w:ascii="Arial Narrow" w:hAnsi="Arial Narrow" w:cs="Arial"/>
          <w:sz w:val="16"/>
          <w:szCs w:val="16"/>
        </w:rPr>
        <w:t xml:space="preserve">latná právna úprava v oblasti správy informačných systémov bola prijatá </w:t>
      </w:r>
      <w:r>
        <w:rPr>
          <w:rFonts w:ascii="Arial Narrow" w:hAnsi="Arial Narrow" w:cs="Arial"/>
          <w:sz w:val="16"/>
          <w:szCs w:val="16"/>
        </w:rPr>
        <w:t xml:space="preserve">ešte </w:t>
      </w:r>
      <w:r w:rsidRPr="005E354E">
        <w:rPr>
          <w:rFonts w:ascii="Arial Narrow" w:hAnsi="Arial Narrow" w:cs="Arial"/>
          <w:sz w:val="16"/>
          <w:szCs w:val="16"/>
        </w:rPr>
        <w:t>v roku 2006</w:t>
      </w:r>
      <w:r>
        <w:rPr>
          <w:rFonts w:ascii="Arial Narrow" w:hAnsi="Arial Narrow" w:cs="Arial"/>
          <w:sz w:val="16"/>
          <w:szCs w:val="16"/>
        </w:rPr>
        <w:t>.</w:t>
      </w:r>
    </w:p>
  </w:footnote>
  <w:footnote w:id="134">
    <w:p w14:paraId="352EA2C0" w14:textId="77777777" w:rsidR="00EE676F" w:rsidRPr="009C7372" w:rsidRDefault="00EE676F" w:rsidP="00E53C9B">
      <w:pPr>
        <w:pStyle w:val="Textpoznmkypodiarou"/>
        <w:rPr>
          <w:rFonts w:ascii="Arial Narrow" w:hAnsi="Arial Narrow"/>
          <w:sz w:val="16"/>
          <w:szCs w:val="16"/>
        </w:rPr>
      </w:pPr>
      <w:r w:rsidRPr="009C7372">
        <w:rPr>
          <w:rStyle w:val="Odkaznapoznmkupodiarou"/>
          <w:rFonts w:ascii="Arial Narrow" w:hAnsi="Arial Narrow"/>
          <w:sz w:val="16"/>
          <w:szCs w:val="16"/>
        </w:rPr>
        <w:footnoteRef/>
      </w:r>
      <w:r w:rsidRPr="009C7372">
        <w:rPr>
          <w:rFonts w:ascii="Arial Narrow" w:hAnsi="Arial Narrow"/>
          <w:sz w:val="16"/>
          <w:szCs w:val="16"/>
        </w:rPr>
        <w:t xml:space="preserve"> </w:t>
      </w:r>
      <w:hyperlink r:id="rId43" w:history="1">
        <w:proofErr w:type="spellStart"/>
        <w:r w:rsidRPr="009C7372">
          <w:rPr>
            <w:rStyle w:val="Hypertextovprepojenie"/>
            <w:rFonts w:ascii="Arial Narrow" w:hAnsi="Arial Narrow"/>
            <w:color w:val="2C9ADC"/>
            <w:sz w:val="16"/>
            <w:szCs w:val="16"/>
          </w:rPr>
          <w:t>Computer</w:t>
        </w:r>
        <w:proofErr w:type="spellEnd"/>
        <w:r w:rsidRPr="009C7372">
          <w:rPr>
            <w:rStyle w:val="Hypertextovprepojenie"/>
            <w:rFonts w:ascii="Arial Narrow" w:hAnsi="Arial Narrow"/>
            <w:color w:val="2C9ADC"/>
            <w:sz w:val="16"/>
            <w:szCs w:val="16"/>
          </w:rPr>
          <w:t xml:space="preserve"> </w:t>
        </w:r>
        <w:proofErr w:type="spellStart"/>
        <w:r w:rsidRPr="009C7372">
          <w:rPr>
            <w:rStyle w:val="Hypertextovprepojenie"/>
            <w:rFonts w:ascii="Arial Narrow" w:hAnsi="Arial Narrow"/>
            <w:color w:val="2C9ADC"/>
            <w:sz w:val="16"/>
            <w:szCs w:val="16"/>
          </w:rPr>
          <w:t>Security</w:t>
        </w:r>
        <w:proofErr w:type="spellEnd"/>
        <w:r w:rsidRPr="009C7372">
          <w:rPr>
            <w:rStyle w:val="Hypertextovprepojenie"/>
            <w:rFonts w:ascii="Arial Narrow" w:hAnsi="Arial Narrow"/>
            <w:color w:val="2C9ADC"/>
            <w:sz w:val="16"/>
            <w:szCs w:val="16"/>
          </w:rPr>
          <w:t xml:space="preserve"> Incident </w:t>
        </w:r>
        <w:proofErr w:type="spellStart"/>
        <w:r w:rsidRPr="009C7372">
          <w:rPr>
            <w:rStyle w:val="Hypertextovprepojenie"/>
            <w:rFonts w:ascii="Arial Narrow" w:hAnsi="Arial Narrow"/>
            <w:color w:val="2C9ADC"/>
            <w:sz w:val="16"/>
            <w:szCs w:val="16"/>
          </w:rPr>
          <w:t>Response</w:t>
        </w:r>
        <w:proofErr w:type="spellEnd"/>
        <w:r w:rsidRPr="009C7372">
          <w:rPr>
            <w:rStyle w:val="Hypertextovprepojenie"/>
            <w:rFonts w:ascii="Arial Narrow" w:hAnsi="Arial Narrow"/>
            <w:color w:val="2C9ADC"/>
            <w:sz w:val="16"/>
            <w:szCs w:val="16"/>
          </w:rPr>
          <w:t xml:space="preserve"> Team Slovakia</w:t>
        </w:r>
        <w:r w:rsidRPr="009C7372">
          <w:rPr>
            <w:rStyle w:val="Hypertextovprepojenie"/>
            <w:rFonts w:ascii="Arial Narrow" w:hAnsi="Arial Narrow"/>
            <w:color w:val="000000" w:themeColor="text1"/>
            <w:sz w:val="16"/>
            <w:szCs w:val="16"/>
            <w:u w:val="none"/>
          </w:rPr>
          <w:t>.</w:t>
        </w:r>
      </w:hyperlink>
    </w:p>
  </w:footnote>
  <w:footnote w:id="135">
    <w:p w14:paraId="59265F23" w14:textId="77777777" w:rsidR="00EE676F" w:rsidRPr="002974DB" w:rsidRDefault="00EE676F" w:rsidP="00E53C9B">
      <w:pPr>
        <w:pStyle w:val="Textpoznmkypodiarou"/>
        <w:rPr>
          <w:rFonts w:ascii="Arial Narrow" w:hAnsi="Arial Narrow"/>
          <w:sz w:val="16"/>
          <w:szCs w:val="16"/>
        </w:rPr>
      </w:pPr>
      <w:r w:rsidRPr="00A804AD">
        <w:rPr>
          <w:rStyle w:val="Odkaznapoznmkupodiarou"/>
          <w:rFonts w:ascii="Arial Narrow" w:hAnsi="Arial Narrow"/>
          <w:sz w:val="16"/>
          <w:szCs w:val="16"/>
        </w:rPr>
        <w:footnoteRef/>
      </w:r>
      <w:r w:rsidRPr="00752B46">
        <w:rPr>
          <w:rFonts w:ascii="Arial Narrow" w:hAnsi="Arial Narrow"/>
          <w:sz w:val="16"/>
          <w:szCs w:val="16"/>
        </w:rPr>
        <w:t xml:space="preserve"> </w:t>
      </w:r>
      <w:proofErr w:type="spellStart"/>
      <w:r w:rsidRPr="00752B46">
        <w:rPr>
          <w:rFonts w:ascii="Arial Narrow" w:hAnsi="Arial Narrow"/>
          <w:sz w:val="16"/>
          <w:szCs w:val="16"/>
        </w:rPr>
        <w:t>Connecting</w:t>
      </w:r>
      <w:proofErr w:type="spellEnd"/>
      <w:r w:rsidRPr="00752B46">
        <w:rPr>
          <w:rFonts w:ascii="Arial Narrow" w:hAnsi="Arial Narrow"/>
          <w:sz w:val="16"/>
          <w:szCs w:val="16"/>
        </w:rPr>
        <w:t xml:space="preserve"> </w:t>
      </w:r>
      <w:proofErr w:type="spellStart"/>
      <w:r w:rsidRPr="00752B46">
        <w:rPr>
          <w:rFonts w:ascii="Arial Narrow" w:hAnsi="Arial Narrow"/>
          <w:sz w:val="16"/>
          <w:szCs w:val="16"/>
        </w:rPr>
        <w:t>Europe</w:t>
      </w:r>
      <w:proofErr w:type="spellEnd"/>
      <w:r w:rsidRPr="00752B46">
        <w:rPr>
          <w:rFonts w:ascii="Arial Narrow" w:hAnsi="Arial Narrow"/>
          <w:sz w:val="16"/>
          <w:szCs w:val="16"/>
        </w:rPr>
        <w:t xml:space="preserve"> </w:t>
      </w:r>
      <w:proofErr w:type="spellStart"/>
      <w:r w:rsidRPr="00752B46">
        <w:rPr>
          <w:rFonts w:ascii="Arial Narrow" w:hAnsi="Arial Narrow"/>
          <w:sz w:val="16"/>
          <w:szCs w:val="16"/>
        </w:rPr>
        <w:t>Facility</w:t>
      </w:r>
      <w:proofErr w:type="spellEnd"/>
      <w:r w:rsidRPr="00752B46">
        <w:rPr>
          <w:rFonts w:ascii="Arial Narrow" w:hAnsi="Arial Narrow"/>
          <w:sz w:val="16"/>
          <w:szCs w:val="16"/>
        </w:rPr>
        <w:t xml:space="preserve"> – Nástroj na prepájanie Európy.</w:t>
      </w:r>
    </w:p>
  </w:footnote>
  <w:footnote w:id="136">
    <w:p w14:paraId="301CB52E" w14:textId="77777777" w:rsidR="00EE676F" w:rsidRPr="00314D8D" w:rsidRDefault="00EE676F" w:rsidP="00E53C9B">
      <w:pPr>
        <w:pStyle w:val="Textpoznmkypodiarou"/>
        <w:rPr>
          <w:rFonts w:ascii="Arial Narrow" w:hAnsi="Arial Narrow"/>
        </w:rPr>
      </w:pPr>
      <w:r w:rsidRPr="00314D8D">
        <w:rPr>
          <w:rStyle w:val="Odkaznapoznmkupodiarou"/>
          <w:rFonts w:ascii="Arial Narrow" w:hAnsi="Arial Narrow"/>
          <w:sz w:val="16"/>
        </w:rPr>
        <w:footnoteRef/>
      </w:r>
      <w:r w:rsidRPr="00314D8D">
        <w:rPr>
          <w:rFonts w:ascii="Arial Narrow" w:hAnsi="Arial Narrow"/>
          <w:sz w:val="16"/>
        </w:rPr>
        <w:t xml:space="preserve"> </w:t>
      </w:r>
      <w:r>
        <w:rPr>
          <w:rFonts w:ascii="Arial Narrow" w:hAnsi="Arial Narrow"/>
          <w:sz w:val="16"/>
        </w:rPr>
        <w:t xml:space="preserve">V rámci obnovy bytového fondu ide o obstaranie </w:t>
      </w:r>
      <w:r w:rsidRPr="00314D8D">
        <w:rPr>
          <w:rFonts w:ascii="Arial Narrow" w:hAnsi="Arial Narrow"/>
          <w:sz w:val="16"/>
        </w:rPr>
        <w:t>príslušnej technickej vybavenosti a odstraňovanie systémových porúch bytových domov, ako aj poskytovanie príspevkov na zatepľovanie rodinných domov</w:t>
      </w:r>
      <w:r>
        <w:rPr>
          <w:rFonts w:ascii="Arial Narrow" w:hAnsi="Arial Narrow"/>
          <w:sz w:val="16"/>
        </w:rPr>
        <w:t>.</w:t>
      </w:r>
    </w:p>
  </w:footnote>
  <w:footnote w:id="137">
    <w:p w14:paraId="357BB2D7" w14:textId="0E16CFEA" w:rsidR="00EE676F" w:rsidRPr="00F51C1B" w:rsidRDefault="00EE676F" w:rsidP="00541050">
      <w:pPr>
        <w:pStyle w:val="Textpoznmkypodiarou"/>
        <w:rPr>
          <w:rFonts w:ascii="Arial Narrow" w:hAnsi="Arial Narrow"/>
        </w:rPr>
      </w:pPr>
      <w:r w:rsidRPr="00F51C1B">
        <w:rPr>
          <w:rStyle w:val="Odkaznapoznmkupodiarou"/>
          <w:rFonts w:ascii="Arial Narrow" w:hAnsi="Arial Narrow"/>
          <w:sz w:val="16"/>
        </w:rPr>
        <w:footnoteRef/>
      </w:r>
      <w:r w:rsidRPr="00F51C1B">
        <w:rPr>
          <w:rFonts w:ascii="Arial Narrow" w:hAnsi="Arial Narrow"/>
          <w:sz w:val="16"/>
        </w:rPr>
        <w:t xml:space="preserve"> </w:t>
      </w:r>
      <w:hyperlink r:id="rId44" w:history="1">
        <w:r w:rsidRPr="00F51C1B">
          <w:rPr>
            <w:rStyle w:val="Hypertextovprepojenie"/>
            <w:rFonts w:ascii="Arial Narrow" w:hAnsi="Arial Narrow"/>
            <w:color w:val="2C9ADC"/>
            <w:sz w:val="16"/>
          </w:rPr>
          <w:t>Uznesenie</w:t>
        </w:r>
      </w:hyperlink>
      <w:r w:rsidRPr="00F51C1B">
        <w:rPr>
          <w:rFonts w:ascii="Arial Narrow" w:hAnsi="Arial Narrow"/>
          <w:sz w:val="16"/>
        </w:rPr>
        <w:t xml:space="preserve"> bolo prijaté dňa 30. januára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E9ABD" w14:textId="77777777" w:rsidR="00EE676F" w:rsidRDefault="00EE676F">
    <w:pPr>
      <w:pStyle w:val="Hlavika"/>
    </w:pPr>
    <w:r>
      <w:rPr>
        <w:noProof/>
        <w:lang w:val="en-GB" w:eastAsia="en-GB"/>
      </w:rPr>
      <mc:AlternateContent>
        <mc:Choice Requires="wps">
          <w:drawing>
            <wp:anchor distT="0" distB="0" distL="114300" distR="114300" simplePos="0" relativeHeight="251653120" behindDoc="1" locked="0" layoutInCell="0" allowOverlap="1" wp14:anchorId="32750A5C" wp14:editId="4F1B2C89">
              <wp:simplePos x="0" y="0"/>
              <wp:positionH relativeFrom="page">
                <wp:posOffset>-1905</wp:posOffset>
              </wp:positionH>
              <wp:positionV relativeFrom="page">
                <wp:posOffset>0</wp:posOffset>
              </wp:positionV>
              <wp:extent cx="1125220" cy="71120"/>
              <wp:effectExtent l="0" t="0" r="0" b="508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71120"/>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D1FA7" id="Rectangle 15" o:spid="_x0000_s1026" style="position:absolute;margin-left:-.15pt;margin-top:0;width:88.6pt;height:5.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" o:allowincell="f" fillcolor="#37abe1" stroked="f">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A63"/>
    <w:multiLevelType w:val="hybridMultilevel"/>
    <w:tmpl w:val="BBB0ED54"/>
    <w:lvl w:ilvl="0" w:tplc="041B0003">
      <w:start w:val="1"/>
      <w:numFmt w:val="bullet"/>
      <w:lvlText w:val="o"/>
      <w:lvlJc w:val="left"/>
      <w:pPr>
        <w:ind w:left="720" w:hanging="360"/>
      </w:pPr>
      <w:rPr>
        <w:rFonts w:ascii="Courier New" w:hAnsi="Courier New" w:cs="Courier New"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FD678E"/>
    <w:multiLevelType w:val="hybridMultilevel"/>
    <w:tmpl w:val="F1BA236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55AF4"/>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373449"/>
    <w:multiLevelType w:val="hybridMultilevel"/>
    <w:tmpl w:val="14A42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7F2A00"/>
    <w:multiLevelType w:val="hybridMultilevel"/>
    <w:tmpl w:val="DC2C1AE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1CD0"/>
    <w:multiLevelType w:val="hybridMultilevel"/>
    <w:tmpl w:val="09C049D8"/>
    <w:lvl w:ilvl="0" w:tplc="D054B0FA">
      <w:start w:val="1"/>
      <w:numFmt w:val="bullet"/>
      <w:lvlText w:val="-"/>
      <w:lvlJc w:val="left"/>
      <w:pPr>
        <w:ind w:left="360" w:hanging="360"/>
      </w:pPr>
      <w:rPr>
        <w:rFonts w:ascii="Arial Narrow" w:eastAsiaTheme="minorHAnsi" w:hAnsi="Arial Narrow" w:cstheme="minorBid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0BCE7F77"/>
    <w:multiLevelType w:val="hybridMultilevel"/>
    <w:tmpl w:val="DED2CAD6"/>
    <w:lvl w:ilvl="0" w:tplc="8B20D04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B75327"/>
    <w:multiLevelType w:val="hybridMultilevel"/>
    <w:tmpl w:val="7CA082BE"/>
    <w:lvl w:ilvl="0" w:tplc="041B0001">
      <w:start w:val="1"/>
      <w:numFmt w:val="bullet"/>
      <w:lvlText w:val=""/>
      <w:lvlJc w:val="left"/>
      <w:pPr>
        <w:ind w:left="360" w:hanging="360"/>
      </w:pPr>
      <w:rPr>
        <w:rFonts w:ascii="Symbol" w:hAnsi="Symbol" w:hint="default"/>
        <w:b/>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0ED663CB"/>
    <w:multiLevelType w:val="multilevel"/>
    <w:tmpl w:val="44F6F9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A406BF"/>
    <w:multiLevelType w:val="hybridMultilevel"/>
    <w:tmpl w:val="D534B9FE"/>
    <w:lvl w:ilvl="0" w:tplc="337EEFDE">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7442F9"/>
    <w:multiLevelType w:val="hybridMultilevel"/>
    <w:tmpl w:val="FC7A90B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14E13D3E"/>
    <w:multiLevelType w:val="hybridMultilevel"/>
    <w:tmpl w:val="63E6F6F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8BA4F5F"/>
    <w:multiLevelType w:val="hybridMultilevel"/>
    <w:tmpl w:val="8CB456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434017"/>
    <w:multiLevelType w:val="hybridMultilevel"/>
    <w:tmpl w:val="2A32453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E22699"/>
    <w:multiLevelType w:val="hybridMultilevel"/>
    <w:tmpl w:val="FCF6284E"/>
    <w:lvl w:ilvl="0" w:tplc="337EEF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EDF1ADA"/>
    <w:multiLevelType w:val="hybridMultilevel"/>
    <w:tmpl w:val="76063DE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02723A7"/>
    <w:multiLevelType w:val="hybridMultilevel"/>
    <w:tmpl w:val="E72AEA50"/>
    <w:lvl w:ilvl="0" w:tplc="0409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32E47F0"/>
    <w:multiLevelType w:val="hybridMultilevel"/>
    <w:tmpl w:val="FEE2B8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54E6278"/>
    <w:multiLevelType w:val="hybridMultilevel"/>
    <w:tmpl w:val="ABEC2280"/>
    <w:lvl w:ilvl="0" w:tplc="08090011">
      <w:start w:val="1"/>
      <w:numFmt w:val="decimal"/>
      <w:lvlText w:val="%1)"/>
      <w:lvlJc w:val="left"/>
      <w:pPr>
        <w:ind w:left="1428" w:hanging="360"/>
      </w:p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9" w15:restartNumberingAfterBreak="0">
    <w:nsid w:val="2568314C"/>
    <w:multiLevelType w:val="hybridMultilevel"/>
    <w:tmpl w:val="B81EEF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BF9394E"/>
    <w:multiLevelType w:val="hybridMultilevel"/>
    <w:tmpl w:val="6CC403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97590C"/>
    <w:multiLevelType w:val="hybridMultilevel"/>
    <w:tmpl w:val="24567662"/>
    <w:lvl w:ilvl="0" w:tplc="2312DC32">
      <w:start w:val="76"/>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F9D4AAC"/>
    <w:multiLevelType w:val="hybridMultilevel"/>
    <w:tmpl w:val="C318E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FD82B91"/>
    <w:multiLevelType w:val="hybridMultilevel"/>
    <w:tmpl w:val="794A7278"/>
    <w:lvl w:ilvl="0" w:tplc="40F463B4">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6FF1C15"/>
    <w:multiLevelType w:val="hybridMultilevel"/>
    <w:tmpl w:val="55982E5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0306B5"/>
    <w:multiLevelType w:val="hybridMultilevel"/>
    <w:tmpl w:val="903E3714"/>
    <w:lvl w:ilvl="0" w:tplc="041B0001">
      <w:start w:val="1"/>
      <w:numFmt w:val="bullet"/>
      <w:lvlText w:val=""/>
      <w:lvlJc w:val="left"/>
      <w:pPr>
        <w:ind w:left="720" w:hanging="360"/>
      </w:pPr>
      <w:rPr>
        <w:rFonts w:ascii="Symbol" w:hAnsi="Symbol" w:hint="default"/>
      </w:rPr>
    </w:lvl>
    <w:lvl w:ilvl="1" w:tplc="4EDA6EE0">
      <w:numFmt w:val="bullet"/>
      <w:lvlText w:val="-"/>
      <w:lvlJc w:val="left"/>
      <w:pPr>
        <w:ind w:left="1650" w:hanging="570"/>
      </w:pPr>
      <w:rPr>
        <w:rFonts w:ascii="Calibri" w:eastAsia="Calibri" w:hAnsi="Calibri"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389E4044"/>
    <w:multiLevelType w:val="hybridMultilevel"/>
    <w:tmpl w:val="BBBA7136"/>
    <w:lvl w:ilvl="0" w:tplc="E0A81D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93744D6"/>
    <w:multiLevelType w:val="hybridMultilevel"/>
    <w:tmpl w:val="24320FA6"/>
    <w:lvl w:ilvl="0" w:tplc="041B000F">
      <w:start w:val="1"/>
      <w:numFmt w:val="decimal"/>
      <w:lvlText w:val="%1."/>
      <w:lvlJc w:val="left"/>
      <w:pPr>
        <w:ind w:left="360" w:hanging="360"/>
      </w:pPr>
      <w:rPr>
        <w:rFonts w:cs="Times New Roman" w:hint="default"/>
      </w:rPr>
    </w:lvl>
    <w:lvl w:ilvl="1" w:tplc="041B0019">
      <w:start w:val="1"/>
      <w:numFmt w:val="lowerLetter"/>
      <w:pStyle w:val="Nadpis7"/>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39DD185B"/>
    <w:multiLevelType w:val="hybridMultilevel"/>
    <w:tmpl w:val="672EB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BAC7F00"/>
    <w:multiLevelType w:val="hybridMultilevel"/>
    <w:tmpl w:val="6BE6F0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3BD512A5"/>
    <w:multiLevelType w:val="hybridMultilevel"/>
    <w:tmpl w:val="D10EA2F8"/>
    <w:lvl w:ilvl="0" w:tplc="041B0001">
      <w:start w:val="1"/>
      <w:numFmt w:val="bullet"/>
      <w:lvlText w:val=""/>
      <w:lvlJc w:val="left"/>
      <w:pPr>
        <w:ind w:left="363" w:hanging="360"/>
      </w:pPr>
      <w:rPr>
        <w:rFonts w:ascii="Symbol" w:hAnsi="Symbol" w:hint="default"/>
      </w:rPr>
    </w:lvl>
    <w:lvl w:ilvl="1" w:tplc="041B0003" w:tentative="1">
      <w:start w:val="1"/>
      <w:numFmt w:val="bullet"/>
      <w:lvlText w:val="o"/>
      <w:lvlJc w:val="left"/>
      <w:pPr>
        <w:ind w:left="1083" w:hanging="360"/>
      </w:pPr>
      <w:rPr>
        <w:rFonts w:ascii="Courier New" w:hAnsi="Courier New" w:cs="Courier New" w:hint="default"/>
      </w:rPr>
    </w:lvl>
    <w:lvl w:ilvl="2" w:tplc="041B0005" w:tentative="1">
      <w:start w:val="1"/>
      <w:numFmt w:val="bullet"/>
      <w:lvlText w:val=""/>
      <w:lvlJc w:val="left"/>
      <w:pPr>
        <w:ind w:left="1803" w:hanging="360"/>
      </w:pPr>
      <w:rPr>
        <w:rFonts w:ascii="Wingdings" w:hAnsi="Wingdings" w:hint="default"/>
      </w:rPr>
    </w:lvl>
    <w:lvl w:ilvl="3" w:tplc="041B0001" w:tentative="1">
      <w:start w:val="1"/>
      <w:numFmt w:val="bullet"/>
      <w:lvlText w:val=""/>
      <w:lvlJc w:val="left"/>
      <w:pPr>
        <w:ind w:left="2523" w:hanging="360"/>
      </w:pPr>
      <w:rPr>
        <w:rFonts w:ascii="Symbol" w:hAnsi="Symbol" w:hint="default"/>
      </w:rPr>
    </w:lvl>
    <w:lvl w:ilvl="4" w:tplc="041B0003" w:tentative="1">
      <w:start w:val="1"/>
      <w:numFmt w:val="bullet"/>
      <w:lvlText w:val="o"/>
      <w:lvlJc w:val="left"/>
      <w:pPr>
        <w:ind w:left="3243" w:hanging="360"/>
      </w:pPr>
      <w:rPr>
        <w:rFonts w:ascii="Courier New" w:hAnsi="Courier New" w:cs="Courier New" w:hint="default"/>
      </w:rPr>
    </w:lvl>
    <w:lvl w:ilvl="5" w:tplc="041B0005" w:tentative="1">
      <w:start w:val="1"/>
      <w:numFmt w:val="bullet"/>
      <w:lvlText w:val=""/>
      <w:lvlJc w:val="left"/>
      <w:pPr>
        <w:ind w:left="3963" w:hanging="360"/>
      </w:pPr>
      <w:rPr>
        <w:rFonts w:ascii="Wingdings" w:hAnsi="Wingdings" w:hint="default"/>
      </w:rPr>
    </w:lvl>
    <w:lvl w:ilvl="6" w:tplc="041B0001" w:tentative="1">
      <w:start w:val="1"/>
      <w:numFmt w:val="bullet"/>
      <w:lvlText w:val=""/>
      <w:lvlJc w:val="left"/>
      <w:pPr>
        <w:ind w:left="4683" w:hanging="360"/>
      </w:pPr>
      <w:rPr>
        <w:rFonts w:ascii="Symbol" w:hAnsi="Symbol" w:hint="default"/>
      </w:rPr>
    </w:lvl>
    <w:lvl w:ilvl="7" w:tplc="041B0003" w:tentative="1">
      <w:start w:val="1"/>
      <w:numFmt w:val="bullet"/>
      <w:lvlText w:val="o"/>
      <w:lvlJc w:val="left"/>
      <w:pPr>
        <w:ind w:left="5403" w:hanging="360"/>
      </w:pPr>
      <w:rPr>
        <w:rFonts w:ascii="Courier New" w:hAnsi="Courier New" w:cs="Courier New" w:hint="default"/>
      </w:rPr>
    </w:lvl>
    <w:lvl w:ilvl="8" w:tplc="041B0005" w:tentative="1">
      <w:start w:val="1"/>
      <w:numFmt w:val="bullet"/>
      <w:lvlText w:val=""/>
      <w:lvlJc w:val="left"/>
      <w:pPr>
        <w:ind w:left="6123" w:hanging="360"/>
      </w:pPr>
      <w:rPr>
        <w:rFonts w:ascii="Wingdings" w:hAnsi="Wingdings" w:hint="default"/>
      </w:rPr>
    </w:lvl>
  </w:abstractNum>
  <w:abstractNum w:abstractNumId="31" w15:restartNumberingAfterBreak="0">
    <w:nsid w:val="3BDC22E7"/>
    <w:multiLevelType w:val="hybridMultilevel"/>
    <w:tmpl w:val="8438F8CC"/>
    <w:lvl w:ilvl="0" w:tplc="59D6FADC">
      <w:numFmt w:val="bullet"/>
      <w:lvlText w:val="-"/>
      <w:lvlJc w:val="left"/>
      <w:pPr>
        <w:ind w:left="360" w:hanging="360"/>
      </w:pPr>
      <w:rPr>
        <w:rFonts w:ascii="Calibri" w:eastAsiaTheme="minorHAnsi" w:hAnsi="Calibri" w:cstheme="minorBidi" w:hint="default"/>
        <w:b/>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3C6000F5"/>
    <w:multiLevelType w:val="hybridMultilevel"/>
    <w:tmpl w:val="EAF8EDF2"/>
    <w:lvl w:ilvl="0" w:tplc="041B0001">
      <w:start w:val="1"/>
      <w:numFmt w:val="bullet"/>
      <w:lvlText w:val=""/>
      <w:lvlJc w:val="left"/>
      <w:pPr>
        <w:ind w:left="415" w:hanging="360"/>
      </w:pPr>
      <w:rPr>
        <w:rFonts w:ascii="Symbol" w:hAnsi="Symbol" w:hint="default"/>
      </w:rPr>
    </w:lvl>
    <w:lvl w:ilvl="1" w:tplc="041B0003" w:tentative="1">
      <w:start w:val="1"/>
      <w:numFmt w:val="bullet"/>
      <w:lvlText w:val="o"/>
      <w:lvlJc w:val="left"/>
      <w:pPr>
        <w:ind w:left="1135" w:hanging="360"/>
      </w:pPr>
      <w:rPr>
        <w:rFonts w:ascii="Courier New" w:hAnsi="Courier New" w:cs="Courier New" w:hint="default"/>
      </w:rPr>
    </w:lvl>
    <w:lvl w:ilvl="2" w:tplc="041B0005" w:tentative="1">
      <w:start w:val="1"/>
      <w:numFmt w:val="bullet"/>
      <w:lvlText w:val=""/>
      <w:lvlJc w:val="left"/>
      <w:pPr>
        <w:ind w:left="1855" w:hanging="360"/>
      </w:pPr>
      <w:rPr>
        <w:rFonts w:ascii="Wingdings" w:hAnsi="Wingdings" w:hint="default"/>
      </w:rPr>
    </w:lvl>
    <w:lvl w:ilvl="3" w:tplc="041B0001" w:tentative="1">
      <w:start w:val="1"/>
      <w:numFmt w:val="bullet"/>
      <w:lvlText w:val=""/>
      <w:lvlJc w:val="left"/>
      <w:pPr>
        <w:ind w:left="2575" w:hanging="360"/>
      </w:pPr>
      <w:rPr>
        <w:rFonts w:ascii="Symbol" w:hAnsi="Symbol" w:hint="default"/>
      </w:rPr>
    </w:lvl>
    <w:lvl w:ilvl="4" w:tplc="041B0003" w:tentative="1">
      <w:start w:val="1"/>
      <w:numFmt w:val="bullet"/>
      <w:lvlText w:val="o"/>
      <w:lvlJc w:val="left"/>
      <w:pPr>
        <w:ind w:left="3295" w:hanging="360"/>
      </w:pPr>
      <w:rPr>
        <w:rFonts w:ascii="Courier New" w:hAnsi="Courier New" w:cs="Courier New" w:hint="default"/>
      </w:rPr>
    </w:lvl>
    <w:lvl w:ilvl="5" w:tplc="041B0005" w:tentative="1">
      <w:start w:val="1"/>
      <w:numFmt w:val="bullet"/>
      <w:lvlText w:val=""/>
      <w:lvlJc w:val="left"/>
      <w:pPr>
        <w:ind w:left="4015" w:hanging="360"/>
      </w:pPr>
      <w:rPr>
        <w:rFonts w:ascii="Wingdings" w:hAnsi="Wingdings" w:hint="default"/>
      </w:rPr>
    </w:lvl>
    <w:lvl w:ilvl="6" w:tplc="041B0001" w:tentative="1">
      <w:start w:val="1"/>
      <w:numFmt w:val="bullet"/>
      <w:lvlText w:val=""/>
      <w:lvlJc w:val="left"/>
      <w:pPr>
        <w:ind w:left="4735" w:hanging="360"/>
      </w:pPr>
      <w:rPr>
        <w:rFonts w:ascii="Symbol" w:hAnsi="Symbol" w:hint="default"/>
      </w:rPr>
    </w:lvl>
    <w:lvl w:ilvl="7" w:tplc="041B0003" w:tentative="1">
      <w:start w:val="1"/>
      <w:numFmt w:val="bullet"/>
      <w:lvlText w:val="o"/>
      <w:lvlJc w:val="left"/>
      <w:pPr>
        <w:ind w:left="5455" w:hanging="360"/>
      </w:pPr>
      <w:rPr>
        <w:rFonts w:ascii="Courier New" w:hAnsi="Courier New" w:cs="Courier New" w:hint="default"/>
      </w:rPr>
    </w:lvl>
    <w:lvl w:ilvl="8" w:tplc="041B0005" w:tentative="1">
      <w:start w:val="1"/>
      <w:numFmt w:val="bullet"/>
      <w:lvlText w:val=""/>
      <w:lvlJc w:val="left"/>
      <w:pPr>
        <w:ind w:left="6175" w:hanging="360"/>
      </w:pPr>
      <w:rPr>
        <w:rFonts w:ascii="Wingdings" w:hAnsi="Wingdings" w:hint="default"/>
      </w:rPr>
    </w:lvl>
  </w:abstractNum>
  <w:abstractNum w:abstractNumId="33" w15:restartNumberingAfterBreak="0">
    <w:nsid w:val="3C6123E8"/>
    <w:multiLevelType w:val="hybridMultilevel"/>
    <w:tmpl w:val="37BECB80"/>
    <w:lvl w:ilvl="0" w:tplc="37D2E486">
      <w:start w:val="1"/>
      <w:numFmt w:val="decimal"/>
      <w:lvlText w:val="%1."/>
      <w:lvlJc w:val="left"/>
      <w:pPr>
        <w:ind w:left="360" w:hanging="360"/>
      </w:pPr>
      <w:rPr>
        <w:rFonts w:cs="Times New Roman" w:hint="default"/>
        <w:b/>
        <w:i w:val="0"/>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4" w15:restartNumberingAfterBreak="0">
    <w:nsid w:val="429E5C75"/>
    <w:multiLevelType w:val="hybridMultilevel"/>
    <w:tmpl w:val="8772C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6060E7C"/>
    <w:multiLevelType w:val="hybridMultilevel"/>
    <w:tmpl w:val="A39E5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B6A5461"/>
    <w:multiLevelType w:val="hybridMultilevel"/>
    <w:tmpl w:val="FC341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01057F"/>
    <w:multiLevelType w:val="hybridMultilevel"/>
    <w:tmpl w:val="ED22F2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FDC02E2"/>
    <w:multiLevelType w:val="multilevel"/>
    <w:tmpl w:val="44F6F9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14342D3"/>
    <w:multiLevelType w:val="multilevel"/>
    <w:tmpl w:val="54B6291A"/>
    <w:lvl w:ilvl="0">
      <w:start w:val="1"/>
      <w:numFmt w:val="decimal"/>
      <w:lvlText w:val="%1"/>
      <w:lvlJc w:val="left"/>
      <w:pPr>
        <w:ind w:left="862" w:hanging="720"/>
      </w:pPr>
      <w:rPr>
        <w:rFonts w:ascii="Arial Narrow" w:hAnsi="Arial Narrow" w:hint="default"/>
        <w:color w:val="000000" w:themeColor="text1"/>
        <w:sz w:val="32"/>
      </w:rPr>
    </w:lvl>
    <w:lvl w:ilvl="1">
      <w:start w:val="1"/>
      <w:numFmt w:val="decimal"/>
      <w:lvlText w:val="%1.%2"/>
      <w:lvlJc w:val="left"/>
      <w:pPr>
        <w:ind w:left="720" w:hanging="720"/>
      </w:pPr>
      <w:rPr>
        <w:rFonts w:ascii="Arial Narrow" w:hAnsi="Arial Narrow" w:hint="default"/>
        <w:b/>
        <w:i w:val="0"/>
        <w:color w:val="2C9ADC"/>
        <w:sz w:val="32"/>
        <w:szCs w:val="28"/>
      </w:rPr>
    </w:lvl>
    <w:lvl w:ilvl="2">
      <w:start w:val="1"/>
      <w:numFmt w:val="decimal"/>
      <w:lvlText w:val="%1.%2.%3"/>
      <w:lvlJc w:val="left"/>
      <w:pPr>
        <w:ind w:left="1429" w:hanging="720"/>
      </w:pPr>
      <w:rPr>
        <w:rFonts w:hint="default"/>
        <w:i w:val="0"/>
        <w:color w:val="2C9ADC"/>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4615F1D"/>
    <w:multiLevelType w:val="hybridMultilevel"/>
    <w:tmpl w:val="5F328A0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55491DDA"/>
    <w:multiLevelType w:val="hybridMultilevel"/>
    <w:tmpl w:val="C8C85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7AD5C20"/>
    <w:multiLevelType w:val="hybridMultilevel"/>
    <w:tmpl w:val="EDD82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7B92945"/>
    <w:multiLevelType w:val="hybridMultilevel"/>
    <w:tmpl w:val="F1E8F74E"/>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A0D7996"/>
    <w:multiLevelType w:val="hybridMultilevel"/>
    <w:tmpl w:val="ECB6ACE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A3F5FCA"/>
    <w:multiLevelType w:val="hybridMultilevel"/>
    <w:tmpl w:val="2506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E2041C8"/>
    <w:multiLevelType w:val="hybridMultilevel"/>
    <w:tmpl w:val="D1D21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E594960"/>
    <w:multiLevelType w:val="hybridMultilevel"/>
    <w:tmpl w:val="348C2A02"/>
    <w:lvl w:ilvl="0" w:tplc="0409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603D5E32"/>
    <w:multiLevelType w:val="hybridMultilevel"/>
    <w:tmpl w:val="B78CE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225663F"/>
    <w:multiLevelType w:val="multilevel"/>
    <w:tmpl w:val="44F6F9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4804ABA"/>
    <w:multiLevelType w:val="hybridMultilevel"/>
    <w:tmpl w:val="0428DB9C"/>
    <w:lvl w:ilvl="0" w:tplc="7400C63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6034852"/>
    <w:multiLevelType w:val="hybridMultilevel"/>
    <w:tmpl w:val="87AC4F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6F04F03"/>
    <w:multiLevelType w:val="hybridMultilevel"/>
    <w:tmpl w:val="37BECB80"/>
    <w:lvl w:ilvl="0" w:tplc="37D2E486">
      <w:start w:val="1"/>
      <w:numFmt w:val="decimal"/>
      <w:lvlText w:val="%1."/>
      <w:lvlJc w:val="left"/>
      <w:pPr>
        <w:ind w:left="720" w:hanging="360"/>
      </w:pPr>
      <w:rPr>
        <w:rFonts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6BB24A5F"/>
    <w:multiLevelType w:val="hybridMultilevel"/>
    <w:tmpl w:val="D1BEF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D522EA6"/>
    <w:multiLevelType w:val="hybridMultilevel"/>
    <w:tmpl w:val="343C6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E3824A6"/>
    <w:multiLevelType w:val="hybridMultilevel"/>
    <w:tmpl w:val="EB56EF0A"/>
    <w:lvl w:ilvl="0" w:tplc="381AC794">
      <w:start w:val="1"/>
      <w:numFmt w:val="bullet"/>
      <w:lvlText w:val=""/>
      <w:lvlJc w:val="left"/>
      <w:pPr>
        <w:ind w:left="720" w:hanging="360"/>
      </w:pPr>
      <w:rPr>
        <w:rFonts w:ascii="Wingdings" w:hAnsi="Wingdings" w:hint="default"/>
        <w:color w:val="2C9ADC"/>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E613D5C"/>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6EDC4733"/>
    <w:multiLevelType w:val="hybridMultilevel"/>
    <w:tmpl w:val="853CD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79F72FB"/>
    <w:multiLevelType w:val="hybridMultilevel"/>
    <w:tmpl w:val="ADE0F13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99934D4"/>
    <w:multiLevelType w:val="hybridMultilevel"/>
    <w:tmpl w:val="F1FA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C504A97"/>
    <w:multiLevelType w:val="hybridMultilevel"/>
    <w:tmpl w:val="061803E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D6E2A3A"/>
    <w:multiLevelType w:val="hybridMultilevel"/>
    <w:tmpl w:val="4F0253BA"/>
    <w:lvl w:ilvl="0" w:tplc="04090001">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62" w15:restartNumberingAfterBreak="0">
    <w:nsid w:val="7FF53E7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27"/>
  </w:num>
  <w:num w:numId="3">
    <w:abstractNumId w:val="52"/>
  </w:num>
  <w:num w:numId="4">
    <w:abstractNumId w:val="22"/>
  </w:num>
  <w:num w:numId="5">
    <w:abstractNumId w:val="41"/>
  </w:num>
  <w:num w:numId="6">
    <w:abstractNumId w:val="59"/>
  </w:num>
  <w:num w:numId="7">
    <w:abstractNumId w:val="12"/>
  </w:num>
  <w:num w:numId="8">
    <w:abstractNumId w:val="29"/>
  </w:num>
  <w:num w:numId="9">
    <w:abstractNumId w:val="17"/>
  </w:num>
  <w:num w:numId="10">
    <w:abstractNumId w:val="32"/>
  </w:num>
  <w:num w:numId="11">
    <w:abstractNumId w:val="30"/>
  </w:num>
  <w:num w:numId="12">
    <w:abstractNumId w:val="43"/>
  </w:num>
  <w:num w:numId="13">
    <w:abstractNumId w:val="16"/>
  </w:num>
  <w:num w:numId="14">
    <w:abstractNumId w:val="14"/>
  </w:num>
  <w:num w:numId="15">
    <w:abstractNumId w:val="47"/>
  </w:num>
  <w:num w:numId="16">
    <w:abstractNumId w:val="36"/>
  </w:num>
  <w:num w:numId="17">
    <w:abstractNumId w:val="61"/>
  </w:num>
  <w:num w:numId="18">
    <w:abstractNumId w:val="46"/>
  </w:num>
  <w:num w:numId="19">
    <w:abstractNumId w:val="13"/>
  </w:num>
  <w:num w:numId="20">
    <w:abstractNumId w:val="23"/>
  </w:num>
  <w:num w:numId="21">
    <w:abstractNumId w:val="57"/>
  </w:num>
  <w:num w:numId="22">
    <w:abstractNumId w:val="3"/>
  </w:num>
  <w:num w:numId="23">
    <w:abstractNumId w:val="6"/>
  </w:num>
  <w:num w:numId="24">
    <w:abstractNumId w:val="25"/>
  </w:num>
  <w:num w:numId="25">
    <w:abstractNumId w:val="18"/>
  </w:num>
  <w:num w:numId="26">
    <w:abstractNumId w:val="31"/>
  </w:num>
  <w:num w:numId="27">
    <w:abstractNumId w:val="5"/>
  </w:num>
  <w:num w:numId="28">
    <w:abstractNumId w:val="19"/>
  </w:num>
  <w:num w:numId="29">
    <w:abstractNumId w:val="10"/>
  </w:num>
  <w:num w:numId="30">
    <w:abstractNumId w:val="0"/>
  </w:num>
  <w:num w:numId="31">
    <w:abstractNumId w:val="11"/>
  </w:num>
  <w:num w:numId="32">
    <w:abstractNumId w:val="7"/>
  </w:num>
  <w:num w:numId="33">
    <w:abstractNumId w:val="51"/>
  </w:num>
  <w:num w:numId="34">
    <w:abstractNumId w:val="4"/>
  </w:num>
  <w:num w:numId="35">
    <w:abstractNumId w:val="56"/>
  </w:num>
  <w:num w:numId="36">
    <w:abstractNumId w:val="2"/>
  </w:num>
  <w:num w:numId="37">
    <w:abstractNumId w:val="26"/>
  </w:num>
  <w:num w:numId="38">
    <w:abstractNumId w:val="37"/>
  </w:num>
  <w:num w:numId="39">
    <w:abstractNumId w:val="21"/>
  </w:num>
  <w:num w:numId="40">
    <w:abstractNumId w:val="24"/>
  </w:num>
  <w:num w:numId="41">
    <w:abstractNumId w:val="58"/>
  </w:num>
  <w:num w:numId="42">
    <w:abstractNumId w:val="1"/>
  </w:num>
  <w:num w:numId="43">
    <w:abstractNumId w:val="60"/>
  </w:num>
  <w:num w:numId="44">
    <w:abstractNumId w:val="20"/>
  </w:num>
  <w:num w:numId="45">
    <w:abstractNumId w:val="15"/>
  </w:num>
  <w:num w:numId="46">
    <w:abstractNumId w:val="33"/>
  </w:num>
  <w:num w:numId="47">
    <w:abstractNumId w:val="38"/>
  </w:num>
  <w:num w:numId="48">
    <w:abstractNumId w:val="44"/>
  </w:num>
  <w:num w:numId="49">
    <w:abstractNumId w:val="53"/>
  </w:num>
  <w:num w:numId="5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62"/>
  </w:num>
  <w:num w:numId="53">
    <w:abstractNumId w:val="8"/>
  </w:num>
  <w:num w:numId="54">
    <w:abstractNumId w:val="40"/>
  </w:num>
  <w:num w:numId="55">
    <w:abstractNumId w:val="42"/>
  </w:num>
  <w:num w:numId="56">
    <w:abstractNumId w:val="45"/>
  </w:num>
  <w:num w:numId="57">
    <w:abstractNumId w:val="35"/>
  </w:num>
  <w:num w:numId="58">
    <w:abstractNumId w:val="34"/>
  </w:num>
  <w:num w:numId="59">
    <w:abstractNumId w:val="48"/>
  </w:num>
  <w:num w:numId="60">
    <w:abstractNumId w:val="28"/>
  </w:num>
  <w:num w:numId="61">
    <w:abstractNumId w:val="55"/>
  </w:num>
  <w:num w:numId="62">
    <w:abstractNumId w:val="9"/>
  </w:num>
  <w:num w:numId="63">
    <w:abstractNumId w:val="50"/>
  </w:num>
  <w:num w:numId="64">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o:colormru v:ext="edit" colors="#aab0f0,#aad3f2"/>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90"/>
    <w:rsid w:val="00000575"/>
    <w:rsid w:val="00000961"/>
    <w:rsid w:val="00001158"/>
    <w:rsid w:val="000015C5"/>
    <w:rsid w:val="00001707"/>
    <w:rsid w:val="00001DCC"/>
    <w:rsid w:val="00002C7F"/>
    <w:rsid w:val="000031DE"/>
    <w:rsid w:val="0000346B"/>
    <w:rsid w:val="000043EF"/>
    <w:rsid w:val="000044ED"/>
    <w:rsid w:val="00005005"/>
    <w:rsid w:val="00005038"/>
    <w:rsid w:val="00005AC6"/>
    <w:rsid w:val="00005C28"/>
    <w:rsid w:val="00005FF8"/>
    <w:rsid w:val="00006361"/>
    <w:rsid w:val="000065F4"/>
    <w:rsid w:val="00006AA4"/>
    <w:rsid w:val="00006BBA"/>
    <w:rsid w:val="00006C6C"/>
    <w:rsid w:val="00006C70"/>
    <w:rsid w:val="000071BD"/>
    <w:rsid w:val="00007C9E"/>
    <w:rsid w:val="0001026E"/>
    <w:rsid w:val="00010376"/>
    <w:rsid w:val="00010B55"/>
    <w:rsid w:val="00010B97"/>
    <w:rsid w:val="0001113D"/>
    <w:rsid w:val="00011347"/>
    <w:rsid w:val="00011B56"/>
    <w:rsid w:val="00011E74"/>
    <w:rsid w:val="00012873"/>
    <w:rsid w:val="00012D00"/>
    <w:rsid w:val="000133C6"/>
    <w:rsid w:val="000133D6"/>
    <w:rsid w:val="000134E7"/>
    <w:rsid w:val="00013966"/>
    <w:rsid w:val="00013B55"/>
    <w:rsid w:val="00013C1A"/>
    <w:rsid w:val="00013F89"/>
    <w:rsid w:val="00014420"/>
    <w:rsid w:val="00014749"/>
    <w:rsid w:val="000148DD"/>
    <w:rsid w:val="00015B99"/>
    <w:rsid w:val="00015CD2"/>
    <w:rsid w:val="0001663A"/>
    <w:rsid w:val="0001686E"/>
    <w:rsid w:val="000175C3"/>
    <w:rsid w:val="00017828"/>
    <w:rsid w:val="0002068C"/>
    <w:rsid w:val="000209F1"/>
    <w:rsid w:val="00020D72"/>
    <w:rsid w:val="00021145"/>
    <w:rsid w:val="000214C8"/>
    <w:rsid w:val="0002209D"/>
    <w:rsid w:val="00022D42"/>
    <w:rsid w:val="00022D83"/>
    <w:rsid w:val="00023897"/>
    <w:rsid w:val="00023F78"/>
    <w:rsid w:val="00024019"/>
    <w:rsid w:val="00024030"/>
    <w:rsid w:val="00025ADA"/>
    <w:rsid w:val="00025C6C"/>
    <w:rsid w:val="00025E58"/>
    <w:rsid w:val="000260E4"/>
    <w:rsid w:val="000261D8"/>
    <w:rsid w:val="000264E0"/>
    <w:rsid w:val="00026911"/>
    <w:rsid w:val="00026B02"/>
    <w:rsid w:val="00026CE0"/>
    <w:rsid w:val="00027F56"/>
    <w:rsid w:val="00030137"/>
    <w:rsid w:val="000305C9"/>
    <w:rsid w:val="000305DB"/>
    <w:rsid w:val="00030778"/>
    <w:rsid w:val="000308C9"/>
    <w:rsid w:val="000309EB"/>
    <w:rsid w:val="00030ECB"/>
    <w:rsid w:val="00030F83"/>
    <w:rsid w:val="00030F8C"/>
    <w:rsid w:val="0003109A"/>
    <w:rsid w:val="00031525"/>
    <w:rsid w:val="0003194C"/>
    <w:rsid w:val="00031AD5"/>
    <w:rsid w:val="0003220D"/>
    <w:rsid w:val="000324CC"/>
    <w:rsid w:val="00032B4C"/>
    <w:rsid w:val="00032CDB"/>
    <w:rsid w:val="000338FC"/>
    <w:rsid w:val="00033ACF"/>
    <w:rsid w:val="00034158"/>
    <w:rsid w:val="00034335"/>
    <w:rsid w:val="00034648"/>
    <w:rsid w:val="000348FF"/>
    <w:rsid w:val="00035F6A"/>
    <w:rsid w:val="000362F9"/>
    <w:rsid w:val="000365EC"/>
    <w:rsid w:val="000366B3"/>
    <w:rsid w:val="00036F9D"/>
    <w:rsid w:val="00037321"/>
    <w:rsid w:val="0003738F"/>
    <w:rsid w:val="000373DD"/>
    <w:rsid w:val="000403F8"/>
    <w:rsid w:val="00040B43"/>
    <w:rsid w:val="0004113F"/>
    <w:rsid w:val="00041175"/>
    <w:rsid w:val="000413A0"/>
    <w:rsid w:val="00041ACF"/>
    <w:rsid w:val="000424E1"/>
    <w:rsid w:val="00042B46"/>
    <w:rsid w:val="00043048"/>
    <w:rsid w:val="00043495"/>
    <w:rsid w:val="0004476D"/>
    <w:rsid w:val="00044AA6"/>
    <w:rsid w:val="00044C02"/>
    <w:rsid w:val="0004522E"/>
    <w:rsid w:val="00045E03"/>
    <w:rsid w:val="00045E9E"/>
    <w:rsid w:val="00046075"/>
    <w:rsid w:val="000462F7"/>
    <w:rsid w:val="000465A7"/>
    <w:rsid w:val="000468FA"/>
    <w:rsid w:val="00046A90"/>
    <w:rsid w:val="000470F1"/>
    <w:rsid w:val="000500A9"/>
    <w:rsid w:val="000503F6"/>
    <w:rsid w:val="000508A3"/>
    <w:rsid w:val="00050E74"/>
    <w:rsid w:val="0005111E"/>
    <w:rsid w:val="00051466"/>
    <w:rsid w:val="000515BE"/>
    <w:rsid w:val="00051A73"/>
    <w:rsid w:val="000520D0"/>
    <w:rsid w:val="00052327"/>
    <w:rsid w:val="0005470E"/>
    <w:rsid w:val="00054A81"/>
    <w:rsid w:val="00055A82"/>
    <w:rsid w:val="00055F0E"/>
    <w:rsid w:val="0005627E"/>
    <w:rsid w:val="00056B4A"/>
    <w:rsid w:val="00056B69"/>
    <w:rsid w:val="00057013"/>
    <w:rsid w:val="000573D7"/>
    <w:rsid w:val="000579F0"/>
    <w:rsid w:val="00057EC5"/>
    <w:rsid w:val="00060092"/>
    <w:rsid w:val="0006043E"/>
    <w:rsid w:val="00060965"/>
    <w:rsid w:val="00060CE5"/>
    <w:rsid w:val="00060DAD"/>
    <w:rsid w:val="00060E8F"/>
    <w:rsid w:val="000612F8"/>
    <w:rsid w:val="00061367"/>
    <w:rsid w:val="00061E58"/>
    <w:rsid w:val="000623E1"/>
    <w:rsid w:val="00062912"/>
    <w:rsid w:val="00062ABA"/>
    <w:rsid w:val="0006380D"/>
    <w:rsid w:val="00063E16"/>
    <w:rsid w:val="00064265"/>
    <w:rsid w:val="000646EB"/>
    <w:rsid w:val="00064CE9"/>
    <w:rsid w:val="00064E40"/>
    <w:rsid w:val="00065997"/>
    <w:rsid w:val="000659FE"/>
    <w:rsid w:val="00065E9D"/>
    <w:rsid w:val="00065F19"/>
    <w:rsid w:val="00066374"/>
    <w:rsid w:val="000663A0"/>
    <w:rsid w:val="00066EC0"/>
    <w:rsid w:val="00066EDA"/>
    <w:rsid w:val="0006726E"/>
    <w:rsid w:val="00067972"/>
    <w:rsid w:val="0007072A"/>
    <w:rsid w:val="000708CB"/>
    <w:rsid w:val="000709B3"/>
    <w:rsid w:val="0007105B"/>
    <w:rsid w:val="00071ACD"/>
    <w:rsid w:val="0007255D"/>
    <w:rsid w:val="000730A6"/>
    <w:rsid w:val="0007338D"/>
    <w:rsid w:val="000734D5"/>
    <w:rsid w:val="000736A4"/>
    <w:rsid w:val="000747B1"/>
    <w:rsid w:val="00074EF8"/>
    <w:rsid w:val="00075430"/>
    <w:rsid w:val="00075480"/>
    <w:rsid w:val="000754CC"/>
    <w:rsid w:val="00075ADC"/>
    <w:rsid w:val="000765D0"/>
    <w:rsid w:val="00076D72"/>
    <w:rsid w:val="000772CD"/>
    <w:rsid w:val="00080306"/>
    <w:rsid w:val="00080343"/>
    <w:rsid w:val="0008095B"/>
    <w:rsid w:val="00080BCA"/>
    <w:rsid w:val="00080F4D"/>
    <w:rsid w:val="000814B7"/>
    <w:rsid w:val="0008210A"/>
    <w:rsid w:val="000821B0"/>
    <w:rsid w:val="00082B25"/>
    <w:rsid w:val="000833E4"/>
    <w:rsid w:val="00083419"/>
    <w:rsid w:val="00083F3C"/>
    <w:rsid w:val="0008453B"/>
    <w:rsid w:val="00084564"/>
    <w:rsid w:val="00084611"/>
    <w:rsid w:val="00084BF9"/>
    <w:rsid w:val="00084FF8"/>
    <w:rsid w:val="00085D06"/>
    <w:rsid w:val="000860FF"/>
    <w:rsid w:val="00086297"/>
    <w:rsid w:val="00086463"/>
    <w:rsid w:val="000866B7"/>
    <w:rsid w:val="00087473"/>
    <w:rsid w:val="000875D1"/>
    <w:rsid w:val="00087B31"/>
    <w:rsid w:val="00087EA9"/>
    <w:rsid w:val="000909AE"/>
    <w:rsid w:val="00090E7D"/>
    <w:rsid w:val="000911DF"/>
    <w:rsid w:val="000912D6"/>
    <w:rsid w:val="00091329"/>
    <w:rsid w:val="00091950"/>
    <w:rsid w:val="00091CF2"/>
    <w:rsid w:val="00092683"/>
    <w:rsid w:val="0009304A"/>
    <w:rsid w:val="00093157"/>
    <w:rsid w:val="00093917"/>
    <w:rsid w:val="00093B9E"/>
    <w:rsid w:val="00093EA4"/>
    <w:rsid w:val="00094190"/>
    <w:rsid w:val="00094D9A"/>
    <w:rsid w:val="00094DA1"/>
    <w:rsid w:val="000951A6"/>
    <w:rsid w:val="000952A1"/>
    <w:rsid w:val="000955D3"/>
    <w:rsid w:val="00095A70"/>
    <w:rsid w:val="00095A73"/>
    <w:rsid w:val="000962B6"/>
    <w:rsid w:val="000964C3"/>
    <w:rsid w:val="00096F4E"/>
    <w:rsid w:val="00097144"/>
    <w:rsid w:val="00097191"/>
    <w:rsid w:val="000A00E3"/>
    <w:rsid w:val="000A051A"/>
    <w:rsid w:val="000A072C"/>
    <w:rsid w:val="000A0BD4"/>
    <w:rsid w:val="000A1368"/>
    <w:rsid w:val="000A17CE"/>
    <w:rsid w:val="000A1EBA"/>
    <w:rsid w:val="000A1EC5"/>
    <w:rsid w:val="000A2333"/>
    <w:rsid w:val="000A26A5"/>
    <w:rsid w:val="000A2A0F"/>
    <w:rsid w:val="000A2D7A"/>
    <w:rsid w:val="000A3265"/>
    <w:rsid w:val="000A33D6"/>
    <w:rsid w:val="000A3717"/>
    <w:rsid w:val="000A3D90"/>
    <w:rsid w:val="000A481C"/>
    <w:rsid w:val="000A4FAA"/>
    <w:rsid w:val="000A51F6"/>
    <w:rsid w:val="000A5C83"/>
    <w:rsid w:val="000A6220"/>
    <w:rsid w:val="000A638B"/>
    <w:rsid w:val="000A6982"/>
    <w:rsid w:val="000A6ACE"/>
    <w:rsid w:val="000A6C41"/>
    <w:rsid w:val="000A6E3E"/>
    <w:rsid w:val="000A7109"/>
    <w:rsid w:val="000A799B"/>
    <w:rsid w:val="000A7EA9"/>
    <w:rsid w:val="000A7EC9"/>
    <w:rsid w:val="000A7FA8"/>
    <w:rsid w:val="000B09CD"/>
    <w:rsid w:val="000B130E"/>
    <w:rsid w:val="000B1CF5"/>
    <w:rsid w:val="000B1E6E"/>
    <w:rsid w:val="000B1E9E"/>
    <w:rsid w:val="000B2F3B"/>
    <w:rsid w:val="000B3246"/>
    <w:rsid w:val="000B3318"/>
    <w:rsid w:val="000B3611"/>
    <w:rsid w:val="000B3894"/>
    <w:rsid w:val="000B45C1"/>
    <w:rsid w:val="000B49F5"/>
    <w:rsid w:val="000B4A91"/>
    <w:rsid w:val="000B4C47"/>
    <w:rsid w:val="000B4F16"/>
    <w:rsid w:val="000B4FFE"/>
    <w:rsid w:val="000B50A7"/>
    <w:rsid w:val="000B6077"/>
    <w:rsid w:val="000B68F1"/>
    <w:rsid w:val="000B76D2"/>
    <w:rsid w:val="000B7AD8"/>
    <w:rsid w:val="000B7F76"/>
    <w:rsid w:val="000C02CB"/>
    <w:rsid w:val="000C0AAA"/>
    <w:rsid w:val="000C0EF7"/>
    <w:rsid w:val="000C11DD"/>
    <w:rsid w:val="000C1BB3"/>
    <w:rsid w:val="000C1C82"/>
    <w:rsid w:val="000C33F7"/>
    <w:rsid w:val="000C3753"/>
    <w:rsid w:val="000C3A13"/>
    <w:rsid w:val="000C3BF3"/>
    <w:rsid w:val="000C3DFE"/>
    <w:rsid w:val="000C46BD"/>
    <w:rsid w:val="000C480F"/>
    <w:rsid w:val="000C49A0"/>
    <w:rsid w:val="000C4F08"/>
    <w:rsid w:val="000C4F1B"/>
    <w:rsid w:val="000C5E31"/>
    <w:rsid w:val="000C6514"/>
    <w:rsid w:val="000C7929"/>
    <w:rsid w:val="000D0057"/>
    <w:rsid w:val="000D041D"/>
    <w:rsid w:val="000D27A0"/>
    <w:rsid w:val="000D2B0F"/>
    <w:rsid w:val="000D2B7F"/>
    <w:rsid w:val="000D3581"/>
    <w:rsid w:val="000D37A4"/>
    <w:rsid w:val="000D3AE2"/>
    <w:rsid w:val="000D5399"/>
    <w:rsid w:val="000D6D9B"/>
    <w:rsid w:val="000D6DED"/>
    <w:rsid w:val="000D6F3A"/>
    <w:rsid w:val="000D74C0"/>
    <w:rsid w:val="000D7DF6"/>
    <w:rsid w:val="000D7E3E"/>
    <w:rsid w:val="000E0382"/>
    <w:rsid w:val="000E039C"/>
    <w:rsid w:val="000E0B03"/>
    <w:rsid w:val="000E14E0"/>
    <w:rsid w:val="000E1C59"/>
    <w:rsid w:val="000E1CF7"/>
    <w:rsid w:val="000E1F6E"/>
    <w:rsid w:val="000E26B9"/>
    <w:rsid w:val="000E2C71"/>
    <w:rsid w:val="000E3032"/>
    <w:rsid w:val="000E30D1"/>
    <w:rsid w:val="000E36E8"/>
    <w:rsid w:val="000E37E6"/>
    <w:rsid w:val="000E3AD1"/>
    <w:rsid w:val="000E3B91"/>
    <w:rsid w:val="000E3FA4"/>
    <w:rsid w:val="000E40D0"/>
    <w:rsid w:val="000E4170"/>
    <w:rsid w:val="000E4403"/>
    <w:rsid w:val="000E52A3"/>
    <w:rsid w:val="000E6129"/>
    <w:rsid w:val="000E660B"/>
    <w:rsid w:val="000E6626"/>
    <w:rsid w:val="000E7AA6"/>
    <w:rsid w:val="000E7D8D"/>
    <w:rsid w:val="000F0D64"/>
    <w:rsid w:val="000F0DC4"/>
    <w:rsid w:val="000F0E62"/>
    <w:rsid w:val="000F1066"/>
    <w:rsid w:val="000F12AF"/>
    <w:rsid w:val="000F19F6"/>
    <w:rsid w:val="000F1A3D"/>
    <w:rsid w:val="000F1B0C"/>
    <w:rsid w:val="000F26B2"/>
    <w:rsid w:val="000F2AAA"/>
    <w:rsid w:val="000F2DFE"/>
    <w:rsid w:val="000F349D"/>
    <w:rsid w:val="000F368B"/>
    <w:rsid w:val="000F434D"/>
    <w:rsid w:val="000F468F"/>
    <w:rsid w:val="000F4879"/>
    <w:rsid w:val="000F50AC"/>
    <w:rsid w:val="000F539F"/>
    <w:rsid w:val="000F563E"/>
    <w:rsid w:val="000F5A37"/>
    <w:rsid w:val="000F6268"/>
    <w:rsid w:val="000F660C"/>
    <w:rsid w:val="000F666A"/>
    <w:rsid w:val="000F6948"/>
    <w:rsid w:val="000F69DD"/>
    <w:rsid w:val="000F705E"/>
    <w:rsid w:val="000F789B"/>
    <w:rsid w:val="000F79C5"/>
    <w:rsid w:val="000F7F7F"/>
    <w:rsid w:val="001015A7"/>
    <w:rsid w:val="00101908"/>
    <w:rsid w:val="001021DE"/>
    <w:rsid w:val="001024C8"/>
    <w:rsid w:val="00102998"/>
    <w:rsid w:val="00102A6C"/>
    <w:rsid w:val="00102A78"/>
    <w:rsid w:val="00102B75"/>
    <w:rsid w:val="00102FAE"/>
    <w:rsid w:val="0010300D"/>
    <w:rsid w:val="00103171"/>
    <w:rsid w:val="001039D1"/>
    <w:rsid w:val="0010477A"/>
    <w:rsid w:val="001060D6"/>
    <w:rsid w:val="00106671"/>
    <w:rsid w:val="001069D4"/>
    <w:rsid w:val="00106EDB"/>
    <w:rsid w:val="00107059"/>
    <w:rsid w:val="001070A8"/>
    <w:rsid w:val="001076E6"/>
    <w:rsid w:val="001102E9"/>
    <w:rsid w:val="0011049E"/>
    <w:rsid w:val="0011050C"/>
    <w:rsid w:val="00110692"/>
    <w:rsid w:val="001107F5"/>
    <w:rsid w:val="00110985"/>
    <w:rsid w:val="00110B06"/>
    <w:rsid w:val="00110C2A"/>
    <w:rsid w:val="00113202"/>
    <w:rsid w:val="0011347B"/>
    <w:rsid w:val="0011386F"/>
    <w:rsid w:val="0011491B"/>
    <w:rsid w:val="00114DC9"/>
    <w:rsid w:val="00115379"/>
    <w:rsid w:val="00115449"/>
    <w:rsid w:val="00116AC8"/>
    <w:rsid w:val="00116E9B"/>
    <w:rsid w:val="00116F6B"/>
    <w:rsid w:val="00116FA9"/>
    <w:rsid w:val="00116FBC"/>
    <w:rsid w:val="0011791C"/>
    <w:rsid w:val="00117C3F"/>
    <w:rsid w:val="00120C7C"/>
    <w:rsid w:val="00121B28"/>
    <w:rsid w:val="0012282F"/>
    <w:rsid w:val="00122DB9"/>
    <w:rsid w:val="00122FE3"/>
    <w:rsid w:val="00123303"/>
    <w:rsid w:val="0012358D"/>
    <w:rsid w:val="001236FB"/>
    <w:rsid w:val="00124089"/>
    <w:rsid w:val="0012420E"/>
    <w:rsid w:val="00124416"/>
    <w:rsid w:val="00124444"/>
    <w:rsid w:val="00124670"/>
    <w:rsid w:val="00124EA9"/>
    <w:rsid w:val="00125F00"/>
    <w:rsid w:val="0012660B"/>
    <w:rsid w:val="00126AD9"/>
    <w:rsid w:val="00126DE2"/>
    <w:rsid w:val="001275D2"/>
    <w:rsid w:val="001278A7"/>
    <w:rsid w:val="00127B19"/>
    <w:rsid w:val="00127F03"/>
    <w:rsid w:val="00130154"/>
    <w:rsid w:val="00130459"/>
    <w:rsid w:val="001305E5"/>
    <w:rsid w:val="00130743"/>
    <w:rsid w:val="00130902"/>
    <w:rsid w:val="00130E65"/>
    <w:rsid w:val="00132156"/>
    <w:rsid w:val="001324D7"/>
    <w:rsid w:val="00132EA3"/>
    <w:rsid w:val="00132F44"/>
    <w:rsid w:val="00132FAB"/>
    <w:rsid w:val="0013305E"/>
    <w:rsid w:val="001334F0"/>
    <w:rsid w:val="0013368C"/>
    <w:rsid w:val="00133B20"/>
    <w:rsid w:val="00134ACA"/>
    <w:rsid w:val="00134CFC"/>
    <w:rsid w:val="001365C0"/>
    <w:rsid w:val="001368D8"/>
    <w:rsid w:val="00140026"/>
    <w:rsid w:val="001406E3"/>
    <w:rsid w:val="001407DD"/>
    <w:rsid w:val="00141232"/>
    <w:rsid w:val="0014146E"/>
    <w:rsid w:val="0014151A"/>
    <w:rsid w:val="00141658"/>
    <w:rsid w:val="0014252E"/>
    <w:rsid w:val="00142FDC"/>
    <w:rsid w:val="0014323C"/>
    <w:rsid w:val="001439D0"/>
    <w:rsid w:val="00143A10"/>
    <w:rsid w:val="00143CA6"/>
    <w:rsid w:val="00144E03"/>
    <w:rsid w:val="00144E54"/>
    <w:rsid w:val="00145179"/>
    <w:rsid w:val="00145235"/>
    <w:rsid w:val="0014531C"/>
    <w:rsid w:val="0014586B"/>
    <w:rsid w:val="00145944"/>
    <w:rsid w:val="00146090"/>
    <w:rsid w:val="00146150"/>
    <w:rsid w:val="001466F9"/>
    <w:rsid w:val="0014692E"/>
    <w:rsid w:val="00146AC9"/>
    <w:rsid w:val="00146CE4"/>
    <w:rsid w:val="00146E14"/>
    <w:rsid w:val="001474F4"/>
    <w:rsid w:val="00147651"/>
    <w:rsid w:val="00147848"/>
    <w:rsid w:val="00147879"/>
    <w:rsid w:val="001479A1"/>
    <w:rsid w:val="00147DC3"/>
    <w:rsid w:val="00150056"/>
    <w:rsid w:val="00150548"/>
    <w:rsid w:val="00150727"/>
    <w:rsid w:val="00150A83"/>
    <w:rsid w:val="00150B00"/>
    <w:rsid w:val="00151055"/>
    <w:rsid w:val="00151CBC"/>
    <w:rsid w:val="00151D9D"/>
    <w:rsid w:val="00151F5D"/>
    <w:rsid w:val="00152C7D"/>
    <w:rsid w:val="0015322E"/>
    <w:rsid w:val="001532A7"/>
    <w:rsid w:val="0015337A"/>
    <w:rsid w:val="0015387A"/>
    <w:rsid w:val="00153D27"/>
    <w:rsid w:val="00153D52"/>
    <w:rsid w:val="00153FA0"/>
    <w:rsid w:val="00154031"/>
    <w:rsid w:val="00154033"/>
    <w:rsid w:val="001549DB"/>
    <w:rsid w:val="001558BF"/>
    <w:rsid w:val="00155A83"/>
    <w:rsid w:val="00155BF8"/>
    <w:rsid w:val="0015634D"/>
    <w:rsid w:val="00156398"/>
    <w:rsid w:val="00156493"/>
    <w:rsid w:val="00156B2A"/>
    <w:rsid w:val="00156BEA"/>
    <w:rsid w:val="001579AE"/>
    <w:rsid w:val="001600D7"/>
    <w:rsid w:val="00160464"/>
    <w:rsid w:val="001605AE"/>
    <w:rsid w:val="00160626"/>
    <w:rsid w:val="0016140B"/>
    <w:rsid w:val="00161801"/>
    <w:rsid w:val="00162092"/>
    <w:rsid w:val="00162B12"/>
    <w:rsid w:val="00162BAB"/>
    <w:rsid w:val="00162C8E"/>
    <w:rsid w:val="00162D4F"/>
    <w:rsid w:val="00162F2D"/>
    <w:rsid w:val="0016307C"/>
    <w:rsid w:val="0016312D"/>
    <w:rsid w:val="00163D6B"/>
    <w:rsid w:val="001659FC"/>
    <w:rsid w:val="00165BE4"/>
    <w:rsid w:val="00165C4E"/>
    <w:rsid w:val="00166B99"/>
    <w:rsid w:val="0016704B"/>
    <w:rsid w:val="001670D3"/>
    <w:rsid w:val="00167208"/>
    <w:rsid w:val="00167798"/>
    <w:rsid w:val="001702DA"/>
    <w:rsid w:val="001702E1"/>
    <w:rsid w:val="00170942"/>
    <w:rsid w:val="00171805"/>
    <w:rsid w:val="00171ACB"/>
    <w:rsid w:val="00171D12"/>
    <w:rsid w:val="001726B9"/>
    <w:rsid w:val="00172710"/>
    <w:rsid w:val="0017290C"/>
    <w:rsid w:val="00172F1A"/>
    <w:rsid w:val="00173711"/>
    <w:rsid w:val="00173A8A"/>
    <w:rsid w:val="001742EE"/>
    <w:rsid w:val="0017437B"/>
    <w:rsid w:val="0017456C"/>
    <w:rsid w:val="00175418"/>
    <w:rsid w:val="00175AF1"/>
    <w:rsid w:val="00175B64"/>
    <w:rsid w:val="00175CF7"/>
    <w:rsid w:val="00176C24"/>
    <w:rsid w:val="00176D7B"/>
    <w:rsid w:val="00176FEA"/>
    <w:rsid w:val="00177483"/>
    <w:rsid w:val="001778E1"/>
    <w:rsid w:val="00177CFC"/>
    <w:rsid w:val="00177D93"/>
    <w:rsid w:val="00180F9C"/>
    <w:rsid w:val="00181239"/>
    <w:rsid w:val="00181BB4"/>
    <w:rsid w:val="00181DFC"/>
    <w:rsid w:val="00182A77"/>
    <w:rsid w:val="00182C88"/>
    <w:rsid w:val="00182CBE"/>
    <w:rsid w:val="00183662"/>
    <w:rsid w:val="00183D6E"/>
    <w:rsid w:val="00183EE7"/>
    <w:rsid w:val="00184DF9"/>
    <w:rsid w:val="00185190"/>
    <w:rsid w:val="0018596C"/>
    <w:rsid w:val="00185D3C"/>
    <w:rsid w:val="00185F1C"/>
    <w:rsid w:val="00186486"/>
    <w:rsid w:val="00186C4D"/>
    <w:rsid w:val="001872D0"/>
    <w:rsid w:val="00187712"/>
    <w:rsid w:val="00190606"/>
    <w:rsid w:val="0019085B"/>
    <w:rsid w:val="00190FED"/>
    <w:rsid w:val="00191843"/>
    <w:rsid w:val="00191D34"/>
    <w:rsid w:val="0019222E"/>
    <w:rsid w:val="001928F9"/>
    <w:rsid w:val="00192B7E"/>
    <w:rsid w:val="00192EC2"/>
    <w:rsid w:val="00194344"/>
    <w:rsid w:val="001943A3"/>
    <w:rsid w:val="00194816"/>
    <w:rsid w:val="0019540B"/>
    <w:rsid w:val="00196D28"/>
    <w:rsid w:val="001972B7"/>
    <w:rsid w:val="001977C1"/>
    <w:rsid w:val="00197973"/>
    <w:rsid w:val="00197E62"/>
    <w:rsid w:val="001A03CD"/>
    <w:rsid w:val="001A0661"/>
    <w:rsid w:val="001A1634"/>
    <w:rsid w:val="001A1687"/>
    <w:rsid w:val="001A1886"/>
    <w:rsid w:val="001A1A86"/>
    <w:rsid w:val="001A1E0C"/>
    <w:rsid w:val="001A1E3B"/>
    <w:rsid w:val="001A222B"/>
    <w:rsid w:val="001A2AC3"/>
    <w:rsid w:val="001A3E92"/>
    <w:rsid w:val="001A47F5"/>
    <w:rsid w:val="001A4BA3"/>
    <w:rsid w:val="001A50A0"/>
    <w:rsid w:val="001A63FB"/>
    <w:rsid w:val="001A64A9"/>
    <w:rsid w:val="001A6530"/>
    <w:rsid w:val="001A677B"/>
    <w:rsid w:val="001A6A84"/>
    <w:rsid w:val="001A7799"/>
    <w:rsid w:val="001B04A1"/>
    <w:rsid w:val="001B1633"/>
    <w:rsid w:val="001B1A52"/>
    <w:rsid w:val="001B1E31"/>
    <w:rsid w:val="001B292A"/>
    <w:rsid w:val="001B2ABF"/>
    <w:rsid w:val="001B2ED2"/>
    <w:rsid w:val="001B33E9"/>
    <w:rsid w:val="001B351B"/>
    <w:rsid w:val="001B366F"/>
    <w:rsid w:val="001B45C6"/>
    <w:rsid w:val="001B467B"/>
    <w:rsid w:val="001B4951"/>
    <w:rsid w:val="001B4B09"/>
    <w:rsid w:val="001B4E1D"/>
    <w:rsid w:val="001B5C91"/>
    <w:rsid w:val="001B5E46"/>
    <w:rsid w:val="001B5ED3"/>
    <w:rsid w:val="001B69DD"/>
    <w:rsid w:val="001B7859"/>
    <w:rsid w:val="001C023E"/>
    <w:rsid w:val="001C037D"/>
    <w:rsid w:val="001C0473"/>
    <w:rsid w:val="001C0614"/>
    <w:rsid w:val="001C1205"/>
    <w:rsid w:val="001C1AE0"/>
    <w:rsid w:val="001C1AFB"/>
    <w:rsid w:val="001C1B23"/>
    <w:rsid w:val="001C22E9"/>
    <w:rsid w:val="001C274E"/>
    <w:rsid w:val="001C286D"/>
    <w:rsid w:val="001C2E48"/>
    <w:rsid w:val="001C315C"/>
    <w:rsid w:val="001C361C"/>
    <w:rsid w:val="001C38C5"/>
    <w:rsid w:val="001C3C91"/>
    <w:rsid w:val="001C3F1F"/>
    <w:rsid w:val="001C445F"/>
    <w:rsid w:val="001C548C"/>
    <w:rsid w:val="001C577B"/>
    <w:rsid w:val="001C5E2B"/>
    <w:rsid w:val="001C5F40"/>
    <w:rsid w:val="001C6F9B"/>
    <w:rsid w:val="001C7441"/>
    <w:rsid w:val="001C77D5"/>
    <w:rsid w:val="001D04F0"/>
    <w:rsid w:val="001D09ED"/>
    <w:rsid w:val="001D0C4F"/>
    <w:rsid w:val="001D17C9"/>
    <w:rsid w:val="001D24EA"/>
    <w:rsid w:val="001D25A0"/>
    <w:rsid w:val="001D26FE"/>
    <w:rsid w:val="001D2D31"/>
    <w:rsid w:val="001D2FD3"/>
    <w:rsid w:val="001D369A"/>
    <w:rsid w:val="001D3DE0"/>
    <w:rsid w:val="001D4883"/>
    <w:rsid w:val="001D4E8C"/>
    <w:rsid w:val="001D50E2"/>
    <w:rsid w:val="001D545D"/>
    <w:rsid w:val="001D6024"/>
    <w:rsid w:val="001D643C"/>
    <w:rsid w:val="001D67AE"/>
    <w:rsid w:val="001D717F"/>
    <w:rsid w:val="001D7426"/>
    <w:rsid w:val="001D7687"/>
    <w:rsid w:val="001D76FD"/>
    <w:rsid w:val="001D7970"/>
    <w:rsid w:val="001D7E06"/>
    <w:rsid w:val="001D7EAC"/>
    <w:rsid w:val="001E0231"/>
    <w:rsid w:val="001E0326"/>
    <w:rsid w:val="001E052B"/>
    <w:rsid w:val="001E057C"/>
    <w:rsid w:val="001E0725"/>
    <w:rsid w:val="001E0741"/>
    <w:rsid w:val="001E12FC"/>
    <w:rsid w:val="001E13CD"/>
    <w:rsid w:val="001E1438"/>
    <w:rsid w:val="001E14BE"/>
    <w:rsid w:val="001E2289"/>
    <w:rsid w:val="001E2483"/>
    <w:rsid w:val="001E36DB"/>
    <w:rsid w:val="001E39D2"/>
    <w:rsid w:val="001E40C3"/>
    <w:rsid w:val="001E4230"/>
    <w:rsid w:val="001E4231"/>
    <w:rsid w:val="001E45C1"/>
    <w:rsid w:val="001E47AE"/>
    <w:rsid w:val="001E48BF"/>
    <w:rsid w:val="001E4EEA"/>
    <w:rsid w:val="001E55D9"/>
    <w:rsid w:val="001E5675"/>
    <w:rsid w:val="001E6559"/>
    <w:rsid w:val="001E65F0"/>
    <w:rsid w:val="001E6BBC"/>
    <w:rsid w:val="001E6ED6"/>
    <w:rsid w:val="001E7483"/>
    <w:rsid w:val="001E7552"/>
    <w:rsid w:val="001E7B15"/>
    <w:rsid w:val="001F01E9"/>
    <w:rsid w:val="001F0201"/>
    <w:rsid w:val="001F0607"/>
    <w:rsid w:val="001F0673"/>
    <w:rsid w:val="001F0913"/>
    <w:rsid w:val="001F0CD6"/>
    <w:rsid w:val="001F0E7E"/>
    <w:rsid w:val="001F1004"/>
    <w:rsid w:val="001F200B"/>
    <w:rsid w:val="001F224C"/>
    <w:rsid w:val="001F25B5"/>
    <w:rsid w:val="001F3954"/>
    <w:rsid w:val="001F3D8B"/>
    <w:rsid w:val="001F3F5B"/>
    <w:rsid w:val="001F3FBE"/>
    <w:rsid w:val="001F406D"/>
    <w:rsid w:val="001F45AB"/>
    <w:rsid w:val="001F4990"/>
    <w:rsid w:val="001F4E3F"/>
    <w:rsid w:val="001F52D9"/>
    <w:rsid w:val="001F5585"/>
    <w:rsid w:val="001F5AE8"/>
    <w:rsid w:val="001F61AE"/>
    <w:rsid w:val="001F63F7"/>
    <w:rsid w:val="001F65A2"/>
    <w:rsid w:val="001F6649"/>
    <w:rsid w:val="001F760C"/>
    <w:rsid w:val="001F7951"/>
    <w:rsid w:val="001F7E0D"/>
    <w:rsid w:val="001F7E10"/>
    <w:rsid w:val="00200CEA"/>
    <w:rsid w:val="00200E58"/>
    <w:rsid w:val="0020129A"/>
    <w:rsid w:val="0020148F"/>
    <w:rsid w:val="0020205D"/>
    <w:rsid w:val="00202354"/>
    <w:rsid w:val="002026F6"/>
    <w:rsid w:val="00202ABF"/>
    <w:rsid w:val="00202B98"/>
    <w:rsid w:val="00202DC2"/>
    <w:rsid w:val="00202E76"/>
    <w:rsid w:val="00203A1A"/>
    <w:rsid w:val="00203B49"/>
    <w:rsid w:val="00203B68"/>
    <w:rsid w:val="00204701"/>
    <w:rsid w:val="00204785"/>
    <w:rsid w:val="00204D8B"/>
    <w:rsid w:val="0020546D"/>
    <w:rsid w:val="002059B6"/>
    <w:rsid w:val="00205AB2"/>
    <w:rsid w:val="002065CD"/>
    <w:rsid w:val="002067DA"/>
    <w:rsid w:val="002067EC"/>
    <w:rsid w:val="00206A4D"/>
    <w:rsid w:val="00206C6D"/>
    <w:rsid w:val="0020791E"/>
    <w:rsid w:val="00207C98"/>
    <w:rsid w:val="002102D0"/>
    <w:rsid w:val="00210DAC"/>
    <w:rsid w:val="00211BA1"/>
    <w:rsid w:val="00212056"/>
    <w:rsid w:val="0021282F"/>
    <w:rsid w:val="0021339F"/>
    <w:rsid w:val="002137CB"/>
    <w:rsid w:val="0021382F"/>
    <w:rsid w:val="00213865"/>
    <w:rsid w:val="00213A35"/>
    <w:rsid w:val="00213EF8"/>
    <w:rsid w:val="0021448C"/>
    <w:rsid w:val="00214ADF"/>
    <w:rsid w:val="0021537F"/>
    <w:rsid w:val="00215CB3"/>
    <w:rsid w:val="002160EB"/>
    <w:rsid w:val="002160FF"/>
    <w:rsid w:val="0021675E"/>
    <w:rsid w:val="00216A4C"/>
    <w:rsid w:val="00216E03"/>
    <w:rsid w:val="0021710F"/>
    <w:rsid w:val="00217949"/>
    <w:rsid w:val="00217A8F"/>
    <w:rsid w:val="00217D99"/>
    <w:rsid w:val="002209A5"/>
    <w:rsid w:val="00220BCC"/>
    <w:rsid w:val="002211F6"/>
    <w:rsid w:val="002213A3"/>
    <w:rsid w:val="00221595"/>
    <w:rsid w:val="00223129"/>
    <w:rsid w:val="0022327A"/>
    <w:rsid w:val="0022348C"/>
    <w:rsid w:val="00223DB2"/>
    <w:rsid w:val="00224B31"/>
    <w:rsid w:val="002252C5"/>
    <w:rsid w:val="00225793"/>
    <w:rsid w:val="00225B0E"/>
    <w:rsid w:val="00225F9C"/>
    <w:rsid w:val="002262E8"/>
    <w:rsid w:val="00226AA1"/>
    <w:rsid w:val="00227310"/>
    <w:rsid w:val="0022753C"/>
    <w:rsid w:val="00227691"/>
    <w:rsid w:val="002301F5"/>
    <w:rsid w:val="00230B5D"/>
    <w:rsid w:val="0023101E"/>
    <w:rsid w:val="00231073"/>
    <w:rsid w:val="00231635"/>
    <w:rsid w:val="002324A5"/>
    <w:rsid w:val="00232552"/>
    <w:rsid w:val="00232FFA"/>
    <w:rsid w:val="00233360"/>
    <w:rsid w:val="0023342D"/>
    <w:rsid w:val="00234507"/>
    <w:rsid w:val="002346A3"/>
    <w:rsid w:val="00235884"/>
    <w:rsid w:val="00235ABF"/>
    <w:rsid w:val="00236679"/>
    <w:rsid w:val="002366E9"/>
    <w:rsid w:val="0023785C"/>
    <w:rsid w:val="00237986"/>
    <w:rsid w:val="00237AEE"/>
    <w:rsid w:val="0024043A"/>
    <w:rsid w:val="00240526"/>
    <w:rsid w:val="00241033"/>
    <w:rsid w:val="0024192A"/>
    <w:rsid w:val="00241FFB"/>
    <w:rsid w:val="0024555A"/>
    <w:rsid w:val="00245598"/>
    <w:rsid w:val="0024606E"/>
    <w:rsid w:val="0024609F"/>
    <w:rsid w:val="0024611E"/>
    <w:rsid w:val="0024641D"/>
    <w:rsid w:val="00246619"/>
    <w:rsid w:val="00246A51"/>
    <w:rsid w:val="00247222"/>
    <w:rsid w:val="002473B6"/>
    <w:rsid w:val="002475AE"/>
    <w:rsid w:val="00247DE0"/>
    <w:rsid w:val="00247ED1"/>
    <w:rsid w:val="00250A82"/>
    <w:rsid w:val="00251311"/>
    <w:rsid w:val="00251A17"/>
    <w:rsid w:val="00251B4E"/>
    <w:rsid w:val="002525FE"/>
    <w:rsid w:val="00252C47"/>
    <w:rsid w:val="0025333D"/>
    <w:rsid w:val="00253FB6"/>
    <w:rsid w:val="002541A3"/>
    <w:rsid w:val="00254355"/>
    <w:rsid w:val="002549AE"/>
    <w:rsid w:val="00254BBD"/>
    <w:rsid w:val="0025503E"/>
    <w:rsid w:val="002551BF"/>
    <w:rsid w:val="002555AF"/>
    <w:rsid w:val="002558E0"/>
    <w:rsid w:val="0025596E"/>
    <w:rsid w:val="00255F40"/>
    <w:rsid w:val="002560DF"/>
    <w:rsid w:val="00256320"/>
    <w:rsid w:val="00256577"/>
    <w:rsid w:val="00256D89"/>
    <w:rsid w:val="002601F6"/>
    <w:rsid w:val="00260C1F"/>
    <w:rsid w:val="00261554"/>
    <w:rsid w:val="00261681"/>
    <w:rsid w:val="00262383"/>
    <w:rsid w:val="00262982"/>
    <w:rsid w:val="00262A00"/>
    <w:rsid w:val="00262B5B"/>
    <w:rsid w:val="00262B76"/>
    <w:rsid w:val="00263790"/>
    <w:rsid w:val="0026414F"/>
    <w:rsid w:val="00264830"/>
    <w:rsid w:val="00264948"/>
    <w:rsid w:val="00264F41"/>
    <w:rsid w:val="002652B5"/>
    <w:rsid w:val="002653C3"/>
    <w:rsid w:val="00265689"/>
    <w:rsid w:val="00265EC1"/>
    <w:rsid w:val="00266015"/>
    <w:rsid w:val="00266CCA"/>
    <w:rsid w:val="00267167"/>
    <w:rsid w:val="00270576"/>
    <w:rsid w:val="00270D45"/>
    <w:rsid w:val="00270F01"/>
    <w:rsid w:val="00271900"/>
    <w:rsid w:val="002721F5"/>
    <w:rsid w:val="0027263A"/>
    <w:rsid w:val="00272FB8"/>
    <w:rsid w:val="002739C3"/>
    <w:rsid w:val="00274185"/>
    <w:rsid w:val="0027447E"/>
    <w:rsid w:val="00274CA7"/>
    <w:rsid w:val="00274E49"/>
    <w:rsid w:val="00274F46"/>
    <w:rsid w:val="00275758"/>
    <w:rsid w:val="00275A18"/>
    <w:rsid w:val="00275AE5"/>
    <w:rsid w:val="00275FB1"/>
    <w:rsid w:val="00276257"/>
    <w:rsid w:val="002766E1"/>
    <w:rsid w:val="00276CF6"/>
    <w:rsid w:val="002774BD"/>
    <w:rsid w:val="002779A0"/>
    <w:rsid w:val="00277C7B"/>
    <w:rsid w:val="0028067C"/>
    <w:rsid w:val="00280AB6"/>
    <w:rsid w:val="00280FAA"/>
    <w:rsid w:val="00281053"/>
    <w:rsid w:val="002812C0"/>
    <w:rsid w:val="0028136A"/>
    <w:rsid w:val="00281D8F"/>
    <w:rsid w:val="002824ED"/>
    <w:rsid w:val="002828AB"/>
    <w:rsid w:val="00282B8D"/>
    <w:rsid w:val="00282D89"/>
    <w:rsid w:val="0028324C"/>
    <w:rsid w:val="00283345"/>
    <w:rsid w:val="00283997"/>
    <w:rsid w:val="0028441F"/>
    <w:rsid w:val="00284768"/>
    <w:rsid w:val="0028478D"/>
    <w:rsid w:val="00284FA2"/>
    <w:rsid w:val="00284FFE"/>
    <w:rsid w:val="00285AC3"/>
    <w:rsid w:val="002865F5"/>
    <w:rsid w:val="00286626"/>
    <w:rsid w:val="0028691A"/>
    <w:rsid w:val="00286DC6"/>
    <w:rsid w:val="00290A46"/>
    <w:rsid w:val="00290A78"/>
    <w:rsid w:val="00290A81"/>
    <w:rsid w:val="00290AFC"/>
    <w:rsid w:val="00291060"/>
    <w:rsid w:val="00291D63"/>
    <w:rsid w:val="00291D88"/>
    <w:rsid w:val="00291EA7"/>
    <w:rsid w:val="002925D5"/>
    <w:rsid w:val="00292821"/>
    <w:rsid w:val="002940AA"/>
    <w:rsid w:val="0029450F"/>
    <w:rsid w:val="00294729"/>
    <w:rsid w:val="0029476C"/>
    <w:rsid w:val="00294971"/>
    <w:rsid w:val="0029582C"/>
    <w:rsid w:val="00295A6E"/>
    <w:rsid w:val="00297153"/>
    <w:rsid w:val="002974DB"/>
    <w:rsid w:val="00297AED"/>
    <w:rsid w:val="002A0366"/>
    <w:rsid w:val="002A0437"/>
    <w:rsid w:val="002A0AAC"/>
    <w:rsid w:val="002A1264"/>
    <w:rsid w:val="002A126D"/>
    <w:rsid w:val="002A194F"/>
    <w:rsid w:val="002A1DD2"/>
    <w:rsid w:val="002A1EF3"/>
    <w:rsid w:val="002A2E62"/>
    <w:rsid w:val="002A3694"/>
    <w:rsid w:val="002A370C"/>
    <w:rsid w:val="002A4147"/>
    <w:rsid w:val="002A4439"/>
    <w:rsid w:val="002A58C3"/>
    <w:rsid w:val="002A5915"/>
    <w:rsid w:val="002A5AAD"/>
    <w:rsid w:val="002A6B37"/>
    <w:rsid w:val="002A6C97"/>
    <w:rsid w:val="002A7E1C"/>
    <w:rsid w:val="002B00D2"/>
    <w:rsid w:val="002B02A0"/>
    <w:rsid w:val="002B0601"/>
    <w:rsid w:val="002B0771"/>
    <w:rsid w:val="002B1701"/>
    <w:rsid w:val="002B1B41"/>
    <w:rsid w:val="002B2192"/>
    <w:rsid w:val="002B21C9"/>
    <w:rsid w:val="002B23AA"/>
    <w:rsid w:val="002B2F6D"/>
    <w:rsid w:val="002B2FF1"/>
    <w:rsid w:val="002B3240"/>
    <w:rsid w:val="002B353B"/>
    <w:rsid w:val="002B35FF"/>
    <w:rsid w:val="002B394A"/>
    <w:rsid w:val="002B45B3"/>
    <w:rsid w:val="002B4886"/>
    <w:rsid w:val="002B4B33"/>
    <w:rsid w:val="002B504E"/>
    <w:rsid w:val="002B526A"/>
    <w:rsid w:val="002B5824"/>
    <w:rsid w:val="002B63CD"/>
    <w:rsid w:val="002B64E0"/>
    <w:rsid w:val="002B671E"/>
    <w:rsid w:val="002B6B01"/>
    <w:rsid w:val="002B7245"/>
    <w:rsid w:val="002B79C4"/>
    <w:rsid w:val="002C01F7"/>
    <w:rsid w:val="002C0A77"/>
    <w:rsid w:val="002C107A"/>
    <w:rsid w:val="002C10A4"/>
    <w:rsid w:val="002C1750"/>
    <w:rsid w:val="002C1777"/>
    <w:rsid w:val="002C233A"/>
    <w:rsid w:val="002C260F"/>
    <w:rsid w:val="002C3167"/>
    <w:rsid w:val="002C3594"/>
    <w:rsid w:val="002C374C"/>
    <w:rsid w:val="002C3810"/>
    <w:rsid w:val="002C39C8"/>
    <w:rsid w:val="002C3E7B"/>
    <w:rsid w:val="002C3FE3"/>
    <w:rsid w:val="002C473B"/>
    <w:rsid w:val="002C47C3"/>
    <w:rsid w:val="002C47F4"/>
    <w:rsid w:val="002C49C6"/>
    <w:rsid w:val="002C4DC3"/>
    <w:rsid w:val="002C5755"/>
    <w:rsid w:val="002C5B82"/>
    <w:rsid w:val="002C6C02"/>
    <w:rsid w:val="002C70E4"/>
    <w:rsid w:val="002C7555"/>
    <w:rsid w:val="002C7916"/>
    <w:rsid w:val="002C7AF1"/>
    <w:rsid w:val="002C7B85"/>
    <w:rsid w:val="002C7D4B"/>
    <w:rsid w:val="002D0382"/>
    <w:rsid w:val="002D2287"/>
    <w:rsid w:val="002D275A"/>
    <w:rsid w:val="002D2BC0"/>
    <w:rsid w:val="002D3598"/>
    <w:rsid w:val="002D3B28"/>
    <w:rsid w:val="002D43D4"/>
    <w:rsid w:val="002D4698"/>
    <w:rsid w:val="002D496C"/>
    <w:rsid w:val="002D5610"/>
    <w:rsid w:val="002D5D45"/>
    <w:rsid w:val="002D667B"/>
    <w:rsid w:val="002D67D6"/>
    <w:rsid w:val="002D6C20"/>
    <w:rsid w:val="002D6C6C"/>
    <w:rsid w:val="002D6CC2"/>
    <w:rsid w:val="002D7441"/>
    <w:rsid w:val="002D7A42"/>
    <w:rsid w:val="002D7A73"/>
    <w:rsid w:val="002E0225"/>
    <w:rsid w:val="002E0B35"/>
    <w:rsid w:val="002E0CC6"/>
    <w:rsid w:val="002E0EF5"/>
    <w:rsid w:val="002E0FF2"/>
    <w:rsid w:val="002E1897"/>
    <w:rsid w:val="002E1B25"/>
    <w:rsid w:val="002E1BD8"/>
    <w:rsid w:val="002E20E6"/>
    <w:rsid w:val="002E24DF"/>
    <w:rsid w:val="002E24EA"/>
    <w:rsid w:val="002E2572"/>
    <w:rsid w:val="002E2A8D"/>
    <w:rsid w:val="002E2D4D"/>
    <w:rsid w:val="002E31F3"/>
    <w:rsid w:val="002E38AD"/>
    <w:rsid w:val="002E3C39"/>
    <w:rsid w:val="002E3E04"/>
    <w:rsid w:val="002E401E"/>
    <w:rsid w:val="002E4E13"/>
    <w:rsid w:val="002E5A81"/>
    <w:rsid w:val="002E5F30"/>
    <w:rsid w:val="002E6348"/>
    <w:rsid w:val="002E6783"/>
    <w:rsid w:val="002E68A6"/>
    <w:rsid w:val="002E6B75"/>
    <w:rsid w:val="002F0493"/>
    <w:rsid w:val="002F077D"/>
    <w:rsid w:val="002F14FF"/>
    <w:rsid w:val="002F1592"/>
    <w:rsid w:val="002F16F2"/>
    <w:rsid w:val="002F2110"/>
    <w:rsid w:val="002F2397"/>
    <w:rsid w:val="002F2588"/>
    <w:rsid w:val="002F2611"/>
    <w:rsid w:val="002F2A13"/>
    <w:rsid w:val="002F2B73"/>
    <w:rsid w:val="002F2F0A"/>
    <w:rsid w:val="002F36E6"/>
    <w:rsid w:val="002F3DEF"/>
    <w:rsid w:val="002F43F0"/>
    <w:rsid w:val="002F45A1"/>
    <w:rsid w:val="002F4AF8"/>
    <w:rsid w:val="002F4FCD"/>
    <w:rsid w:val="002F57B5"/>
    <w:rsid w:val="002F5C4A"/>
    <w:rsid w:val="002F6048"/>
    <w:rsid w:val="002F6125"/>
    <w:rsid w:val="002F65B6"/>
    <w:rsid w:val="002F761F"/>
    <w:rsid w:val="003001F9"/>
    <w:rsid w:val="0030060A"/>
    <w:rsid w:val="003014C4"/>
    <w:rsid w:val="003018E3"/>
    <w:rsid w:val="00301A11"/>
    <w:rsid w:val="00301B71"/>
    <w:rsid w:val="00302B42"/>
    <w:rsid w:val="00302C5E"/>
    <w:rsid w:val="0030322A"/>
    <w:rsid w:val="0030389D"/>
    <w:rsid w:val="00303A6E"/>
    <w:rsid w:val="00303E1F"/>
    <w:rsid w:val="003049E2"/>
    <w:rsid w:val="003056B1"/>
    <w:rsid w:val="003058EF"/>
    <w:rsid w:val="0030590F"/>
    <w:rsid w:val="0030665F"/>
    <w:rsid w:val="00306734"/>
    <w:rsid w:val="003074A0"/>
    <w:rsid w:val="0031049D"/>
    <w:rsid w:val="0031055E"/>
    <w:rsid w:val="0031068E"/>
    <w:rsid w:val="003111BC"/>
    <w:rsid w:val="003113FD"/>
    <w:rsid w:val="0031176A"/>
    <w:rsid w:val="00311CAA"/>
    <w:rsid w:val="0031219A"/>
    <w:rsid w:val="0031219D"/>
    <w:rsid w:val="00313622"/>
    <w:rsid w:val="00313A54"/>
    <w:rsid w:val="0031405B"/>
    <w:rsid w:val="003143EE"/>
    <w:rsid w:val="0031456A"/>
    <w:rsid w:val="0031481B"/>
    <w:rsid w:val="003148DB"/>
    <w:rsid w:val="00315407"/>
    <w:rsid w:val="00315573"/>
    <w:rsid w:val="00315673"/>
    <w:rsid w:val="00315A40"/>
    <w:rsid w:val="00315BE3"/>
    <w:rsid w:val="00315CED"/>
    <w:rsid w:val="003163BB"/>
    <w:rsid w:val="0031674C"/>
    <w:rsid w:val="00316834"/>
    <w:rsid w:val="0031704F"/>
    <w:rsid w:val="003176AD"/>
    <w:rsid w:val="00317729"/>
    <w:rsid w:val="00317A99"/>
    <w:rsid w:val="0032006F"/>
    <w:rsid w:val="00320461"/>
    <w:rsid w:val="00320AC6"/>
    <w:rsid w:val="00320BE6"/>
    <w:rsid w:val="00320FFD"/>
    <w:rsid w:val="0032199C"/>
    <w:rsid w:val="003230E8"/>
    <w:rsid w:val="003231F1"/>
    <w:rsid w:val="0032482E"/>
    <w:rsid w:val="00324C7C"/>
    <w:rsid w:val="0032595C"/>
    <w:rsid w:val="00325DCC"/>
    <w:rsid w:val="00325F87"/>
    <w:rsid w:val="00326397"/>
    <w:rsid w:val="0032670A"/>
    <w:rsid w:val="00326C05"/>
    <w:rsid w:val="0032740B"/>
    <w:rsid w:val="00327A94"/>
    <w:rsid w:val="00327AC0"/>
    <w:rsid w:val="0033045A"/>
    <w:rsid w:val="00331CDB"/>
    <w:rsid w:val="003327B8"/>
    <w:rsid w:val="0033288C"/>
    <w:rsid w:val="00333877"/>
    <w:rsid w:val="00334F26"/>
    <w:rsid w:val="00334F8E"/>
    <w:rsid w:val="00335639"/>
    <w:rsid w:val="003356DB"/>
    <w:rsid w:val="00335FD1"/>
    <w:rsid w:val="00336293"/>
    <w:rsid w:val="00336472"/>
    <w:rsid w:val="00336546"/>
    <w:rsid w:val="003366FF"/>
    <w:rsid w:val="003367EA"/>
    <w:rsid w:val="00336A31"/>
    <w:rsid w:val="00336F2A"/>
    <w:rsid w:val="0033710E"/>
    <w:rsid w:val="00337A67"/>
    <w:rsid w:val="00337DB6"/>
    <w:rsid w:val="0034055A"/>
    <w:rsid w:val="003406AA"/>
    <w:rsid w:val="00340BC9"/>
    <w:rsid w:val="00340CF1"/>
    <w:rsid w:val="00340EE2"/>
    <w:rsid w:val="00341151"/>
    <w:rsid w:val="003412C5"/>
    <w:rsid w:val="003414F6"/>
    <w:rsid w:val="00341C2C"/>
    <w:rsid w:val="00342E82"/>
    <w:rsid w:val="0034316E"/>
    <w:rsid w:val="003431B1"/>
    <w:rsid w:val="00344844"/>
    <w:rsid w:val="0034487D"/>
    <w:rsid w:val="00344D22"/>
    <w:rsid w:val="00344F85"/>
    <w:rsid w:val="00345215"/>
    <w:rsid w:val="00345703"/>
    <w:rsid w:val="00345D3F"/>
    <w:rsid w:val="003469ED"/>
    <w:rsid w:val="00346E15"/>
    <w:rsid w:val="0034716F"/>
    <w:rsid w:val="003504D2"/>
    <w:rsid w:val="00350AB7"/>
    <w:rsid w:val="00350B7B"/>
    <w:rsid w:val="003511E9"/>
    <w:rsid w:val="003514C2"/>
    <w:rsid w:val="00352876"/>
    <w:rsid w:val="00352AA3"/>
    <w:rsid w:val="00352AEF"/>
    <w:rsid w:val="00353068"/>
    <w:rsid w:val="00353146"/>
    <w:rsid w:val="0035343A"/>
    <w:rsid w:val="003543E9"/>
    <w:rsid w:val="003545DE"/>
    <w:rsid w:val="00354B7A"/>
    <w:rsid w:val="00354ED9"/>
    <w:rsid w:val="00355240"/>
    <w:rsid w:val="00355DA3"/>
    <w:rsid w:val="00356097"/>
    <w:rsid w:val="003567F1"/>
    <w:rsid w:val="00356AB5"/>
    <w:rsid w:val="00356E52"/>
    <w:rsid w:val="00357F92"/>
    <w:rsid w:val="00360E26"/>
    <w:rsid w:val="00360ED7"/>
    <w:rsid w:val="00360FD8"/>
    <w:rsid w:val="00361354"/>
    <w:rsid w:val="0036152C"/>
    <w:rsid w:val="00361AC5"/>
    <w:rsid w:val="00361E4D"/>
    <w:rsid w:val="00362ACB"/>
    <w:rsid w:val="00362E13"/>
    <w:rsid w:val="00362F60"/>
    <w:rsid w:val="00363D32"/>
    <w:rsid w:val="00363E0A"/>
    <w:rsid w:val="003642AC"/>
    <w:rsid w:val="00364428"/>
    <w:rsid w:val="003648B9"/>
    <w:rsid w:val="00364A3D"/>
    <w:rsid w:val="00365506"/>
    <w:rsid w:val="00365602"/>
    <w:rsid w:val="0036589C"/>
    <w:rsid w:val="003658BF"/>
    <w:rsid w:val="00365F31"/>
    <w:rsid w:val="00366843"/>
    <w:rsid w:val="00366C55"/>
    <w:rsid w:val="00366D4B"/>
    <w:rsid w:val="00366FCA"/>
    <w:rsid w:val="003672CE"/>
    <w:rsid w:val="003676FB"/>
    <w:rsid w:val="00367E59"/>
    <w:rsid w:val="0037007E"/>
    <w:rsid w:val="00370278"/>
    <w:rsid w:val="003703BB"/>
    <w:rsid w:val="00370944"/>
    <w:rsid w:val="00370B3D"/>
    <w:rsid w:val="00370BDB"/>
    <w:rsid w:val="00370FB9"/>
    <w:rsid w:val="00371E4A"/>
    <w:rsid w:val="0037212B"/>
    <w:rsid w:val="003727C2"/>
    <w:rsid w:val="003730BC"/>
    <w:rsid w:val="00373541"/>
    <w:rsid w:val="0037389A"/>
    <w:rsid w:val="003738D6"/>
    <w:rsid w:val="00373D11"/>
    <w:rsid w:val="00374194"/>
    <w:rsid w:val="00375113"/>
    <w:rsid w:val="003752AF"/>
    <w:rsid w:val="00375615"/>
    <w:rsid w:val="00375A58"/>
    <w:rsid w:val="00375C2A"/>
    <w:rsid w:val="0037629A"/>
    <w:rsid w:val="00376C9D"/>
    <w:rsid w:val="00376F85"/>
    <w:rsid w:val="003772D2"/>
    <w:rsid w:val="00380CCE"/>
    <w:rsid w:val="00380FAB"/>
    <w:rsid w:val="00381019"/>
    <w:rsid w:val="00381F4E"/>
    <w:rsid w:val="00382C2D"/>
    <w:rsid w:val="00382F05"/>
    <w:rsid w:val="00383859"/>
    <w:rsid w:val="00383E73"/>
    <w:rsid w:val="00384144"/>
    <w:rsid w:val="00385426"/>
    <w:rsid w:val="003857D3"/>
    <w:rsid w:val="003859F1"/>
    <w:rsid w:val="00385AFA"/>
    <w:rsid w:val="00386828"/>
    <w:rsid w:val="00386D80"/>
    <w:rsid w:val="0038741B"/>
    <w:rsid w:val="003874F2"/>
    <w:rsid w:val="00387B03"/>
    <w:rsid w:val="00390004"/>
    <w:rsid w:val="003900B5"/>
    <w:rsid w:val="003900F5"/>
    <w:rsid w:val="00390101"/>
    <w:rsid w:val="00390BCE"/>
    <w:rsid w:val="00390FD6"/>
    <w:rsid w:val="00391D78"/>
    <w:rsid w:val="0039324A"/>
    <w:rsid w:val="003933A8"/>
    <w:rsid w:val="00393ADE"/>
    <w:rsid w:val="00393D73"/>
    <w:rsid w:val="00393DAB"/>
    <w:rsid w:val="0039447F"/>
    <w:rsid w:val="0039463D"/>
    <w:rsid w:val="003948E0"/>
    <w:rsid w:val="00394942"/>
    <w:rsid w:val="00394C53"/>
    <w:rsid w:val="00395382"/>
    <w:rsid w:val="00395962"/>
    <w:rsid w:val="00396087"/>
    <w:rsid w:val="00396238"/>
    <w:rsid w:val="003968A5"/>
    <w:rsid w:val="00396A55"/>
    <w:rsid w:val="00396DCE"/>
    <w:rsid w:val="00397264"/>
    <w:rsid w:val="00397DA7"/>
    <w:rsid w:val="00397E20"/>
    <w:rsid w:val="003A004B"/>
    <w:rsid w:val="003A01BB"/>
    <w:rsid w:val="003A0839"/>
    <w:rsid w:val="003A087F"/>
    <w:rsid w:val="003A08EA"/>
    <w:rsid w:val="003A0AB3"/>
    <w:rsid w:val="003A0B70"/>
    <w:rsid w:val="003A116A"/>
    <w:rsid w:val="003A1312"/>
    <w:rsid w:val="003A1EE2"/>
    <w:rsid w:val="003A2226"/>
    <w:rsid w:val="003A27CE"/>
    <w:rsid w:val="003A28D7"/>
    <w:rsid w:val="003A2F25"/>
    <w:rsid w:val="003A313A"/>
    <w:rsid w:val="003A3359"/>
    <w:rsid w:val="003A368F"/>
    <w:rsid w:val="003A46FD"/>
    <w:rsid w:val="003A4FB9"/>
    <w:rsid w:val="003A5426"/>
    <w:rsid w:val="003A5584"/>
    <w:rsid w:val="003A5E50"/>
    <w:rsid w:val="003A6284"/>
    <w:rsid w:val="003A6CA3"/>
    <w:rsid w:val="003A71FC"/>
    <w:rsid w:val="003B0064"/>
    <w:rsid w:val="003B0521"/>
    <w:rsid w:val="003B0731"/>
    <w:rsid w:val="003B09C1"/>
    <w:rsid w:val="003B0D75"/>
    <w:rsid w:val="003B12E6"/>
    <w:rsid w:val="003B14F0"/>
    <w:rsid w:val="003B1A83"/>
    <w:rsid w:val="003B20AF"/>
    <w:rsid w:val="003B3DB4"/>
    <w:rsid w:val="003B45E0"/>
    <w:rsid w:val="003B4781"/>
    <w:rsid w:val="003B4DDB"/>
    <w:rsid w:val="003B5A7D"/>
    <w:rsid w:val="003B6159"/>
    <w:rsid w:val="003B61E7"/>
    <w:rsid w:val="003B6276"/>
    <w:rsid w:val="003B6463"/>
    <w:rsid w:val="003B6976"/>
    <w:rsid w:val="003B6F21"/>
    <w:rsid w:val="003B75FC"/>
    <w:rsid w:val="003B7B60"/>
    <w:rsid w:val="003B7B8B"/>
    <w:rsid w:val="003C024E"/>
    <w:rsid w:val="003C04E8"/>
    <w:rsid w:val="003C0DD3"/>
    <w:rsid w:val="003C150B"/>
    <w:rsid w:val="003C180D"/>
    <w:rsid w:val="003C18CD"/>
    <w:rsid w:val="003C1D92"/>
    <w:rsid w:val="003C1DDF"/>
    <w:rsid w:val="003C1E93"/>
    <w:rsid w:val="003C20E2"/>
    <w:rsid w:val="003C2B75"/>
    <w:rsid w:val="003C2DC9"/>
    <w:rsid w:val="003C37D5"/>
    <w:rsid w:val="003C3F9E"/>
    <w:rsid w:val="003C4FDA"/>
    <w:rsid w:val="003C5A16"/>
    <w:rsid w:val="003C5B23"/>
    <w:rsid w:val="003C5FFF"/>
    <w:rsid w:val="003C6B18"/>
    <w:rsid w:val="003C7924"/>
    <w:rsid w:val="003C79AC"/>
    <w:rsid w:val="003C7B04"/>
    <w:rsid w:val="003C7E7E"/>
    <w:rsid w:val="003D0A48"/>
    <w:rsid w:val="003D0AF9"/>
    <w:rsid w:val="003D1199"/>
    <w:rsid w:val="003D18A1"/>
    <w:rsid w:val="003D1B19"/>
    <w:rsid w:val="003D1F54"/>
    <w:rsid w:val="003D2333"/>
    <w:rsid w:val="003D2561"/>
    <w:rsid w:val="003D2DFA"/>
    <w:rsid w:val="003D30E9"/>
    <w:rsid w:val="003D3976"/>
    <w:rsid w:val="003D3BA2"/>
    <w:rsid w:val="003D4779"/>
    <w:rsid w:val="003D4CA2"/>
    <w:rsid w:val="003D58D6"/>
    <w:rsid w:val="003D668A"/>
    <w:rsid w:val="003D7012"/>
    <w:rsid w:val="003D7863"/>
    <w:rsid w:val="003D7F18"/>
    <w:rsid w:val="003E0D11"/>
    <w:rsid w:val="003E1579"/>
    <w:rsid w:val="003E15E2"/>
    <w:rsid w:val="003E180A"/>
    <w:rsid w:val="003E24E1"/>
    <w:rsid w:val="003E2987"/>
    <w:rsid w:val="003E31A0"/>
    <w:rsid w:val="003E3283"/>
    <w:rsid w:val="003E32E7"/>
    <w:rsid w:val="003E3AED"/>
    <w:rsid w:val="003E3BDB"/>
    <w:rsid w:val="003E53F8"/>
    <w:rsid w:val="003E5C54"/>
    <w:rsid w:val="003E65FF"/>
    <w:rsid w:val="003E6828"/>
    <w:rsid w:val="003E69F2"/>
    <w:rsid w:val="003E6ED7"/>
    <w:rsid w:val="003E6F1C"/>
    <w:rsid w:val="003E7280"/>
    <w:rsid w:val="003E7D9B"/>
    <w:rsid w:val="003F087C"/>
    <w:rsid w:val="003F0B7C"/>
    <w:rsid w:val="003F0CD4"/>
    <w:rsid w:val="003F1DBF"/>
    <w:rsid w:val="003F1FCD"/>
    <w:rsid w:val="003F2189"/>
    <w:rsid w:val="003F2218"/>
    <w:rsid w:val="003F28DC"/>
    <w:rsid w:val="003F2C51"/>
    <w:rsid w:val="003F2E3C"/>
    <w:rsid w:val="003F35A7"/>
    <w:rsid w:val="003F36E5"/>
    <w:rsid w:val="003F3736"/>
    <w:rsid w:val="003F3CC5"/>
    <w:rsid w:val="003F4001"/>
    <w:rsid w:val="003F4460"/>
    <w:rsid w:val="003F46AF"/>
    <w:rsid w:val="003F5983"/>
    <w:rsid w:val="003F7251"/>
    <w:rsid w:val="003F7B42"/>
    <w:rsid w:val="003F7E5B"/>
    <w:rsid w:val="00400239"/>
    <w:rsid w:val="0040056D"/>
    <w:rsid w:val="00400DA9"/>
    <w:rsid w:val="00401AFA"/>
    <w:rsid w:val="00401BCF"/>
    <w:rsid w:val="00401C38"/>
    <w:rsid w:val="004020C7"/>
    <w:rsid w:val="004026A3"/>
    <w:rsid w:val="00403CA0"/>
    <w:rsid w:val="00403EAB"/>
    <w:rsid w:val="00404766"/>
    <w:rsid w:val="004048D6"/>
    <w:rsid w:val="00404BD8"/>
    <w:rsid w:val="00405033"/>
    <w:rsid w:val="00405261"/>
    <w:rsid w:val="00406517"/>
    <w:rsid w:val="0040677F"/>
    <w:rsid w:val="00406939"/>
    <w:rsid w:val="00406AC3"/>
    <w:rsid w:val="00406BAE"/>
    <w:rsid w:val="00406C1E"/>
    <w:rsid w:val="00407378"/>
    <w:rsid w:val="004074C7"/>
    <w:rsid w:val="00407C9B"/>
    <w:rsid w:val="00407D15"/>
    <w:rsid w:val="004100D4"/>
    <w:rsid w:val="004105CB"/>
    <w:rsid w:val="00410BFA"/>
    <w:rsid w:val="00411B05"/>
    <w:rsid w:val="00411C5F"/>
    <w:rsid w:val="00411F0C"/>
    <w:rsid w:val="00412F5C"/>
    <w:rsid w:val="004136CA"/>
    <w:rsid w:val="00413959"/>
    <w:rsid w:val="00413B1C"/>
    <w:rsid w:val="00413B95"/>
    <w:rsid w:val="0041425D"/>
    <w:rsid w:val="00414812"/>
    <w:rsid w:val="00415035"/>
    <w:rsid w:val="00416C3D"/>
    <w:rsid w:val="00417B4B"/>
    <w:rsid w:val="00417BF5"/>
    <w:rsid w:val="00420342"/>
    <w:rsid w:val="004203B4"/>
    <w:rsid w:val="004204F2"/>
    <w:rsid w:val="00420504"/>
    <w:rsid w:val="00420B98"/>
    <w:rsid w:val="0042157D"/>
    <w:rsid w:val="00421665"/>
    <w:rsid w:val="00421727"/>
    <w:rsid w:val="00421C5D"/>
    <w:rsid w:val="00421E9E"/>
    <w:rsid w:val="004222CE"/>
    <w:rsid w:val="0042244C"/>
    <w:rsid w:val="00422B04"/>
    <w:rsid w:val="00422C3F"/>
    <w:rsid w:val="0042313D"/>
    <w:rsid w:val="004239D2"/>
    <w:rsid w:val="0042473B"/>
    <w:rsid w:val="004249AE"/>
    <w:rsid w:val="00424D2C"/>
    <w:rsid w:val="00424E56"/>
    <w:rsid w:val="0042506C"/>
    <w:rsid w:val="004252BE"/>
    <w:rsid w:val="00426302"/>
    <w:rsid w:val="00427AF2"/>
    <w:rsid w:val="0043038A"/>
    <w:rsid w:val="00430A5A"/>
    <w:rsid w:val="00430AB2"/>
    <w:rsid w:val="00430F08"/>
    <w:rsid w:val="00430F5E"/>
    <w:rsid w:val="004312E9"/>
    <w:rsid w:val="004314A1"/>
    <w:rsid w:val="00431A11"/>
    <w:rsid w:val="00431B0C"/>
    <w:rsid w:val="00431B7B"/>
    <w:rsid w:val="0043208B"/>
    <w:rsid w:val="004327E4"/>
    <w:rsid w:val="00432A6C"/>
    <w:rsid w:val="00432B41"/>
    <w:rsid w:val="00432B6B"/>
    <w:rsid w:val="00432CC8"/>
    <w:rsid w:val="00432F04"/>
    <w:rsid w:val="00433015"/>
    <w:rsid w:val="004330D8"/>
    <w:rsid w:val="0043352C"/>
    <w:rsid w:val="004340E5"/>
    <w:rsid w:val="0043493D"/>
    <w:rsid w:val="00434D9E"/>
    <w:rsid w:val="00435B68"/>
    <w:rsid w:val="004368CA"/>
    <w:rsid w:val="00436A49"/>
    <w:rsid w:val="00436DCF"/>
    <w:rsid w:val="0043754F"/>
    <w:rsid w:val="004375E4"/>
    <w:rsid w:val="0043782E"/>
    <w:rsid w:val="00437B46"/>
    <w:rsid w:val="00437D6B"/>
    <w:rsid w:val="00437E41"/>
    <w:rsid w:val="0044027E"/>
    <w:rsid w:val="004403AB"/>
    <w:rsid w:val="00440E2E"/>
    <w:rsid w:val="004410F1"/>
    <w:rsid w:val="0044119E"/>
    <w:rsid w:val="00441C61"/>
    <w:rsid w:val="00441E6A"/>
    <w:rsid w:val="00441F3B"/>
    <w:rsid w:val="00442057"/>
    <w:rsid w:val="004426E5"/>
    <w:rsid w:val="0044312A"/>
    <w:rsid w:val="0044317F"/>
    <w:rsid w:val="00443E3A"/>
    <w:rsid w:val="00444082"/>
    <w:rsid w:val="0044431D"/>
    <w:rsid w:val="00444376"/>
    <w:rsid w:val="004445BF"/>
    <w:rsid w:val="00444745"/>
    <w:rsid w:val="004451BF"/>
    <w:rsid w:val="0044570D"/>
    <w:rsid w:val="00445A5C"/>
    <w:rsid w:val="004461C4"/>
    <w:rsid w:val="004464F1"/>
    <w:rsid w:val="004466AC"/>
    <w:rsid w:val="00446908"/>
    <w:rsid w:val="00446C5D"/>
    <w:rsid w:val="00447C96"/>
    <w:rsid w:val="00447CFF"/>
    <w:rsid w:val="00450882"/>
    <w:rsid w:val="00451816"/>
    <w:rsid w:val="00451A15"/>
    <w:rsid w:val="00451B3A"/>
    <w:rsid w:val="004522F4"/>
    <w:rsid w:val="00452324"/>
    <w:rsid w:val="0045243F"/>
    <w:rsid w:val="004529A8"/>
    <w:rsid w:val="00453308"/>
    <w:rsid w:val="00453917"/>
    <w:rsid w:val="00453975"/>
    <w:rsid w:val="00453CE9"/>
    <w:rsid w:val="00454527"/>
    <w:rsid w:val="004545B7"/>
    <w:rsid w:val="0045481F"/>
    <w:rsid w:val="00454A66"/>
    <w:rsid w:val="0045515E"/>
    <w:rsid w:val="0045526D"/>
    <w:rsid w:val="00455DBF"/>
    <w:rsid w:val="004561B0"/>
    <w:rsid w:val="00456CFD"/>
    <w:rsid w:val="00457057"/>
    <w:rsid w:val="0045743C"/>
    <w:rsid w:val="00457D71"/>
    <w:rsid w:val="0046095E"/>
    <w:rsid w:val="00461628"/>
    <w:rsid w:val="00461EDF"/>
    <w:rsid w:val="004622A7"/>
    <w:rsid w:val="0046262E"/>
    <w:rsid w:val="004626D1"/>
    <w:rsid w:val="004628DD"/>
    <w:rsid w:val="00462A42"/>
    <w:rsid w:val="00462E4E"/>
    <w:rsid w:val="00463F86"/>
    <w:rsid w:val="00464B47"/>
    <w:rsid w:val="00464EFE"/>
    <w:rsid w:val="00464F4E"/>
    <w:rsid w:val="00466790"/>
    <w:rsid w:val="00466ABC"/>
    <w:rsid w:val="00466D1D"/>
    <w:rsid w:val="00467046"/>
    <w:rsid w:val="004671B6"/>
    <w:rsid w:val="004675A2"/>
    <w:rsid w:val="004679F7"/>
    <w:rsid w:val="004702AB"/>
    <w:rsid w:val="00470370"/>
    <w:rsid w:val="00471AAD"/>
    <w:rsid w:val="0047218D"/>
    <w:rsid w:val="00472496"/>
    <w:rsid w:val="00472821"/>
    <w:rsid w:val="004728A9"/>
    <w:rsid w:val="004735C1"/>
    <w:rsid w:val="0047367E"/>
    <w:rsid w:val="00473979"/>
    <w:rsid w:val="00473CEC"/>
    <w:rsid w:val="00474A21"/>
    <w:rsid w:val="00474DAC"/>
    <w:rsid w:val="00474FC8"/>
    <w:rsid w:val="004752AA"/>
    <w:rsid w:val="00475BAD"/>
    <w:rsid w:val="004778D7"/>
    <w:rsid w:val="00477F62"/>
    <w:rsid w:val="004807F8"/>
    <w:rsid w:val="0048092F"/>
    <w:rsid w:val="00480A64"/>
    <w:rsid w:val="00480DA6"/>
    <w:rsid w:val="004815FE"/>
    <w:rsid w:val="00481753"/>
    <w:rsid w:val="00481ECA"/>
    <w:rsid w:val="00482415"/>
    <w:rsid w:val="00482A48"/>
    <w:rsid w:val="00483556"/>
    <w:rsid w:val="004835D8"/>
    <w:rsid w:val="004836A7"/>
    <w:rsid w:val="00483B46"/>
    <w:rsid w:val="00484218"/>
    <w:rsid w:val="00484395"/>
    <w:rsid w:val="00484585"/>
    <w:rsid w:val="0048459C"/>
    <w:rsid w:val="00484A29"/>
    <w:rsid w:val="00485090"/>
    <w:rsid w:val="00486DB3"/>
    <w:rsid w:val="0048711A"/>
    <w:rsid w:val="00487203"/>
    <w:rsid w:val="00487341"/>
    <w:rsid w:val="00490B47"/>
    <w:rsid w:val="00490CF3"/>
    <w:rsid w:val="00491572"/>
    <w:rsid w:val="0049181D"/>
    <w:rsid w:val="00491C39"/>
    <w:rsid w:val="00491DBB"/>
    <w:rsid w:val="0049232A"/>
    <w:rsid w:val="00492611"/>
    <w:rsid w:val="00492DA4"/>
    <w:rsid w:val="00492E68"/>
    <w:rsid w:val="00492FAE"/>
    <w:rsid w:val="00493A26"/>
    <w:rsid w:val="00493E43"/>
    <w:rsid w:val="004941D7"/>
    <w:rsid w:val="0049436C"/>
    <w:rsid w:val="004948A9"/>
    <w:rsid w:val="00494A3C"/>
    <w:rsid w:val="004950A2"/>
    <w:rsid w:val="004958E2"/>
    <w:rsid w:val="00495D58"/>
    <w:rsid w:val="00495DAF"/>
    <w:rsid w:val="00496075"/>
    <w:rsid w:val="00496145"/>
    <w:rsid w:val="00496601"/>
    <w:rsid w:val="0049702D"/>
    <w:rsid w:val="00497109"/>
    <w:rsid w:val="00497221"/>
    <w:rsid w:val="00497878"/>
    <w:rsid w:val="004A0FD3"/>
    <w:rsid w:val="004A159A"/>
    <w:rsid w:val="004A1BA1"/>
    <w:rsid w:val="004A1C3A"/>
    <w:rsid w:val="004A1ECB"/>
    <w:rsid w:val="004A1F7D"/>
    <w:rsid w:val="004A20D6"/>
    <w:rsid w:val="004A26DD"/>
    <w:rsid w:val="004A3535"/>
    <w:rsid w:val="004A39EB"/>
    <w:rsid w:val="004A3D89"/>
    <w:rsid w:val="004A4117"/>
    <w:rsid w:val="004A44AA"/>
    <w:rsid w:val="004A474A"/>
    <w:rsid w:val="004A4767"/>
    <w:rsid w:val="004A5140"/>
    <w:rsid w:val="004A5396"/>
    <w:rsid w:val="004A5C5F"/>
    <w:rsid w:val="004A5F8B"/>
    <w:rsid w:val="004A670A"/>
    <w:rsid w:val="004A6A2E"/>
    <w:rsid w:val="004A6F44"/>
    <w:rsid w:val="004A72B5"/>
    <w:rsid w:val="004B194B"/>
    <w:rsid w:val="004B194F"/>
    <w:rsid w:val="004B21BD"/>
    <w:rsid w:val="004B2461"/>
    <w:rsid w:val="004B27EE"/>
    <w:rsid w:val="004B2A30"/>
    <w:rsid w:val="004B2C0F"/>
    <w:rsid w:val="004B2F6B"/>
    <w:rsid w:val="004B3955"/>
    <w:rsid w:val="004B3F0C"/>
    <w:rsid w:val="004B43F5"/>
    <w:rsid w:val="004B48B2"/>
    <w:rsid w:val="004B4DF7"/>
    <w:rsid w:val="004B543B"/>
    <w:rsid w:val="004B5A5E"/>
    <w:rsid w:val="004B657F"/>
    <w:rsid w:val="004B69FC"/>
    <w:rsid w:val="004B6A42"/>
    <w:rsid w:val="004B6E29"/>
    <w:rsid w:val="004B7840"/>
    <w:rsid w:val="004B7F25"/>
    <w:rsid w:val="004C00A7"/>
    <w:rsid w:val="004C13B4"/>
    <w:rsid w:val="004C1F7D"/>
    <w:rsid w:val="004C2191"/>
    <w:rsid w:val="004C2261"/>
    <w:rsid w:val="004C2DD4"/>
    <w:rsid w:val="004C2DD8"/>
    <w:rsid w:val="004C2E3E"/>
    <w:rsid w:val="004C30DA"/>
    <w:rsid w:val="004C3757"/>
    <w:rsid w:val="004C3BC4"/>
    <w:rsid w:val="004C409F"/>
    <w:rsid w:val="004C4440"/>
    <w:rsid w:val="004C5378"/>
    <w:rsid w:val="004C54A8"/>
    <w:rsid w:val="004C54B9"/>
    <w:rsid w:val="004C59C6"/>
    <w:rsid w:val="004C6FB0"/>
    <w:rsid w:val="004C729B"/>
    <w:rsid w:val="004C7441"/>
    <w:rsid w:val="004C760E"/>
    <w:rsid w:val="004C7B49"/>
    <w:rsid w:val="004C7F3E"/>
    <w:rsid w:val="004C7F8B"/>
    <w:rsid w:val="004D031D"/>
    <w:rsid w:val="004D099A"/>
    <w:rsid w:val="004D15CC"/>
    <w:rsid w:val="004D1965"/>
    <w:rsid w:val="004D1C2E"/>
    <w:rsid w:val="004D21D5"/>
    <w:rsid w:val="004D23B0"/>
    <w:rsid w:val="004D358F"/>
    <w:rsid w:val="004D3FB2"/>
    <w:rsid w:val="004D4D25"/>
    <w:rsid w:val="004D51C1"/>
    <w:rsid w:val="004D552D"/>
    <w:rsid w:val="004D5809"/>
    <w:rsid w:val="004D62EC"/>
    <w:rsid w:val="004D65FA"/>
    <w:rsid w:val="004D7AA6"/>
    <w:rsid w:val="004D7F2A"/>
    <w:rsid w:val="004E0220"/>
    <w:rsid w:val="004E0604"/>
    <w:rsid w:val="004E12D1"/>
    <w:rsid w:val="004E130D"/>
    <w:rsid w:val="004E1500"/>
    <w:rsid w:val="004E18D3"/>
    <w:rsid w:val="004E1A5A"/>
    <w:rsid w:val="004E1E27"/>
    <w:rsid w:val="004E1F5C"/>
    <w:rsid w:val="004E1FBA"/>
    <w:rsid w:val="004E23D1"/>
    <w:rsid w:val="004E25D7"/>
    <w:rsid w:val="004E295E"/>
    <w:rsid w:val="004E2BA8"/>
    <w:rsid w:val="004E3895"/>
    <w:rsid w:val="004E390C"/>
    <w:rsid w:val="004E3A72"/>
    <w:rsid w:val="004E41F6"/>
    <w:rsid w:val="004E5393"/>
    <w:rsid w:val="004E53BC"/>
    <w:rsid w:val="004E562B"/>
    <w:rsid w:val="004E572F"/>
    <w:rsid w:val="004E592F"/>
    <w:rsid w:val="004E59E0"/>
    <w:rsid w:val="004E5B56"/>
    <w:rsid w:val="004E5C2D"/>
    <w:rsid w:val="004E6065"/>
    <w:rsid w:val="004E63EE"/>
    <w:rsid w:val="004E6849"/>
    <w:rsid w:val="004E72BB"/>
    <w:rsid w:val="004E758F"/>
    <w:rsid w:val="004F0137"/>
    <w:rsid w:val="004F138C"/>
    <w:rsid w:val="004F1DB6"/>
    <w:rsid w:val="004F2191"/>
    <w:rsid w:val="004F23EA"/>
    <w:rsid w:val="004F294C"/>
    <w:rsid w:val="004F39D5"/>
    <w:rsid w:val="004F42C9"/>
    <w:rsid w:val="004F49FF"/>
    <w:rsid w:val="004F5F92"/>
    <w:rsid w:val="004F6949"/>
    <w:rsid w:val="004F6B23"/>
    <w:rsid w:val="004F6D04"/>
    <w:rsid w:val="004F6DC4"/>
    <w:rsid w:val="005000D6"/>
    <w:rsid w:val="00500714"/>
    <w:rsid w:val="005009DF"/>
    <w:rsid w:val="005018B5"/>
    <w:rsid w:val="00501E5A"/>
    <w:rsid w:val="00501FBE"/>
    <w:rsid w:val="00502591"/>
    <w:rsid w:val="005032F5"/>
    <w:rsid w:val="00505A6B"/>
    <w:rsid w:val="005070BB"/>
    <w:rsid w:val="005078DF"/>
    <w:rsid w:val="00507B6B"/>
    <w:rsid w:val="00507CB2"/>
    <w:rsid w:val="00510AC9"/>
    <w:rsid w:val="00510AF5"/>
    <w:rsid w:val="00510BAC"/>
    <w:rsid w:val="00511CA2"/>
    <w:rsid w:val="00511CE4"/>
    <w:rsid w:val="00511CED"/>
    <w:rsid w:val="00511F52"/>
    <w:rsid w:val="00512042"/>
    <w:rsid w:val="00513131"/>
    <w:rsid w:val="005131ED"/>
    <w:rsid w:val="0051396A"/>
    <w:rsid w:val="00513DDE"/>
    <w:rsid w:val="005147BE"/>
    <w:rsid w:val="00514DFE"/>
    <w:rsid w:val="00514F0E"/>
    <w:rsid w:val="00515208"/>
    <w:rsid w:val="005152DA"/>
    <w:rsid w:val="00515A0B"/>
    <w:rsid w:val="0051629C"/>
    <w:rsid w:val="00516463"/>
    <w:rsid w:val="005166D4"/>
    <w:rsid w:val="00516A40"/>
    <w:rsid w:val="00516ADD"/>
    <w:rsid w:val="0051724C"/>
    <w:rsid w:val="00517535"/>
    <w:rsid w:val="005175F7"/>
    <w:rsid w:val="00517B02"/>
    <w:rsid w:val="00517C73"/>
    <w:rsid w:val="0052068C"/>
    <w:rsid w:val="00520A38"/>
    <w:rsid w:val="00521B15"/>
    <w:rsid w:val="005221AF"/>
    <w:rsid w:val="0052262F"/>
    <w:rsid w:val="00522CAE"/>
    <w:rsid w:val="00523A96"/>
    <w:rsid w:val="00523ACD"/>
    <w:rsid w:val="00523E19"/>
    <w:rsid w:val="00524BE7"/>
    <w:rsid w:val="00525031"/>
    <w:rsid w:val="005250BD"/>
    <w:rsid w:val="00525155"/>
    <w:rsid w:val="005254D6"/>
    <w:rsid w:val="005255DB"/>
    <w:rsid w:val="0052592E"/>
    <w:rsid w:val="0052676B"/>
    <w:rsid w:val="00527078"/>
    <w:rsid w:val="005273DB"/>
    <w:rsid w:val="00527783"/>
    <w:rsid w:val="00527C49"/>
    <w:rsid w:val="005303A5"/>
    <w:rsid w:val="0053061C"/>
    <w:rsid w:val="005307B6"/>
    <w:rsid w:val="00530A8E"/>
    <w:rsid w:val="00530FC2"/>
    <w:rsid w:val="00531254"/>
    <w:rsid w:val="00531A1B"/>
    <w:rsid w:val="00531A3F"/>
    <w:rsid w:val="005321A9"/>
    <w:rsid w:val="0053260C"/>
    <w:rsid w:val="005326B8"/>
    <w:rsid w:val="00532A50"/>
    <w:rsid w:val="00533004"/>
    <w:rsid w:val="00533A8C"/>
    <w:rsid w:val="0053404D"/>
    <w:rsid w:val="00534352"/>
    <w:rsid w:val="0053542C"/>
    <w:rsid w:val="00535460"/>
    <w:rsid w:val="0053591F"/>
    <w:rsid w:val="00535C4D"/>
    <w:rsid w:val="00535C7E"/>
    <w:rsid w:val="0053673F"/>
    <w:rsid w:val="005368BD"/>
    <w:rsid w:val="00536937"/>
    <w:rsid w:val="0053706B"/>
    <w:rsid w:val="00537BED"/>
    <w:rsid w:val="00540D31"/>
    <w:rsid w:val="00540E67"/>
    <w:rsid w:val="00541050"/>
    <w:rsid w:val="00541219"/>
    <w:rsid w:val="00541523"/>
    <w:rsid w:val="005415FF"/>
    <w:rsid w:val="00541803"/>
    <w:rsid w:val="00541CFC"/>
    <w:rsid w:val="005420FD"/>
    <w:rsid w:val="00542239"/>
    <w:rsid w:val="0054253F"/>
    <w:rsid w:val="005428A6"/>
    <w:rsid w:val="00542A46"/>
    <w:rsid w:val="005438EA"/>
    <w:rsid w:val="0054440A"/>
    <w:rsid w:val="005444C0"/>
    <w:rsid w:val="0054543A"/>
    <w:rsid w:val="005454C6"/>
    <w:rsid w:val="005457F5"/>
    <w:rsid w:val="0054701B"/>
    <w:rsid w:val="005470FC"/>
    <w:rsid w:val="00550173"/>
    <w:rsid w:val="005509D8"/>
    <w:rsid w:val="00550A5B"/>
    <w:rsid w:val="00550C2D"/>
    <w:rsid w:val="0055174D"/>
    <w:rsid w:val="005521CA"/>
    <w:rsid w:val="005523BB"/>
    <w:rsid w:val="00552526"/>
    <w:rsid w:val="00552849"/>
    <w:rsid w:val="00552ADB"/>
    <w:rsid w:val="00553352"/>
    <w:rsid w:val="0055347B"/>
    <w:rsid w:val="00553F87"/>
    <w:rsid w:val="00554B02"/>
    <w:rsid w:val="00554EA8"/>
    <w:rsid w:val="0055551E"/>
    <w:rsid w:val="005558BC"/>
    <w:rsid w:val="00555CC3"/>
    <w:rsid w:val="00555CF3"/>
    <w:rsid w:val="0055612A"/>
    <w:rsid w:val="00556469"/>
    <w:rsid w:val="00556BEA"/>
    <w:rsid w:val="005570B9"/>
    <w:rsid w:val="005571ED"/>
    <w:rsid w:val="005577C7"/>
    <w:rsid w:val="00560783"/>
    <w:rsid w:val="005609BB"/>
    <w:rsid w:val="00560DAD"/>
    <w:rsid w:val="00560F3B"/>
    <w:rsid w:val="00561D43"/>
    <w:rsid w:val="00563A45"/>
    <w:rsid w:val="00563CDC"/>
    <w:rsid w:val="00563F5A"/>
    <w:rsid w:val="005648C2"/>
    <w:rsid w:val="00564986"/>
    <w:rsid w:val="00564BC3"/>
    <w:rsid w:val="00565031"/>
    <w:rsid w:val="0056549C"/>
    <w:rsid w:val="005661BA"/>
    <w:rsid w:val="00566551"/>
    <w:rsid w:val="0056687D"/>
    <w:rsid w:val="005669CC"/>
    <w:rsid w:val="00566C7D"/>
    <w:rsid w:val="00566D5F"/>
    <w:rsid w:val="00567869"/>
    <w:rsid w:val="005678F2"/>
    <w:rsid w:val="00567A9F"/>
    <w:rsid w:val="0057057F"/>
    <w:rsid w:val="005706DD"/>
    <w:rsid w:val="00570CD2"/>
    <w:rsid w:val="00570E15"/>
    <w:rsid w:val="00571219"/>
    <w:rsid w:val="005719EB"/>
    <w:rsid w:val="00572133"/>
    <w:rsid w:val="0057217C"/>
    <w:rsid w:val="005722F6"/>
    <w:rsid w:val="00572624"/>
    <w:rsid w:val="00572B4E"/>
    <w:rsid w:val="005733C9"/>
    <w:rsid w:val="0057362E"/>
    <w:rsid w:val="0057380B"/>
    <w:rsid w:val="005743D4"/>
    <w:rsid w:val="00574600"/>
    <w:rsid w:val="005747BB"/>
    <w:rsid w:val="00574E52"/>
    <w:rsid w:val="00574FE7"/>
    <w:rsid w:val="00575141"/>
    <w:rsid w:val="00575968"/>
    <w:rsid w:val="00575F3F"/>
    <w:rsid w:val="00576182"/>
    <w:rsid w:val="00576729"/>
    <w:rsid w:val="00576B92"/>
    <w:rsid w:val="00576DE2"/>
    <w:rsid w:val="00576E6D"/>
    <w:rsid w:val="00577523"/>
    <w:rsid w:val="005777B9"/>
    <w:rsid w:val="005778B4"/>
    <w:rsid w:val="005802EA"/>
    <w:rsid w:val="005804CE"/>
    <w:rsid w:val="005819D4"/>
    <w:rsid w:val="005827B8"/>
    <w:rsid w:val="005829E2"/>
    <w:rsid w:val="00582B6B"/>
    <w:rsid w:val="00583474"/>
    <w:rsid w:val="00583668"/>
    <w:rsid w:val="005836AC"/>
    <w:rsid w:val="00583BD2"/>
    <w:rsid w:val="00584072"/>
    <w:rsid w:val="0058424D"/>
    <w:rsid w:val="005843AA"/>
    <w:rsid w:val="005849F8"/>
    <w:rsid w:val="00584ECB"/>
    <w:rsid w:val="005859A6"/>
    <w:rsid w:val="00585BF7"/>
    <w:rsid w:val="00585C98"/>
    <w:rsid w:val="00585CA4"/>
    <w:rsid w:val="005868F1"/>
    <w:rsid w:val="00586AD3"/>
    <w:rsid w:val="00586D58"/>
    <w:rsid w:val="0059012E"/>
    <w:rsid w:val="00590431"/>
    <w:rsid w:val="005904A6"/>
    <w:rsid w:val="00590870"/>
    <w:rsid w:val="00590ABA"/>
    <w:rsid w:val="0059172D"/>
    <w:rsid w:val="00591D19"/>
    <w:rsid w:val="005922CD"/>
    <w:rsid w:val="0059236D"/>
    <w:rsid w:val="00592857"/>
    <w:rsid w:val="00592C4E"/>
    <w:rsid w:val="0059362B"/>
    <w:rsid w:val="00594799"/>
    <w:rsid w:val="005949E2"/>
    <w:rsid w:val="005951D1"/>
    <w:rsid w:val="005952C3"/>
    <w:rsid w:val="005954F9"/>
    <w:rsid w:val="00595C43"/>
    <w:rsid w:val="00595F1A"/>
    <w:rsid w:val="00596754"/>
    <w:rsid w:val="00596BF5"/>
    <w:rsid w:val="005975C0"/>
    <w:rsid w:val="005A0CAF"/>
    <w:rsid w:val="005A1171"/>
    <w:rsid w:val="005A166B"/>
    <w:rsid w:val="005A17A6"/>
    <w:rsid w:val="005A1AEA"/>
    <w:rsid w:val="005A1B26"/>
    <w:rsid w:val="005A1EB4"/>
    <w:rsid w:val="005A1F0C"/>
    <w:rsid w:val="005A22CF"/>
    <w:rsid w:val="005A27CD"/>
    <w:rsid w:val="005A2966"/>
    <w:rsid w:val="005A358C"/>
    <w:rsid w:val="005A35DB"/>
    <w:rsid w:val="005A4704"/>
    <w:rsid w:val="005A53EB"/>
    <w:rsid w:val="005A5710"/>
    <w:rsid w:val="005A5872"/>
    <w:rsid w:val="005A5CAB"/>
    <w:rsid w:val="005A6334"/>
    <w:rsid w:val="005A735A"/>
    <w:rsid w:val="005A75C3"/>
    <w:rsid w:val="005A7BFC"/>
    <w:rsid w:val="005B0676"/>
    <w:rsid w:val="005B0ACF"/>
    <w:rsid w:val="005B11CE"/>
    <w:rsid w:val="005B17FF"/>
    <w:rsid w:val="005B1BA8"/>
    <w:rsid w:val="005B1EF5"/>
    <w:rsid w:val="005B1FA6"/>
    <w:rsid w:val="005B226C"/>
    <w:rsid w:val="005B2292"/>
    <w:rsid w:val="005B263F"/>
    <w:rsid w:val="005B2BB7"/>
    <w:rsid w:val="005B2D07"/>
    <w:rsid w:val="005B2D64"/>
    <w:rsid w:val="005B3FAC"/>
    <w:rsid w:val="005B400F"/>
    <w:rsid w:val="005B48D0"/>
    <w:rsid w:val="005B4963"/>
    <w:rsid w:val="005B4B57"/>
    <w:rsid w:val="005B4D0C"/>
    <w:rsid w:val="005B50A8"/>
    <w:rsid w:val="005B5155"/>
    <w:rsid w:val="005B570A"/>
    <w:rsid w:val="005B5C8D"/>
    <w:rsid w:val="005B7163"/>
    <w:rsid w:val="005B74AC"/>
    <w:rsid w:val="005B7F1C"/>
    <w:rsid w:val="005C0114"/>
    <w:rsid w:val="005C071C"/>
    <w:rsid w:val="005C12A0"/>
    <w:rsid w:val="005C1C60"/>
    <w:rsid w:val="005C1FB0"/>
    <w:rsid w:val="005C262C"/>
    <w:rsid w:val="005C2B23"/>
    <w:rsid w:val="005C3D16"/>
    <w:rsid w:val="005C3EDF"/>
    <w:rsid w:val="005C3FD6"/>
    <w:rsid w:val="005C3FF2"/>
    <w:rsid w:val="005C4E07"/>
    <w:rsid w:val="005C53D1"/>
    <w:rsid w:val="005C5A44"/>
    <w:rsid w:val="005C5B88"/>
    <w:rsid w:val="005C5C93"/>
    <w:rsid w:val="005C694D"/>
    <w:rsid w:val="005C6B15"/>
    <w:rsid w:val="005C6BE4"/>
    <w:rsid w:val="005C6F06"/>
    <w:rsid w:val="005C754E"/>
    <w:rsid w:val="005C7711"/>
    <w:rsid w:val="005C7C46"/>
    <w:rsid w:val="005C7C4E"/>
    <w:rsid w:val="005C7CD1"/>
    <w:rsid w:val="005D0113"/>
    <w:rsid w:val="005D0386"/>
    <w:rsid w:val="005D0A22"/>
    <w:rsid w:val="005D0CAE"/>
    <w:rsid w:val="005D174F"/>
    <w:rsid w:val="005D1D7B"/>
    <w:rsid w:val="005D266F"/>
    <w:rsid w:val="005D29C8"/>
    <w:rsid w:val="005D3D8C"/>
    <w:rsid w:val="005D46B7"/>
    <w:rsid w:val="005D4EEC"/>
    <w:rsid w:val="005D5FE8"/>
    <w:rsid w:val="005D61DE"/>
    <w:rsid w:val="005D6E2F"/>
    <w:rsid w:val="005D71D4"/>
    <w:rsid w:val="005D72D8"/>
    <w:rsid w:val="005D771D"/>
    <w:rsid w:val="005D7801"/>
    <w:rsid w:val="005D789C"/>
    <w:rsid w:val="005D78E4"/>
    <w:rsid w:val="005D78EF"/>
    <w:rsid w:val="005E0021"/>
    <w:rsid w:val="005E0828"/>
    <w:rsid w:val="005E0829"/>
    <w:rsid w:val="005E095E"/>
    <w:rsid w:val="005E12FE"/>
    <w:rsid w:val="005E14BA"/>
    <w:rsid w:val="005E1E9A"/>
    <w:rsid w:val="005E1F7C"/>
    <w:rsid w:val="005E24CA"/>
    <w:rsid w:val="005E354E"/>
    <w:rsid w:val="005E37DA"/>
    <w:rsid w:val="005E3875"/>
    <w:rsid w:val="005E3FD7"/>
    <w:rsid w:val="005E407C"/>
    <w:rsid w:val="005E44EF"/>
    <w:rsid w:val="005E4521"/>
    <w:rsid w:val="005E4719"/>
    <w:rsid w:val="005E4888"/>
    <w:rsid w:val="005E52C7"/>
    <w:rsid w:val="005E579E"/>
    <w:rsid w:val="005E61B2"/>
    <w:rsid w:val="005E63E0"/>
    <w:rsid w:val="005E6415"/>
    <w:rsid w:val="005E6651"/>
    <w:rsid w:val="005E6953"/>
    <w:rsid w:val="005E6B5F"/>
    <w:rsid w:val="005E6DAB"/>
    <w:rsid w:val="005E6EFA"/>
    <w:rsid w:val="005E72C8"/>
    <w:rsid w:val="005E7AF0"/>
    <w:rsid w:val="005E7DD0"/>
    <w:rsid w:val="005F0B85"/>
    <w:rsid w:val="005F1611"/>
    <w:rsid w:val="005F18CD"/>
    <w:rsid w:val="005F1BC1"/>
    <w:rsid w:val="005F2339"/>
    <w:rsid w:val="005F2547"/>
    <w:rsid w:val="005F25F4"/>
    <w:rsid w:val="005F2B90"/>
    <w:rsid w:val="005F303B"/>
    <w:rsid w:val="005F3680"/>
    <w:rsid w:val="005F458E"/>
    <w:rsid w:val="005F482B"/>
    <w:rsid w:val="005F4CBB"/>
    <w:rsid w:val="005F4DCF"/>
    <w:rsid w:val="005F4E1C"/>
    <w:rsid w:val="005F515A"/>
    <w:rsid w:val="005F5219"/>
    <w:rsid w:val="005F5942"/>
    <w:rsid w:val="005F6684"/>
    <w:rsid w:val="005F6C18"/>
    <w:rsid w:val="005F6C27"/>
    <w:rsid w:val="005F726C"/>
    <w:rsid w:val="005F72FC"/>
    <w:rsid w:val="005F7379"/>
    <w:rsid w:val="005F77EA"/>
    <w:rsid w:val="005F77FB"/>
    <w:rsid w:val="006002FD"/>
    <w:rsid w:val="006008BA"/>
    <w:rsid w:val="00600E61"/>
    <w:rsid w:val="006016F5"/>
    <w:rsid w:val="00601B2F"/>
    <w:rsid w:val="00602192"/>
    <w:rsid w:val="00602540"/>
    <w:rsid w:val="006036E5"/>
    <w:rsid w:val="00603985"/>
    <w:rsid w:val="00603AAB"/>
    <w:rsid w:val="00603C22"/>
    <w:rsid w:val="00603CD6"/>
    <w:rsid w:val="00603CDA"/>
    <w:rsid w:val="00604199"/>
    <w:rsid w:val="00604711"/>
    <w:rsid w:val="006048E6"/>
    <w:rsid w:val="00604B67"/>
    <w:rsid w:val="006050E4"/>
    <w:rsid w:val="006052DB"/>
    <w:rsid w:val="00605777"/>
    <w:rsid w:val="0060748E"/>
    <w:rsid w:val="00607508"/>
    <w:rsid w:val="00607623"/>
    <w:rsid w:val="00610076"/>
    <w:rsid w:val="006106E7"/>
    <w:rsid w:val="00611B5B"/>
    <w:rsid w:val="00612353"/>
    <w:rsid w:val="006128CF"/>
    <w:rsid w:val="00612A74"/>
    <w:rsid w:val="00613555"/>
    <w:rsid w:val="00613AE0"/>
    <w:rsid w:val="00613DE8"/>
    <w:rsid w:val="00613F6F"/>
    <w:rsid w:val="006142DA"/>
    <w:rsid w:val="006148CD"/>
    <w:rsid w:val="00614C94"/>
    <w:rsid w:val="00615D7C"/>
    <w:rsid w:val="006164A0"/>
    <w:rsid w:val="0061716B"/>
    <w:rsid w:val="006179F6"/>
    <w:rsid w:val="00617C87"/>
    <w:rsid w:val="00617EAD"/>
    <w:rsid w:val="00617EE2"/>
    <w:rsid w:val="00620CF7"/>
    <w:rsid w:val="00621116"/>
    <w:rsid w:val="00621290"/>
    <w:rsid w:val="00621414"/>
    <w:rsid w:val="0062237C"/>
    <w:rsid w:val="006228F8"/>
    <w:rsid w:val="00622D83"/>
    <w:rsid w:val="00622E7E"/>
    <w:rsid w:val="00623566"/>
    <w:rsid w:val="0062425F"/>
    <w:rsid w:val="0062468F"/>
    <w:rsid w:val="006247CC"/>
    <w:rsid w:val="00624888"/>
    <w:rsid w:val="006248CD"/>
    <w:rsid w:val="00625171"/>
    <w:rsid w:val="00625291"/>
    <w:rsid w:val="00625529"/>
    <w:rsid w:val="006256A8"/>
    <w:rsid w:val="00625A12"/>
    <w:rsid w:val="006260B3"/>
    <w:rsid w:val="0062680A"/>
    <w:rsid w:val="0062775D"/>
    <w:rsid w:val="006278BD"/>
    <w:rsid w:val="00631303"/>
    <w:rsid w:val="0063132A"/>
    <w:rsid w:val="006317A3"/>
    <w:rsid w:val="006328B6"/>
    <w:rsid w:val="00632906"/>
    <w:rsid w:val="00632EEF"/>
    <w:rsid w:val="00633609"/>
    <w:rsid w:val="00633807"/>
    <w:rsid w:val="0063390C"/>
    <w:rsid w:val="00633EDE"/>
    <w:rsid w:val="006349B6"/>
    <w:rsid w:val="0063515D"/>
    <w:rsid w:val="006352CB"/>
    <w:rsid w:val="006358B6"/>
    <w:rsid w:val="00635B99"/>
    <w:rsid w:val="00635CD6"/>
    <w:rsid w:val="006365BC"/>
    <w:rsid w:val="00636CF8"/>
    <w:rsid w:val="00636E25"/>
    <w:rsid w:val="006378A9"/>
    <w:rsid w:val="0063792B"/>
    <w:rsid w:val="00637A89"/>
    <w:rsid w:val="00637E41"/>
    <w:rsid w:val="006402CE"/>
    <w:rsid w:val="00640D81"/>
    <w:rsid w:val="0064106E"/>
    <w:rsid w:val="006411AC"/>
    <w:rsid w:val="0064128F"/>
    <w:rsid w:val="006419A3"/>
    <w:rsid w:val="0064231A"/>
    <w:rsid w:val="0064258E"/>
    <w:rsid w:val="006426CB"/>
    <w:rsid w:val="006427FD"/>
    <w:rsid w:val="00642B43"/>
    <w:rsid w:val="00642C4A"/>
    <w:rsid w:val="00642FFE"/>
    <w:rsid w:val="0064370D"/>
    <w:rsid w:val="00643800"/>
    <w:rsid w:val="0064401B"/>
    <w:rsid w:val="00644055"/>
    <w:rsid w:val="0064421A"/>
    <w:rsid w:val="00644958"/>
    <w:rsid w:val="00644FD4"/>
    <w:rsid w:val="00644FD7"/>
    <w:rsid w:val="00645313"/>
    <w:rsid w:val="0064532D"/>
    <w:rsid w:val="00645370"/>
    <w:rsid w:val="0064579C"/>
    <w:rsid w:val="00646652"/>
    <w:rsid w:val="00647432"/>
    <w:rsid w:val="00650ADB"/>
    <w:rsid w:val="00650B15"/>
    <w:rsid w:val="00650FAB"/>
    <w:rsid w:val="006510EB"/>
    <w:rsid w:val="00651AF3"/>
    <w:rsid w:val="0065254D"/>
    <w:rsid w:val="0065276E"/>
    <w:rsid w:val="006532C5"/>
    <w:rsid w:val="0065415F"/>
    <w:rsid w:val="00655DD0"/>
    <w:rsid w:val="00655F10"/>
    <w:rsid w:val="00656289"/>
    <w:rsid w:val="0065679E"/>
    <w:rsid w:val="006568E2"/>
    <w:rsid w:val="00656BAA"/>
    <w:rsid w:val="00656C1F"/>
    <w:rsid w:val="00656DDD"/>
    <w:rsid w:val="00656F05"/>
    <w:rsid w:val="00656F80"/>
    <w:rsid w:val="006574D1"/>
    <w:rsid w:val="00660202"/>
    <w:rsid w:val="00660431"/>
    <w:rsid w:val="0066079D"/>
    <w:rsid w:val="006611AF"/>
    <w:rsid w:val="006613F9"/>
    <w:rsid w:val="006616AA"/>
    <w:rsid w:val="00661920"/>
    <w:rsid w:val="00661FC0"/>
    <w:rsid w:val="00662106"/>
    <w:rsid w:val="00662FAC"/>
    <w:rsid w:val="006630A4"/>
    <w:rsid w:val="00663E38"/>
    <w:rsid w:val="00664224"/>
    <w:rsid w:val="00664554"/>
    <w:rsid w:val="0066483A"/>
    <w:rsid w:val="0066553E"/>
    <w:rsid w:val="006659DC"/>
    <w:rsid w:val="00665B1A"/>
    <w:rsid w:val="00666501"/>
    <w:rsid w:val="00666731"/>
    <w:rsid w:val="00667009"/>
    <w:rsid w:val="00667956"/>
    <w:rsid w:val="00667B29"/>
    <w:rsid w:val="0067045D"/>
    <w:rsid w:val="006711E4"/>
    <w:rsid w:val="0067142D"/>
    <w:rsid w:val="00671DC4"/>
    <w:rsid w:val="006721C3"/>
    <w:rsid w:val="00672456"/>
    <w:rsid w:val="00672863"/>
    <w:rsid w:val="00672BE7"/>
    <w:rsid w:val="00673205"/>
    <w:rsid w:val="00673764"/>
    <w:rsid w:val="00673830"/>
    <w:rsid w:val="0067490C"/>
    <w:rsid w:val="00674BAA"/>
    <w:rsid w:val="00674DB2"/>
    <w:rsid w:val="006750AD"/>
    <w:rsid w:val="006751F5"/>
    <w:rsid w:val="0067529E"/>
    <w:rsid w:val="006758B4"/>
    <w:rsid w:val="00676018"/>
    <w:rsid w:val="0067602E"/>
    <w:rsid w:val="006766A6"/>
    <w:rsid w:val="00677CA5"/>
    <w:rsid w:val="00680FA6"/>
    <w:rsid w:val="006822C6"/>
    <w:rsid w:val="00682672"/>
    <w:rsid w:val="00682C07"/>
    <w:rsid w:val="00683D97"/>
    <w:rsid w:val="006840DD"/>
    <w:rsid w:val="00684237"/>
    <w:rsid w:val="00684272"/>
    <w:rsid w:val="0068437D"/>
    <w:rsid w:val="00684EAE"/>
    <w:rsid w:val="00685409"/>
    <w:rsid w:val="00685B67"/>
    <w:rsid w:val="00686B93"/>
    <w:rsid w:val="00686F3F"/>
    <w:rsid w:val="0068701A"/>
    <w:rsid w:val="0068722C"/>
    <w:rsid w:val="00687494"/>
    <w:rsid w:val="00690328"/>
    <w:rsid w:val="006903A1"/>
    <w:rsid w:val="0069051A"/>
    <w:rsid w:val="0069053A"/>
    <w:rsid w:val="006905A9"/>
    <w:rsid w:val="006907F7"/>
    <w:rsid w:val="00690A38"/>
    <w:rsid w:val="00690A9C"/>
    <w:rsid w:val="00690DE5"/>
    <w:rsid w:val="0069102C"/>
    <w:rsid w:val="00691F74"/>
    <w:rsid w:val="006923D8"/>
    <w:rsid w:val="00692C19"/>
    <w:rsid w:val="00693D19"/>
    <w:rsid w:val="006943B7"/>
    <w:rsid w:val="006944D2"/>
    <w:rsid w:val="00695405"/>
    <w:rsid w:val="00695D60"/>
    <w:rsid w:val="006966F7"/>
    <w:rsid w:val="006968BE"/>
    <w:rsid w:val="00696A36"/>
    <w:rsid w:val="00696DB4"/>
    <w:rsid w:val="006976B5"/>
    <w:rsid w:val="006977F4"/>
    <w:rsid w:val="00697C0A"/>
    <w:rsid w:val="006A03CC"/>
    <w:rsid w:val="006A06E1"/>
    <w:rsid w:val="006A105E"/>
    <w:rsid w:val="006A145D"/>
    <w:rsid w:val="006A19AB"/>
    <w:rsid w:val="006A1DBD"/>
    <w:rsid w:val="006A2083"/>
    <w:rsid w:val="006A26AF"/>
    <w:rsid w:val="006A2A92"/>
    <w:rsid w:val="006A2FFF"/>
    <w:rsid w:val="006A362A"/>
    <w:rsid w:val="006A3F3C"/>
    <w:rsid w:val="006A4358"/>
    <w:rsid w:val="006A5040"/>
    <w:rsid w:val="006A51FA"/>
    <w:rsid w:val="006A594A"/>
    <w:rsid w:val="006A6284"/>
    <w:rsid w:val="006A7557"/>
    <w:rsid w:val="006A75D6"/>
    <w:rsid w:val="006A7CF3"/>
    <w:rsid w:val="006A7D99"/>
    <w:rsid w:val="006B0AE9"/>
    <w:rsid w:val="006B0D19"/>
    <w:rsid w:val="006B1075"/>
    <w:rsid w:val="006B1132"/>
    <w:rsid w:val="006B2C88"/>
    <w:rsid w:val="006B2F49"/>
    <w:rsid w:val="006B3EE9"/>
    <w:rsid w:val="006B52B4"/>
    <w:rsid w:val="006B570C"/>
    <w:rsid w:val="006B5F58"/>
    <w:rsid w:val="006B6E2F"/>
    <w:rsid w:val="006B7088"/>
    <w:rsid w:val="006B70C6"/>
    <w:rsid w:val="006B763A"/>
    <w:rsid w:val="006B77D2"/>
    <w:rsid w:val="006B7B9B"/>
    <w:rsid w:val="006B7CE4"/>
    <w:rsid w:val="006C06DE"/>
    <w:rsid w:val="006C13BB"/>
    <w:rsid w:val="006C224B"/>
    <w:rsid w:val="006C2A25"/>
    <w:rsid w:val="006C388F"/>
    <w:rsid w:val="006C3979"/>
    <w:rsid w:val="006C4282"/>
    <w:rsid w:val="006C465D"/>
    <w:rsid w:val="006C475E"/>
    <w:rsid w:val="006C4A73"/>
    <w:rsid w:val="006C5157"/>
    <w:rsid w:val="006C54D2"/>
    <w:rsid w:val="006C550D"/>
    <w:rsid w:val="006C59A5"/>
    <w:rsid w:val="006C5F32"/>
    <w:rsid w:val="006C6D38"/>
    <w:rsid w:val="006C75C7"/>
    <w:rsid w:val="006C785E"/>
    <w:rsid w:val="006C7883"/>
    <w:rsid w:val="006D01BA"/>
    <w:rsid w:val="006D01EC"/>
    <w:rsid w:val="006D080B"/>
    <w:rsid w:val="006D0CA0"/>
    <w:rsid w:val="006D1439"/>
    <w:rsid w:val="006D1466"/>
    <w:rsid w:val="006D1505"/>
    <w:rsid w:val="006D170B"/>
    <w:rsid w:val="006D2048"/>
    <w:rsid w:val="006D20E5"/>
    <w:rsid w:val="006D218E"/>
    <w:rsid w:val="006D244A"/>
    <w:rsid w:val="006D3319"/>
    <w:rsid w:val="006D38D8"/>
    <w:rsid w:val="006D3CB1"/>
    <w:rsid w:val="006D3DB8"/>
    <w:rsid w:val="006D442D"/>
    <w:rsid w:val="006D4D2D"/>
    <w:rsid w:val="006D5330"/>
    <w:rsid w:val="006D547C"/>
    <w:rsid w:val="006D6AD3"/>
    <w:rsid w:val="006D7360"/>
    <w:rsid w:val="006D7617"/>
    <w:rsid w:val="006D7772"/>
    <w:rsid w:val="006D796A"/>
    <w:rsid w:val="006D79C9"/>
    <w:rsid w:val="006D7B0D"/>
    <w:rsid w:val="006D7DC2"/>
    <w:rsid w:val="006E097C"/>
    <w:rsid w:val="006E0D94"/>
    <w:rsid w:val="006E12D4"/>
    <w:rsid w:val="006E1522"/>
    <w:rsid w:val="006E1D4A"/>
    <w:rsid w:val="006E1DBC"/>
    <w:rsid w:val="006E2236"/>
    <w:rsid w:val="006E2430"/>
    <w:rsid w:val="006E2439"/>
    <w:rsid w:val="006E2E0B"/>
    <w:rsid w:val="006E30C4"/>
    <w:rsid w:val="006E38A2"/>
    <w:rsid w:val="006E3CAC"/>
    <w:rsid w:val="006E3CEF"/>
    <w:rsid w:val="006E3D45"/>
    <w:rsid w:val="006E3D5D"/>
    <w:rsid w:val="006E3FD3"/>
    <w:rsid w:val="006E4900"/>
    <w:rsid w:val="006E4C6A"/>
    <w:rsid w:val="006E50F8"/>
    <w:rsid w:val="006E567D"/>
    <w:rsid w:val="006E57E9"/>
    <w:rsid w:val="006E6218"/>
    <w:rsid w:val="006E693D"/>
    <w:rsid w:val="006E7240"/>
    <w:rsid w:val="006E7986"/>
    <w:rsid w:val="006E7DBC"/>
    <w:rsid w:val="006F0162"/>
    <w:rsid w:val="006F10F9"/>
    <w:rsid w:val="006F12BD"/>
    <w:rsid w:val="006F135F"/>
    <w:rsid w:val="006F19DC"/>
    <w:rsid w:val="006F1DD1"/>
    <w:rsid w:val="006F2363"/>
    <w:rsid w:val="006F23F2"/>
    <w:rsid w:val="006F2C23"/>
    <w:rsid w:val="006F34A0"/>
    <w:rsid w:val="006F3B4E"/>
    <w:rsid w:val="006F3EA6"/>
    <w:rsid w:val="006F4103"/>
    <w:rsid w:val="006F45F5"/>
    <w:rsid w:val="006F4EC0"/>
    <w:rsid w:val="006F571B"/>
    <w:rsid w:val="006F586F"/>
    <w:rsid w:val="006F5F68"/>
    <w:rsid w:val="006F63F3"/>
    <w:rsid w:val="006F6BFF"/>
    <w:rsid w:val="006F6C7F"/>
    <w:rsid w:val="006F7F48"/>
    <w:rsid w:val="007001B3"/>
    <w:rsid w:val="0070024D"/>
    <w:rsid w:val="007006F5"/>
    <w:rsid w:val="007010D7"/>
    <w:rsid w:val="007020DD"/>
    <w:rsid w:val="00702409"/>
    <w:rsid w:val="007025DA"/>
    <w:rsid w:val="00703751"/>
    <w:rsid w:val="00703E83"/>
    <w:rsid w:val="00703FD5"/>
    <w:rsid w:val="00704A3F"/>
    <w:rsid w:val="00704C5B"/>
    <w:rsid w:val="00704F38"/>
    <w:rsid w:val="007054C2"/>
    <w:rsid w:val="00705551"/>
    <w:rsid w:val="0070570A"/>
    <w:rsid w:val="00705D33"/>
    <w:rsid w:val="007065CD"/>
    <w:rsid w:val="007066F5"/>
    <w:rsid w:val="00706971"/>
    <w:rsid w:val="00707809"/>
    <w:rsid w:val="00707B3C"/>
    <w:rsid w:val="007106A8"/>
    <w:rsid w:val="007107D3"/>
    <w:rsid w:val="007108B3"/>
    <w:rsid w:val="00710916"/>
    <w:rsid w:val="00710AA4"/>
    <w:rsid w:val="00710AF9"/>
    <w:rsid w:val="007112AD"/>
    <w:rsid w:val="007114AE"/>
    <w:rsid w:val="00711779"/>
    <w:rsid w:val="007117A5"/>
    <w:rsid w:val="007118B5"/>
    <w:rsid w:val="00711C88"/>
    <w:rsid w:val="00712636"/>
    <w:rsid w:val="00712EAD"/>
    <w:rsid w:val="007130C6"/>
    <w:rsid w:val="00713242"/>
    <w:rsid w:val="00714393"/>
    <w:rsid w:val="007144E9"/>
    <w:rsid w:val="007146DA"/>
    <w:rsid w:val="00714711"/>
    <w:rsid w:val="0071473C"/>
    <w:rsid w:val="00714B3A"/>
    <w:rsid w:val="00714F0F"/>
    <w:rsid w:val="00714FB6"/>
    <w:rsid w:val="00715255"/>
    <w:rsid w:val="007154DA"/>
    <w:rsid w:val="007158C3"/>
    <w:rsid w:val="00715ACA"/>
    <w:rsid w:val="00715F1E"/>
    <w:rsid w:val="00716B71"/>
    <w:rsid w:val="00717062"/>
    <w:rsid w:val="007173C0"/>
    <w:rsid w:val="00717770"/>
    <w:rsid w:val="00717C13"/>
    <w:rsid w:val="007204B5"/>
    <w:rsid w:val="00720D08"/>
    <w:rsid w:val="00720F0C"/>
    <w:rsid w:val="00722219"/>
    <w:rsid w:val="00722240"/>
    <w:rsid w:val="0072225B"/>
    <w:rsid w:val="00722AFD"/>
    <w:rsid w:val="00722C68"/>
    <w:rsid w:val="00722DFC"/>
    <w:rsid w:val="00722EFF"/>
    <w:rsid w:val="0072370C"/>
    <w:rsid w:val="007241CD"/>
    <w:rsid w:val="0072482D"/>
    <w:rsid w:val="00724A74"/>
    <w:rsid w:val="00724E57"/>
    <w:rsid w:val="00725D82"/>
    <w:rsid w:val="007265DB"/>
    <w:rsid w:val="00726A42"/>
    <w:rsid w:val="00726D96"/>
    <w:rsid w:val="00726E70"/>
    <w:rsid w:val="00727053"/>
    <w:rsid w:val="007308D2"/>
    <w:rsid w:val="00730A56"/>
    <w:rsid w:val="00730A92"/>
    <w:rsid w:val="00730ACC"/>
    <w:rsid w:val="00731F04"/>
    <w:rsid w:val="00732099"/>
    <w:rsid w:val="007324D9"/>
    <w:rsid w:val="00732A16"/>
    <w:rsid w:val="007334F8"/>
    <w:rsid w:val="00733512"/>
    <w:rsid w:val="00733933"/>
    <w:rsid w:val="007341B2"/>
    <w:rsid w:val="007345DF"/>
    <w:rsid w:val="00734CD7"/>
    <w:rsid w:val="00734D07"/>
    <w:rsid w:val="00735962"/>
    <w:rsid w:val="00735F55"/>
    <w:rsid w:val="00735F7A"/>
    <w:rsid w:val="007361F5"/>
    <w:rsid w:val="00736FEA"/>
    <w:rsid w:val="007371B2"/>
    <w:rsid w:val="00737464"/>
    <w:rsid w:val="00737708"/>
    <w:rsid w:val="0073784B"/>
    <w:rsid w:val="007379C8"/>
    <w:rsid w:val="00737BF1"/>
    <w:rsid w:val="00740099"/>
    <w:rsid w:val="007401B2"/>
    <w:rsid w:val="00740C43"/>
    <w:rsid w:val="0074160A"/>
    <w:rsid w:val="0074167E"/>
    <w:rsid w:val="00741B46"/>
    <w:rsid w:val="00741C64"/>
    <w:rsid w:val="00741F1B"/>
    <w:rsid w:val="00742995"/>
    <w:rsid w:val="0074317A"/>
    <w:rsid w:val="00743303"/>
    <w:rsid w:val="0074331F"/>
    <w:rsid w:val="007440C9"/>
    <w:rsid w:val="007440E4"/>
    <w:rsid w:val="00744133"/>
    <w:rsid w:val="007442F6"/>
    <w:rsid w:val="00744A19"/>
    <w:rsid w:val="00744B4A"/>
    <w:rsid w:val="00744E67"/>
    <w:rsid w:val="007451BA"/>
    <w:rsid w:val="00745832"/>
    <w:rsid w:val="00745D10"/>
    <w:rsid w:val="007462CE"/>
    <w:rsid w:val="0074649E"/>
    <w:rsid w:val="00746646"/>
    <w:rsid w:val="0074669A"/>
    <w:rsid w:val="00746A14"/>
    <w:rsid w:val="00747DB7"/>
    <w:rsid w:val="00750C47"/>
    <w:rsid w:val="007512FC"/>
    <w:rsid w:val="007519AA"/>
    <w:rsid w:val="00751BC7"/>
    <w:rsid w:val="00752989"/>
    <w:rsid w:val="00752A3C"/>
    <w:rsid w:val="00752B46"/>
    <w:rsid w:val="00752F78"/>
    <w:rsid w:val="00753580"/>
    <w:rsid w:val="00753C5C"/>
    <w:rsid w:val="00753CF2"/>
    <w:rsid w:val="007542D3"/>
    <w:rsid w:val="007542E2"/>
    <w:rsid w:val="00754759"/>
    <w:rsid w:val="00754872"/>
    <w:rsid w:val="00754F58"/>
    <w:rsid w:val="0075516A"/>
    <w:rsid w:val="007552BA"/>
    <w:rsid w:val="00755A2F"/>
    <w:rsid w:val="00755C57"/>
    <w:rsid w:val="007560CD"/>
    <w:rsid w:val="00756205"/>
    <w:rsid w:val="0075663F"/>
    <w:rsid w:val="007568C4"/>
    <w:rsid w:val="007569CA"/>
    <w:rsid w:val="00756D0E"/>
    <w:rsid w:val="00756E25"/>
    <w:rsid w:val="007575B8"/>
    <w:rsid w:val="00757758"/>
    <w:rsid w:val="00757B49"/>
    <w:rsid w:val="00757D91"/>
    <w:rsid w:val="00757EF4"/>
    <w:rsid w:val="007608DF"/>
    <w:rsid w:val="0076122D"/>
    <w:rsid w:val="00761E9D"/>
    <w:rsid w:val="00762341"/>
    <w:rsid w:val="00763C24"/>
    <w:rsid w:val="00764509"/>
    <w:rsid w:val="0076467D"/>
    <w:rsid w:val="00764765"/>
    <w:rsid w:val="00764BC5"/>
    <w:rsid w:val="00764EAC"/>
    <w:rsid w:val="007651D7"/>
    <w:rsid w:val="007657E4"/>
    <w:rsid w:val="00765DC3"/>
    <w:rsid w:val="00765EFE"/>
    <w:rsid w:val="00766057"/>
    <w:rsid w:val="00766651"/>
    <w:rsid w:val="0076759A"/>
    <w:rsid w:val="0076788B"/>
    <w:rsid w:val="00767949"/>
    <w:rsid w:val="00767D34"/>
    <w:rsid w:val="00770227"/>
    <w:rsid w:val="00770C17"/>
    <w:rsid w:val="00771195"/>
    <w:rsid w:val="0077138F"/>
    <w:rsid w:val="0077188F"/>
    <w:rsid w:val="00771A26"/>
    <w:rsid w:val="0077267A"/>
    <w:rsid w:val="0077294C"/>
    <w:rsid w:val="0077422F"/>
    <w:rsid w:val="00774ECE"/>
    <w:rsid w:val="007751E1"/>
    <w:rsid w:val="0077532C"/>
    <w:rsid w:val="007756AF"/>
    <w:rsid w:val="00775955"/>
    <w:rsid w:val="00775AFC"/>
    <w:rsid w:val="00775D53"/>
    <w:rsid w:val="00775E64"/>
    <w:rsid w:val="0077628E"/>
    <w:rsid w:val="0077655B"/>
    <w:rsid w:val="00776A7D"/>
    <w:rsid w:val="00776C49"/>
    <w:rsid w:val="0077720F"/>
    <w:rsid w:val="0077729A"/>
    <w:rsid w:val="00777572"/>
    <w:rsid w:val="007776F6"/>
    <w:rsid w:val="007804A6"/>
    <w:rsid w:val="00780749"/>
    <w:rsid w:val="00780CEF"/>
    <w:rsid w:val="0078140E"/>
    <w:rsid w:val="007815DB"/>
    <w:rsid w:val="00781803"/>
    <w:rsid w:val="00781A40"/>
    <w:rsid w:val="00781B38"/>
    <w:rsid w:val="00781C51"/>
    <w:rsid w:val="00781F67"/>
    <w:rsid w:val="00782506"/>
    <w:rsid w:val="00782FD0"/>
    <w:rsid w:val="0078381A"/>
    <w:rsid w:val="00784324"/>
    <w:rsid w:val="00784BA4"/>
    <w:rsid w:val="00784F3D"/>
    <w:rsid w:val="00785DF3"/>
    <w:rsid w:val="0078608A"/>
    <w:rsid w:val="007860BD"/>
    <w:rsid w:val="00786DF9"/>
    <w:rsid w:val="00787AA4"/>
    <w:rsid w:val="00787DD8"/>
    <w:rsid w:val="00790EFB"/>
    <w:rsid w:val="00791DC4"/>
    <w:rsid w:val="00791E65"/>
    <w:rsid w:val="007922AD"/>
    <w:rsid w:val="00792A2B"/>
    <w:rsid w:val="00792B4F"/>
    <w:rsid w:val="00792D4A"/>
    <w:rsid w:val="00793117"/>
    <w:rsid w:val="00793C93"/>
    <w:rsid w:val="007941BB"/>
    <w:rsid w:val="0079468C"/>
    <w:rsid w:val="00795119"/>
    <w:rsid w:val="007956FB"/>
    <w:rsid w:val="00796EAB"/>
    <w:rsid w:val="00797005"/>
    <w:rsid w:val="00797369"/>
    <w:rsid w:val="007A0346"/>
    <w:rsid w:val="007A0A10"/>
    <w:rsid w:val="007A0C99"/>
    <w:rsid w:val="007A14A9"/>
    <w:rsid w:val="007A1935"/>
    <w:rsid w:val="007A2530"/>
    <w:rsid w:val="007A27FE"/>
    <w:rsid w:val="007A2E6B"/>
    <w:rsid w:val="007A3591"/>
    <w:rsid w:val="007A35D4"/>
    <w:rsid w:val="007A4468"/>
    <w:rsid w:val="007A4AC0"/>
    <w:rsid w:val="007A4AF6"/>
    <w:rsid w:val="007A4CB5"/>
    <w:rsid w:val="007A50D7"/>
    <w:rsid w:val="007A55F2"/>
    <w:rsid w:val="007A5DA9"/>
    <w:rsid w:val="007A60BC"/>
    <w:rsid w:val="007A62FD"/>
    <w:rsid w:val="007A662B"/>
    <w:rsid w:val="007A6B73"/>
    <w:rsid w:val="007A76C5"/>
    <w:rsid w:val="007A7A31"/>
    <w:rsid w:val="007A7B3A"/>
    <w:rsid w:val="007A7CB4"/>
    <w:rsid w:val="007B0C57"/>
    <w:rsid w:val="007B197E"/>
    <w:rsid w:val="007B1AFC"/>
    <w:rsid w:val="007B2CC3"/>
    <w:rsid w:val="007B3151"/>
    <w:rsid w:val="007B32E3"/>
    <w:rsid w:val="007B39D4"/>
    <w:rsid w:val="007B3FB0"/>
    <w:rsid w:val="007B4A2D"/>
    <w:rsid w:val="007B503E"/>
    <w:rsid w:val="007B5099"/>
    <w:rsid w:val="007B563B"/>
    <w:rsid w:val="007B5D4A"/>
    <w:rsid w:val="007B60BC"/>
    <w:rsid w:val="007B6813"/>
    <w:rsid w:val="007B6EF5"/>
    <w:rsid w:val="007B749C"/>
    <w:rsid w:val="007B74AA"/>
    <w:rsid w:val="007B7C04"/>
    <w:rsid w:val="007C018B"/>
    <w:rsid w:val="007C0935"/>
    <w:rsid w:val="007C0CE5"/>
    <w:rsid w:val="007C13EC"/>
    <w:rsid w:val="007C1541"/>
    <w:rsid w:val="007C1C4A"/>
    <w:rsid w:val="007C219D"/>
    <w:rsid w:val="007C2F95"/>
    <w:rsid w:val="007C347A"/>
    <w:rsid w:val="007C35CF"/>
    <w:rsid w:val="007C3D64"/>
    <w:rsid w:val="007C402B"/>
    <w:rsid w:val="007C4775"/>
    <w:rsid w:val="007C4B80"/>
    <w:rsid w:val="007C5480"/>
    <w:rsid w:val="007C57C6"/>
    <w:rsid w:val="007C582A"/>
    <w:rsid w:val="007C6B10"/>
    <w:rsid w:val="007C6F4D"/>
    <w:rsid w:val="007C744A"/>
    <w:rsid w:val="007C79AE"/>
    <w:rsid w:val="007D0BA2"/>
    <w:rsid w:val="007D0C1F"/>
    <w:rsid w:val="007D0D92"/>
    <w:rsid w:val="007D0E1D"/>
    <w:rsid w:val="007D1107"/>
    <w:rsid w:val="007D15F8"/>
    <w:rsid w:val="007D1620"/>
    <w:rsid w:val="007D20EE"/>
    <w:rsid w:val="007D2366"/>
    <w:rsid w:val="007D2A8B"/>
    <w:rsid w:val="007D3392"/>
    <w:rsid w:val="007D3492"/>
    <w:rsid w:val="007D34CA"/>
    <w:rsid w:val="007D364F"/>
    <w:rsid w:val="007D3D37"/>
    <w:rsid w:val="007D4147"/>
    <w:rsid w:val="007D4A9B"/>
    <w:rsid w:val="007D4AF8"/>
    <w:rsid w:val="007D4E28"/>
    <w:rsid w:val="007D54C9"/>
    <w:rsid w:val="007D57BC"/>
    <w:rsid w:val="007D5A1F"/>
    <w:rsid w:val="007D5E28"/>
    <w:rsid w:val="007D60C1"/>
    <w:rsid w:val="007D610E"/>
    <w:rsid w:val="007D68E0"/>
    <w:rsid w:val="007D697C"/>
    <w:rsid w:val="007D6A3E"/>
    <w:rsid w:val="007D6D3B"/>
    <w:rsid w:val="007D7B2F"/>
    <w:rsid w:val="007E00B2"/>
    <w:rsid w:val="007E02B7"/>
    <w:rsid w:val="007E0B08"/>
    <w:rsid w:val="007E0B5A"/>
    <w:rsid w:val="007E10A3"/>
    <w:rsid w:val="007E1DC4"/>
    <w:rsid w:val="007E2C5A"/>
    <w:rsid w:val="007E2F71"/>
    <w:rsid w:val="007E35C9"/>
    <w:rsid w:val="007E3925"/>
    <w:rsid w:val="007E3D48"/>
    <w:rsid w:val="007E3EA6"/>
    <w:rsid w:val="007E464F"/>
    <w:rsid w:val="007E4A2E"/>
    <w:rsid w:val="007E5668"/>
    <w:rsid w:val="007E5CCE"/>
    <w:rsid w:val="007E5E48"/>
    <w:rsid w:val="007E5F2E"/>
    <w:rsid w:val="007E600C"/>
    <w:rsid w:val="007E6460"/>
    <w:rsid w:val="007E6629"/>
    <w:rsid w:val="007E6AB3"/>
    <w:rsid w:val="007E6FCE"/>
    <w:rsid w:val="007E7007"/>
    <w:rsid w:val="007E7161"/>
    <w:rsid w:val="007E787F"/>
    <w:rsid w:val="007E7F81"/>
    <w:rsid w:val="007F0859"/>
    <w:rsid w:val="007F10EF"/>
    <w:rsid w:val="007F1620"/>
    <w:rsid w:val="007F19E4"/>
    <w:rsid w:val="007F2923"/>
    <w:rsid w:val="007F2B27"/>
    <w:rsid w:val="007F303F"/>
    <w:rsid w:val="007F3617"/>
    <w:rsid w:val="007F3916"/>
    <w:rsid w:val="007F3E01"/>
    <w:rsid w:val="007F41C8"/>
    <w:rsid w:val="007F557E"/>
    <w:rsid w:val="007F5D63"/>
    <w:rsid w:val="007F66B5"/>
    <w:rsid w:val="007F67FC"/>
    <w:rsid w:val="007F6FD0"/>
    <w:rsid w:val="007F714D"/>
    <w:rsid w:val="007F770F"/>
    <w:rsid w:val="008001B0"/>
    <w:rsid w:val="0080034F"/>
    <w:rsid w:val="008004D0"/>
    <w:rsid w:val="00800640"/>
    <w:rsid w:val="00800AD0"/>
    <w:rsid w:val="00800E83"/>
    <w:rsid w:val="00800FF3"/>
    <w:rsid w:val="00801B7B"/>
    <w:rsid w:val="00801D42"/>
    <w:rsid w:val="00801E9B"/>
    <w:rsid w:val="00801F44"/>
    <w:rsid w:val="008022C3"/>
    <w:rsid w:val="00802484"/>
    <w:rsid w:val="00802AD1"/>
    <w:rsid w:val="008039E8"/>
    <w:rsid w:val="00804381"/>
    <w:rsid w:val="00805FCE"/>
    <w:rsid w:val="00806196"/>
    <w:rsid w:val="008064BF"/>
    <w:rsid w:val="00806856"/>
    <w:rsid w:val="008068C4"/>
    <w:rsid w:val="00807619"/>
    <w:rsid w:val="0080767F"/>
    <w:rsid w:val="00807B51"/>
    <w:rsid w:val="00807BA7"/>
    <w:rsid w:val="00810338"/>
    <w:rsid w:val="00810698"/>
    <w:rsid w:val="00810CDA"/>
    <w:rsid w:val="00810E8B"/>
    <w:rsid w:val="00811A6C"/>
    <w:rsid w:val="00811F69"/>
    <w:rsid w:val="0081231E"/>
    <w:rsid w:val="00812362"/>
    <w:rsid w:val="008123F6"/>
    <w:rsid w:val="008126F4"/>
    <w:rsid w:val="00813B5D"/>
    <w:rsid w:val="00814091"/>
    <w:rsid w:val="008148F3"/>
    <w:rsid w:val="0081496B"/>
    <w:rsid w:val="00814C1C"/>
    <w:rsid w:val="00815375"/>
    <w:rsid w:val="0081617A"/>
    <w:rsid w:val="008161D8"/>
    <w:rsid w:val="00816857"/>
    <w:rsid w:val="00816D65"/>
    <w:rsid w:val="00820177"/>
    <w:rsid w:val="00820536"/>
    <w:rsid w:val="00820ED2"/>
    <w:rsid w:val="008229F0"/>
    <w:rsid w:val="00822A25"/>
    <w:rsid w:val="008238F4"/>
    <w:rsid w:val="00823E8B"/>
    <w:rsid w:val="00824371"/>
    <w:rsid w:val="00824C2F"/>
    <w:rsid w:val="00824DE1"/>
    <w:rsid w:val="008250B4"/>
    <w:rsid w:val="00825121"/>
    <w:rsid w:val="0082529B"/>
    <w:rsid w:val="0082541C"/>
    <w:rsid w:val="00825CA6"/>
    <w:rsid w:val="00827618"/>
    <w:rsid w:val="00830BF2"/>
    <w:rsid w:val="00831613"/>
    <w:rsid w:val="0083162C"/>
    <w:rsid w:val="00832484"/>
    <w:rsid w:val="00832512"/>
    <w:rsid w:val="0083314E"/>
    <w:rsid w:val="00833925"/>
    <w:rsid w:val="00833EA2"/>
    <w:rsid w:val="0083401E"/>
    <w:rsid w:val="00834022"/>
    <w:rsid w:val="008344EB"/>
    <w:rsid w:val="008348C9"/>
    <w:rsid w:val="0083492E"/>
    <w:rsid w:val="008355F4"/>
    <w:rsid w:val="0083563A"/>
    <w:rsid w:val="00835999"/>
    <w:rsid w:val="008368E0"/>
    <w:rsid w:val="00836F4C"/>
    <w:rsid w:val="00837197"/>
    <w:rsid w:val="0083766A"/>
    <w:rsid w:val="0083775B"/>
    <w:rsid w:val="00840043"/>
    <w:rsid w:val="00840DB9"/>
    <w:rsid w:val="00840E28"/>
    <w:rsid w:val="008414F0"/>
    <w:rsid w:val="008415D4"/>
    <w:rsid w:val="00841E20"/>
    <w:rsid w:val="008434F0"/>
    <w:rsid w:val="00843514"/>
    <w:rsid w:val="00843763"/>
    <w:rsid w:val="008439D1"/>
    <w:rsid w:val="0084437E"/>
    <w:rsid w:val="008443B2"/>
    <w:rsid w:val="008444A7"/>
    <w:rsid w:val="0084464E"/>
    <w:rsid w:val="00844901"/>
    <w:rsid w:val="00844A3A"/>
    <w:rsid w:val="00844C2F"/>
    <w:rsid w:val="00845313"/>
    <w:rsid w:val="00845B4B"/>
    <w:rsid w:val="00845C4E"/>
    <w:rsid w:val="008460E6"/>
    <w:rsid w:val="008461BE"/>
    <w:rsid w:val="008461C8"/>
    <w:rsid w:val="00846A84"/>
    <w:rsid w:val="00846CF9"/>
    <w:rsid w:val="00846EE9"/>
    <w:rsid w:val="00847342"/>
    <w:rsid w:val="008473A1"/>
    <w:rsid w:val="008479F4"/>
    <w:rsid w:val="00847FBF"/>
    <w:rsid w:val="008502D1"/>
    <w:rsid w:val="00850973"/>
    <w:rsid w:val="00850E56"/>
    <w:rsid w:val="00850EB1"/>
    <w:rsid w:val="00850F0F"/>
    <w:rsid w:val="00851067"/>
    <w:rsid w:val="0085168C"/>
    <w:rsid w:val="0085309D"/>
    <w:rsid w:val="00853701"/>
    <w:rsid w:val="00853F21"/>
    <w:rsid w:val="008541C1"/>
    <w:rsid w:val="00854596"/>
    <w:rsid w:val="00855167"/>
    <w:rsid w:val="00855A60"/>
    <w:rsid w:val="00855C7A"/>
    <w:rsid w:val="00856493"/>
    <w:rsid w:val="00856E7E"/>
    <w:rsid w:val="0085706A"/>
    <w:rsid w:val="00857932"/>
    <w:rsid w:val="00857A58"/>
    <w:rsid w:val="00860299"/>
    <w:rsid w:val="0086070D"/>
    <w:rsid w:val="00860903"/>
    <w:rsid w:val="00860EDD"/>
    <w:rsid w:val="00861EFA"/>
    <w:rsid w:val="00861F1B"/>
    <w:rsid w:val="008625CF"/>
    <w:rsid w:val="0086276A"/>
    <w:rsid w:val="00862D0C"/>
    <w:rsid w:val="00862DF3"/>
    <w:rsid w:val="00862F6F"/>
    <w:rsid w:val="008635DD"/>
    <w:rsid w:val="00864091"/>
    <w:rsid w:val="0086502E"/>
    <w:rsid w:val="00865E21"/>
    <w:rsid w:val="00865E7C"/>
    <w:rsid w:val="00866CF9"/>
    <w:rsid w:val="008670F2"/>
    <w:rsid w:val="00867BBB"/>
    <w:rsid w:val="00870709"/>
    <w:rsid w:val="008712F0"/>
    <w:rsid w:val="00872049"/>
    <w:rsid w:val="0087239E"/>
    <w:rsid w:val="008723A9"/>
    <w:rsid w:val="00872807"/>
    <w:rsid w:val="00872DA0"/>
    <w:rsid w:val="00872EF7"/>
    <w:rsid w:val="00872FD2"/>
    <w:rsid w:val="008734D5"/>
    <w:rsid w:val="008736D6"/>
    <w:rsid w:val="00873A21"/>
    <w:rsid w:val="00874BE6"/>
    <w:rsid w:val="00874CCD"/>
    <w:rsid w:val="0087502C"/>
    <w:rsid w:val="008750FA"/>
    <w:rsid w:val="00875A15"/>
    <w:rsid w:val="00875B25"/>
    <w:rsid w:val="008760B2"/>
    <w:rsid w:val="0087623A"/>
    <w:rsid w:val="00876518"/>
    <w:rsid w:val="0087655C"/>
    <w:rsid w:val="00876610"/>
    <w:rsid w:val="00876716"/>
    <w:rsid w:val="008769EA"/>
    <w:rsid w:val="00877889"/>
    <w:rsid w:val="00880229"/>
    <w:rsid w:val="0088045F"/>
    <w:rsid w:val="00880D44"/>
    <w:rsid w:val="00881106"/>
    <w:rsid w:val="00881830"/>
    <w:rsid w:val="00881F15"/>
    <w:rsid w:val="00882023"/>
    <w:rsid w:val="008820B5"/>
    <w:rsid w:val="0088253F"/>
    <w:rsid w:val="00882EFA"/>
    <w:rsid w:val="0088370C"/>
    <w:rsid w:val="00883851"/>
    <w:rsid w:val="0088389F"/>
    <w:rsid w:val="00883E97"/>
    <w:rsid w:val="008844AD"/>
    <w:rsid w:val="00884748"/>
    <w:rsid w:val="00884A84"/>
    <w:rsid w:val="0088515B"/>
    <w:rsid w:val="0088556B"/>
    <w:rsid w:val="00885AAA"/>
    <w:rsid w:val="0088600F"/>
    <w:rsid w:val="008860BC"/>
    <w:rsid w:val="008860C3"/>
    <w:rsid w:val="008863AE"/>
    <w:rsid w:val="0088662B"/>
    <w:rsid w:val="008870CD"/>
    <w:rsid w:val="008871EC"/>
    <w:rsid w:val="00887E79"/>
    <w:rsid w:val="00887F34"/>
    <w:rsid w:val="0089051B"/>
    <w:rsid w:val="00890533"/>
    <w:rsid w:val="00890546"/>
    <w:rsid w:val="008906EB"/>
    <w:rsid w:val="00890D18"/>
    <w:rsid w:val="00891E1F"/>
    <w:rsid w:val="00891EA1"/>
    <w:rsid w:val="00891EBD"/>
    <w:rsid w:val="008924AE"/>
    <w:rsid w:val="0089252D"/>
    <w:rsid w:val="00892553"/>
    <w:rsid w:val="00892998"/>
    <w:rsid w:val="00892E71"/>
    <w:rsid w:val="0089313B"/>
    <w:rsid w:val="0089315C"/>
    <w:rsid w:val="0089335B"/>
    <w:rsid w:val="008935B4"/>
    <w:rsid w:val="00893D25"/>
    <w:rsid w:val="00894482"/>
    <w:rsid w:val="0089450F"/>
    <w:rsid w:val="00894A92"/>
    <w:rsid w:val="00895381"/>
    <w:rsid w:val="00895613"/>
    <w:rsid w:val="00895EBA"/>
    <w:rsid w:val="00896919"/>
    <w:rsid w:val="00896F85"/>
    <w:rsid w:val="008971DE"/>
    <w:rsid w:val="008971F2"/>
    <w:rsid w:val="008974FB"/>
    <w:rsid w:val="008977F6"/>
    <w:rsid w:val="00897BEA"/>
    <w:rsid w:val="008A05ED"/>
    <w:rsid w:val="008A06AD"/>
    <w:rsid w:val="008A15A6"/>
    <w:rsid w:val="008A16D7"/>
    <w:rsid w:val="008A1BFF"/>
    <w:rsid w:val="008A2256"/>
    <w:rsid w:val="008A229E"/>
    <w:rsid w:val="008A230B"/>
    <w:rsid w:val="008A236D"/>
    <w:rsid w:val="008A2945"/>
    <w:rsid w:val="008A2CC2"/>
    <w:rsid w:val="008A36CE"/>
    <w:rsid w:val="008A3A7B"/>
    <w:rsid w:val="008A3E65"/>
    <w:rsid w:val="008A4731"/>
    <w:rsid w:val="008A483C"/>
    <w:rsid w:val="008A5287"/>
    <w:rsid w:val="008A590B"/>
    <w:rsid w:val="008A5914"/>
    <w:rsid w:val="008A5A70"/>
    <w:rsid w:val="008A5B5C"/>
    <w:rsid w:val="008A5CD5"/>
    <w:rsid w:val="008A6881"/>
    <w:rsid w:val="008A6982"/>
    <w:rsid w:val="008A76B7"/>
    <w:rsid w:val="008A7ED7"/>
    <w:rsid w:val="008B0491"/>
    <w:rsid w:val="008B04B3"/>
    <w:rsid w:val="008B07C0"/>
    <w:rsid w:val="008B0855"/>
    <w:rsid w:val="008B0DCA"/>
    <w:rsid w:val="008B1360"/>
    <w:rsid w:val="008B19B9"/>
    <w:rsid w:val="008B20B9"/>
    <w:rsid w:val="008B26BF"/>
    <w:rsid w:val="008B2A0E"/>
    <w:rsid w:val="008B2D6C"/>
    <w:rsid w:val="008B352E"/>
    <w:rsid w:val="008B3920"/>
    <w:rsid w:val="008B3A73"/>
    <w:rsid w:val="008B3F93"/>
    <w:rsid w:val="008B3FB6"/>
    <w:rsid w:val="008B4C75"/>
    <w:rsid w:val="008B5516"/>
    <w:rsid w:val="008B638C"/>
    <w:rsid w:val="008B6575"/>
    <w:rsid w:val="008B6E59"/>
    <w:rsid w:val="008B7186"/>
    <w:rsid w:val="008B73FA"/>
    <w:rsid w:val="008B7731"/>
    <w:rsid w:val="008B7857"/>
    <w:rsid w:val="008C0055"/>
    <w:rsid w:val="008C03F8"/>
    <w:rsid w:val="008C0560"/>
    <w:rsid w:val="008C136D"/>
    <w:rsid w:val="008C1A1F"/>
    <w:rsid w:val="008C211E"/>
    <w:rsid w:val="008C2AF6"/>
    <w:rsid w:val="008C2D75"/>
    <w:rsid w:val="008C3041"/>
    <w:rsid w:val="008C389D"/>
    <w:rsid w:val="008C3BE0"/>
    <w:rsid w:val="008C3D80"/>
    <w:rsid w:val="008C4873"/>
    <w:rsid w:val="008C52B8"/>
    <w:rsid w:val="008C544D"/>
    <w:rsid w:val="008C58AE"/>
    <w:rsid w:val="008C5DCB"/>
    <w:rsid w:val="008C6163"/>
    <w:rsid w:val="008C6520"/>
    <w:rsid w:val="008C730C"/>
    <w:rsid w:val="008C7348"/>
    <w:rsid w:val="008C7A89"/>
    <w:rsid w:val="008C7B56"/>
    <w:rsid w:val="008D02F0"/>
    <w:rsid w:val="008D0398"/>
    <w:rsid w:val="008D068B"/>
    <w:rsid w:val="008D0824"/>
    <w:rsid w:val="008D0834"/>
    <w:rsid w:val="008D0BD4"/>
    <w:rsid w:val="008D10A1"/>
    <w:rsid w:val="008D1AC9"/>
    <w:rsid w:val="008D2650"/>
    <w:rsid w:val="008D3245"/>
    <w:rsid w:val="008D3D20"/>
    <w:rsid w:val="008D44E6"/>
    <w:rsid w:val="008D44FD"/>
    <w:rsid w:val="008D45C7"/>
    <w:rsid w:val="008D4CB4"/>
    <w:rsid w:val="008D5135"/>
    <w:rsid w:val="008D519F"/>
    <w:rsid w:val="008D5CBF"/>
    <w:rsid w:val="008D5EF8"/>
    <w:rsid w:val="008D5FBC"/>
    <w:rsid w:val="008D6284"/>
    <w:rsid w:val="008D6A22"/>
    <w:rsid w:val="008D6A8B"/>
    <w:rsid w:val="008D6DA9"/>
    <w:rsid w:val="008D6E9A"/>
    <w:rsid w:val="008D77A1"/>
    <w:rsid w:val="008D77FF"/>
    <w:rsid w:val="008D794C"/>
    <w:rsid w:val="008E03DF"/>
    <w:rsid w:val="008E04CF"/>
    <w:rsid w:val="008E0AC1"/>
    <w:rsid w:val="008E188E"/>
    <w:rsid w:val="008E1C49"/>
    <w:rsid w:val="008E3C49"/>
    <w:rsid w:val="008E4BFF"/>
    <w:rsid w:val="008E50EF"/>
    <w:rsid w:val="008E5381"/>
    <w:rsid w:val="008E53B0"/>
    <w:rsid w:val="008E62EB"/>
    <w:rsid w:val="008E6F54"/>
    <w:rsid w:val="008E70D7"/>
    <w:rsid w:val="008E717B"/>
    <w:rsid w:val="008E749B"/>
    <w:rsid w:val="008E78BE"/>
    <w:rsid w:val="008F0912"/>
    <w:rsid w:val="008F0985"/>
    <w:rsid w:val="008F0A54"/>
    <w:rsid w:val="008F0A7E"/>
    <w:rsid w:val="008F0BC4"/>
    <w:rsid w:val="008F0C75"/>
    <w:rsid w:val="008F0C92"/>
    <w:rsid w:val="008F107B"/>
    <w:rsid w:val="008F134C"/>
    <w:rsid w:val="008F13E1"/>
    <w:rsid w:val="008F15CB"/>
    <w:rsid w:val="008F15D6"/>
    <w:rsid w:val="008F2050"/>
    <w:rsid w:val="008F23DA"/>
    <w:rsid w:val="008F2804"/>
    <w:rsid w:val="008F2FB3"/>
    <w:rsid w:val="008F431C"/>
    <w:rsid w:val="008F4A03"/>
    <w:rsid w:val="008F4B1C"/>
    <w:rsid w:val="008F54BE"/>
    <w:rsid w:val="008F5770"/>
    <w:rsid w:val="008F58EC"/>
    <w:rsid w:val="008F58F7"/>
    <w:rsid w:val="008F5DF8"/>
    <w:rsid w:val="008F609B"/>
    <w:rsid w:val="008F62AE"/>
    <w:rsid w:val="008F6935"/>
    <w:rsid w:val="008F72F2"/>
    <w:rsid w:val="008F744D"/>
    <w:rsid w:val="008F7B04"/>
    <w:rsid w:val="008F7E29"/>
    <w:rsid w:val="008F7EFF"/>
    <w:rsid w:val="008F7F44"/>
    <w:rsid w:val="00900264"/>
    <w:rsid w:val="00900304"/>
    <w:rsid w:val="0090049F"/>
    <w:rsid w:val="009004A9"/>
    <w:rsid w:val="00900C20"/>
    <w:rsid w:val="0090101F"/>
    <w:rsid w:val="009014D3"/>
    <w:rsid w:val="00901765"/>
    <w:rsid w:val="00901A66"/>
    <w:rsid w:val="00901AD9"/>
    <w:rsid w:val="009026C6"/>
    <w:rsid w:val="0090271E"/>
    <w:rsid w:val="00902D76"/>
    <w:rsid w:val="00903919"/>
    <w:rsid w:val="00903EF4"/>
    <w:rsid w:val="009040F3"/>
    <w:rsid w:val="00904645"/>
    <w:rsid w:val="00904930"/>
    <w:rsid w:val="009049C6"/>
    <w:rsid w:val="0090585B"/>
    <w:rsid w:val="00906203"/>
    <w:rsid w:val="00906426"/>
    <w:rsid w:val="00906478"/>
    <w:rsid w:val="00906479"/>
    <w:rsid w:val="00907266"/>
    <w:rsid w:val="00910016"/>
    <w:rsid w:val="009106E8"/>
    <w:rsid w:val="009107ED"/>
    <w:rsid w:val="00910ED6"/>
    <w:rsid w:val="00911E42"/>
    <w:rsid w:val="0091279B"/>
    <w:rsid w:val="00912BF4"/>
    <w:rsid w:val="009135D4"/>
    <w:rsid w:val="00913643"/>
    <w:rsid w:val="00913CF1"/>
    <w:rsid w:val="00913E9F"/>
    <w:rsid w:val="00914318"/>
    <w:rsid w:val="00914B6C"/>
    <w:rsid w:val="009151B8"/>
    <w:rsid w:val="0091524D"/>
    <w:rsid w:val="0091558B"/>
    <w:rsid w:val="00915BD5"/>
    <w:rsid w:val="00915CA0"/>
    <w:rsid w:val="00915E94"/>
    <w:rsid w:val="00916011"/>
    <w:rsid w:val="0091687D"/>
    <w:rsid w:val="00916A26"/>
    <w:rsid w:val="00917517"/>
    <w:rsid w:val="009205DE"/>
    <w:rsid w:val="0092074F"/>
    <w:rsid w:val="00920ABD"/>
    <w:rsid w:val="00921640"/>
    <w:rsid w:val="009216F8"/>
    <w:rsid w:val="0092197E"/>
    <w:rsid w:val="00921ADE"/>
    <w:rsid w:val="00921BA0"/>
    <w:rsid w:val="00921C22"/>
    <w:rsid w:val="009223B4"/>
    <w:rsid w:val="009223E4"/>
    <w:rsid w:val="009225CC"/>
    <w:rsid w:val="009235E6"/>
    <w:rsid w:val="00923890"/>
    <w:rsid w:val="009239D8"/>
    <w:rsid w:val="009258B9"/>
    <w:rsid w:val="00925947"/>
    <w:rsid w:val="00925F4E"/>
    <w:rsid w:val="00926300"/>
    <w:rsid w:val="00926BBC"/>
    <w:rsid w:val="00926F12"/>
    <w:rsid w:val="00927AA3"/>
    <w:rsid w:val="009301C6"/>
    <w:rsid w:val="009314BB"/>
    <w:rsid w:val="009328C5"/>
    <w:rsid w:val="00932A35"/>
    <w:rsid w:val="009332E2"/>
    <w:rsid w:val="009332F0"/>
    <w:rsid w:val="0093340F"/>
    <w:rsid w:val="00933D33"/>
    <w:rsid w:val="00933E3C"/>
    <w:rsid w:val="00933F76"/>
    <w:rsid w:val="009343F3"/>
    <w:rsid w:val="00934483"/>
    <w:rsid w:val="009347B0"/>
    <w:rsid w:val="00934A3F"/>
    <w:rsid w:val="00935E0D"/>
    <w:rsid w:val="00935EC6"/>
    <w:rsid w:val="00936078"/>
    <w:rsid w:val="00937157"/>
    <w:rsid w:val="00937912"/>
    <w:rsid w:val="00940A92"/>
    <w:rsid w:val="00940B7B"/>
    <w:rsid w:val="00941357"/>
    <w:rsid w:val="0094144C"/>
    <w:rsid w:val="0094178A"/>
    <w:rsid w:val="0094189E"/>
    <w:rsid w:val="00941C35"/>
    <w:rsid w:val="009429ED"/>
    <w:rsid w:val="009432E6"/>
    <w:rsid w:val="0094330B"/>
    <w:rsid w:val="00943764"/>
    <w:rsid w:val="00943BDB"/>
    <w:rsid w:val="00944B23"/>
    <w:rsid w:val="0094584E"/>
    <w:rsid w:val="00945BA4"/>
    <w:rsid w:val="00945C46"/>
    <w:rsid w:val="009467A4"/>
    <w:rsid w:val="009473BA"/>
    <w:rsid w:val="0094744D"/>
    <w:rsid w:val="0094773D"/>
    <w:rsid w:val="00950157"/>
    <w:rsid w:val="00950182"/>
    <w:rsid w:val="00950660"/>
    <w:rsid w:val="00950B9E"/>
    <w:rsid w:val="00951529"/>
    <w:rsid w:val="009518C9"/>
    <w:rsid w:val="00951964"/>
    <w:rsid w:val="00951C08"/>
    <w:rsid w:val="00951C6C"/>
    <w:rsid w:val="0095213E"/>
    <w:rsid w:val="00952310"/>
    <w:rsid w:val="009525B4"/>
    <w:rsid w:val="009526D1"/>
    <w:rsid w:val="00952AC5"/>
    <w:rsid w:val="00952B56"/>
    <w:rsid w:val="00952BEC"/>
    <w:rsid w:val="00953170"/>
    <w:rsid w:val="009532FC"/>
    <w:rsid w:val="00953ED8"/>
    <w:rsid w:val="00953FAA"/>
    <w:rsid w:val="0095474E"/>
    <w:rsid w:val="00954ED1"/>
    <w:rsid w:val="00955241"/>
    <w:rsid w:val="009553D4"/>
    <w:rsid w:val="009558AA"/>
    <w:rsid w:val="00955B1E"/>
    <w:rsid w:val="00955F07"/>
    <w:rsid w:val="00955FE6"/>
    <w:rsid w:val="00956B1D"/>
    <w:rsid w:val="0095716A"/>
    <w:rsid w:val="0095729F"/>
    <w:rsid w:val="0095739D"/>
    <w:rsid w:val="00957E79"/>
    <w:rsid w:val="00960011"/>
    <w:rsid w:val="0096019B"/>
    <w:rsid w:val="009602AE"/>
    <w:rsid w:val="00960A43"/>
    <w:rsid w:val="00961215"/>
    <w:rsid w:val="009612BE"/>
    <w:rsid w:val="00961388"/>
    <w:rsid w:val="00961858"/>
    <w:rsid w:val="00961A02"/>
    <w:rsid w:val="00961C8B"/>
    <w:rsid w:val="00961ECE"/>
    <w:rsid w:val="0096201F"/>
    <w:rsid w:val="00963A63"/>
    <w:rsid w:val="0096408E"/>
    <w:rsid w:val="00964734"/>
    <w:rsid w:val="009653D0"/>
    <w:rsid w:val="009653D1"/>
    <w:rsid w:val="009656A4"/>
    <w:rsid w:val="00967804"/>
    <w:rsid w:val="00967C8F"/>
    <w:rsid w:val="00971D8C"/>
    <w:rsid w:val="0097256F"/>
    <w:rsid w:val="009725D4"/>
    <w:rsid w:val="00972B22"/>
    <w:rsid w:val="00972EE7"/>
    <w:rsid w:val="00973046"/>
    <w:rsid w:val="0097325D"/>
    <w:rsid w:val="00973747"/>
    <w:rsid w:val="0097427D"/>
    <w:rsid w:val="009743B0"/>
    <w:rsid w:val="00974410"/>
    <w:rsid w:val="00975D00"/>
    <w:rsid w:val="009762B7"/>
    <w:rsid w:val="00976401"/>
    <w:rsid w:val="00976545"/>
    <w:rsid w:val="00976684"/>
    <w:rsid w:val="00976AA4"/>
    <w:rsid w:val="00976F5E"/>
    <w:rsid w:val="0097763E"/>
    <w:rsid w:val="00977E2E"/>
    <w:rsid w:val="00977FE4"/>
    <w:rsid w:val="00980B27"/>
    <w:rsid w:val="00980E21"/>
    <w:rsid w:val="00982C74"/>
    <w:rsid w:val="00982E08"/>
    <w:rsid w:val="00983382"/>
    <w:rsid w:val="00983736"/>
    <w:rsid w:val="00985B03"/>
    <w:rsid w:val="00986137"/>
    <w:rsid w:val="0098717F"/>
    <w:rsid w:val="009872A7"/>
    <w:rsid w:val="009873AC"/>
    <w:rsid w:val="00987CF0"/>
    <w:rsid w:val="009900DA"/>
    <w:rsid w:val="0099015C"/>
    <w:rsid w:val="0099066E"/>
    <w:rsid w:val="009908ED"/>
    <w:rsid w:val="009911A7"/>
    <w:rsid w:val="009912DC"/>
    <w:rsid w:val="009916C3"/>
    <w:rsid w:val="00991A0E"/>
    <w:rsid w:val="00991F65"/>
    <w:rsid w:val="00992851"/>
    <w:rsid w:val="009928E7"/>
    <w:rsid w:val="00992F55"/>
    <w:rsid w:val="009936AE"/>
    <w:rsid w:val="00993A98"/>
    <w:rsid w:val="00993BA6"/>
    <w:rsid w:val="00994010"/>
    <w:rsid w:val="00994161"/>
    <w:rsid w:val="009950EF"/>
    <w:rsid w:val="009954FD"/>
    <w:rsid w:val="00995808"/>
    <w:rsid w:val="00995B27"/>
    <w:rsid w:val="00995B69"/>
    <w:rsid w:val="009967E5"/>
    <w:rsid w:val="00996AB4"/>
    <w:rsid w:val="00996AC1"/>
    <w:rsid w:val="00996C4C"/>
    <w:rsid w:val="0099716B"/>
    <w:rsid w:val="009971AC"/>
    <w:rsid w:val="009975E0"/>
    <w:rsid w:val="0099790F"/>
    <w:rsid w:val="00997D9B"/>
    <w:rsid w:val="009A07E8"/>
    <w:rsid w:val="009A0A6F"/>
    <w:rsid w:val="009A14D9"/>
    <w:rsid w:val="009A1D41"/>
    <w:rsid w:val="009A1E79"/>
    <w:rsid w:val="009A270F"/>
    <w:rsid w:val="009A299D"/>
    <w:rsid w:val="009A3916"/>
    <w:rsid w:val="009A41D3"/>
    <w:rsid w:val="009A4D39"/>
    <w:rsid w:val="009A5037"/>
    <w:rsid w:val="009A5176"/>
    <w:rsid w:val="009A53DD"/>
    <w:rsid w:val="009A5EA6"/>
    <w:rsid w:val="009A5F91"/>
    <w:rsid w:val="009A648C"/>
    <w:rsid w:val="009A6AB8"/>
    <w:rsid w:val="009A6D64"/>
    <w:rsid w:val="009A7A0B"/>
    <w:rsid w:val="009B024B"/>
    <w:rsid w:val="009B0EBF"/>
    <w:rsid w:val="009B0FDD"/>
    <w:rsid w:val="009B163B"/>
    <w:rsid w:val="009B17AC"/>
    <w:rsid w:val="009B1E47"/>
    <w:rsid w:val="009B2169"/>
    <w:rsid w:val="009B286A"/>
    <w:rsid w:val="009B2EF8"/>
    <w:rsid w:val="009B3196"/>
    <w:rsid w:val="009B33A1"/>
    <w:rsid w:val="009B3564"/>
    <w:rsid w:val="009B39B4"/>
    <w:rsid w:val="009B3AB4"/>
    <w:rsid w:val="009B3B3D"/>
    <w:rsid w:val="009B3E89"/>
    <w:rsid w:val="009B4F59"/>
    <w:rsid w:val="009B5089"/>
    <w:rsid w:val="009B50F7"/>
    <w:rsid w:val="009B5856"/>
    <w:rsid w:val="009B5AF9"/>
    <w:rsid w:val="009B6217"/>
    <w:rsid w:val="009B643F"/>
    <w:rsid w:val="009B6BE2"/>
    <w:rsid w:val="009B6FCA"/>
    <w:rsid w:val="009B7087"/>
    <w:rsid w:val="009B70A9"/>
    <w:rsid w:val="009B7D19"/>
    <w:rsid w:val="009C0CCC"/>
    <w:rsid w:val="009C0F4E"/>
    <w:rsid w:val="009C19FF"/>
    <w:rsid w:val="009C1C61"/>
    <w:rsid w:val="009C1D15"/>
    <w:rsid w:val="009C1E12"/>
    <w:rsid w:val="009C1E73"/>
    <w:rsid w:val="009C1F68"/>
    <w:rsid w:val="009C22A6"/>
    <w:rsid w:val="009C267A"/>
    <w:rsid w:val="009C2945"/>
    <w:rsid w:val="009C2DC9"/>
    <w:rsid w:val="009C3A18"/>
    <w:rsid w:val="009C4001"/>
    <w:rsid w:val="009C4B08"/>
    <w:rsid w:val="009C4B66"/>
    <w:rsid w:val="009C4ED9"/>
    <w:rsid w:val="009C4F98"/>
    <w:rsid w:val="009C519F"/>
    <w:rsid w:val="009C552E"/>
    <w:rsid w:val="009C5B0D"/>
    <w:rsid w:val="009C6672"/>
    <w:rsid w:val="009C694F"/>
    <w:rsid w:val="009C6ED2"/>
    <w:rsid w:val="009C7372"/>
    <w:rsid w:val="009C73C1"/>
    <w:rsid w:val="009C77EE"/>
    <w:rsid w:val="009C7C1F"/>
    <w:rsid w:val="009C7CA7"/>
    <w:rsid w:val="009C7EEA"/>
    <w:rsid w:val="009D01B4"/>
    <w:rsid w:val="009D0CCC"/>
    <w:rsid w:val="009D118C"/>
    <w:rsid w:val="009D134B"/>
    <w:rsid w:val="009D1400"/>
    <w:rsid w:val="009D2E9C"/>
    <w:rsid w:val="009D3F0B"/>
    <w:rsid w:val="009D4926"/>
    <w:rsid w:val="009D4A24"/>
    <w:rsid w:val="009D5216"/>
    <w:rsid w:val="009D5485"/>
    <w:rsid w:val="009D5850"/>
    <w:rsid w:val="009D5B46"/>
    <w:rsid w:val="009D5F35"/>
    <w:rsid w:val="009D62B5"/>
    <w:rsid w:val="009D7A1F"/>
    <w:rsid w:val="009D7D39"/>
    <w:rsid w:val="009E00F7"/>
    <w:rsid w:val="009E0131"/>
    <w:rsid w:val="009E045C"/>
    <w:rsid w:val="009E1514"/>
    <w:rsid w:val="009E1647"/>
    <w:rsid w:val="009E18F1"/>
    <w:rsid w:val="009E1C41"/>
    <w:rsid w:val="009E1F03"/>
    <w:rsid w:val="009E2E3D"/>
    <w:rsid w:val="009E30C0"/>
    <w:rsid w:val="009E444F"/>
    <w:rsid w:val="009E48B9"/>
    <w:rsid w:val="009E4934"/>
    <w:rsid w:val="009E57F1"/>
    <w:rsid w:val="009E581A"/>
    <w:rsid w:val="009E5908"/>
    <w:rsid w:val="009E5B19"/>
    <w:rsid w:val="009E66E3"/>
    <w:rsid w:val="009E6961"/>
    <w:rsid w:val="009E736D"/>
    <w:rsid w:val="009E7C17"/>
    <w:rsid w:val="009F043A"/>
    <w:rsid w:val="009F0CC1"/>
    <w:rsid w:val="009F1848"/>
    <w:rsid w:val="009F1D63"/>
    <w:rsid w:val="009F1D81"/>
    <w:rsid w:val="009F2177"/>
    <w:rsid w:val="009F27FF"/>
    <w:rsid w:val="009F289B"/>
    <w:rsid w:val="009F3259"/>
    <w:rsid w:val="009F3386"/>
    <w:rsid w:val="009F3401"/>
    <w:rsid w:val="009F368C"/>
    <w:rsid w:val="009F3B91"/>
    <w:rsid w:val="009F41B5"/>
    <w:rsid w:val="009F450E"/>
    <w:rsid w:val="009F4666"/>
    <w:rsid w:val="009F481E"/>
    <w:rsid w:val="009F4923"/>
    <w:rsid w:val="009F4F63"/>
    <w:rsid w:val="009F6251"/>
    <w:rsid w:val="009F63CE"/>
    <w:rsid w:val="009F6BF4"/>
    <w:rsid w:val="009F7C0B"/>
    <w:rsid w:val="009F7E0D"/>
    <w:rsid w:val="009F7EC8"/>
    <w:rsid w:val="00A0005C"/>
    <w:rsid w:val="00A00C75"/>
    <w:rsid w:val="00A00F09"/>
    <w:rsid w:val="00A0104A"/>
    <w:rsid w:val="00A01291"/>
    <w:rsid w:val="00A02472"/>
    <w:rsid w:val="00A029E3"/>
    <w:rsid w:val="00A02B8F"/>
    <w:rsid w:val="00A03058"/>
    <w:rsid w:val="00A0305E"/>
    <w:rsid w:val="00A03D3C"/>
    <w:rsid w:val="00A04120"/>
    <w:rsid w:val="00A04A8B"/>
    <w:rsid w:val="00A054AE"/>
    <w:rsid w:val="00A05E22"/>
    <w:rsid w:val="00A063A5"/>
    <w:rsid w:val="00A06ABF"/>
    <w:rsid w:val="00A07010"/>
    <w:rsid w:val="00A07254"/>
    <w:rsid w:val="00A072FB"/>
    <w:rsid w:val="00A073B5"/>
    <w:rsid w:val="00A07D0A"/>
    <w:rsid w:val="00A07E85"/>
    <w:rsid w:val="00A1098A"/>
    <w:rsid w:val="00A10BF8"/>
    <w:rsid w:val="00A1157F"/>
    <w:rsid w:val="00A11759"/>
    <w:rsid w:val="00A11885"/>
    <w:rsid w:val="00A1212E"/>
    <w:rsid w:val="00A124FD"/>
    <w:rsid w:val="00A12849"/>
    <w:rsid w:val="00A12BFD"/>
    <w:rsid w:val="00A130CF"/>
    <w:rsid w:val="00A13140"/>
    <w:rsid w:val="00A131E5"/>
    <w:rsid w:val="00A13515"/>
    <w:rsid w:val="00A14597"/>
    <w:rsid w:val="00A14761"/>
    <w:rsid w:val="00A14844"/>
    <w:rsid w:val="00A14ADA"/>
    <w:rsid w:val="00A14ADE"/>
    <w:rsid w:val="00A14B53"/>
    <w:rsid w:val="00A14D26"/>
    <w:rsid w:val="00A1511E"/>
    <w:rsid w:val="00A1543B"/>
    <w:rsid w:val="00A15A20"/>
    <w:rsid w:val="00A161F2"/>
    <w:rsid w:val="00A16FD1"/>
    <w:rsid w:val="00A175C9"/>
    <w:rsid w:val="00A1765B"/>
    <w:rsid w:val="00A17743"/>
    <w:rsid w:val="00A17C74"/>
    <w:rsid w:val="00A2007E"/>
    <w:rsid w:val="00A20180"/>
    <w:rsid w:val="00A201A6"/>
    <w:rsid w:val="00A21143"/>
    <w:rsid w:val="00A214ED"/>
    <w:rsid w:val="00A216B8"/>
    <w:rsid w:val="00A221E2"/>
    <w:rsid w:val="00A222D3"/>
    <w:rsid w:val="00A22A2A"/>
    <w:rsid w:val="00A22BE1"/>
    <w:rsid w:val="00A22CEB"/>
    <w:rsid w:val="00A23384"/>
    <w:rsid w:val="00A23DA2"/>
    <w:rsid w:val="00A2409C"/>
    <w:rsid w:val="00A24615"/>
    <w:rsid w:val="00A24F55"/>
    <w:rsid w:val="00A252E3"/>
    <w:rsid w:val="00A2587B"/>
    <w:rsid w:val="00A265A8"/>
    <w:rsid w:val="00A26D7D"/>
    <w:rsid w:val="00A27232"/>
    <w:rsid w:val="00A272AB"/>
    <w:rsid w:val="00A3023D"/>
    <w:rsid w:val="00A3042A"/>
    <w:rsid w:val="00A309B5"/>
    <w:rsid w:val="00A30E54"/>
    <w:rsid w:val="00A3112D"/>
    <w:rsid w:val="00A32678"/>
    <w:rsid w:val="00A326BE"/>
    <w:rsid w:val="00A32820"/>
    <w:rsid w:val="00A3314E"/>
    <w:rsid w:val="00A3400E"/>
    <w:rsid w:val="00A340BD"/>
    <w:rsid w:val="00A344DE"/>
    <w:rsid w:val="00A3488E"/>
    <w:rsid w:val="00A34E9D"/>
    <w:rsid w:val="00A35257"/>
    <w:rsid w:val="00A35330"/>
    <w:rsid w:val="00A35AEF"/>
    <w:rsid w:val="00A35F00"/>
    <w:rsid w:val="00A36CB4"/>
    <w:rsid w:val="00A37A63"/>
    <w:rsid w:val="00A37B72"/>
    <w:rsid w:val="00A4000E"/>
    <w:rsid w:val="00A40A0E"/>
    <w:rsid w:val="00A410D0"/>
    <w:rsid w:val="00A41190"/>
    <w:rsid w:val="00A414C4"/>
    <w:rsid w:val="00A4169E"/>
    <w:rsid w:val="00A41BF2"/>
    <w:rsid w:val="00A41E65"/>
    <w:rsid w:val="00A423BB"/>
    <w:rsid w:val="00A42B16"/>
    <w:rsid w:val="00A4338B"/>
    <w:rsid w:val="00A43452"/>
    <w:rsid w:val="00A43547"/>
    <w:rsid w:val="00A43BCD"/>
    <w:rsid w:val="00A43C8C"/>
    <w:rsid w:val="00A43CCD"/>
    <w:rsid w:val="00A443DE"/>
    <w:rsid w:val="00A44AB8"/>
    <w:rsid w:val="00A44DBA"/>
    <w:rsid w:val="00A450EF"/>
    <w:rsid w:val="00A455A6"/>
    <w:rsid w:val="00A462F6"/>
    <w:rsid w:val="00A4642C"/>
    <w:rsid w:val="00A46A67"/>
    <w:rsid w:val="00A46D83"/>
    <w:rsid w:val="00A46EDF"/>
    <w:rsid w:val="00A47899"/>
    <w:rsid w:val="00A47F7E"/>
    <w:rsid w:val="00A47FEC"/>
    <w:rsid w:val="00A51582"/>
    <w:rsid w:val="00A51BBD"/>
    <w:rsid w:val="00A51C10"/>
    <w:rsid w:val="00A53121"/>
    <w:rsid w:val="00A53A86"/>
    <w:rsid w:val="00A5430C"/>
    <w:rsid w:val="00A543B9"/>
    <w:rsid w:val="00A54A1C"/>
    <w:rsid w:val="00A54BC8"/>
    <w:rsid w:val="00A553AC"/>
    <w:rsid w:val="00A555F2"/>
    <w:rsid w:val="00A5595F"/>
    <w:rsid w:val="00A55C1E"/>
    <w:rsid w:val="00A55D0B"/>
    <w:rsid w:val="00A56290"/>
    <w:rsid w:val="00A563F6"/>
    <w:rsid w:val="00A567EB"/>
    <w:rsid w:val="00A56A34"/>
    <w:rsid w:val="00A57A55"/>
    <w:rsid w:val="00A57BA5"/>
    <w:rsid w:val="00A60ADA"/>
    <w:rsid w:val="00A60D8B"/>
    <w:rsid w:val="00A60E27"/>
    <w:rsid w:val="00A612BC"/>
    <w:rsid w:val="00A621CA"/>
    <w:rsid w:val="00A62465"/>
    <w:rsid w:val="00A62A9B"/>
    <w:rsid w:val="00A632E2"/>
    <w:rsid w:val="00A6390F"/>
    <w:rsid w:val="00A63A82"/>
    <w:rsid w:val="00A64084"/>
    <w:rsid w:val="00A64366"/>
    <w:rsid w:val="00A64A73"/>
    <w:rsid w:val="00A64D9D"/>
    <w:rsid w:val="00A64FEB"/>
    <w:rsid w:val="00A655ED"/>
    <w:rsid w:val="00A656E7"/>
    <w:rsid w:val="00A6593F"/>
    <w:rsid w:val="00A662C2"/>
    <w:rsid w:val="00A6650B"/>
    <w:rsid w:val="00A66DBE"/>
    <w:rsid w:val="00A6743E"/>
    <w:rsid w:val="00A702E3"/>
    <w:rsid w:val="00A70968"/>
    <w:rsid w:val="00A70CA3"/>
    <w:rsid w:val="00A70D24"/>
    <w:rsid w:val="00A70D89"/>
    <w:rsid w:val="00A713F9"/>
    <w:rsid w:val="00A714B7"/>
    <w:rsid w:val="00A7154B"/>
    <w:rsid w:val="00A7233A"/>
    <w:rsid w:val="00A7244B"/>
    <w:rsid w:val="00A72694"/>
    <w:rsid w:val="00A72C72"/>
    <w:rsid w:val="00A7308D"/>
    <w:rsid w:val="00A73465"/>
    <w:rsid w:val="00A73B36"/>
    <w:rsid w:val="00A7438C"/>
    <w:rsid w:val="00A750FD"/>
    <w:rsid w:val="00A75E11"/>
    <w:rsid w:val="00A75ED4"/>
    <w:rsid w:val="00A762EC"/>
    <w:rsid w:val="00A76457"/>
    <w:rsid w:val="00A76D80"/>
    <w:rsid w:val="00A76F16"/>
    <w:rsid w:val="00A772FE"/>
    <w:rsid w:val="00A77635"/>
    <w:rsid w:val="00A804AD"/>
    <w:rsid w:val="00A807F0"/>
    <w:rsid w:val="00A80AC7"/>
    <w:rsid w:val="00A80D02"/>
    <w:rsid w:val="00A816D8"/>
    <w:rsid w:val="00A821F2"/>
    <w:rsid w:val="00A8222D"/>
    <w:rsid w:val="00A8263B"/>
    <w:rsid w:val="00A82B8A"/>
    <w:rsid w:val="00A83236"/>
    <w:rsid w:val="00A8444C"/>
    <w:rsid w:val="00A8483D"/>
    <w:rsid w:val="00A84CD7"/>
    <w:rsid w:val="00A84DBF"/>
    <w:rsid w:val="00A84EA2"/>
    <w:rsid w:val="00A85396"/>
    <w:rsid w:val="00A85990"/>
    <w:rsid w:val="00A85ED1"/>
    <w:rsid w:val="00A866FC"/>
    <w:rsid w:val="00A87138"/>
    <w:rsid w:val="00A8735C"/>
    <w:rsid w:val="00A87462"/>
    <w:rsid w:val="00A877C3"/>
    <w:rsid w:val="00A8785C"/>
    <w:rsid w:val="00A87BC7"/>
    <w:rsid w:val="00A87CD6"/>
    <w:rsid w:val="00A87F6B"/>
    <w:rsid w:val="00A914E9"/>
    <w:rsid w:val="00A9168C"/>
    <w:rsid w:val="00A917EA"/>
    <w:rsid w:val="00A9213F"/>
    <w:rsid w:val="00A9350A"/>
    <w:rsid w:val="00A936A7"/>
    <w:rsid w:val="00A9373B"/>
    <w:rsid w:val="00A94029"/>
    <w:rsid w:val="00A94968"/>
    <w:rsid w:val="00A9499D"/>
    <w:rsid w:val="00A94B7A"/>
    <w:rsid w:val="00A94D26"/>
    <w:rsid w:val="00A94E2C"/>
    <w:rsid w:val="00A95BF7"/>
    <w:rsid w:val="00A96240"/>
    <w:rsid w:val="00A963E6"/>
    <w:rsid w:val="00A96D16"/>
    <w:rsid w:val="00AA0295"/>
    <w:rsid w:val="00AA02EA"/>
    <w:rsid w:val="00AA04EF"/>
    <w:rsid w:val="00AA0564"/>
    <w:rsid w:val="00AA09E1"/>
    <w:rsid w:val="00AA0B72"/>
    <w:rsid w:val="00AA0F33"/>
    <w:rsid w:val="00AA0F6C"/>
    <w:rsid w:val="00AA1181"/>
    <w:rsid w:val="00AA1995"/>
    <w:rsid w:val="00AA2448"/>
    <w:rsid w:val="00AA26CC"/>
    <w:rsid w:val="00AA29DE"/>
    <w:rsid w:val="00AA3001"/>
    <w:rsid w:val="00AA3A28"/>
    <w:rsid w:val="00AA401C"/>
    <w:rsid w:val="00AA4367"/>
    <w:rsid w:val="00AA447A"/>
    <w:rsid w:val="00AA5332"/>
    <w:rsid w:val="00AA5843"/>
    <w:rsid w:val="00AA6C51"/>
    <w:rsid w:val="00AA744E"/>
    <w:rsid w:val="00AA7A40"/>
    <w:rsid w:val="00AA7B07"/>
    <w:rsid w:val="00AB02F8"/>
    <w:rsid w:val="00AB03D0"/>
    <w:rsid w:val="00AB0BC9"/>
    <w:rsid w:val="00AB0D8C"/>
    <w:rsid w:val="00AB1594"/>
    <w:rsid w:val="00AB1645"/>
    <w:rsid w:val="00AB1A73"/>
    <w:rsid w:val="00AB1D66"/>
    <w:rsid w:val="00AB20C2"/>
    <w:rsid w:val="00AB212F"/>
    <w:rsid w:val="00AB24A0"/>
    <w:rsid w:val="00AB274E"/>
    <w:rsid w:val="00AB29AB"/>
    <w:rsid w:val="00AB3482"/>
    <w:rsid w:val="00AB3B1D"/>
    <w:rsid w:val="00AB497A"/>
    <w:rsid w:val="00AB4F6B"/>
    <w:rsid w:val="00AB55A9"/>
    <w:rsid w:val="00AB56A0"/>
    <w:rsid w:val="00AB5CF8"/>
    <w:rsid w:val="00AB5ECF"/>
    <w:rsid w:val="00AB5FB9"/>
    <w:rsid w:val="00AB5FD4"/>
    <w:rsid w:val="00AB617D"/>
    <w:rsid w:val="00AB6424"/>
    <w:rsid w:val="00AB6DB6"/>
    <w:rsid w:val="00AB713D"/>
    <w:rsid w:val="00AB73CE"/>
    <w:rsid w:val="00AB7445"/>
    <w:rsid w:val="00AB7980"/>
    <w:rsid w:val="00AB7F94"/>
    <w:rsid w:val="00AC1401"/>
    <w:rsid w:val="00AC1757"/>
    <w:rsid w:val="00AC1793"/>
    <w:rsid w:val="00AC1A6A"/>
    <w:rsid w:val="00AC1D4A"/>
    <w:rsid w:val="00AC2C7B"/>
    <w:rsid w:val="00AC306A"/>
    <w:rsid w:val="00AC36D9"/>
    <w:rsid w:val="00AC3718"/>
    <w:rsid w:val="00AC37C8"/>
    <w:rsid w:val="00AC37CD"/>
    <w:rsid w:val="00AC3A0D"/>
    <w:rsid w:val="00AC44EC"/>
    <w:rsid w:val="00AC457C"/>
    <w:rsid w:val="00AC4A1D"/>
    <w:rsid w:val="00AC4B4F"/>
    <w:rsid w:val="00AC50F6"/>
    <w:rsid w:val="00AC5160"/>
    <w:rsid w:val="00AC52B5"/>
    <w:rsid w:val="00AC5493"/>
    <w:rsid w:val="00AC5DCC"/>
    <w:rsid w:val="00AC6196"/>
    <w:rsid w:val="00AC66A9"/>
    <w:rsid w:val="00AC674C"/>
    <w:rsid w:val="00AC685A"/>
    <w:rsid w:val="00AC7707"/>
    <w:rsid w:val="00AC771F"/>
    <w:rsid w:val="00AC7BB4"/>
    <w:rsid w:val="00AC7BD2"/>
    <w:rsid w:val="00AC7E49"/>
    <w:rsid w:val="00AD0055"/>
    <w:rsid w:val="00AD1B44"/>
    <w:rsid w:val="00AD2B78"/>
    <w:rsid w:val="00AD2BED"/>
    <w:rsid w:val="00AD2D03"/>
    <w:rsid w:val="00AD4525"/>
    <w:rsid w:val="00AD4D2C"/>
    <w:rsid w:val="00AD5512"/>
    <w:rsid w:val="00AD60A5"/>
    <w:rsid w:val="00AD6BB1"/>
    <w:rsid w:val="00AD6FF1"/>
    <w:rsid w:val="00AD7C8C"/>
    <w:rsid w:val="00AE025A"/>
    <w:rsid w:val="00AE025D"/>
    <w:rsid w:val="00AE081D"/>
    <w:rsid w:val="00AE137C"/>
    <w:rsid w:val="00AE15DE"/>
    <w:rsid w:val="00AE1BC7"/>
    <w:rsid w:val="00AE22EE"/>
    <w:rsid w:val="00AE2429"/>
    <w:rsid w:val="00AE35E3"/>
    <w:rsid w:val="00AE441C"/>
    <w:rsid w:val="00AE488C"/>
    <w:rsid w:val="00AE4A55"/>
    <w:rsid w:val="00AE5269"/>
    <w:rsid w:val="00AE5473"/>
    <w:rsid w:val="00AE5786"/>
    <w:rsid w:val="00AE5B49"/>
    <w:rsid w:val="00AE5F25"/>
    <w:rsid w:val="00AE673C"/>
    <w:rsid w:val="00AE7019"/>
    <w:rsid w:val="00AE7304"/>
    <w:rsid w:val="00AE78DB"/>
    <w:rsid w:val="00AE7952"/>
    <w:rsid w:val="00AE7BDD"/>
    <w:rsid w:val="00AE7F00"/>
    <w:rsid w:val="00AE7F6D"/>
    <w:rsid w:val="00AF0215"/>
    <w:rsid w:val="00AF0613"/>
    <w:rsid w:val="00AF08AA"/>
    <w:rsid w:val="00AF0EA2"/>
    <w:rsid w:val="00AF105A"/>
    <w:rsid w:val="00AF108E"/>
    <w:rsid w:val="00AF10EB"/>
    <w:rsid w:val="00AF203B"/>
    <w:rsid w:val="00AF3D75"/>
    <w:rsid w:val="00AF41A5"/>
    <w:rsid w:val="00AF4288"/>
    <w:rsid w:val="00AF4A45"/>
    <w:rsid w:val="00AF4E54"/>
    <w:rsid w:val="00AF571A"/>
    <w:rsid w:val="00AF5891"/>
    <w:rsid w:val="00AF5910"/>
    <w:rsid w:val="00AF5A1B"/>
    <w:rsid w:val="00AF5B6D"/>
    <w:rsid w:val="00AF5D7C"/>
    <w:rsid w:val="00AF6117"/>
    <w:rsid w:val="00AF63EE"/>
    <w:rsid w:val="00AF6F6A"/>
    <w:rsid w:val="00AF75F7"/>
    <w:rsid w:val="00AF79E4"/>
    <w:rsid w:val="00B00480"/>
    <w:rsid w:val="00B010F7"/>
    <w:rsid w:val="00B014D6"/>
    <w:rsid w:val="00B01608"/>
    <w:rsid w:val="00B017DB"/>
    <w:rsid w:val="00B01A23"/>
    <w:rsid w:val="00B01BC7"/>
    <w:rsid w:val="00B01CEB"/>
    <w:rsid w:val="00B027C4"/>
    <w:rsid w:val="00B02ECE"/>
    <w:rsid w:val="00B03A9F"/>
    <w:rsid w:val="00B03FC9"/>
    <w:rsid w:val="00B04C2A"/>
    <w:rsid w:val="00B04E90"/>
    <w:rsid w:val="00B05ED7"/>
    <w:rsid w:val="00B060A1"/>
    <w:rsid w:val="00B065A2"/>
    <w:rsid w:val="00B065B2"/>
    <w:rsid w:val="00B06C81"/>
    <w:rsid w:val="00B07B28"/>
    <w:rsid w:val="00B07E1B"/>
    <w:rsid w:val="00B106BD"/>
    <w:rsid w:val="00B10DF6"/>
    <w:rsid w:val="00B11A8B"/>
    <w:rsid w:val="00B1241C"/>
    <w:rsid w:val="00B1303F"/>
    <w:rsid w:val="00B131FA"/>
    <w:rsid w:val="00B14433"/>
    <w:rsid w:val="00B14810"/>
    <w:rsid w:val="00B14B48"/>
    <w:rsid w:val="00B14D90"/>
    <w:rsid w:val="00B14E91"/>
    <w:rsid w:val="00B15601"/>
    <w:rsid w:val="00B16203"/>
    <w:rsid w:val="00B1670A"/>
    <w:rsid w:val="00B16886"/>
    <w:rsid w:val="00B169DC"/>
    <w:rsid w:val="00B16C5C"/>
    <w:rsid w:val="00B175F0"/>
    <w:rsid w:val="00B17B98"/>
    <w:rsid w:val="00B17F46"/>
    <w:rsid w:val="00B20423"/>
    <w:rsid w:val="00B20F5A"/>
    <w:rsid w:val="00B21507"/>
    <w:rsid w:val="00B21A2B"/>
    <w:rsid w:val="00B21F32"/>
    <w:rsid w:val="00B225AC"/>
    <w:rsid w:val="00B22F8C"/>
    <w:rsid w:val="00B23E71"/>
    <w:rsid w:val="00B2493E"/>
    <w:rsid w:val="00B25970"/>
    <w:rsid w:val="00B25F67"/>
    <w:rsid w:val="00B26240"/>
    <w:rsid w:val="00B265F2"/>
    <w:rsid w:val="00B26770"/>
    <w:rsid w:val="00B27ABE"/>
    <w:rsid w:val="00B27C92"/>
    <w:rsid w:val="00B27E8B"/>
    <w:rsid w:val="00B30413"/>
    <w:rsid w:val="00B304F0"/>
    <w:rsid w:val="00B30630"/>
    <w:rsid w:val="00B30760"/>
    <w:rsid w:val="00B31E81"/>
    <w:rsid w:val="00B329B5"/>
    <w:rsid w:val="00B335F8"/>
    <w:rsid w:val="00B33C3D"/>
    <w:rsid w:val="00B33E40"/>
    <w:rsid w:val="00B33E69"/>
    <w:rsid w:val="00B34235"/>
    <w:rsid w:val="00B346F2"/>
    <w:rsid w:val="00B34A7D"/>
    <w:rsid w:val="00B35572"/>
    <w:rsid w:val="00B35931"/>
    <w:rsid w:val="00B36B07"/>
    <w:rsid w:val="00B3735D"/>
    <w:rsid w:val="00B375F4"/>
    <w:rsid w:val="00B37782"/>
    <w:rsid w:val="00B37C66"/>
    <w:rsid w:val="00B40495"/>
    <w:rsid w:val="00B4050C"/>
    <w:rsid w:val="00B408FD"/>
    <w:rsid w:val="00B40965"/>
    <w:rsid w:val="00B409A3"/>
    <w:rsid w:val="00B40FC0"/>
    <w:rsid w:val="00B411E1"/>
    <w:rsid w:val="00B4138D"/>
    <w:rsid w:val="00B418E0"/>
    <w:rsid w:val="00B41C93"/>
    <w:rsid w:val="00B4351D"/>
    <w:rsid w:val="00B4362E"/>
    <w:rsid w:val="00B43793"/>
    <w:rsid w:val="00B4382F"/>
    <w:rsid w:val="00B4383F"/>
    <w:rsid w:val="00B43E30"/>
    <w:rsid w:val="00B43FC0"/>
    <w:rsid w:val="00B443B8"/>
    <w:rsid w:val="00B44556"/>
    <w:rsid w:val="00B4471A"/>
    <w:rsid w:val="00B44E91"/>
    <w:rsid w:val="00B45861"/>
    <w:rsid w:val="00B46454"/>
    <w:rsid w:val="00B46771"/>
    <w:rsid w:val="00B46BE3"/>
    <w:rsid w:val="00B46C25"/>
    <w:rsid w:val="00B46E52"/>
    <w:rsid w:val="00B4726F"/>
    <w:rsid w:val="00B4786C"/>
    <w:rsid w:val="00B50148"/>
    <w:rsid w:val="00B50510"/>
    <w:rsid w:val="00B505F2"/>
    <w:rsid w:val="00B50664"/>
    <w:rsid w:val="00B50CB9"/>
    <w:rsid w:val="00B5129A"/>
    <w:rsid w:val="00B514B3"/>
    <w:rsid w:val="00B51BEE"/>
    <w:rsid w:val="00B52468"/>
    <w:rsid w:val="00B52741"/>
    <w:rsid w:val="00B528C9"/>
    <w:rsid w:val="00B52CC0"/>
    <w:rsid w:val="00B53214"/>
    <w:rsid w:val="00B532FC"/>
    <w:rsid w:val="00B534D5"/>
    <w:rsid w:val="00B541A6"/>
    <w:rsid w:val="00B543A3"/>
    <w:rsid w:val="00B550A5"/>
    <w:rsid w:val="00B552D3"/>
    <w:rsid w:val="00B560FA"/>
    <w:rsid w:val="00B5622A"/>
    <w:rsid w:val="00B566C0"/>
    <w:rsid w:val="00B56A10"/>
    <w:rsid w:val="00B56C66"/>
    <w:rsid w:val="00B57006"/>
    <w:rsid w:val="00B5725B"/>
    <w:rsid w:val="00B603F6"/>
    <w:rsid w:val="00B60C79"/>
    <w:rsid w:val="00B62674"/>
    <w:rsid w:val="00B62749"/>
    <w:rsid w:val="00B62B59"/>
    <w:rsid w:val="00B62EF5"/>
    <w:rsid w:val="00B62FC3"/>
    <w:rsid w:val="00B63E29"/>
    <w:rsid w:val="00B646DA"/>
    <w:rsid w:val="00B649A2"/>
    <w:rsid w:val="00B64F83"/>
    <w:rsid w:val="00B66823"/>
    <w:rsid w:val="00B66C0F"/>
    <w:rsid w:val="00B67023"/>
    <w:rsid w:val="00B6799A"/>
    <w:rsid w:val="00B701F1"/>
    <w:rsid w:val="00B70263"/>
    <w:rsid w:val="00B70339"/>
    <w:rsid w:val="00B70CD5"/>
    <w:rsid w:val="00B72432"/>
    <w:rsid w:val="00B73CFC"/>
    <w:rsid w:val="00B742D2"/>
    <w:rsid w:val="00B771D8"/>
    <w:rsid w:val="00B77487"/>
    <w:rsid w:val="00B802FA"/>
    <w:rsid w:val="00B808EC"/>
    <w:rsid w:val="00B811EA"/>
    <w:rsid w:val="00B81472"/>
    <w:rsid w:val="00B8157E"/>
    <w:rsid w:val="00B816E2"/>
    <w:rsid w:val="00B81B7E"/>
    <w:rsid w:val="00B822DF"/>
    <w:rsid w:val="00B822E0"/>
    <w:rsid w:val="00B824CA"/>
    <w:rsid w:val="00B82930"/>
    <w:rsid w:val="00B82F97"/>
    <w:rsid w:val="00B835DA"/>
    <w:rsid w:val="00B83B6A"/>
    <w:rsid w:val="00B83FC2"/>
    <w:rsid w:val="00B8401C"/>
    <w:rsid w:val="00B84192"/>
    <w:rsid w:val="00B8428E"/>
    <w:rsid w:val="00B848F6"/>
    <w:rsid w:val="00B84D08"/>
    <w:rsid w:val="00B8508D"/>
    <w:rsid w:val="00B854A5"/>
    <w:rsid w:val="00B854F6"/>
    <w:rsid w:val="00B85B75"/>
    <w:rsid w:val="00B85E19"/>
    <w:rsid w:val="00B86273"/>
    <w:rsid w:val="00B86620"/>
    <w:rsid w:val="00B872B0"/>
    <w:rsid w:val="00B8748A"/>
    <w:rsid w:val="00B8751F"/>
    <w:rsid w:val="00B90119"/>
    <w:rsid w:val="00B90182"/>
    <w:rsid w:val="00B90E10"/>
    <w:rsid w:val="00B910E9"/>
    <w:rsid w:val="00B9153E"/>
    <w:rsid w:val="00B9227F"/>
    <w:rsid w:val="00B92A42"/>
    <w:rsid w:val="00B92A6E"/>
    <w:rsid w:val="00B92B87"/>
    <w:rsid w:val="00B92EE7"/>
    <w:rsid w:val="00B931DE"/>
    <w:rsid w:val="00B932B9"/>
    <w:rsid w:val="00B939B7"/>
    <w:rsid w:val="00B93BBF"/>
    <w:rsid w:val="00B93D45"/>
    <w:rsid w:val="00B93DA9"/>
    <w:rsid w:val="00B93DDD"/>
    <w:rsid w:val="00B94795"/>
    <w:rsid w:val="00B947B6"/>
    <w:rsid w:val="00B94E25"/>
    <w:rsid w:val="00B94EF2"/>
    <w:rsid w:val="00B95210"/>
    <w:rsid w:val="00B956DD"/>
    <w:rsid w:val="00B95B9D"/>
    <w:rsid w:val="00B95F8F"/>
    <w:rsid w:val="00B96C0D"/>
    <w:rsid w:val="00B96D4C"/>
    <w:rsid w:val="00B96F75"/>
    <w:rsid w:val="00B97403"/>
    <w:rsid w:val="00B978D2"/>
    <w:rsid w:val="00B97F10"/>
    <w:rsid w:val="00BA04BC"/>
    <w:rsid w:val="00BA05EC"/>
    <w:rsid w:val="00BA08E7"/>
    <w:rsid w:val="00BA1BFF"/>
    <w:rsid w:val="00BA1DDB"/>
    <w:rsid w:val="00BA1EC4"/>
    <w:rsid w:val="00BA2C87"/>
    <w:rsid w:val="00BA2DC8"/>
    <w:rsid w:val="00BA2EEF"/>
    <w:rsid w:val="00BA32FE"/>
    <w:rsid w:val="00BA3670"/>
    <w:rsid w:val="00BA3AB4"/>
    <w:rsid w:val="00BA3E64"/>
    <w:rsid w:val="00BA41D8"/>
    <w:rsid w:val="00BA4556"/>
    <w:rsid w:val="00BA5914"/>
    <w:rsid w:val="00BA60D7"/>
    <w:rsid w:val="00BA6A7F"/>
    <w:rsid w:val="00BA6B18"/>
    <w:rsid w:val="00BA6BAA"/>
    <w:rsid w:val="00BA6E1A"/>
    <w:rsid w:val="00BA7431"/>
    <w:rsid w:val="00BA764C"/>
    <w:rsid w:val="00BB01A3"/>
    <w:rsid w:val="00BB041F"/>
    <w:rsid w:val="00BB0FDF"/>
    <w:rsid w:val="00BB17D3"/>
    <w:rsid w:val="00BB18E2"/>
    <w:rsid w:val="00BB19F0"/>
    <w:rsid w:val="00BB19F6"/>
    <w:rsid w:val="00BB2182"/>
    <w:rsid w:val="00BB29A3"/>
    <w:rsid w:val="00BB2BDD"/>
    <w:rsid w:val="00BB3A07"/>
    <w:rsid w:val="00BB4374"/>
    <w:rsid w:val="00BB4FED"/>
    <w:rsid w:val="00BB52E7"/>
    <w:rsid w:val="00BB57DC"/>
    <w:rsid w:val="00BB60FB"/>
    <w:rsid w:val="00BB647F"/>
    <w:rsid w:val="00BB746E"/>
    <w:rsid w:val="00BB78F4"/>
    <w:rsid w:val="00BC0360"/>
    <w:rsid w:val="00BC079C"/>
    <w:rsid w:val="00BC08F2"/>
    <w:rsid w:val="00BC13AB"/>
    <w:rsid w:val="00BC16AA"/>
    <w:rsid w:val="00BC1D04"/>
    <w:rsid w:val="00BC20DB"/>
    <w:rsid w:val="00BC229B"/>
    <w:rsid w:val="00BC243F"/>
    <w:rsid w:val="00BC24BE"/>
    <w:rsid w:val="00BC264E"/>
    <w:rsid w:val="00BC306F"/>
    <w:rsid w:val="00BC3CC7"/>
    <w:rsid w:val="00BC3EE1"/>
    <w:rsid w:val="00BC431B"/>
    <w:rsid w:val="00BC449A"/>
    <w:rsid w:val="00BC44A4"/>
    <w:rsid w:val="00BC4533"/>
    <w:rsid w:val="00BC4698"/>
    <w:rsid w:val="00BC4A96"/>
    <w:rsid w:val="00BC4E02"/>
    <w:rsid w:val="00BC5020"/>
    <w:rsid w:val="00BC5609"/>
    <w:rsid w:val="00BC56E2"/>
    <w:rsid w:val="00BC60A9"/>
    <w:rsid w:val="00BC64DD"/>
    <w:rsid w:val="00BC6638"/>
    <w:rsid w:val="00BC6696"/>
    <w:rsid w:val="00BC68F2"/>
    <w:rsid w:val="00BC694A"/>
    <w:rsid w:val="00BC6A8C"/>
    <w:rsid w:val="00BC764B"/>
    <w:rsid w:val="00BC7909"/>
    <w:rsid w:val="00BC795B"/>
    <w:rsid w:val="00BC79AD"/>
    <w:rsid w:val="00BC7BAA"/>
    <w:rsid w:val="00BD0F31"/>
    <w:rsid w:val="00BD11D1"/>
    <w:rsid w:val="00BD1369"/>
    <w:rsid w:val="00BD1D9B"/>
    <w:rsid w:val="00BD1EEE"/>
    <w:rsid w:val="00BD2A56"/>
    <w:rsid w:val="00BD2F47"/>
    <w:rsid w:val="00BD3830"/>
    <w:rsid w:val="00BD3C5E"/>
    <w:rsid w:val="00BD4016"/>
    <w:rsid w:val="00BD428A"/>
    <w:rsid w:val="00BD46F1"/>
    <w:rsid w:val="00BD4963"/>
    <w:rsid w:val="00BD4C77"/>
    <w:rsid w:val="00BD4DFF"/>
    <w:rsid w:val="00BD585C"/>
    <w:rsid w:val="00BD58FD"/>
    <w:rsid w:val="00BD5F2E"/>
    <w:rsid w:val="00BD62BE"/>
    <w:rsid w:val="00BD656B"/>
    <w:rsid w:val="00BD6592"/>
    <w:rsid w:val="00BD665C"/>
    <w:rsid w:val="00BD67B5"/>
    <w:rsid w:val="00BD7525"/>
    <w:rsid w:val="00BD7A6E"/>
    <w:rsid w:val="00BE05AF"/>
    <w:rsid w:val="00BE08AB"/>
    <w:rsid w:val="00BE102C"/>
    <w:rsid w:val="00BE1179"/>
    <w:rsid w:val="00BE1980"/>
    <w:rsid w:val="00BE1B7D"/>
    <w:rsid w:val="00BE2911"/>
    <w:rsid w:val="00BE2BF4"/>
    <w:rsid w:val="00BE2C9E"/>
    <w:rsid w:val="00BE312C"/>
    <w:rsid w:val="00BE3354"/>
    <w:rsid w:val="00BE4558"/>
    <w:rsid w:val="00BE4B95"/>
    <w:rsid w:val="00BE5032"/>
    <w:rsid w:val="00BE564C"/>
    <w:rsid w:val="00BE67F8"/>
    <w:rsid w:val="00BE6B3D"/>
    <w:rsid w:val="00BE714D"/>
    <w:rsid w:val="00BE72BE"/>
    <w:rsid w:val="00BE76BA"/>
    <w:rsid w:val="00BE76E8"/>
    <w:rsid w:val="00BE789D"/>
    <w:rsid w:val="00BE7924"/>
    <w:rsid w:val="00BE7940"/>
    <w:rsid w:val="00BE79E1"/>
    <w:rsid w:val="00BE7C24"/>
    <w:rsid w:val="00BF0135"/>
    <w:rsid w:val="00BF02C4"/>
    <w:rsid w:val="00BF0551"/>
    <w:rsid w:val="00BF055C"/>
    <w:rsid w:val="00BF0803"/>
    <w:rsid w:val="00BF0AB1"/>
    <w:rsid w:val="00BF0C11"/>
    <w:rsid w:val="00BF0F45"/>
    <w:rsid w:val="00BF1277"/>
    <w:rsid w:val="00BF141D"/>
    <w:rsid w:val="00BF1470"/>
    <w:rsid w:val="00BF164E"/>
    <w:rsid w:val="00BF1E58"/>
    <w:rsid w:val="00BF243C"/>
    <w:rsid w:val="00BF2AFB"/>
    <w:rsid w:val="00BF2FD5"/>
    <w:rsid w:val="00BF3225"/>
    <w:rsid w:val="00BF3BB0"/>
    <w:rsid w:val="00BF3BCB"/>
    <w:rsid w:val="00BF58FB"/>
    <w:rsid w:val="00BF59D8"/>
    <w:rsid w:val="00BF5A99"/>
    <w:rsid w:val="00BF5EFD"/>
    <w:rsid w:val="00BF646D"/>
    <w:rsid w:val="00BF76EC"/>
    <w:rsid w:val="00BF77E5"/>
    <w:rsid w:val="00BF79DD"/>
    <w:rsid w:val="00BF7EA4"/>
    <w:rsid w:val="00C004FE"/>
    <w:rsid w:val="00C00DAC"/>
    <w:rsid w:val="00C01221"/>
    <w:rsid w:val="00C012C4"/>
    <w:rsid w:val="00C0178D"/>
    <w:rsid w:val="00C01F0A"/>
    <w:rsid w:val="00C02224"/>
    <w:rsid w:val="00C03719"/>
    <w:rsid w:val="00C03921"/>
    <w:rsid w:val="00C03D1E"/>
    <w:rsid w:val="00C044C9"/>
    <w:rsid w:val="00C04519"/>
    <w:rsid w:val="00C045C6"/>
    <w:rsid w:val="00C0479E"/>
    <w:rsid w:val="00C04851"/>
    <w:rsid w:val="00C04BCD"/>
    <w:rsid w:val="00C04E03"/>
    <w:rsid w:val="00C04E27"/>
    <w:rsid w:val="00C0521C"/>
    <w:rsid w:val="00C055DA"/>
    <w:rsid w:val="00C058CE"/>
    <w:rsid w:val="00C0600F"/>
    <w:rsid w:val="00C06179"/>
    <w:rsid w:val="00C064D5"/>
    <w:rsid w:val="00C065B0"/>
    <w:rsid w:val="00C068B2"/>
    <w:rsid w:val="00C06F25"/>
    <w:rsid w:val="00C0725B"/>
    <w:rsid w:val="00C07708"/>
    <w:rsid w:val="00C07C65"/>
    <w:rsid w:val="00C101BE"/>
    <w:rsid w:val="00C10DAA"/>
    <w:rsid w:val="00C110C9"/>
    <w:rsid w:val="00C11512"/>
    <w:rsid w:val="00C115CA"/>
    <w:rsid w:val="00C11962"/>
    <w:rsid w:val="00C11DA0"/>
    <w:rsid w:val="00C12D1C"/>
    <w:rsid w:val="00C138C2"/>
    <w:rsid w:val="00C14430"/>
    <w:rsid w:val="00C1443B"/>
    <w:rsid w:val="00C146BD"/>
    <w:rsid w:val="00C14C3E"/>
    <w:rsid w:val="00C14D88"/>
    <w:rsid w:val="00C150A7"/>
    <w:rsid w:val="00C1510E"/>
    <w:rsid w:val="00C15974"/>
    <w:rsid w:val="00C15B29"/>
    <w:rsid w:val="00C15C0C"/>
    <w:rsid w:val="00C15C3F"/>
    <w:rsid w:val="00C15F8D"/>
    <w:rsid w:val="00C161A7"/>
    <w:rsid w:val="00C161DF"/>
    <w:rsid w:val="00C1642C"/>
    <w:rsid w:val="00C16E12"/>
    <w:rsid w:val="00C16E35"/>
    <w:rsid w:val="00C16EAC"/>
    <w:rsid w:val="00C177AC"/>
    <w:rsid w:val="00C179C5"/>
    <w:rsid w:val="00C20013"/>
    <w:rsid w:val="00C20D27"/>
    <w:rsid w:val="00C21EBA"/>
    <w:rsid w:val="00C22587"/>
    <w:rsid w:val="00C22610"/>
    <w:rsid w:val="00C2280B"/>
    <w:rsid w:val="00C228B7"/>
    <w:rsid w:val="00C238DE"/>
    <w:rsid w:val="00C23F2C"/>
    <w:rsid w:val="00C24553"/>
    <w:rsid w:val="00C24690"/>
    <w:rsid w:val="00C25195"/>
    <w:rsid w:val="00C252E0"/>
    <w:rsid w:val="00C256F3"/>
    <w:rsid w:val="00C25E11"/>
    <w:rsid w:val="00C261B1"/>
    <w:rsid w:val="00C26EB5"/>
    <w:rsid w:val="00C27289"/>
    <w:rsid w:val="00C27B49"/>
    <w:rsid w:val="00C27E18"/>
    <w:rsid w:val="00C27F31"/>
    <w:rsid w:val="00C27F46"/>
    <w:rsid w:val="00C3049F"/>
    <w:rsid w:val="00C304DF"/>
    <w:rsid w:val="00C307B8"/>
    <w:rsid w:val="00C30D73"/>
    <w:rsid w:val="00C31012"/>
    <w:rsid w:val="00C31345"/>
    <w:rsid w:val="00C32756"/>
    <w:rsid w:val="00C329C1"/>
    <w:rsid w:val="00C32D86"/>
    <w:rsid w:val="00C32E06"/>
    <w:rsid w:val="00C32F4D"/>
    <w:rsid w:val="00C33507"/>
    <w:rsid w:val="00C337BB"/>
    <w:rsid w:val="00C3403C"/>
    <w:rsid w:val="00C34855"/>
    <w:rsid w:val="00C35FEA"/>
    <w:rsid w:val="00C361A2"/>
    <w:rsid w:val="00C366F8"/>
    <w:rsid w:val="00C36A8B"/>
    <w:rsid w:val="00C3722C"/>
    <w:rsid w:val="00C37274"/>
    <w:rsid w:val="00C3744B"/>
    <w:rsid w:val="00C40266"/>
    <w:rsid w:val="00C403C3"/>
    <w:rsid w:val="00C41413"/>
    <w:rsid w:val="00C41887"/>
    <w:rsid w:val="00C419CD"/>
    <w:rsid w:val="00C41A6A"/>
    <w:rsid w:val="00C41A85"/>
    <w:rsid w:val="00C421F6"/>
    <w:rsid w:val="00C42C84"/>
    <w:rsid w:val="00C42D89"/>
    <w:rsid w:val="00C43D6B"/>
    <w:rsid w:val="00C4440D"/>
    <w:rsid w:val="00C44469"/>
    <w:rsid w:val="00C44E93"/>
    <w:rsid w:val="00C44F25"/>
    <w:rsid w:val="00C4535E"/>
    <w:rsid w:val="00C4591F"/>
    <w:rsid w:val="00C45CEC"/>
    <w:rsid w:val="00C45E0E"/>
    <w:rsid w:val="00C463CF"/>
    <w:rsid w:val="00C4663C"/>
    <w:rsid w:val="00C46654"/>
    <w:rsid w:val="00C4714F"/>
    <w:rsid w:val="00C47972"/>
    <w:rsid w:val="00C47FA7"/>
    <w:rsid w:val="00C504B5"/>
    <w:rsid w:val="00C511BC"/>
    <w:rsid w:val="00C51267"/>
    <w:rsid w:val="00C517B3"/>
    <w:rsid w:val="00C51DEF"/>
    <w:rsid w:val="00C51E30"/>
    <w:rsid w:val="00C520A5"/>
    <w:rsid w:val="00C521E3"/>
    <w:rsid w:val="00C5262C"/>
    <w:rsid w:val="00C53149"/>
    <w:rsid w:val="00C5366A"/>
    <w:rsid w:val="00C53683"/>
    <w:rsid w:val="00C53854"/>
    <w:rsid w:val="00C53FD4"/>
    <w:rsid w:val="00C5413A"/>
    <w:rsid w:val="00C54404"/>
    <w:rsid w:val="00C54482"/>
    <w:rsid w:val="00C545B4"/>
    <w:rsid w:val="00C54AED"/>
    <w:rsid w:val="00C54E0D"/>
    <w:rsid w:val="00C552B6"/>
    <w:rsid w:val="00C5533C"/>
    <w:rsid w:val="00C55589"/>
    <w:rsid w:val="00C56154"/>
    <w:rsid w:val="00C56172"/>
    <w:rsid w:val="00C56361"/>
    <w:rsid w:val="00C567BB"/>
    <w:rsid w:val="00C56821"/>
    <w:rsid w:val="00C56F11"/>
    <w:rsid w:val="00C57214"/>
    <w:rsid w:val="00C57819"/>
    <w:rsid w:val="00C60219"/>
    <w:rsid w:val="00C60560"/>
    <w:rsid w:val="00C605EE"/>
    <w:rsid w:val="00C60C19"/>
    <w:rsid w:val="00C60E04"/>
    <w:rsid w:val="00C60F51"/>
    <w:rsid w:val="00C61413"/>
    <w:rsid w:val="00C619C1"/>
    <w:rsid w:val="00C61B85"/>
    <w:rsid w:val="00C6211A"/>
    <w:rsid w:val="00C62275"/>
    <w:rsid w:val="00C62525"/>
    <w:rsid w:val="00C62636"/>
    <w:rsid w:val="00C6286B"/>
    <w:rsid w:val="00C632EE"/>
    <w:rsid w:val="00C63CBB"/>
    <w:rsid w:val="00C63E52"/>
    <w:rsid w:val="00C63E9F"/>
    <w:rsid w:val="00C63EE7"/>
    <w:rsid w:val="00C6429B"/>
    <w:rsid w:val="00C6453A"/>
    <w:rsid w:val="00C645F8"/>
    <w:rsid w:val="00C65595"/>
    <w:rsid w:val="00C658D4"/>
    <w:rsid w:val="00C66049"/>
    <w:rsid w:val="00C667C1"/>
    <w:rsid w:val="00C6698C"/>
    <w:rsid w:val="00C66A0D"/>
    <w:rsid w:val="00C66B84"/>
    <w:rsid w:val="00C67309"/>
    <w:rsid w:val="00C674C3"/>
    <w:rsid w:val="00C67DE2"/>
    <w:rsid w:val="00C707A5"/>
    <w:rsid w:val="00C713EE"/>
    <w:rsid w:val="00C728EE"/>
    <w:rsid w:val="00C72A05"/>
    <w:rsid w:val="00C72E07"/>
    <w:rsid w:val="00C73291"/>
    <w:rsid w:val="00C735CF"/>
    <w:rsid w:val="00C74143"/>
    <w:rsid w:val="00C7420B"/>
    <w:rsid w:val="00C74BC4"/>
    <w:rsid w:val="00C74F26"/>
    <w:rsid w:val="00C75147"/>
    <w:rsid w:val="00C753C6"/>
    <w:rsid w:val="00C762BC"/>
    <w:rsid w:val="00C76742"/>
    <w:rsid w:val="00C76C0C"/>
    <w:rsid w:val="00C76F23"/>
    <w:rsid w:val="00C77042"/>
    <w:rsid w:val="00C777BD"/>
    <w:rsid w:val="00C806CF"/>
    <w:rsid w:val="00C80CF7"/>
    <w:rsid w:val="00C8156C"/>
    <w:rsid w:val="00C81685"/>
    <w:rsid w:val="00C819F4"/>
    <w:rsid w:val="00C82B94"/>
    <w:rsid w:val="00C82F53"/>
    <w:rsid w:val="00C835E7"/>
    <w:rsid w:val="00C83C2D"/>
    <w:rsid w:val="00C84C7D"/>
    <w:rsid w:val="00C84DA5"/>
    <w:rsid w:val="00C865A0"/>
    <w:rsid w:val="00C86B23"/>
    <w:rsid w:val="00C86EFB"/>
    <w:rsid w:val="00C86FCA"/>
    <w:rsid w:val="00C87118"/>
    <w:rsid w:val="00C87330"/>
    <w:rsid w:val="00C875C6"/>
    <w:rsid w:val="00C877C1"/>
    <w:rsid w:val="00C87BBD"/>
    <w:rsid w:val="00C87EBC"/>
    <w:rsid w:val="00C90EDA"/>
    <w:rsid w:val="00C90FDD"/>
    <w:rsid w:val="00C9268F"/>
    <w:rsid w:val="00C926E3"/>
    <w:rsid w:val="00C927EA"/>
    <w:rsid w:val="00C9290B"/>
    <w:rsid w:val="00C92E82"/>
    <w:rsid w:val="00C93ED3"/>
    <w:rsid w:val="00C94AC8"/>
    <w:rsid w:val="00C950C1"/>
    <w:rsid w:val="00C953C2"/>
    <w:rsid w:val="00C95809"/>
    <w:rsid w:val="00C964BA"/>
    <w:rsid w:val="00C965FD"/>
    <w:rsid w:val="00C96E17"/>
    <w:rsid w:val="00C9760D"/>
    <w:rsid w:val="00C97621"/>
    <w:rsid w:val="00C97C8D"/>
    <w:rsid w:val="00CA03B1"/>
    <w:rsid w:val="00CA1916"/>
    <w:rsid w:val="00CA1F56"/>
    <w:rsid w:val="00CA21CB"/>
    <w:rsid w:val="00CA2854"/>
    <w:rsid w:val="00CA2938"/>
    <w:rsid w:val="00CA2DE7"/>
    <w:rsid w:val="00CA2EAD"/>
    <w:rsid w:val="00CA31B1"/>
    <w:rsid w:val="00CA3BDB"/>
    <w:rsid w:val="00CA417A"/>
    <w:rsid w:val="00CA4651"/>
    <w:rsid w:val="00CA4889"/>
    <w:rsid w:val="00CA4D0A"/>
    <w:rsid w:val="00CA4D67"/>
    <w:rsid w:val="00CA4EF7"/>
    <w:rsid w:val="00CA505B"/>
    <w:rsid w:val="00CA5331"/>
    <w:rsid w:val="00CA6D88"/>
    <w:rsid w:val="00CA73E4"/>
    <w:rsid w:val="00CA74A3"/>
    <w:rsid w:val="00CA7564"/>
    <w:rsid w:val="00CA7A86"/>
    <w:rsid w:val="00CB03C8"/>
    <w:rsid w:val="00CB09B0"/>
    <w:rsid w:val="00CB0F2F"/>
    <w:rsid w:val="00CB1820"/>
    <w:rsid w:val="00CB1AE4"/>
    <w:rsid w:val="00CB2CA6"/>
    <w:rsid w:val="00CB2D91"/>
    <w:rsid w:val="00CB38F0"/>
    <w:rsid w:val="00CB4A00"/>
    <w:rsid w:val="00CB4AF1"/>
    <w:rsid w:val="00CB4F18"/>
    <w:rsid w:val="00CB5F58"/>
    <w:rsid w:val="00CB6155"/>
    <w:rsid w:val="00CB65D1"/>
    <w:rsid w:val="00CB67E9"/>
    <w:rsid w:val="00CB6DDA"/>
    <w:rsid w:val="00CB7D3F"/>
    <w:rsid w:val="00CB7DB1"/>
    <w:rsid w:val="00CB7F99"/>
    <w:rsid w:val="00CC0996"/>
    <w:rsid w:val="00CC0D8C"/>
    <w:rsid w:val="00CC10F8"/>
    <w:rsid w:val="00CC1353"/>
    <w:rsid w:val="00CC150B"/>
    <w:rsid w:val="00CC1F9C"/>
    <w:rsid w:val="00CC2D87"/>
    <w:rsid w:val="00CC4019"/>
    <w:rsid w:val="00CC41C4"/>
    <w:rsid w:val="00CC4F2A"/>
    <w:rsid w:val="00CC5326"/>
    <w:rsid w:val="00CC5F6A"/>
    <w:rsid w:val="00CC61F6"/>
    <w:rsid w:val="00CC667A"/>
    <w:rsid w:val="00CC66BB"/>
    <w:rsid w:val="00CC6AA7"/>
    <w:rsid w:val="00CC6E0B"/>
    <w:rsid w:val="00CC6E4A"/>
    <w:rsid w:val="00CC6EE8"/>
    <w:rsid w:val="00CC7191"/>
    <w:rsid w:val="00CC7257"/>
    <w:rsid w:val="00CC7395"/>
    <w:rsid w:val="00CC7590"/>
    <w:rsid w:val="00CC759B"/>
    <w:rsid w:val="00CC7B53"/>
    <w:rsid w:val="00CC7F05"/>
    <w:rsid w:val="00CD059D"/>
    <w:rsid w:val="00CD0676"/>
    <w:rsid w:val="00CD15D5"/>
    <w:rsid w:val="00CD2553"/>
    <w:rsid w:val="00CD3B1E"/>
    <w:rsid w:val="00CD3BF5"/>
    <w:rsid w:val="00CD3E5E"/>
    <w:rsid w:val="00CD40EC"/>
    <w:rsid w:val="00CD4126"/>
    <w:rsid w:val="00CD419C"/>
    <w:rsid w:val="00CD45B2"/>
    <w:rsid w:val="00CD4C35"/>
    <w:rsid w:val="00CD565A"/>
    <w:rsid w:val="00CD5778"/>
    <w:rsid w:val="00CD57DB"/>
    <w:rsid w:val="00CD5EB3"/>
    <w:rsid w:val="00CD5EF7"/>
    <w:rsid w:val="00CD6C15"/>
    <w:rsid w:val="00CD7252"/>
    <w:rsid w:val="00CD74B9"/>
    <w:rsid w:val="00CD79B4"/>
    <w:rsid w:val="00CD79DF"/>
    <w:rsid w:val="00CD7A87"/>
    <w:rsid w:val="00CE0009"/>
    <w:rsid w:val="00CE0327"/>
    <w:rsid w:val="00CE045C"/>
    <w:rsid w:val="00CE0677"/>
    <w:rsid w:val="00CE09D9"/>
    <w:rsid w:val="00CE0C74"/>
    <w:rsid w:val="00CE0FB2"/>
    <w:rsid w:val="00CE1161"/>
    <w:rsid w:val="00CE1DF2"/>
    <w:rsid w:val="00CE2622"/>
    <w:rsid w:val="00CE30CF"/>
    <w:rsid w:val="00CE3D4C"/>
    <w:rsid w:val="00CE424E"/>
    <w:rsid w:val="00CE449A"/>
    <w:rsid w:val="00CE4828"/>
    <w:rsid w:val="00CE4E3F"/>
    <w:rsid w:val="00CE507E"/>
    <w:rsid w:val="00CE5B71"/>
    <w:rsid w:val="00CE647D"/>
    <w:rsid w:val="00CE6524"/>
    <w:rsid w:val="00CE6D15"/>
    <w:rsid w:val="00CE71D7"/>
    <w:rsid w:val="00CF0219"/>
    <w:rsid w:val="00CF034B"/>
    <w:rsid w:val="00CF0E4F"/>
    <w:rsid w:val="00CF1739"/>
    <w:rsid w:val="00CF1996"/>
    <w:rsid w:val="00CF1A87"/>
    <w:rsid w:val="00CF1DE1"/>
    <w:rsid w:val="00CF20CA"/>
    <w:rsid w:val="00CF2BF5"/>
    <w:rsid w:val="00CF2ED8"/>
    <w:rsid w:val="00CF302B"/>
    <w:rsid w:val="00CF37BA"/>
    <w:rsid w:val="00CF3A41"/>
    <w:rsid w:val="00CF3C26"/>
    <w:rsid w:val="00CF3C86"/>
    <w:rsid w:val="00CF3EFE"/>
    <w:rsid w:val="00CF44B0"/>
    <w:rsid w:val="00CF48BF"/>
    <w:rsid w:val="00CF5379"/>
    <w:rsid w:val="00CF5595"/>
    <w:rsid w:val="00CF60C8"/>
    <w:rsid w:val="00CF6165"/>
    <w:rsid w:val="00CF6517"/>
    <w:rsid w:val="00CF6776"/>
    <w:rsid w:val="00CF6946"/>
    <w:rsid w:val="00CF6BBF"/>
    <w:rsid w:val="00CF6C9F"/>
    <w:rsid w:val="00CF7164"/>
    <w:rsid w:val="00CF7622"/>
    <w:rsid w:val="00CF795B"/>
    <w:rsid w:val="00D004BD"/>
    <w:rsid w:val="00D00671"/>
    <w:rsid w:val="00D0068F"/>
    <w:rsid w:val="00D01314"/>
    <w:rsid w:val="00D015DD"/>
    <w:rsid w:val="00D01DEE"/>
    <w:rsid w:val="00D01E95"/>
    <w:rsid w:val="00D01F5A"/>
    <w:rsid w:val="00D020CA"/>
    <w:rsid w:val="00D02200"/>
    <w:rsid w:val="00D02453"/>
    <w:rsid w:val="00D02764"/>
    <w:rsid w:val="00D02CC7"/>
    <w:rsid w:val="00D02D5F"/>
    <w:rsid w:val="00D04AD8"/>
    <w:rsid w:val="00D055E3"/>
    <w:rsid w:val="00D05BBF"/>
    <w:rsid w:val="00D05BF0"/>
    <w:rsid w:val="00D05C94"/>
    <w:rsid w:val="00D06038"/>
    <w:rsid w:val="00D0619D"/>
    <w:rsid w:val="00D064EA"/>
    <w:rsid w:val="00D0677C"/>
    <w:rsid w:val="00D06B91"/>
    <w:rsid w:val="00D07237"/>
    <w:rsid w:val="00D07EA0"/>
    <w:rsid w:val="00D100EC"/>
    <w:rsid w:val="00D10445"/>
    <w:rsid w:val="00D10F68"/>
    <w:rsid w:val="00D11097"/>
    <w:rsid w:val="00D113E7"/>
    <w:rsid w:val="00D114EF"/>
    <w:rsid w:val="00D1214D"/>
    <w:rsid w:val="00D12475"/>
    <w:rsid w:val="00D12725"/>
    <w:rsid w:val="00D13422"/>
    <w:rsid w:val="00D137BF"/>
    <w:rsid w:val="00D142C5"/>
    <w:rsid w:val="00D144B0"/>
    <w:rsid w:val="00D14722"/>
    <w:rsid w:val="00D14CD3"/>
    <w:rsid w:val="00D14F71"/>
    <w:rsid w:val="00D1546F"/>
    <w:rsid w:val="00D159BE"/>
    <w:rsid w:val="00D166E9"/>
    <w:rsid w:val="00D16C50"/>
    <w:rsid w:val="00D179C4"/>
    <w:rsid w:val="00D17A95"/>
    <w:rsid w:val="00D17C41"/>
    <w:rsid w:val="00D17D99"/>
    <w:rsid w:val="00D20595"/>
    <w:rsid w:val="00D20E50"/>
    <w:rsid w:val="00D21609"/>
    <w:rsid w:val="00D21EAF"/>
    <w:rsid w:val="00D21F6A"/>
    <w:rsid w:val="00D227A5"/>
    <w:rsid w:val="00D22C07"/>
    <w:rsid w:val="00D23F61"/>
    <w:rsid w:val="00D24159"/>
    <w:rsid w:val="00D245A6"/>
    <w:rsid w:val="00D24738"/>
    <w:rsid w:val="00D25870"/>
    <w:rsid w:val="00D25F39"/>
    <w:rsid w:val="00D26F56"/>
    <w:rsid w:val="00D27893"/>
    <w:rsid w:val="00D27A42"/>
    <w:rsid w:val="00D30408"/>
    <w:rsid w:val="00D30418"/>
    <w:rsid w:val="00D309F6"/>
    <w:rsid w:val="00D3154B"/>
    <w:rsid w:val="00D31752"/>
    <w:rsid w:val="00D31E6E"/>
    <w:rsid w:val="00D321E0"/>
    <w:rsid w:val="00D3223C"/>
    <w:rsid w:val="00D32C07"/>
    <w:rsid w:val="00D331FC"/>
    <w:rsid w:val="00D33D23"/>
    <w:rsid w:val="00D33D2D"/>
    <w:rsid w:val="00D33DEE"/>
    <w:rsid w:val="00D33F28"/>
    <w:rsid w:val="00D34011"/>
    <w:rsid w:val="00D3439E"/>
    <w:rsid w:val="00D34724"/>
    <w:rsid w:val="00D3629F"/>
    <w:rsid w:val="00D3640B"/>
    <w:rsid w:val="00D36BB0"/>
    <w:rsid w:val="00D36DB6"/>
    <w:rsid w:val="00D371EC"/>
    <w:rsid w:val="00D37C70"/>
    <w:rsid w:val="00D37C8E"/>
    <w:rsid w:val="00D37E9D"/>
    <w:rsid w:val="00D40DD3"/>
    <w:rsid w:val="00D41B63"/>
    <w:rsid w:val="00D41F6F"/>
    <w:rsid w:val="00D42005"/>
    <w:rsid w:val="00D42097"/>
    <w:rsid w:val="00D420D5"/>
    <w:rsid w:val="00D4266E"/>
    <w:rsid w:val="00D433C1"/>
    <w:rsid w:val="00D43A01"/>
    <w:rsid w:val="00D43A3C"/>
    <w:rsid w:val="00D43A6B"/>
    <w:rsid w:val="00D4472F"/>
    <w:rsid w:val="00D44D07"/>
    <w:rsid w:val="00D44D4D"/>
    <w:rsid w:val="00D45171"/>
    <w:rsid w:val="00D456D8"/>
    <w:rsid w:val="00D45D43"/>
    <w:rsid w:val="00D461B3"/>
    <w:rsid w:val="00D4679E"/>
    <w:rsid w:val="00D46A4A"/>
    <w:rsid w:val="00D46FE1"/>
    <w:rsid w:val="00D47598"/>
    <w:rsid w:val="00D475A8"/>
    <w:rsid w:val="00D478F8"/>
    <w:rsid w:val="00D47B1E"/>
    <w:rsid w:val="00D47DD5"/>
    <w:rsid w:val="00D503A5"/>
    <w:rsid w:val="00D5056D"/>
    <w:rsid w:val="00D50F23"/>
    <w:rsid w:val="00D512C7"/>
    <w:rsid w:val="00D5170A"/>
    <w:rsid w:val="00D5173A"/>
    <w:rsid w:val="00D51762"/>
    <w:rsid w:val="00D51EEA"/>
    <w:rsid w:val="00D5257A"/>
    <w:rsid w:val="00D527EC"/>
    <w:rsid w:val="00D5342F"/>
    <w:rsid w:val="00D5385E"/>
    <w:rsid w:val="00D53D6E"/>
    <w:rsid w:val="00D54242"/>
    <w:rsid w:val="00D5427A"/>
    <w:rsid w:val="00D54B28"/>
    <w:rsid w:val="00D54D4C"/>
    <w:rsid w:val="00D554F4"/>
    <w:rsid w:val="00D55F55"/>
    <w:rsid w:val="00D55F83"/>
    <w:rsid w:val="00D5617B"/>
    <w:rsid w:val="00D56906"/>
    <w:rsid w:val="00D56E79"/>
    <w:rsid w:val="00D57316"/>
    <w:rsid w:val="00D57335"/>
    <w:rsid w:val="00D57AEC"/>
    <w:rsid w:val="00D6026B"/>
    <w:rsid w:val="00D60EE5"/>
    <w:rsid w:val="00D61167"/>
    <w:rsid w:val="00D617DA"/>
    <w:rsid w:val="00D621E9"/>
    <w:rsid w:val="00D63108"/>
    <w:rsid w:val="00D63415"/>
    <w:rsid w:val="00D63650"/>
    <w:rsid w:val="00D63987"/>
    <w:rsid w:val="00D63DFC"/>
    <w:rsid w:val="00D642A9"/>
    <w:rsid w:val="00D64443"/>
    <w:rsid w:val="00D64BE7"/>
    <w:rsid w:val="00D652E3"/>
    <w:rsid w:val="00D655D4"/>
    <w:rsid w:val="00D662AB"/>
    <w:rsid w:val="00D66CDD"/>
    <w:rsid w:val="00D67268"/>
    <w:rsid w:val="00D67628"/>
    <w:rsid w:val="00D67752"/>
    <w:rsid w:val="00D677D3"/>
    <w:rsid w:val="00D70554"/>
    <w:rsid w:val="00D70614"/>
    <w:rsid w:val="00D7091F"/>
    <w:rsid w:val="00D70938"/>
    <w:rsid w:val="00D70EEC"/>
    <w:rsid w:val="00D71CA0"/>
    <w:rsid w:val="00D72E4A"/>
    <w:rsid w:val="00D7304B"/>
    <w:rsid w:val="00D73422"/>
    <w:rsid w:val="00D739F2"/>
    <w:rsid w:val="00D74364"/>
    <w:rsid w:val="00D74D56"/>
    <w:rsid w:val="00D75613"/>
    <w:rsid w:val="00D75740"/>
    <w:rsid w:val="00D75A63"/>
    <w:rsid w:val="00D75BB4"/>
    <w:rsid w:val="00D767A5"/>
    <w:rsid w:val="00D769EC"/>
    <w:rsid w:val="00D76BBF"/>
    <w:rsid w:val="00D77003"/>
    <w:rsid w:val="00D773BC"/>
    <w:rsid w:val="00D77687"/>
    <w:rsid w:val="00D77BC3"/>
    <w:rsid w:val="00D77D68"/>
    <w:rsid w:val="00D80F6F"/>
    <w:rsid w:val="00D8155C"/>
    <w:rsid w:val="00D816F9"/>
    <w:rsid w:val="00D8170E"/>
    <w:rsid w:val="00D821C2"/>
    <w:rsid w:val="00D826C7"/>
    <w:rsid w:val="00D82A69"/>
    <w:rsid w:val="00D82C4D"/>
    <w:rsid w:val="00D82CC1"/>
    <w:rsid w:val="00D82EEC"/>
    <w:rsid w:val="00D83B23"/>
    <w:rsid w:val="00D83D37"/>
    <w:rsid w:val="00D8457E"/>
    <w:rsid w:val="00D8488B"/>
    <w:rsid w:val="00D851C8"/>
    <w:rsid w:val="00D856D0"/>
    <w:rsid w:val="00D857F3"/>
    <w:rsid w:val="00D859E4"/>
    <w:rsid w:val="00D85BB7"/>
    <w:rsid w:val="00D85BFC"/>
    <w:rsid w:val="00D85F8C"/>
    <w:rsid w:val="00D85F90"/>
    <w:rsid w:val="00D860C6"/>
    <w:rsid w:val="00D86655"/>
    <w:rsid w:val="00D87145"/>
    <w:rsid w:val="00D87790"/>
    <w:rsid w:val="00D87D1E"/>
    <w:rsid w:val="00D87D5F"/>
    <w:rsid w:val="00D9006E"/>
    <w:rsid w:val="00D904AC"/>
    <w:rsid w:val="00D905DF"/>
    <w:rsid w:val="00D90D9B"/>
    <w:rsid w:val="00D9146A"/>
    <w:rsid w:val="00D91F99"/>
    <w:rsid w:val="00D92708"/>
    <w:rsid w:val="00D929AB"/>
    <w:rsid w:val="00D92F1F"/>
    <w:rsid w:val="00D92F8D"/>
    <w:rsid w:val="00D930B6"/>
    <w:rsid w:val="00D935E4"/>
    <w:rsid w:val="00D93728"/>
    <w:rsid w:val="00D9407E"/>
    <w:rsid w:val="00D9433C"/>
    <w:rsid w:val="00D94557"/>
    <w:rsid w:val="00D953E2"/>
    <w:rsid w:val="00D96432"/>
    <w:rsid w:val="00D96BA5"/>
    <w:rsid w:val="00D9727A"/>
    <w:rsid w:val="00DA0BA6"/>
    <w:rsid w:val="00DA0C73"/>
    <w:rsid w:val="00DA1C9E"/>
    <w:rsid w:val="00DA23CD"/>
    <w:rsid w:val="00DA2976"/>
    <w:rsid w:val="00DA2E00"/>
    <w:rsid w:val="00DA3620"/>
    <w:rsid w:val="00DA388A"/>
    <w:rsid w:val="00DA3EC9"/>
    <w:rsid w:val="00DA4383"/>
    <w:rsid w:val="00DA49BF"/>
    <w:rsid w:val="00DA6245"/>
    <w:rsid w:val="00DA6440"/>
    <w:rsid w:val="00DA654B"/>
    <w:rsid w:val="00DA6917"/>
    <w:rsid w:val="00DA76C8"/>
    <w:rsid w:val="00DA7D79"/>
    <w:rsid w:val="00DA7E93"/>
    <w:rsid w:val="00DA7EDE"/>
    <w:rsid w:val="00DA7F4F"/>
    <w:rsid w:val="00DB0BFA"/>
    <w:rsid w:val="00DB0E5D"/>
    <w:rsid w:val="00DB156E"/>
    <w:rsid w:val="00DB19DB"/>
    <w:rsid w:val="00DB1F4C"/>
    <w:rsid w:val="00DB2287"/>
    <w:rsid w:val="00DB229A"/>
    <w:rsid w:val="00DB2309"/>
    <w:rsid w:val="00DB26E4"/>
    <w:rsid w:val="00DB39F6"/>
    <w:rsid w:val="00DB4109"/>
    <w:rsid w:val="00DB4159"/>
    <w:rsid w:val="00DB4C00"/>
    <w:rsid w:val="00DB5281"/>
    <w:rsid w:val="00DB677D"/>
    <w:rsid w:val="00DB67D5"/>
    <w:rsid w:val="00DB68D6"/>
    <w:rsid w:val="00DB698D"/>
    <w:rsid w:val="00DB6D89"/>
    <w:rsid w:val="00DB7D77"/>
    <w:rsid w:val="00DC01C9"/>
    <w:rsid w:val="00DC07DD"/>
    <w:rsid w:val="00DC0931"/>
    <w:rsid w:val="00DC0C3A"/>
    <w:rsid w:val="00DC1860"/>
    <w:rsid w:val="00DC1C6E"/>
    <w:rsid w:val="00DC21AB"/>
    <w:rsid w:val="00DC2268"/>
    <w:rsid w:val="00DC22B0"/>
    <w:rsid w:val="00DC22EB"/>
    <w:rsid w:val="00DC230A"/>
    <w:rsid w:val="00DC2491"/>
    <w:rsid w:val="00DC2676"/>
    <w:rsid w:val="00DC32C3"/>
    <w:rsid w:val="00DC3638"/>
    <w:rsid w:val="00DC38F9"/>
    <w:rsid w:val="00DC3CF1"/>
    <w:rsid w:val="00DC42CC"/>
    <w:rsid w:val="00DC4979"/>
    <w:rsid w:val="00DC5200"/>
    <w:rsid w:val="00DC5316"/>
    <w:rsid w:val="00DC54F3"/>
    <w:rsid w:val="00DC5EB4"/>
    <w:rsid w:val="00DC5F4C"/>
    <w:rsid w:val="00DC5FE9"/>
    <w:rsid w:val="00DC61AE"/>
    <w:rsid w:val="00DC6353"/>
    <w:rsid w:val="00DC6B16"/>
    <w:rsid w:val="00DC71FE"/>
    <w:rsid w:val="00DC7B0C"/>
    <w:rsid w:val="00DD024E"/>
    <w:rsid w:val="00DD085B"/>
    <w:rsid w:val="00DD0FDA"/>
    <w:rsid w:val="00DD20C9"/>
    <w:rsid w:val="00DD213B"/>
    <w:rsid w:val="00DD2259"/>
    <w:rsid w:val="00DD22D4"/>
    <w:rsid w:val="00DD303D"/>
    <w:rsid w:val="00DD3863"/>
    <w:rsid w:val="00DD3C42"/>
    <w:rsid w:val="00DD3C7B"/>
    <w:rsid w:val="00DD3F4F"/>
    <w:rsid w:val="00DD4583"/>
    <w:rsid w:val="00DD4755"/>
    <w:rsid w:val="00DD48F3"/>
    <w:rsid w:val="00DD4C44"/>
    <w:rsid w:val="00DD4C73"/>
    <w:rsid w:val="00DD51DD"/>
    <w:rsid w:val="00DD61CF"/>
    <w:rsid w:val="00DD7187"/>
    <w:rsid w:val="00DD7F4E"/>
    <w:rsid w:val="00DE011F"/>
    <w:rsid w:val="00DE01BB"/>
    <w:rsid w:val="00DE11AB"/>
    <w:rsid w:val="00DE12AB"/>
    <w:rsid w:val="00DE12D6"/>
    <w:rsid w:val="00DE1A72"/>
    <w:rsid w:val="00DE24F8"/>
    <w:rsid w:val="00DE25BF"/>
    <w:rsid w:val="00DE2628"/>
    <w:rsid w:val="00DE2717"/>
    <w:rsid w:val="00DE3832"/>
    <w:rsid w:val="00DE3E2D"/>
    <w:rsid w:val="00DE4043"/>
    <w:rsid w:val="00DE4674"/>
    <w:rsid w:val="00DE5B4B"/>
    <w:rsid w:val="00DE618C"/>
    <w:rsid w:val="00DE6B34"/>
    <w:rsid w:val="00DE7591"/>
    <w:rsid w:val="00DF121B"/>
    <w:rsid w:val="00DF1952"/>
    <w:rsid w:val="00DF21DA"/>
    <w:rsid w:val="00DF21F4"/>
    <w:rsid w:val="00DF2257"/>
    <w:rsid w:val="00DF2686"/>
    <w:rsid w:val="00DF2990"/>
    <w:rsid w:val="00DF30FF"/>
    <w:rsid w:val="00DF3265"/>
    <w:rsid w:val="00DF3989"/>
    <w:rsid w:val="00DF3AD4"/>
    <w:rsid w:val="00DF3EA8"/>
    <w:rsid w:val="00DF4209"/>
    <w:rsid w:val="00DF4530"/>
    <w:rsid w:val="00DF47F6"/>
    <w:rsid w:val="00DF5977"/>
    <w:rsid w:val="00DF5983"/>
    <w:rsid w:val="00DF65C7"/>
    <w:rsid w:val="00DF6974"/>
    <w:rsid w:val="00DF7581"/>
    <w:rsid w:val="00DF7F9A"/>
    <w:rsid w:val="00E009D5"/>
    <w:rsid w:val="00E00A69"/>
    <w:rsid w:val="00E00F66"/>
    <w:rsid w:val="00E0105E"/>
    <w:rsid w:val="00E0139C"/>
    <w:rsid w:val="00E017A8"/>
    <w:rsid w:val="00E01809"/>
    <w:rsid w:val="00E02524"/>
    <w:rsid w:val="00E025E4"/>
    <w:rsid w:val="00E02A71"/>
    <w:rsid w:val="00E03896"/>
    <w:rsid w:val="00E0392D"/>
    <w:rsid w:val="00E04364"/>
    <w:rsid w:val="00E04704"/>
    <w:rsid w:val="00E057DC"/>
    <w:rsid w:val="00E05CDB"/>
    <w:rsid w:val="00E05F42"/>
    <w:rsid w:val="00E0608E"/>
    <w:rsid w:val="00E067AE"/>
    <w:rsid w:val="00E068C6"/>
    <w:rsid w:val="00E0714A"/>
    <w:rsid w:val="00E071FF"/>
    <w:rsid w:val="00E07A00"/>
    <w:rsid w:val="00E07F68"/>
    <w:rsid w:val="00E07F99"/>
    <w:rsid w:val="00E10494"/>
    <w:rsid w:val="00E10625"/>
    <w:rsid w:val="00E10C3E"/>
    <w:rsid w:val="00E10D0E"/>
    <w:rsid w:val="00E113B8"/>
    <w:rsid w:val="00E11414"/>
    <w:rsid w:val="00E1149F"/>
    <w:rsid w:val="00E12010"/>
    <w:rsid w:val="00E1213D"/>
    <w:rsid w:val="00E123D7"/>
    <w:rsid w:val="00E12610"/>
    <w:rsid w:val="00E12949"/>
    <w:rsid w:val="00E1383A"/>
    <w:rsid w:val="00E15325"/>
    <w:rsid w:val="00E15476"/>
    <w:rsid w:val="00E158B9"/>
    <w:rsid w:val="00E15BD5"/>
    <w:rsid w:val="00E1600B"/>
    <w:rsid w:val="00E16178"/>
    <w:rsid w:val="00E165C2"/>
    <w:rsid w:val="00E16BBF"/>
    <w:rsid w:val="00E16ED7"/>
    <w:rsid w:val="00E17016"/>
    <w:rsid w:val="00E200F4"/>
    <w:rsid w:val="00E20469"/>
    <w:rsid w:val="00E20821"/>
    <w:rsid w:val="00E2157A"/>
    <w:rsid w:val="00E218AC"/>
    <w:rsid w:val="00E218E2"/>
    <w:rsid w:val="00E2196C"/>
    <w:rsid w:val="00E21EB3"/>
    <w:rsid w:val="00E22261"/>
    <w:rsid w:val="00E222C3"/>
    <w:rsid w:val="00E232E7"/>
    <w:rsid w:val="00E233F4"/>
    <w:rsid w:val="00E23CEA"/>
    <w:rsid w:val="00E23D3E"/>
    <w:rsid w:val="00E23E16"/>
    <w:rsid w:val="00E241C1"/>
    <w:rsid w:val="00E2501F"/>
    <w:rsid w:val="00E2554F"/>
    <w:rsid w:val="00E2597D"/>
    <w:rsid w:val="00E259C2"/>
    <w:rsid w:val="00E260D6"/>
    <w:rsid w:val="00E263E0"/>
    <w:rsid w:val="00E2644F"/>
    <w:rsid w:val="00E271CD"/>
    <w:rsid w:val="00E303D1"/>
    <w:rsid w:val="00E3068E"/>
    <w:rsid w:val="00E30A7C"/>
    <w:rsid w:val="00E30BF7"/>
    <w:rsid w:val="00E30D99"/>
    <w:rsid w:val="00E31110"/>
    <w:rsid w:val="00E3141D"/>
    <w:rsid w:val="00E315C2"/>
    <w:rsid w:val="00E31B51"/>
    <w:rsid w:val="00E31B8D"/>
    <w:rsid w:val="00E325E5"/>
    <w:rsid w:val="00E32D01"/>
    <w:rsid w:val="00E32EA7"/>
    <w:rsid w:val="00E32F06"/>
    <w:rsid w:val="00E32FEB"/>
    <w:rsid w:val="00E336C7"/>
    <w:rsid w:val="00E33A27"/>
    <w:rsid w:val="00E33E22"/>
    <w:rsid w:val="00E3414D"/>
    <w:rsid w:val="00E34642"/>
    <w:rsid w:val="00E34750"/>
    <w:rsid w:val="00E34762"/>
    <w:rsid w:val="00E348BD"/>
    <w:rsid w:val="00E34972"/>
    <w:rsid w:val="00E34E45"/>
    <w:rsid w:val="00E34ED1"/>
    <w:rsid w:val="00E34F61"/>
    <w:rsid w:val="00E35595"/>
    <w:rsid w:val="00E36193"/>
    <w:rsid w:val="00E36BB5"/>
    <w:rsid w:val="00E36DD0"/>
    <w:rsid w:val="00E37212"/>
    <w:rsid w:val="00E378DA"/>
    <w:rsid w:val="00E4021F"/>
    <w:rsid w:val="00E404E2"/>
    <w:rsid w:val="00E40F27"/>
    <w:rsid w:val="00E41197"/>
    <w:rsid w:val="00E416C3"/>
    <w:rsid w:val="00E41831"/>
    <w:rsid w:val="00E41B7F"/>
    <w:rsid w:val="00E42F87"/>
    <w:rsid w:val="00E42FE9"/>
    <w:rsid w:val="00E4310A"/>
    <w:rsid w:val="00E437EF"/>
    <w:rsid w:val="00E4432C"/>
    <w:rsid w:val="00E44BA6"/>
    <w:rsid w:val="00E4518F"/>
    <w:rsid w:val="00E4531F"/>
    <w:rsid w:val="00E4549F"/>
    <w:rsid w:val="00E455A8"/>
    <w:rsid w:val="00E45940"/>
    <w:rsid w:val="00E45CEC"/>
    <w:rsid w:val="00E460F2"/>
    <w:rsid w:val="00E4683A"/>
    <w:rsid w:val="00E46DD0"/>
    <w:rsid w:val="00E471E6"/>
    <w:rsid w:val="00E479CB"/>
    <w:rsid w:val="00E47C24"/>
    <w:rsid w:val="00E50957"/>
    <w:rsid w:val="00E5166B"/>
    <w:rsid w:val="00E5166C"/>
    <w:rsid w:val="00E51B52"/>
    <w:rsid w:val="00E526FD"/>
    <w:rsid w:val="00E52D1C"/>
    <w:rsid w:val="00E52F1D"/>
    <w:rsid w:val="00E533D0"/>
    <w:rsid w:val="00E53C9B"/>
    <w:rsid w:val="00E54175"/>
    <w:rsid w:val="00E546D9"/>
    <w:rsid w:val="00E54C7F"/>
    <w:rsid w:val="00E550DB"/>
    <w:rsid w:val="00E55A2F"/>
    <w:rsid w:val="00E55C1A"/>
    <w:rsid w:val="00E55F1F"/>
    <w:rsid w:val="00E56589"/>
    <w:rsid w:val="00E5667C"/>
    <w:rsid w:val="00E56D12"/>
    <w:rsid w:val="00E56DEE"/>
    <w:rsid w:val="00E5743B"/>
    <w:rsid w:val="00E57AEA"/>
    <w:rsid w:val="00E6029A"/>
    <w:rsid w:val="00E6034B"/>
    <w:rsid w:val="00E60557"/>
    <w:rsid w:val="00E607AF"/>
    <w:rsid w:val="00E62390"/>
    <w:rsid w:val="00E62B8E"/>
    <w:rsid w:val="00E62D82"/>
    <w:rsid w:val="00E6309E"/>
    <w:rsid w:val="00E637E1"/>
    <w:rsid w:val="00E63DA4"/>
    <w:rsid w:val="00E646C9"/>
    <w:rsid w:val="00E64732"/>
    <w:rsid w:val="00E64E1E"/>
    <w:rsid w:val="00E654FE"/>
    <w:rsid w:val="00E659DD"/>
    <w:rsid w:val="00E65AB4"/>
    <w:rsid w:val="00E65D4A"/>
    <w:rsid w:val="00E66111"/>
    <w:rsid w:val="00E670D3"/>
    <w:rsid w:val="00E67304"/>
    <w:rsid w:val="00E67E57"/>
    <w:rsid w:val="00E67FBF"/>
    <w:rsid w:val="00E702DF"/>
    <w:rsid w:val="00E71049"/>
    <w:rsid w:val="00E7155B"/>
    <w:rsid w:val="00E72573"/>
    <w:rsid w:val="00E72B60"/>
    <w:rsid w:val="00E72D6D"/>
    <w:rsid w:val="00E72D97"/>
    <w:rsid w:val="00E736D0"/>
    <w:rsid w:val="00E7376C"/>
    <w:rsid w:val="00E73FA8"/>
    <w:rsid w:val="00E74102"/>
    <w:rsid w:val="00E74167"/>
    <w:rsid w:val="00E74281"/>
    <w:rsid w:val="00E743BD"/>
    <w:rsid w:val="00E7443F"/>
    <w:rsid w:val="00E7491C"/>
    <w:rsid w:val="00E751A9"/>
    <w:rsid w:val="00E76198"/>
    <w:rsid w:val="00E769C4"/>
    <w:rsid w:val="00E76A4C"/>
    <w:rsid w:val="00E775D4"/>
    <w:rsid w:val="00E77855"/>
    <w:rsid w:val="00E77A18"/>
    <w:rsid w:val="00E77AF2"/>
    <w:rsid w:val="00E804B0"/>
    <w:rsid w:val="00E80622"/>
    <w:rsid w:val="00E80740"/>
    <w:rsid w:val="00E815CD"/>
    <w:rsid w:val="00E817C7"/>
    <w:rsid w:val="00E8180C"/>
    <w:rsid w:val="00E81A57"/>
    <w:rsid w:val="00E81DE6"/>
    <w:rsid w:val="00E824EE"/>
    <w:rsid w:val="00E8295D"/>
    <w:rsid w:val="00E82A7E"/>
    <w:rsid w:val="00E82CBB"/>
    <w:rsid w:val="00E83C52"/>
    <w:rsid w:val="00E83CAF"/>
    <w:rsid w:val="00E83F18"/>
    <w:rsid w:val="00E85358"/>
    <w:rsid w:val="00E85CA5"/>
    <w:rsid w:val="00E85EDE"/>
    <w:rsid w:val="00E861A1"/>
    <w:rsid w:val="00E8629C"/>
    <w:rsid w:val="00E86371"/>
    <w:rsid w:val="00E8638F"/>
    <w:rsid w:val="00E86A47"/>
    <w:rsid w:val="00E87C27"/>
    <w:rsid w:val="00E87C87"/>
    <w:rsid w:val="00E87F25"/>
    <w:rsid w:val="00E90706"/>
    <w:rsid w:val="00E90926"/>
    <w:rsid w:val="00E90C9B"/>
    <w:rsid w:val="00E91161"/>
    <w:rsid w:val="00E91B34"/>
    <w:rsid w:val="00E9215C"/>
    <w:rsid w:val="00E92515"/>
    <w:rsid w:val="00E9268A"/>
    <w:rsid w:val="00E9269B"/>
    <w:rsid w:val="00E92D30"/>
    <w:rsid w:val="00E93408"/>
    <w:rsid w:val="00E93712"/>
    <w:rsid w:val="00E93B86"/>
    <w:rsid w:val="00E93BE8"/>
    <w:rsid w:val="00E93DFA"/>
    <w:rsid w:val="00E94BD5"/>
    <w:rsid w:val="00E9536A"/>
    <w:rsid w:val="00E95889"/>
    <w:rsid w:val="00E958F5"/>
    <w:rsid w:val="00E95AAC"/>
    <w:rsid w:val="00E95C1F"/>
    <w:rsid w:val="00E95D01"/>
    <w:rsid w:val="00E9614E"/>
    <w:rsid w:val="00EA0388"/>
    <w:rsid w:val="00EA079D"/>
    <w:rsid w:val="00EA0BE6"/>
    <w:rsid w:val="00EA0D36"/>
    <w:rsid w:val="00EA13B2"/>
    <w:rsid w:val="00EA2173"/>
    <w:rsid w:val="00EA27F7"/>
    <w:rsid w:val="00EA2EB2"/>
    <w:rsid w:val="00EA37A0"/>
    <w:rsid w:val="00EA3D9F"/>
    <w:rsid w:val="00EA4065"/>
    <w:rsid w:val="00EA40F4"/>
    <w:rsid w:val="00EA474F"/>
    <w:rsid w:val="00EA4798"/>
    <w:rsid w:val="00EA4ADD"/>
    <w:rsid w:val="00EA5177"/>
    <w:rsid w:val="00EA51E8"/>
    <w:rsid w:val="00EA524B"/>
    <w:rsid w:val="00EA5378"/>
    <w:rsid w:val="00EA537E"/>
    <w:rsid w:val="00EA5883"/>
    <w:rsid w:val="00EA609B"/>
    <w:rsid w:val="00EA6FBB"/>
    <w:rsid w:val="00EA7542"/>
    <w:rsid w:val="00EB059C"/>
    <w:rsid w:val="00EB073E"/>
    <w:rsid w:val="00EB0905"/>
    <w:rsid w:val="00EB1176"/>
    <w:rsid w:val="00EB1D28"/>
    <w:rsid w:val="00EB2965"/>
    <w:rsid w:val="00EB2F5E"/>
    <w:rsid w:val="00EB35C0"/>
    <w:rsid w:val="00EB3812"/>
    <w:rsid w:val="00EB3B09"/>
    <w:rsid w:val="00EB51D6"/>
    <w:rsid w:val="00EB557D"/>
    <w:rsid w:val="00EB619E"/>
    <w:rsid w:val="00EB67DD"/>
    <w:rsid w:val="00EB6E64"/>
    <w:rsid w:val="00EB6F3E"/>
    <w:rsid w:val="00EB7272"/>
    <w:rsid w:val="00EB7B15"/>
    <w:rsid w:val="00EB7C81"/>
    <w:rsid w:val="00EB7CD8"/>
    <w:rsid w:val="00EC008B"/>
    <w:rsid w:val="00EC020E"/>
    <w:rsid w:val="00EC0A77"/>
    <w:rsid w:val="00EC0EDB"/>
    <w:rsid w:val="00EC1055"/>
    <w:rsid w:val="00EC116F"/>
    <w:rsid w:val="00EC1530"/>
    <w:rsid w:val="00EC1588"/>
    <w:rsid w:val="00EC159D"/>
    <w:rsid w:val="00EC15E5"/>
    <w:rsid w:val="00EC163D"/>
    <w:rsid w:val="00EC27C7"/>
    <w:rsid w:val="00EC2C05"/>
    <w:rsid w:val="00EC33EC"/>
    <w:rsid w:val="00EC3497"/>
    <w:rsid w:val="00EC3FC6"/>
    <w:rsid w:val="00EC4313"/>
    <w:rsid w:val="00EC488A"/>
    <w:rsid w:val="00EC4EA4"/>
    <w:rsid w:val="00EC5142"/>
    <w:rsid w:val="00EC55AA"/>
    <w:rsid w:val="00EC612F"/>
    <w:rsid w:val="00EC6806"/>
    <w:rsid w:val="00EC684B"/>
    <w:rsid w:val="00EC6D87"/>
    <w:rsid w:val="00EC7641"/>
    <w:rsid w:val="00EC7D58"/>
    <w:rsid w:val="00EC7F19"/>
    <w:rsid w:val="00ED022D"/>
    <w:rsid w:val="00ED0609"/>
    <w:rsid w:val="00ED0BEF"/>
    <w:rsid w:val="00ED1C39"/>
    <w:rsid w:val="00ED1D57"/>
    <w:rsid w:val="00ED1DD5"/>
    <w:rsid w:val="00ED22A9"/>
    <w:rsid w:val="00ED2440"/>
    <w:rsid w:val="00ED31A6"/>
    <w:rsid w:val="00ED31DD"/>
    <w:rsid w:val="00ED35B8"/>
    <w:rsid w:val="00ED378F"/>
    <w:rsid w:val="00ED3D0E"/>
    <w:rsid w:val="00ED40BA"/>
    <w:rsid w:val="00ED47BD"/>
    <w:rsid w:val="00ED59A7"/>
    <w:rsid w:val="00ED5AF7"/>
    <w:rsid w:val="00ED64EF"/>
    <w:rsid w:val="00ED6AB3"/>
    <w:rsid w:val="00ED74DA"/>
    <w:rsid w:val="00ED79CB"/>
    <w:rsid w:val="00EE008B"/>
    <w:rsid w:val="00EE086E"/>
    <w:rsid w:val="00EE096B"/>
    <w:rsid w:val="00EE0B2D"/>
    <w:rsid w:val="00EE0BA4"/>
    <w:rsid w:val="00EE189E"/>
    <w:rsid w:val="00EE1A5D"/>
    <w:rsid w:val="00EE21A7"/>
    <w:rsid w:val="00EE2473"/>
    <w:rsid w:val="00EE32CE"/>
    <w:rsid w:val="00EE32F8"/>
    <w:rsid w:val="00EE339D"/>
    <w:rsid w:val="00EE3663"/>
    <w:rsid w:val="00EE36EB"/>
    <w:rsid w:val="00EE3AD0"/>
    <w:rsid w:val="00EE51FE"/>
    <w:rsid w:val="00EE53A8"/>
    <w:rsid w:val="00EE58BD"/>
    <w:rsid w:val="00EE616E"/>
    <w:rsid w:val="00EE676F"/>
    <w:rsid w:val="00EE6993"/>
    <w:rsid w:val="00EE6A41"/>
    <w:rsid w:val="00EE6BB0"/>
    <w:rsid w:val="00EE6D78"/>
    <w:rsid w:val="00EE6DBB"/>
    <w:rsid w:val="00EE6DE6"/>
    <w:rsid w:val="00EE7207"/>
    <w:rsid w:val="00EE76A8"/>
    <w:rsid w:val="00EE7E49"/>
    <w:rsid w:val="00EF06CE"/>
    <w:rsid w:val="00EF094A"/>
    <w:rsid w:val="00EF1392"/>
    <w:rsid w:val="00EF156D"/>
    <w:rsid w:val="00EF17B8"/>
    <w:rsid w:val="00EF18D9"/>
    <w:rsid w:val="00EF19B4"/>
    <w:rsid w:val="00EF200D"/>
    <w:rsid w:val="00EF22F1"/>
    <w:rsid w:val="00EF2685"/>
    <w:rsid w:val="00EF2F71"/>
    <w:rsid w:val="00EF30BD"/>
    <w:rsid w:val="00EF344D"/>
    <w:rsid w:val="00EF3592"/>
    <w:rsid w:val="00EF45A0"/>
    <w:rsid w:val="00EF4F82"/>
    <w:rsid w:val="00EF4FBD"/>
    <w:rsid w:val="00EF5ED6"/>
    <w:rsid w:val="00EF60E5"/>
    <w:rsid w:val="00EF6459"/>
    <w:rsid w:val="00EF67FB"/>
    <w:rsid w:val="00EF6D18"/>
    <w:rsid w:val="00EF6D89"/>
    <w:rsid w:val="00EF7064"/>
    <w:rsid w:val="00EF7EC0"/>
    <w:rsid w:val="00EF7EF2"/>
    <w:rsid w:val="00F0012E"/>
    <w:rsid w:val="00F010F7"/>
    <w:rsid w:val="00F01311"/>
    <w:rsid w:val="00F01889"/>
    <w:rsid w:val="00F01913"/>
    <w:rsid w:val="00F01A76"/>
    <w:rsid w:val="00F01F55"/>
    <w:rsid w:val="00F01FF3"/>
    <w:rsid w:val="00F02398"/>
    <w:rsid w:val="00F023DA"/>
    <w:rsid w:val="00F02F81"/>
    <w:rsid w:val="00F030F5"/>
    <w:rsid w:val="00F036C1"/>
    <w:rsid w:val="00F03CBE"/>
    <w:rsid w:val="00F03FC6"/>
    <w:rsid w:val="00F040BA"/>
    <w:rsid w:val="00F042A6"/>
    <w:rsid w:val="00F045D1"/>
    <w:rsid w:val="00F04811"/>
    <w:rsid w:val="00F04948"/>
    <w:rsid w:val="00F05312"/>
    <w:rsid w:val="00F058E7"/>
    <w:rsid w:val="00F0685A"/>
    <w:rsid w:val="00F06B26"/>
    <w:rsid w:val="00F07A7D"/>
    <w:rsid w:val="00F07B50"/>
    <w:rsid w:val="00F1108E"/>
    <w:rsid w:val="00F1117F"/>
    <w:rsid w:val="00F1167D"/>
    <w:rsid w:val="00F123FB"/>
    <w:rsid w:val="00F124B5"/>
    <w:rsid w:val="00F12820"/>
    <w:rsid w:val="00F12B17"/>
    <w:rsid w:val="00F12FD8"/>
    <w:rsid w:val="00F1308E"/>
    <w:rsid w:val="00F13310"/>
    <w:rsid w:val="00F136B7"/>
    <w:rsid w:val="00F13C0A"/>
    <w:rsid w:val="00F13D31"/>
    <w:rsid w:val="00F1488B"/>
    <w:rsid w:val="00F14948"/>
    <w:rsid w:val="00F14AB4"/>
    <w:rsid w:val="00F14E45"/>
    <w:rsid w:val="00F1581C"/>
    <w:rsid w:val="00F15EF1"/>
    <w:rsid w:val="00F1651A"/>
    <w:rsid w:val="00F1651B"/>
    <w:rsid w:val="00F16F0C"/>
    <w:rsid w:val="00F174FE"/>
    <w:rsid w:val="00F17970"/>
    <w:rsid w:val="00F2077D"/>
    <w:rsid w:val="00F20796"/>
    <w:rsid w:val="00F2087C"/>
    <w:rsid w:val="00F20CC5"/>
    <w:rsid w:val="00F20EB6"/>
    <w:rsid w:val="00F215D5"/>
    <w:rsid w:val="00F21BF4"/>
    <w:rsid w:val="00F21D8E"/>
    <w:rsid w:val="00F21F39"/>
    <w:rsid w:val="00F22163"/>
    <w:rsid w:val="00F2216E"/>
    <w:rsid w:val="00F221E9"/>
    <w:rsid w:val="00F22221"/>
    <w:rsid w:val="00F2273D"/>
    <w:rsid w:val="00F2293D"/>
    <w:rsid w:val="00F22BD1"/>
    <w:rsid w:val="00F22DFB"/>
    <w:rsid w:val="00F22F4D"/>
    <w:rsid w:val="00F2305B"/>
    <w:rsid w:val="00F23237"/>
    <w:rsid w:val="00F23EE4"/>
    <w:rsid w:val="00F25211"/>
    <w:rsid w:val="00F2536B"/>
    <w:rsid w:val="00F25894"/>
    <w:rsid w:val="00F25C8D"/>
    <w:rsid w:val="00F262E5"/>
    <w:rsid w:val="00F26A07"/>
    <w:rsid w:val="00F26D3D"/>
    <w:rsid w:val="00F2724A"/>
    <w:rsid w:val="00F277EB"/>
    <w:rsid w:val="00F308BF"/>
    <w:rsid w:val="00F3102D"/>
    <w:rsid w:val="00F3176C"/>
    <w:rsid w:val="00F31ACF"/>
    <w:rsid w:val="00F31C04"/>
    <w:rsid w:val="00F31E82"/>
    <w:rsid w:val="00F31FE3"/>
    <w:rsid w:val="00F320D4"/>
    <w:rsid w:val="00F32176"/>
    <w:rsid w:val="00F322B3"/>
    <w:rsid w:val="00F325AF"/>
    <w:rsid w:val="00F3264E"/>
    <w:rsid w:val="00F32F2A"/>
    <w:rsid w:val="00F32F33"/>
    <w:rsid w:val="00F330B5"/>
    <w:rsid w:val="00F3312E"/>
    <w:rsid w:val="00F341AC"/>
    <w:rsid w:val="00F34237"/>
    <w:rsid w:val="00F3438F"/>
    <w:rsid w:val="00F35141"/>
    <w:rsid w:val="00F35167"/>
    <w:rsid w:val="00F355D0"/>
    <w:rsid w:val="00F3579D"/>
    <w:rsid w:val="00F36046"/>
    <w:rsid w:val="00F36729"/>
    <w:rsid w:val="00F36DB2"/>
    <w:rsid w:val="00F36EE8"/>
    <w:rsid w:val="00F36F3F"/>
    <w:rsid w:val="00F372D4"/>
    <w:rsid w:val="00F376A3"/>
    <w:rsid w:val="00F40929"/>
    <w:rsid w:val="00F40D70"/>
    <w:rsid w:val="00F413BE"/>
    <w:rsid w:val="00F42372"/>
    <w:rsid w:val="00F424AF"/>
    <w:rsid w:val="00F42899"/>
    <w:rsid w:val="00F42B31"/>
    <w:rsid w:val="00F43560"/>
    <w:rsid w:val="00F4376D"/>
    <w:rsid w:val="00F43781"/>
    <w:rsid w:val="00F439CE"/>
    <w:rsid w:val="00F4401D"/>
    <w:rsid w:val="00F4423C"/>
    <w:rsid w:val="00F44936"/>
    <w:rsid w:val="00F455B1"/>
    <w:rsid w:val="00F456A8"/>
    <w:rsid w:val="00F45C24"/>
    <w:rsid w:val="00F45E0B"/>
    <w:rsid w:val="00F460AD"/>
    <w:rsid w:val="00F469CF"/>
    <w:rsid w:val="00F46D77"/>
    <w:rsid w:val="00F46F02"/>
    <w:rsid w:val="00F47141"/>
    <w:rsid w:val="00F47D16"/>
    <w:rsid w:val="00F47DDA"/>
    <w:rsid w:val="00F50BF1"/>
    <w:rsid w:val="00F50C19"/>
    <w:rsid w:val="00F50CD6"/>
    <w:rsid w:val="00F50E31"/>
    <w:rsid w:val="00F510B4"/>
    <w:rsid w:val="00F512A8"/>
    <w:rsid w:val="00F51324"/>
    <w:rsid w:val="00F51847"/>
    <w:rsid w:val="00F51C1B"/>
    <w:rsid w:val="00F52433"/>
    <w:rsid w:val="00F52C88"/>
    <w:rsid w:val="00F53C9E"/>
    <w:rsid w:val="00F54E69"/>
    <w:rsid w:val="00F55336"/>
    <w:rsid w:val="00F557F2"/>
    <w:rsid w:val="00F55AC0"/>
    <w:rsid w:val="00F55B92"/>
    <w:rsid w:val="00F55EAC"/>
    <w:rsid w:val="00F5615C"/>
    <w:rsid w:val="00F56A10"/>
    <w:rsid w:val="00F56BA5"/>
    <w:rsid w:val="00F56D56"/>
    <w:rsid w:val="00F5730F"/>
    <w:rsid w:val="00F57624"/>
    <w:rsid w:val="00F57B95"/>
    <w:rsid w:val="00F57BED"/>
    <w:rsid w:val="00F6040D"/>
    <w:rsid w:val="00F6057C"/>
    <w:rsid w:val="00F60996"/>
    <w:rsid w:val="00F60FB1"/>
    <w:rsid w:val="00F6105A"/>
    <w:rsid w:val="00F61CD4"/>
    <w:rsid w:val="00F62025"/>
    <w:rsid w:val="00F6214F"/>
    <w:rsid w:val="00F62183"/>
    <w:rsid w:val="00F6305C"/>
    <w:rsid w:val="00F63640"/>
    <w:rsid w:val="00F636C1"/>
    <w:rsid w:val="00F64699"/>
    <w:rsid w:val="00F64D91"/>
    <w:rsid w:val="00F65176"/>
    <w:rsid w:val="00F651B1"/>
    <w:rsid w:val="00F65909"/>
    <w:rsid w:val="00F659FA"/>
    <w:rsid w:val="00F6657D"/>
    <w:rsid w:val="00F66C06"/>
    <w:rsid w:val="00F66E51"/>
    <w:rsid w:val="00F66F2E"/>
    <w:rsid w:val="00F67082"/>
    <w:rsid w:val="00F670AD"/>
    <w:rsid w:val="00F67454"/>
    <w:rsid w:val="00F67D3F"/>
    <w:rsid w:val="00F67E24"/>
    <w:rsid w:val="00F67EFE"/>
    <w:rsid w:val="00F70800"/>
    <w:rsid w:val="00F70D7D"/>
    <w:rsid w:val="00F71006"/>
    <w:rsid w:val="00F72DC7"/>
    <w:rsid w:val="00F72E77"/>
    <w:rsid w:val="00F732A3"/>
    <w:rsid w:val="00F73F90"/>
    <w:rsid w:val="00F7421E"/>
    <w:rsid w:val="00F744CF"/>
    <w:rsid w:val="00F746D0"/>
    <w:rsid w:val="00F749C4"/>
    <w:rsid w:val="00F74ED5"/>
    <w:rsid w:val="00F74F67"/>
    <w:rsid w:val="00F75FD6"/>
    <w:rsid w:val="00F7666B"/>
    <w:rsid w:val="00F766CB"/>
    <w:rsid w:val="00F76B3B"/>
    <w:rsid w:val="00F779FB"/>
    <w:rsid w:val="00F77EA6"/>
    <w:rsid w:val="00F77FA7"/>
    <w:rsid w:val="00F80953"/>
    <w:rsid w:val="00F81639"/>
    <w:rsid w:val="00F81B4A"/>
    <w:rsid w:val="00F82494"/>
    <w:rsid w:val="00F82A48"/>
    <w:rsid w:val="00F8409C"/>
    <w:rsid w:val="00F84E19"/>
    <w:rsid w:val="00F84FCD"/>
    <w:rsid w:val="00F8537F"/>
    <w:rsid w:val="00F856A5"/>
    <w:rsid w:val="00F856B9"/>
    <w:rsid w:val="00F856D0"/>
    <w:rsid w:val="00F85B66"/>
    <w:rsid w:val="00F85C5D"/>
    <w:rsid w:val="00F85CFF"/>
    <w:rsid w:val="00F871C0"/>
    <w:rsid w:val="00F87B59"/>
    <w:rsid w:val="00F87F85"/>
    <w:rsid w:val="00F91428"/>
    <w:rsid w:val="00F91B18"/>
    <w:rsid w:val="00F91F2F"/>
    <w:rsid w:val="00F925D5"/>
    <w:rsid w:val="00F92F5A"/>
    <w:rsid w:val="00F9440D"/>
    <w:rsid w:val="00F94759"/>
    <w:rsid w:val="00F952AA"/>
    <w:rsid w:val="00F95963"/>
    <w:rsid w:val="00F95B48"/>
    <w:rsid w:val="00F9798E"/>
    <w:rsid w:val="00F979FE"/>
    <w:rsid w:val="00F97BD9"/>
    <w:rsid w:val="00FA04A3"/>
    <w:rsid w:val="00FA05BD"/>
    <w:rsid w:val="00FA1210"/>
    <w:rsid w:val="00FA1719"/>
    <w:rsid w:val="00FA1923"/>
    <w:rsid w:val="00FA29E7"/>
    <w:rsid w:val="00FA2F3C"/>
    <w:rsid w:val="00FA38E2"/>
    <w:rsid w:val="00FA5155"/>
    <w:rsid w:val="00FA52E1"/>
    <w:rsid w:val="00FA5833"/>
    <w:rsid w:val="00FA62EE"/>
    <w:rsid w:val="00FA697F"/>
    <w:rsid w:val="00FA6A30"/>
    <w:rsid w:val="00FA6AED"/>
    <w:rsid w:val="00FA704F"/>
    <w:rsid w:val="00FA7AC4"/>
    <w:rsid w:val="00FA7CC5"/>
    <w:rsid w:val="00FB0CE2"/>
    <w:rsid w:val="00FB0E55"/>
    <w:rsid w:val="00FB1CC6"/>
    <w:rsid w:val="00FB294F"/>
    <w:rsid w:val="00FB2F11"/>
    <w:rsid w:val="00FB33B7"/>
    <w:rsid w:val="00FB3C06"/>
    <w:rsid w:val="00FB4392"/>
    <w:rsid w:val="00FB4742"/>
    <w:rsid w:val="00FB48D0"/>
    <w:rsid w:val="00FB4D72"/>
    <w:rsid w:val="00FB5149"/>
    <w:rsid w:val="00FB520F"/>
    <w:rsid w:val="00FB590F"/>
    <w:rsid w:val="00FB5FE9"/>
    <w:rsid w:val="00FB625E"/>
    <w:rsid w:val="00FB643A"/>
    <w:rsid w:val="00FB66B5"/>
    <w:rsid w:val="00FB6A89"/>
    <w:rsid w:val="00FC0E2E"/>
    <w:rsid w:val="00FC1702"/>
    <w:rsid w:val="00FC1901"/>
    <w:rsid w:val="00FC19C0"/>
    <w:rsid w:val="00FC2063"/>
    <w:rsid w:val="00FC241B"/>
    <w:rsid w:val="00FC2990"/>
    <w:rsid w:val="00FC33C4"/>
    <w:rsid w:val="00FC3A29"/>
    <w:rsid w:val="00FC3FF7"/>
    <w:rsid w:val="00FC4086"/>
    <w:rsid w:val="00FC437D"/>
    <w:rsid w:val="00FC4A33"/>
    <w:rsid w:val="00FC4C4A"/>
    <w:rsid w:val="00FC4C9E"/>
    <w:rsid w:val="00FC4D8C"/>
    <w:rsid w:val="00FC568E"/>
    <w:rsid w:val="00FC5729"/>
    <w:rsid w:val="00FC6248"/>
    <w:rsid w:val="00FC6AE2"/>
    <w:rsid w:val="00FC6B42"/>
    <w:rsid w:val="00FC6EA7"/>
    <w:rsid w:val="00FC7F54"/>
    <w:rsid w:val="00FD08B4"/>
    <w:rsid w:val="00FD09DA"/>
    <w:rsid w:val="00FD0B04"/>
    <w:rsid w:val="00FD1404"/>
    <w:rsid w:val="00FD152F"/>
    <w:rsid w:val="00FD1766"/>
    <w:rsid w:val="00FD1916"/>
    <w:rsid w:val="00FD3120"/>
    <w:rsid w:val="00FD317C"/>
    <w:rsid w:val="00FD3B05"/>
    <w:rsid w:val="00FD4BE6"/>
    <w:rsid w:val="00FD5CEC"/>
    <w:rsid w:val="00FD6206"/>
    <w:rsid w:val="00FD6B79"/>
    <w:rsid w:val="00FD6C39"/>
    <w:rsid w:val="00FD6D56"/>
    <w:rsid w:val="00FD71BD"/>
    <w:rsid w:val="00FD74DC"/>
    <w:rsid w:val="00FD78D0"/>
    <w:rsid w:val="00FD78EF"/>
    <w:rsid w:val="00FD7FDE"/>
    <w:rsid w:val="00FE01AC"/>
    <w:rsid w:val="00FE0C21"/>
    <w:rsid w:val="00FE10F8"/>
    <w:rsid w:val="00FE15BB"/>
    <w:rsid w:val="00FE1D71"/>
    <w:rsid w:val="00FE2AB1"/>
    <w:rsid w:val="00FE2CE3"/>
    <w:rsid w:val="00FE4087"/>
    <w:rsid w:val="00FE4A9B"/>
    <w:rsid w:val="00FE4B36"/>
    <w:rsid w:val="00FE506B"/>
    <w:rsid w:val="00FE5612"/>
    <w:rsid w:val="00FE5E9A"/>
    <w:rsid w:val="00FE5EF0"/>
    <w:rsid w:val="00FE6018"/>
    <w:rsid w:val="00FE62A7"/>
    <w:rsid w:val="00FE6E3C"/>
    <w:rsid w:val="00FE7BEC"/>
    <w:rsid w:val="00FF0D55"/>
    <w:rsid w:val="00FF1270"/>
    <w:rsid w:val="00FF169E"/>
    <w:rsid w:val="00FF2038"/>
    <w:rsid w:val="00FF21D6"/>
    <w:rsid w:val="00FF2792"/>
    <w:rsid w:val="00FF30B0"/>
    <w:rsid w:val="00FF326E"/>
    <w:rsid w:val="00FF3459"/>
    <w:rsid w:val="00FF39A8"/>
    <w:rsid w:val="00FF3CE0"/>
    <w:rsid w:val="00FF4539"/>
    <w:rsid w:val="00FF4995"/>
    <w:rsid w:val="00FF4D99"/>
    <w:rsid w:val="00FF5088"/>
    <w:rsid w:val="00FF5D5C"/>
    <w:rsid w:val="00FF617B"/>
    <w:rsid w:val="00FF67B2"/>
    <w:rsid w:val="00FF67F6"/>
    <w:rsid w:val="00FF6D6B"/>
    <w:rsid w:val="00FF6EC8"/>
    <w:rsid w:val="00FF7B29"/>
    <w:rsid w:val="00FF7C67"/>
    <w:rsid w:val="00FF7D2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aab0f0,#aad3f2"/>
    </o:shapedefaults>
    <o:shapelayout v:ext="edit">
      <o:idmap v:ext="edit" data="1"/>
    </o:shapelayout>
  </w:shapeDefaults>
  <w:decimalSymbol w:val=","/>
  <w:listSeparator w:val=";"/>
  <w14:docId w14:val="7FDCF967"/>
  <w15:docId w15:val="{BE332E64-E123-4859-B79D-5AE803B4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7191"/>
    <w:pPr>
      <w:spacing w:after="200" w:line="276" w:lineRule="auto"/>
    </w:pPr>
    <w:rPr>
      <w:sz w:val="22"/>
      <w:szCs w:val="22"/>
    </w:rPr>
  </w:style>
  <w:style w:type="paragraph" w:styleId="Nadpis1">
    <w:name w:val="heading 1"/>
    <w:basedOn w:val="Normlny"/>
    <w:next w:val="Normlny"/>
    <w:link w:val="Nadpis1Char"/>
    <w:uiPriority w:val="9"/>
    <w:qFormat/>
    <w:rsid w:val="008670F2"/>
    <w:pPr>
      <w:keepNext/>
      <w:keepLines/>
      <w:spacing w:before="480" w:after="0"/>
      <w:outlineLvl w:val="0"/>
    </w:pPr>
    <w:rPr>
      <w:rFonts w:asciiTheme="majorHAnsi" w:eastAsiaTheme="majorEastAsia" w:hAnsiTheme="majorHAnsi" w:cstheme="majorBidi"/>
      <w:b/>
      <w:bCs/>
      <w:color w:val="2C9ADC"/>
      <w:sz w:val="28"/>
      <w:szCs w:val="28"/>
    </w:rPr>
  </w:style>
  <w:style w:type="paragraph" w:styleId="Nadpis2">
    <w:name w:val="heading 2"/>
    <w:basedOn w:val="Normlny"/>
    <w:next w:val="Normlny"/>
    <w:link w:val="Nadpis2Char"/>
    <w:uiPriority w:val="9"/>
    <w:unhideWhenUsed/>
    <w:qFormat/>
    <w:rsid w:val="008670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81DE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2761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9C4001"/>
    <w:pPr>
      <w:keepNext/>
      <w:keepLines/>
      <w:spacing w:before="40" w:after="0"/>
      <w:outlineLvl w:val="4"/>
    </w:pPr>
    <w:rPr>
      <w:rFonts w:asciiTheme="majorHAnsi" w:eastAsiaTheme="majorEastAsia" w:hAnsiTheme="majorHAnsi" w:cstheme="majorBidi"/>
      <w:color w:val="365F91" w:themeColor="accent1" w:themeShade="BF"/>
    </w:rPr>
  </w:style>
  <w:style w:type="paragraph" w:styleId="Nadpis7">
    <w:name w:val="heading 7"/>
    <w:basedOn w:val="Odsekzoznamu"/>
    <w:next w:val="Normlny"/>
    <w:link w:val="Nadpis7Char"/>
    <w:uiPriority w:val="9"/>
    <w:qFormat/>
    <w:rsid w:val="00EC6D87"/>
    <w:pPr>
      <w:numPr>
        <w:ilvl w:val="1"/>
        <w:numId w:val="2"/>
      </w:numPr>
      <w:tabs>
        <w:tab w:val="left" w:pos="426"/>
      </w:tabs>
      <w:ind w:left="284" w:hanging="284"/>
      <w:outlineLvl w:val="6"/>
    </w:pPr>
    <w:rPr>
      <w:rFonts w:ascii="Arial Narrow" w:hAnsi="Arial Narrow"/>
      <w:b/>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670F2"/>
    <w:rPr>
      <w:rFonts w:asciiTheme="majorHAnsi" w:eastAsiaTheme="majorEastAsia" w:hAnsiTheme="majorHAnsi" w:cstheme="majorBidi"/>
      <w:b/>
      <w:bCs/>
      <w:color w:val="2C9ADC"/>
      <w:sz w:val="28"/>
      <w:szCs w:val="28"/>
    </w:rPr>
  </w:style>
  <w:style w:type="character" w:customStyle="1" w:styleId="Nadpis2Char">
    <w:name w:val="Nadpis 2 Char"/>
    <w:basedOn w:val="Predvolenpsmoodseku"/>
    <w:link w:val="Nadpis2"/>
    <w:uiPriority w:val="9"/>
    <w:rsid w:val="008670F2"/>
    <w:rPr>
      <w:rFonts w:asciiTheme="majorHAnsi" w:eastAsiaTheme="majorEastAsia" w:hAnsiTheme="majorHAnsi" w:cstheme="majorBidi"/>
      <w:b/>
      <w:bCs/>
      <w:color w:val="4F81BD" w:themeColor="accent1"/>
      <w:sz w:val="26"/>
      <w:szCs w:val="26"/>
    </w:rPr>
  </w:style>
  <w:style w:type="paragraph" w:styleId="Hlavika">
    <w:name w:val="header"/>
    <w:basedOn w:val="Normlny"/>
    <w:link w:val="HlavikaChar"/>
    <w:uiPriority w:val="99"/>
    <w:unhideWhenUsed/>
    <w:rsid w:val="005B2D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B2D07"/>
    <w:rPr>
      <w:sz w:val="22"/>
      <w:szCs w:val="22"/>
    </w:rPr>
  </w:style>
  <w:style w:type="paragraph" w:styleId="Pta">
    <w:name w:val="footer"/>
    <w:basedOn w:val="Normlny"/>
    <w:link w:val="PtaChar"/>
    <w:uiPriority w:val="99"/>
    <w:unhideWhenUsed/>
    <w:rsid w:val="005B2D07"/>
    <w:pPr>
      <w:tabs>
        <w:tab w:val="center" w:pos="4536"/>
        <w:tab w:val="right" w:pos="9072"/>
      </w:tabs>
      <w:spacing w:after="0" w:line="240" w:lineRule="auto"/>
    </w:pPr>
  </w:style>
  <w:style w:type="character" w:customStyle="1" w:styleId="PtaChar">
    <w:name w:val="Päta Char"/>
    <w:basedOn w:val="Predvolenpsmoodseku"/>
    <w:link w:val="Pta"/>
    <w:uiPriority w:val="99"/>
    <w:rsid w:val="005B2D07"/>
    <w:rPr>
      <w:sz w:val="22"/>
      <w:szCs w:val="22"/>
    </w:rPr>
  </w:style>
  <w:style w:type="paragraph" w:styleId="Textbubliny">
    <w:name w:val="Balloon Text"/>
    <w:basedOn w:val="Normlny"/>
    <w:link w:val="TextbublinyChar"/>
    <w:uiPriority w:val="99"/>
    <w:semiHidden/>
    <w:unhideWhenUsed/>
    <w:rsid w:val="00C9762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7621"/>
    <w:rPr>
      <w:rFonts w:ascii="Tahoma" w:hAnsi="Tahoma" w:cs="Tahoma"/>
      <w:sz w:val="16"/>
      <w:szCs w:val="16"/>
    </w:rPr>
  </w:style>
  <w:style w:type="paragraph" w:styleId="Hlavikaobsahu">
    <w:name w:val="TOC Heading"/>
    <w:basedOn w:val="Nadpis1"/>
    <w:next w:val="Normlny"/>
    <w:uiPriority w:val="39"/>
    <w:unhideWhenUsed/>
    <w:qFormat/>
    <w:rsid w:val="00D371EC"/>
    <w:pPr>
      <w:outlineLvl w:val="9"/>
    </w:pPr>
    <w:rPr>
      <w:color w:val="365F91" w:themeColor="accent1" w:themeShade="BF"/>
      <w:lang w:eastAsia="en-US"/>
    </w:rPr>
  </w:style>
  <w:style w:type="paragraph" w:styleId="Obsah1">
    <w:name w:val="toc 1"/>
    <w:basedOn w:val="Normlny"/>
    <w:next w:val="Normlny"/>
    <w:autoRedefine/>
    <w:uiPriority w:val="39"/>
    <w:unhideWhenUsed/>
    <w:rsid w:val="0089051B"/>
    <w:pPr>
      <w:tabs>
        <w:tab w:val="left" w:pos="284"/>
        <w:tab w:val="right" w:leader="dot" w:pos="8550"/>
      </w:tabs>
      <w:spacing w:after="120" w:line="240" w:lineRule="auto"/>
    </w:pPr>
    <w:rPr>
      <w:rFonts w:ascii="NeueHaasGroteskDisp W02 Bd" w:hAnsi="NeueHaasGroteskDisp W02 Bd"/>
      <w:noProof/>
    </w:rPr>
  </w:style>
  <w:style w:type="paragraph" w:styleId="Obsah2">
    <w:name w:val="toc 2"/>
    <w:basedOn w:val="Normlny"/>
    <w:next w:val="Normlny"/>
    <w:autoRedefine/>
    <w:uiPriority w:val="39"/>
    <w:unhideWhenUsed/>
    <w:rsid w:val="00CD6C15"/>
    <w:pPr>
      <w:tabs>
        <w:tab w:val="left" w:pos="709"/>
        <w:tab w:val="right" w:leader="dot" w:pos="8554"/>
      </w:tabs>
      <w:spacing w:after="100"/>
      <w:ind w:left="220"/>
    </w:pPr>
    <w:rPr>
      <w:rFonts w:ascii="NeueHaasGroteskText W02" w:hAnsi="NeueHaasGroteskText W02"/>
      <w:noProof/>
    </w:rPr>
  </w:style>
  <w:style w:type="character" w:styleId="Hypertextovprepojenie">
    <w:name w:val="Hyperlink"/>
    <w:basedOn w:val="Predvolenpsmoodseku"/>
    <w:uiPriority w:val="99"/>
    <w:unhideWhenUsed/>
    <w:rsid w:val="00D371EC"/>
    <w:rPr>
      <w:color w:val="0000FF" w:themeColor="hyperlink"/>
      <w:u w:val="single"/>
    </w:rPr>
  </w:style>
  <w:style w:type="paragraph" w:styleId="Odsekzoznamu">
    <w:name w:val="List Paragraph"/>
    <w:aliases w:val="body,Odsek zoznamu2,Dot pt,F5 List Paragraph,List Paragraph1,No Spacing1,List Paragraph Char Char Char,Indicator Text,Numbered Para 1,Colorful List - Accent 11,Bullet 1,Bullet Points,Párrafo de lista,MAIN CONTENT,Recommendation"/>
    <w:basedOn w:val="Normlny"/>
    <w:link w:val="OdsekzoznamuChar"/>
    <w:uiPriority w:val="34"/>
    <w:qFormat/>
    <w:rsid w:val="00727053"/>
    <w:pPr>
      <w:ind w:left="720"/>
      <w:contextualSpacing/>
    </w:pPr>
  </w:style>
  <w:style w:type="character" w:customStyle="1" w:styleId="OdsekzoznamuChar">
    <w:name w:val="Odsek zoznamu Char"/>
    <w:aliases w:val="body Char,Odsek zoznamu2 Char,Dot pt Char,F5 List Paragraph Char,List Paragraph1 Char,No Spacing1 Char,List Paragraph Char Char Char Char,Indicator Text Char,Numbered Para 1 Char,Colorful List - Accent 11 Char,Bullet 1 Char"/>
    <w:basedOn w:val="Predvolenpsmoodseku"/>
    <w:link w:val="Odsekzoznamu"/>
    <w:uiPriority w:val="34"/>
    <w:rsid w:val="00C04E27"/>
    <w:rPr>
      <w:sz w:val="22"/>
      <w:szCs w:val="22"/>
      <w:lang w:val="en-GB"/>
    </w:rPr>
  </w:style>
  <w:style w:type="table" w:styleId="Mriekatabuky">
    <w:name w:val="Table Grid"/>
    <w:basedOn w:val="Normlnatabuka"/>
    <w:uiPriority w:val="39"/>
    <w:rsid w:val="00CF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Schriftart: 9 pt,Schriftart: 10 pt,Schriftart: 8 pt,_Poznámka pod čiarou,Footnote Text Char2,Footnote Text Char1 Char,Footnote Text Char2 Char Char,Footnote Text Char1 Char Char Char Char Char Char,f"/>
    <w:basedOn w:val="Normlny"/>
    <w:link w:val="TextpoznmkypodiarouChar"/>
    <w:uiPriority w:val="99"/>
    <w:unhideWhenUsed/>
    <w:qFormat/>
    <w:rsid w:val="008E03DF"/>
    <w:pPr>
      <w:spacing w:after="0" w:line="240" w:lineRule="auto"/>
    </w:pPr>
    <w:rPr>
      <w:rFonts w:asciiTheme="minorHAnsi" w:eastAsiaTheme="minorHAnsi" w:hAnsiTheme="minorHAnsi" w:cstheme="minorBidi"/>
      <w:sz w:val="20"/>
      <w:szCs w:val="20"/>
      <w:lang w:eastAsia="en-US"/>
    </w:rPr>
  </w:style>
  <w:style w:type="character" w:customStyle="1" w:styleId="TextpoznmkypodiarouChar">
    <w:name w:val="Text poznámky pod čiarou Char"/>
    <w:aliases w:val="Text poznámky pod čiarou 007 Char,Schriftart: 9 pt Char,Schriftart: 10 pt Char,Schriftart: 8 pt Char,_Poznámka pod čiarou Char,Footnote Text Char2 Char,Footnote Text Char1 Char Char,Footnote Text Char2 Char Char Char,f Char"/>
    <w:basedOn w:val="Predvolenpsmoodseku"/>
    <w:link w:val="Textpoznmkypodiarou"/>
    <w:uiPriority w:val="99"/>
    <w:rsid w:val="008E03DF"/>
    <w:rPr>
      <w:rFonts w:asciiTheme="minorHAnsi" w:eastAsiaTheme="minorHAnsi" w:hAnsiTheme="minorHAnsi" w:cstheme="minorBidi"/>
      <w:lang w:eastAsia="en-US"/>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qFormat/>
    <w:rsid w:val="008E03DF"/>
    <w:rPr>
      <w:vertAlign w:val="superscript"/>
    </w:rPr>
  </w:style>
  <w:style w:type="character" w:styleId="Odkaznakomentr">
    <w:name w:val="annotation reference"/>
    <w:basedOn w:val="Predvolenpsmoodseku"/>
    <w:uiPriority w:val="99"/>
    <w:unhideWhenUsed/>
    <w:rsid w:val="00395962"/>
    <w:rPr>
      <w:sz w:val="16"/>
      <w:szCs w:val="16"/>
    </w:rPr>
  </w:style>
  <w:style w:type="paragraph" w:styleId="Textkomentra">
    <w:name w:val="annotation text"/>
    <w:basedOn w:val="Normlny"/>
    <w:link w:val="TextkomentraChar"/>
    <w:uiPriority w:val="99"/>
    <w:unhideWhenUsed/>
    <w:rsid w:val="00395962"/>
    <w:pPr>
      <w:spacing w:line="240" w:lineRule="auto"/>
    </w:pPr>
    <w:rPr>
      <w:sz w:val="20"/>
      <w:szCs w:val="20"/>
    </w:rPr>
  </w:style>
  <w:style w:type="character" w:customStyle="1" w:styleId="TextkomentraChar">
    <w:name w:val="Text komentára Char"/>
    <w:basedOn w:val="Predvolenpsmoodseku"/>
    <w:link w:val="Textkomentra"/>
    <w:uiPriority w:val="99"/>
    <w:rsid w:val="00395962"/>
    <w:rPr>
      <w:lang w:val="en-GB"/>
    </w:rPr>
  </w:style>
  <w:style w:type="paragraph" w:styleId="Predmetkomentra">
    <w:name w:val="annotation subject"/>
    <w:basedOn w:val="Textkomentra"/>
    <w:next w:val="Textkomentra"/>
    <w:link w:val="PredmetkomentraChar"/>
    <w:uiPriority w:val="99"/>
    <w:semiHidden/>
    <w:unhideWhenUsed/>
    <w:rsid w:val="00395962"/>
    <w:rPr>
      <w:b/>
      <w:bCs/>
    </w:rPr>
  </w:style>
  <w:style w:type="character" w:customStyle="1" w:styleId="PredmetkomentraChar">
    <w:name w:val="Predmet komentára Char"/>
    <w:basedOn w:val="TextkomentraChar"/>
    <w:link w:val="Predmetkomentra"/>
    <w:uiPriority w:val="99"/>
    <w:semiHidden/>
    <w:rsid w:val="00395962"/>
    <w:rPr>
      <w:b/>
      <w:bCs/>
      <w:lang w:val="en-GB"/>
    </w:rPr>
  </w:style>
  <w:style w:type="paragraph" w:styleId="Nzov">
    <w:name w:val="Title"/>
    <w:basedOn w:val="Normlny"/>
    <w:next w:val="Normlny"/>
    <w:link w:val="NzovChar"/>
    <w:uiPriority w:val="10"/>
    <w:qFormat/>
    <w:rsid w:val="009521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ovChar">
    <w:name w:val="Názov Char"/>
    <w:basedOn w:val="Predvolenpsmoodseku"/>
    <w:link w:val="Nzov"/>
    <w:uiPriority w:val="10"/>
    <w:rsid w:val="0095213E"/>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uiPriority w:val="99"/>
    <w:rsid w:val="000E0B03"/>
    <w:pPr>
      <w:autoSpaceDE w:val="0"/>
      <w:autoSpaceDN w:val="0"/>
      <w:adjustRightInd w:val="0"/>
    </w:pPr>
    <w:rPr>
      <w:rFonts w:ascii="Times New Roman" w:hAnsi="Times New Roman"/>
      <w:color w:val="000000"/>
      <w:sz w:val="24"/>
      <w:szCs w:val="24"/>
    </w:rPr>
  </w:style>
  <w:style w:type="paragraph" w:styleId="Bezriadkovania">
    <w:name w:val="No Spacing"/>
    <w:uiPriority w:val="1"/>
    <w:qFormat/>
    <w:rsid w:val="00F04948"/>
    <w:rPr>
      <w:sz w:val="22"/>
      <w:szCs w:val="22"/>
      <w:lang w:val="en-GB"/>
    </w:rPr>
  </w:style>
  <w:style w:type="paragraph" w:customStyle="1" w:styleId="Pa2">
    <w:name w:val="Pa2"/>
    <w:basedOn w:val="Default"/>
    <w:next w:val="Default"/>
    <w:uiPriority w:val="99"/>
    <w:rsid w:val="00BF055C"/>
    <w:pPr>
      <w:spacing w:line="631" w:lineRule="atLeast"/>
    </w:pPr>
    <w:rPr>
      <w:rFonts w:ascii="PF Square Sans Pro" w:eastAsiaTheme="minorHAnsi" w:hAnsi="PF Square Sans Pro" w:cstheme="minorBidi"/>
      <w:color w:val="auto"/>
      <w:lang w:eastAsia="en-US"/>
    </w:rPr>
  </w:style>
  <w:style w:type="character" w:styleId="CitciaHTML">
    <w:name w:val="HTML Cite"/>
    <w:basedOn w:val="Predvolenpsmoodseku"/>
    <w:uiPriority w:val="99"/>
    <w:semiHidden/>
    <w:unhideWhenUsed/>
    <w:rsid w:val="00CE449A"/>
    <w:rPr>
      <w:i/>
      <w:iCs/>
    </w:rPr>
  </w:style>
  <w:style w:type="character" w:customStyle="1" w:styleId="slug-pub-date">
    <w:name w:val="slug-pub-date"/>
    <w:basedOn w:val="Predvolenpsmoodseku"/>
    <w:rsid w:val="00CE449A"/>
  </w:style>
  <w:style w:type="character" w:customStyle="1" w:styleId="slug-vol">
    <w:name w:val="slug-vol"/>
    <w:basedOn w:val="Predvolenpsmoodseku"/>
    <w:rsid w:val="00CE449A"/>
  </w:style>
  <w:style w:type="character" w:customStyle="1" w:styleId="slug-issue">
    <w:name w:val="slug-issue"/>
    <w:basedOn w:val="Predvolenpsmoodseku"/>
    <w:rsid w:val="00CE449A"/>
  </w:style>
  <w:style w:type="character" w:customStyle="1" w:styleId="slug-pages">
    <w:name w:val="slug-pages"/>
    <w:basedOn w:val="Predvolenpsmoodseku"/>
    <w:rsid w:val="00CE449A"/>
  </w:style>
  <w:style w:type="paragraph" w:styleId="Revzia">
    <w:name w:val="Revision"/>
    <w:hidden/>
    <w:uiPriority w:val="99"/>
    <w:semiHidden/>
    <w:rsid w:val="00FC6AE2"/>
    <w:rPr>
      <w:sz w:val="22"/>
      <w:szCs w:val="22"/>
      <w:lang w:val="en-GB"/>
    </w:rPr>
  </w:style>
  <w:style w:type="character" w:customStyle="1" w:styleId="Nadpis3Char">
    <w:name w:val="Nadpis 3 Char"/>
    <w:basedOn w:val="Predvolenpsmoodseku"/>
    <w:link w:val="Nadpis3"/>
    <w:uiPriority w:val="9"/>
    <w:semiHidden/>
    <w:rsid w:val="00E81DE6"/>
    <w:rPr>
      <w:rFonts w:asciiTheme="majorHAnsi" w:eastAsiaTheme="majorEastAsia" w:hAnsiTheme="majorHAnsi" w:cstheme="majorBidi"/>
      <w:b/>
      <w:bCs/>
      <w:color w:val="4F81BD" w:themeColor="accent1"/>
      <w:sz w:val="22"/>
      <w:szCs w:val="22"/>
      <w:lang w:val="en-GB"/>
    </w:rPr>
  </w:style>
  <w:style w:type="character" w:customStyle="1" w:styleId="Nadpis4Char">
    <w:name w:val="Nadpis 4 Char"/>
    <w:basedOn w:val="Predvolenpsmoodseku"/>
    <w:link w:val="Nadpis4"/>
    <w:uiPriority w:val="9"/>
    <w:semiHidden/>
    <w:rsid w:val="00827618"/>
    <w:rPr>
      <w:rFonts w:asciiTheme="majorHAnsi" w:eastAsiaTheme="majorEastAsia" w:hAnsiTheme="majorHAnsi" w:cstheme="majorBidi"/>
      <w:b/>
      <w:bCs/>
      <w:i/>
      <w:iCs/>
      <w:color w:val="4F81BD" w:themeColor="accent1"/>
      <w:sz w:val="22"/>
      <w:szCs w:val="22"/>
      <w:lang w:val="en-GB"/>
    </w:rPr>
  </w:style>
  <w:style w:type="character" w:customStyle="1" w:styleId="Nadpis7Char">
    <w:name w:val="Nadpis 7 Char"/>
    <w:basedOn w:val="Predvolenpsmoodseku"/>
    <w:link w:val="Nadpis7"/>
    <w:uiPriority w:val="9"/>
    <w:rsid w:val="00EC6D87"/>
    <w:rPr>
      <w:rFonts w:ascii="Arial Narrow" w:hAnsi="Arial Narrow"/>
      <w:b/>
      <w:sz w:val="28"/>
      <w:szCs w:val="28"/>
      <w:lang w:eastAsia="en-US"/>
    </w:rPr>
  </w:style>
  <w:style w:type="paragraph" w:styleId="Zkladntext">
    <w:name w:val="Body Text"/>
    <w:basedOn w:val="Normlny"/>
    <w:link w:val="ZkladntextChar"/>
    <w:uiPriority w:val="99"/>
    <w:semiHidden/>
    <w:unhideWhenUsed/>
    <w:rsid w:val="00D87D5F"/>
    <w:pPr>
      <w:spacing w:before="120" w:after="120" w:line="240" w:lineRule="auto"/>
      <w:jc w:val="both"/>
    </w:pPr>
    <w:rPr>
      <w:rFonts w:eastAsia="Calibri"/>
      <w:sz w:val="20"/>
      <w:szCs w:val="20"/>
      <w:lang w:eastAsia="en-US"/>
    </w:rPr>
  </w:style>
  <w:style w:type="character" w:customStyle="1" w:styleId="ZkladntextChar">
    <w:name w:val="Základný text Char"/>
    <w:basedOn w:val="Predvolenpsmoodseku"/>
    <w:link w:val="Zkladntext"/>
    <w:uiPriority w:val="99"/>
    <w:semiHidden/>
    <w:rsid w:val="00D87D5F"/>
    <w:rPr>
      <w:rFonts w:eastAsia="Calibri"/>
      <w:lang w:eastAsia="en-US"/>
    </w:rPr>
  </w:style>
  <w:style w:type="paragraph" w:customStyle="1" w:styleId="titulok">
    <w:name w:val="titulok"/>
    <w:basedOn w:val="Normlny"/>
    <w:uiPriority w:val="99"/>
    <w:rsid w:val="00C1642C"/>
    <w:pPr>
      <w:spacing w:before="100" w:beforeAutospacing="1" w:after="100" w:afterAutospacing="1" w:line="240" w:lineRule="auto"/>
      <w:jc w:val="center"/>
    </w:pPr>
    <w:rPr>
      <w:rFonts w:ascii="Arial" w:eastAsia="Calibri" w:hAnsi="Arial" w:cs="Arial"/>
      <w:b/>
      <w:bCs/>
      <w:color w:val="007060"/>
      <w:sz w:val="24"/>
      <w:szCs w:val="24"/>
    </w:rPr>
  </w:style>
  <w:style w:type="paragraph" w:customStyle="1" w:styleId="Point0number">
    <w:name w:val="Point 0 (number)"/>
    <w:basedOn w:val="Normlny"/>
    <w:uiPriority w:val="99"/>
    <w:rsid w:val="00C1642C"/>
    <w:pPr>
      <w:spacing w:before="120" w:after="120" w:line="240" w:lineRule="auto"/>
      <w:jc w:val="both"/>
    </w:pPr>
    <w:rPr>
      <w:rFonts w:ascii="Times New Roman" w:hAnsi="Times New Roman"/>
      <w:sz w:val="24"/>
      <w:szCs w:val="24"/>
      <w:lang w:val="en-GB" w:eastAsia="en-US"/>
    </w:rPr>
  </w:style>
  <w:style w:type="paragraph" w:styleId="Popis">
    <w:name w:val="caption"/>
    <w:basedOn w:val="Normlny"/>
    <w:next w:val="Normlny"/>
    <w:uiPriority w:val="35"/>
    <w:unhideWhenUsed/>
    <w:qFormat/>
    <w:rsid w:val="00227691"/>
    <w:pPr>
      <w:spacing w:after="0" w:line="240" w:lineRule="auto"/>
    </w:pPr>
    <w:rPr>
      <w:rFonts w:ascii="Arial Narrow" w:hAnsi="Arial Narrow"/>
      <w:b/>
      <w:bCs/>
      <w:color w:val="2C9ADC"/>
      <w:sz w:val="20"/>
      <w:szCs w:val="18"/>
    </w:rPr>
  </w:style>
  <w:style w:type="paragraph" w:styleId="Podtitul">
    <w:name w:val="Subtitle"/>
    <w:aliases w:val="graf"/>
    <w:basedOn w:val="Normlny"/>
    <w:next w:val="Normlny"/>
    <w:link w:val="PodtitulChar"/>
    <w:uiPriority w:val="11"/>
    <w:qFormat/>
    <w:rsid w:val="00227691"/>
    <w:pPr>
      <w:numPr>
        <w:ilvl w:val="1"/>
      </w:numPr>
      <w:spacing w:after="0"/>
    </w:pPr>
    <w:rPr>
      <w:rFonts w:ascii="Arial Narrow" w:eastAsiaTheme="majorEastAsia" w:hAnsi="Arial Narrow" w:cstheme="majorBidi"/>
      <w:b/>
      <w:iCs/>
      <w:color w:val="2C9ADC"/>
      <w:spacing w:val="15"/>
      <w:sz w:val="20"/>
      <w:szCs w:val="24"/>
    </w:rPr>
  </w:style>
  <w:style w:type="character" w:customStyle="1" w:styleId="PodtitulChar">
    <w:name w:val="Podtitul Char"/>
    <w:aliases w:val="graf Char"/>
    <w:basedOn w:val="Predvolenpsmoodseku"/>
    <w:link w:val="Podtitul"/>
    <w:uiPriority w:val="11"/>
    <w:rsid w:val="00227691"/>
    <w:rPr>
      <w:rFonts w:ascii="Arial Narrow" w:eastAsiaTheme="majorEastAsia" w:hAnsi="Arial Narrow" w:cstheme="majorBidi"/>
      <w:b/>
      <w:iCs/>
      <w:color w:val="2C9ADC"/>
      <w:spacing w:val="15"/>
      <w:szCs w:val="24"/>
    </w:rPr>
  </w:style>
  <w:style w:type="paragraph" w:customStyle="1" w:styleId="CharChar1">
    <w:name w:val="Char Char1"/>
    <w:basedOn w:val="Normlny"/>
    <w:rsid w:val="00A22BE1"/>
    <w:pPr>
      <w:spacing w:after="160" w:line="240" w:lineRule="exact"/>
    </w:pPr>
    <w:rPr>
      <w:rFonts w:ascii="Tahoma" w:hAnsi="Tahoma" w:cs="Tahoma"/>
      <w:sz w:val="20"/>
      <w:szCs w:val="20"/>
      <w:lang w:val="en-US" w:eastAsia="en-US"/>
    </w:rPr>
  </w:style>
  <w:style w:type="table" w:customStyle="1" w:styleId="Mriekatabuky6">
    <w:name w:val="Mriežka tabuľky6"/>
    <w:basedOn w:val="Normlnatabuka"/>
    <w:next w:val="Mriekatabuky"/>
    <w:uiPriority w:val="59"/>
    <w:locked/>
    <w:rsid w:val="006E3C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6E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7E7007"/>
  </w:style>
  <w:style w:type="paragraph" w:styleId="Zoznamobrzkov">
    <w:name w:val="table of figures"/>
    <w:basedOn w:val="Normlny"/>
    <w:next w:val="Normlny"/>
    <w:uiPriority w:val="99"/>
    <w:unhideWhenUsed/>
    <w:rsid w:val="005D29C8"/>
    <w:pPr>
      <w:spacing w:after="0"/>
    </w:pPr>
  </w:style>
  <w:style w:type="character" w:styleId="PouitHypertextovPrepojenie">
    <w:name w:val="FollowedHyperlink"/>
    <w:basedOn w:val="Predvolenpsmoodseku"/>
    <w:uiPriority w:val="99"/>
    <w:semiHidden/>
    <w:unhideWhenUsed/>
    <w:rsid w:val="002A1264"/>
    <w:rPr>
      <w:color w:val="800080" w:themeColor="followedHyperlink"/>
      <w:u w:val="single"/>
    </w:rPr>
  </w:style>
  <w:style w:type="character" w:styleId="Zstupntext">
    <w:name w:val="Placeholder Text"/>
    <w:basedOn w:val="Predvolenpsmoodseku"/>
    <w:uiPriority w:val="99"/>
    <w:semiHidden/>
    <w:rsid w:val="00AC44EC"/>
    <w:rPr>
      <w:rFonts w:ascii="Times New Roman" w:hAnsi="Times New Roman" w:cs="Times New Roman"/>
      <w:color w:val="000000"/>
    </w:rPr>
  </w:style>
  <w:style w:type="paragraph" w:customStyle="1" w:styleId="CharChar14">
    <w:name w:val="Char Char14"/>
    <w:basedOn w:val="Normlny"/>
    <w:rsid w:val="000362F9"/>
    <w:pPr>
      <w:spacing w:after="160" w:line="240" w:lineRule="exact"/>
    </w:pPr>
    <w:rPr>
      <w:rFonts w:ascii="Tahoma" w:hAnsi="Tahoma" w:cs="Tahoma"/>
      <w:sz w:val="20"/>
      <w:szCs w:val="20"/>
      <w:lang w:val="en-US" w:eastAsia="en-US"/>
    </w:rPr>
  </w:style>
  <w:style w:type="paragraph" w:customStyle="1" w:styleId="CharChar13">
    <w:name w:val="Char Char13"/>
    <w:basedOn w:val="Normlny"/>
    <w:rsid w:val="000736A4"/>
    <w:pPr>
      <w:spacing w:after="160" w:line="240" w:lineRule="exact"/>
    </w:pPr>
    <w:rPr>
      <w:rFonts w:ascii="Tahoma" w:hAnsi="Tahoma" w:cs="Tahoma"/>
      <w:sz w:val="20"/>
      <w:szCs w:val="20"/>
      <w:lang w:val="en-US" w:eastAsia="en-US"/>
    </w:rPr>
  </w:style>
  <w:style w:type="character" w:styleId="Jemnodkaz">
    <w:name w:val="Subtle Reference"/>
    <w:uiPriority w:val="31"/>
    <w:qFormat/>
    <w:rsid w:val="00682C07"/>
    <w:rPr>
      <w:rFonts w:eastAsia="Times New Roman" w:cs="Times New Roman"/>
      <w:bCs/>
      <w:i/>
      <w:sz w:val="18"/>
      <w:lang w:eastAsia="zh-TW"/>
    </w:rPr>
  </w:style>
  <w:style w:type="paragraph" w:customStyle="1" w:styleId="Tabuka">
    <w:name w:val="Tabuľka"/>
    <w:basedOn w:val="Podtitul"/>
    <w:qFormat/>
    <w:rsid w:val="00682C07"/>
    <w:pPr>
      <w:numPr>
        <w:ilvl w:val="0"/>
      </w:numPr>
      <w:pBdr>
        <w:top w:val="nil"/>
        <w:left w:val="nil"/>
        <w:bottom w:val="nil"/>
        <w:right w:val="nil"/>
        <w:between w:val="nil"/>
        <w:bar w:val="nil"/>
      </w:pBdr>
      <w:spacing w:after="200" w:line="240" w:lineRule="auto"/>
    </w:pPr>
    <w:rPr>
      <w:rFonts w:eastAsia="Arial Narrow" w:cs="Arial Narrow"/>
      <w:bCs/>
      <w:iCs w:val="0"/>
      <w:color w:val="4F81BD" w:themeColor="accent1"/>
      <w:spacing w:val="0"/>
      <w:szCs w:val="20"/>
      <w:bdr w:val="nil"/>
    </w:rPr>
  </w:style>
  <w:style w:type="paragraph" w:customStyle="1" w:styleId="Graf">
    <w:name w:val="Graf"/>
    <w:qFormat/>
    <w:rsid w:val="009135D4"/>
    <w:pPr>
      <w:spacing w:after="200" w:line="276" w:lineRule="auto"/>
    </w:pPr>
    <w:rPr>
      <w:rFonts w:ascii="Arial Narrow" w:eastAsia="Arial Narrow" w:hAnsi="Arial Narrow" w:cs="Arial Narrow"/>
      <w:b/>
      <w:bCs/>
      <w:color w:val="4F81BD" w:themeColor="accent1"/>
      <w:szCs w:val="36"/>
      <w:lang w:eastAsia="en-US"/>
    </w:rPr>
  </w:style>
  <w:style w:type="paragraph" w:customStyle="1" w:styleId="CharChar12">
    <w:name w:val="Char Char12"/>
    <w:basedOn w:val="Normlny"/>
    <w:rsid w:val="007D2366"/>
    <w:pPr>
      <w:spacing w:after="160" w:line="240" w:lineRule="exact"/>
    </w:pPr>
    <w:rPr>
      <w:rFonts w:ascii="Tahoma" w:hAnsi="Tahoma" w:cs="Tahoma"/>
      <w:sz w:val="20"/>
      <w:szCs w:val="20"/>
      <w:lang w:val="en-US" w:eastAsia="en-US"/>
    </w:rPr>
  </w:style>
  <w:style w:type="paragraph" w:customStyle="1" w:styleId="CharChar11">
    <w:name w:val="Char Char11"/>
    <w:basedOn w:val="Normlny"/>
    <w:rsid w:val="007D2366"/>
    <w:pPr>
      <w:spacing w:after="160" w:line="240" w:lineRule="exact"/>
    </w:pPr>
    <w:rPr>
      <w:rFonts w:ascii="Tahoma" w:hAnsi="Tahoma" w:cs="Tahoma"/>
      <w:sz w:val="20"/>
      <w:szCs w:val="20"/>
      <w:lang w:val="en-US" w:eastAsia="en-US"/>
    </w:rPr>
  </w:style>
  <w:style w:type="table" w:customStyle="1" w:styleId="Mriekatabuky1">
    <w:name w:val="Mriežka tabuľky1"/>
    <w:basedOn w:val="Normlnatabuka"/>
    <w:uiPriority w:val="59"/>
    <w:rsid w:val="007D236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ykonajzoznam">
    <w:name w:val="Vykonajú_zoznam"/>
    <w:basedOn w:val="Normlny"/>
    <w:uiPriority w:val="99"/>
    <w:rsid w:val="007D2366"/>
    <w:pPr>
      <w:autoSpaceDE w:val="0"/>
      <w:autoSpaceDN w:val="0"/>
      <w:spacing w:after="0" w:line="240" w:lineRule="auto"/>
      <w:ind w:left="1418"/>
    </w:pPr>
    <w:rPr>
      <w:rFonts w:ascii="Times New Roman" w:hAnsi="Times New Roman"/>
      <w:sz w:val="20"/>
      <w:szCs w:val="20"/>
      <w:lang w:eastAsia="en-US"/>
    </w:rPr>
  </w:style>
  <w:style w:type="character" w:styleId="Siln">
    <w:name w:val="Strong"/>
    <w:basedOn w:val="Predvolenpsmoodseku"/>
    <w:uiPriority w:val="22"/>
    <w:qFormat/>
    <w:rsid w:val="008F2FB3"/>
    <w:rPr>
      <w:b/>
      <w:bCs/>
    </w:rPr>
  </w:style>
  <w:style w:type="paragraph" w:styleId="Normlnywebov">
    <w:name w:val="Normal (Web)"/>
    <w:basedOn w:val="Normlny"/>
    <w:uiPriority w:val="99"/>
    <w:unhideWhenUsed/>
    <w:rsid w:val="008F2FB3"/>
    <w:pPr>
      <w:spacing w:before="100" w:beforeAutospacing="1" w:after="100" w:afterAutospacing="1" w:line="240" w:lineRule="auto"/>
    </w:pPr>
    <w:rPr>
      <w:rFonts w:ascii="Times New Roman" w:hAnsi="Times New Roman"/>
      <w:sz w:val="24"/>
      <w:szCs w:val="24"/>
    </w:rPr>
  </w:style>
  <w:style w:type="paragraph" w:customStyle="1" w:styleId="default0">
    <w:name w:val="default"/>
    <w:basedOn w:val="Normlny"/>
    <w:rsid w:val="00AC7707"/>
    <w:pPr>
      <w:spacing w:after="0" w:line="240" w:lineRule="auto"/>
    </w:pPr>
    <w:rPr>
      <w:rFonts w:ascii="Times New Roman" w:eastAsiaTheme="minorHAnsi" w:hAnsi="Times New Roman"/>
      <w:color w:val="000000"/>
      <w:sz w:val="24"/>
      <w:szCs w:val="24"/>
    </w:rPr>
  </w:style>
  <w:style w:type="character" w:customStyle="1" w:styleId="leaf">
    <w:name w:val="leaf"/>
    <w:basedOn w:val="Predvolenpsmoodseku"/>
    <w:rsid w:val="002549AE"/>
  </w:style>
  <w:style w:type="paragraph" w:customStyle="1" w:styleId="doc-ti2">
    <w:name w:val="doc-ti2"/>
    <w:basedOn w:val="Normlny"/>
    <w:rsid w:val="006164A0"/>
    <w:pPr>
      <w:spacing w:before="240" w:after="120" w:line="312" w:lineRule="atLeast"/>
      <w:jc w:val="center"/>
    </w:pPr>
    <w:rPr>
      <w:rFonts w:ascii="Times New Roman" w:hAnsi="Times New Roman"/>
      <w:b/>
      <w:bCs/>
      <w:sz w:val="24"/>
      <w:szCs w:val="24"/>
    </w:rPr>
  </w:style>
  <w:style w:type="character" w:styleId="Zvraznenie">
    <w:name w:val="Emphasis"/>
    <w:basedOn w:val="Predvolenpsmoodseku"/>
    <w:uiPriority w:val="20"/>
    <w:qFormat/>
    <w:rsid w:val="00B46E52"/>
    <w:rPr>
      <w:i/>
      <w:iCs/>
    </w:rPr>
  </w:style>
  <w:style w:type="paragraph" w:styleId="Textvysvetlivky">
    <w:name w:val="endnote text"/>
    <w:basedOn w:val="Normlny"/>
    <w:link w:val="TextvysvetlivkyChar"/>
    <w:uiPriority w:val="99"/>
    <w:semiHidden/>
    <w:unhideWhenUsed/>
    <w:rsid w:val="00B56C66"/>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56C66"/>
  </w:style>
  <w:style w:type="character" w:styleId="Odkaznavysvetlivku">
    <w:name w:val="endnote reference"/>
    <w:basedOn w:val="Predvolenpsmoodseku"/>
    <w:uiPriority w:val="99"/>
    <w:semiHidden/>
    <w:unhideWhenUsed/>
    <w:rsid w:val="00B56C66"/>
    <w:rPr>
      <w:vertAlign w:val="superscript"/>
    </w:rPr>
  </w:style>
  <w:style w:type="paragraph" w:styleId="Obyajntext">
    <w:name w:val="Plain Text"/>
    <w:basedOn w:val="Normlny"/>
    <w:link w:val="ObyajntextChar"/>
    <w:uiPriority w:val="99"/>
    <w:semiHidden/>
    <w:unhideWhenUsed/>
    <w:rsid w:val="00F1488B"/>
    <w:pPr>
      <w:spacing w:after="0" w:line="240" w:lineRule="auto"/>
    </w:pPr>
    <w:rPr>
      <w:rFonts w:eastAsiaTheme="minorHAnsi" w:cstheme="minorBidi"/>
      <w:noProof/>
      <w:szCs w:val="21"/>
      <w:lang w:eastAsia="en-US"/>
    </w:rPr>
  </w:style>
  <w:style w:type="character" w:customStyle="1" w:styleId="ObyajntextChar">
    <w:name w:val="Obyčajný text Char"/>
    <w:basedOn w:val="Predvolenpsmoodseku"/>
    <w:link w:val="Obyajntext"/>
    <w:uiPriority w:val="99"/>
    <w:semiHidden/>
    <w:rsid w:val="00F1488B"/>
    <w:rPr>
      <w:rFonts w:eastAsiaTheme="minorHAnsi" w:cstheme="minorBidi"/>
      <w:noProof/>
      <w:sz w:val="22"/>
      <w:szCs w:val="21"/>
      <w:lang w:eastAsia="en-US"/>
    </w:rPr>
  </w:style>
  <w:style w:type="paragraph" w:customStyle="1" w:styleId="odsekzatabukou">
    <w:name w:val="odsek za tabuľkou"/>
    <w:basedOn w:val="Normlny"/>
    <w:link w:val="odsekzatabukouChar"/>
    <w:qFormat/>
    <w:rsid w:val="00B53214"/>
    <w:pPr>
      <w:spacing w:before="240" w:after="240" w:line="240" w:lineRule="auto"/>
      <w:jc w:val="both"/>
    </w:pPr>
    <w:rPr>
      <w:rFonts w:ascii="Arial Narrow" w:hAnsi="Arial Narrow" w:cs="Book Antiqua"/>
    </w:rPr>
  </w:style>
  <w:style w:type="character" w:customStyle="1" w:styleId="odsekzatabukouChar">
    <w:name w:val="odsek za tabuľkou Char"/>
    <w:basedOn w:val="Predvolenpsmoodseku"/>
    <w:link w:val="odsekzatabukou"/>
    <w:rsid w:val="00B53214"/>
    <w:rPr>
      <w:rFonts w:ascii="Arial Narrow" w:hAnsi="Arial Narrow" w:cs="Book Antiqua"/>
      <w:sz w:val="22"/>
      <w:szCs w:val="22"/>
    </w:rPr>
  </w:style>
  <w:style w:type="character" w:customStyle="1" w:styleId="spanr">
    <w:name w:val="span_r"/>
    <w:basedOn w:val="Predvolenpsmoodseku"/>
    <w:rsid w:val="005571ED"/>
  </w:style>
  <w:style w:type="paragraph" w:customStyle="1" w:styleId="xdefault">
    <w:name w:val="x_default"/>
    <w:basedOn w:val="Normlny"/>
    <w:rsid w:val="000F434D"/>
    <w:pPr>
      <w:spacing w:before="100" w:beforeAutospacing="1" w:after="100" w:afterAutospacing="1" w:line="240" w:lineRule="auto"/>
    </w:pPr>
    <w:rPr>
      <w:rFonts w:ascii="Times New Roman" w:hAnsi="Times New Roman"/>
      <w:sz w:val="24"/>
      <w:szCs w:val="24"/>
      <w:lang w:val="en-GB" w:eastAsia="en-GB"/>
    </w:rPr>
  </w:style>
  <w:style w:type="paragraph" w:customStyle="1" w:styleId="Text">
    <w:name w:val="Text"/>
    <w:basedOn w:val="Normlny"/>
    <w:rsid w:val="0021537F"/>
    <w:pPr>
      <w:spacing w:before="120" w:after="120" w:line="240" w:lineRule="auto"/>
      <w:ind w:firstLine="397"/>
      <w:jc w:val="both"/>
    </w:pPr>
    <w:rPr>
      <w:rFonts w:ascii="Arial" w:eastAsiaTheme="minorHAnsi" w:hAnsi="Arial" w:cs="Arial"/>
      <w:lang w:eastAsia="zh-CN"/>
    </w:rPr>
  </w:style>
  <w:style w:type="character" w:customStyle="1" w:styleId="h1a2">
    <w:name w:val="h1a2"/>
    <w:basedOn w:val="Predvolenpsmoodseku"/>
    <w:rsid w:val="000A051A"/>
  </w:style>
  <w:style w:type="table" w:customStyle="1" w:styleId="Mriekatabuky11">
    <w:name w:val="Mriežka tabuľky11"/>
    <w:basedOn w:val="Normlnatabuka"/>
    <w:uiPriority w:val="59"/>
    <w:rsid w:val="00D652E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E64732"/>
  </w:style>
  <w:style w:type="table" w:customStyle="1" w:styleId="Mriekatabuky2">
    <w:name w:val="Mriežka tabuľky2"/>
    <w:basedOn w:val="Normlnatabuka"/>
    <w:next w:val="Mriekatabuky"/>
    <w:uiPriority w:val="59"/>
    <w:rsid w:val="00E64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1">
    <w:name w:val="Mriežka tabuľky61"/>
    <w:basedOn w:val="Normlnatabuka"/>
    <w:next w:val="Mriekatabuky"/>
    <w:uiPriority w:val="59"/>
    <w:locked/>
    <w:rsid w:val="00E647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next w:val="Mriekatabuky"/>
    <w:uiPriority w:val="59"/>
    <w:rsid w:val="00E64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uiPriority w:val="59"/>
    <w:rsid w:val="00E6473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link w:val="OdsekChar"/>
    <w:qFormat/>
    <w:rsid w:val="00563CDC"/>
    <w:pPr>
      <w:spacing w:after="240" w:line="240" w:lineRule="auto"/>
      <w:jc w:val="both"/>
    </w:pPr>
    <w:rPr>
      <w:rFonts w:ascii="Arial Narrow" w:hAnsi="Arial Narrow" w:cs="Book Antiqua"/>
    </w:rPr>
  </w:style>
  <w:style w:type="character" w:customStyle="1" w:styleId="OdsekChar">
    <w:name w:val="Odsek Char"/>
    <w:basedOn w:val="Predvolenpsmoodseku"/>
    <w:link w:val="Odsek"/>
    <w:rsid w:val="00563CDC"/>
    <w:rPr>
      <w:rFonts w:ascii="Arial Narrow" w:hAnsi="Arial Narrow" w:cs="Book Antiqua"/>
      <w:sz w:val="22"/>
      <w:szCs w:val="22"/>
    </w:rPr>
  </w:style>
  <w:style w:type="character" w:customStyle="1" w:styleId="Nadpis5Char">
    <w:name w:val="Nadpis 5 Char"/>
    <w:basedOn w:val="Predvolenpsmoodseku"/>
    <w:link w:val="Nadpis5"/>
    <w:uiPriority w:val="9"/>
    <w:rsid w:val="009C4001"/>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151">
      <w:bodyDiv w:val="1"/>
      <w:marLeft w:val="0"/>
      <w:marRight w:val="0"/>
      <w:marTop w:val="0"/>
      <w:marBottom w:val="0"/>
      <w:divBdr>
        <w:top w:val="none" w:sz="0" w:space="0" w:color="auto"/>
        <w:left w:val="none" w:sz="0" w:space="0" w:color="auto"/>
        <w:bottom w:val="none" w:sz="0" w:space="0" w:color="auto"/>
        <w:right w:val="none" w:sz="0" w:space="0" w:color="auto"/>
      </w:divBdr>
    </w:div>
    <w:div w:id="12000826">
      <w:bodyDiv w:val="1"/>
      <w:marLeft w:val="0"/>
      <w:marRight w:val="0"/>
      <w:marTop w:val="0"/>
      <w:marBottom w:val="0"/>
      <w:divBdr>
        <w:top w:val="none" w:sz="0" w:space="0" w:color="auto"/>
        <w:left w:val="none" w:sz="0" w:space="0" w:color="auto"/>
        <w:bottom w:val="none" w:sz="0" w:space="0" w:color="auto"/>
        <w:right w:val="none" w:sz="0" w:space="0" w:color="auto"/>
      </w:divBdr>
    </w:div>
    <w:div w:id="18169326">
      <w:bodyDiv w:val="1"/>
      <w:marLeft w:val="0"/>
      <w:marRight w:val="0"/>
      <w:marTop w:val="0"/>
      <w:marBottom w:val="0"/>
      <w:divBdr>
        <w:top w:val="none" w:sz="0" w:space="0" w:color="auto"/>
        <w:left w:val="none" w:sz="0" w:space="0" w:color="auto"/>
        <w:bottom w:val="none" w:sz="0" w:space="0" w:color="auto"/>
        <w:right w:val="none" w:sz="0" w:space="0" w:color="auto"/>
      </w:divBdr>
    </w:div>
    <w:div w:id="31465480">
      <w:bodyDiv w:val="1"/>
      <w:marLeft w:val="0"/>
      <w:marRight w:val="0"/>
      <w:marTop w:val="0"/>
      <w:marBottom w:val="0"/>
      <w:divBdr>
        <w:top w:val="none" w:sz="0" w:space="0" w:color="auto"/>
        <w:left w:val="none" w:sz="0" w:space="0" w:color="auto"/>
        <w:bottom w:val="none" w:sz="0" w:space="0" w:color="auto"/>
        <w:right w:val="none" w:sz="0" w:space="0" w:color="auto"/>
      </w:divBdr>
    </w:div>
    <w:div w:id="50202551">
      <w:bodyDiv w:val="1"/>
      <w:marLeft w:val="0"/>
      <w:marRight w:val="0"/>
      <w:marTop w:val="0"/>
      <w:marBottom w:val="0"/>
      <w:divBdr>
        <w:top w:val="none" w:sz="0" w:space="0" w:color="auto"/>
        <w:left w:val="none" w:sz="0" w:space="0" w:color="auto"/>
        <w:bottom w:val="none" w:sz="0" w:space="0" w:color="auto"/>
        <w:right w:val="none" w:sz="0" w:space="0" w:color="auto"/>
      </w:divBdr>
    </w:div>
    <w:div w:id="64381552">
      <w:bodyDiv w:val="1"/>
      <w:marLeft w:val="0"/>
      <w:marRight w:val="0"/>
      <w:marTop w:val="0"/>
      <w:marBottom w:val="0"/>
      <w:divBdr>
        <w:top w:val="none" w:sz="0" w:space="0" w:color="auto"/>
        <w:left w:val="none" w:sz="0" w:space="0" w:color="auto"/>
        <w:bottom w:val="none" w:sz="0" w:space="0" w:color="auto"/>
        <w:right w:val="none" w:sz="0" w:space="0" w:color="auto"/>
      </w:divBdr>
    </w:div>
    <w:div w:id="64453973">
      <w:bodyDiv w:val="1"/>
      <w:marLeft w:val="0"/>
      <w:marRight w:val="0"/>
      <w:marTop w:val="0"/>
      <w:marBottom w:val="0"/>
      <w:divBdr>
        <w:top w:val="none" w:sz="0" w:space="0" w:color="auto"/>
        <w:left w:val="none" w:sz="0" w:space="0" w:color="auto"/>
        <w:bottom w:val="none" w:sz="0" w:space="0" w:color="auto"/>
        <w:right w:val="none" w:sz="0" w:space="0" w:color="auto"/>
      </w:divBdr>
    </w:div>
    <w:div w:id="69277869">
      <w:bodyDiv w:val="1"/>
      <w:marLeft w:val="0"/>
      <w:marRight w:val="0"/>
      <w:marTop w:val="0"/>
      <w:marBottom w:val="0"/>
      <w:divBdr>
        <w:top w:val="none" w:sz="0" w:space="0" w:color="auto"/>
        <w:left w:val="none" w:sz="0" w:space="0" w:color="auto"/>
        <w:bottom w:val="none" w:sz="0" w:space="0" w:color="auto"/>
        <w:right w:val="none" w:sz="0" w:space="0" w:color="auto"/>
      </w:divBdr>
    </w:div>
    <w:div w:id="74477201">
      <w:bodyDiv w:val="1"/>
      <w:marLeft w:val="0"/>
      <w:marRight w:val="0"/>
      <w:marTop w:val="0"/>
      <w:marBottom w:val="0"/>
      <w:divBdr>
        <w:top w:val="none" w:sz="0" w:space="0" w:color="auto"/>
        <w:left w:val="none" w:sz="0" w:space="0" w:color="auto"/>
        <w:bottom w:val="none" w:sz="0" w:space="0" w:color="auto"/>
        <w:right w:val="none" w:sz="0" w:space="0" w:color="auto"/>
      </w:divBdr>
    </w:div>
    <w:div w:id="86191208">
      <w:bodyDiv w:val="1"/>
      <w:marLeft w:val="0"/>
      <w:marRight w:val="0"/>
      <w:marTop w:val="0"/>
      <w:marBottom w:val="0"/>
      <w:divBdr>
        <w:top w:val="none" w:sz="0" w:space="0" w:color="auto"/>
        <w:left w:val="none" w:sz="0" w:space="0" w:color="auto"/>
        <w:bottom w:val="none" w:sz="0" w:space="0" w:color="auto"/>
        <w:right w:val="none" w:sz="0" w:space="0" w:color="auto"/>
      </w:divBdr>
    </w:div>
    <w:div w:id="93480981">
      <w:bodyDiv w:val="1"/>
      <w:marLeft w:val="0"/>
      <w:marRight w:val="0"/>
      <w:marTop w:val="0"/>
      <w:marBottom w:val="0"/>
      <w:divBdr>
        <w:top w:val="none" w:sz="0" w:space="0" w:color="auto"/>
        <w:left w:val="none" w:sz="0" w:space="0" w:color="auto"/>
        <w:bottom w:val="none" w:sz="0" w:space="0" w:color="auto"/>
        <w:right w:val="none" w:sz="0" w:space="0" w:color="auto"/>
      </w:divBdr>
    </w:div>
    <w:div w:id="97068301">
      <w:bodyDiv w:val="1"/>
      <w:marLeft w:val="0"/>
      <w:marRight w:val="0"/>
      <w:marTop w:val="0"/>
      <w:marBottom w:val="0"/>
      <w:divBdr>
        <w:top w:val="none" w:sz="0" w:space="0" w:color="auto"/>
        <w:left w:val="none" w:sz="0" w:space="0" w:color="auto"/>
        <w:bottom w:val="none" w:sz="0" w:space="0" w:color="auto"/>
        <w:right w:val="none" w:sz="0" w:space="0" w:color="auto"/>
      </w:divBdr>
    </w:div>
    <w:div w:id="124126478">
      <w:bodyDiv w:val="1"/>
      <w:marLeft w:val="0"/>
      <w:marRight w:val="0"/>
      <w:marTop w:val="0"/>
      <w:marBottom w:val="0"/>
      <w:divBdr>
        <w:top w:val="none" w:sz="0" w:space="0" w:color="auto"/>
        <w:left w:val="none" w:sz="0" w:space="0" w:color="auto"/>
        <w:bottom w:val="none" w:sz="0" w:space="0" w:color="auto"/>
        <w:right w:val="none" w:sz="0" w:space="0" w:color="auto"/>
      </w:divBdr>
    </w:div>
    <w:div w:id="133526170">
      <w:bodyDiv w:val="1"/>
      <w:marLeft w:val="0"/>
      <w:marRight w:val="0"/>
      <w:marTop w:val="0"/>
      <w:marBottom w:val="0"/>
      <w:divBdr>
        <w:top w:val="none" w:sz="0" w:space="0" w:color="auto"/>
        <w:left w:val="none" w:sz="0" w:space="0" w:color="auto"/>
        <w:bottom w:val="none" w:sz="0" w:space="0" w:color="auto"/>
        <w:right w:val="none" w:sz="0" w:space="0" w:color="auto"/>
      </w:divBdr>
    </w:div>
    <w:div w:id="138304733">
      <w:bodyDiv w:val="1"/>
      <w:marLeft w:val="0"/>
      <w:marRight w:val="0"/>
      <w:marTop w:val="0"/>
      <w:marBottom w:val="0"/>
      <w:divBdr>
        <w:top w:val="none" w:sz="0" w:space="0" w:color="auto"/>
        <w:left w:val="none" w:sz="0" w:space="0" w:color="auto"/>
        <w:bottom w:val="none" w:sz="0" w:space="0" w:color="auto"/>
        <w:right w:val="none" w:sz="0" w:space="0" w:color="auto"/>
      </w:divBdr>
    </w:div>
    <w:div w:id="138497150">
      <w:bodyDiv w:val="1"/>
      <w:marLeft w:val="0"/>
      <w:marRight w:val="0"/>
      <w:marTop w:val="0"/>
      <w:marBottom w:val="0"/>
      <w:divBdr>
        <w:top w:val="none" w:sz="0" w:space="0" w:color="auto"/>
        <w:left w:val="none" w:sz="0" w:space="0" w:color="auto"/>
        <w:bottom w:val="none" w:sz="0" w:space="0" w:color="auto"/>
        <w:right w:val="none" w:sz="0" w:space="0" w:color="auto"/>
      </w:divBdr>
    </w:div>
    <w:div w:id="139345510">
      <w:bodyDiv w:val="1"/>
      <w:marLeft w:val="0"/>
      <w:marRight w:val="0"/>
      <w:marTop w:val="0"/>
      <w:marBottom w:val="0"/>
      <w:divBdr>
        <w:top w:val="none" w:sz="0" w:space="0" w:color="auto"/>
        <w:left w:val="none" w:sz="0" w:space="0" w:color="auto"/>
        <w:bottom w:val="none" w:sz="0" w:space="0" w:color="auto"/>
        <w:right w:val="none" w:sz="0" w:space="0" w:color="auto"/>
      </w:divBdr>
    </w:div>
    <w:div w:id="149492367">
      <w:bodyDiv w:val="1"/>
      <w:marLeft w:val="0"/>
      <w:marRight w:val="0"/>
      <w:marTop w:val="0"/>
      <w:marBottom w:val="0"/>
      <w:divBdr>
        <w:top w:val="none" w:sz="0" w:space="0" w:color="auto"/>
        <w:left w:val="none" w:sz="0" w:space="0" w:color="auto"/>
        <w:bottom w:val="none" w:sz="0" w:space="0" w:color="auto"/>
        <w:right w:val="none" w:sz="0" w:space="0" w:color="auto"/>
      </w:divBdr>
    </w:div>
    <w:div w:id="156389291">
      <w:bodyDiv w:val="1"/>
      <w:marLeft w:val="0"/>
      <w:marRight w:val="0"/>
      <w:marTop w:val="0"/>
      <w:marBottom w:val="0"/>
      <w:divBdr>
        <w:top w:val="none" w:sz="0" w:space="0" w:color="auto"/>
        <w:left w:val="none" w:sz="0" w:space="0" w:color="auto"/>
        <w:bottom w:val="none" w:sz="0" w:space="0" w:color="auto"/>
        <w:right w:val="none" w:sz="0" w:space="0" w:color="auto"/>
      </w:divBdr>
    </w:div>
    <w:div w:id="164976842">
      <w:bodyDiv w:val="1"/>
      <w:marLeft w:val="0"/>
      <w:marRight w:val="0"/>
      <w:marTop w:val="0"/>
      <w:marBottom w:val="0"/>
      <w:divBdr>
        <w:top w:val="none" w:sz="0" w:space="0" w:color="auto"/>
        <w:left w:val="none" w:sz="0" w:space="0" w:color="auto"/>
        <w:bottom w:val="none" w:sz="0" w:space="0" w:color="auto"/>
        <w:right w:val="none" w:sz="0" w:space="0" w:color="auto"/>
      </w:divBdr>
    </w:div>
    <w:div w:id="167642583">
      <w:bodyDiv w:val="1"/>
      <w:marLeft w:val="0"/>
      <w:marRight w:val="0"/>
      <w:marTop w:val="0"/>
      <w:marBottom w:val="0"/>
      <w:divBdr>
        <w:top w:val="none" w:sz="0" w:space="0" w:color="auto"/>
        <w:left w:val="none" w:sz="0" w:space="0" w:color="auto"/>
        <w:bottom w:val="none" w:sz="0" w:space="0" w:color="auto"/>
        <w:right w:val="none" w:sz="0" w:space="0" w:color="auto"/>
      </w:divBdr>
    </w:div>
    <w:div w:id="168256279">
      <w:bodyDiv w:val="1"/>
      <w:marLeft w:val="0"/>
      <w:marRight w:val="0"/>
      <w:marTop w:val="0"/>
      <w:marBottom w:val="0"/>
      <w:divBdr>
        <w:top w:val="none" w:sz="0" w:space="0" w:color="auto"/>
        <w:left w:val="none" w:sz="0" w:space="0" w:color="auto"/>
        <w:bottom w:val="none" w:sz="0" w:space="0" w:color="auto"/>
        <w:right w:val="none" w:sz="0" w:space="0" w:color="auto"/>
      </w:divBdr>
    </w:div>
    <w:div w:id="171146235">
      <w:bodyDiv w:val="1"/>
      <w:marLeft w:val="0"/>
      <w:marRight w:val="0"/>
      <w:marTop w:val="0"/>
      <w:marBottom w:val="0"/>
      <w:divBdr>
        <w:top w:val="none" w:sz="0" w:space="0" w:color="auto"/>
        <w:left w:val="none" w:sz="0" w:space="0" w:color="auto"/>
        <w:bottom w:val="none" w:sz="0" w:space="0" w:color="auto"/>
        <w:right w:val="none" w:sz="0" w:space="0" w:color="auto"/>
      </w:divBdr>
    </w:div>
    <w:div w:id="175729923">
      <w:bodyDiv w:val="1"/>
      <w:marLeft w:val="0"/>
      <w:marRight w:val="0"/>
      <w:marTop w:val="0"/>
      <w:marBottom w:val="0"/>
      <w:divBdr>
        <w:top w:val="none" w:sz="0" w:space="0" w:color="auto"/>
        <w:left w:val="none" w:sz="0" w:space="0" w:color="auto"/>
        <w:bottom w:val="none" w:sz="0" w:space="0" w:color="auto"/>
        <w:right w:val="none" w:sz="0" w:space="0" w:color="auto"/>
      </w:divBdr>
    </w:div>
    <w:div w:id="187528923">
      <w:bodyDiv w:val="1"/>
      <w:marLeft w:val="0"/>
      <w:marRight w:val="0"/>
      <w:marTop w:val="0"/>
      <w:marBottom w:val="0"/>
      <w:divBdr>
        <w:top w:val="none" w:sz="0" w:space="0" w:color="auto"/>
        <w:left w:val="none" w:sz="0" w:space="0" w:color="auto"/>
        <w:bottom w:val="none" w:sz="0" w:space="0" w:color="auto"/>
        <w:right w:val="none" w:sz="0" w:space="0" w:color="auto"/>
      </w:divBdr>
    </w:div>
    <w:div w:id="219026007">
      <w:bodyDiv w:val="1"/>
      <w:marLeft w:val="0"/>
      <w:marRight w:val="0"/>
      <w:marTop w:val="0"/>
      <w:marBottom w:val="0"/>
      <w:divBdr>
        <w:top w:val="none" w:sz="0" w:space="0" w:color="auto"/>
        <w:left w:val="none" w:sz="0" w:space="0" w:color="auto"/>
        <w:bottom w:val="none" w:sz="0" w:space="0" w:color="auto"/>
        <w:right w:val="none" w:sz="0" w:space="0" w:color="auto"/>
      </w:divBdr>
      <w:divsChild>
        <w:div w:id="723598958">
          <w:marLeft w:val="0"/>
          <w:marRight w:val="0"/>
          <w:marTop w:val="0"/>
          <w:marBottom w:val="0"/>
          <w:divBdr>
            <w:top w:val="none" w:sz="0" w:space="0" w:color="auto"/>
            <w:left w:val="none" w:sz="0" w:space="0" w:color="auto"/>
            <w:bottom w:val="none" w:sz="0" w:space="0" w:color="auto"/>
            <w:right w:val="none" w:sz="0" w:space="0" w:color="auto"/>
          </w:divBdr>
          <w:divsChild>
            <w:div w:id="2097290059">
              <w:marLeft w:val="0"/>
              <w:marRight w:val="0"/>
              <w:marTop w:val="0"/>
              <w:marBottom w:val="0"/>
              <w:divBdr>
                <w:top w:val="none" w:sz="0" w:space="0" w:color="auto"/>
                <w:left w:val="none" w:sz="0" w:space="0" w:color="auto"/>
                <w:bottom w:val="none" w:sz="0" w:space="0" w:color="auto"/>
                <w:right w:val="none" w:sz="0" w:space="0" w:color="auto"/>
              </w:divBdr>
              <w:divsChild>
                <w:div w:id="55207336">
                  <w:marLeft w:val="0"/>
                  <w:marRight w:val="0"/>
                  <w:marTop w:val="0"/>
                  <w:marBottom w:val="0"/>
                  <w:divBdr>
                    <w:top w:val="none" w:sz="0" w:space="0" w:color="auto"/>
                    <w:left w:val="none" w:sz="0" w:space="0" w:color="auto"/>
                    <w:bottom w:val="none" w:sz="0" w:space="0" w:color="auto"/>
                    <w:right w:val="none" w:sz="0" w:space="0" w:color="auto"/>
                  </w:divBdr>
                  <w:divsChild>
                    <w:div w:id="4644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297073">
      <w:bodyDiv w:val="1"/>
      <w:marLeft w:val="0"/>
      <w:marRight w:val="0"/>
      <w:marTop w:val="0"/>
      <w:marBottom w:val="0"/>
      <w:divBdr>
        <w:top w:val="none" w:sz="0" w:space="0" w:color="auto"/>
        <w:left w:val="none" w:sz="0" w:space="0" w:color="auto"/>
        <w:bottom w:val="none" w:sz="0" w:space="0" w:color="auto"/>
        <w:right w:val="none" w:sz="0" w:space="0" w:color="auto"/>
      </w:divBdr>
    </w:div>
    <w:div w:id="249627859">
      <w:bodyDiv w:val="1"/>
      <w:marLeft w:val="0"/>
      <w:marRight w:val="0"/>
      <w:marTop w:val="0"/>
      <w:marBottom w:val="0"/>
      <w:divBdr>
        <w:top w:val="none" w:sz="0" w:space="0" w:color="auto"/>
        <w:left w:val="none" w:sz="0" w:space="0" w:color="auto"/>
        <w:bottom w:val="none" w:sz="0" w:space="0" w:color="auto"/>
        <w:right w:val="none" w:sz="0" w:space="0" w:color="auto"/>
      </w:divBdr>
    </w:div>
    <w:div w:id="259991950">
      <w:bodyDiv w:val="1"/>
      <w:marLeft w:val="0"/>
      <w:marRight w:val="0"/>
      <w:marTop w:val="0"/>
      <w:marBottom w:val="0"/>
      <w:divBdr>
        <w:top w:val="none" w:sz="0" w:space="0" w:color="auto"/>
        <w:left w:val="none" w:sz="0" w:space="0" w:color="auto"/>
        <w:bottom w:val="none" w:sz="0" w:space="0" w:color="auto"/>
        <w:right w:val="none" w:sz="0" w:space="0" w:color="auto"/>
      </w:divBdr>
    </w:div>
    <w:div w:id="267741722">
      <w:bodyDiv w:val="1"/>
      <w:marLeft w:val="0"/>
      <w:marRight w:val="0"/>
      <w:marTop w:val="0"/>
      <w:marBottom w:val="0"/>
      <w:divBdr>
        <w:top w:val="none" w:sz="0" w:space="0" w:color="auto"/>
        <w:left w:val="none" w:sz="0" w:space="0" w:color="auto"/>
        <w:bottom w:val="none" w:sz="0" w:space="0" w:color="auto"/>
        <w:right w:val="none" w:sz="0" w:space="0" w:color="auto"/>
      </w:divBdr>
    </w:div>
    <w:div w:id="302540889">
      <w:bodyDiv w:val="1"/>
      <w:marLeft w:val="0"/>
      <w:marRight w:val="0"/>
      <w:marTop w:val="0"/>
      <w:marBottom w:val="0"/>
      <w:divBdr>
        <w:top w:val="none" w:sz="0" w:space="0" w:color="auto"/>
        <w:left w:val="none" w:sz="0" w:space="0" w:color="auto"/>
        <w:bottom w:val="none" w:sz="0" w:space="0" w:color="auto"/>
        <w:right w:val="none" w:sz="0" w:space="0" w:color="auto"/>
      </w:divBdr>
    </w:div>
    <w:div w:id="312607635">
      <w:bodyDiv w:val="1"/>
      <w:marLeft w:val="0"/>
      <w:marRight w:val="0"/>
      <w:marTop w:val="0"/>
      <w:marBottom w:val="0"/>
      <w:divBdr>
        <w:top w:val="none" w:sz="0" w:space="0" w:color="auto"/>
        <w:left w:val="none" w:sz="0" w:space="0" w:color="auto"/>
        <w:bottom w:val="none" w:sz="0" w:space="0" w:color="auto"/>
        <w:right w:val="none" w:sz="0" w:space="0" w:color="auto"/>
      </w:divBdr>
    </w:div>
    <w:div w:id="328874386">
      <w:bodyDiv w:val="1"/>
      <w:marLeft w:val="0"/>
      <w:marRight w:val="0"/>
      <w:marTop w:val="0"/>
      <w:marBottom w:val="0"/>
      <w:divBdr>
        <w:top w:val="none" w:sz="0" w:space="0" w:color="auto"/>
        <w:left w:val="none" w:sz="0" w:space="0" w:color="auto"/>
        <w:bottom w:val="none" w:sz="0" w:space="0" w:color="auto"/>
        <w:right w:val="none" w:sz="0" w:space="0" w:color="auto"/>
      </w:divBdr>
    </w:div>
    <w:div w:id="332226423">
      <w:bodyDiv w:val="1"/>
      <w:marLeft w:val="0"/>
      <w:marRight w:val="0"/>
      <w:marTop w:val="0"/>
      <w:marBottom w:val="0"/>
      <w:divBdr>
        <w:top w:val="none" w:sz="0" w:space="0" w:color="auto"/>
        <w:left w:val="none" w:sz="0" w:space="0" w:color="auto"/>
        <w:bottom w:val="none" w:sz="0" w:space="0" w:color="auto"/>
        <w:right w:val="none" w:sz="0" w:space="0" w:color="auto"/>
      </w:divBdr>
    </w:div>
    <w:div w:id="344793445">
      <w:bodyDiv w:val="1"/>
      <w:marLeft w:val="0"/>
      <w:marRight w:val="0"/>
      <w:marTop w:val="0"/>
      <w:marBottom w:val="0"/>
      <w:divBdr>
        <w:top w:val="none" w:sz="0" w:space="0" w:color="auto"/>
        <w:left w:val="none" w:sz="0" w:space="0" w:color="auto"/>
        <w:bottom w:val="none" w:sz="0" w:space="0" w:color="auto"/>
        <w:right w:val="none" w:sz="0" w:space="0" w:color="auto"/>
      </w:divBdr>
    </w:div>
    <w:div w:id="358166717">
      <w:bodyDiv w:val="1"/>
      <w:marLeft w:val="0"/>
      <w:marRight w:val="0"/>
      <w:marTop w:val="0"/>
      <w:marBottom w:val="0"/>
      <w:divBdr>
        <w:top w:val="none" w:sz="0" w:space="0" w:color="auto"/>
        <w:left w:val="none" w:sz="0" w:space="0" w:color="auto"/>
        <w:bottom w:val="none" w:sz="0" w:space="0" w:color="auto"/>
        <w:right w:val="none" w:sz="0" w:space="0" w:color="auto"/>
      </w:divBdr>
    </w:div>
    <w:div w:id="369645178">
      <w:bodyDiv w:val="1"/>
      <w:marLeft w:val="0"/>
      <w:marRight w:val="0"/>
      <w:marTop w:val="0"/>
      <w:marBottom w:val="0"/>
      <w:divBdr>
        <w:top w:val="none" w:sz="0" w:space="0" w:color="auto"/>
        <w:left w:val="none" w:sz="0" w:space="0" w:color="auto"/>
        <w:bottom w:val="none" w:sz="0" w:space="0" w:color="auto"/>
        <w:right w:val="none" w:sz="0" w:space="0" w:color="auto"/>
      </w:divBdr>
    </w:div>
    <w:div w:id="382146434">
      <w:bodyDiv w:val="1"/>
      <w:marLeft w:val="0"/>
      <w:marRight w:val="0"/>
      <w:marTop w:val="0"/>
      <w:marBottom w:val="0"/>
      <w:divBdr>
        <w:top w:val="none" w:sz="0" w:space="0" w:color="auto"/>
        <w:left w:val="none" w:sz="0" w:space="0" w:color="auto"/>
        <w:bottom w:val="none" w:sz="0" w:space="0" w:color="auto"/>
        <w:right w:val="none" w:sz="0" w:space="0" w:color="auto"/>
      </w:divBdr>
    </w:div>
    <w:div w:id="390035940">
      <w:bodyDiv w:val="1"/>
      <w:marLeft w:val="0"/>
      <w:marRight w:val="0"/>
      <w:marTop w:val="0"/>
      <w:marBottom w:val="0"/>
      <w:divBdr>
        <w:top w:val="none" w:sz="0" w:space="0" w:color="auto"/>
        <w:left w:val="none" w:sz="0" w:space="0" w:color="auto"/>
        <w:bottom w:val="none" w:sz="0" w:space="0" w:color="auto"/>
        <w:right w:val="none" w:sz="0" w:space="0" w:color="auto"/>
      </w:divBdr>
    </w:div>
    <w:div w:id="398868016">
      <w:bodyDiv w:val="1"/>
      <w:marLeft w:val="0"/>
      <w:marRight w:val="0"/>
      <w:marTop w:val="0"/>
      <w:marBottom w:val="0"/>
      <w:divBdr>
        <w:top w:val="none" w:sz="0" w:space="0" w:color="auto"/>
        <w:left w:val="none" w:sz="0" w:space="0" w:color="auto"/>
        <w:bottom w:val="none" w:sz="0" w:space="0" w:color="auto"/>
        <w:right w:val="none" w:sz="0" w:space="0" w:color="auto"/>
      </w:divBdr>
    </w:div>
    <w:div w:id="431244419">
      <w:bodyDiv w:val="1"/>
      <w:marLeft w:val="0"/>
      <w:marRight w:val="0"/>
      <w:marTop w:val="0"/>
      <w:marBottom w:val="0"/>
      <w:divBdr>
        <w:top w:val="none" w:sz="0" w:space="0" w:color="auto"/>
        <w:left w:val="none" w:sz="0" w:space="0" w:color="auto"/>
        <w:bottom w:val="none" w:sz="0" w:space="0" w:color="auto"/>
        <w:right w:val="none" w:sz="0" w:space="0" w:color="auto"/>
      </w:divBdr>
    </w:div>
    <w:div w:id="466975151">
      <w:bodyDiv w:val="1"/>
      <w:marLeft w:val="0"/>
      <w:marRight w:val="0"/>
      <w:marTop w:val="0"/>
      <w:marBottom w:val="0"/>
      <w:divBdr>
        <w:top w:val="none" w:sz="0" w:space="0" w:color="auto"/>
        <w:left w:val="none" w:sz="0" w:space="0" w:color="auto"/>
        <w:bottom w:val="none" w:sz="0" w:space="0" w:color="auto"/>
        <w:right w:val="none" w:sz="0" w:space="0" w:color="auto"/>
      </w:divBdr>
    </w:div>
    <w:div w:id="473718995">
      <w:bodyDiv w:val="1"/>
      <w:marLeft w:val="0"/>
      <w:marRight w:val="0"/>
      <w:marTop w:val="0"/>
      <w:marBottom w:val="0"/>
      <w:divBdr>
        <w:top w:val="none" w:sz="0" w:space="0" w:color="auto"/>
        <w:left w:val="none" w:sz="0" w:space="0" w:color="auto"/>
        <w:bottom w:val="none" w:sz="0" w:space="0" w:color="auto"/>
        <w:right w:val="none" w:sz="0" w:space="0" w:color="auto"/>
      </w:divBdr>
    </w:div>
    <w:div w:id="492183632">
      <w:bodyDiv w:val="1"/>
      <w:marLeft w:val="0"/>
      <w:marRight w:val="0"/>
      <w:marTop w:val="0"/>
      <w:marBottom w:val="0"/>
      <w:divBdr>
        <w:top w:val="none" w:sz="0" w:space="0" w:color="auto"/>
        <w:left w:val="none" w:sz="0" w:space="0" w:color="auto"/>
        <w:bottom w:val="none" w:sz="0" w:space="0" w:color="auto"/>
        <w:right w:val="none" w:sz="0" w:space="0" w:color="auto"/>
      </w:divBdr>
    </w:div>
    <w:div w:id="496774463">
      <w:bodyDiv w:val="1"/>
      <w:marLeft w:val="0"/>
      <w:marRight w:val="0"/>
      <w:marTop w:val="0"/>
      <w:marBottom w:val="0"/>
      <w:divBdr>
        <w:top w:val="none" w:sz="0" w:space="0" w:color="auto"/>
        <w:left w:val="none" w:sz="0" w:space="0" w:color="auto"/>
        <w:bottom w:val="none" w:sz="0" w:space="0" w:color="auto"/>
        <w:right w:val="none" w:sz="0" w:space="0" w:color="auto"/>
      </w:divBdr>
    </w:div>
    <w:div w:id="502627302">
      <w:bodyDiv w:val="1"/>
      <w:marLeft w:val="0"/>
      <w:marRight w:val="0"/>
      <w:marTop w:val="0"/>
      <w:marBottom w:val="0"/>
      <w:divBdr>
        <w:top w:val="none" w:sz="0" w:space="0" w:color="auto"/>
        <w:left w:val="none" w:sz="0" w:space="0" w:color="auto"/>
        <w:bottom w:val="none" w:sz="0" w:space="0" w:color="auto"/>
        <w:right w:val="none" w:sz="0" w:space="0" w:color="auto"/>
      </w:divBdr>
    </w:div>
    <w:div w:id="506411649">
      <w:bodyDiv w:val="1"/>
      <w:marLeft w:val="0"/>
      <w:marRight w:val="0"/>
      <w:marTop w:val="0"/>
      <w:marBottom w:val="0"/>
      <w:divBdr>
        <w:top w:val="none" w:sz="0" w:space="0" w:color="auto"/>
        <w:left w:val="none" w:sz="0" w:space="0" w:color="auto"/>
        <w:bottom w:val="none" w:sz="0" w:space="0" w:color="auto"/>
        <w:right w:val="none" w:sz="0" w:space="0" w:color="auto"/>
      </w:divBdr>
    </w:div>
    <w:div w:id="524682723">
      <w:bodyDiv w:val="1"/>
      <w:marLeft w:val="0"/>
      <w:marRight w:val="0"/>
      <w:marTop w:val="0"/>
      <w:marBottom w:val="0"/>
      <w:divBdr>
        <w:top w:val="none" w:sz="0" w:space="0" w:color="auto"/>
        <w:left w:val="none" w:sz="0" w:space="0" w:color="auto"/>
        <w:bottom w:val="none" w:sz="0" w:space="0" w:color="auto"/>
        <w:right w:val="none" w:sz="0" w:space="0" w:color="auto"/>
      </w:divBdr>
    </w:div>
    <w:div w:id="548151667">
      <w:bodyDiv w:val="1"/>
      <w:marLeft w:val="0"/>
      <w:marRight w:val="0"/>
      <w:marTop w:val="0"/>
      <w:marBottom w:val="0"/>
      <w:divBdr>
        <w:top w:val="none" w:sz="0" w:space="0" w:color="auto"/>
        <w:left w:val="none" w:sz="0" w:space="0" w:color="auto"/>
        <w:bottom w:val="none" w:sz="0" w:space="0" w:color="auto"/>
        <w:right w:val="none" w:sz="0" w:space="0" w:color="auto"/>
      </w:divBdr>
    </w:div>
    <w:div w:id="549146789">
      <w:bodyDiv w:val="1"/>
      <w:marLeft w:val="0"/>
      <w:marRight w:val="0"/>
      <w:marTop w:val="0"/>
      <w:marBottom w:val="0"/>
      <w:divBdr>
        <w:top w:val="none" w:sz="0" w:space="0" w:color="auto"/>
        <w:left w:val="none" w:sz="0" w:space="0" w:color="auto"/>
        <w:bottom w:val="none" w:sz="0" w:space="0" w:color="auto"/>
        <w:right w:val="none" w:sz="0" w:space="0" w:color="auto"/>
      </w:divBdr>
    </w:div>
    <w:div w:id="569925616">
      <w:bodyDiv w:val="1"/>
      <w:marLeft w:val="0"/>
      <w:marRight w:val="0"/>
      <w:marTop w:val="0"/>
      <w:marBottom w:val="0"/>
      <w:divBdr>
        <w:top w:val="none" w:sz="0" w:space="0" w:color="auto"/>
        <w:left w:val="none" w:sz="0" w:space="0" w:color="auto"/>
        <w:bottom w:val="none" w:sz="0" w:space="0" w:color="auto"/>
        <w:right w:val="none" w:sz="0" w:space="0" w:color="auto"/>
      </w:divBdr>
    </w:div>
    <w:div w:id="610891568">
      <w:bodyDiv w:val="1"/>
      <w:marLeft w:val="0"/>
      <w:marRight w:val="0"/>
      <w:marTop w:val="0"/>
      <w:marBottom w:val="0"/>
      <w:divBdr>
        <w:top w:val="none" w:sz="0" w:space="0" w:color="auto"/>
        <w:left w:val="none" w:sz="0" w:space="0" w:color="auto"/>
        <w:bottom w:val="none" w:sz="0" w:space="0" w:color="auto"/>
        <w:right w:val="none" w:sz="0" w:space="0" w:color="auto"/>
      </w:divBdr>
    </w:div>
    <w:div w:id="618948921">
      <w:bodyDiv w:val="1"/>
      <w:marLeft w:val="0"/>
      <w:marRight w:val="0"/>
      <w:marTop w:val="0"/>
      <w:marBottom w:val="0"/>
      <w:divBdr>
        <w:top w:val="none" w:sz="0" w:space="0" w:color="auto"/>
        <w:left w:val="none" w:sz="0" w:space="0" w:color="auto"/>
        <w:bottom w:val="none" w:sz="0" w:space="0" w:color="auto"/>
        <w:right w:val="none" w:sz="0" w:space="0" w:color="auto"/>
      </w:divBdr>
    </w:div>
    <w:div w:id="632298900">
      <w:bodyDiv w:val="1"/>
      <w:marLeft w:val="0"/>
      <w:marRight w:val="0"/>
      <w:marTop w:val="0"/>
      <w:marBottom w:val="0"/>
      <w:divBdr>
        <w:top w:val="none" w:sz="0" w:space="0" w:color="auto"/>
        <w:left w:val="none" w:sz="0" w:space="0" w:color="auto"/>
        <w:bottom w:val="none" w:sz="0" w:space="0" w:color="auto"/>
        <w:right w:val="none" w:sz="0" w:space="0" w:color="auto"/>
      </w:divBdr>
    </w:div>
    <w:div w:id="638269920">
      <w:bodyDiv w:val="1"/>
      <w:marLeft w:val="0"/>
      <w:marRight w:val="0"/>
      <w:marTop w:val="0"/>
      <w:marBottom w:val="0"/>
      <w:divBdr>
        <w:top w:val="none" w:sz="0" w:space="0" w:color="auto"/>
        <w:left w:val="none" w:sz="0" w:space="0" w:color="auto"/>
        <w:bottom w:val="none" w:sz="0" w:space="0" w:color="auto"/>
        <w:right w:val="none" w:sz="0" w:space="0" w:color="auto"/>
      </w:divBdr>
    </w:div>
    <w:div w:id="642538748">
      <w:bodyDiv w:val="1"/>
      <w:marLeft w:val="0"/>
      <w:marRight w:val="0"/>
      <w:marTop w:val="0"/>
      <w:marBottom w:val="0"/>
      <w:divBdr>
        <w:top w:val="none" w:sz="0" w:space="0" w:color="auto"/>
        <w:left w:val="none" w:sz="0" w:space="0" w:color="auto"/>
        <w:bottom w:val="none" w:sz="0" w:space="0" w:color="auto"/>
        <w:right w:val="none" w:sz="0" w:space="0" w:color="auto"/>
      </w:divBdr>
    </w:div>
    <w:div w:id="646933938">
      <w:bodyDiv w:val="1"/>
      <w:marLeft w:val="0"/>
      <w:marRight w:val="0"/>
      <w:marTop w:val="0"/>
      <w:marBottom w:val="0"/>
      <w:divBdr>
        <w:top w:val="none" w:sz="0" w:space="0" w:color="auto"/>
        <w:left w:val="none" w:sz="0" w:space="0" w:color="auto"/>
        <w:bottom w:val="none" w:sz="0" w:space="0" w:color="auto"/>
        <w:right w:val="none" w:sz="0" w:space="0" w:color="auto"/>
      </w:divBdr>
    </w:div>
    <w:div w:id="679239858">
      <w:bodyDiv w:val="1"/>
      <w:marLeft w:val="0"/>
      <w:marRight w:val="0"/>
      <w:marTop w:val="0"/>
      <w:marBottom w:val="0"/>
      <w:divBdr>
        <w:top w:val="none" w:sz="0" w:space="0" w:color="auto"/>
        <w:left w:val="none" w:sz="0" w:space="0" w:color="auto"/>
        <w:bottom w:val="none" w:sz="0" w:space="0" w:color="auto"/>
        <w:right w:val="none" w:sz="0" w:space="0" w:color="auto"/>
      </w:divBdr>
    </w:div>
    <w:div w:id="682588625">
      <w:bodyDiv w:val="1"/>
      <w:marLeft w:val="0"/>
      <w:marRight w:val="0"/>
      <w:marTop w:val="0"/>
      <w:marBottom w:val="0"/>
      <w:divBdr>
        <w:top w:val="none" w:sz="0" w:space="0" w:color="auto"/>
        <w:left w:val="none" w:sz="0" w:space="0" w:color="auto"/>
        <w:bottom w:val="none" w:sz="0" w:space="0" w:color="auto"/>
        <w:right w:val="none" w:sz="0" w:space="0" w:color="auto"/>
      </w:divBdr>
    </w:div>
    <w:div w:id="694304023">
      <w:bodyDiv w:val="1"/>
      <w:marLeft w:val="0"/>
      <w:marRight w:val="0"/>
      <w:marTop w:val="0"/>
      <w:marBottom w:val="0"/>
      <w:divBdr>
        <w:top w:val="none" w:sz="0" w:space="0" w:color="auto"/>
        <w:left w:val="none" w:sz="0" w:space="0" w:color="auto"/>
        <w:bottom w:val="none" w:sz="0" w:space="0" w:color="auto"/>
        <w:right w:val="none" w:sz="0" w:space="0" w:color="auto"/>
      </w:divBdr>
    </w:div>
    <w:div w:id="709646358">
      <w:bodyDiv w:val="1"/>
      <w:marLeft w:val="0"/>
      <w:marRight w:val="0"/>
      <w:marTop w:val="0"/>
      <w:marBottom w:val="0"/>
      <w:divBdr>
        <w:top w:val="none" w:sz="0" w:space="0" w:color="auto"/>
        <w:left w:val="none" w:sz="0" w:space="0" w:color="auto"/>
        <w:bottom w:val="none" w:sz="0" w:space="0" w:color="auto"/>
        <w:right w:val="none" w:sz="0" w:space="0" w:color="auto"/>
      </w:divBdr>
    </w:div>
    <w:div w:id="711803803">
      <w:bodyDiv w:val="1"/>
      <w:marLeft w:val="0"/>
      <w:marRight w:val="0"/>
      <w:marTop w:val="0"/>
      <w:marBottom w:val="0"/>
      <w:divBdr>
        <w:top w:val="none" w:sz="0" w:space="0" w:color="auto"/>
        <w:left w:val="none" w:sz="0" w:space="0" w:color="auto"/>
        <w:bottom w:val="none" w:sz="0" w:space="0" w:color="auto"/>
        <w:right w:val="none" w:sz="0" w:space="0" w:color="auto"/>
      </w:divBdr>
    </w:div>
    <w:div w:id="714431043">
      <w:bodyDiv w:val="1"/>
      <w:marLeft w:val="0"/>
      <w:marRight w:val="0"/>
      <w:marTop w:val="0"/>
      <w:marBottom w:val="0"/>
      <w:divBdr>
        <w:top w:val="none" w:sz="0" w:space="0" w:color="auto"/>
        <w:left w:val="none" w:sz="0" w:space="0" w:color="auto"/>
        <w:bottom w:val="none" w:sz="0" w:space="0" w:color="auto"/>
        <w:right w:val="none" w:sz="0" w:space="0" w:color="auto"/>
      </w:divBdr>
    </w:div>
    <w:div w:id="725878544">
      <w:bodyDiv w:val="1"/>
      <w:marLeft w:val="0"/>
      <w:marRight w:val="0"/>
      <w:marTop w:val="0"/>
      <w:marBottom w:val="0"/>
      <w:divBdr>
        <w:top w:val="none" w:sz="0" w:space="0" w:color="auto"/>
        <w:left w:val="none" w:sz="0" w:space="0" w:color="auto"/>
        <w:bottom w:val="none" w:sz="0" w:space="0" w:color="auto"/>
        <w:right w:val="none" w:sz="0" w:space="0" w:color="auto"/>
      </w:divBdr>
    </w:div>
    <w:div w:id="740835005">
      <w:bodyDiv w:val="1"/>
      <w:marLeft w:val="0"/>
      <w:marRight w:val="0"/>
      <w:marTop w:val="0"/>
      <w:marBottom w:val="0"/>
      <w:divBdr>
        <w:top w:val="none" w:sz="0" w:space="0" w:color="auto"/>
        <w:left w:val="none" w:sz="0" w:space="0" w:color="auto"/>
        <w:bottom w:val="none" w:sz="0" w:space="0" w:color="auto"/>
        <w:right w:val="none" w:sz="0" w:space="0" w:color="auto"/>
      </w:divBdr>
      <w:divsChild>
        <w:div w:id="1801069668">
          <w:marLeft w:val="0"/>
          <w:marRight w:val="0"/>
          <w:marTop w:val="0"/>
          <w:marBottom w:val="0"/>
          <w:divBdr>
            <w:top w:val="none" w:sz="0" w:space="0" w:color="auto"/>
            <w:left w:val="none" w:sz="0" w:space="0" w:color="auto"/>
            <w:bottom w:val="none" w:sz="0" w:space="0" w:color="auto"/>
            <w:right w:val="none" w:sz="0" w:space="0" w:color="auto"/>
          </w:divBdr>
          <w:divsChild>
            <w:div w:id="313684045">
              <w:marLeft w:val="0"/>
              <w:marRight w:val="0"/>
              <w:marTop w:val="0"/>
              <w:marBottom w:val="0"/>
              <w:divBdr>
                <w:top w:val="none" w:sz="0" w:space="0" w:color="auto"/>
                <w:left w:val="none" w:sz="0" w:space="0" w:color="auto"/>
                <w:bottom w:val="none" w:sz="0" w:space="0" w:color="auto"/>
                <w:right w:val="none" w:sz="0" w:space="0" w:color="auto"/>
              </w:divBdr>
              <w:divsChild>
                <w:div w:id="428238295">
                  <w:marLeft w:val="0"/>
                  <w:marRight w:val="0"/>
                  <w:marTop w:val="0"/>
                  <w:marBottom w:val="0"/>
                  <w:divBdr>
                    <w:top w:val="none" w:sz="0" w:space="0" w:color="auto"/>
                    <w:left w:val="none" w:sz="0" w:space="0" w:color="auto"/>
                    <w:bottom w:val="none" w:sz="0" w:space="0" w:color="auto"/>
                    <w:right w:val="none" w:sz="0" w:space="0" w:color="auto"/>
                  </w:divBdr>
                  <w:divsChild>
                    <w:div w:id="1111316967">
                      <w:marLeft w:val="1"/>
                      <w:marRight w:val="1"/>
                      <w:marTop w:val="0"/>
                      <w:marBottom w:val="0"/>
                      <w:divBdr>
                        <w:top w:val="none" w:sz="0" w:space="0" w:color="auto"/>
                        <w:left w:val="none" w:sz="0" w:space="0" w:color="auto"/>
                        <w:bottom w:val="none" w:sz="0" w:space="0" w:color="auto"/>
                        <w:right w:val="none" w:sz="0" w:space="0" w:color="auto"/>
                      </w:divBdr>
                      <w:divsChild>
                        <w:div w:id="1226257713">
                          <w:marLeft w:val="0"/>
                          <w:marRight w:val="0"/>
                          <w:marTop w:val="0"/>
                          <w:marBottom w:val="0"/>
                          <w:divBdr>
                            <w:top w:val="none" w:sz="0" w:space="0" w:color="auto"/>
                            <w:left w:val="none" w:sz="0" w:space="0" w:color="auto"/>
                            <w:bottom w:val="none" w:sz="0" w:space="0" w:color="auto"/>
                            <w:right w:val="none" w:sz="0" w:space="0" w:color="auto"/>
                          </w:divBdr>
                          <w:divsChild>
                            <w:div w:id="106124142">
                              <w:marLeft w:val="0"/>
                              <w:marRight w:val="0"/>
                              <w:marTop w:val="0"/>
                              <w:marBottom w:val="360"/>
                              <w:divBdr>
                                <w:top w:val="none" w:sz="0" w:space="0" w:color="auto"/>
                                <w:left w:val="none" w:sz="0" w:space="0" w:color="auto"/>
                                <w:bottom w:val="none" w:sz="0" w:space="0" w:color="auto"/>
                                <w:right w:val="none" w:sz="0" w:space="0" w:color="auto"/>
                              </w:divBdr>
                              <w:divsChild>
                                <w:div w:id="1587955243">
                                  <w:marLeft w:val="0"/>
                                  <w:marRight w:val="0"/>
                                  <w:marTop w:val="0"/>
                                  <w:marBottom w:val="0"/>
                                  <w:divBdr>
                                    <w:top w:val="none" w:sz="0" w:space="0" w:color="auto"/>
                                    <w:left w:val="none" w:sz="0" w:space="0" w:color="auto"/>
                                    <w:bottom w:val="none" w:sz="0" w:space="0" w:color="auto"/>
                                    <w:right w:val="none" w:sz="0" w:space="0" w:color="auto"/>
                                  </w:divBdr>
                                  <w:divsChild>
                                    <w:div w:id="1735660264">
                                      <w:marLeft w:val="0"/>
                                      <w:marRight w:val="0"/>
                                      <w:marTop w:val="0"/>
                                      <w:marBottom w:val="0"/>
                                      <w:divBdr>
                                        <w:top w:val="none" w:sz="0" w:space="0" w:color="auto"/>
                                        <w:left w:val="none" w:sz="0" w:space="0" w:color="auto"/>
                                        <w:bottom w:val="none" w:sz="0" w:space="0" w:color="auto"/>
                                        <w:right w:val="none" w:sz="0" w:space="0" w:color="auto"/>
                                      </w:divBdr>
                                      <w:divsChild>
                                        <w:div w:id="1471820089">
                                          <w:marLeft w:val="0"/>
                                          <w:marRight w:val="0"/>
                                          <w:marTop w:val="0"/>
                                          <w:marBottom w:val="0"/>
                                          <w:divBdr>
                                            <w:top w:val="none" w:sz="0" w:space="0" w:color="auto"/>
                                            <w:left w:val="none" w:sz="0" w:space="0" w:color="auto"/>
                                            <w:bottom w:val="none" w:sz="0" w:space="0" w:color="auto"/>
                                            <w:right w:val="none" w:sz="0" w:space="0" w:color="auto"/>
                                          </w:divBdr>
                                          <w:divsChild>
                                            <w:div w:id="1924028508">
                                              <w:marLeft w:val="0"/>
                                              <w:marRight w:val="0"/>
                                              <w:marTop w:val="0"/>
                                              <w:marBottom w:val="0"/>
                                              <w:divBdr>
                                                <w:top w:val="none" w:sz="0" w:space="0" w:color="auto"/>
                                                <w:left w:val="none" w:sz="0" w:space="0" w:color="auto"/>
                                                <w:bottom w:val="none" w:sz="0" w:space="0" w:color="auto"/>
                                                <w:right w:val="none" w:sz="0" w:space="0" w:color="auto"/>
                                              </w:divBdr>
                                              <w:divsChild>
                                                <w:div w:id="4302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609971">
      <w:bodyDiv w:val="1"/>
      <w:marLeft w:val="0"/>
      <w:marRight w:val="0"/>
      <w:marTop w:val="0"/>
      <w:marBottom w:val="0"/>
      <w:divBdr>
        <w:top w:val="none" w:sz="0" w:space="0" w:color="auto"/>
        <w:left w:val="none" w:sz="0" w:space="0" w:color="auto"/>
        <w:bottom w:val="none" w:sz="0" w:space="0" w:color="auto"/>
        <w:right w:val="none" w:sz="0" w:space="0" w:color="auto"/>
      </w:divBdr>
    </w:div>
    <w:div w:id="742138619">
      <w:bodyDiv w:val="1"/>
      <w:marLeft w:val="0"/>
      <w:marRight w:val="0"/>
      <w:marTop w:val="0"/>
      <w:marBottom w:val="0"/>
      <w:divBdr>
        <w:top w:val="none" w:sz="0" w:space="0" w:color="auto"/>
        <w:left w:val="none" w:sz="0" w:space="0" w:color="auto"/>
        <w:bottom w:val="none" w:sz="0" w:space="0" w:color="auto"/>
        <w:right w:val="none" w:sz="0" w:space="0" w:color="auto"/>
      </w:divBdr>
    </w:div>
    <w:div w:id="742918124">
      <w:bodyDiv w:val="1"/>
      <w:marLeft w:val="0"/>
      <w:marRight w:val="0"/>
      <w:marTop w:val="0"/>
      <w:marBottom w:val="0"/>
      <w:divBdr>
        <w:top w:val="none" w:sz="0" w:space="0" w:color="auto"/>
        <w:left w:val="none" w:sz="0" w:space="0" w:color="auto"/>
        <w:bottom w:val="none" w:sz="0" w:space="0" w:color="auto"/>
        <w:right w:val="none" w:sz="0" w:space="0" w:color="auto"/>
      </w:divBdr>
    </w:div>
    <w:div w:id="744113090">
      <w:bodyDiv w:val="1"/>
      <w:marLeft w:val="0"/>
      <w:marRight w:val="0"/>
      <w:marTop w:val="0"/>
      <w:marBottom w:val="0"/>
      <w:divBdr>
        <w:top w:val="none" w:sz="0" w:space="0" w:color="auto"/>
        <w:left w:val="none" w:sz="0" w:space="0" w:color="auto"/>
        <w:bottom w:val="none" w:sz="0" w:space="0" w:color="auto"/>
        <w:right w:val="none" w:sz="0" w:space="0" w:color="auto"/>
      </w:divBdr>
    </w:div>
    <w:div w:id="758259364">
      <w:bodyDiv w:val="1"/>
      <w:marLeft w:val="0"/>
      <w:marRight w:val="0"/>
      <w:marTop w:val="0"/>
      <w:marBottom w:val="0"/>
      <w:divBdr>
        <w:top w:val="none" w:sz="0" w:space="0" w:color="auto"/>
        <w:left w:val="none" w:sz="0" w:space="0" w:color="auto"/>
        <w:bottom w:val="none" w:sz="0" w:space="0" w:color="auto"/>
        <w:right w:val="none" w:sz="0" w:space="0" w:color="auto"/>
      </w:divBdr>
    </w:div>
    <w:div w:id="760567759">
      <w:bodyDiv w:val="1"/>
      <w:marLeft w:val="0"/>
      <w:marRight w:val="0"/>
      <w:marTop w:val="0"/>
      <w:marBottom w:val="0"/>
      <w:divBdr>
        <w:top w:val="none" w:sz="0" w:space="0" w:color="auto"/>
        <w:left w:val="none" w:sz="0" w:space="0" w:color="auto"/>
        <w:bottom w:val="none" w:sz="0" w:space="0" w:color="auto"/>
        <w:right w:val="none" w:sz="0" w:space="0" w:color="auto"/>
      </w:divBdr>
    </w:div>
    <w:div w:id="773483069">
      <w:bodyDiv w:val="1"/>
      <w:marLeft w:val="0"/>
      <w:marRight w:val="0"/>
      <w:marTop w:val="0"/>
      <w:marBottom w:val="0"/>
      <w:divBdr>
        <w:top w:val="none" w:sz="0" w:space="0" w:color="auto"/>
        <w:left w:val="none" w:sz="0" w:space="0" w:color="auto"/>
        <w:bottom w:val="none" w:sz="0" w:space="0" w:color="auto"/>
        <w:right w:val="none" w:sz="0" w:space="0" w:color="auto"/>
      </w:divBdr>
    </w:div>
    <w:div w:id="779035355">
      <w:bodyDiv w:val="1"/>
      <w:marLeft w:val="0"/>
      <w:marRight w:val="0"/>
      <w:marTop w:val="0"/>
      <w:marBottom w:val="0"/>
      <w:divBdr>
        <w:top w:val="none" w:sz="0" w:space="0" w:color="auto"/>
        <w:left w:val="none" w:sz="0" w:space="0" w:color="auto"/>
        <w:bottom w:val="none" w:sz="0" w:space="0" w:color="auto"/>
        <w:right w:val="none" w:sz="0" w:space="0" w:color="auto"/>
      </w:divBdr>
    </w:div>
    <w:div w:id="780807287">
      <w:bodyDiv w:val="1"/>
      <w:marLeft w:val="0"/>
      <w:marRight w:val="0"/>
      <w:marTop w:val="0"/>
      <w:marBottom w:val="0"/>
      <w:divBdr>
        <w:top w:val="none" w:sz="0" w:space="0" w:color="auto"/>
        <w:left w:val="none" w:sz="0" w:space="0" w:color="auto"/>
        <w:bottom w:val="none" w:sz="0" w:space="0" w:color="auto"/>
        <w:right w:val="none" w:sz="0" w:space="0" w:color="auto"/>
      </w:divBdr>
    </w:div>
    <w:div w:id="808519982">
      <w:bodyDiv w:val="1"/>
      <w:marLeft w:val="0"/>
      <w:marRight w:val="0"/>
      <w:marTop w:val="0"/>
      <w:marBottom w:val="0"/>
      <w:divBdr>
        <w:top w:val="none" w:sz="0" w:space="0" w:color="auto"/>
        <w:left w:val="none" w:sz="0" w:space="0" w:color="auto"/>
        <w:bottom w:val="none" w:sz="0" w:space="0" w:color="auto"/>
        <w:right w:val="none" w:sz="0" w:space="0" w:color="auto"/>
      </w:divBdr>
    </w:div>
    <w:div w:id="812450771">
      <w:bodyDiv w:val="1"/>
      <w:marLeft w:val="0"/>
      <w:marRight w:val="0"/>
      <w:marTop w:val="0"/>
      <w:marBottom w:val="0"/>
      <w:divBdr>
        <w:top w:val="none" w:sz="0" w:space="0" w:color="auto"/>
        <w:left w:val="none" w:sz="0" w:space="0" w:color="auto"/>
        <w:bottom w:val="none" w:sz="0" w:space="0" w:color="auto"/>
        <w:right w:val="none" w:sz="0" w:space="0" w:color="auto"/>
      </w:divBdr>
    </w:div>
    <w:div w:id="823811317">
      <w:bodyDiv w:val="1"/>
      <w:marLeft w:val="0"/>
      <w:marRight w:val="0"/>
      <w:marTop w:val="0"/>
      <w:marBottom w:val="0"/>
      <w:divBdr>
        <w:top w:val="none" w:sz="0" w:space="0" w:color="auto"/>
        <w:left w:val="none" w:sz="0" w:space="0" w:color="auto"/>
        <w:bottom w:val="none" w:sz="0" w:space="0" w:color="auto"/>
        <w:right w:val="none" w:sz="0" w:space="0" w:color="auto"/>
      </w:divBdr>
    </w:div>
    <w:div w:id="830633446">
      <w:bodyDiv w:val="1"/>
      <w:marLeft w:val="0"/>
      <w:marRight w:val="0"/>
      <w:marTop w:val="0"/>
      <w:marBottom w:val="0"/>
      <w:divBdr>
        <w:top w:val="none" w:sz="0" w:space="0" w:color="auto"/>
        <w:left w:val="none" w:sz="0" w:space="0" w:color="auto"/>
        <w:bottom w:val="none" w:sz="0" w:space="0" w:color="auto"/>
        <w:right w:val="none" w:sz="0" w:space="0" w:color="auto"/>
      </w:divBdr>
    </w:div>
    <w:div w:id="841550746">
      <w:bodyDiv w:val="1"/>
      <w:marLeft w:val="0"/>
      <w:marRight w:val="0"/>
      <w:marTop w:val="0"/>
      <w:marBottom w:val="0"/>
      <w:divBdr>
        <w:top w:val="none" w:sz="0" w:space="0" w:color="auto"/>
        <w:left w:val="none" w:sz="0" w:space="0" w:color="auto"/>
        <w:bottom w:val="none" w:sz="0" w:space="0" w:color="auto"/>
        <w:right w:val="none" w:sz="0" w:space="0" w:color="auto"/>
      </w:divBdr>
    </w:div>
    <w:div w:id="867911620">
      <w:bodyDiv w:val="1"/>
      <w:marLeft w:val="0"/>
      <w:marRight w:val="0"/>
      <w:marTop w:val="0"/>
      <w:marBottom w:val="0"/>
      <w:divBdr>
        <w:top w:val="none" w:sz="0" w:space="0" w:color="auto"/>
        <w:left w:val="none" w:sz="0" w:space="0" w:color="auto"/>
        <w:bottom w:val="none" w:sz="0" w:space="0" w:color="auto"/>
        <w:right w:val="none" w:sz="0" w:space="0" w:color="auto"/>
      </w:divBdr>
    </w:div>
    <w:div w:id="869298146">
      <w:bodyDiv w:val="1"/>
      <w:marLeft w:val="0"/>
      <w:marRight w:val="0"/>
      <w:marTop w:val="0"/>
      <w:marBottom w:val="0"/>
      <w:divBdr>
        <w:top w:val="none" w:sz="0" w:space="0" w:color="auto"/>
        <w:left w:val="none" w:sz="0" w:space="0" w:color="auto"/>
        <w:bottom w:val="none" w:sz="0" w:space="0" w:color="auto"/>
        <w:right w:val="none" w:sz="0" w:space="0" w:color="auto"/>
      </w:divBdr>
    </w:div>
    <w:div w:id="878739403">
      <w:bodyDiv w:val="1"/>
      <w:marLeft w:val="0"/>
      <w:marRight w:val="0"/>
      <w:marTop w:val="0"/>
      <w:marBottom w:val="0"/>
      <w:divBdr>
        <w:top w:val="none" w:sz="0" w:space="0" w:color="auto"/>
        <w:left w:val="none" w:sz="0" w:space="0" w:color="auto"/>
        <w:bottom w:val="none" w:sz="0" w:space="0" w:color="auto"/>
        <w:right w:val="none" w:sz="0" w:space="0" w:color="auto"/>
      </w:divBdr>
    </w:div>
    <w:div w:id="911695255">
      <w:bodyDiv w:val="1"/>
      <w:marLeft w:val="0"/>
      <w:marRight w:val="0"/>
      <w:marTop w:val="0"/>
      <w:marBottom w:val="0"/>
      <w:divBdr>
        <w:top w:val="none" w:sz="0" w:space="0" w:color="auto"/>
        <w:left w:val="none" w:sz="0" w:space="0" w:color="auto"/>
        <w:bottom w:val="none" w:sz="0" w:space="0" w:color="auto"/>
        <w:right w:val="none" w:sz="0" w:space="0" w:color="auto"/>
      </w:divBdr>
    </w:div>
    <w:div w:id="918831205">
      <w:bodyDiv w:val="1"/>
      <w:marLeft w:val="0"/>
      <w:marRight w:val="0"/>
      <w:marTop w:val="0"/>
      <w:marBottom w:val="0"/>
      <w:divBdr>
        <w:top w:val="none" w:sz="0" w:space="0" w:color="auto"/>
        <w:left w:val="none" w:sz="0" w:space="0" w:color="auto"/>
        <w:bottom w:val="none" w:sz="0" w:space="0" w:color="auto"/>
        <w:right w:val="none" w:sz="0" w:space="0" w:color="auto"/>
      </w:divBdr>
    </w:div>
    <w:div w:id="919948141">
      <w:bodyDiv w:val="1"/>
      <w:marLeft w:val="0"/>
      <w:marRight w:val="0"/>
      <w:marTop w:val="0"/>
      <w:marBottom w:val="0"/>
      <w:divBdr>
        <w:top w:val="none" w:sz="0" w:space="0" w:color="auto"/>
        <w:left w:val="none" w:sz="0" w:space="0" w:color="auto"/>
        <w:bottom w:val="none" w:sz="0" w:space="0" w:color="auto"/>
        <w:right w:val="none" w:sz="0" w:space="0" w:color="auto"/>
      </w:divBdr>
    </w:div>
    <w:div w:id="946238297">
      <w:bodyDiv w:val="1"/>
      <w:marLeft w:val="0"/>
      <w:marRight w:val="0"/>
      <w:marTop w:val="0"/>
      <w:marBottom w:val="0"/>
      <w:divBdr>
        <w:top w:val="none" w:sz="0" w:space="0" w:color="auto"/>
        <w:left w:val="none" w:sz="0" w:space="0" w:color="auto"/>
        <w:bottom w:val="none" w:sz="0" w:space="0" w:color="auto"/>
        <w:right w:val="none" w:sz="0" w:space="0" w:color="auto"/>
      </w:divBdr>
    </w:div>
    <w:div w:id="948242677">
      <w:bodyDiv w:val="1"/>
      <w:marLeft w:val="0"/>
      <w:marRight w:val="0"/>
      <w:marTop w:val="0"/>
      <w:marBottom w:val="0"/>
      <w:divBdr>
        <w:top w:val="none" w:sz="0" w:space="0" w:color="auto"/>
        <w:left w:val="none" w:sz="0" w:space="0" w:color="auto"/>
        <w:bottom w:val="none" w:sz="0" w:space="0" w:color="auto"/>
        <w:right w:val="none" w:sz="0" w:space="0" w:color="auto"/>
      </w:divBdr>
    </w:div>
    <w:div w:id="960188176">
      <w:bodyDiv w:val="1"/>
      <w:marLeft w:val="0"/>
      <w:marRight w:val="0"/>
      <w:marTop w:val="0"/>
      <w:marBottom w:val="0"/>
      <w:divBdr>
        <w:top w:val="none" w:sz="0" w:space="0" w:color="auto"/>
        <w:left w:val="none" w:sz="0" w:space="0" w:color="auto"/>
        <w:bottom w:val="none" w:sz="0" w:space="0" w:color="auto"/>
        <w:right w:val="none" w:sz="0" w:space="0" w:color="auto"/>
      </w:divBdr>
    </w:div>
    <w:div w:id="965696661">
      <w:bodyDiv w:val="1"/>
      <w:marLeft w:val="0"/>
      <w:marRight w:val="0"/>
      <w:marTop w:val="0"/>
      <w:marBottom w:val="0"/>
      <w:divBdr>
        <w:top w:val="none" w:sz="0" w:space="0" w:color="auto"/>
        <w:left w:val="none" w:sz="0" w:space="0" w:color="auto"/>
        <w:bottom w:val="none" w:sz="0" w:space="0" w:color="auto"/>
        <w:right w:val="none" w:sz="0" w:space="0" w:color="auto"/>
      </w:divBdr>
    </w:div>
    <w:div w:id="979530168">
      <w:bodyDiv w:val="1"/>
      <w:marLeft w:val="0"/>
      <w:marRight w:val="0"/>
      <w:marTop w:val="0"/>
      <w:marBottom w:val="0"/>
      <w:divBdr>
        <w:top w:val="none" w:sz="0" w:space="0" w:color="auto"/>
        <w:left w:val="none" w:sz="0" w:space="0" w:color="auto"/>
        <w:bottom w:val="none" w:sz="0" w:space="0" w:color="auto"/>
        <w:right w:val="none" w:sz="0" w:space="0" w:color="auto"/>
      </w:divBdr>
    </w:div>
    <w:div w:id="980426976">
      <w:bodyDiv w:val="1"/>
      <w:marLeft w:val="0"/>
      <w:marRight w:val="0"/>
      <w:marTop w:val="0"/>
      <w:marBottom w:val="0"/>
      <w:divBdr>
        <w:top w:val="none" w:sz="0" w:space="0" w:color="auto"/>
        <w:left w:val="none" w:sz="0" w:space="0" w:color="auto"/>
        <w:bottom w:val="none" w:sz="0" w:space="0" w:color="auto"/>
        <w:right w:val="none" w:sz="0" w:space="0" w:color="auto"/>
      </w:divBdr>
    </w:div>
    <w:div w:id="989865874">
      <w:bodyDiv w:val="1"/>
      <w:marLeft w:val="0"/>
      <w:marRight w:val="0"/>
      <w:marTop w:val="0"/>
      <w:marBottom w:val="0"/>
      <w:divBdr>
        <w:top w:val="none" w:sz="0" w:space="0" w:color="auto"/>
        <w:left w:val="none" w:sz="0" w:space="0" w:color="auto"/>
        <w:bottom w:val="none" w:sz="0" w:space="0" w:color="auto"/>
        <w:right w:val="none" w:sz="0" w:space="0" w:color="auto"/>
      </w:divBdr>
    </w:div>
    <w:div w:id="1004165521">
      <w:bodyDiv w:val="1"/>
      <w:marLeft w:val="0"/>
      <w:marRight w:val="0"/>
      <w:marTop w:val="0"/>
      <w:marBottom w:val="0"/>
      <w:divBdr>
        <w:top w:val="none" w:sz="0" w:space="0" w:color="auto"/>
        <w:left w:val="none" w:sz="0" w:space="0" w:color="auto"/>
        <w:bottom w:val="none" w:sz="0" w:space="0" w:color="auto"/>
        <w:right w:val="none" w:sz="0" w:space="0" w:color="auto"/>
      </w:divBdr>
    </w:div>
    <w:div w:id="1011571637">
      <w:bodyDiv w:val="1"/>
      <w:marLeft w:val="0"/>
      <w:marRight w:val="0"/>
      <w:marTop w:val="0"/>
      <w:marBottom w:val="0"/>
      <w:divBdr>
        <w:top w:val="none" w:sz="0" w:space="0" w:color="auto"/>
        <w:left w:val="none" w:sz="0" w:space="0" w:color="auto"/>
        <w:bottom w:val="none" w:sz="0" w:space="0" w:color="auto"/>
        <w:right w:val="none" w:sz="0" w:space="0" w:color="auto"/>
      </w:divBdr>
    </w:div>
    <w:div w:id="1022976524">
      <w:bodyDiv w:val="1"/>
      <w:marLeft w:val="0"/>
      <w:marRight w:val="0"/>
      <w:marTop w:val="0"/>
      <w:marBottom w:val="0"/>
      <w:divBdr>
        <w:top w:val="none" w:sz="0" w:space="0" w:color="auto"/>
        <w:left w:val="none" w:sz="0" w:space="0" w:color="auto"/>
        <w:bottom w:val="none" w:sz="0" w:space="0" w:color="auto"/>
        <w:right w:val="none" w:sz="0" w:space="0" w:color="auto"/>
      </w:divBdr>
    </w:div>
    <w:div w:id="1023435856">
      <w:bodyDiv w:val="1"/>
      <w:marLeft w:val="0"/>
      <w:marRight w:val="0"/>
      <w:marTop w:val="0"/>
      <w:marBottom w:val="0"/>
      <w:divBdr>
        <w:top w:val="none" w:sz="0" w:space="0" w:color="auto"/>
        <w:left w:val="none" w:sz="0" w:space="0" w:color="auto"/>
        <w:bottom w:val="none" w:sz="0" w:space="0" w:color="auto"/>
        <w:right w:val="none" w:sz="0" w:space="0" w:color="auto"/>
      </w:divBdr>
    </w:div>
    <w:div w:id="1026710475">
      <w:bodyDiv w:val="1"/>
      <w:marLeft w:val="0"/>
      <w:marRight w:val="0"/>
      <w:marTop w:val="0"/>
      <w:marBottom w:val="0"/>
      <w:divBdr>
        <w:top w:val="none" w:sz="0" w:space="0" w:color="auto"/>
        <w:left w:val="none" w:sz="0" w:space="0" w:color="auto"/>
        <w:bottom w:val="none" w:sz="0" w:space="0" w:color="auto"/>
        <w:right w:val="none" w:sz="0" w:space="0" w:color="auto"/>
      </w:divBdr>
    </w:div>
    <w:div w:id="1028289510">
      <w:bodyDiv w:val="1"/>
      <w:marLeft w:val="0"/>
      <w:marRight w:val="0"/>
      <w:marTop w:val="0"/>
      <w:marBottom w:val="0"/>
      <w:divBdr>
        <w:top w:val="none" w:sz="0" w:space="0" w:color="auto"/>
        <w:left w:val="none" w:sz="0" w:space="0" w:color="auto"/>
        <w:bottom w:val="none" w:sz="0" w:space="0" w:color="auto"/>
        <w:right w:val="none" w:sz="0" w:space="0" w:color="auto"/>
      </w:divBdr>
    </w:div>
    <w:div w:id="1028488413">
      <w:bodyDiv w:val="1"/>
      <w:marLeft w:val="0"/>
      <w:marRight w:val="0"/>
      <w:marTop w:val="0"/>
      <w:marBottom w:val="0"/>
      <w:divBdr>
        <w:top w:val="none" w:sz="0" w:space="0" w:color="auto"/>
        <w:left w:val="none" w:sz="0" w:space="0" w:color="auto"/>
        <w:bottom w:val="none" w:sz="0" w:space="0" w:color="auto"/>
        <w:right w:val="none" w:sz="0" w:space="0" w:color="auto"/>
      </w:divBdr>
    </w:div>
    <w:div w:id="1042176012">
      <w:bodyDiv w:val="1"/>
      <w:marLeft w:val="0"/>
      <w:marRight w:val="0"/>
      <w:marTop w:val="0"/>
      <w:marBottom w:val="0"/>
      <w:divBdr>
        <w:top w:val="none" w:sz="0" w:space="0" w:color="auto"/>
        <w:left w:val="none" w:sz="0" w:space="0" w:color="auto"/>
        <w:bottom w:val="none" w:sz="0" w:space="0" w:color="auto"/>
        <w:right w:val="none" w:sz="0" w:space="0" w:color="auto"/>
      </w:divBdr>
    </w:div>
    <w:div w:id="1043751407">
      <w:bodyDiv w:val="1"/>
      <w:marLeft w:val="0"/>
      <w:marRight w:val="0"/>
      <w:marTop w:val="0"/>
      <w:marBottom w:val="0"/>
      <w:divBdr>
        <w:top w:val="none" w:sz="0" w:space="0" w:color="auto"/>
        <w:left w:val="none" w:sz="0" w:space="0" w:color="auto"/>
        <w:bottom w:val="none" w:sz="0" w:space="0" w:color="auto"/>
        <w:right w:val="none" w:sz="0" w:space="0" w:color="auto"/>
      </w:divBdr>
    </w:div>
    <w:div w:id="1056272075">
      <w:bodyDiv w:val="1"/>
      <w:marLeft w:val="0"/>
      <w:marRight w:val="0"/>
      <w:marTop w:val="0"/>
      <w:marBottom w:val="0"/>
      <w:divBdr>
        <w:top w:val="none" w:sz="0" w:space="0" w:color="auto"/>
        <w:left w:val="none" w:sz="0" w:space="0" w:color="auto"/>
        <w:bottom w:val="none" w:sz="0" w:space="0" w:color="auto"/>
        <w:right w:val="none" w:sz="0" w:space="0" w:color="auto"/>
      </w:divBdr>
    </w:div>
    <w:div w:id="1056735025">
      <w:bodyDiv w:val="1"/>
      <w:marLeft w:val="0"/>
      <w:marRight w:val="0"/>
      <w:marTop w:val="0"/>
      <w:marBottom w:val="0"/>
      <w:divBdr>
        <w:top w:val="none" w:sz="0" w:space="0" w:color="auto"/>
        <w:left w:val="none" w:sz="0" w:space="0" w:color="auto"/>
        <w:bottom w:val="none" w:sz="0" w:space="0" w:color="auto"/>
        <w:right w:val="none" w:sz="0" w:space="0" w:color="auto"/>
      </w:divBdr>
    </w:div>
    <w:div w:id="1072508285">
      <w:bodyDiv w:val="1"/>
      <w:marLeft w:val="0"/>
      <w:marRight w:val="0"/>
      <w:marTop w:val="0"/>
      <w:marBottom w:val="0"/>
      <w:divBdr>
        <w:top w:val="none" w:sz="0" w:space="0" w:color="auto"/>
        <w:left w:val="none" w:sz="0" w:space="0" w:color="auto"/>
        <w:bottom w:val="none" w:sz="0" w:space="0" w:color="auto"/>
        <w:right w:val="none" w:sz="0" w:space="0" w:color="auto"/>
      </w:divBdr>
    </w:div>
    <w:div w:id="1110661558">
      <w:bodyDiv w:val="1"/>
      <w:marLeft w:val="0"/>
      <w:marRight w:val="0"/>
      <w:marTop w:val="0"/>
      <w:marBottom w:val="0"/>
      <w:divBdr>
        <w:top w:val="none" w:sz="0" w:space="0" w:color="auto"/>
        <w:left w:val="none" w:sz="0" w:space="0" w:color="auto"/>
        <w:bottom w:val="none" w:sz="0" w:space="0" w:color="auto"/>
        <w:right w:val="none" w:sz="0" w:space="0" w:color="auto"/>
      </w:divBdr>
    </w:div>
    <w:div w:id="1110977457">
      <w:bodyDiv w:val="1"/>
      <w:marLeft w:val="0"/>
      <w:marRight w:val="0"/>
      <w:marTop w:val="0"/>
      <w:marBottom w:val="0"/>
      <w:divBdr>
        <w:top w:val="none" w:sz="0" w:space="0" w:color="auto"/>
        <w:left w:val="none" w:sz="0" w:space="0" w:color="auto"/>
        <w:bottom w:val="none" w:sz="0" w:space="0" w:color="auto"/>
        <w:right w:val="none" w:sz="0" w:space="0" w:color="auto"/>
      </w:divBdr>
    </w:div>
    <w:div w:id="1112095475">
      <w:bodyDiv w:val="1"/>
      <w:marLeft w:val="0"/>
      <w:marRight w:val="0"/>
      <w:marTop w:val="0"/>
      <w:marBottom w:val="0"/>
      <w:divBdr>
        <w:top w:val="none" w:sz="0" w:space="0" w:color="auto"/>
        <w:left w:val="none" w:sz="0" w:space="0" w:color="auto"/>
        <w:bottom w:val="none" w:sz="0" w:space="0" w:color="auto"/>
        <w:right w:val="none" w:sz="0" w:space="0" w:color="auto"/>
      </w:divBdr>
    </w:div>
    <w:div w:id="1113018004">
      <w:bodyDiv w:val="1"/>
      <w:marLeft w:val="0"/>
      <w:marRight w:val="0"/>
      <w:marTop w:val="0"/>
      <w:marBottom w:val="0"/>
      <w:divBdr>
        <w:top w:val="none" w:sz="0" w:space="0" w:color="auto"/>
        <w:left w:val="none" w:sz="0" w:space="0" w:color="auto"/>
        <w:bottom w:val="none" w:sz="0" w:space="0" w:color="auto"/>
        <w:right w:val="none" w:sz="0" w:space="0" w:color="auto"/>
      </w:divBdr>
    </w:div>
    <w:div w:id="1115826755">
      <w:bodyDiv w:val="1"/>
      <w:marLeft w:val="0"/>
      <w:marRight w:val="0"/>
      <w:marTop w:val="0"/>
      <w:marBottom w:val="0"/>
      <w:divBdr>
        <w:top w:val="none" w:sz="0" w:space="0" w:color="auto"/>
        <w:left w:val="none" w:sz="0" w:space="0" w:color="auto"/>
        <w:bottom w:val="none" w:sz="0" w:space="0" w:color="auto"/>
        <w:right w:val="none" w:sz="0" w:space="0" w:color="auto"/>
      </w:divBdr>
      <w:divsChild>
        <w:div w:id="963270614">
          <w:marLeft w:val="446"/>
          <w:marRight w:val="0"/>
          <w:marTop w:val="120"/>
          <w:marBottom w:val="0"/>
          <w:divBdr>
            <w:top w:val="none" w:sz="0" w:space="0" w:color="auto"/>
            <w:left w:val="none" w:sz="0" w:space="0" w:color="auto"/>
            <w:bottom w:val="none" w:sz="0" w:space="0" w:color="auto"/>
            <w:right w:val="none" w:sz="0" w:space="0" w:color="auto"/>
          </w:divBdr>
        </w:div>
      </w:divsChild>
    </w:div>
    <w:div w:id="1130172584">
      <w:bodyDiv w:val="1"/>
      <w:marLeft w:val="0"/>
      <w:marRight w:val="0"/>
      <w:marTop w:val="0"/>
      <w:marBottom w:val="0"/>
      <w:divBdr>
        <w:top w:val="none" w:sz="0" w:space="0" w:color="auto"/>
        <w:left w:val="none" w:sz="0" w:space="0" w:color="auto"/>
        <w:bottom w:val="none" w:sz="0" w:space="0" w:color="auto"/>
        <w:right w:val="none" w:sz="0" w:space="0" w:color="auto"/>
      </w:divBdr>
    </w:div>
    <w:div w:id="1147164202">
      <w:bodyDiv w:val="1"/>
      <w:marLeft w:val="0"/>
      <w:marRight w:val="0"/>
      <w:marTop w:val="0"/>
      <w:marBottom w:val="0"/>
      <w:divBdr>
        <w:top w:val="none" w:sz="0" w:space="0" w:color="auto"/>
        <w:left w:val="none" w:sz="0" w:space="0" w:color="auto"/>
        <w:bottom w:val="none" w:sz="0" w:space="0" w:color="auto"/>
        <w:right w:val="none" w:sz="0" w:space="0" w:color="auto"/>
      </w:divBdr>
    </w:div>
    <w:div w:id="1151210327">
      <w:bodyDiv w:val="1"/>
      <w:marLeft w:val="0"/>
      <w:marRight w:val="0"/>
      <w:marTop w:val="0"/>
      <w:marBottom w:val="0"/>
      <w:divBdr>
        <w:top w:val="none" w:sz="0" w:space="0" w:color="auto"/>
        <w:left w:val="none" w:sz="0" w:space="0" w:color="auto"/>
        <w:bottom w:val="none" w:sz="0" w:space="0" w:color="auto"/>
        <w:right w:val="none" w:sz="0" w:space="0" w:color="auto"/>
      </w:divBdr>
    </w:div>
    <w:div w:id="1180388853">
      <w:bodyDiv w:val="1"/>
      <w:marLeft w:val="0"/>
      <w:marRight w:val="0"/>
      <w:marTop w:val="0"/>
      <w:marBottom w:val="0"/>
      <w:divBdr>
        <w:top w:val="none" w:sz="0" w:space="0" w:color="auto"/>
        <w:left w:val="none" w:sz="0" w:space="0" w:color="auto"/>
        <w:bottom w:val="none" w:sz="0" w:space="0" w:color="auto"/>
        <w:right w:val="none" w:sz="0" w:space="0" w:color="auto"/>
      </w:divBdr>
    </w:div>
    <w:div w:id="1199274066">
      <w:bodyDiv w:val="1"/>
      <w:marLeft w:val="0"/>
      <w:marRight w:val="0"/>
      <w:marTop w:val="0"/>
      <w:marBottom w:val="0"/>
      <w:divBdr>
        <w:top w:val="none" w:sz="0" w:space="0" w:color="auto"/>
        <w:left w:val="none" w:sz="0" w:space="0" w:color="auto"/>
        <w:bottom w:val="none" w:sz="0" w:space="0" w:color="auto"/>
        <w:right w:val="none" w:sz="0" w:space="0" w:color="auto"/>
      </w:divBdr>
      <w:divsChild>
        <w:div w:id="1715890669">
          <w:marLeft w:val="0"/>
          <w:marRight w:val="0"/>
          <w:marTop w:val="0"/>
          <w:marBottom w:val="0"/>
          <w:divBdr>
            <w:top w:val="none" w:sz="0" w:space="0" w:color="auto"/>
            <w:left w:val="none" w:sz="0" w:space="0" w:color="auto"/>
            <w:bottom w:val="none" w:sz="0" w:space="0" w:color="auto"/>
            <w:right w:val="none" w:sz="0" w:space="0" w:color="auto"/>
          </w:divBdr>
          <w:divsChild>
            <w:div w:id="927542861">
              <w:marLeft w:val="0"/>
              <w:marRight w:val="0"/>
              <w:marTop w:val="0"/>
              <w:marBottom w:val="0"/>
              <w:divBdr>
                <w:top w:val="none" w:sz="0" w:space="0" w:color="auto"/>
                <w:left w:val="none" w:sz="0" w:space="0" w:color="auto"/>
                <w:bottom w:val="none" w:sz="0" w:space="0" w:color="auto"/>
                <w:right w:val="none" w:sz="0" w:space="0" w:color="auto"/>
              </w:divBdr>
              <w:divsChild>
                <w:div w:id="1736391869">
                  <w:marLeft w:val="0"/>
                  <w:marRight w:val="0"/>
                  <w:marTop w:val="0"/>
                  <w:marBottom w:val="0"/>
                  <w:divBdr>
                    <w:top w:val="none" w:sz="0" w:space="0" w:color="auto"/>
                    <w:left w:val="none" w:sz="0" w:space="0" w:color="auto"/>
                    <w:bottom w:val="none" w:sz="0" w:space="0" w:color="auto"/>
                    <w:right w:val="none" w:sz="0" w:space="0" w:color="auto"/>
                  </w:divBdr>
                  <w:divsChild>
                    <w:div w:id="955215599">
                      <w:marLeft w:val="0"/>
                      <w:marRight w:val="0"/>
                      <w:marTop w:val="0"/>
                      <w:marBottom w:val="0"/>
                      <w:divBdr>
                        <w:top w:val="none" w:sz="0" w:space="0" w:color="auto"/>
                        <w:left w:val="none" w:sz="0" w:space="0" w:color="auto"/>
                        <w:bottom w:val="none" w:sz="0" w:space="0" w:color="auto"/>
                        <w:right w:val="none" w:sz="0" w:space="0" w:color="auto"/>
                      </w:divBdr>
                      <w:divsChild>
                        <w:div w:id="11366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68780">
      <w:bodyDiv w:val="1"/>
      <w:marLeft w:val="0"/>
      <w:marRight w:val="0"/>
      <w:marTop w:val="0"/>
      <w:marBottom w:val="0"/>
      <w:divBdr>
        <w:top w:val="none" w:sz="0" w:space="0" w:color="auto"/>
        <w:left w:val="none" w:sz="0" w:space="0" w:color="auto"/>
        <w:bottom w:val="none" w:sz="0" w:space="0" w:color="auto"/>
        <w:right w:val="none" w:sz="0" w:space="0" w:color="auto"/>
      </w:divBdr>
    </w:div>
    <w:div w:id="1213074136">
      <w:bodyDiv w:val="1"/>
      <w:marLeft w:val="0"/>
      <w:marRight w:val="0"/>
      <w:marTop w:val="0"/>
      <w:marBottom w:val="0"/>
      <w:divBdr>
        <w:top w:val="none" w:sz="0" w:space="0" w:color="auto"/>
        <w:left w:val="none" w:sz="0" w:space="0" w:color="auto"/>
        <w:bottom w:val="none" w:sz="0" w:space="0" w:color="auto"/>
        <w:right w:val="none" w:sz="0" w:space="0" w:color="auto"/>
      </w:divBdr>
    </w:div>
    <w:div w:id="1217858422">
      <w:bodyDiv w:val="1"/>
      <w:marLeft w:val="0"/>
      <w:marRight w:val="0"/>
      <w:marTop w:val="0"/>
      <w:marBottom w:val="0"/>
      <w:divBdr>
        <w:top w:val="none" w:sz="0" w:space="0" w:color="auto"/>
        <w:left w:val="none" w:sz="0" w:space="0" w:color="auto"/>
        <w:bottom w:val="none" w:sz="0" w:space="0" w:color="auto"/>
        <w:right w:val="none" w:sz="0" w:space="0" w:color="auto"/>
      </w:divBdr>
    </w:div>
    <w:div w:id="1222400407">
      <w:bodyDiv w:val="1"/>
      <w:marLeft w:val="0"/>
      <w:marRight w:val="0"/>
      <w:marTop w:val="0"/>
      <w:marBottom w:val="0"/>
      <w:divBdr>
        <w:top w:val="none" w:sz="0" w:space="0" w:color="auto"/>
        <w:left w:val="none" w:sz="0" w:space="0" w:color="auto"/>
        <w:bottom w:val="none" w:sz="0" w:space="0" w:color="auto"/>
        <w:right w:val="none" w:sz="0" w:space="0" w:color="auto"/>
      </w:divBdr>
    </w:div>
    <w:div w:id="1227062741">
      <w:bodyDiv w:val="1"/>
      <w:marLeft w:val="0"/>
      <w:marRight w:val="0"/>
      <w:marTop w:val="0"/>
      <w:marBottom w:val="0"/>
      <w:divBdr>
        <w:top w:val="none" w:sz="0" w:space="0" w:color="auto"/>
        <w:left w:val="none" w:sz="0" w:space="0" w:color="auto"/>
        <w:bottom w:val="none" w:sz="0" w:space="0" w:color="auto"/>
        <w:right w:val="none" w:sz="0" w:space="0" w:color="auto"/>
      </w:divBdr>
    </w:div>
    <w:div w:id="1237398545">
      <w:bodyDiv w:val="1"/>
      <w:marLeft w:val="0"/>
      <w:marRight w:val="0"/>
      <w:marTop w:val="0"/>
      <w:marBottom w:val="0"/>
      <w:divBdr>
        <w:top w:val="none" w:sz="0" w:space="0" w:color="auto"/>
        <w:left w:val="none" w:sz="0" w:space="0" w:color="auto"/>
        <w:bottom w:val="none" w:sz="0" w:space="0" w:color="auto"/>
        <w:right w:val="none" w:sz="0" w:space="0" w:color="auto"/>
      </w:divBdr>
    </w:div>
    <w:div w:id="1255631887">
      <w:bodyDiv w:val="1"/>
      <w:marLeft w:val="0"/>
      <w:marRight w:val="0"/>
      <w:marTop w:val="0"/>
      <w:marBottom w:val="0"/>
      <w:divBdr>
        <w:top w:val="none" w:sz="0" w:space="0" w:color="auto"/>
        <w:left w:val="none" w:sz="0" w:space="0" w:color="auto"/>
        <w:bottom w:val="none" w:sz="0" w:space="0" w:color="auto"/>
        <w:right w:val="none" w:sz="0" w:space="0" w:color="auto"/>
      </w:divBdr>
    </w:div>
    <w:div w:id="1257329096">
      <w:bodyDiv w:val="1"/>
      <w:marLeft w:val="0"/>
      <w:marRight w:val="0"/>
      <w:marTop w:val="0"/>
      <w:marBottom w:val="0"/>
      <w:divBdr>
        <w:top w:val="none" w:sz="0" w:space="0" w:color="auto"/>
        <w:left w:val="none" w:sz="0" w:space="0" w:color="auto"/>
        <w:bottom w:val="none" w:sz="0" w:space="0" w:color="auto"/>
        <w:right w:val="none" w:sz="0" w:space="0" w:color="auto"/>
      </w:divBdr>
    </w:div>
    <w:div w:id="1263297116">
      <w:bodyDiv w:val="1"/>
      <w:marLeft w:val="0"/>
      <w:marRight w:val="0"/>
      <w:marTop w:val="0"/>
      <w:marBottom w:val="0"/>
      <w:divBdr>
        <w:top w:val="none" w:sz="0" w:space="0" w:color="auto"/>
        <w:left w:val="none" w:sz="0" w:space="0" w:color="auto"/>
        <w:bottom w:val="none" w:sz="0" w:space="0" w:color="auto"/>
        <w:right w:val="none" w:sz="0" w:space="0" w:color="auto"/>
      </w:divBdr>
    </w:div>
    <w:div w:id="1263876208">
      <w:bodyDiv w:val="1"/>
      <w:marLeft w:val="0"/>
      <w:marRight w:val="0"/>
      <w:marTop w:val="0"/>
      <w:marBottom w:val="0"/>
      <w:divBdr>
        <w:top w:val="none" w:sz="0" w:space="0" w:color="auto"/>
        <w:left w:val="none" w:sz="0" w:space="0" w:color="auto"/>
        <w:bottom w:val="none" w:sz="0" w:space="0" w:color="auto"/>
        <w:right w:val="none" w:sz="0" w:space="0" w:color="auto"/>
      </w:divBdr>
    </w:div>
    <w:div w:id="1288514178">
      <w:bodyDiv w:val="1"/>
      <w:marLeft w:val="0"/>
      <w:marRight w:val="0"/>
      <w:marTop w:val="0"/>
      <w:marBottom w:val="0"/>
      <w:divBdr>
        <w:top w:val="none" w:sz="0" w:space="0" w:color="auto"/>
        <w:left w:val="none" w:sz="0" w:space="0" w:color="auto"/>
        <w:bottom w:val="none" w:sz="0" w:space="0" w:color="auto"/>
        <w:right w:val="none" w:sz="0" w:space="0" w:color="auto"/>
      </w:divBdr>
    </w:div>
    <w:div w:id="1299648526">
      <w:bodyDiv w:val="1"/>
      <w:marLeft w:val="0"/>
      <w:marRight w:val="0"/>
      <w:marTop w:val="0"/>
      <w:marBottom w:val="0"/>
      <w:divBdr>
        <w:top w:val="none" w:sz="0" w:space="0" w:color="auto"/>
        <w:left w:val="none" w:sz="0" w:space="0" w:color="auto"/>
        <w:bottom w:val="none" w:sz="0" w:space="0" w:color="auto"/>
        <w:right w:val="none" w:sz="0" w:space="0" w:color="auto"/>
      </w:divBdr>
    </w:div>
    <w:div w:id="1300067928">
      <w:bodyDiv w:val="1"/>
      <w:marLeft w:val="0"/>
      <w:marRight w:val="0"/>
      <w:marTop w:val="0"/>
      <w:marBottom w:val="0"/>
      <w:divBdr>
        <w:top w:val="none" w:sz="0" w:space="0" w:color="auto"/>
        <w:left w:val="none" w:sz="0" w:space="0" w:color="auto"/>
        <w:bottom w:val="none" w:sz="0" w:space="0" w:color="auto"/>
        <w:right w:val="none" w:sz="0" w:space="0" w:color="auto"/>
      </w:divBdr>
    </w:div>
    <w:div w:id="1305357589">
      <w:bodyDiv w:val="1"/>
      <w:marLeft w:val="0"/>
      <w:marRight w:val="0"/>
      <w:marTop w:val="0"/>
      <w:marBottom w:val="0"/>
      <w:divBdr>
        <w:top w:val="none" w:sz="0" w:space="0" w:color="auto"/>
        <w:left w:val="none" w:sz="0" w:space="0" w:color="auto"/>
        <w:bottom w:val="none" w:sz="0" w:space="0" w:color="auto"/>
        <w:right w:val="none" w:sz="0" w:space="0" w:color="auto"/>
      </w:divBdr>
    </w:div>
    <w:div w:id="1314674617">
      <w:bodyDiv w:val="1"/>
      <w:marLeft w:val="0"/>
      <w:marRight w:val="0"/>
      <w:marTop w:val="0"/>
      <w:marBottom w:val="0"/>
      <w:divBdr>
        <w:top w:val="none" w:sz="0" w:space="0" w:color="auto"/>
        <w:left w:val="none" w:sz="0" w:space="0" w:color="auto"/>
        <w:bottom w:val="none" w:sz="0" w:space="0" w:color="auto"/>
        <w:right w:val="none" w:sz="0" w:space="0" w:color="auto"/>
      </w:divBdr>
    </w:div>
    <w:div w:id="1320886654">
      <w:bodyDiv w:val="1"/>
      <w:marLeft w:val="0"/>
      <w:marRight w:val="0"/>
      <w:marTop w:val="0"/>
      <w:marBottom w:val="0"/>
      <w:divBdr>
        <w:top w:val="none" w:sz="0" w:space="0" w:color="auto"/>
        <w:left w:val="none" w:sz="0" w:space="0" w:color="auto"/>
        <w:bottom w:val="none" w:sz="0" w:space="0" w:color="auto"/>
        <w:right w:val="none" w:sz="0" w:space="0" w:color="auto"/>
      </w:divBdr>
    </w:div>
    <w:div w:id="1331904123">
      <w:bodyDiv w:val="1"/>
      <w:marLeft w:val="0"/>
      <w:marRight w:val="0"/>
      <w:marTop w:val="0"/>
      <w:marBottom w:val="0"/>
      <w:divBdr>
        <w:top w:val="none" w:sz="0" w:space="0" w:color="auto"/>
        <w:left w:val="none" w:sz="0" w:space="0" w:color="auto"/>
        <w:bottom w:val="none" w:sz="0" w:space="0" w:color="auto"/>
        <w:right w:val="none" w:sz="0" w:space="0" w:color="auto"/>
      </w:divBdr>
    </w:div>
    <w:div w:id="1350066291">
      <w:bodyDiv w:val="1"/>
      <w:marLeft w:val="0"/>
      <w:marRight w:val="0"/>
      <w:marTop w:val="0"/>
      <w:marBottom w:val="0"/>
      <w:divBdr>
        <w:top w:val="none" w:sz="0" w:space="0" w:color="auto"/>
        <w:left w:val="none" w:sz="0" w:space="0" w:color="auto"/>
        <w:bottom w:val="none" w:sz="0" w:space="0" w:color="auto"/>
        <w:right w:val="none" w:sz="0" w:space="0" w:color="auto"/>
      </w:divBdr>
    </w:div>
    <w:div w:id="1351369195">
      <w:bodyDiv w:val="1"/>
      <w:marLeft w:val="0"/>
      <w:marRight w:val="0"/>
      <w:marTop w:val="0"/>
      <w:marBottom w:val="0"/>
      <w:divBdr>
        <w:top w:val="none" w:sz="0" w:space="0" w:color="auto"/>
        <w:left w:val="none" w:sz="0" w:space="0" w:color="auto"/>
        <w:bottom w:val="none" w:sz="0" w:space="0" w:color="auto"/>
        <w:right w:val="none" w:sz="0" w:space="0" w:color="auto"/>
      </w:divBdr>
    </w:div>
    <w:div w:id="1357341517">
      <w:bodyDiv w:val="1"/>
      <w:marLeft w:val="0"/>
      <w:marRight w:val="0"/>
      <w:marTop w:val="0"/>
      <w:marBottom w:val="0"/>
      <w:divBdr>
        <w:top w:val="none" w:sz="0" w:space="0" w:color="auto"/>
        <w:left w:val="none" w:sz="0" w:space="0" w:color="auto"/>
        <w:bottom w:val="none" w:sz="0" w:space="0" w:color="auto"/>
        <w:right w:val="none" w:sz="0" w:space="0" w:color="auto"/>
      </w:divBdr>
    </w:div>
    <w:div w:id="1392339352">
      <w:bodyDiv w:val="1"/>
      <w:marLeft w:val="0"/>
      <w:marRight w:val="0"/>
      <w:marTop w:val="0"/>
      <w:marBottom w:val="0"/>
      <w:divBdr>
        <w:top w:val="none" w:sz="0" w:space="0" w:color="auto"/>
        <w:left w:val="none" w:sz="0" w:space="0" w:color="auto"/>
        <w:bottom w:val="none" w:sz="0" w:space="0" w:color="auto"/>
        <w:right w:val="none" w:sz="0" w:space="0" w:color="auto"/>
      </w:divBdr>
    </w:div>
    <w:div w:id="1398630825">
      <w:bodyDiv w:val="1"/>
      <w:marLeft w:val="0"/>
      <w:marRight w:val="0"/>
      <w:marTop w:val="0"/>
      <w:marBottom w:val="0"/>
      <w:divBdr>
        <w:top w:val="none" w:sz="0" w:space="0" w:color="auto"/>
        <w:left w:val="none" w:sz="0" w:space="0" w:color="auto"/>
        <w:bottom w:val="none" w:sz="0" w:space="0" w:color="auto"/>
        <w:right w:val="none" w:sz="0" w:space="0" w:color="auto"/>
      </w:divBdr>
    </w:div>
    <w:div w:id="1417937729">
      <w:bodyDiv w:val="1"/>
      <w:marLeft w:val="0"/>
      <w:marRight w:val="0"/>
      <w:marTop w:val="0"/>
      <w:marBottom w:val="0"/>
      <w:divBdr>
        <w:top w:val="none" w:sz="0" w:space="0" w:color="auto"/>
        <w:left w:val="none" w:sz="0" w:space="0" w:color="auto"/>
        <w:bottom w:val="none" w:sz="0" w:space="0" w:color="auto"/>
        <w:right w:val="none" w:sz="0" w:space="0" w:color="auto"/>
      </w:divBdr>
    </w:div>
    <w:div w:id="1448810291">
      <w:bodyDiv w:val="1"/>
      <w:marLeft w:val="0"/>
      <w:marRight w:val="0"/>
      <w:marTop w:val="0"/>
      <w:marBottom w:val="0"/>
      <w:divBdr>
        <w:top w:val="none" w:sz="0" w:space="0" w:color="auto"/>
        <w:left w:val="none" w:sz="0" w:space="0" w:color="auto"/>
        <w:bottom w:val="none" w:sz="0" w:space="0" w:color="auto"/>
        <w:right w:val="none" w:sz="0" w:space="0" w:color="auto"/>
      </w:divBdr>
    </w:div>
    <w:div w:id="1449816062">
      <w:bodyDiv w:val="1"/>
      <w:marLeft w:val="0"/>
      <w:marRight w:val="0"/>
      <w:marTop w:val="0"/>
      <w:marBottom w:val="0"/>
      <w:divBdr>
        <w:top w:val="none" w:sz="0" w:space="0" w:color="auto"/>
        <w:left w:val="none" w:sz="0" w:space="0" w:color="auto"/>
        <w:bottom w:val="none" w:sz="0" w:space="0" w:color="auto"/>
        <w:right w:val="none" w:sz="0" w:space="0" w:color="auto"/>
      </w:divBdr>
    </w:div>
    <w:div w:id="1476413924">
      <w:bodyDiv w:val="1"/>
      <w:marLeft w:val="0"/>
      <w:marRight w:val="0"/>
      <w:marTop w:val="0"/>
      <w:marBottom w:val="0"/>
      <w:divBdr>
        <w:top w:val="none" w:sz="0" w:space="0" w:color="auto"/>
        <w:left w:val="none" w:sz="0" w:space="0" w:color="auto"/>
        <w:bottom w:val="none" w:sz="0" w:space="0" w:color="auto"/>
        <w:right w:val="none" w:sz="0" w:space="0" w:color="auto"/>
      </w:divBdr>
    </w:div>
    <w:div w:id="1479955124">
      <w:bodyDiv w:val="1"/>
      <w:marLeft w:val="0"/>
      <w:marRight w:val="0"/>
      <w:marTop w:val="0"/>
      <w:marBottom w:val="0"/>
      <w:divBdr>
        <w:top w:val="none" w:sz="0" w:space="0" w:color="auto"/>
        <w:left w:val="none" w:sz="0" w:space="0" w:color="auto"/>
        <w:bottom w:val="none" w:sz="0" w:space="0" w:color="auto"/>
        <w:right w:val="none" w:sz="0" w:space="0" w:color="auto"/>
      </w:divBdr>
      <w:divsChild>
        <w:div w:id="1227296364">
          <w:marLeft w:val="0"/>
          <w:marRight w:val="0"/>
          <w:marTop w:val="0"/>
          <w:marBottom w:val="0"/>
          <w:divBdr>
            <w:top w:val="none" w:sz="0" w:space="0" w:color="auto"/>
            <w:left w:val="none" w:sz="0" w:space="0" w:color="auto"/>
            <w:bottom w:val="none" w:sz="0" w:space="0" w:color="auto"/>
            <w:right w:val="none" w:sz="0" w:space="0" w:color="auto"/>
          </w:divBdr>
          <w:divsChild>
            <w:div w:id="1976638611">
              <w:marLeft w:val="-225"/>
              <w:marRight w:val="-225"/>
              <w:marTop w:val="0"/>
              <w:marBottom w:val="0"/>
              <w:divBdr>
                <w:top w:val="none" w:sz="0" w:space="0" w:color="auto"/>
                <w:left w:val="none" w:sz="0" w:space="0" w:color="auto"/>
                <w:bottom w:val="none" w:sz="0" w:space="0" w:color="auto"/>
                <w:right w:val="none" w:sz="0" w:space="0" w:color="auto"/>
              </w:divBdr>
              <w:divsChild>
                <w:div w:id="13840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4132">
      <w:bodyDiv w:val="1"/>
      <w:marLeft w:val="0"/>
      <w:marRight w:val="0"/>
      <w:marTop w:val="0"/>
      <w:marBottom w:val="0"/>
      <w:divBdr>
        <w:top w:val="none" w:sz="0" w:space="0" w:color="auto"/>
        <w:left w:val="none" w:sz="0" w:space="0" w:color="auto"/>
        <w:bottom w:val="none" w:sz="0" w:space="0" w:color="auto"/>
        <w:right w:val="none" w:sz="0" w:space="0" w:color="auto"/>
      </w:divBdr>
    </w:div>
    <w:div w:id="1488782421">
      <w:bodyDiv w:val="1"/>
      <w:marLeft w:val="0"/>
      <w:marRight w:val="0"/>
      <w:marTop w:val="0"/>
      <w:marBottom w:val="0"/>
      <w:divBdr>
        <w:top w:val="none" w:sz="0" w:space="0" w:color="auto"/>
        <w:left w:val="none" w:sz="0" w:space="0" w:color="auto"/>
        <w:bottom w:val="none" w:sz="0" w:space="0" w:color="auto"/>
        <w:right w:val="none" w:sz="0" w:space="0" w:color="auto"/>
      </w:divBdr>
    </w:div>
    <w:div w:id="1499269554">
      <w:bodyDiv w:val="1"/>
      <w:marLeft w:val="0"/>
      <w:marRight w:val="0"/>
      <w:marTop w:val="0"/>
      <w:marBottom w:val="0"/>
      <w:divBdr>
        <w:top w:val="none" w:sz="0" w:space="0" w:color="auto"/>
        <w:left w:val="none" w:sz="0" w:space="0" w:color="auto"/>
        <w:bottom w:val="none" w:sz="0" w:space="0" w:color="auto"/>
        <w:right w:val="none" w:sz="0" w:space="0" w:color="auto"/>
      </w:divBdr>
    </w:div>
    <w:div w:id="1508522888">
      <w:bodyDiv w:val="1"/>
      <w:marLeft w:val="0"/>
      <w:marRight w:val="0"/>
      <w:marTop w:val="0"/>
      <w:marBottom w:val="0"/>
      <w:divBdr>
        <w:top w:val="none" w:sz="0" w:space="0" w:color="auto"/>
        <w:left w:val="none" w:sz="0" w:space="0" w:color="auto"/>
        <w:bottom w:val="none" w:sz="0" w:space="0" w:color="auto"/>
        <w:right w:val="none" w:sz="0" w:space="0" w:color="auto"/>
      </w:divBdr>
    </w:div>
    <w:div w:id="1509561773">
      <w:bodyDiv w:val="1"/>
      <w:marLeft w:val="0"/>
      <w:marRight w:val="0"/>
      <w:marTop w:val="0"/>
      <w:marBottom w:val="0"/>
      <w:divBdr>
        <w:top w:val="none" w:sz="0" w:space="0" w:color="auto"/>
        <w:left w:val="none" w:sz="0" w:space="0" w:color="auto"/>
        <w:bottom w:val="none" w:sz="0" w:space="0" w:color="auto"/>
        <w:right w:val="none" w:sz="0" w:space="0" w:color="auto"/>
      </w:divBdr>
    </w:div>
    <w:div w:id="1528908135">
      <w:bodyDiv w:val="1"/>
      <w:marLeft w:val="0"/>
      <w:marRight w:val="0"/>
      <w:marTop w:val="0"/>
      <w:marBottom w:val="0"/>
      <w:divBdr>
        <w:top w:val="none" w:sz="0" w:space="0" w:color="auto"/>
        <w:left w:val="none" w:sz="0" w:space="0" w:color="auto"/>
        <w:bottom w:val="none" w:sz="0" w:space="0" w:color="auto"/>
        <w:right w:val="none" w:sz="0" w:space="0" w:color="auto"/>
      </w:divBdr>
    </w:div>
    <w:div w:id="1533179546">
      <w:bodyDiv w:val="1"/>
      <w:marLeft w:val="0"/>
      <w:marRight w:val="0"/>
      <w:marTop w:val="0"/>
      <w:marBottom w:val="0"/>
      <w:divBdr>
        <w:top w:val="none" w:sz="0" w:space="0" w:color="auto"/>
        <w:left w:val="none" w:sz="0" w:space="0" w:color="auto"/>
        <w:bottom w:val="none" w:sz="0" w:space="0" w:color="auto"/>
        <w:right w:val="none" w:sz="0" w:space="0" w:color="auto"/>
      </w:divBdr>
    </w:div>
    <w:div w:id="1576014242">
      <w:bodyDiv w:val="1"/>
      <w:marLeft w:val="0"/>
      <w:marRight w:val="0"/>
      <w:marTop w:val="0"/>
      <w:marBottom w:val="0"/>
      <w:divBdr>
        <w:top w:val="none" w:sz="0" w:space="0" w:color="auto"/>
        <w:left w:val="none" w:sz="0" w:space="0" w:color="auto"/>
        <w:bottom w:val="none" w:sz="0" w:space="0" w:color="auto"/>
        <w:right w:val="none" w:sz="0" w:space="0" w:color="auto"/>
      </w:divBdr>
    </w:div>
    <w:div w:id="1585452259">
      <w:bodyDiv w:val="1"/>
      <w:marLeft w:val="0"/>
      <w:marRight w:val="0"/>
      <w:marTop w:val="0"/>
      <w:marBottom w:val="0"/>
      <w:divBdr>
        <w:top w:val="none" w:sz="0" w:space="0" w:color="auto"/>
        <w:left w:val="none" w:sz="0" w:space="0" w:color="auto"/>
        <w:bottom w:val="none" w:sz="0" w:space="0" w:color="auto"/>
        <w:right w:val="none" w:sz="0" w:space="0" w:color="auto"/>
      </w:divBdr>
    </w:div>
    <w:div w:id="1588344734">
      <w:bodyDiv w:val="1"/>
      <w:marLeft w:val="0"/>
      <w:marRight w:val="0"/>
      <w:marTop w:val="0"/>
      <w:marBottom w:val="0"/>
      <w:divBdr>
        <w:top w:val="none" w:sz="0" w:space="0" w:color="auto"/>
        <w:left w:val="none" w:sz="0" w:space="0" w:color="auto"/>
        <w:bottom w:val="none" w:sz="0" w:space="0" w:color="auto"/>
        <w:right w:val="none" w:sz="0" w:space="0" w:color="auto"/>
      </w:divBdr>
    </w:div>
    <w:div w:id="1603874522">
      <w:bodyDiv w:val="1"/>
      <w:marLeft w:val="0"/>
      <w:marRight w:val="0"/>
      <w:marTop w:val="0"/>
      <w:marBottom w:val="0"/>
      <w:divBdr>
        <w:top w:val="none" w:sz="0" w:space="0" w:color="auto"/>
        <w:left w:val="none" w:sz="0" w:space="0" w:color="auto"/>
        <w:bottom w:val="none" w:sz="0" w:space="0" w:color="auto"/>
        <w:right w:val="none" w:sz="0" w:space="0" w:color="auto"/>
      </w:divBdr>
    </w:div>
    <w:div w:id="1606420090">
      <w:bodyDiv w:val="1"/>
      <w:marLeft w:val="0"/>
      <w:marRight w:val="0"/>
      <w:marTop w:val="0"/>
      <w:marBottom w:val="0"/>
      <w:divBdr>
        <w:top w:val="none" w:sz="0" w:space="0" w:color="auto"/>
        <w:left w:val="none" w:sz="0" w:space="0" w:color="auto"/>
        <w:bottom w:val="none" w:sz="0" w:space="0" w:color="auto"/>
        <w:right w:val="none" w:sz="0" w:space="0" w:color="auto"/>
      </w:divBdr>
    </w:div>
    <w:div w:id="1619605373">
      <w:bodyDiv w:val="1"/>
      <w:marLeft w:val="0"/>
      <w:marRight w:val="0"/>
      <w:marTop w:val="0"/>
      <w:marBottom w:val="0"/>
      <w:divBdr>
        <w:top w:val="none" w:sz="0" w:space="0" w:color="auto"/>
        <w:left w:val="none" w:sz="0" w:space="0" w:color="auto"/>
        <w:bottom w:val="none" w:sz="0" w:space="0" w:color="auto"/>
        <w:right w:val="none" w:sz="0" w:space="0" w:color="auto"/>
      </w:divBdr>
    </w:div>
    <w:div w:id="1629697317">
      <w:bodyDiv w:val="1"/>
      <w:marLeft w:val="0"/>
      <w:marRight w:val="0"/>
      <w:marTop w:val="0"/>
      <w:marBottom w:val="0"/>
      <w:divBdr>
        <w:top w:val="none" w:sz="0" w:space="0" w:color="auto"/>
        <w:left w:val="none" w:sz="0" w:space="0" w:color="auto"/>
        <w:bottom w:val="none" w:sz="0" w:space="0" w:color="auto"/>
        <w:right w:val="none" w:sz="0" w:space="0" w:color="auto"/>
      </w:divBdr>
    </w:div>
    <w:div w:id="1659924527">
      <w:bodyDiv w:val="1"/>
      <w:marLeft w:val="0"/>
      <w:marRight w:val="0"/>
      <w:marTop w:val="0"/>
      <w:marBottom w:val="0"/>
      <w:divBdr>
        <w:top w:val="none" w:sz="0" w:space="0" w:color="auto"/>
        <w:left w:val="none" w:sz="0" w:space="0" w:color="auto"/>
        <w:bottom w:val="none" w:sz="0" w:space="0" w:color="auto"/>
        <w:right w:val="none" w:sz="0" w:space="0" w:color="auto"/>
      </w:divBdr>
    </w:div>
    <w:div w:id="1676493580">
      <w:bodyDiv w:val="1"/>
      <w:marLeft w:val="0"/>
      <w:marRight w:val="0"/>
      <w:marTop w:val="0"/>
      <w:marBottom w:val="0"/>
      <w:divBdr>
        <w:top w:val="none" w:sz="0" w:space="0" w:color="auto"/>
        <w:left w:val="none" w:sz="0" w:space="0" w:color="auto"/>
        <w:bottom w:val="none" w:sz="0" w:space="0" w:color="auto"/>
        <w:right w:val="none" w:sz="0" w:space="0" w:color="auto"/>
      </w:divBdr>
    </w:div>
    <w:div w:id="1693726683">
      <w:bodyDiv w:val="1"/>
      <w:marLeft w:val="0"/>
      <w:marRight w:val="0"/>
      <w:marTop w:val="0"/>
      <w:marBottom w:val="0"/>
      <w:divBdr>
        <w:top w:val="none" w:sz="0" w:space="0" w:color="auto"/>
        <w:left w:val="none" w:sz="0" w:space="0" w:color="auto"/>
        <w:bottom w:val="none" w:sz="0" w:space="0" w:color="auto"/>
        <w:right w:val="none" w:sz="0" w:space="0" w:color="auto"/>
      </w:divBdr>
    </w:div>
    <w:div w:id="1735198726">
      <w:bodyDiv w:val="1"/>
      <w:marLeft w:val="0"/>
      <w:marRight w:val="0"/>
      <w:marTop w:val="0"/>
      <w:marBottom w:val="0"/>
      <w:divBdr>
        <w:top w:val="none" w:sz="0" w:space="0" w:color="auto"/>
        <w:left w:val="none" w:sz="0" w:space="0" w:color="auto"/>
        <w:bottom w:val="none" w:sz="0" w:space="0" w:color="auto"/>
        <w:right w:val="none" w:sz="0" w:space="0" w:color="auto"/>
      </w:divBdr>
    </w:div>
    <w:div w:id="1740907214">
      <w:bodyDiv w:val="1"/>
      <w:marLeft w:val="0"/>
      <w:marRight w:val="0"/>
      <w:marTop w:val="0"/>
      <w:marBottom w:val="0"/>
      <w:divBdr>
        <w:top w:val="none" w:sz="0" w:space="0" w:color="auto"/>
        <w:left w:val="none" w:sz="0" w:space="0" w:color="auto"/>
        <w:bottom w:val="none" w:sz="0" w:space="0" w:color="auto"/>
        <w:right w:val="none" w:sz="0" w:space="0" w:color="auto"/>
      </w:divBdr>
    </w:div>
    <w:div w:id="1744334951">
      <w:bodyDiv w:val="1"/>
      <w:marLeft w:val="0"/>
      <w:marRight w:val="0"/>
      <w:marTop w:val="0"/>
      <w:marBottom w:val="0"/>
      <w:divBdr>
        <w:top w:val="none" w:sz="0" w:space="0" w:color="auto"/>
        <w:left w:val="none" w:sz="0" w:space="0" w:color="auto"/>
        <w:bottom w:val="none" w:sz="0" w:space="0" w:color="auto"/>
        <w:right w:val="none" w:sz="0" w:space="0" w:color="auto"/>
      </w:divBdr>
    </w:div>
    <w:div w:id="1756977814">
      <w:bodyDiv w:val="1"/>
      <w:marLeft w:val="0"/>
      <w:marRight w:val="0"/>
      <w:marTop w:val="0"/>
      <w:marBottom w:val="0"/>
      <w:divBdr>
        <w:top w:val="none" w:sz="0" w:space="0" w:color="auto"/>
        <w:left w:val="none" w:sz="0" w:space="0" w:color="auto"/>
        <w:bottom w:val="none" w:sz="0" w:space="0" w:color="auto"/>
        <w:right w:val="none" w:sz="0" w:space="0" w:color="auto"/>
      </w:divBdr>
    </w:div>
    <w:div w:id="1758861080">
      <w:bodyDiv w:val="1"/>
      <w:marLeft w:val="0"/>
      <w:marRight w:val="0"/>
      <w:marTop w:val="0"/>
      <w:marBottom w:val="0"/>
      <w:divBdr>
        <w:top w:val="none" w:sz="0" w:space="0" w:color="auto"/>
        <w:left w:val="none" w:sz="0" w:space="0" w:color="auto"/>
        <w:bottom w:val="none" w:sz="0" w:space="0" w:color="auto"/>
        <w:right w:val="none" w:sz="0" w:space="0" w:color="auto"/>
      </w:divBdr>
    </w:div>
    <w:div w:id="1766917071">
      <w:bodyDiv w:val="1"/>
      <w:marLeft w:val="0"/>
      <w:marRight w:val="0"/>
      <w:marTop w:val="0"/>
      <w:marBottom w:val="0"/>
      <w:divBdr>
        <w:top w:val="none" w:sz="0" w:space="0" w:color="auto"/>
        <w:left w:val="none" w:sz="0" w:space="0" w:color="auto"/>
        <w:bottom w:val="none" w:sz="0" w:space="0" w:color="auto"/>
        <w:right w:val="none" w:sz="0" w:space="0" w:color="auto"/>
      </w:divBdr>
    </w:div>
    <w:div w:id="1771318528">
      <w:bodyDiv w:val="1"/>
      <w:marLeft w:val="0"/>
      <w:marRight w:val="0"/>
      <w:marTop w:val="0"/>
      <w:marBottom w:val="0"/>
      <w:divBdr>
        <w:top w:val="none" w:sz="0" w:space="0" w:color="auto"/>
        <w:left w:val="none" w:sz="0" w:space="0" w:color="auto"/>
        <w:bottom w:val="none" w:sz="0" w:space="0" w:color="auto"/>
        <w:right w:val="none" w:sz="0" w:space="0" w:color="auto"/>
      </w:divBdr>
    </w:div>
    <w:div w:id="1791435432">
      <w:bodyDiv w:val="1"/>
      <w:marLeft w:val="0"/>
      <w:marRight w:val="0"/>
      <w:marTop w:val="0"/>
      <w:marBottom w:val="0"/>
      <w:divBdr>
        <w:top w:val="none" w:sz="0" w:space="0" w:color="auto"/>
        <w:left w:val="none" w:sz="0" w:space="0" w:color="auto"/>
        <w:bottom w:val="none" w:sz="0" w:space="0" w:color="auto"/>
        <w:right w:val="none" w:sz="0" w:space="0" w:color="auto"/>
      </w:divBdr>
    </w:div>
    <w:div w:id="1811358594">
      <w:bodyDiv w:val="1"/>
      <w:marLeft w:val="0"/>
      <w:marRight w:val="0"/>
      <w:marTop w:val="0"/>
      <w:marBottom w:val="0"/>
      <w:divBdr>
        <w:top w:val="none" w:sz="0" w:space="0" w:color="auto"/>
        <w:left w:val="none" w:sz="0" w:space="0" w:color="auto"/>
        <w:bottom w:val="none" w:sz="0" w:space="0" w:color="auto"/>
        <w:right w:val="none" w:sz="0" w:space="0" w:color="auto"/>
      </w:divBdr>
    </w:div>
    <w:div w:id="1812014401">
      <w:bodyDiv w:val="1"/>
      <w:marLeft w:val="0"/>
      <w:marRight w:val="0"/>
      <w:marTop w:val="0"/>
      <w:marBottom w:val="0"/>
      <w:divBdr>
        <w:top w:val="none" w:sz="0" w:space="0" w:color="auto"/>
        <w:left w:val="none" w:sz="0" w:space="0" w:color="auto"/>
        <w:bottom w:val="none" w:sz="0" w:space="0" w:color="auto"/>
        <w:right w:val="none" w:sz="0" w:space="0" w:color="auto"/>
      </w:divBdr>
    </w:div>
    <w:div w:id="1824005050">
      <w:bodyDiv w:val="1"/>
      <w:marLeft w:val="0"/>
      <w:marRight w:val="0"/>
      <w:marTop w:val="0"/>
      <w:marBottom w:val="0"/>
      <w:divBdr>
        <w:top w:val="none" w:sz="0" w:space="0" w:color="auto"/>
        <w:left w:val="none" w:sz="0" w:space="0" w:color="auto"/>
        <w:bottom w:val="none" w:sz="0" w:space="0" w:color="auto"/>
        <w:right w:val="none" w:sz="0" w:space="0" w:color="auto"/>
      </w:divBdr>
    </w:div>
    <w:div w:id="1827240169">
      <w:bodyDiv w:val="1"/>
      <w:marLeft w:val="0"/>
      <w:marRight w:val="0"/>
      <w:marTop w:val="0"/>
      <w:marBottom w:val="0"/>
      <w:divBdr>
        <w:top w:val="none" w:sz="0" w:space="0" w:color="auto"/>
        <w:left w:val="none" w:sz="0" w:space="0" w:color="auto"/>
        <w:bottom w:val="none" w:sz="0" w:space="0" w:color="auto"/>
        <w:right w:val="none" w:sz="0" w:space="0" w:color="auto"/>
      </w:divBdr>
    </w:div>
    <w:div w:id="1833716633">
      <w:bodyDiv w:val="1"/>
      <w:marLeft w:val="0"/>
      <w:marRight w:val="0"/>
      <w:marTop w:val="0"/>
      <w:marBottom w:val="0"/>
      <w:divBdr>
        <w:top w:val="none" w:sz="0" w:space="0" w:color="auto"/>
        <w:left w:val="none" w:sz="0" w:space="0" w:color="auto"/>
        <w:bottom w:val="none" w:sz="0" w:space="0" w:color="auto"/>
        <w:right w:val="none" w:sz="0" w:space="0" w:color="auto"/>
      </w:divBdr>
    </w:div>
    <w:div w:id="1851941684">
      <w:bodyDiv w:val="1"/>
      <w:marLeft w:val="0"/>
      <w:marRight w:val="0"/>
      <w:marTop w:val="0"/>
      <w:marBottom w:val="0"/>
      <w:divBdr>
        <w:top w:val="none" w:sz="0" w:space="0" w:color="auto"/>
        <w:left w:val="none" w:sz="0" w:space="0" w:color="auto"/>
        <w:bottom w:val="none" w:sz="0" w:space="0" w:color="auto"/>
        <w:right w:val="none" w:sz="0" w:space="0" w:color="auto"/>
      </w:divBdr>
    </w:div>
    <w:div w:id="1855534941">
      <w:bodyDiv w:val="1"/>
      <w:marLeft w:val="0"/>
      <w:marRight w:val="0"/>
      <w:marTop w:val="0"/>
      <w:marBottom w:val="0"/>
      <w:divBdr>
        <w:top w:val="none" w:sz="0" w:space="0" w:color="auto"/>
        <w:left w:val="none" w:sz="0" w:space="0" w:color="auto"/>
        <w:bottom w:val="none" w:sz="0" w:space="0" w:color="auto"/>
        <w:right w:val="none" w:sz="0" w:space="0" w:color="auto"/>
      </w:divBdr>
    </w:div>
    <w:div w:id="1855804349">
      <w:bodyDiv w:val="1"/>
      <w:marLeft w:val="0"/>
      <w:marRight w:val="0"/>
      <w:marTop w:val="0"/>
      <w:marBottom w:val="0"/>
      <w:divBdr>
        <w:top w:val="none" w:sz="0" w:space="0" w:color="auto"/>
        <w:left w:val="none" w:sz="0" w:space="0" w:color="auto"/>
        <w:bottom w:val="none" w:sz="0" w:space="0" w:color="auto"/>
        <w:right w:val="none" w:sz="0" w:space="0" w:color="auto"/>
      </w:divBdr>
    </w:div>
    <w:div w:id="1860318653">
      <w:bodyDiv w:val="1"/>
      <w:marLeft w:val="0"/>
      <w:marRight w:val="0"/>
      <w:marTop w:val="0"/>
      <w:marBottom w:val="0"/>
      <w:divBdr>
        <w:top w:val="none" w:sz="0" w:space="0" w:color="auto"/>
        <w:left w:val="none" w:sz="0" w:space="0" w:color="auto"/>
        <w:bottom w:val="none" w:sz="0" w:space="0" w:color="auto"/>
        <w:right w:val="none" w:sz="0" w:space="0" w:color="auto"/>
      </w:divBdr>
    </w:div>
    <w:div w:id="1863593765">
      <w:bodyDiv w:val="1"/>
      <w:marLeft w:val="0"/>
      <w:marRight w:val="0"/>
      <w:marTop w:val="0"/>
      <w:marBottom w:val="0"/>
      <w:divBdr>
        <w:top w:val="none" w:sz="0" w:space="0" w:color="auto"/>
        <w:left w:val="none" w:sz="0" w:space="0" w:color="auto"/>
        <w:bottom w:val="none" w:sz="0" w:space="0" w:color="auto"/>
        <w:right w:val="none" w:sz="0" w:space="0" w:color="auto"/>
      </w:divBdr>
    </w:div>
    <w:div w:id="1863594376">
      <w:bodyDiv w:val="1"/>
      <w:marLeft w:val="0"/>
      <w:marRight w:val="0"/>
      <w:marTop w:val="0"/>
      <w:marBottom w:val="0"/>
      <w:divBdr>
        <w:top w:val="none" w:sz="0" w:space="0" w:color="auto"/>
        <w:left w:val="none" w:sz="0" w:space="0" w:color="auto"/>
        <w:bottom w:val="none" w:sz="0" w:space="0" w:color="auto"/>
        <w:right w:val="none" w:sz="0" w:space="0" w:color="auto"/>
      </w:divBdr>
    </w:div>
    <w:div w:id="1893348110">
      <w:bodyDiv w:val="1"/>
      <w:marLeft w:val="0"/>
      <w:marRight w:val="0"/>
      <w:marTop w:val="0"/>
      <w:marBottom w:val="0"/>
      <w:divBdr>
        <w:top w:val="none" w:sz="0" w:space="0" w:color="auto"/>
        <w:left w:val="none" w:sz="0" w:space="0" w:color="auto"/>
        <w:bottom w:val="none" w:sz="0" w:space="0" w:color="auto"/>
        <w:right w:val="none" w:sz="0" w:space="0" w:color="auto"/>
      </w:divBdr>
    </w:div>
    <w:div w:id="1899241341">
      <w:bodyDiv w:val="1"/>
      <w:marLeft w:val="0"/>
      <w:marRight w:val="0"/>
      <w:marTop w:val="0"/>
      <w:marBottom w:val="0"/>
      <w:divBdr>
        <w:top w:val="none" w:sz="0" w:space="0" w:color="auto"/>
        <w:left w:val="none" w:sz="0" w:space="0" w:color="auto"/>
        <w:bottom w:val="none" w:sz="0" w:space="0" w:color="auto"/>
        <w:right w:val="none" w:sz="0" w:space="0" w:color="auto"/>
      </w:divBdr>
    </w:div>
    <w:div w:id="1905337279">
      <w:bodyDiv w:val="1"/>
      <w:marLeft w:val="0"/>
      <w:marRight w:val="0"/>
      <w:marTop w:val="0"/>
      <w:marBottom w:val="0"/>
      <w:divBdr>
        <w:top w:val="none" w:sz="0" w:space="0" w:color="auto"/>
        <w:left w:val="none" w:sz="0" w:space="0" w:color="auto"/>
        <w:bottom w:val="none" w:sz="0" w:space="0" w:color="auto"/>
        <w:right w:val="none" w:sz="0" w:space="0" w:color="auto"/>
      </w:divBdr>
    </w:div>
    <w:div w:id="1950620678">
      <w:bodyDiv w:val="1"/>
      <w:marLeft w:val="0"/>
      <w:marRight w:val="0"/>
      <w:marTop w:val="0"/>
      <w:marBottom w:val="0"/>
      <w:divBdr>
        <w:top w:val="none" w:sz="0" w:space="0" w:color="auto"/>
        <w:left w:val="none" w:sz="0" w:space="0" w:color="auto"/>
        <w:bottom w:val="none" w:sz="0" w:space="0" w:color="auto"/>
        <w:right w:val="none" w:sz="0" w:space="0" w:color="auto"/>
      </w:divBdr>
    </w:div>
    <w:div w:id="1952205580">
      <w:bodyDiv w:val="1"/>
      <w:marLeft w:val="0"/>
      <w:marRight w:val="0"/>
      <w:marTop w:val="0"/>
      <w:marBottom w:val="0"/>
      <w:divBdr>
        <w:top w:val="none" w:sz="0" w:space="0" w:color="auto"/>
        <w:left w:val="none" w:sz="0" w:space="0" w:color="auto"/>
        <w:bottom w:val="none" w:sz="0" w:space="0" w:color="auto"/>
        <w:right w:val="none" w:sz="0" w:space="0" w:color="auto"/>
      </w:divBdr>
    </w:div>
    <w:div w:id="1964193637">
      <w:bodyDiv w:val="1"/>
      <w:marLeft w:val="0"/>
      <w:marRight w:val="0"/>
      <w:marTop w:val="0"/>
      <w:marBottom w:val="0"/>
      <w:divBdr>
        <w:top w:val="none" w:sz="0" w:space="0" w:color="auto"/>
        <w:left w:val="none" w:sz="0" w:space="0" w:color="auto"/>
        <w:bottom w:val="none" w:sz="0" w:space="0" w:color="auto"/>
        <w:right w:val="none" w:sz="0" w:space="0" w:color="auto"/>
      </w:divBdr>
    </w:div>
    <w:div w:id="1965572714">
      <w:bodyDiv w:val="1"/>
      <w:marLeft w:val="0"/>
      <w:marRight w:val="0"/>
      <w:marTop w:val="0"/>
      <w:marBottom w:val="0"/>
      <w:divBdr>
        <w:top w:val="none" w:sz="0" w:space="0" w:color="auto"/>
        <w:left w:val="none" w:sz="0" w:space="0" w:color="auto"/>
        <w:bottom w:val="none" w:sz="0" w:space="0" w:color="auto"/>
        <w:right w:val="none" w:sz="0" w:space="0" w:color="auto"/>
      </w:divBdr>
    </w:div>
    <w:div w:id="1984774594">
      <w:bodyDiv w:val="1"/>
      <w:marLeft w:val="0"/>
      <w:marRight w:val="0"/>
      <w:marTop w:val="0"/>
      <w:marBottom w:val="0"/>
      <w:divBdr>
        <w:top w:val="none" w:sz="0" w:space="0" w:color="auto"/>
        <w:left w:val="none" w:sz="0" w:space="0" w:color="auto"/>
        <w:bottom w:val="none" w:sz="0" w:space="0" w:color="auto"/>
        <w:right w:val="none" w:sz="0" w:space="0" w:color="auto"/>
      </w:divBdr>
    </w:div>
    <w:div w:id="1989237476">
      <w:bodyDiv w:val="1"/>
      <w:marLeft w:val="0"/>
      <w:marRight w:val="0"/>
      <w:marTop w:val="0"/>
      <w:marBottom w:val="0"/>
      <w:divBdr>
        <w:top w:val="none" w:sz="0" w:space="0" w:color="auto"/>
        <w:left w:val="none" w:sz="0" w:space="0" w:color="auto"/>
        <w:bottom w:val="none" w:sz="0" w:space="0" w:color="auto"/>
        <w:right w:val="none" w:sz="0" w:space="0" w:color="auto"/>
      </w:divBdr>
    </w:div>
    <w:div w:id="2016568957">
      <w:bodyDiv w:val="1"/>
      <w:marLeft w:val="0"/>
      <w:marRight w:val="0"/>
      <w:marTop w:val="0"/>
      <w:marBottom w:val="0"/>
      <w:divBdr>
        <w:top w:val="none" w:sz="0" w:space="0" w:color="auto"/>
        <w:left w:val="none" w:sz="0" w:space="0" w:color="auto"/>
        <w:bottom w:val="none" w:sz="0" w:space="0" w:color="auto"/>
        <w:right w:val="none" w:sz="0" w:space="0" w:color="auto"/>
      </w:divBdr>
    </w:div>
    <w:div w:id="2020884512">
      <w:bodyDiv w:val="1"/>
      <w:marLeft w:val="0"/>
      <w:marRight w:val="0"/>
      <w:marTop w:val="0"/>
      <w:marBottom w:val="0"/>
      <w:divBdr>
        <w:top w:val="none" w:sz="0" w:space="0" w:color="auto"/>
        <w:left w:val="none" w:sz="0" w:space="0" w:color="auto"/>
        <w:bottom w:val="none" w:sz="0" w:space="0" w:color="auto"/>
        <w:right w:val="none" w:sz="0" w:space="0" w:color="auto"/>
      </w:divBdr>
      <w:divsChild>
        <w:div w:id="905142742">
          <w:marLeft w:val="446"/>
          <w:marRight w:val="0"/>
          <w:marTop w:val="120"/>
          <w:marBottom w:val="0"/>
          <w:divBdr>
            <w:top w:val="none" w:sz="0" w:space="0" w:color="auto"/>
            <w:left w:val="none" w:sz="0" w:space="0" w:color="auto"/>
            <w:bottom w:val="none" w:sz="0" w:space="0" w:color="auto"/>
            <w:right w:val="none" w:sz="0" w:space="0" w:color="auto"/>
          </w:divBdr>
        </w:div>
      </w:divsChild>
    </w:div>
    <w:div w:id="2061703457">
      <w:bodyDiv w:val="1"/>
      <w:marLeft w:val="0"/>
      <w:marRight w:val="0"/>
      <w:marTop w:val="0"/>
      <w:marBottom w:val="0"/>
      <w:divBdr>
        <w:top w:val="none" w:sz="0" w:space="0" w:color="auto"/>
        <w:left w:val="none" w:sz="0" w:space="0" w:color="auto"/>
        <w:bottom w:val="none" w:sz="0" w:space="0" w:color="auto"/>
        <w:right w:val="none" w:sz="0" w:space="0" w:color="auto"/>
      </w:divBdr>
    </w:div>
    <w:div w:id="2065592073">
      <w:bodyDiv w:val="1"/>
      <w:marLeft w:val="0"/>
      <w:marRight w:val="0"/>
      <w:marTop w:val="0"/>
      <w:marBottom w:val="0"/>
      <w:divBdr>
        <w:top w:val="none" w:sz="0" w:space="0" w:color="auto"/>
        <w:left w:val="none" w:sz="0" w:space="0" w:color="auto"/>
        <w:bottom w:val="none" w:sz="0" w:space="0" w:color="auto"/>
        <w:right w:val="none" w:sz="0" w:space="0" w:color="auto"/>
      </w:divBdr>
    </w:div>
    <w:div w:id="2069450141">
      <w:bodyDiv w:val="1"/>
      <w:marLeft w:val="0"/>
      <w:marRight w:val="0"/>
      <w:marTop w:val="0"/>
      <w:marBottom w:val="0"/>
      <w:divBdr>
        <w:top w:val="none" w:sz="0" w:space="0" w:color="auto"/>
        <w:left w:val="none" w:sz="0" w:space="0" w:color="auto"/>
        <w:bottom w:val="none" w:sz="0" w:space="0" w:color="auto"/>
        <w:right w:val="none" w:sz="0" w:space="0" w:color="auto"/>
      </w:divBdr>
    </w:div>
    <w:div w:id="2093962342">
      <w:bodyDiv w:val="1"/>
      <w:marLeft w:val="0"/>
      <w:marRight w:val="0"/>
      <w:marTop w:val="0"/>
      <w:marBottom w:val="0"/>
      <w:divBdr>
        <w:top w:val="none" w:sz="0" w:space="0" w:color="auto"/>
        <w:left w:val="none" w:sz="0" w:space="0" w:color="auto"/>
        <w:bottom w:val="none" w:sz="0" w:space="0" w:color="auto"/>
        <w:right w:val="none" w:sz="0" w:space="0" w:color="auto"/>
      </w:divBdr>
    </w:div>
    <w:div w:id="2102330790">
      <w:bodyDiv w:val="1"/>
      <w:marLeft w:val="0"/>
      <w:marRight w:val="0"/>
      <w:marTop w:val="0"/>
      <w:marBottom w:val="0"/>
      <w:divBdr>
        <w:top w:val="none" w:sz="0" w:space="0" w:color="auto"/>
        <w:left w:val="none" w:sz="0" w:space="0" w:color="auto"/>
        <w:bottom w:val="none" w:sz="0" w:space="0" w:color="auto"/>
        <w:right w:val="none" w:sz="0" w:space="0" w:color="auto"/>
      </w:divBdr>
    </w:div>
    <w:div w:id="2105688446">
      <w:bodyDiv w:val="1"/>
      <w:marLeft w:val="0"/>
      <w:marRight w:val="0"/>
      <w:marTop w:val="0"/>
      <w:marBottom w:val="0"/>
      <w:divBdr>
        <w:top w:val="none" w:sz="0" w:space="0" w:color="auto"/>
        <w:left w:val="none" w:sz="0" w:space="0" w:color="auto"/>
        <w:bottom w:val="none" w:sz="0" w:space="0" w:color="auto"/>
        <w:right w:val="none" w:sz="0" w:space="0" w:color="auto"/>
      </w:divBdr>
    </w:div>
    <w:div w:id="2106223936">
      <w:bodyDiv w:val="1"/>
      <w:marLeft w:val="0"/>
      <w:marRight w:val="0"/>
      <w:marTop w:val="0"/>
      <w:marBottom w:val="0"/>
      <w:divBdr>
        <w:top w:val="none" w:sz="0" w:space="0" w:color="auto"/>
        <w:left w:val="none" w:sz="0" w:space="0" w:color="auto"/>
        <w:bottom w:val="none" w:sz="0" w:space="0" w:color="auto"/>
        <w:right w:val="none" w:sz="0" w:space="0" w:color="auto"/>
      </w:divBdr>
    </w:div>
    <w:div w:id="2110273913">
      <w:bodyDiv w:val="1"/>
      <w:marLeft w:val="0"/>
      <w:marRight w:val="0"/>
      <w:marTop w:val="0"/>
      <w:marBottom w:val="0"/>
      <w:divBdr>
        <w:top w:val="none" w:sz="0" w:space="0" w:color="auto"/>
        <w:left w:val="none" w:sz="0" w:space="0" w:color="auto"/>
        <w:bottom w:val="none" w:sz="0" w:space="0" w:color="auto"/>
        <w:right w:val="none" w:sz="0" w:space="0" w:color="auto"/>
      </w:divBdr>
    </w:div>
    <w:div w:id="2130053221">
      <w:bodyDiv w:val="1"/>
      <w:marLeft w:val="0"/>
      <w:marRight w:val="0"/>
      <w:marTop w:val="0"/>
      <w:marBottom w:val="0"/>
      <w:divBdr>
        <w:top w:val="none" w:sz="0" w:space="0" w:color="auto"/>
        <w:left w:val="none" w:sz="0" w:space="0" w:color="auto"/>
        <w:bottom w:val="none" w:sz="0" w:space="0" w:color="auto"/>
        <w:right w:val="none" w:sz="0" w:space="0" w:color="auto"/>
      </w:divBdr>
    </w:div>
    <w:div w:id="21315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4.xml"/><Relationship Id="rId21" Type="http://schemas.openxmlformats.org/officeDocument/2006/relationships/chart" Target="charts/chart9.xml"/><Relationship Id="rId34" Type="http://schemas.openxmlformats.org/officeDocument/2006/relationships/hyperlink" Target="https://www.finance.gov.sk/sk/financie/institut-financnej-politiky/publikacie-ifp/ekonomicke-analyzy/51-default-strategy-pension-savings-case-slovakia.html" TargetMode="External"/><Relationship Id="rId42" Type="http://schemas.openxmlformats.org/officeDocument/2006/relationships/chart" Target="charts/chart27.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yperlink" Target="https://www.finance.gov.sk/sk/financie/institut-financnej-politiky/publikacie-ifp/komentare/komentare-z-roku-2019/4-co-nezhodnotis-dnes-dochodku-nenajdes.html" TargetMode="External"/><Relationship Id="rId38" Type="http://schemas.openxmlformats.org/officeDocument/2006/relationships/chart" Target="charts/chart23.xml"/><Relationship Id="rId46"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hyperlink" Target="https://core.ac.uk/download/pdf/95687555.pdf" TargetMode="Externa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6.xml"/><Relationship Id="rId54" Type="http://schemas.openxmlformats.org/officeDocument/2006/relationships/hyperlink" Target="https://www.transparency.org/research/cpi/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hyperlink" Target="http://www.doingbusiness.org/content/dam/doingBusiness/media/Annual-Reports/English/DB2019-report_web-version.pdf" TargetMode="External"/><Relationship Id="rId53" Type="http://schemas.openxmlformats.org/officeDocument/2006/relationships/hyperlink" Target="http://www.doingbusiness.org/data/exploreeconomies/slovakia" TargetMode="External"/><Relationship Id="rId5" Type="http://schemas.openxmlformats.org/officeDocument/2006/relationships/webSettings" Target="webSettings.xml"/><Relationship Id="rId15" Type="http://schemas.openxmlformats.org/officeDocument/2006/relationships/hyperlink" Target="https://www.imf.org/~/media/Files/Publications/CR/2018/cr18224.ashx" TargetMode="Externa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1.xml"/><Relationship Id="rId49" Type="http://schemas.openxmlformats.org/officeDocument/2006/relationships/chart" Target="charts/chart32.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hyperlink" Target="http://www.doingbusiness.org/content/dam/doingBusiness/media/Annual-Reports/English/DB2019-report_web-version.pdf" TargetMode="External"/><Relationship Id="rId52" Type="http://schemas.openxmlformats.org/officeDocument/2006/relationships/hyperlink" Target="http://ec.europa.eu/economy_finance/publications/european_economy/2015/pdf/ee3_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yperlink" Target="https://www.oecd-ilibrary.org/economics/oecd-economic-surveys-slovak-republic-2019_eco_surveys-svk-2019-en" TargetMode="External"/><Relationship Id="rId43" Type="http://schemas.openxmlformats.org/officeDocument/2006/relationships/chart" Target="charts/chart28.xml"/><Relationship Id="rId48" Type="http://schemas.openxmlformats.org/officeDocument/2006/relationships/chart" Target="charts/chart31.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ec.europa.eu/info/sites/info/files/file_import/2019-european-semester-country-report-slovakia_en.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minv.sk/?NP-PRIM-predprimarne-vzdelavanie-MRK" TargetMode="External"/><Relationship Id="rId13" Type="http://schemas.openxmlformats.org/officeDocument/2006/relationships/hyperlink" Target="https://www.finance.gov.sk/sk/financie/institut-financnej-politiky/seminare-prezentacie/prezentacie/24-workshop-ministerstva-financii-sr-zastupenia-europskej-komisie-slovensku-k-implementacii-vydavkovych-stropov-sr.html" TargetMode="External"/><Relationship Id="rId18" Type="http://schemas.openxmlformats.org/officeDocument/2006/relationships/hyperlink" Target="https://www.finance.gov.sk/sk/financie/institut-financnej-politiky/publikacie-ifp/komentare/18-inkluzia-romov-je-celospolocenskou-vyzvou-august-2018.html" TargetMode="External"/><Relationship Id="rId26" Type="http://schemas.openxmlformats.org/officeDocument/2006/relationships/hyperlink" Target="https://www.employment.gov.sk/sk/praca-zamestnanost/podpora-zamestnanosti/np-prognozy-vyvoja-trhu-prace-sr-ii/" TargetMode="External"/><Relationship Id="rId39" Type="http://schemas.openxmlformats.org/officeDocument/2006/relationships/hyperlink" Target="https://www.mpsvr.sk/files/slovensky/apdn_06122016_sk_final.pdf" TargetMode="External"/><Relationship Id="rId3" Type="http://schemas.openxmlformats.org/officeDocument/2006/relationships/hyperlink" Target="https://www.finance.gov.sk/sk/financie/hodnota-za-peniaze/revizia-vydavkov/ohrozene-skupiny/" TargetMode="External"/><Relationship Id="rId21" Type="http://schemas.openxmlformats.org/officeDocument/2006/relationships/hyperlink" Target="http://www.nro.vlada.gov.sk/" TargetMode="External"/><Relationship Id="rId34" Type="http://schemas.openxmlformats.org/officeDocument/2006/relationships/hyperlink" Target="http://www.oecd.org/slovakia/assessment-anti-corruption-legislation-slovak-republic.htm" TargetMode="External"/><Relationship Id="rId42" Type="http://schemas.openxmlformats.org/officeDocument/2006/relationships/hyperlink" Target="https://www.mfsr.sk/sk/financie/hodnota-za-peniaze/hodnotenie-investicnych-projektov/hodnotenie-investicnych-projektov.html" TargetMode="External"/><Relationship Id="rId7" Type="http://schemas.openxmlformats.org/officeDocument/2006/relationships/hyperlink" Target="https://www.mpsvr.sk/files/slovensky/apdn_06122016_sk_final.pdf" TargetMode="External"/><Relationship Id="rId12" Type="http://schemas.openxmlformats.org/officeDocument/2006/relationships/hyperlink" Target="https://www.finance.gov.sk/sk/financie/institut-financnej-politiky/publikacie-ifp/diskusne-studie/3-skrutkovac-hodnotu-za-peniaze-oktober-2018.html" TargetMode="External"/><Relationship Id="rId17" Type="http://schemas.openxmlformats.org/officeDocument/2006/relationships/hyperlink" Target="http://fra.europa.eu/en/publication/2017/eumidis-ii-main-results" TargetMode="External"/><Relationship Id="rId25" Type="http://schemas.openxmlformats.org/officeDocument/2006/relationships/hyperlink" Target="https://www.mpsvr.sk/files/slovensky/apdn_06122016_sk_final.pdf" TargetMode="External"/><Relationship Id="rId33" Type="http://schemas.openxmlformats.org/officeDocument/2006/relationships/hyperlink" Target="https://www.coe.int/t/DGHL/cooperation/cepej/evaluation/2016/STAT/default.asp" TargetMode="External"/><Relationship Id="rId38" Type="http://schemas.openxmlformats.org/officeDocument/2006/relationships/hyperlink" Target="https://ec.europa.eu/info/sites/info/files/file_import/2019-european-semester-country-report-slovakia_en.pdf" TargetMode="External"/><Relationship Id="rId2" Type="http://schemas.openxmlformats.org/officeDocument/2006/relationships/hyperlink" Target="https://www.finance.gov.sk/sk/financie/institut-financnej-politiky/publikacie-ifp/komentare/9-jablko-pada-daleko-od-stromu-maj-2018.html" TargetMode="External"/><Relationship Id="rId16" Type="http://schemas.openxmlformats.org/officeDocument/2006/relationships/hyperlink" Target="http://www.minedu.sk/17786-sk/narodny-program-rozvoja-vychovy-a-vzdelavania/" TargetMode="External"/><Relationship Id="rId20" Type="http://schemas.openxmlformats.org/officeDocument/2006/relationships/hyperlink" Target="https://www.oecd-ilibrary.org/economics/oecd-economic-surveys-slovak-republic-2019_eco_surveys-svk-2019-en" TargetMode="External"/><Relationship Id="rId29" Type="http://schemas.openxmlformats.org/officeDocument/2006/relationships/hyperlink" Target="https://www.vlada.gov.sk/data/files/7411_implementacny-plan-2019-revizia-vydavkov-na-zdravotnictvo.pdf" TargetMode="External"/><Relationship Id="rId41" Type="http://schemas.openxmlformats.org/officeDocument/2006/relationships/hyperlink" Target="https://www.mfsr.sk/sk/financie/hodnota-za-peniaze/hodnotenie-investicnych-projektov/hodnotenie-investicnych-projektov.html" TargetMode="External"/><Relationship Id="rId1" Type="http://schemas.openxmlformats.org/officeDocument/2006/relationships/hyperlink" Target="https://ec.europa.eu/info/sites/info/files/file_import/2019-european-semester-country-report-slovakia_en.pdf" TargetMode="External"/><Relationship Id="rId6" Type="http://schemas.openxmlformats.org/officeDocument/2006/relationships/hyperlink" Target="https://www.finance.gov.sk/sk/financie/institut-financnej-politiky/publikacie-ifp/ekonomicke-analyzy/48-women-still-cant-have-it-all-barriers-higher-maternal-employment-slovakia-maj-2018-2.html" TargetMode="External"/><Relationship Id="rId11" Type="http://schemas.openxmlformats.org/officeDocument/2006/relationships/hyperlink" Target="https://www.mindop.sk/ministerstvo-1/doprava-3/dopravne-modelovanie/metodika-dopravneho-modelovania-a-dopravnych-prognoz" TargetMode="External"/><Relationship Id="rId24" Type="http://schemas.openxmlformats.org/officeDocument/2006/relationships/hyperlink" Target="https://ec.europa.eu/info/publications/economy-finance/2018-ageing-report-economic-and-budgetary-projections-eu-member-states-2016-2070_en" TargetMode="External"/><Relationship Id="rId32" Type="http://schemas.openxmlformats.org/officeDocument/2006/relationships/hyperlink" Target="https://www.coe.int/t/DGHL/cooperation/cepej/evaluation/2016/STAT/default.asp" TargetMode="External"/><Relationship Id="rId37" Type="http://schemas.openxmlformats.org/officeDocument/2006/relationships/hyperlink" Target="https://ec.europa.eu/info/publications/2019-european-semester-annual-growth-survey_en" TargetMode="External"/><Relationship Id="rId40" Type="http://schemas.openxmlformats.org/officeDocument/2006/relationships/hyperlink" Target="file:///C:\Users\shidas\!D%20disk\Administration\NPR_2019\Final\www.trendypr&#225;ce.sk" TargetMode="External"/><Relationship Id="rId5" Type="http://schemas.openxmlformats.org/officeDocument/2006/relationships/hyperlink" Target="https://www.finance.gov.sk/sk/financie/institut-financnej-politiky/publikacie-ifp/komentare/8-milovat-pracovat-maj-2018.html" TargetMode="External"/><Relationship Id="rId15" Type="http://schemas.openxmlformats.org/officeDocument/2006/relationships/hyperlink" Target="https://www.minedu.sk/data/att/13463.pdf" TargetMode="External"/><Relationship Id="rId23" Type="http://schemas.openxmlformats.org/officeDocument/2006/relationships/hyperlink" Target="https://www.oecd-ilibrary.org/economics/oecd-economic-surveys-slovak-republic-2019_eco_surveys-svk-2019-en" TargetMode="External"/><Relationship Id="rId28" Type="http://schemas.openxmlformats.org/officeDocument/2006/relationships/hyperlink" Target="https://www.iser.essex.ac.uk/research/publications/524481" TargetMode="External"/><Relationship Id="rId36" Type="http://schemas.openxmlformats.org/officeDocument/2006/relationships/hyperlink" Target="file:///\\mf.mfsr.sk\DfsRoot\ADRESARE\IFP_NEW\5_MATERIALY\5_3_Strategicke_materialy\NPR\2019_NPR\N&#225;vrh%20Ak&#269;n&#233;ho%20pl&#225;nu%20rozvoja%20elektromobility%20v%20Slovenskej%20republike" TargetMode="External"/><Relationship Id="rId10" Type="http://schemas.openxmlformats.org/officeDocument/2006/relationships/hyperlink" Target="https://www.vlada.gov.sk/implementacna-jednotka/" TargetMode="External"/><Relationship Id="rId19" Type="http://schemas.openxmlformats.org/officeDocument/2006/relationships/hyperlink" Target="http://fra.europa.eu/en/publication/2017/eumidis-ii-main-results" TargetMode="External"/><Relationship Id="rId31" Type="http://schemas.openxmlformats.org/officeDocument/2006/relationships/hyperlink" Target="http://www.finance.gov.sk/Default.aspx?CatID=8789" TargetMode="External"/><Relationship Id="rId44" Type="http://schemas.openxmlformats.org/officeDocument/2006/relationships/hyperlink" Target="http://www.rokovania.sk/File.aspx/ViewDocumentHtml/Uznesenie-17256?listName=Uznesenia&amp;prefixFile=m_" TargetMode="External"/><Relationship Id="rId4" Type="http://schemas.openxmlformats.org/officeDocument/2006/relationships/hyperlink" Target="https://www.finance.gov.sk/sk/financie/institut-financnej-politiky/publikacie-ifp/komentare/18-inkluzia-romov-je-celospolocenskou-vyzvou-august-2018.html" TargetMode="External"/><Relationship Id="rId9" Type="http://schemas.openxmlformats.org/officeDocument/2006/relationships/hyperlink" Target="https://www.justice.gov.sk/Stranky/Ministerstvo/Sprava-k-stavu-justicie.aspx" TargetMode="External"/><Relationship Id="rId14" Type="http://schemas.openxmlformats.org/officeDocument/2006/relationships/hyperlink" Target="http://www.oecd.org/social/family/database.htm" TargetMode="External"/><Relationship Id="rId22" Type="http://schemas.openxmlformats.org/officeDocument/2006/relationships/hyperlink" Target="https://www.oecd-ilibrary.org/economics/oecd-economic-surveys-slovak-republic-2019_eco_surveys-svk-2019-en" TargetMode="External"/><Relationship Id="rId27" Type="http://schemas.openxmlformats.org/officeDocument/2006/relationships/hyperlink" Target="https://rokovania.gov.sk/RVL/Material/23260/1" TargetMode="External"/><Relationship Id="rId30" Type="http://schemas.openxmlformats.org/officeDocument/2006/relationships/hyperlink" Target="https://www.finance.gov.sk/sk/financie/institut-financnej-politiky/publikacie-ifp/komentare/komentare-z-roku-2018/23-inkluzia-romov-je-potrebna-aj-zdravotnictve-december-2018.html" TargetMode="External"/><Relationship Id="rId35" Type="http://schemas.openxmlformats.org/officeDocument/2006/relationships/hyperlink" Target="http://www.finance.gov.sk/Default.aspx?CatID=11403" TargetMode="External"/><Relationship Id="rId43" Type="http://schemas.openxmlformats.org/officeDocument/2006/relationships/hyperlink" Target="https://www.csirt.gov.s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Identifik&#225;cia%20prior&#237;t%20update%202019\Identifikacia%20priorit%202019\Identifikacia_priorit_2019_v3.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Identifik&#225;cia%20prior&#237;t%20update%202019\Identifikacia%20priorit%202019\skolstvo\skolstvo%20NPR%202019.xlsx"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shidas\!D%20disk\Administration\NPR%202018\!Data_a_grafy\NPR_2018_Grafy_SH.xlsx"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shidas\!D%20disk\Administration\NPR%202018\!Data_a_grafy\NPR_2018_Grafy_SH.xlsx" TargetMode="External"/><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2.xml"/><Relationship Id="rId4" Type="http://schemas.openxmlformats.org/officeDocument/2006/relationships/oleObject" Target="file:///\\mf.mfsr.sk\DfsRoot\ADRESARE\IFP_NEW\5_MATERIALY\5_3_Strategicke_materialy\NPR\2019_NPR\!Data_a_grafy\NPR_2019_Grafy_2019020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f.mfsr.sk\DfsRoot\ADRESARE\IFP_NEW\5_MATERIALY\5_3_Strategicke_materialy\NPR\2019_NPR\!Data_a_grafy\NPR_2019_Grafy_20190205.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Data_a_grafy\NPR_2019_Grafy_20190205.xlsx" TargetMode="External"/><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1" Type="http://schemas.openxmlformats.org/officeDocument/2006/relationships/oleObject" Target="file:///\\mf.mfsr.sk\DfsRoot\ADRESARE\IFP_NEW\5_MATERIALY\5_3_Strategicke_materialy\NPR\2019_NPR\!Data_a_grafy\NPR_2019_Grafy_20190205.xlsx"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mf.mfsr.sk\DfsRoot\ADRESARE\IFP_NEW\6_VSEOBECNE\6_4_Ludia\Kubala\06_Najomne_byvanie\EU_statistiky.xlsx" TargetMode="External"/><Relationship Id="rId1" Type="http://schemas.openxmlformats.org/officeDocument/2006/relationships/themeOverride" Target="../theme/themeOverride13.xml"/></Relationships>
</file>

<file path=word/charts/_rels/chart18.xml.rels><?xml version="1.0" encoding="UTF-8" standalone="yes"?>
<Relationships xmlns="http://schemas.openxmlformats.org/package/2006/relationships"><Relationship Id="rId2" Type="http://schemas.openxmlformats.org/officeDocument/2006/relationships/oleObject" Target="file:///\\mf.mfsr.sk\DfsRoot\ADRESARE\IFP_NEW\6_VSEOBECNE\6_4_Ludia\Kubala\06_Najomne_byvanie\EU_statistiky.xlsx" TargetMode="External"/><Relationship Id="rId1" Type="http://schemas.openxmlformats.org/officeDocument/2006/relationships/themeOverride" Target="../theme/themeOverride14.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jfodor\Documents\2pilier_analyza_allianz.xlsx" TargetMode="External"/><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3" Type="http://schemas.openxmlformats.org/officeDocument/2006/relationships/oleObject" Target="file:///\\mf.mfsr.sk\DfsRoot\ADRESARE\IFP_NEW\5_MATERIALY\5_3_Strategicke_materialy\NPR\2019_NPR\!Identifik&#225;cia%20prior&#237;t%20update%202019\Identifikacia%20priorit%202019\Identifikacia_priorit_2019_20190306.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mf.mfsr.sk\DfsRoot\ADRESARE\IFP_NEW\6_VSEOBECNE\6_4_Ludia\Fodor\Januar\glide_paths.xlsx" TargetMode="External"/><Relationship Id="rId1" Type="http://schemas.openxmlformats.org/officeDocument/2006/relationships/themeOverride" Target="../theme/themeOverride16.xml"/></Relationships>
</file>

<file path=word/charts/_rels/chart21.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Data_a_grafy\NPR_2019_Grafy_20190205.xlsx" TargetMode="External"/><Relationship Id="rId1" Type="http://schemas.openxmlformats.org/officeDocument/2006/relationships/themeOverride" Target="../theme/themeOverride17.xml"/></Relationships>
</file>

<file path=word/charts/_rels/chart22.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Data_a_grafy\NPR_2019_Grafy_20190205.xlsx" TargetMode="External"/><Relationship Id="rId1" Type="http://schemas.openxmlformats.org/officeDocument/2006/relationships/themeOverride" Target="../theme/themeOverride18.xm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mf.mfsr.sk\DfsRoot\ADRESARE\IFP_NEW\5_MATERIALY\5_3_Strategicke_materialy\NPR\2019_NPR\!Data_a_grafy\NPR_2019_Grafy_20190205.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mf.mfsr.sk\DfsRoot\ADRESARE\IFP_NEW\5_MATERIALY\5_3_Strategicke_materialy\NPR\2019_NPR\!Data_a_grafy\NPR_2019_Grafy_20190205.xlsx" TargetMode="External"/></Relationships>
</file>

<file path=word/charts/_rels/chart25.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Data_a_grafy\NPR_2019_Grafy_20190205.xlsx" TargetMode="External"/><Relationship Id="rId1" Type="http://schemas.openxmlformats.org/officeDocument/2006/relationships/themeOverride" Target="../theme/themeOverride21.xm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mf.mfsr.sk\DfsRoot\ADRESARE\IFP_NEW\5_MATERIALY\5_3_Strategicke_materialy\NPR\2019_NPR\!Data_a_grafy\NPR_2019_Grafy_20190205.xlsx" TargetMode="External"/></Relationships>
</file>

<file path=word/charts/_rels/chart27.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Data_a_grafy\NPR_2019_Grafy_20190205.xlsx" TargetMode="External"/><Relationship Id="rId1" Type="http://schemas.openxmlformats.org/officeDocument/2006/relationships/themeOverride" Target="../theme/themeOverride23.xml"/></Relationships>
</file>

<file path=word/charts/_rels/chart28.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Data_a_grafy\NPR_2019_Grafy_20190205.xlsx" TargetMode="External"/><Relationship Id="rId1" Type="http://schemas.openxmlformats.org/officeDocument/2006/relationships/themeOverride" Target="../theme/themeOverride24.xml"/></Relationships>
</file>

<file path=word/charts/_rels/chart29.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Data_a_grafy\NPR_2019_Grafy_20190205.xlsx" TargetMode="External"/><Relationship Id="rId1" Type="http://schemas.openxmlformats.org/officeDocument/2006/relationships/themeOverride" Target="../theme/themeOverride25.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jsilan\Documents\1_Materialy\NPR\2018\NPR%20grafy.xlsx" TargetMode="External"/></Relationships>
</file>

<file path=word/charts/_rels/chart30.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Data_a_grafy\NPR_2019_Grafy_20190205.xlsx" TargetMode="External"/><Relationship Id="rId1" Type="http://schemas.openxmlformats.org/officeDocument/2006/relationships/themeOverride" Target="../theme/themeOverride26.xml"/></Relationships>
</file>

<file path=word/charts/_rels/chart31.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Data_a_grafy\NPR_2019_Grafy_20190205.xlsx" TargetMode="External"/><Relationship Id="rId1" Type="http://schemas.openxmlformats.org/officeDocument/2006/relationships/themeOverride" Target="../theme/themeOverride27.xml"/></Relationships>
</file>

<file path=word/charts/_rels/chart32.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Data_a_grafy\NPR_2019_Grafy_20190205.xlsx" TargetMode="External"/><Relationship Id="rId1" Type="http://schemas.openxmlformats.org/officeDocument/2006/relationships/themeOverride" Target="../theme/themeOverride28.xml"/></Relationships>
</file>

<file path=word/charts/_rels/chart33.xml.rels><?xml version="1.0" encoding="UTF-8" standalone="yes"?>
<Relationships xmlns="http://schemas.openxmlformats.org/package/2006/relationships"><Relationship Id="rId3" Type="http://schemas.openxmlformats.org/officeDocument/2006/relationships/oleObject" Target="file:///\\mf.mfsr.sk\DfsRoot\ADRESARE\IFP_NEW\5_MATERIALY\5_3_Strategicke_materialy\NPR\2019_NPR\!Data_a_grafy\esif\esif%20graf.xlsx" TargetMode="External"/><Relationship Id="rId2" Type="http://schemas.microsoft.com/office/2011/relationships/chartColorStyle" Target="colors8.xml"/><Relationship Id="rId1" Type="http://schemas.microsoft.com/office/2011/relationships/chartStyle" Target="style8.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jsilan\Documents\1_Materialy\NPR\2018\NPR%20grafy.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mf.mfsr.sk\DfsRoot\ADRESARE\IFP_NEW\5_MATERIALY\5_3_Strategicke_materialy\Program_stability\2019\Tabulky\old\PS_2019_Tabulky_Komplet_old.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mf.mfsr.sk\DfsRoot\ADRESARE\IFP_NEW\5_MATERIALY\5_3_Strategicke_materialy\Program_stability\2019\Tabulky\PS_2019_Tabulky_Komplet.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Data_a_grafy\NPR_2019_Grafy_20190205.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Data_a_grafy\NPR_2019_Grafy_20190205.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9_NPR\!Identifik&#225;cia%20prior&#237;t%20update%202019\Identifikacia%20priorit%202019\skolstvo\skolstvo%20NPR%202019.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093651031835666"/>
          <c:y val="4.2759961127308101E-2"/>
          <c:w val="0.7497283188147118"/>
          <c:h val="0.8640557685391369"/>
        </c:manualLayout>
      </c:layout>
      <c:barChart>
        <c:barDir val="col"/>
        <c:grouping val="clustered"/>
        <c:varyColors val="0"/>
        <c:ser>
          <c:idx val="0"/>
          <c:order val="0"/>
          <c:spPr>
            <a:solidFill>
              <a:srgbClr val="2C9ADC"/>
            </a:solidFill>
          </c:spPr>
          <c:invertIfNegative val="0"/>
          <c:cat>
            <c:strRef>
              <c:f>'Tabuľky a grafy'!$A$83:$A$93</c:f>
              <c:strCache>
                <c:ptCount val="11"/>
                <c:pt idx="0">
                  <c:v>Základné školstvo </c:v>
                </c:pt>
                <c:pt idx="1">
                  <c:v>Zdravie</c:v>
                </c:pt>
                <c:pt idx="2">
                  <c:v>Trh práce</c:v>
                </c:pt>
                <c:pt idx="3">
                  <c:v>Kvalita výskumu a VŠ</c:v>
                </c:pt>
                <c:pt idx="4">
                  <c:v>Podnikateľské prostredie</c:v>
                </c:pt>
                <c:pt idx="5">
                  <c:v>Príjem a bohatstvo</c:v>
                </c:pt>
                <c:pt idx="6">
                  <c:v>Environmentálna udržateľnosť</c:v>
                </c:pt>
                <c:pt idx="7">
                  <c:v>Bezpečnosť</c:v>
                </c:pt>
                <c:pt idx="8">
                  <c:v>Inovačná výkonnosť</c:v>
                </c:pt>
                <c:pt idx="9">
                  <c:v>Fiškálna udržateľnosť</c:v>
                </c:pt>
                <c:pt idx="10">
                  <c:v>Príjmové nerovnosti</c:v>
                </c:pt>
              </c:strCache>
            </c:strRef>
          </c:cat>
          <c:val>
            <c:numRef>
              <c:f>'Tabuľky a grafy'!$B$83:$B$93</c:f>
              <c:numCache>
                <c:formatCode>0.00</c:formatCode>
                <c:ptCount val="11"/>
                <c:pt idx="0">
                  <c:v>-1.1200000000000001</c:v>
                </c:pt>
                <c:pt idx="1">
                  <c:v>-1.03</c:v>
                </c:pt>
                <c:pt idx="2">
                  <c:v>-0.72</c:v>
                </c:pt>
                <c:pt idx="3">
                  <c:v>-0.71</c:v>
                </c:pt>
                <c:pt idx="4">
                  <c:v>-0.54</c:v>
                </c:pt>
                <c:pt idx="5">
                  <c:v>-0.52</c:v>
                </c:pt>
                <c:pt idx="6">
                  <c:v>-0.42</c:v>
                </c:pt>
                <c:pt idx="7">
                  <c:v>-0.39</c:v>
                </c:pt>
                <c:pt idx="8">
                  <c:v>-0.2</c:v>
                </c:pt>
                <c:pt idx="9">
                  <c:v>-7.0000000000000007E-2</c:v>
                </c:pt>
                <c:pt idx="10">
                  <c:v>1.25</c:v>
                </c:pt>
              </c:numCache>
            </c:numRef>
          </c:val>
        </c:ser>
        <c:dLbls>
          <c:showLegendKey val="0"/>
          <c:showVal val="0"/>
          <c:showCatName val="0"/>
          <c:showSerName val="0"/>
          <c:showPercent val="0"/>
          <c:showBubbleSize val="0"/>
        </c:dLbls>
        <c:gapWidth val="150"/>
        <c:axId val="397484352"/>
        <c:axId val="397484744"/>
      </c:barChart>
      <c:catAx>
        <c:axId val="397484352"/>
        <c:scaling>
          <c:orientation val="minMax"/>
        </c:scaling>
        <c:delete val="0"/>
        <c:axPos val="b"/>
        <c:numFmt formatCode="General" sourceLinked="1"/>
        <c:majorTickMark val="in"/>
        <c:minorTickMark val="out"/>
        <c:tickLblPos val="low"/>
        <c:txPr>
          <a:bodyPr rot="-2460000"/>
          <a:lstStyle/>
          <a:p>
            <a:pPr>
              <a:defRPr>
                <a:latin typeface="Arial Narrow" panose="020B0606020202030204" pitchFamily="34" charset="0"/>
              </a:defRPr>
            </a:pPr>
            <a:endParaRPr lang="en-US"/>
          </a:p>
        </c:txPr>
        <c:crossAx val="397484744"/>
        <c:crosses val="autoZero"/>
        <c:auto val="1"/>
        <c:lblAlgn val="ctr"/>
        <c:lblOffset val="100"/>
        <c:noMultiLvlLbl val="0"/>
      </c:catAx>
      <c:valAx>
        <c:axId val="397484744"/>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a:lstStyle/>
          <a:p>
            <a:pPr>
              <a:defRPr>
                <a:latin typeface="Arial Narrow" panose="020B0606020202030204" pitchFamily="34" charset="0"/>
                <a:ea typeface="MS PMincho" panose="02020600040205080304" pitchFamily="18" charset="-128"/>
              </a:defRPr>
            </a:pPr>
            <a:endParaRPr lang="en-US"/>
          </a:p>
        </c:txPr>
        <c:crossAx val="397484352"/>
        <c:crosses val="autoZero"/>
        <c:crossBetween val="between"/>
      </c:valAx>
    </c:plotArea>
    <c:plotVisOnly val="1"/>
    <c:dispBlanksAs val="gap"/>
    <c:showDLblsOverMax val="0"/>
  </c:chart>
  <c:spPr>
    <a:ln>
      <a:noFill/>
    </a:ln>
  </c:spPr>
  <c:txPr>
    <a:bodyPr/>
    <a:lstStyle/>
    <a:p>
      <a:pPr>
        <a:defRPr sz="800">
          <a:solidFill>
            <a:sysClr val="windowText" lastClr="000000"/>
          </a:solidFill>
          <a:latin typeface="Arial Narrow"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66392930188013577"/>
        </c:manualLayout>
      </c:layout>
      <c:barChart>
        <c:barDir val="col"/>
        <c:grouping val="clustered"/>
        <c:varyColors val="0"/>
        <c:ser>
          <c:idx val="1"/>
          <c:order val="3"/>
          <c:tx>
            <c:strRef>
              <c:f>'PISA reading'!$J$10</c:f>
              <c:strCache>
                <c:ptCount val="1"/>
                <c:pt idx="0">
                  <c:v>Sku</c:v>
                </c:pt>
              </c:strCache>
            </c:strRef>
          </c:tx>
          <c:spPr>
            <a:solidFill>
              <a:srgbClr val="2C9ADC"/>
            </a:solidFill>
            <a:ln w="19050">
              <a:noFill/>
            </a:ln>
          </c:spPr>
          <c:invertIfNegative val="0"/>
          <c:cat>
            <c:numRef>
              <c:f>'PISA reading'!$K$6:$O$6</c:f>
              <c:numCache>
                <c:formatCode>General</c:formatCode>
                <c:ptCount val="5"/>
                <c:pt idx="0">
                  <c:v>2003</c:v>
                </c:pt>
                <c:pt idx="1">
                  <c:v>2006</c:v>
                </c:pt>
                <c:pt idx="2">
                  <c:v>2009</c:v>
                </c:pt>
                <c:pt idx="3">
                  <c:v>2012</c:v>
                </c:pt>
                <c:pt idx="4">
                  <c:v>2015</c:v>
                </c:pt>
              </c:numCache>
            </c:numRef>
          </c:cat>
          <c:val>
            <c:numRef>
              <c:f>'PISA reading'!$K$10:$O$10</c:f>
              <c:numCache>
                <c:formatCode>General</c:formatCode>
                <c:ptCount val="5"/>
                <c:pt idx="2" formatCode="0">
                  <c:v>0.22</c:v>
                </c:pt>
                <c:pt idx="3" formatCode="0">
                  <c:v>0.28000000000000003</c:v>
                </c:pt>
                <c:pt idx="4" formatCode="0">
                  <c:v>0.32</c:v>
                </c:pt>
              </c:numCache>
            </c:numRef>
          </c:val>
        </c:ser>
        <c:ser>
          <c:idx val="2"/>
          <c:order val="4"/>
          <c:tx>
            <c:strRef>
              <c:f>'PISA reading'!$J$11</c:f>
              <c:strCache>
                <c:ptCount val="1"/>
                <c:pt idx="0">
                  <c:v>V3u</c:v>
                </c:pt>
              </c:strCache>
            </c:strRef>
          </c:tx>
          <c:spPr>
            <a:solidFill>
              <a:sysClr val="windowText" lastClr="000000"/>
            </a:solidFill>
            <a:ln w="19050">
              <a:noFill/>
            </a:ln>
          </c:spPr>
          <c:invertIfNegative val="0"/>
          <c:cat>
            <c:numRef>
              <c:f>'PISA reading'!$K$6:$O$6</c:f>
              <c:numCache>
                <c:formatCode>General</c:formatCode>
                <c:ptCount val="5"/>
                <c:pt idx="0">
                  <c:v>2003</c:v>
                </c:pt>
                <c:pt idx="1">
                  <c:v>2006</c:v>
                </c:pt>
                <c:pt idx="2">
                  <c:v>2009</c:v>
                </c:pt>
                <c:pt idx="3">
                  <c:v>2012</c:v>
                </c:pt>
                <c:pt idx="4">
                  <c:v>2015</c:v>
                </c:pt>
              </c:numCache>
            </c:numRef>
          </c:cat>
          <c:val>
            <c:numRef>
              <c:f>'PISA reading'!$K$11:$O$11</c:f>
              <c:numCache>
                <c:formatCode>General</c:formatCode>
                <c:ptCount val="5"/>
                <c:pt idx="2" formatCode="0">
                  <c:v>0.19</c:v>
                </c:pt>
                <c:pt idx="3" formatCode="0">
                  <c:v>0.16</c:v>
                </c:pt>
                <c:pt idx="4" formatCode="0">
                  <c:v>0.21</c:v>
                </c:pt>
              </c:numCache>
            </c:numRef>
          </c:val>
        </c:ser>
        <c:ser>
          <c:idx val="4"/>
          <c:order val="5"/>
          <c:tx>
            <c:strRef>
              <c:f>'PISA reading'!$J$12</c:f>
              <c:strCache>
                <c:ptCount val="1"/>
                <c:pt idx="0">
                  <c:v>OECDu</c:v>
                </c:pt>
              </c:strCache>
            </c:strRef>
          </c:tx>
          <c:spPr>
            <a:solidFill>
              <a:srgbClr val="AAD3F2"/>
            </a:solidFill>
            <a:ln>
              <a:noFill/>
            </a:ln>
          </c:spPr>
          <c:invertIfNegative val="0"/>
          <c:cat>
            <c:numRef>
              <c:f>'PISA reading'!$K$6:$O$6</c:f>
              <c:numCache>
                <c:formatCode>General</c:formatCode>
                <c:ptCount val="5"/>
                <c:pt idx="0">
                  <c:v>2003</c:v>
                </c:pt>
                <c:pt idx="1">
                  <c:v>2006</c:v>
                </c:pt>
                <c:pt idx="2">
                  <c:v>2009</c:v>
                </c:pt>
                <c:pt idx="3">
                  <c:v>2012</c:v>
                </c:pt>
                <c:pt idx="4">
                  <c:v>2015</c:v>
                </c:pt>
              </c:numCache>
            </c:numRef>
          </c:cat>
          <c:val>
            <c:numRef>
              <c:f>'PISA reading'!$K$12:$O$12</c:f>
              <c:numCache>
                <c:formatCode>General</c:formatCode>
                <c:ptCount val="5"/>
                <c:pt idx="2" formatCode="0">
                  <c:v>0.19</c:v>
                </c:pt>
                <c:pt idx="3" formatCode="0">
                  <c:v>0.18</c:v>
                </c:pt>
                <c:pt idx="4" formatCode="0">
                  <c:v>0.2</c:v>
                </c:pt>
              </c:numCache>
            </c:numRef>
          </c:val>
        </c:ser>
        <c:dLbls>
          <c:showLegendKey val="0"/>
          <c:showVal val="0"/>
          <c:showCatName val="0"/>
          <c:showSerName val="0"/>
          <c:showPercent val="0"/>
          <c:showBubbleSize val="0"/>
        </c:dLbls>
        <c:gapWidth val="150"/>
        <c:axId val="479810224"/>
        <c:axId val="479809832"/>
      </c:barChart>
      <c:lineChart>
        <c:grouping val="standard"/>
        <c:varyColors val="0"/>
        <c:ser>
          <c:idx val="3"/>
          <c:order val="0"/>
          <c:tx>
            <c:strRef>
              <c:f>'PISA reading'!$J$7</c:f>
              <c:strCache>
                <c:ptCount val="1"/>
                <c:pt idx="0">
                  <c:v>Slovensko</c:v>
                </c:pt>
              </c:strCache>
            </c:strRef>
          </c:tx>
          <c:spPr>
            <a:ln w="19050">
              <a:solidFill>
                <a:srgbClr val="2C9ADC"/>
              </a:solidFill>
              <a:prstDash val="solid"/>
            </a:ln>
          </c:spPr>
          <c:marker>
            <c:symbol val="none"/>
          </c:marker>
          <c:cat>
            <c:numRef>
              <c:f>'PISA reading'!$K$6:$O$6</c:f>
              <c:numCache>
                <c:formatCode>General</c:formatCode>
                <c:ptCount val="5"/>
                <c:pt idx="0">
                  <c:v>2003</c:v>
                </c:pt>
                <c:pt idx="1">
                  <c:v>2006</c:v>
                </c:pt>
                <c:pt idx="2">
                  <c:v>2009</c:v>
                </c:pt>
                <c:pt idx="3">
                  <c:v>2012</c:v>
                </c:pt>
                <c:pt idx="4">
                  <c:v>2015</c:v>
                </c:pt>
              </c:numCache>
            </c:numRef>
          </c:cat>
          <c:val>
            <c:numRef>
              <c:f>'PISA reading'!$K$7:$O$7</c:f>
              <c:numCache>
                <c:formatCode>0</c:formatCode>
                <c:ptCount val="5"/>
                <c:pt idx="0">
                  <c:v>469.15899999999999</c:v>
                </c:pt>
                <c:pt idx="1">
                  <c:v>466.34980000000002</c:v>
                </c:pt>
                <c:pt idx="2">
                  <c:v>477.4434</c:v>
                </c:pt>
                <c:pt idx="3">
                  <c:v>462.767</c:v>
                </c:pt>
                <c:pt idx="4">
                  <c:v>452.51429999999999</c:v>
                </c:pt>
              </c:numCache>
            </c:numRef>
          </c:val>
          <c:smooth val="0"/>
        </c:ser>
        <c:ser>
          <c:idx val="5"/>
          <c:order val="1"/>
          <c:tx>
            <c:strRef>
              <c:f>'PISA reading'!$J$8</c:f>
              <c:strCache>
                <c:ptCount val="1"/>
                <c:pt idx="0">
                  <c:v>V3</c:v>
                </c:pt>
              </c:strCache>
            </c:strRef>
          </c:tx>
          <c:spPr>
            <a:ln w="19050">
              <a:solidFill>
                <a:sysClr val="windowText" lastClr="000000"/>
              </a:solidFill>
              <a:prstDash val="solid"/>
            </a:ln>
          </c:spPr>
          <c:marker>
            <c:symbol val="none"/>
          </c:marker>
          <c:cat>
            <c:numRef>
              <c:f>'PISA reading'!$K$6:$O$6</c:f>
              <c:numCache>
                <c:formatCode>General</c:formatCode>
                <c:ptCount val="5"/>
                <c:pt idx="0">
                  <c:v>2003</c:v>
                </c:pt>
                <c:pt idx="1">
                  <c:v>2006</c:v>
                </c:pt>
                <c:pt idx="2">
                  <c:v>2009</c:v>
                </c:pt>
                <c:pt idx="3">
                  <c:v>2012</c:v>
                </c:pt>
                <c:pt idx="4">
                  <c:v>2015</c:v>
                </c:pt>
              </c:numCache>
            </c:numRef>
          </c:cat>
          <c:val>
            <c:numRef>
              <c:f>'PISA reading'!$K$8:$O$8</c:f>
              <c:numCache>
                <c:formatCode>0</c:formatCode>
                <c:ptCount val="5"/>
                <c:pt idx="0">
                  <c:v>489.00576666666666</c:v>
                </c:pt>
                <c:pt idx="1">
                  <c:v>490.90973333333335</c:v>
                </c:pt>
                <c:pt idx="2">
                  <c:v>490.94800000000004</c:v>
                </c:pt>
                <c:pt idx="3">
                  <c:v>499.8459666666667</c:v>
                </c:pt>
                <c:pt idx="4">
                  <c:v>487.49016666666665</c:v>
                </c:pt>
              </c:numCache>
            </c:numRef>
          </c:val>
          <c:smooth val="0"/>
        </c:ser>
        <c:ser>
          <c:idx val="0"/>
          <c:order val="2"/>
          <c:tx>
            <c:strRef>
              <c:f>'PISA reading'!$J$9</c:f>
              <c:strCache>
                <c:ptCount val="1"/>
                <c:pt idx="0">
                  <c:v>OECD priemer</c:v>
                </c:pt>
              </c:strCache>
            </c:strRef>
          </c:tx>
          <c:spPr>
            <a:ln w="19050">
              <a:solidFill>
                <a:srgbClr val="AAD3F2"/>
              </a:solidFill>
              <a:prstDash val="solid"/>
            </a:ln>
          </c:spPr>
          <c:marker>
            <c:symbol val="none"/>
          </c:marker>
          <c:dPt>
            <c:idx val="0"/>
            <c:bubble3D val="0"/>
          </c:dPt>
          <c:cat>
            <c:numRef>
              <c:f>'PISA reading'!$K$6:$O$6</c:f>
              <c:numCache>
                <c:formatCode>General</c:formatCode>
                <c:ptCount val="5"/>
                <c:pt idx="0">
                  <c:v>2003</c:v>
                </c:pt>
                <c:pt idx="1">
                  <c:v>2006</c:v>
                </c:pt>
                <c:pt idx="2">
                  <c:v>2009</c:v>
                </c:pt>
                <c:pt idx="3">
                  <c:v>2012</c:v>
                </c:pt>
                <c:pt idx="4">
                  <c:v>2015</c:v>
                </c:pt>
              </c:numCache>
            </c:numRef>
          </c:cat>
          <c:val>
            <c:numRef>
              <c:f>'PISA reading'!$K$9:$O$9</c:f>
              <c:numCache>
                <c:formatCode>0</c:formatCode>
                <c:ptCount val="5"/>
                <c:pt idx="0">
                  <c:v>496.98</c:v>
                </c:pt>
                <c:pt idx="1">
                  <c:v>494.65460000000002</c:v>
                </c:pt>
                <c:pt idx="2">
                  <c:v>499.27069999999998</c:v>
                </c:pt>
                <c:pt idx="3">
                  <c:v>501.33190000000002</c:v>
                </c:pt>
                <c:pt idx="4">
                  <c:v>497.58879999999999</c:v>
                </c:pt>
              </c:numCache>
            </c:numRef>
          </c:val>
          <c:smooth val="0"/>
        </c:ser>
        <c:dLbls>
          <c:showLegendKey val="0"/>
          <c:showVal val="0"/>
          <c:showCatName val="0"/>
          <c:showSerName val="0"/>
          <c:showPercent val="0"/>
          <c:showBubbleSize val="0"/>
        </c:dLbls>
        <c:marker val="1"/>
        <c:smooth val="0"/>
        <c:axId val="479518248"/>
        <c:axId val="479518640"/>
      </c:lineChart>
      <c:catAx>
        <c:axId val="479518248"/>
        <c:scaling>
          <c:orientation val="minMax"/>
        </c:scaling>
        <c:delete val="0"/>
        <c:axPos val="b"/>
        <c:numFmt formatCode="General" sourceLinked="0"/>
        <c:majorTickMark val="out"/>
        <c:minorTickMark val="none"/>
        <c:tickLblPos val="low"/>
        <c:txPr>
          <a:bodyPr rot="0" vert="horz"/>
          <a:lstStyle/>
          <a:p>
            <a:pPr>
              <a:defRPr/>
            </a:pPr>
            <a:endParaRPr lang="en-US"/>
          </a:p>
        </c:txPr>
        <c:crossAx val="479518640"/>
        <c:crosses val="autoZero"/>
        <c:auto val="1"/>
        <c:lblAlgn val="ctr"/>
        <c:lblOffset val="100"/>
        <c:noMultiLvlLbl val="0"/>
      </c:catAx>
      <c:valAx>
        <c:axId val="479518640"/>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en-US"/>
          </a:p>
        </c:txPr>
        <c:crossAx val="479518248"/>
        <c:crosses val="autoZero"/>
        <c:crossBetween val="between"/>
      </c:valAx>
      <c:valAx>
        <c:axId val="479809832"/>
        <c:scaling>
          <c:orientation val="minMax"/>
          <c:max val="1"/>
          <c:min val="0"/>
        </c:scaling>
        <c:delete val="0"/>
        <c:axPos val="r"/>
        <c:numFmt formatCode="0%" sourceLinked="0"/>
        <c:majorTickMark val="out"/>
        <c:minorTickMark val="none"/>
        <c:tickLblPos val="nextTo"/>
        <c:crossAx val="479810224"/>
        <c:crosses val="max"/>
        <c:crossBetween val="between"/>
      </c:valAx>
      <c:catAx>
        <c:axId val="479810224"/>
        <c:scaling>
          <c:orientation val="minMax"/>
        </c:scaling>
        <c:delete val="1"/>
        <c:axPos val="b"/>
        <c:numFmt formatCode="General" sourceLinked="1"/>
        <c:majorTickMark val="out"/>
        <c:minorTickMark val="none"/>
        <c:tickLblPos val="nextTo"/>
        <c:crossAx val="479809832"/>
        <c:crossesAt val="0"/>
        <c:auto val="1"/>
        <c:lblAlgn val="ctr"/>
        <c:lblOffset val="100"/>
        <c:noMultiLvlLbl val="0"/>
      </c:catAx>
    </c:plotArea>
    <c:legend>
      <c:legendPos val="b"/>
      <c:legendEntry>
        <c:idx val="0"/>
        <c:delete val="1"/>
      </c:legendEntry>
      <c:legendEntry>
        <c:idx val="1"/>
        <c:delete val="1"/>
      </c:legendEntry>
      <c:legendEntry>
        <c:idx val="2"/>
        <c:delete val="1"/>
      </c:legendEntry>
      <c:layout/>
      <c:overlay val="0"/>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655665168290744E-2"/>
          <c:y val="8.4437714516454654E-2"/>
          <c:w val="0.9011928681328627"/>
          <c:h val="0.70356247329548927"/>
        </c:manualLayout>
      </c:layout>
      <c:lineChart>
        <c:grouping val="standard"/>
        <c:varyColors val="0"/>
        <c:ser>
          <c:idx val="3"/>
          <c:order val="0"/>
          <c:tx>
            <c:strRef>
              <c:f>'43 trh práce'!$A$5</c:f>
              <c:strCache>
                <c:ptCount val="1"/>
                <c:pt idx="0">
                  <c:v>SK</c:v>
                </c:pt>
              </c:strCache>
            </c:strRef>
          </c:tx>
          <c:spPr>
            <a:ln w="22225">
              <a:solidFill>
                <a:srgbClr val="2C9ADC"/>
              </a:solidFill>
              <a:prstDash val="solid"/>
            </a:ln>
          </c:spPr>
          <c:marker>
            <c:symbol val="none"/>
          </c:marker>
          <c:cat>
            <c:strRef>
              <c:f>'43 trh práce'!$B$4:$AO$4</c:f>
              <c:strCache>
                <c:ptCount val="40"/>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pt idx="36">
                  <c:v>2017Q1</c:v>
                </c:pt>
                <c:pt idx="37">
                  <c:v>2017Q2</c:v>
                </c:pt>
                <c:pt idx="38">
                  <c:v>2017Q3</c:v>
                </c:pt>
                <c:pt idx="39">
                  <c:v>2017Q4</c:v>
                </c:pt>
              </c:strCache>
            </c:strRef>
          </c:cat>
          <c:val>
            <c:numRef>
              <c:f>'43 trh práce'!$B$5:$AO$5</c:f>
              <c:numCache>
                <c:formatCode>General</c:formatCode>
                <c:ptCount val="40"/>
                <c:pt idx="0">
                  <c:v>10.3</c:v>
                </c:pt>
                <c:pt idx="1">
                  <c:v>10.1</c:v>
                </c:pt>
                <c:pt idx="2">
                  <c:v>9.1</c:v>
                </c:pt>
                <c:pt idx="3">
                  <c:v>8.9</c:v>
                </c:pt>
                <c:pt idx="4">
                  <c:v>10.199999999999999</c:v>
                </c:pt>
                <c:pt idx="5">
                  <c:v>11.4</c:v>
                </c:pt>
                <c:pt idx="6">
                  <c:v>12.8</c:v>
                </c:pt>
                <c:pt idx="7">
                  <c:v>14.1</c:v>
                </c:pt>
                <c:pt idx="8">
                  <c:v>14.9</c:v>
                </c:pt>
                <c:pt idx="9">
                  <c:v>14.6</c:v>
                </c:pt>
                <c:pt idx="10">
                  <c:v>14.3</c:v>
                </c:pt>
                <c:pt idx="11">
                  <c:v>13.9</c:v>
                </c:pt>
                <c:pt idx="12">
                  <c:v>13.8</c:v>
                </c:pt>
                <c:pt idx="13">
                  <c:v>13.7</c:v>
                </c:pt>
                <c:pt idx="14">
                  <c:v>13.6</c:v>
                </c:pt>
                <c:pt idx="15">
                  <c:v>13.7</c:v>
                </c:pt>
                <c:pt idx="16">
                  <c:v>13.8</c:v>
                </c:pt>
                <c:pt idx="17">
                  <c:v>13.9</c:v>
                </c:pt>
                <c:pt idx="18">
                  <c:v>14</c:v>
                </c:pt>
                <c:pt idx="19">
                  <c:v>14.3</c:v>
                </c:pt>
                <c:pt idx="20">
                  <c:v>14.3</c:v>
                </c:pt>
                <c:pt idx="21">
                  <c:v>14.3</c:v>
                </c:pt>
                <c:pt idx="22">
                  <c:v>14.2</c:v>
                </c:pt>
                <c:pt idx="23">
                  <c:v>14.1</c:v>
                </c:pt>
                <c:pt idx="24">
                  <c:v>13.9</c:v>
                </c:pt>
                <c:pt idx="25">
                  <c:v>13.5</c:v>
                </c:pt>
                <c:pt idx="26">
                  <c:v>13</c:v>
                </c:pt>
                <c:pt idx="27">
                  <c:v>12.4</c:v>
                </c:pt>
                <c:pt idx="28">
                  <c:v>12.1</c:v>
                </c:pt>
                <c:pt idx="29">
                  <c:v>11.6</c:v>
                </c:pt>
                <c:pt idx="30">
                  <c:v>11.3</c:v>
                </c:pt>
                <c:pt idx="31">
                  <c:v>10.8</c:v>
                </c:pt>
                <c:pt idx="32">
                  <c:v>10.3</c:v>
                </c:pt>
                <c:pt idx="33">
                  <c:v>9.8000000000000007</c:v>
                </c:pt>
                <c:pt idx="34">
                  <c:v>9.5</c:v>
                </c:pt>
                <c:pt idx="35">
                  <c:v>9.1</c:v>
                </c:pt>
                <c:pt idx="36">
                  <c:v>8.6</c:v>
                </c:pt>
                <c:pt idx="37">
                  <c:v>8.3000000000000007</c:v>
                </c:pt>
                <c:pt idx="38">
                  <c:v>7.9</c:v>
                </c:pt>
                <c:pt idx="39">
                  <c:v>7.7</c:v>
                </c:pt>
              </c:numCache>
            </c:numRef>
          </c:val>
          <c:smooth val="0"/>
          <c:extLst/>
        </c:ser>
        <c:ser>
          <c:idx val="5"/>
          <c:order val="1"/>
          <c:tx>
            <c:strRef>
              <c:f>'43 trh práce'!$A$6</c:f>
              <c:strCache>
                <c:ptCount val="1"/>
                <c:pt idx="0">
                  <c:v>CZ</c:v>
                </c:pt>
              </c:strCache>
            </c:strRef>
          </c:tx>
          <c:spPr>
            <a:ln w="22225">
              <a:solidFill>
                <a:srgbClr val="333F50"/>
              </a:solidFill>
              <a:prstDash val="dash"/>
            </a:ln>
          </c:spPr>
          <c:marker>
            <c:symbol val="none"/>
          </c:marker>
          <c:cat>
            <c:strRef>
              <c:f>'43 trh práce'!$B$4:$AO$4</c:f>
              <c:strCache>
                <c:ptCount val="40"/>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pt idx="36">
                  <c:v>2017Q1</c:v>
                </c:pt>
                <c:pt idx="37">
                  <c:v>2017Q2</c:v>
                </c:pt>
                <c:pt idx="38">
                  <c:v>2017Q3</c:v>
                </c:pt>
                <c:pt idx="39">
                  <c:v>2017Q4</c:v>
                </c:pt>
              </c:strCache>
            </c:strRef>
          </c:cat>
          <c:val>
            <c:numRef>
              <c:f>'43 trh práce'!$B$6:$AO$6</c:f>
              <c:numCache>
                <c:formatCode>General</c:formatCode>
                <c:ptCount val="40"/>
                <c:pt idx="0">
                  <c:v>4.5</c:v>
                </c:pt>
                <c:pt idx="1">
                  <c:v>4.4000000000000004</c:v>
                </c:pt>
                <c:pt idx="2">
                  <c:v>4.2</c:v>
                </c:pt>
                <c:pt idx="3">
                  <c:v>4.4000000000000004</c:v>
                </c:pt>
                <c:pt idx="4">
                  <c:v>5.6</c:v>
                </c:pt>
                <c:pt idx="5">
                  <c:v>6.5</c:v>
                </c:pt>
                <c:pt idx="6">
                  <c:v>7.3</c:v>
                </c:pt>
                <c:pt idx="7">
                  <c:v>7.4</c:v>
                </c:pt>
                <c:pt idx="8">
                  <c:v>7.7</c:v>
                </c:pt>
                <c:pt idx="9">
                  <c:v>7.3</c:v>
                </c:pt>
                <c:pt idx="10">
                  <c:v>7.1</c:v>
                </c:pt>
                <c:pt idx="11">
                  <c:v>7</c:v>
                </c:pt>
                <c:pt idx="12">
                  <c:v>6.9</c:v>
                </c:pt>
                <c:pt idx="13">
                  <c:v>6.9</c:v>
                </c:pt>
                <c:pt idx="14">
                  <c:v>6.6</c:v>
                </c:pt>
                <c:pt idx="15">
                  <c:v>6.5</c:v>
                </c:pt>
                <c:pt idx="16">
                  <c:v>6.8</c:v>
                </c:pt>
                <c:pt idx="17">
                  <c:v>6.9</c:v>
                </c:pt>
                <c:pt idx="18">
                  <c:v>7</c:v>
                </c:pt>
                <c:pt idx="19">
                  <c:v>7.2</c:v>
                </c:pt>
                <c:pt idx="20">
                  <c:v>7.2</c:v>
                </c:pt>
                <c:pt idx="21">
                  <c:v>7</c:v>
                </c:pt>
                <c:pt idx="22">
                  <c:v>6.9</c:v>
                </c:pt>
                <c:pt idx="23">
                  <c:v>6.8</c:v>
                </c:pt>
                <c:pt idx="24">
                  <c:v>6.5</c:v>
                </c:pt>
                <c:pt idx="25">
                  <c:v>6.2</c:v>
                </c:pt>
                <c:pt idx="26">
                  <c:v>5.9</c:v>
                </c:pt>
                <c:pt idx="27">
                  <c:v>5.8</c:v>
                </c:pt>
                <c:pt idx="28">
                  <c:v>5.7</c:v>
                </c:pt>
                <c:pt idx="29">
                  <c:v>5.0999999999999996</c:v>
                </c:pt>
                <c:pt idx="30">
                  <c:v>4.8</c:v>
                </c:pt>
                <c:pt idx="31">
                  <c:v>4.5</c:v>
                </c:pt>
                <c:pt idx="32">
                  <c:v>4.2</c:v>
                </c:pt>
                <c:pt idx="33">
                  <c:v>4.0999999999999996</c:v>
                </c:pt>
                <c:pt idx="34">
                  <c:v>4</c:v>
                </c:pt>
                <c:pt idx="35">
                  <c:v>3.6</c:v>
                </c:pt>
                <c:pt idx="36">
                  <c:v>3.3</c:v>
                </c:pt>
                <c:pt idx="37">
                  <c:v>3.1</c:v>
                </c:pt>
                <c:pt idx="38">
                  <c:v>2.7</c:v>
                </c:pt>
                <c:pt idx="39">
                  <c:v>2.4</c:v>
                </c:pt>
              </c:numCache>
            </c:numRef>
          </c:val>
          <c:smooth val="0"/>
          <c:extLst/>
        </c:ser>
        <c:ser>
          <c:idx val="0"/>
          <c:order val="2"/>
          <c:tx>
            <c:strRef>
              <c:f>'43 trh práce'!$A$7</c:f>
              <c:strCache>
                <c:ptCount val="1"/>
                <c:pt idx="0">
                  <c:v>HU</c:v>
                </c:pt>
              </c:strCache>
            </c:strRef>
          </c:tx>
          <c:spPr>
            <a:ln w="19050">
              <a:solidFill>
                <a:srgbClr val="2C9ADC"/>
              </a:solidFill>
              <a:prstDash val="dash"/>
            </a:ln>
          </c:spPr>
          <c:marker>
            <c:symbol val="none"/>
          </c:marker>
          <c:cat>
            <c:strRef>
              <c:f>'43 trh práce'!$B$4:$AO$4</c:f>
              <c:strCache>
                <c:ptCount val="40"/>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pt idx="36">
                  <c:v>2017Q1</c:v>
                </c:pt>
                <c:pt idx="37">
                  <c:v>2017Q2</c:v>
                </c:pt>
                <c:pt idx="38">
                  <c:v>2017Q3</c:v>
                </c:pt>
                <c:pt idx="39">
                  <c:v>2017Q4</c:v>
                </c:pt>
              </c:strCache>
            </c:strRef>
          </c:cat>
          <c:val>
            <c:numRef>
              <c:f>'43 trh práce'!$B$7:$AO$7</c:f>
              <c:numCache>
                <c:formatCode>General</c:formatCode>
                <c:ptCount val="40"/>
                <c:pt idx="0">
                  <c:v>7.6</c:v>
                </c:pt>
                <c:pt idx="1">
                  <c:v>7.6</c:v>
                </c:pt>
                <c:pt idx="2">
                  <c:v>7.8</c:v>
                </c:pt>
                <c:pt idx="3">
                  <c:v>8.1999999999999993</c:v>
                </c:pt>
                <c:pt idx="4">
                  <c:v>9.3000000000000007</c:v>
                </c:pt>
                <c:pt idx="5">
                  <c:v>9.8000000000000007</c:v>
                </c:pt>
                <c:pt idx="6">
                  <c:v>10.4</c:v>
                </c:pt>
                <c:pt idx="7">
                  <c:v>10.7</c:v>
                </c:pt>
                <c:pt idx="8">
                  <c:v>11.2</c:v>
                </c:pt>
                <c:pt idx="9">
                  <c:v>11.3</c:v>
                </c:pt>
                <c:pt idx="10">
                  <c:v>11.1</c:v>
                </c:pt>
                <c:pt idx="11">
                  <c:v>11</c:v>
                </c:pt>
                <c:pt idx="12">
                  <c:v>11.2</c:v>
                </c:pt>
                <c:pt idx="13">
                  <c:v>11</c:v>
                </c:pt>
                <c:pt idx="14">
                  <c:v>11</c:v>
                </c:pt>
                <c:pt idx="15">
                  <c:v>11</c:v>
                </c:pt>
                <c:pt idx="16">
                  <c:v>11.3</c:v>
                </c:pt>
                <c:pt idx="17">
                  <c:v>11.1</c:v>
                </c:pt>
                <c:pt idx="18">
                  <c:v>10.7</c:v>
                </c:pt>
                <c:pt idx="19">
                  <c:v>10.9</c:v>
                </c:pt>
                <c:pt idx="20">
                  <c:v>10.9</c:v>
                </c:pt>
                <c:pt idx="21">
                  <c:v>10.3</c:v>
                </c:pt>
                <c:pt idx="22">
                  <c:v>10.1</c:v>
                </c:pt>
                <c:pt idx="23">
                  <c:v>9.1999999999999993</c:v>
                </c:pt>
                <c:pt idx="24">
                  <c:v>7.9</c:v>
                </c:pt>
                <c:pt idx="25">
                  <c:v>8.1</c:v>
                </c:pt>
                <c:pt idx="26">
                  <c:v>7.5</c:v>
                </c:pt>
                <c:pt idx="27">
                  <c:v>7.3</c:v>
                </c:pt>
                <c:pt idx="28">
                  <c:v>7.4</c:v>
                </c:pt>
                <c:pt idx="29">
                  <c:v>7</c:v>
                </c:pt>
                <c:pt idx="30">
                  <c:v>6.6</c:v>
                </c:pt>
                <c:pt idx="31">
                  <c:v>6.3</c:v>
                </c:pt>
                <c:pt idx="32">
                  <c:v>5.7</c:v>
                </c:pt>
                <c:pt idx="33">
                  <c:v>5.2</c:v>
                </c:pt>
                <c:pt idx="34">
                  <c:v>4.9000000000000004</c:v>
                </c:pt>
                <c:pt idx="35">
                  <c:v>4.5</c:v>
                </c:pt>
                <c:pt idx="36">
                  <c:v>4.3</c:v>
                </c:pt>
                <c:pt idx="37">
                  <c:v>4.3</c:v>
                </c:pt>
                <c:pt idx="38">
                  <c:v>4.0999999999999996</c:v>
                </c:pt>
                <c:pt idx="39">
                  <c:v>3.9</c:v>
                </c:pt>
              </c:numCache>
            </c:numRef>
          </c:val>
          <c:smooth val="0"/>
          <c:extLst/>
        </c:ser>
        <c:ser>
          <c:idx val="1"/>
          <c:order val="3"/>
          <c:tx>
            <c:strRef>
              <c:f>'43 trh práce'!$A$8</c:f>
              <c:strCache>
                <c:ptCount val="1"/>
                <c:pt idx="0">
                  <c:v>PL</c:v>
                </c:pt>
              </c:strCache>
            </c:strRef>
          </c:tx>
          <c:spPr>
            <a:ln w="22225">
              <a:solidFill>
                <a:srgbClr val="AAD3F2"/>
              </a:solidFill>
            </a:ln>
          </c:spPr>
          <c:marker>
            <c:symbol val="none"/>
          </c:marker>
          <c:cat>
            <c:strRef>
              <c:f>'43 trh práce'!$B$4:$AO$4</c:f>
              <c:strCache>
                <c:ptCount val="40"/>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pt idx="36">
                  <c:v>2017Q1</c:v>
                </c:pt>
                <c:pt idx="37">
                  <c:v>2017Q2</c:v>
                </c:pt>
                <c:pt idx="38">
                  <c:v>2017Q3</c:v>
                </c:pt>
                <c:pt idx="39">
                  <c:v>2017Q4</c:v>
                </c:pt>
              </c:strCache>
            </c:strRef>
          </c:cat>
          <c:val>
            <c:numRef>
              <c:f>'43 trh práce'!$B$8:$AO$8</c:f>
              <c:numCache>
                <c:formatCode>General</c:formatCode>
                <c:ptCount val="40"/>
                <c:pt idx="0">
                  <c:v>7.5</c:v>
                </c:pt>
                <c:pt idx="1">
                  <c:v>7.2</c:v>
                </c:pt>
                <c:pt idx="2">
                  <c:v>6.8</c:v>
                </c:pt>
                <c:pt idx="3">
                  <c:v>6.8</c:v>
                </c:pt>
                <c:pt idx="4">
                  <c:v>7.6</c:v>
                </c:pt>
                <c:pt idx="5">
                  <c:v>7.9</c:v>
                </c:pt>
                <c:pt idx="6">
                  <c:v>8.3000000000000007</c:v>
                </c:pt>
                <c:pt idx="7">
                  <c:v>8.6999999999999993</c:v>
                </c:pt>
                <c:pt idx="8">
                  <c:v>9.6999999999999993</c:v>
                </c:pt>
                <c:pt idx="9">
                  <c:v>9.6999999999999993</c:v>
                </c:pt>
                <c:pt idx="10">
                  <c:v>9.6</c:v>
                </c:pt>
                <c:pt idx="11">
                  <c:v>9.5</c:v>
                </c:pt>
                <c:pt idx="12">
                  <c:v>9.5</c:v>
                </c:pt>
                <c:pt idx="13">
                  <c:v>9.6</c:v>
                </c:pt>
                <c:pt idx="14">
                  <c:v>9.6999999999999993</c:v>
                </c:pt>
                <c:pt idx="15">
                  <c:v>9.9</c:v>
                </c:pt>
                <c:pt idx="16">
                  <c:v>9.9</c:v>
                </c:pt>
                <c:pt idx="17">
                  <c:v>10</c:v>
                </c:pt>
                <c:pt idx="18">
                  <c:v>10.3</c:v>
                </c:pt>
                <c:pt idx="19">
                  <c:v>10.4</c:v>
                </c:pt>
                <c:pt idx="20">
                  <c:v>10.5</c:v>
                </c:pt>
                <c:pt idx="21">
                  <c:v>10.5</c:v>
                </c:pt>
                <c:pt idx="22">
                  <c:v>10.3</c:v>
                </c:pt>
                <c:pt idx="23">
                  <c:v>10.1</c:v>
                </c:pt>
                <c:pt idx="24">
                  <c:v>9.8000000000000007</c:v>
                </c:pt>
                <c:pt idx="25">
                  <c:v>9.1999999999999993</c:v>
                </c:pt>
                <c:pt idx="26">
                  <c:v>8.6999999999999993</c:v>
                </c:pt>
                <c:pt idx="27">
                  <c:v>8.3000000000000007</c:v>
                </c:pt>
                <c:pt idx="28">
                  <c:v>8</c:v>
                </c:pt>
                <c:pt idx="29">
                  <c:v>7.6</c:v>
                </c:pt>
                <c:pt idx="30">
                  <c:v>7.3</c:v>
                </c:pt>
                <c:pt idx="31">
                  <c:v>7</c:v>
                </c:pt>
                <c:pt idx="32">
                  <c:v>6.7</c:v>
                </c:pt>
                <c:pt idx="33">
                  <c:v>6.3</c:v>
                </c:pt>
                <c:pt idx="34">
                  <c:v>6</c:v>
                </c:pt>
                <c:pt idx="35">
                  <c:v>5.6</c:v>
                </c:pt>
                <c:pt idx="36">
                  <c:v>5.2</c:v>
                </c:pt>
                <c:pt idx="37">
                  <c:v>5.0999999999999996</c:v>
                </c:pt>
                <c:pt idx="38">
                  <c:v>4.8</c:v>
                </c:pt>
                <c:pt idx="39">
                  <c:v>4.5999999999999996</c:v>
                </c:pt>
              </c:numCache>
            </c:numRef>
          </c:val>
          <c:smooth val="0"/>
          <c:extLst/>
        </c:ser>
        <c:ser>
          <c:idx val="2"/>
          <c:order val="4"/>
          <c:tx>
            <c:strRef>
              <c:f>'43 trh práce'!$A$9</c:f>
              <c:strCache>
                <c:ptCount val="1"/>
                <c:pt idx="0">
                  <c:v>EZ</c:v>
                </c:pt>
              </c:strCache>
            </c:strRef>
          </c:tx>
          <c:spPr>
            <a:ln w="22225">
              <a:solidFill>
                <a:sysClr val="window" lastClr="FFFFFF">
                  <a:lumMod val="50000"/>
                </a:sysClr>
              </a:solidFill>
            </a:ln>
          </c:spPr>
          <c:marker>
            <c:symbol val="none"/>
          </c:marker>
          <c:cat>
            <c:strRef>
              <c:f>'43 trh práce'!$B$4:$AO$4</c:f>
              <c:strCache>
                <c:ptCount val="40"/>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pt idx="36">
                  <c:v>2017Q1</c:v>
                </c:pt>
                <c:pt idx="37">
                  <c:v>2017Q2</c:v>
                </c:pt>
                <c:pt idx="38">
                  <c:v>2017Q3</c:v>
                </c:pt>
                <c:pt idx="39">
                  <c:v>2017Q4</c:v>
                </c:pt>
              </c:strCache>
            </c:strRef>
          </c:cat>
          <c:val>
            <c:numRef>
              <c:f>'43 trh práce'!$B$9:$AO$9</c:f>
              <c:numCache>
                <c:formatCode>General</c:formatCode>
                <c:ptCount val="40"/>
                <c:pt idx="0">
                  <c:v>7.3</c:v>
                </c:pt>
                <c:pt idx="1">
                  <c:v>7.4</c:v>
                </c:pt>
                <c:pt idx="2">
                  <c:v>7.6</c:v>
                </c:pt>
                <c:pt idx="3">
                  <c:v>8.1</c:v>
                </c:pt>
                <c:pt idx="4">
                  <c:v>9</c:v>
                </c:pt>
                <c:pt idx="5">
                  <c:v>9.6</c:v>
                </c:pt>
                <c:pt idx="6">
                  <c:v>9.9</c:v>
                </c:pt>
                <c:pt idx="7">
                  <c:v>10.1</c:v>
                </c:pt>
                <c:pt idx="8">
                  <c:v>10.199999999999999</c:v>
                </c:pt>
                <c:pt idx="9">
                  <c:v>10.3</c:v>
                </c:pt>
                <c:pt idx="10">
                  <c:v>10.199999999999999</c:v>
                </c:pt>
                <c:pt idx="11">
                  <c:v>10.1</c:v>
                </c:pt>
                <c:pt idx="12">
                  <c:v>10</c:v>
                </c:pt>
                <c:pt idx="13">
                  <c:v>10</c:v>
                </c:pt>
                <c:pt idx="14">
                  <c:v>10.3</c:v>
                </c:pt>
                <c:pt idx="15">
                  <c:v>10.6</c:v>
                </c:pt>
                <c:pt idx="16">
                  <c:v>10.9</c:v>
                </c:pt>
                <c:pt idx="17">
                  <c:v>11.3</c:v>
                </c:pt>
                <c:pt idx="18">
                  <c:v>11.5</c:v>
                </c:pt>
                <c:pt idx="19">
                  <c:v>11.8</c:v>
                </c:pt>
                <c:pt idx="20">
                  <c:v>12</c:v>
                </c:pt>
                <c:pt idx="21">
                  <c:v>12.1</c:v>
                </c:pt>
                <c:pt idx="22">
                  <c:v>12</c:v>
                </c:pt>
                <c:pt idx="23">
                  <c:v>11.9</c:v>
                </c:pt>
                <c:pt idx="24">
                  <c:v>11.9</c:v>
                </c:pt>
                <c:pt idx="25">
                  <c:v>11.6</c:v>
                </c:pt>
                <c:pt idx="26">
                  <c:v>11.5</c:v>
                </c:pt>
                <c:pt idx="27">
                  <c:v>11.5</c:v>
                </c:pt>
                <c:pt idx="28">
                  <c:v>11.2</c:v>
                </c:pt>
                <c:pt idx="29">
                  <c:v>11</c:v>
                </c:pt>
                <c:pt idx="30">
                  <c:v>10.7</c:v>
                </c:pt>
                <c:pt idx="31">
                  <c:v>10.5</c:v>
                </c:pt>
                <c:pt idx="32">
                  <c:v>10.3</c:v>
                </c:pt>
                <c:pt idx="33">
                  <c:v>10.199999999999999</c:v>
                </c:pt>
                <c:pt idx="34">
                  <c:v>9.9</c:v>
                </c:pt>
                <c:pt idx="35">
                  <c:v>9.6999999999999993</c:v>
                </c:pt>
                <c:pt idx="36">
                  <c:v>9.5</c:v>
                </c:pt>
                <c:pt idx="37">
                  <c:v>9.1</c:v>
                </c:pt>
                <c:pt idx="38">
                  <c:v>9</c:v>
                </c:pt>
                <c:pt idx="39">
                  <c:v>8.6999999999999993</c:v>
                </c:pt>
              </c:numCache>
            </c:numRef>
          </c:val>
          <c:smooth val="0"/>
          <c:extLst/>
        </c:ser>
        <c:ser>
          <c:idx val="4"/>
          <c:order val="5"/>
          <c:tx>
            <c:strRef>
              <c:f>'43 trh práce'!$A$10</c:f>
              <c:strCache>
                <c:ptCount val="1"/>
                <c:pt idx="0">
                  <c:v>EÚ</c:v>
                </c:pt>
              </c:strCache>
            </c:strRef>
          </c:tx>
          <c:spPr>
            <a:ln w="22225">
              <a:solidFill>
                <a:sysClr val="windowText" lastClr="000000"/>
              </a:solidFill>
              <a:prstDash val="solid"/>
            </a:ln>
          </c:spPr>
          <c:marker>
            <c:symbol val="none"/>
          </c:marker>
          <c:cat>
            <c:strRef>
              <c:f>'43 trh práce'!$B$4:$AO$4</c:f>
              <c:strCache>
                <c:ptCount val="40"/>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pt idx="36">
                  <c:v>2017Q1</c:v>
                </c:pt>
                <c:pt idx="37">
                  <c:v>2017Q2</c:v>
                </c:pt>
                <c:pt idx="38">
                  <c:v>2017Q3</c:v>
                </c:pt>
                <c:pt idx="39">
                  <c:v>2017Q4</c:v>
                </c:pt>
              </c:strCache>
            </c:strRef>
          </c:cat>
          <c:val>
            <c:numRef>
              <c:f>'43 trh práce'!$B$10:$AO$10</c:f>
              <c:numCache>
                <c:formatCode>General</c:formatCode>
                <c:ptCount val="40"/>
                <c:pt idx="0">
                  <c:v>6.8</c:v>
                </c:pt>
                <c:pt idx="1">
                  <c:v>6.9</c:v>
                </c:pt>
                <c:pt idx="2">
                  <c:v>7</c:v>
                </c:pt>
                <c:pt idx="3">
                  <c:v>7.4</c:v>
                </c:pt>
                <c:pt idx="4">
                  <c:v>8.3000000000000007</c:v>
                </c:pt>
                <c:pt idx="5">
                  <c:v>8.9</c:v>
                </c:pt>
                <c:pt idx="6">
                  <c:v>9.1999999999999993</c:v>
                </c:pt>
                <c:pt idx="7">
                  <c:v>9.4</c:v>
                </c:pt>
                <c:pt idx="8">
                  <c:v>9.6999999999999993</c:v>
                </c:pt>
                <c:pt idx="9">
                  <c:v>9.6999999999999993</c:v>
                </c:pt>
                <c:pt idx="10">
                  <c:v>9.6</c:v>
                </c:pt>
                <c:pt idx="11">
                  <c:v>9.6</c:v>
                </c:pt>
                <c:pt idx="12">
                  <c:v>9.5</c:v>
                </c:pt>
                <c:pt idx="13">
                  <c:v>9.5</c:v>
                </c:pt>
                <c:pt idx="14">
                  <c:v>9.6999999999999993</c:v>
                </c:pt>
                <c:pt idx="15">
                  <c:v>10</c:v>
                </c:pt>
                <c:pt idx="16">
                  <c:v>10.199999999999999</c:v>
                </c:pt>
                <c:pt idx="17">
                  <c:v>10.4</c:v>
                </c:pt>
                <c:pt idx="18">
                  <c:v>10.6</c:v>
                </c:pt>
                <c:pt idx="19">
                  <c:v>10.8</c:v>
                </c:pt>
                <c:pt idx="20">
                  <c:v>11</c:v>
                </c:pt>
                <c:pt idx="21">
                  <c:v>11</c:v>
                </c:pt>
                <c:pt idx="22">
                  <c:v>10.9</c:v>
                </c:pt>
                <c:pt idx="23">
                  <c:v>10.7</c:v>
                </c:pt>
                <c:pt idx="24">
                  <c:v>10.6</c:v>
                </c:pt>
                <c:pt idx="25">
                  <c:v>10.3</c:v>
                </c:pt>
                <c:pt idx="26">
                  <c:v>10.1</c:v>
                </c:pt>
                <c:pt idx="27">
                  <c:v>10</c:v>
                </c:pt>
                <c:pt idx="28">
                  <c:v>9.8000000000000007</c:v>
                </c:pt>
                <c:pt idx="29">
                  <c:v>9.6</c:v>
                </c:pt>
                <c:pt idx="30">
                  <c:v>9.3000000000000007</c:v>
                </c:pt>
                <c:pt idx="31">
                  <c:v>9</c:v>
                </c:pt>
                <c:pt idx="32">
                  <c:v>8.8000000000000007</c:v>
                </c:pt>
                <c:pt idx="33">
                  <c:v>8.6999999999999993</c:v>
                </c:pt>
                <c:pt idx="34">
                  <c:v>8.5</c:v>
                </c:pt>
                <c:pt idx="35">
                  <c:v>8.1999999999999993</c:v>
                </c:pt>
                <c:pt idx="36">
                  <c:v>8</c:v>
                </c:pt>
                <c:pt idx="37">
                  <c:v>7.7</c:v>
                </c:pt>
                <c:pt idx="38">
                  <c:v>7.5</c:v>
                </c:pt>
                <c:pt idx="39">
                  <c:v>7.3</c:v>
                </c:pt>
              </c:numCache>
            </c:numRef>
          </c:val>
          <c:smooth val="0"/>
          <c:extLst/>
        </c:ser>
        <c:dLbls>
          <c:showLegendKey val="0"/>
          <c:showVal val="0"/>
          <c:showCatName val="0"/>
          <c:showSerName val="0"/>
          <c:showPercent val="0"/>
          <c:showBubbleSize val="0"/>
        </c:dLbls>
        <c:smooth val="0"/>
        <c:axId val="479810616"/>
        <c:axId val="479811008"/>
      </c:lineChart>
      <c:catAx>
        <c:axId val="479810616"/>
        <c:scaling>
          <c:orientation val="minMax"/>
        </c:scaling>
        <c:delete val="0"/>
        <c:axPos val="b"/>
        <c:numFmt formatCode="General" sourceLinked="0"/>
        <c:majorTickMark val="out"/>
        <c:minorTickMark val="none"/>
        <c:tickLblPos val="low"/>
        <c:txPr>
          <a:bodyPr rot="-5400000" vert="horz"/>
          <a:lstStyle/>
          <a:p>
            <a:pPr>
              <a:defRPr sz="800"/>
            </a:pPr>
            <a:endParaRPr lang="en-US"/>
          </a:p>
        </c:txPr>
        <c:crossAx val="479811008"/>
        <c:crosses val="autoZero"/>
        <c:auto val="1"/>
        <c:lblAlgn val="ctr"/>
        <c:lblOffset val="100"/>
        <c:noMultiLvlLbl val="0"/>
      </c:catAx>
      <c:valAx>
        <c:axId val="479811008"/>
        <c:scaling>
          <c:orientation val="minMax"/>
          <c:min val="2"/>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sz="800"/>
            </a:pPr>
            <a:endParaRPr lang="en-US"/>
          </a:p>
        </c:txPr>
        <c:crossAx val="479810616"/>
        <c:crosses val="autoZero"/>
        <c:crossBetween val="between"/>
      </c:valAx>
    </c:plotArea>
    <c:legend>
      <c:legendPos val="l"/>
      <c:layout>
        <c:manualLayout>
          <c:xMode val="edge"/>
          <c:yMode val="edge"/>
          <c:x val="8.2600939250409788E-2"/>
          <c:y val="6.1414588801399807E-3"/>
          <c:w val="0.90586538751621559"/>
          <c:h val="0.12197643263342083"/>
        </c:manualLayout>
      </c:layout>
      <c:overlay val="1"/>
      <c:spPr>
        <a:solidFill>
          <a:sysClr val="window" lastClr="FFFFFF"/>
        </a:solidFill>
      </c:spPr>
      <c:txPr>
        <a:bodyPr/>
        <a:lstStyle/>
        <a:p>
          <a:pPr>
            <a:defRPr sz="800"/>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Narrow" pitchFamily="34" charset="0"/>
          <a:ea typeface="Calibri"/>
          <a:cs typeface="Calibri"/>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209341887819573E-2"/>
          <c:y val="4.2759961127308101E-2"/>
          <c:w val="0.89673722177659176"/>
          <c:h val="0.87780149903942417"/>
        </c:manualLayout>
      </c:layout>
      <c:barChart>
        <c:barDir val="col"/>
        <c:grouping val="clustered"/>
        <c:varyColors val="0"/>
        <c:ser>
          <c:idx val="0"/>
          <c:order val="0"/>
          <c:tx>
            <c:strRef>
              <c:f>'43 trh práce'!$B$77</c:f>
              <c:strCache>
                <c:ptCount val="1"/>
                <c:pt idx="0">
                  <c:v>4Q 2016 - ľavá os</c:v>
                </c:pt>
              </c:strCache>
            </c:strRef>
          </c:tx>
          <c:spPr>
            <a:solidFill>
              <a:srgbClr val="2C9ADC"/>
            </a:solidFill>
          </c:spPr>
          <c:invertIfNegative val="0"/>
          <c:cat>
            <c:strRef>
              <c:f>'43 trh práce'!$A$78:$A$82</c:f>
              <c:strCache>
                <c:ptCount val="5"/>
                <c:pt idx="0">
                  <c:v>SK</c:v>
                </c:pt>
                <c:pt idx="1">
                  <c:v>CZ</c:v>
                </c:pt>
                <c:pt idx="2">
                  <c:v>HU</c:v>
                </c:pt>
                <c:pt idx="3">
                  <c:v>PL</c:v>
                </c:pt>
                <c:pt idx="4">
                  <c:v>EÚ</c:v>
                </c:pt>
              </c:strCache>
            </c:strRef>
          </c:cat>
          <c:val>
            <c:numRef>
              <c:f>'43 trh práce'!$B$78:$B$82</c:f>
              <c:numCache>
                <c:formatCode>#\ ##0.0</c:formatCode>
                <c:ptCount val="5"/>
                <c:pt idx="0">
                  <c:v>5.4</c:v>
                </c:pt>
                <c:pt idx="1">
                  <c:v>1.4</c:v>
                </c:pt>
                <c:pt idx="2">
                  <c:v>2</c:v>
                </c:pt>
                <c:pt idx="3">
                  <c:v>1.9</c:v>
                </c:pt>
                <c:pt idx="4">
                  <c:v>3.8</c:v>
                </c:pt>
              </c:numCache>
            </c:numRef>
          </c:val>
          <c:extLst/>
        </c:ser>
        <c:ser>
          <c:idx val="2"/>
          <c:order val="1"/>
          <c:tx>
            <c:strRef>
              <c:f>'43 trh práce'!$C$77</c:f>
              <c:strCache>
                <c:ptCount val="1"/>
                <c:pt idx="0">
                  <c:v>4Q 2017 - ľavá os</c:v>
                </c:pt>
              </c:strCache>
            </c:strRef>
          </c:tx>
          <c:spPr>
            <a:solidFill>
              <a:srgbClr val="AAD3F2"/>
            </a:solidFill>
          </c:spPr>
          <c:invertIfNegative val="0"/>
          <c:cat>
            <c:strRef>
              <c:f>'43 trh práce'!$A$78:$A$82</c:f>
              <c:strCache>
                <c:ptCount val="5"/>
                <c:pt idx="0">
                  <c:v>SK</c:v>
                </c:pt>
                <c:pt idx="1">
                  <c:v>CZ</c:v>
                </c:pt>
                <c:pt idx="2">
                  <c:v>HU</c:v>
                </c:pt>
                <c:pt idx="3">
                  <c:v>PL</c:v>
                </c:pt>
                <c:pt idx="4">
                  <c:v>EÚ</c:v>
                </c:pt>
              </c:strCache>
            </c:strRef>
          </c:cat>
          <c:val>
            <c:numRef>
              <c:f>'43 trh práce'!$C$78:$C$82</c:f>
              <c:numCache>
                <c:formatCode>#\ ##0.0</c:formatCode>
                <c:ptCount val="5"/>
                <c:pt idx="0">
                  <c:v>4.9000000000000004</c:v>
                </c:pt>
                <c:pt idx="1">
                  <c:v>0.8</c:v>
                </c:pt>
                <c:pt idx="2">
                  <c:v>1.5</c:v>
                </c:pt>
                <c:pt idx="3">
                  <c:v>1.4</c:v>
                </c:pt>
                <c:pt idx="4">
                  <c:v>3.2</c:v>
                </c:pt>
              </c:numCache>
            </c:numRef>
          </c:val>
          <c:extLst/>
        </c:ser>
        <c:dLbls>
          <c:showLegendKey val="0"/>
          <c:showVal val="0"/>
          <c:showCatName val="0"/>
          <c:showSerName val="0"/>
          <c:showPercent val="0"/>
          <c:showBubbleSize val="0"/>
        </c:dLbls>
        <c:gapWidth val="150"/>
        <c:axId val="479811792"/>
        <c:axId val="479812184"/>
      </c:barChart>
      <c:lineChart>
        <c:grouping val="standard"/>
        <c:varyColors val="0"/>
        <c:ser>
          <c:idx val="1"/>
          <c:order val="2"/>
          <c:tx>
            <c:strRef>
              <c:f>'43 trh práce'!$D$77</c:f>
              <c:strCache>
                <c:ptCount val="1"/>
                <c:pt idx="0">
                  <c:v>% podiel na celk. miere nezamestnanosti (4Q 2016)</c:v>
                </c:pt>
              </c:strCache>
            </c:strRef>
          </c:tx>
          <c:spPr>
            <a:ln w="28575">
              <a:noFill/>
            </a:ln>
          </c:spPr>
          <c:marker>
            <c:symbol val="diamond"/>
            <c:size val="7"/>
            <c:spPr>
              <a:solidFill>
                <a:srgbClr val="002060"/>
              </a:solidFill>
              <a:ln>
                <a:solidFill>
                  <a:srgbClr val="002060"/>
                </a:solidFill>
              </a:ln>
            </c:spPr>
          </c:marker>
          <c:cat>
            <c:strRef>
              <c:f>'43 trh práce'!$A$78:$A$82</c:f>
              <c:strCache>
                <c:ptCount val="5"/>
                <c:pt idx="0">
                  <c:v>SK</c:v>
                </c:pt>
                <c:pt idx="1">
                  <c:v>CZ</c:v>
                </c:pt>
                <c:pt idx="2">
                  <c:v>HU</c:v>
                </c:pt>
                <c:pt idx="3">
                  <c:v>PL</c:v>
                </c:pt>
                <c:pt idx="4">
                  <c:v>EÚ</c:v>
                </c:pt>
              </c:strCache>
            </c:strRef>
          </c:cat>
          <c:val>
            <c:numRef>
              <c:f>'43 trh práce'!$D$78:$D$82</c:f>
              <c:numCache>
                <c:formatCode>#\ ##0.0</c:formatCode>
                <c:ptCount val="5"/>
                <c:pt idx="0">
                  <c:v>59.3</c:v>
                </c:pt>
                <c:pt idx="1">
                  <c:v>39.1</c:v>
                </c:pt>
                <c:pt idx="2">
                  <c:v>45.6</c:v>
                </c:pt>
                <c:pt idx="3">
                  <c:v>33.9</c:v>
                </c:pt>
                <c:pt idx="4">
                  <c:v>46.2</c:v>
                </c:pt>
              </c:numCache>
            </c:numRef>
          </c:val>
          <c:smooth val="0"/>
          <c:extLst/>
        </c:ser>
        <c:ser>
          <c:idx val="3"/>
          <c:order val="3"/>
          <c:tx>
            <c:strRef>
              <c:f>'43 trh práce'!$E$77</c:f>
              <c:strCache>
                <c:ptCount val="1"/>
                <c:pt idx="0">
                  <c:v>% podiel na celk. miere nezamestnanosti (4Q 2017)</c:v>
                </c:pt>
              </c:strCache>
            </c:strRef>
          </c:tx>
          <c:spPr>
            <a:ln w="28575">
              <a:noFill/>
            </a:ln>
          </c:spPr>
          <c:marker>
            <c:symbol val="x"/>
            <c:size val="6"/>
          </c:marker>
          <c:cat>
            <c:strRef>
              <c:f>'43 trh práce'!$A$78:$A$82</c:f>
              <c:strCache>
                <c:ptCount val="5"/>
                <c:pt idx="0">
                  <c:v>SK</c:v>
                </c:pt>
                <c:pt idx="1">
                  <c:v>CZ</c:v>
                </c:pt>
                <c:pt idx="2">
                  <c:v>HU</c:v>
                </c:pt>
                <c:pt idx="3">
                  <c:v>PL</c:v>
                </c:pt>
                <c:pt idx="4">
                  <c:v>EÚ</c:v>
                </c:pt>
              </c:strCache>
            </c:strRef>
          </c:cat>
          <c:val>
            <c:numRef>
              <c:f>'43 trh práce'!$E$78:$E$82</c:f>
              <c:numCache>
                <c:formatCode>#\ ##0.0</c:formatCode>
                <c:ptCount val="5"/>
                <c:pt idx="0">
                  <c:v>62.9</c:v>
                </c:pt>
                <c:pt idx="1">
                  <c:v>31.5</c:v>
                </c:pt>
                <c:pt idx="2">
                  <c:v>38.299999999999997</c:v>
                </c:pt>
                <c:pt idx="3">
                  <c:v>32.299999999999997</c:v>
                </c:pt>
                <c:pt idx="4">
                  <c:v>44.1</c:v>
                </c:pt>
              </c:numCache>
            </c:numRef>
          </c:val>
          <c:smooth val="0"/>
          <c:extLst/>
        </c:ser>
        <c:dLbls>
          <c:showLegendKey val="0"/>
          <c:showVal val="0"/>
          <c:showCatName val="0"/>
          <c:showSerName val="0"/>
          <c:showPercent val="0"/>
          <c:showBubbleSize val="0"/>
        </c:dLbls>
        <c:marker val="1"/>
        <c:smooth val="0"/>
        <c:axId val="479812576"/>
        <c:axId val="479812968"/>
      </c:lineChart>
      <c:catAx>
        <c:axId val="479811792"/>
        <c:scaling>
          <c:orientation val="minMax"/>
        </c:scaling>
        <c:delete val="0"/>
        <c:axPos val="b"/>
        <c:numFmt formatCode="General" sourceLinked="1"/>
        <c:majorTickMark val="out"/>
        <c:minorTickMark val="none"/>
        <c:tickLblPos val="nextTo"/>
        <c:txPr>
          <a:bodyPr/>
          <a:lstStyle/>
          <a:p>
            <a:pPr>
              <a:defRPr sz="800"/>
            </a:pPr>
            <a:endParaRPr lang="en-US"/>
          </a:p>
        </c:txPr>
        <c:crossAx val="479812184"/>
        <c:crosses val="autoZero"/>
        <c:auto val="1"/>
        <c:lblAlgn val="ctr"/>
        <c:lblOffset val="100"/>
        <c:noMultiLvlLbl val="0"/>
      </c:catAx>
      <c:valAx>
        <c:axId val="479812184"/>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a:lstStyle/>
          <a:p>
            <a:pPr>
              <a:defRPr sz="800"/>
            </a:pPr>
            <a:endParaRPr lang="en-US"/>
          </a:p>
        </c:txPr>
        <c:crossAx val="479811792"/>
        <c:crosses val="autoZero"/>
        <c:crossBetween val="between"/>
      </c:valAx>
      <c:catAx>
        <c:axId val="479812576"/>
        <c:scaling>
          <c:orientation val="minMax"/>
        </c:scaling>
        <c:delete val="1"/>
        <c:axPos val="b"/>
        <c:numFmt formatCode="General" sourceLinked="1"/>
        <c:majorTickMark val="out"/>
        <c:minorTickMark val="none"/>
        <c:tickLblPos val="nextTo"/>
        <c:crossAx val="479812968"/>
        <c:crosses val="autoZero"/>
        <c:auto val="1"/>
        <c:lblAlgn val="ctr"/>
        <c:lblOffset val="100"/>
        <c:noMultiLvlLbl val="0"/>
      </c:catAx>
      <c:valAx>
        <c:axId val="479812968"/>
        <c:scaling>
          <c:orientation val="minMax"/>
        </c:scaling>
        <c:delete val="0"/>
        <c:axPos val="r"/>
        <c:numFmt formatCode="#,##0" sourceLinked="0"/>
        <c:majorTickMark val="out"/>
        <c:minorTickMark val="none"/>
        <c:tickLblPos val="nextTo"/>
        <c:txPr>
          <a:bodyPr/>
          <a:lstStyle/>
          <a:p>
            <a:pPr>
              <a:defRPr sz="800"/>
            </a:pPr>
            <a:endParaRPr lang="en-US"/>
          </a:p>
        </c:txPr>
        <c:crossAx val="479812576"/>
        <c:crosses val="max"/>
        <c:crossBetween val="between"/>
      </c:valAx>
    </c:plotArea>
    <c:legend>
      <c:legendPos val="r"/>
      <c:layout>
        <c:manualLayout>
          <c:xMode val="edge"/>
          <c:yMode val="edge"/>
          <c:x val="0.20709366666857273"/>
          <c:y val="1.6240886555847187E-2"/>
          <c:w val="0.70257454201667069"/>
          <c:h val="0.28018351364616012"/>
        </c:manualLayout>
      </c:layout>
      <c:overlay val="0"/>
      <c:spPr>
        <a:solidFill>
          <a:sysClr val="window" lastClr="FFFFFF"/>
        </a:solidFill>
      </c:spPr>
      <c:txPr>
        <a:bodyPr/>
        <a:lstStyle/>
        <a:p>
          <a:pPr>
            <a:defRPr sz="700"/>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82219279714553"/>
          <c:y val="4.5128205128205132E-2"/>
          <c:w val="0.80362710116947844"/>
          <c:h val="0.79850253286240458"/>
        </c:manualLayout>
      </c:layout>
      <c:scatterChart>
        <c:scatterStyle val="lineMarker"/>
        <c:varyColors val="0"/>
        <c:ser>
          <c:idx val="0"/>
          <c:order val="0"/>
          <c:tx>
            <c:strRef>
              <c:f>'43 trh práce'!$C$63</c:f>
              <c:strCache>
                <c:ptCount val="1"/>
                <c:pt idx="0">
                  <c:v>UR</c:v>
                </c:pt>
              </c:strCache>
            </c:strRef>
          </c:tx>
          <c:spPr>
            <a:ln w="25400" cap="rnd">
              <a:noFill/>
              <a:round/>
            </a:ln>
            <a:effectLst/>
          </c:spPr>
          <c:marker>
            <c:symbol val="circle"/>
            <c:size val="5"/>
            <c:spPr>
              <a:solidFill>
                <a:sysClr val="window" lastClr="FFFFFF">
                  <a:lumMod val="50000"/>
                </a:sysClr>
              </a:solidFill>
              <a:ln w="9525">
                <a:solidFill>
                  <a:sysClr val="window" lastClr="FFFFFF">
                    <a:lumMod val="50000"/>
                  </a:sysClr>
                </a:solidFill>
              </a:ln>
              <a:effectLst/>
            </c:spPr>
          </c:marker>
          <c:dPt>
            <c:idx val="2"/>
            <c:marker>
              <c:symbol val="circle"/>
              <c:size val="5"/>
              <c:spPr>
                <a:solidFill>
                  <a:sysClr val="windowText" lastClr="000000"/>
                </a:solidFill>
                <a:ln w="9525">
                  <a:solidFill>
                    <a:sysClr val="windowText" lastClr="000000"/>
                  </a:solidFill>
                </a:ln>
                <a:effectLst/>
              </c:spPr>
            </c:marker>
            <c:bubble3D val="0"/>
          </c:dPt>
          <c:dPt>
            <c:idx val="16"/>
            <c:marker>
              <c:symbol val="circle"/>
              <c:size val="5"/>
              <c:spPr>
                <a:solidFill>
                  <a:sysClr val="windowText" lastClr="000000"/>
                </a:solidFill>
                <a:ln w="9525">
                  <a:solidFill>
                    <a:sysClr val="windowText" lastClr="000000"/>
                  </a:solidFill>
                </a:ln>
                <a:effectLst/>
              </c:spPr>
            </c:marker>
            <c:bubble3D val="0"/>
          </c:dPt>
          <c:dPt>
            <c:idx val="20"/>
            <c:marker>
              <c:symbol val="circle"/>
              <c:size val="5"/>
              <c:spPr>
                <a:solidFill>
                  <a:sysClr val="windowText" lastClr="000000"/>
                </a:solidFill>
                <a:ln w="9525">
                  <a:solidFill>
                    <a:sysClr val="windowText" lastClr="000000"/>
                  </a:solidFill>
                </a:ln>
                <a:effectLst/>
              </c:spPr>
            </c:marker>
            <c:bubble3D val="0"/>
          </c:dPt>
          <c:dPt>
            <c:idx val="24"/>
            <c:marker>
              <c:symbol val="circle"/>
              <c:size val="5"/>
              <c:spPr>
                <a:solidFill>
                  <a:srgbClr val="2C9ADC"/>
                </a:solidFill>
                <a:ln w="9525">
                  <a:solidFill>
                    <a:srgbClr val="2C9ADC"/>
                  </a:solidFill>
                </a:ln>
                <a:effectLst/>
              </c:spPr>
            </c:marker>
            <c:bubble3D val="0"/>
          </c:dPt>
          <c:xVal>
            <c:numRef>
              <c:f>'43 trh práce'!$B$64:$B$91</c:f>
              <c:numCache>
                <c:formatCode>#\ ##0.0</c:formatCode>
                <c:ptCount val="28"/>
                <c:pt idx="0">
                  <c:v>41.7</c:v>
                </c:pt>
                <c:pt idx="1">
                  <c:v>40.9</c:v>
                </c:pt>
                <c:pt idx="2">
                  <c:v>30.1</c:v>
                </c:pt>
                <c:pt idx="3">
                  <c:v>61.3</c:v>
                </c:pt>
                <c:pt idx="4">
                  <c:v>52.7</c:v>
                </c:pt>
                <c:pt idx="5">
                  <c:v>50.7</c:v>
                </c:pt>
                <c:pt idx="6">
                  <c:v>42.4</c:v>
                </c:pt>
                <c:pt idx="7">
                  <c:v>53</c:v>
                </c:pt>
                <c:pt idx="8">
                  <c:v>66.400000000000006</c:v>
                </c:pt>
                <c:pt idx="9">
                  <c:v>48</c:v>
                </c:pt>
                <c:pt idx="10">
                  <c:v>30.7</c:v>
                </c:pt>
                <c:pt idx="11">
                  <c:v>51.6</c:v>
                </c:pt>
                <c:pt idx="12">
                  <c:v>49</c:v>
                </c:pt>
                <c:pt idx="13">
                  <c:v>44.3</c:v>
                </c:pt>
                <c:pt idx="14">
                  <c:v>26.7</c:v>
                </c:pt>
                <c:pt idx="15">
                  <c:v>46.1</c:v>
                </c:pt>
                <c:pt idx="16">
                  <c:v>43.4</c:v>
                </c:pt>
                <c:pt idx="17">
                  <c:v>60.1</c:v>
                </c:pt>
                <c:pt idx="18">
                  <c:v>64.2</c:v>
                </c:pt>
                <c:pt idx="19">
                  <c:v>54.1</c:v>
                </c:pt>
                <c:pt idx="20">
                  <c:v>26.6</c:v>
                </c:pt>
                <c:pt idx="21">
                  <c:v>66.599999999999994</c:v>
                </c:pt>
                <c:pt idx="22">
                  <c:v>46</c:v>
                </c:pt>
                <c:pt idx="23">
                  <c:v>40</c:v>
                </c:pt>
                <c:pt idx="24">
                  <c:v>30.6</c:v>
                </c:pt>
                <c:pt idx="25">
                  <c:v>47.5</c:v>
                </c:pt>
                <c:pt idx="26">
                  <c:v>57.7</c:v>
                </c:pt>
                <c:pt idx="27">
                  <c:v>64.5</c:v>
                </c:pt>
              </c:numCache>
            </c:numRef>
          </c:xVal>
          <c:yVal>
            <c:numRef>
              <c:f>'43 trh práce'!$C$64:$C$91</c:f>
              <c:numCache>
                <c:formatCode>#\ ##0.0</c:formatCode>
                <c:ptCount val="28"/>
                <c:pt idx="0">
                  <c:v>14.8</c:v>
                </c:pt>
                <c:pt idx="1">
                  <c:v>18.3</c:v>
                </c:pt>
                <c:pt idx="2">
                  <c:v>13.3</c:v>
                </c:pt>
                <c:pt idx="3">
                  <c:v>9.3000000000000007</c:v>
                </c:pt>
                <c:pt idx="4">
                  <c:v>9.6999999999999993</c:v>
                </c:pt>
                <c:pt idx="5">
                  <c:v>11.4</c:v>
                </c:pt>
                <c:pt idx="6">
                  <c:v>12.6</c:v>
                </c:pt>
                <c:pt idx="7">
                  <c:v>24.8</c:v>
                </c:pt>
                <c:pt idx="8">
                  <c:v>25.2</c:v>
                </c:pt>
                <c:pt idx="9">
                  <c:v>17.3</c:v>
                </c:pt>
                <c:pt idx="10">
                  <c:v>20.5</c:v>
                </c:pt>
                <c:pt idx="11">
                  <c:v>15.8</c:v>
                </c:pt>
                <c:pt idx="12">
                  <c:v>14.9</c:v>
                </c:pt>
                <c:pt idx="13">
                  <c:v>19.2</c:v>
                </c:pt>
                <c:pt idx="14">
                  <c:v>21.6</c:v>
                </c:pt>
                <c:pt idx="15">
                  <c:v>8.9</c:v>
                </c:pt>
                <c:pt idx="16">
                  <c:v>11.2</c:v>
                </c:pt>
                <c:pt idx="17">
                  <c:v>6.2</c:v>
                </c:pt>
                <c:pt idx="18">
                  <c:v>8.5</c:v>
                </c:pt>
                <c:pt idx="19">
                  <c:v>13.3</c:v>
                </c:pt>
                <c:pt idx="20">
                  <c:v>12.6</c:v>
                </c:pt>
                <c:pt idx="21">
                  <c:v>10.199999999999999</c:v>
                </c:pt>
                <c:pt idx="22">
                  <c:v>7.6</c:v>
                </c:pt>
                <c:pt idx="23">
                  <c:v>11.5</c:v>
                </c:pt>
                <c:pt idx="24">
                  <c:v>29.9</c:v>
                </c:pt>
                <c:pt idx="25">
                  <c:v>18.899999999999999</c:v>
                </c:pt>
                <c:pt idx="26">
                  <c:v>19.399999999999999</c:v>
                </c:pt>
                <c:pt idx="27">
                  <c:v>7.6</c:v>
                </c:pt>
              </c:numCache>
            </c:numRef>
          </c:yVal>
          <c:smooth val="0"/>
        </c:ser>
        <c:dLbls>
          <c:showLegendKey val="0"/>
          <c:showVal val="0"/>
          <c:showCatName val="0"/>
          <c:showSerName val="0"/>
          <c:showPercent val="0"/>
          <c:showBubbleSize val="0"/>
        </c:dLbls>
        <c:axId val="398376464"/>
        <c:axId val="398376856"/>
      </c:scatterChart>
      <c:valAx>
        <c:axId val="398376464"/>
        <c:scaling>
          <c:orientation val="minMax"/>
          <c:max val="70"/>
          <c:min val="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r>
                  <a:rPr lang="sk-SK">
                    <a:solidFill>
                      <a:schemeClr val="tx1"/>
                    </a:solidFill>
                  </a:rPr>
                  <a:t>Miera aktivity (15-64 r., ISCED 0-2)</a:t>
                </a:r>
                <a:endParaRPr lang="en-US">
                  <a:solidFill>
                    <a:schemeClr val="tx1"/>
                  </a:solidFill>
                </a:endParaRPr>
              </a:p>
            </c:rich>
          </c:tx>
          <c:layout>
            <c:manualLayout>
              <c:xMode val="edge"/>
              <c:yMode val="edge"/>
              <c:x val="0.26339805727108245"/>
              <c:y val="0.9312641083521445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rgbClr val="868686"/>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398376856"/>
        <c:crosses val="autoZero"/>
        <c:crossBetween val="midCat"/>
        <c:majorUnit val="10"/>
      </c:valAx>
      <c:valAx>
        <c:axId val="398376856"/>
        <c:scaling>
          <c:orientation val="minMax"/>
          <c:max val="40"/>
        </c:scaling>
        <c:delete val="0"/>
        <c:axPos val="l"/>
        <c:majorGridlines>
          <c:spPr>
            <a:ln w="9525" cap="flat" cmpd="sng" algn="ctr">
              <a:solidFill>
                <a:schemeClr val="tx1">
                  <a:lumMod val="15000"/>
                  <a:lumOff val="85000"/>
                </a:schemeClr>
              </a:solidFill>
              <a:prstDash val="sysDot"/>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r>
                  <a:rPr lang="sk-SK" b="0">
                    <a:solidFill>
                      <a:schemeClr val="tx1"/>
                    </a:solidFill>
                  </a:rPr>
                  <a:t>Miera nezamestnanosti (15-64 r., ISCED 0-2)</a:t>
                </a:r>
                <a:endParaRPr lang="en-US" b="0">
                  <a:solidFill>
                    <a:schemeClr val="tx1"/>
                  </a:solidFill>
                </a:endParaRP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rgbClr val="868686"/>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39837646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en-US"/>
    </a:p>
  </c:txPr>
  <c:externalData r:id="rId4">
    <c:autoUpdate val="0"/>
  </c:externalData>
  <c:userShapes r:id="rId5"/>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801434955289962E-2"/>
          <c:y val="2.6205125725567394E-2"/>
          <c:w val="0.92174646942766425"/>
          <c:h val="0.8525297300800363"/>
        </c:manualLayout>
      </c:layout>
      <c:barChart>
        <c:barDir val="col"/>
        <c:grouping val="clustered"/>
        <c:varyColors val="0"/>
        <c:ser>
          <c:idx val="0"/>
          <c:order val="0"/>
          <c:tx>
            <c:strRef>
              <c:f>'43 trh práce'!$A$96</c:f>
              <c:strCache>
                <c:ptCount val="1"/>
                <c:pt idx="0">
                  <c:v>Rómovia v koncentrovaných osídleniach</c:v>
                </c:pt>
              </c:strCache>
            </c:strRef>
          </c:tx>
          <c:spPr>
            <a:solidFill>
              <a:srgbClr val="2C9ADC"/>
            </a:solidFill>
          </c:spPr>
          <c:invertIfNegative val="0"/>
          <c:cat>
            <c:strRef>
              <c:f>'43 trh práce'!$B$95:$O$95</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strCache>
            </c:strRef>
          </c:cat>
          <c:val>
            <c:numRef>
              <c:f>'43 trh práce'!$B$96:$O$96</c:f>
              <c:numCache>
                <c:formatCode>General</c:formatCode>
                <c:ptCount val="14"/>
                <c:pt idx="0">
                  <c:v>16</c:v>
                </c:pt>
                <c:pt idx="1">
                  <c:v>16.63</c:v>
                </c:pt>
                <c:pt idx="2">
                  <c:v>17.64</c:v>
                </c:pt>
                <c:pt idx="3">
                  <c:v>18.95</c:v>
                </c:pt>
                <c:pt idx="4">
                  <c:v>19.38</c:v>
                </c:pt>
                <c:pt idx="5">
                  <c:v>16.309999999999999</c:v>
                </c:pt>
                <c:pt idx="6">
                  <c:v>16.079999999999998</c:v>
                </c:pt>
                <c:pt idx="7">
                  <c:v>16.84</c:v>
                </c:pt>
                <c:pt idx="8">
                  <c:v>16.399999999999999</c:v>
                </c:pt>
                <c:pt idx="9">
                  <c:v>15.21</c:v>
                </c:pt>
                <c:pt idx="10">
                  <c:v>16.21</c:v>
                </c:pt>
                <c:pt idx="11">
                  <c:v>18.57</c:v>
                </c:pt>
                <c:pt idx="12">
                  <c:v>20.16</c:v>
                </c:pt>
                <c:pt idx="13">
                  <c:v>20.72</c:v>
                </c:pt>
              </c:numCache>
            </c:numRef>
          </c:val>
          <c:extLst/>
        </c:ser>
        <c:dLbls>
          <c:showLegendKey val="0"/>
          <c:showVal val="0"/>
          <c:showCatName val="0"/>
          <c:showSerName val="0"/>
          <c:showPercent val="0"/>
          <c:showBubbleSize val="0"/>
        </c:dLbls>
        <c:gapWidth val="150"/>
        <c:axId val="398377640"/>
        <c:axId val="398378032"/>
      </c:barChart>
      <c:catAx>
        <c:axId val="398377640"/>
        <c:scaling>
          <c:orientation val="minMax"/>
        </c:scaling>
        <c:delete val="0"/>
        <c:axPos val="b"/>
        <c:numFmt formatCode="General" sourceLinked="1"/>
        <c:majorTickMark val="out"/>
        <c:minorTickMark val="none"/>
        <c:tickLblPos val="nextTo"/>
        <c:txPr>
          <a:bodyPr rot="-5400000" vert="horz"/>
          <a:lstStyle/>
          <a:p>
            <a:pPr>
              <a:defRPr sz="800"/>
            </a:pPr>
            <a:endParaRPr lang="en-US"/>
          </a:p>
        </c:txPr>
        <c:crossAx val="398378032"/>
        <c:crosses val="autoZero"/>
        <c:auto val="1"/>
        <c:lblAlgn val="ctr"/>
        <c:lblOffset val="100"/>
        <c:noMultiLvlLbl val="0"/>
      </c:catAx>
      <c:valAx>
        <c:axId val="398378032"/>
        <c:scaling>
          <c:orientation val="minMax"/>
          <c:min val="0"/>
        </c:scaling>
        <c:delete val="0"/>
        <c:axPos val="l"/>
        <c:majorGridlines>
          <c:spPr>
            <a:ln>
              <a:solidFill>
                <a:schemeClr val="bg1">
                  <a:lumMod val="75000"/>
                </a:schemeClr>
              </a:solidFill>
              <a:prstDash val="sysDash"/>
            </a:ln>
          </c:spPr>
        </c:majorGridlines>
        <c:numFmt formatCode="0" sourceLinked="0"/>
        <c:majorTickMark val="out"/>
        <c:minorTickMark val="none"/>
        <c:tickLblPos val="nextTo"/>
        <c:spPr>
          <a:ln>
            <a:solidFill>
              <a:schemeClr val="bg1">
                <a:lumMod val="75000"/>
              </a:schemeClr>
            </a:solidFill>
          </a:ln>
        </c:spPr>
        <c:txPr>
          <a:bodyPr/>
          <a:lstStyle/>
          <a:p>
            <a:pPr>
              <a:defRPr sz="800"/>
            </a:pPr>
            <a:endParaRPr lang="en-US"/>
          </a:p>
        </c:txPr>
        <c:crossAx val="398377640"/>
        <c:crosses val="autoZero"/>
        <c:crossBetween val="between"/>
      </c:valAx>
    </c:plotArea>
    <c:plotVisOnly val="1"/>
    <c:dispBlanksAs val="gap"/>
    <c:showDLblsOverMax val="0"/>
  </c:chart>
  <c:spPr>
    <a:ln>
      <a:noFill/>
    </a:ln>
  </c:spPr>
  <c:txPr>
    <a:bodyPr/>
    <a:lstStyle/>
    <a:p>
      <a:pPr>
        <a:defRPr>
          <a:latin typeface="Arial Narrow" panose="020B0606020202030204"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704681863246615E-2"/>
          <c:y val="3.3511956838728485E-2"/>
          <c:w val="0.90229531813675334"/>
          <c:h val="0.74912573877905553"/>
        </c:manualLayout>
      </c:layout>
      <c:lineChart>
        <c:grouping val="standard"/>
        <c:varyColors val="0"/>
        <c:ser>
          <c:idx val="3"/>
          <c:order val="0"/>
          <c:tx>
            <c:v>EÚ</c:v>
          </c:tx>
          <c:spPr>
            <a:ln w="19050">
              <a:solidFill>
                <a:sysClr val="windowText" lastClr="000000"/>
              </a:solidFill>
              <a:prstDash val="solid"/>
            </a:ln>
          </c:spPr>
          <c:marker>
            <c:symbol val="none"/>
          </c:marker>
          <c:cat>
            <c:strLit>
              <c:ptCount val="10"/>
              <c:pt idx="0">
                <c:v>15-19</c:v>
              </c:pt>
              <c:pt idx="1">
                <c:v>20-24</c:v>
              </c:pt>
              <c:pt idx="2">
                <c:v>25-29</c:v>
              </c:pt>
              <c:pt idx="3">
                <c:v>30-34</c:v>
              </c:pt>
              <c:pt idx="4">
                <c:v>35-39</c:v>
              </c:pt>
              <c:pt idx="5">
                <c:v>40-44</c:v>
              </c:pt>
              <c:pt idx="6">
                <c:v>45-49</c:v>
              </c:pt>
              <c:pt idx="7">
                <c:v>50-54</c:v>
              </c:pt>
              <c:pt idx="8">
                <c:v>55-59</c:v>
              </c:pt>
              <c:pt idx="9">
                <c:v>60-64</c:v>
              </c:pt>
            </c:strLit>
          </c:cat>
          <c:val>
            <c:numLit>
              <c:formatCode>General</c:formatCode>
              <c:ptCount val="10"/>
              <c:pt idx="0">
                <c:v>14.4</c:v>
              </c:pt>
              <c:pt idx="1">
                <c:v>46.5</c:v>
              </c:pt>
              <c:pt idx="2">
                <c:v>67.3</c:v>
              </c:pt>
              <c:pt idx="3">
                <c:v>70.7</c:v>
              </c:pt>
              <c:pt idx="4">
                <c:v>73.3</c:v>
              </c:pt>
              <c:pt idx="5">
                <c:v>74.8</c:v>
              </c:pt>
              <c:pt idx="6">
                <c:v>74.7</c:v>
              </c:pt>
              <c:pt idx="7">
                <c:v>71.7</c:v>
              </c:pt>
              <c:pt idx="8">
                <c:v>60.8</c:v>
              </c:pt>
              <c:pt idx="9">
                <c:v>31.8</c:v>
              </c:pt>
            </c:numLit>
          </c:val>
          <c:smooth val="0"/>
          <c:extLst/>
        </c:ser>
        <c:ser>
          <c:idx val="0"/>
          <c:order val="1"/>
          <c:tx>
            <c:v>SK</c:v>
          </c:tx>
          <c:spPr>
            <a:ln w="19050">
              <a:solidFill>
                <a:srgbClr val="2C9ADC"/>
              </a:solidFill>
            </a:ln>
          </c:spPr>
          <c:marker>
            <c:symbol val="none"/>
          </c:marker>
          <c:cat>
            <c:strLit>
              <c:ptCount val="10"/>
              <c:pt idx="0">
                <c:v>15-19</c:v>
              </c:pt>
              <c:pt idx="1">
                <c:v>20-24</c:v>
              </c:pt>
              <c:pt idx="2">
                <c:v>25-29</c:v>
              </c:pt>
              <c:pt idx="3">
                <c:v>30-34</c:v>
              </c:pt>
              <c:pt idx="4">
                <c:v>35-39</c:v>
              </c:pt>
              <c:pt idx="5">
                <c:v>40-44</c:v>
              </c:pt>
              <c:pt idx="6">
                <c:v>45-49</c:v>
              </c:pt>
              <c:pt idx="7">
                <c:v>50-54</c:v>
              </c:pt>
              <c:pt idx="8">
                <c:v>55-59</c:v>
              </c:pt>
              <c:pt idx="9">
                <c:v>60-64</c:v>
              </c:pt>
            </c:strLit>
          </c:cat>
          <c:val>
            <c:numLit>
              <c:formatCode>General</c:formatCode>
              <c:ptCount val="10"/>
              <c:pt idx="0">
                <c:v>2.2000000000000002</c:v>
              </c:pt>
              <c:pt idx="1">
                <c:v>30.5</c:v>
              </c:pt>
              <c:pt idx="2">
                <c:v>61.5</c:v>
              </c:pt>
              <c:pt idx="3">
                <c:v>58.7</c:v>
              </c:pt>
              <c:pt idx="4">
                <c:v>70.400000000000006</c:v>
              </c:pt>
              <c:pt idx="5">
                <c:v>80.599999999999994</c:v>
              </c:pt>
              <c:pt idx="6">
                <c:v>81.5</c:v>
              </c:pt>
              <c:pt idx="7">
                <c:v>75.599999999999994</c:v>
              </c:pt>
              <c:pt idx="8">
                <c:v>65.400000000000006</c:v>
              </c:pt>
              <c:pt idx="9">
                <c:v>15.8</c:v>
              </c:pt>
            </c:numLit>
          </c:val>
          <c:smooth val="0"/>
        </c:ser>
        <c:dLbls>
          <c:showLegendKey val="0"/>
          <c:showVal val="0"/>
          <c:showCatName val="0"/>
          <c:showSerName val="0"/>
          <c:showPercent val="0"/>
          <c:showBubbleSize val="0"/>
        </c:dLbls>
        <c:smooth val="0"/>
        <c:axId val="398379208"/>
        <c:axId val="398379600"/>
      </c:lineChart>
      <c:catAx>
        <c:axId val="398379208"/>
        <c:scaling>
          <c:orientation val="minMax"/>
        </c:scaling>
        <c:delete val="0"/>
        <c:axPos val="b"/>
        <c:title>
          <c:tx>
            <c:rich>
              <a:bodyPr/>
              <a:lstStyle/>
              <a:p>
                <a:pPr>
                  <a:defRPr sz="800" b="0" i="0" u="none" strike="noStrike" baseline="0">
                    <a:solidFill>
                      <a:srgbClr val="000000"/>
                    </a:solidFill>
                    <a:latin typeface="Arial Narrow"/>
                    <a:ea typeface="Arial Narrow"/>
                    <a:cs typeface="Arial Narrow"/>
                  </a:defRPr>
                </a:pPr>
                <a:r>
                  <a:rPr lang="en-US"/>
                  <a:t>Veková skupina</a:t>
                </a:r>
              </a:p>
            </c:rich>
          </c:tx>
          <c:layout>
            <c:manualLayout>
              <c:xMode val="edge"/>
              <c:yMode val="edge"/>
              <c:x val="0.40885546699955189"/>
              <c:y val="0.92697841726618702"/>
            </c:manualLayout>
          </c:layout>
          <c:overlay val="0"/>
        </c:title>
        <c:numFmt formatCode="General" sourceLinked="0"/>
        <c:majorTickMark val="out"/>
        <c:minorTickMark val="none"/>
        <c:tickLblPos val="low"/>
        <c:txPr>
          <a:bodyPr rot="-5400000" vert="horz"/>
          <a:lstStyle/>
          <a:p>
            <a:pPr>
              <a:defRPr sz="800" b="0" i="0" u="none" strike="noStrike" baseline="0">
                <a:solidFill>
                  <a:srgbClr val="000000"/>
                </a:solidFill>
                <a:latin typeface="Arial Narrow"/>
                <a:ea typeface="Arial Narrow"/>
                <a:cs typeface="Arial Narrow"/>
              </a:defRPr>
            </a:pPr>
            <a:endParaRPr lang="en-US"/>
          </a:p>
        </c:txPr>
        <c:crossAx val="398379600"/>
        <c:crosses val="autoZero"/>
        <c:auto val="1"/>
        <c:lblAlgn val="ctr"/>
        <c:lblOffset val="100"/>
        <c:noMultiLvlLbl val="0"/>
      </c:catAx>
      <c:valAx>
        <c:axId val="398379600"/>
        <c:scaling>
          <c:orientation val="minMax"/>
          <c:max val="100"/>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sz="800" b="0" i="0" u="none" strike="noStrike" baseline="0">
                <a:solidFill>
                  <a:srgbClr val="000000"/>
                </a:solidFill>
                <a:latin typeface="Arial Narrow"/>
                <a:ea typeface="Arial Narrow"/>
                <a:cs typeface="Arial Narrow"/>
              </a:defRPr>
            </a:pPr>
            <a:endParaRPr lang="en-US"/>
          </a:p>
        </c:txPr>
        <c:crossAx val="398379208"/>
        <c:crosses val="autoZero"/>
        <c:crossBetween val="between"/>
      </c:valAx>
    </c:plotArea>
    <c:legend>
      <c:legendPos val="l"/>
      <c:layout>
        <c:manualLayout>
          <c:xMode val="edge"/>
          <c:yMode val="edge"/>
          <c:x val="6.6666666666666666E-2"/>
          <c:y val="3.0446923301254009E-2"/>
          <c:w val="0.44852217872026623"/>
          <c:h val="8.5970659472292002E-2"/>
        </c:manualLayout>
      </c:layout>
      <c:overlay val="1"/>
      <c:txPr>
        <a:bodyPr/>
        <a:lstStyle/>
        <a:p>
          <a:pPr>
            <a:defRPr sz="735" b="0" i="0" u="none" strike="noStrike" baseline="0">
              <a:solidFill>
                <a:srgbClr val="000000"/>
              </a:solidFill>
              <a:latin typeface="Arial Narrow"/>
              <a:ea typeface="Arial Narrow"/>
              <a:cs typeface="Arial Narrow"/>
            </a:defRPr>
          </a:pPr>
          <a:endParaRPr lang="en-US"/>
        </a:p>
      </c:txPr>
    </c:legend>
    <c:plotVisOnly val="1"/>
    <c:dispBlanksAs val="gap"/>
    <c:showDLblsOverMax val="0"/>
  </c:chart>
  <c:spPr>
    <a:ln>
      <a:noFill/>
    </a:ln>
  </c:spPr>
  <c:txPr>
    <a:bodyPr/>
    <a:lstStyle/>
    <a:p>
      <a:pPr>
        <a:defRPr sz="800" b="0" i="0" u="none" strike="noStrike" baseline="0">
          <a:solidFill>
            <a:srgbClr val="000000"/>
          </a:solidFill>
          <a:latin typeface="Arial Narrow"/>
          <a:ea typeface="Arial Narrow"/>
          <a:cs typeface="Arial Narrow"/>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04746850881558"/>
          <c:y val="2.6205125725567394E-2"/>
          <c:w val="0.82495253149118442"/>
          <c:h val="0.82857995890466074"/>
        </c:manualLayout>
      </c:layout>
      <c:barChart>
        <c:barDir val="col"/>
        <c:grouping val="clustered"/>
        <c:varyColors val="0"/>
        <c:ser>
          <c:idx val="0"/>
          <c:order val="0"/>
          <c:spPr>
            <a:solidFill>
              <a:srgbClr val="2C9ADC"/>
            </a:solidFill>
          </c:spPr>
          <c:invertIfNegative val="0"/>
          <c:cat>
            <c:numRef>
              <c:f>'43 trh práce'!$A$275:$F$275</c:f>
              <c:numCache>
                <c:formatCode>General</c:formatCode>
                <c:ptCount val="6"/>
                <c:pt idx="0">
                  <c:v>2013</c:v>
                </c:pt>
                <c:pt idx="1">
                  <c:v>2014</c:v>
                </c:pt>
                <c:pt idx="2">
                  <c:v>2015</c:v>
                </c:pt>
                <c:pt idx="3">
                  <c:v>2016</c:v>
                </c:pt>
                <c:pt idx="4">
                  <c:v>2017</c:v>
                </c:pt>
                <c:pt idx="5">
                  <c:v>2018</c:v>
                </c:pt>
              </c:numCache>
            </c:numRef>
          </c:cat>
          <c:val>
            <c:numRef>
              <c:f>'43 trh práce'!$A$276:$F$276</c:f>
              <c:numCache>
                <c:formatCode>#,##0</c:formatCode>
                <c:ptCount val="6"/>
                <c:pt idx="0">
                  <c:v>12281.416666666666</c:v>
                </c:pt>
                <c:pt idx="1">
                  <c:v>17274.666666666668</c:v>
                </c:pt>
                <c:pt idx="2">
                  <c:v>22772.583333333332</c:v>
                </c:pt>
                <c:pt idx="3">
                  <c:v>30681.166666666668</c:v>
                </c:pt>
                <c:pt idx="4">
                  <c:v>43083.333333333336</c:v>
                </c:pt>
                <c:pt idx="5">
                  <c:v>58975.583333333336</c:v>
                </c:pt>
              </c:numCache>
            </c:numRef>
          </c:val>
          <c:extLst/>
        </c:ser>
        <c:dLbls>
          <c:showLegendKey val="0"/>
          <c:showVal val="0"/>
          <c:showCatName val="0"/>
          <c:showSerName val="0"/>
          <c:showPercent val="0"/>
          <c:showBubbleSize val="0"/>
        </c:dLbls>
        <c:gapWidth val="150"/>
        <c:axId val="398240904"/>
        <c:axId val="398241296"/>
      </c:barChart>
      <c:catAx>
        <c:axId val="398240904"/>
        <c:scaling>
          <c:orientation val="minMax"/>
        </c:scaling>
        <c:delete val="0"/>
        <c:axPos val="b"/>
        <c:numFmt formatCode="General" sourceLinked="1"/>
        <c:majorTickMark val="out"/>
        <c:minorTickMark val="none"/>
        <c:tickLblPos val="nextTo"/>
        <c:txPr>
          <a:bodyPr rot="-5400000" vert="horz"/>
          <a:lstStyle/>
          <a:p>
            <a:pPr>
              <a:defRPr sz="800"/>
            </a:pPr>
            <a:endParaRPr lang="en-US"/>
          </a:p>
        </c:txPr>
        <c:crossAx val="398241296"/>
        <c:crosses val="autoZero"/>
        <c:auto val="1"/>
        <c:lblAlgn val="ctr"/>
        <c:lblOffset val="100"/>
        <c:noMultiLvlLbl val="0"/>
      </c:catAx>
      <c:valAx>
        <c:axId val="398241296"/>
        <c:scaling>
          <c:orientation val="minMax"/>
          <c:min val="0"/>
        </c:scaling>
        <c:delete val="0"/>
        <c:axPos val="l"/>
        <c:majorGridlines>
          <c:spPr>
            <a:ln>
              <a:solidFill>
                <a:schemeClr val="bg1">
                  <a:lumMod val="75000"/>
                </a:schemeClr>
              </a:solidFill>
              <a:prstDash val="sysDash"/>
            </a:ln>
          </c:spPr>
        </c:majorGridlines>
        <c:numFmt formatCode="#,##0" sourceLinked="0"/>
        <c:majorTickMark val="out"/>
        <c:minorTickMark val="none"/>
        <c:tickLblPos val="nextTo"/>
        <c:spPr>
          <a:ln>
            <a:solidFill>
              <a:schemeClr val="bg1">
                <a:lumMod val="75000"/>
              </a:schemeClr>
            </a:solidFill>
          </a:ln>
        </c:spPr>
        <c:crossAx val="398240904"/>
        <c:crosses val="autoZero"/>
        <c:crossBetween val="between"/>
      </c:valAx>
    </c:plotArea>
    <c:plotVisOnly val="1"/>
    <c:dispBlanksAs val="gap"/>
    <c:showDLblsOverMax val="0"/>
  </c:chart>
  <c:spPr>
    <a:ln>
      <a:noFill/>
    </a:ln>
  </c:spPr>
  <c:txPr>
    <a:bodyPr/>
    <a:lstStyle/>
    <a:p>
      <a:pPr>
        <a:defRPr>
          <a:latin typeface="Arial Narrow" panose="020B0606020202030204"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70359197756339"/>
          <c:y val="4.8823828544190706E-2"/>
          <c:w val="0.84844032806792669"/>
          <c:h val="0.81487373728901702"/>
        </c:manualLayout>
      </c:layout>
      <c:barChart>
        <c:barDir val="col"/>
        <c:grouping val="stacked"/>
        <c:varyColors val="0"/>
        <c:ser>
          <c:idx val="5"/>
          <c:order val="0"/>
          <c:tx>
            <c:strRef>
              <c:f>Podiel_najomnych_bytov!$D$8</c:f>
              <c:strCache>
                <c:ptCount val="1"/>
                <c:pt idx="0">
                  <c:v>Vlastník</c:v>
                </c:pt>
              </c:strCache>
            </c:strRef>
          </c:tx>
          <c:spPr>
            <a:solidFill>
              <a:srgbClr val="2C9ADC"/>
            </a:solidFill>
          </c:spPr>
          <c:invertIfNegative val="0"/>
          <c:dPt>
            <c:idx val="3"/>
            <c:invertIfNegative val="0"/>
            <c:bubble3D val="0"/>
            <c:spPr>
              <a:solidFill>
                <a:srgbClr val="FFFFFF">
                  <a:lumMod val="50000"/>
                </a:srgbClr>
              </a:solidFill>
            </c:spPr>
            <c:extLst xmlns:c16r2="http://schemas.microsoft.com/office/drawing/2015/06/chart">
              <c:ext xmlns:c16="http://schemas.microsoft.com/office/drawing/2014/chart" uri="{C3380CC4-5D6E-409C-BE32-E72D297353CC}">
                <c16:uniqueId val="{00000001-C002-4409-B380-03E50C5B0AF4}"/>
              </c:ext>
            </c:extLst>
          </c:dPt>
          <c:cat>
            <c:strRef>
              <c:f>Podiel_najomnych_bytov!$C$9:$C$36</c:f>
              <c:strCache>
                <c:ptCount val="28"/>
                <c:pt idx="0">
                  <c:v>RO</c:v>
                </c:pt>
                <c:pt idx="1">
                  <c:v>LT</c:v>
                </c:pt>
                <c:pt idx="2">
                  <c:v>HR</c:v>
                </c:pt>
                <c:pt idx="3">
                  <c:v>SK</c:v>
                </c:pt>
                <c:pt idx="4">
                  <c:v>HU</c:v>
                </c:pt>
                <c:pt idx="5">
                  <c:v>PL</c:v>
                </c:pt>
                <c:pt idx="6">
                  <c:v>BG</c:v>
                </c:pt>
                <c:pt idx="7">
                  <c:v>EE</c:v>
                </c:pt>
                <c:pt idx="8">
                  <c:v>MT</c:v>
                </c:pt>
                <c:pt idx="9">
                  <c:v>LV</c:v>
                </c:pt>
                <c:pt idx="10">
                  <c:v>CZ </c:v>
                </c:pt>
                <c:pt idx="11">
                  <c:v>ES</c:v>
                </c:pt>
                <c:pt idx="12">
                  <c:v>PT</c:v>
                </c:pt>
                <c:pt idx="13">
                  <c:v>SL</c:v>
                </c:pt>
                <c:pt idx="14">
                  <c:v>EL</c:v>
                </c:pt>
                <c:pt idx="15">
                  <c:v>LX</c:v>
                </c:pt>
                <c:pt idx="16">
                  <c:v>CY</c:v>
                </c:pt>
                <c:pt idx="17">
                  <c:v>IT</c:v>
                </c:pt>
                <c:pt idx="18">
                  <c:v>FI</c:v>
                </c:pt>
                <c:pt idx="19">
                  <c:v>BE</c:v>
                </c:pt>
                <c:pt idx="20">
                  <c:v>IE</c:v>
                </c:pt>
                <c:pt idx="21">
                  <c:v>NL</c:v>
                </c:pt>
                <c:pt idx="22">
                  <c:v>SE</c:v>
                </c:pt>
                <c:pt idx="23">
                  <c:v>FR</c:v>
                </c:pt>
                <c:pt idx="24">
                  <c:v>Uk</c:v>
                </c:pt>
                <c:pt idx="25">
                  <c:v>DK</c:v>
                </c:pt>
                <c:pt idx="26">
                  <c:v>AT</c:v>
                </c:pt>
                <c:pt idx="27">
                  <c:v>DE</c:v>
                </c:pt>
              </c:strCache>
            </c:strRef>
          </c:cat>
          <c:val>
            <c:numRef>
              <c:f>Podiel_najomnych_bytov!$D$9:$D$36</c:f>
              <c:numCache>
                <c:formatCode>#\ ##0.0</c:formatCode>
                <c:ptCount val="28"/>
                <c:pt idx="0">
                  <c:v>96</c:v>
                </c:pt>
                <c:pt idx="1">
                  <c:v>90.3</c:v>
                </c:pt>
                <c:pt idx="2">
                  <c:v>90</c:v>
                </c:pt>
                <c:pt idx="3">
                  <c:v>89.5</c:v>
                </c:pt>
                <c:pt idx="4">
                  <c:v>86.3</c:v>
                </c:pt>
                <c:pt idx="5">
                  <c:v>83.4</c:v>
                </c:pt>
                <c:pt idx="6">
                  <c:v>82.3</c:v>
                </c:pt>
                <c:pt idx="7">
                  <c:v>81.400000000000006</c:v>
                </c:pt>
                <c:pt idx="8">
                  <c:v>81.400000000000006</c:v>
                </c:pt>
                <c:pt idx="9">
                  <c:v>80.900000000000006</c:v>
                </c:pt>
                <c:pt idx="10">
                  <c:v>78.2</c:v>
                </c:pt>
                <c:pt idx="11">
                  <c:v>77.8</c:v>
                </c:pt>
                <c:pt idx="12">
                  <c:v>75.2</c:v>
                </c:pt>
                <c:pt idx="13">
                  <c:v>75.099999999999994</c:v>
                </c:pt>
                <c:pt idx="14">
                  <c:v>73.900000000000006</c:v>
                </c:pt>
                <c:pt idx="15">
                  <c:v>73.900000000000006</c:v>
                </c:pt>
                <c:pt idx="16">
                  <c:v>72.5</c:v>
                </c:pt>
                <c:pt idx="17">
                  <c:v>72.3</c:v>
                </c:pt>
                <c:pt idx="18">
                  <c:v>71.599999999999994</c:v>
                </c:pt>
                <c:pt idx="19">
                  <c:v>71.3</c:v>
                </c:pt>
                <c:pt idx="20">
                  <c:v>69.8</c:v>
                </c:pt>
                <c:pt idx="21">
                  <c:v>69</c:v>
                </c:pt>
                <c:pt idx="22">
                  <c:v>65.2</c:v>
                </c:pt>
                <c:pt idx="23">
                  <c:v>64.900000000000006</c:v>
                </c:pt>
                <c:pt idx="24">
                  <c:v>63.4</c:v>
                </c:pt>
                <c:pt idx="25">
                  <c:v>62</c:v>
                </c:pt>
                <c:pt idx="26">
                  <c:v>55</c:v>
                </c:pt>
                <c:pt idx="27">
                  <c:v>51.7</c:v>
                </c:pt>
              </c:numCache>
            </c:numRef>
          </c:val>
          <c:extLst xmlns:c16r2="http://schemas.microsoft.com/office/drawing/2015/06/chart">
            <c:ext xmlns:c16="http://schemas.microsoft.com/office/drawing/2014/chart" uri="{C3380CC4-5D6E-409C-BE32-E72D297353CC}">
              <c16:uniqueId val="{00000002-C002-4409-B380-03E50C5B0AF4}"/>
            </c:ext>
          </c:extLst>
        </c:ser>
        <c:ser>
          <c:idx val="8"/>
          <c:order val="1"/>
          <c:tx>
            <c:strRef>
              <c:f>Podiel_najomnych_bytov!$G$8</c:f>
              <c:strCache>
                <c:ptCount val="1"/>
                <c:pt idx="0">
                  <c:v>Trhový nájom</c:v>
                </c:pt>
              </c:strCache>
            </c:strRef>
          </c:tx>
          <c:spPr>
            <a:solidFill>
              <a:schemeClr val="tx2">
                <a:lumMod val="20000"/>
                <a:lumOff val="80000"/>
              </a:schemeClr>
            </a:solidFill>
            <a:ln>
              <a:noFill/>
            </a:ln>
          </c:spPr>
          <c:invertIfNegative val="0"/>
          <c:cat>
            <c:strRef>
              <c:f>Podiel_najomnych_bytov!$C$9:$C$36</c:f>
              <c:strCache>
                <c:ptCount val="28"/>
                <c:pt idx="0">
                  <c:v>RO</c:v>
                </c:pt>
                <c:pt idx="1">
                  <c:v>LT</c:v>
                </c:pt>
                <c:pt idx="2">
                  <c:v>HR</c:v>
                </c:pt>
                <c:pt idx="3">
                  <c:v>SK</c:v>
                </c:pt>
                <c:pt idx="4">
                  <c:v>HU</c:v>
                </c:pt>
                <c:pt idx="5">
                  <c:v>PL</c:v>
                </c:pt>
                <c:pt idx="6">
                  <c:v>BG</c:v>
                </c:pt>
                <c:pt idx="7">
                  <c:v>EE</c:v>
                </c:pt>
                <c:pt idx="8">
                  <c:v>MT</c:v>
                </c:pt>
                <c:pt idx="9">
                  <c:v>LV</c:v>
                </c:pt>
                <c:pt idx="10">
                  <c:v>CZ </c:v>
                </c:pt>
                <c:pt idx="11">
                  <c:v>ES</c:v>
                </c:pt>
                <c:pt idx="12">
                  <c:v>PT</c:v>
                </c:pt>
                <c:pt idx="13">
                  <c:v>SL</c:v>
                </c:pt>
                <c:pt idx="14">
                  <c:v>EL</c:v>
                </c:pt>
                <c:pt idx="15">
                  <c:v>LX</c:v>
                </c:pt>
                <c:pt idx="16">
                  <c:v>CY</c:v>
                </c:pt>
                <c:pt idx="17">
                  <c:v>IT</c:v>
                </c:pt>
                <c:pt idx="18">
                  <c:v>FI</c:v>
                </c:pt>
                <c:pt idx="19">
                  <c:v>BE</c:v>
                </c:pt>
                <c:pt idx="20">
                  <c:v>IE</c:v>
                </c:pt>
                <c:pt idx="21">
                  <c:v>NL</c:v>
                </c:pt>
                <c:pt idx="22">
                  <c:v>SE</c:v>
                </c:pt>
                <c:pt idx="23">
                  <c:v>FR</c:v>
                </c:pt>
                <c:pt idx="24">
                  <c:v>Uk</c:v>
                </c:pt>
                <c:pt idx="25">
                  <c:v>DK</c:v>
                </c:pt>
                <c:pt idx="26">
                  <c:v>AT</c:v>
                </c:pt>
                <c:pt idx="27">
                  <c:v>DE</c:v>
                </c:pt>
              </c:strCache>
            </c:strRef>
          </c:cat>
          <c:val>
            <c:numRef>
              <c:f>Podiel_najomnych_bytov!$G$9:$G$36</c:f>
              <c:numCache>
                <c:formatCode>#\ ##0.0</c:formatCode>
                <c:ptCount val="28"/>
                <c:pt idx="0">
                  <c:v>1.5</c:v>
                </c:pt>
                <c:pt idx="1">
                  <c:v>1.3</c:v>
                </c:pt>
                <c:pt idx="2">
                  <c:v>1.6</c:v>
                </c:pt>
                <c:pt idx="3">
                  <c:v>8.9</c:v>
                </c:pt>
                <c:pt idx="4">
                  <c:v>4.3</c:v>
                </c:pt>
                <c:pt idx="5">
                  <c:v>4.5</c:v>
                </c:pt>
                <c:pt idx="6">
                  <c:v>2.9</c:v>
                </c:pt>
                <c:pt idx="7">
                  <c:v>4.0999999999999996</c:v>
                </c:pt>
                <c:pt idx="8">
                  <c:v>3</c:v>
                </c:pt>
                <c:pt idx="9">
                  <c:v>8.6999999999999993</c:v>
                </c:pt>
                <c:pt idx="10">
                  <c:v>16</c:v>
                </c:pt>
                <c:pt idx="11">
                  <c:v>13.8</c:v>
                </c:pt>
                <c:pt idx="12">
                  <c:v>12.9</c:v>
                </c:pt>
                <c:pt idx="13">
                  <c:v>5.3</c:v>
                </c:pt>
                <c:pt idx="14">
                  <c:v>20.8</c:v>
                </c:pt>
                <c:pt idx="15">
                  <c:v>21.5</c:v>
                </c:pt>
                <c:pt idx="16">
                  <c:v>13.4</c:v>
                </c:pt>
                <c:pt idx="17">
                  <c:v>16.8</c:v>
                </c:pt>
                <c:pt idx="18">
                  <c:v>13</c:v>
                </c:pt>
                <c:pt idx="19">
                  <c:v>20</c:v>
                </c:pt>
                <c:pt idx="20">
                  <c:v>13.2</c:v>
                </c:pt>
                <c:pt idx="21">
                  <c:v>30.3</c:v>
                </c:pt>
                <c:pt idx="22">
                  <c:v>34</c:v>
                </c:pt>
                <c:pt idx="23">
                  <c:v>19.2</c:v>
                </c:pt>
                <c:pt idx="24">
                  <c:v>18</c:v>
                </c:pt>
                <c:pt idx="25">
                  <c:v>37.9</c:v>
                </c:pt>
                <c:pt idx="26">
                  <c:v>29.7</c:v>
                </c:pt>
                <c:pt idx="27">
                  <c:v>39.799999999999997</c:v>
                </c:pt>
              </c:numCache>
            </c:numRef>
          </c:val>
          <c:extLst xmlns:c16r2="http://schemas.microsoft.com/office/drawing/2015/06/chart">
            <c:ext xmlns:c16="http://schemas.microsoft.com/office/drawing/2014/chart" uri="{C3380CC4-5D6E-409C-BE32-E72D297353CC}">
              <c16:uniqueId val="{00000003-C002-4409-B380-03E50C5B0AF4}"/>
            </c:ext>
          </c:extLst>
        </c:ser>
        <c:ser>
          <c:idx val="0"/>
          <c:order val="2"/>
          <c:tx>
            <c:strRef>
              <c:f>Podiel_najomnych_bytov!$H$8</c:f>
              <c:strCache>
                <c:ptCount val="1"/>
                <c:pt idx="0">
                  <c:v>Regulovaný nájom</c:v>
                </c:pt>
              </c:strCache>
            </c:strRef>
          </c:tx>
          <c:spPr>
            <a:solidFill>
              <a:srgbClr val="1F497D"/>
            </a:solidFill>
          </c:spPr>
          <c:invertIfNegative val="0"/>
          <c:cat>
            <c:strRef>
              <c:f>Podiel_najomnych_bytov!$C$9:$C$36</c:f>
              <c:strCache>
                <c:ptCount val="28"/>
                <c:pt idx="0">
                  <c:v>RO</c:v>
                </c:pt>
                <c:pt idx="1">
                  <c:v>LT</c:v>
                </c:pt>
                <c:pt idx="2">
                  <c:v>HR</c:v>
                </c:pt>
                <c:pt idx="3">
                  <c:v>SK</c:v>
                </c:pt>
                <c:pt idx="4">
                  <c:v>HU</c:v>
                </c:pt>
                <c:pt idx="5">
                  <c:v>PL</c:v>
                </c:pt>
                <c:pt idx="6">
                  <c:v>BG</c:v>
                </c:pt>
                <c:pt idx="7">
                  <c:v>EE</c:v>
                </c:pt>
                <c:pt idx="8">
                  <c:v>MT</c:v>
                </c:pt>
                <c:pt idx="9">
                  <c:v>LV</c:v>
                </c:pt>
                <c:pt idx="10">
                  <c:v>CZ </c:v>
                </c:pt>
                <c:pt idx="11">
                  <c:v>ES</c:v>
                </c:pt>
                <c:pt idx="12">
                  <c:v>PT</c:v>
                </c:pt>
                <c:pt idx="13">
                  <c:v>SL</c:v>
                </c:pt>
                <c:pt idx="14">
                  <c:v>EL</c:v>
                </c:pt>
                <c:pt idx="15">
                  <c:v>LX</c:v>
                </c:pt>
                <c:pt idx="16">
                  <c:v>CY</c:v>
                </c:pt>
                <c:pt idx="17">
                  <c:v>IT</c:v>
                </c:pt>
                <c:pt idx="18">
                  <c:v>FI</c:v>
                </c:pt>
                <c:pt idx="19">
                  <c:v>BE</c:v>
                </c:pt>
                <c:pt idx="20">
                  <c:v>IE</c:v>
                </c:pt>
                <c:pt idx="21">
                  <c:v>NL</c:v>
                </c:pt>
                <c:pt idx="22">
                  <c:v>SE</c:v>
                </c:pt>
                <c:pt idx="23">
                  <c:v>FR</c:v>
                </c:pt>
                <c:pt idx="24">
                  <c:v>Uk</c:v>
                </c:pt>
                <c:pt idx="25">
                  <c:v>DK</c:v>
                </c:pt>
                <c:pt idx="26">
                  <c:v>AT</c:v>
                </c:pt>
                <c:pt idx="27">
                  <c:v>DE</c:v>
                </c:pt>
              </c:strCache>
            </c:strRef>
          </c:cat>
          <c:val>
            <c:numRef>
              <c:f>Podiel_najomnych_bytov!$H$9:$H$36</c:f>
              <c:numCache>
                <c:formatCode>#\ ##0.0</c:formatCode>
                <c:ptCount val="28"/>
                <c:pt idx="0">
                  <c:v>2.5</c:v>
                </c:pt>
                <c:pt idx="1">
                  <c:v>8.3000000000000007</c:v>
                </c:pt>
                <c:pt idx="2">
                  <c:v>8.4</c:v>
                </c:pt>
                <c:pt idx="3">
                  <c:v>1.6</c:v>
                </c:pt>
                <c:pt idx="4">
                  <c:v>9.3000000000000007</c:v>
                </c:pt>
                <c:pt idx="5">
                  <c:v>12.1</c:v>
                </c:pt>
                <c:pt idx="6">
                  <c:v>14.8</c:v>
                </c:pt>
                <c:pt idx="7">
                  <c:v>14.5</c:v>
                </c:pt>
                <c:pt idx="8">
                  <c:v>15.6</c:v>
                </c:pt>
                <c:pt idx="9">
                  <c:v>10.4</c:v>
                </c:pt>
                <c:pt idx="10">
                  <c:v>5.8</c:v>
                </c:pt>
                <c:pt idx="11">
                  <c:v>8.4</c:v>
                </c:pt>
                <c:pt idx="12">
                  <c:v>11.8</c:v>
                </c:pt>
                <c:pt idx="13">
                  <c:v>19.600000000000001</c:v>
                </c:pt>
                <c:pt idx="14">
                  <c:v>5.3</c:v>
                </c:pt>
                <c:pt idx="15">
                  <c:v>4.5999999999999996</c:v>
                </c:pt>
                <c:pt idx="16">
                  <c:v>14.1</c:v>
                </c:pt>
                <c:pt idx="17">
                  <c:v>11</c:v>
                </c:pt>
                <c:pt idx="18">
                  <c:v>15.4</c:v>
                </c:pt>
                <c:pt idx="19">
                  <c:v>8.6999999999999993</c:v>
                </c:pt>
                <c:pt idx="20">
                  <c:v>17.100000000000001</c:v>
                </c:pt>
                <c:pt idx="21">
                  <c:v>0.7</c:v>
                </c:pt>
                <c:pt idx="22">
                  <c:v>0.8</c:v>
                </c:pt>
                <c:pt idx="23">
                  <c:v>16</c:v>
                </c:pt>
                <c:pt idx="24">
                  <c:v>18.600000000000001</c:v>
                </c:pt>
                <c:pt idx="25">
                  <c:v>0.1</c:v>
                </c:pt>
                <c:pt idx="26">
                  <c:v>15.3</c:v>
                </c:pt>
                <c:pt idx="27">
                  <c:v>8.4</c:v>
                </c:pt>
              </c:numCache>
            </c:numRef>
          </c:val>
          <c:extLst xmlns:c16r2="http://schemas.microsoft.com/office/drawing/2015/06/chart">
            <c:ext xmlns:c16="http://schemas.microsoft.com/office/drawing/2014/chart" uri="{C3380CC4-5D6E-409C-BE32-E72D297353CC}">
              <c16:uniqueId val="{00000004-C002-4409-B380-03E50C5B0AF4}"/>
            </c:ext>
          </c:extLst>
        </c:ser>
        <c:dLbls>
          <c:showLegendKey val="0"/>
          <c:showVal val="0"/>
          <c:showCatName val="0"/>
          <c:showSerName val="0"/>
          <c:showPercent val="0"/>
          <c:showBubbleSize val="0"/>
        </c:dLbls>
        <c:gapWidth val="150"/>
        <c:overlap val="100"/>
        <c:axId val="398242080"/>
        <c:axId val="398242472"/>
      </c:barChart>
      <c:catAx>
        <c:axId val="398242080"/>
        <c:scaling>
          <c:orientation val="minMax"/>
        </c:scaling>
        <c:delete val="0"/>
        <c:axPos val="b"/>
        <c:numFmt formatCode="General" sourceLinked="1"/>
        <c:majorTickMark val="out"/>
        <c:minorTickMark val="none"/>
        <c:tickLblPos val="low"/>
        <c:txPr>
          <a:bodyPr/>
          <a:lstStyle/>
          <a:p>
            <a:pPr>
              <a:defRPr sz="550"/>
            </a:pPr>
            <a:endParaRPr lang="en-US"/>
          </a:p>
        </c:txPr>
        <c:crossAx val="398242472"/>
        <c:crosses val="autoZero"/>
        <c:auto val="1"/>
        <c:lblAlgn val="ctr"/>
        <c:lblOffset val="100"/>
        <c:noMultiLvlLbl val="0"/>
      </c:catAx>
      <c:valAx>
        <c:axId val="398242472"/>
        <c:scaling>
          <c:orientation val="minMax"/>
          <c:max val="110"/>
          <c:min val="0"/>
        </c:scaling>
        <c:delete val="0"/>
        <c:axPos val="l"/>
        <c:majorGridlines>
          <c:spPr>
            <a:ln>
              <a:solidFill>
                <a:schemeClr val="bg1">
                  <a:lumMod val="75000"/>
                </a:schemeClr>
              </a:solidFill>
              <a:prstDash val="dash"/>
            </a:ln>
          </c:spPr>
        </c:majorGridlines>
        <c:title>
          <c:tx>
            <c:rich>
              <a:bodyPr/>
              <a:lstStyle/>
              <a:p>
                <a:pPr>
                  <a:defRPr/>
                </a:pPr>
                <a:r>
                  <a:rPr lang="sk-SK"/>
                  <a:t>Percentuálny podiel</a:t>
                </a:r>
              </a:p>
            </c:rich>
          </c:tx>
          <c:layout/>
          <c:overlay val="0"/>
        </c:title>
        <c:numFmt formatCode="#,##0" sourceLinked="0"/>
        <c:majorTickMark val="out"/>
        <c:minorTickMark val="none"/>
        <c:tickLblPos val="nextTo"/>
        <c:crossAx val="398242080"/>
        <c:crosses val="autoZero"/>
        <c:crossBetween val="between"/>
      </c:valAx>
      <c:spPr>
        <a:noFill/>
      </c:spPr>
    </c:plotArea>
    <c:legend>
      <c:legendPos val="r"/>
      <c:layout>
        <c:manualLayout>
          <c:xMode val="edge"/>
          <c:yMode val="edge"/>
          <c:x val="0.16914644144058266"/>
          <c:y val="2.8208777439165882E-2"/>
          <c:w val="0.7492869641294837"/>
          <c:h val="7.1734470691163607E-2"/>
        </c:manualLayout>
      </c:layout>
      <c:overlay val="0"/>
    </c:legend>
    <c:plotVisOnly val="1"/>
    <c:dispBlanksAs val="gap"/>
    <c:showDLblsOverMax val="0"/>
  </c:chart>
  <c:spPr>
    <a:noFill/>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78515456401283168"/>
        </c:manualLayout>
      </c:layout>
      <c:lineChart>
        <c:grouping val="standard"/>
        <c:varyColors val="0"/>
        <c:ser>
          <c:idx val="3"/>
          <c:order val="0"/>
          <c:tx>
            <c:strRef>
              <c:f>Podiel_najomnych_bytov!$B$53</c:f>
              <c:strCache>
                <c:ptCount val="1"/>
                <c:pt idx="0">
                  <c:v>Slovensko</c:v>
                </c:pt>
              </c:strCache>
            </c:strRef>
          </c:tx>
          <c:spPr>
            <a:ln w="19050">
              <a:solidFill>
                <a:srgbClr val="2C9ADC"/>
              </a:solidFill>
              <a:prstDash val="solid"/>
            </a:ln>
          </c:spPr>
          <c:marker>
            <c:symbol val="none"/>
          </c:marker>
          <c:cat>
            <c:numRef>
              <c:f>Podiel_najomnych_bytov!$C$48:$L$48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Podiel_najomnych_bytov!$C$53:$L$53</c:f>
              <c:numCache>
                <c:formatCode>General</c:formatCode>
                <c:ptCount val="10"/>
                <c:pt idx="0">
                  <c:v>1.7</c:v>
                </c:pt>
                <c:pt idx="1">
                  <c:v>1.7</c:v>
                </c:pt>
                <c:pt idx="2">
                  <c:v>1.6</c:v>
                </c:pt>
                <c:pt idx="3">
                  <c:v>1.7</c:v>
                </c:pt>
                <c:pt idx="4">
                  <c:v>1.8</c:v>
                </c:pt>
                <c:pt idx="5">
                  <c:v>2</c:v>
                </c:pt>
                <c:pt idx="6">
                  <c:v>1.8</c:v>
                </c:pt>
                <c:pt idx="7">
                  <c:v>1.5</c:v>
                </c:pt>
                <c:pt idx="8">
                  <c:v>1.6</c:v>
                </c:pt>
                <c:pt idx="9">
                  <c:v>1.5</c:v>
                </c:pt>
              </c:numCache>
            </c:numRef>
          </c:val>
          <c:smooth val="0"/>
          <c:extLst xmlns:c16r2="http://schemas.microsoft.com/office/drawing/2015/06/chart">
            <c:ext xmlns:c16="http://schemas.microsoft.com/office/drawing/2014/chart" uri="{C3380CC4-5D6E-409C-BE32-E72D297353CC}">
              <c16:uniqueId val="{00000000-3038-418C-AD1B-E17566DA1CD0}"/>
            </c:ext>
          </c:extLst>
        </c:ser>
        <c:ser>
          <c:idx val="5"/>
          <c:order val="1"/>
          <c:tx>
            <c:strRef>
              <c:f>Podiel_najomnych_bytov!$B$54</c:f>
              <c:strCache>
                <c:ptCount val="1"/>
                <c:pt idx="0">
                  <c:v>V3</c:v>
                </c:pt>
              </c:strCache>
            </c:strRef>
          </c:tx>
          <c:spPr>
            <a:ln w="19050">
              <a:solidFill>
                <a:sysClr val="windowText" lastClr="000000"/>
              </a:solidFill>
              <a:prstDash val="solid"/>
            </a:ln>
          </c:spPr>
          <c:marker>
            <c:symbol val="none"/>
          </c:marker>
          <c:cat>
            <c:numRef>
              <c:f>Podiel_najomnych_bytov!$C$48:$L$48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Podiel_najomnych_bytov!$C$54:$L$54</c:f>
              <c:numCache>
                <c:formatCode>0.0</c:formatCode>
                <c:ptCount val="10"/>
                <c:pt idx="0">
                  <c:v>19.766666666666666</c:v>
                </c:pt>
                <c:pt idx="1">
                  <c:v>18.333333333333332</c:v>
                </c:pt>
                <c:pt idx="2">
                  <c:v>13.433333333333332</c:v>
                </c:pt>
                <c:pt idx="3">
                  <c:v>9.7000000000000011</c:v>
                </c:pt>
                <c:pt idx="4">
                  <c:v>9.0333333333333332</c:v>
                </c:pt>
                <c:pt idx="5">
                  <c:v>7.9333333333333336</c:v>
                </c:pt>
                <c:pt idx="6">
                  <c:v>8.2666666666666675</c:v>
                </c:pt>
                <c:pt idx="7">
                  <c:v>8.7666666666666675</c:v>
                </c:pt>
                <c:pt idx="8">
                  <c:v>9.0666666666666682</c:v>
                </c:pt>
                <c:pt idx="9">
                  <c:v>7.0750000000000002</c:v>
                </c:pt>
              </c:numCache>
            </c:numRef>
          </c:val>
          <c:smooth val="0"/>
          <c:extLst xmlns:c16r2="http://schemas.microsoft.com/office/drawing/2015/06/chart">
            <c:ext xmlns:c16="http://schemas.microsoft.com/office/drawing/2014/chart" uri="{C3380CC4-5D6E-409C-BE32-E72D297353CC}">
              <c16:uniqueId val="{00000001-3038-418C-AD1B-E17566DA1CD0}"/>
            </c:ext>
          </c:extLst>
        </c:ser>
        <c:ser>
          <c:idx val="0"/>
          <c:order val="2"/>
          <c:tx>
            <c:strRef>
              <c:f>Podiel_najomnych_bytov!$B$55</c:f>
              <c:strCache>
                <c:ptCount val="1"/>
                <c:pt idx="0">
                  <c:v>EU</c:v>
                </c:pt>
              </c:strCache>
            </c:strRef>
          </c:tx>
          <c:spPr>
            <a:ln w="19050">
              <a:solidFill>
                <a:srgbClr val="0070C0"/>
              </a:solidFill>
              <a:prstDash val="dash"/>
            </a:ln>
          </c:spPr>
          <c:marker>
            <c:symbol val="none"/>
          </c:marker>
          <c:dPt>
            <c:idx val="2"/>
            <c:bubble3D val="0"/>
            <c:extLst xmlns:c16r2="http://schemas.microsoft.com/office/drawing/2015/06/chart">
              <c:ext xmlns:c16="http://schemas.microsoft.com/office/drawing/2014/chart" uri="{C3380CC4-5D6E-409C-BE32-E72D297353CC}">
                <c16:uniqueId val="{00000002-3038-418C-AD1B-E17566DA1CD0}"/>
              </c:ext>
            </c:extLst>
          </c:dPt>
          <c:cat>
            <c:numRef>
              <c:f>Podiel_najomnych_bytov!$C$48:$L$48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Podiel_najomnych_bytov!$C$55:$L$55</c:f>
              <c:numCache>
                <c:formatCode>General</c:formatCode>
                <c:ptCount val="10"/>
                <c:pt idx="3">
                  <c:v>11.9</c:v>
                </c:pt>
                <c:pt idx="4">
                  <c:v>11.2</c:v>
                </c:pt>
                <c:pt idx="5">
                  <c:v>11</c:v>
                </c:pt>
                <c:pt idx="6">
                  <c:v>10.9</c:v>
                </c:pt>
                <c:pt idx="7">
                  <c:v>10.9</c:v>
                </c:pt>
                <c:pt idx="8">
                  <c:v>10.9</c:v>
                </c:pt>
                <c:pt idx="9">
                  <c:v>9.5</c:v>
                </c:pt>
              </c:numCache>
            </c:numRef>
          </c:val>
          <c:smooth val="0"/>
          <c:extLst xmlns:c16r2="http://schemas.microsoft.com/office/drawing/2015/06/chart">
            <c:ext xmlns:c16="http://schemas.microsoft.com/office/drawing/2014/chart" uri="{C3380CC4-5D6E-409C-BE32-E72D297353CC}">
              <c16:uniqueId val="{00000003-3038-418C-AD1B-E17566DA1CD0}"/>
            </c:ext>
          </c:extLst>
        </c:ser>
        <c:dLbls>
          <c:showLegendKey val="0"/>
          <c:showVal val="0"/>
          <c:showCatName val="0"/>
          <c:showSerName val="0"/>
          <c:showPercent val="0"/>
          <c:showBubbleSize val="0"/>
        </c:dLbls>
        <c:smooth val="0"/>
        <c:axId val="398243256"/>
        <c:axId val="398243648"/>
      </c:lineChart>
      <c:catAx>
        <c:axId val="398243256"/>
        <c:scaling>
          <c:orientation val="minMax"/>
        </c:scaling>
        <c:delete val="0"/>
        <c:axPos val="b"/>
        <c:numFmt formatCode="General" sourceLinked="0"/>
        <c:majorTickMark val="out"/>
        <c:minorTickMark val="none"/>
        <c:tickLblPos val="low"/>
        <c:txPr>
          <a:bodyPr rot="-5400000" vert="horz"/>
          <a:lstStyle/>
          <a:p>
            <a:pPr>
              <a:defRPr/>
            </a:pPr>
            <a:endParaRPr lang="en-US"/>
          </a:p>
        </c:txPr>
        <c:crossAx val="398243648"/>
        <c:crosses val="autoZero"/>
        <c:auto val="1"/>
        <c:lblAlgn val="ctr"/>
        <c:lblOffset val="100"/>
        <c:noMultiLvlLbl val="0"/>
      </c:catAx>
      <c:valAx>
        <c:axId val="398243648"/>
        <c:scaling>
          <c:orientation val="minMax"/>
          <c:max val="20"/>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en-US"/>
          </a:p>
        </c:txPr>
        <c:crossAx val="398243256"/>
        <c:crosses val="autoZero"/>
        <c:crossBetween val="between"/>
      </c:valAx>
      <c:spPr>
        <a:noFill/>
      </c:spPr>
    </c:plotArea>
    <c:legend>
      <c:legendPos val="l"/>
      <c:layout>
        <c:manualLayout>
          <c:xMode val="edge"/>
          <c:yMode val="edge"/>
          <c:x val="0.36666653906958768"/>
          <c:y val="8.4730572815778213E-2"/>
          <c:w val="0.61797594050743654"/>
          <c:h val="0.24626738949963523"/>
        </c:manualLayout>
      </c:layout>
      <c:overlay val="1"/>
    </c:legend>
    <c:plotVisOnly val="1"/>
    <c:dispBlanksAs val="gap"/>
    <c:showDLblsOverMax val="0"/>
  </c:chart>
  <c:spPr>
    <a:noFill/>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76431617051586"/>
          <c:y val="9.4836720991271439E-2"/>
          <c:w val="0.87172807597523594"/>
          <c:h val="0.69547862072796451"/>
        </c:manualLayout>
      </c:layout>
      <c:lineChart>
        <c:grouping val="standard"/>
        <c:varyColors val="0"/>
        <c:ser>
          <c:idx val="3"/>
          <c:order val="0"/>
          <c:tx>
            <c:strRef>
              <c:f>ts_share!$S$2</c:f>
              <c:strCache>
                <c:ptCount val="1"/>
                <c:pt idx="0">
                  <c:v>2014</c:v>
                </c:pt>
              </c:strCache>
            </c:strRef>
          </c:tx>
          <c:spPr>
            <a:ln w="22225">
              <a:solidFill>
                <a:sysClr val="window" lastClr="FFFFFF">
                  <a:lumMod val="65000"/>
                </a:sysClr>
              </a:solidFill>
              <a:prstDash val="solid"/>
            </a:ln>
          </c:spPr>
          <c:marker>
            <c:symbol val="none"/>
          </c:marker>
          <c:cat>
            <c:numRef>
              <c:f>ts_share!$R$3:$R$46</c:f>
              <c:numCache>
                <c:formatCode>General</c:formatCode>
                <c:ptCount val="44"/>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pt idx="32">
                  <c:v>51</c:v>
                </c:pt>
                <c:pt idx="33">
                  <c:v>52</c:v>
                </c:pt>
                <c:pt idx="34">
                  <c:v>53</c:v>
                </c:pt>
                <c:pt idx="35">
                  <c:v>54</c:v>
                </c:pt>
                <c:pt idx="36">
                  <c:v>55</c:v>
                </c:pt>
                <c:pt idx="37">
                  <c:v>56</c:v>
                </c:pt>
                <c:pt idx="38">
                  <c:v>57</c:v>
                </c:pt>
                <c:pt idx="39">
                  <c:v>58</c:v>
                </c:pt>
                <c:pt idx="40">
                  <c:v>59</c:v>
                </c:pt>
                <c:pt idx="41">
                  <c:v>60</c:v>
                </c:pt>
                <c:pt idx="42">
                  <c:v>61</c:v>
                </c:pt>
                <c:pt idx="43">
                  <c:v>62</c:v>
                </c:pt>
              </c:numCache>
            </c:numRef>
          </c:cat>
          <c:val>
            <c:numRef>
              <c:f>ts_share!$S$3:$S$46</c:f>
              <c:numCache>
                <c:formatCode>General</c:formatCode>
                <c:ptCount val="44"/>
                <c:pt idx="0">
                  <c:v>42.666666666666671</c:v>
                </c:pt>
                <c:pt idx="1">
                  <c:v>37.742663656884879</c:v>
                </c:pt>
                <c:pt idx="2">
                  <c:v>27.847712618974519</c:v>
                </c:pt>
                <c:pt idx="3">
                  <c:v>22.489837398373982</c:v>
                </c:pt>
                <c:pt idx="4">
                  <c:v>21.376683203401843</c:v>
                </c:pt>
                <c:pt idx="5">
                  <c:v>19.704905938767983</c:v>
                </c:pt>
                <c:pt idx="6">
                  <c:v>17.268227573549858</c:v>
                </c:pt>
                <c:pt idx="7">
                  <c:v>14.015290744688672</c:v>
                </c:pt>
                <c:pt idx="8">
                  <c:v>11.783439490445859</c:v>
                </c:pt>
                <c:pt idx="9">
                  <c:v>12.535990515440638</c:v>
                </c:pt>
                <c:pt idx="10">
                  <c:v>10.815485216072783</c:v>
                </c:pt>
                <c:pt idx="11">
                  <c:v>9.5992464463092997</c:v>
                </c:pt>
                <c:pt idx="12">
                  <c:v>8.7766276327884576</c:v>
                </c:pt>
                <c:pt idx="13">
                  <c:v>8.407577694259496</c:v>
                </c:pt>
                <c:pt idx="14">
                  <c:v>7.793565733704277</c:v>
                </c:pt>
                <c:pt idx="15">
                  <c:v>7.8281535648994511</c:v>
                </c:pt>
                <c:pt idx="16">
                  <c:v>7.7479195561719836</c:v>
                </c:pt>
                <c:pt idx="17">
                  <c:v>7.5398001708835372</c:v>
                </c:pt>
                <c:pt idx="18">
                  <c:v>7.7193602544844042</c:v>
                </c:pt>
                <c:pt idx="19">
                  <c:v>7.4276848450262154</c:v>
                </c:pt>
                <c:pt idx="20">
                  <c:v>7.459986339050011</c:v>
                </c:pt>
                <c:pt idx="21">
                  <c:v>7.3533544410513896</c:v>
                </c:pt>
                <c:pt idx="22">
                  <c:v>7.1753594758023747</c:v>
                </c:pt>
                <c:pt idx="23">
                  <c:v>7.3732820230896099</c:v>
                </c:pt>
                <c:pt idx="24">
                  <c:v>7.1239231278992703</c:v>
                </c:pt>
                <c:pt idx="25">
                  <c:v>7.0363230519480515</c:v>
                </c:pt>
                <c:pt idx="26">
                  <c:v>6.8271026772420891</c:v>
                </c:pt>
                <c:pt idx="27">
                  <c:v>6.7205882352941169</c:v>
                </c:pt>
                <c:pt idx="28">
                  <c:v>6.635508271324027</c:v>
                </c:pt>
                <c:pt idx="29">
                  <c:v>5.8250324815937633</c:v>
                </c:pt>
                <c:pt idx="30">
                  <c:v>5.655501766322125</c:v>
                </c:pt>
                <c:pt idx="31">
                  <c:v>5.4586114593568933</c:v>
                </c:pt>
                <c:pt idx="32">
                  <c:v>5.1974503073963714</c:v>
                </c:pt>
                <c:pt idx="33">
                  <c:v>4.9049361778095149</c:v>
                </c:pt>
                <c:pt idx="34">
                  <c:v>4.6941247728649307</c:v>
                </c:pt>
                <c:pt idx="35">
                  <c:v>4.5536403395935166</c:v>
                </c:pt>
                <c:pt idx="36">
                  <c:v>4.4083107497741647</c:v>
                </c:pt>
                <c:pt idx="37">
                  <c:v>3.767544939670032</c:v>
                </c:pt>
                <c:pt idx="38">
                  <c:v>2.4558303886925796</c:v>
                </c:pt>
                <c:pt idx="39">
                  <c:v>0.55850321139346548</c:v>
                </c:pt>
                <c:pt idx="40">
                  <c:v>0</c:v>
                </c:pt>
                <c:pt idx="41">
                  <c:v>0</c:v>
                </c:pt>
                <c:pt idx="42">
                  <c:v>0</c:v>
                </c:pt>
                <c:pt idx="43">
                  <c:v>0</c:v>
                </c:pt>
              </c:numCache>
            </c:numRef>
          </c:val>
          <c:smooth val="0"/>
          <c:extLst/>
        </c:ser>
        <c:ser>
          <c:idx val="5"/>
          <c:order val="1"/>
          <c:tx>
            <c:strRef>
              <c:f>ts_share!$T$2</c:f>
              <c:strCache>
                <c:ptCount val="1"/>
                <c:pt idx="0">
                  <c:v>2015</c:v>
                </c:pt>
              </c:strCache>
            </c:strRef>
          </c:tx>
          <c:spPr>
            <a:ln w="22225">
              <a:solidFill>
                <a:sysClr val="window" lastClr="FFFFFF">
                  <a:lumMod val="50000"/>
                </a:sysClr>
              </a:solidFill>
              <a:prstDash val="solid"/>
            </a:ln>
          </c:spPr>
          <c:marker>
            <c:symbol val="none"/>
          </c:marker>
          <c:cat>
            <c:numRef>
              <c:f>ts_share!$R$3:$R$46</c:f>
              <c:numCache>
                <c:formatCode>General</c:formatCode>
                <c:ptCount val="44"/>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pt idx="32">
                  <c:v>51</c:v>
                </c:pt>
                <c:pt idx="33">
                  <c:v>52</c:v>
                </c:pt>
                <c:pt idx="34">
                  <c:v>53</c:v>
                </c:pt>
                <c:pt idx="35">
                  <c:v>54</c:v>
                </c:pt>
                <c:pt idx="36">
                  <c:v>55</c:v>
                </c:pt>
                <c:pt idx="37">
                  <c:v>56</c:v>
                </c:pt>
                <c:pt idx="38">
                  <c:v>57</c:v>
                </c:pt>
                <c:pt idx="39">
                  <c:v>58</c:v>
                </c:pt>
                <c:pt idx="40">
                  <c:v>59</c:v>
                </c:pt>
                <c:pt idx="41">
                  <c:v>60</c:v>
                </c:pt>
                <c:pt idx="42">
                  <c:v>61</c:v>
                </c:pt>
                <c:pt idx="43">
                  <c:v>62</c:v>
                </c:pt>
              </c:numCache>
            </c:numRef>
          </c:cat>
          <c:val>
            <c:numRef>
              <c:f>ts_share!$T$3:$T$46</c:f>
              <c:numCache>
                <c:formatCode>General</c:formatCode>
                <c:ptCount val="44"/>
                <c:pt idx="0">
                  <c:v>56.25</c:v>
                </c:pt>
                <c:pt idx="1">
                  <c:v>65.67425569176882</c:v>
                </c:pt>
                <c:pt idx="2">
                  <c:v>55.345293683951837</c:v>
                </c:pt>
                <c:pt idx="3">
                  <c:v>39.785470502194052</c:v>
                </c:pt>
                <c:pt idx="4">
                  <c:v>32.167522578360192</c:v>
                </c:pt>
                <c:pt idx="5">
                  <c:v>31.797130058461772</c:v>
                </c:pt>
                <c:pt idx="6">
                  <c:v>30.972906403940886</c:v>
                </c:pt>
                <c:pt idx="7">
                  <c:v>27.270529064706452</c:v>
                </c:pt>
                <c:pt idx="8">
                  <c:v>21.214228589311173</c:v>
                </c:pt>
                <c:pt idx="9">
                  <c:v>21.478083246827179</c:v>
                </c:pt>
                <c:pt idx="10">
                  <c:v>17.625899280575538</c:v>
                </c:pt>
                <c:pt idx="11">
                  <c:v>15.059557572319909</c:v>
                </c:pt>
                <c:pt idx="12">
                  <c:v>13.23676107039077</c:v>
                </c:pt>
                <c:pt idx="13">
                  <c:v>11.78718881576258</c:v>
                </c:pt>
                <c:pt idx="14">
                  <c:v>11.113735214815691</c:v>
                </c:pt>
                <c:pt idx="15">
                  <c:v>10.418763062156513</c:v>
                </c:pt>
                <c:pt idx="16">
                  <c:v>10.366432504271881</c:v>
                </c:pt>
                <c:pt idx="17">
                  <c:v>10.165801980916447</c:v>
                </c:pt>
                <c:pt idx="18">
                  <c:v>9.984450745449557</c:v>
                </c:pt>
                <c:pt idx="19">
                  <c:v>10.00798558879789</c:v>
                </c:pt>
                <c:pt idx="20">
                  <c:v>9.7334616037575685</c:v>
                </c:pt>
                <c:pt idx="21">
                  <c:v>9.7935923546921515</c:v>
                </c:pt>
                <c:pt idx="22">
                  <c:v>9.807176861223347</c:v>
                </c:pt>
                <c:pt idx="23">
                  <c:v>9.5622094908658521</c:v>
                </c:pt>
                <c:pt idx="24">
                  <c:v>9.6897386024004941</c:v>
                </c:pt>
                <c:pt idx="25">
                  <c:v>9.54573357888275</c:v>
                </c:pt>
                <c:pt idx="26">
                  <c:v>9.2594134132467598</c:v>
                </c:pt>
                <c:pt idx="27">
                  <c:v>9.1409855590293283</c:v>
                </c:pt>
                <c:pt idx="28">
                  <c:v>8.7649923200104585</c:v>
                </c:pt>
                <c:pt idx="29">
                  <c:v>8.5878585448159495</c:v>
                </c:pt>
                <c:pt idx="30">
                  <c:v>7.5789176004807528</c:v>
                </c:pt>
                <c:pt idx="31">
                  <c:v>7.343867569601203</c:v>
                </c:pt>
                <c:pt idx="32">
                  <c:v>6.877448458707609</c:v>
                </c:pt>
                <c:pt idx="33">
                  <c:v>6.6699450131878946</c:v>
                </c:pt>
                <c:pt idx="34">
                  <c:v>5.9138632954788948</c:v>
                </c:pt>
                <c:pt idx="35">
                  <c:v>5.6436310216073942</c:v>
                </c:pt>
                <c:pt idx="36">
                  <c:v>5.4567116759332803</c:v>
                </c:pt>
                <c:pt idx="37">
                  <c:v>5.2691090004522847</c:v>
                </c:pt>
                <c:pt idx="38">
                  <c:v>4.1295166588456125</c:v>
                </c:pt>
                <c:pt idx="39">
                  <c:v>2.7365491651205938</c:v>
                </c:pt>
                <c:pt idx="40">
                  <c:v>1.4626635873749037</c:v>
                </c:pt>
                <c:pt idx="41">
                  <c:v>0.14378145219266716</c:v>
                </c:pt>
                <c:pt idx="42">
                  <c:v>0.74812967581047385</c:v>
                </c:pt>
                <c:pt idx="43">
                  <c:v>0.26737967914438499</c:v>
                </c:pt>
              </c:numCache>
            </c:numRef>
          </c:val>
          <c:smooth val="0"/>
          <c:extLst/>
        </c:ser>
        <c:ser>
          <c:idx val="0"/>
          <c:order val="2"/>
          <c:tx>
            <c:strRef>
              <c:f>ts_share!$U$2</c:f>
              <c:strCache>
                <c:ptCount val="1"/>
                <c:pt idx="0">
                  <c:v>2016</c:v>
                </c:pt>
              </c:strCache>
            </c:strRef>
          </c:tx>
          <c:spPr>
            <a:ln w="22225">
              <a:solidFill>
                <a:sysClr val="windowText" lastClr="000000"/>
              </a:solidFill>
              <a:prstDash val="solid"/>
            </a:ln>
          </c:spPr>
          <c:marker>
            <c:symbol val="none"/>
          </c:marker>
          <c:cat>
            <c:numRef>
              <c:f>ts_share!$R$3:$R$46</c:f>
              <c:numCache>
                <c:formatCode>General</c:formatCode>
                <c:ptCount val="44"/>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pt idx="32">
                  <c:v>51</c:v>
                </c:pt>
                <c:pt idx="33">
                  <c:v>52</c:v>
                </c:pt>
                <c:pt idx="34">
                  <c:v>53</c:v>
                </c:pt>
                <c:pt idx="35">
                  <c:v>54</c:v>
                </c:pt>
                <c:pt idx="36">
                  <c:v>55</c:v>
                </c:pt>
                <c:pt idx="37">
                  <c:v>56</c:v>
                </c:pt>
                <c:pt idx="38">
                  <c:v>57</c:v>
                </c:pt>
                <c:pt idx="39">
                  <c:v>58</c:v>
                </c:pt>
                <c:pt idx="40">
                  <c:v>59</c:v>
                </c:pt>
                <c:pt idx="41">
                  <c:v>60</c:v>
                </c:pt>
                <c:pt idx="42">
                  <c:v>61</c:v>
                </c:pt>
                <c:pt idx="43">
                  <c:v>62</c:v>
                </c:pt>
              </c:numCache>
            </c:numRef>
          </c:cat>
          <c:val>
            <c:numRef>
              <c:f>ts_share!$U$3:$U$46</c:f>
              <c:numCache>
                <c:formatCode>General</c:formatCode>
                <c:ptCount val="44"/>
                <c:pt idx="0">
                  <c:v>74.281805745554024</c:v>
                </c:pt>
                <c:pt idx="1">
                  <c:v>80.892042574759245</c:v>
                </c:pt>
                <c:pt idx="2">
                  <c:v>82.646897309170782</c:v>
                </c:pt>
                <c:pt idx="3">
                  <c:v>74.274821813359864</c:v>
                </c:pt>
                <c:pt idx="4">
                  <c:v>59.561377394065694</c:v>
                </c:pt>
                <c:pt idx="5">
                  <c:v>50.511919315403418</c:v>
                </c:pt>
                <c:pt idx="6">
                  <c:v>50.481732945360491</c:v>
                </c:pt>
                <c:pt idx="7">
                  <c:v>48.006509357200976</c:v>
                </c:pt>
                <c:pt idx="8">
                  <c:v>41.950588655012488</c:v>
                </c:pt>
                <c:pt idx="9">
                  <c:v>33.089756423089753</c:v>
                </c:pt>
                <c:pt idx="10">
                  <c:v>33.617901953175526</c:v>
                </c:pt>
                <c:pt idx="11">
                  <c:v>27.679126462877374</c:v>
                </c:pt>
                <c:pt idx="12">
                  <c:v>23.378589227079015</c:v>
                </c:pt>
                <c:pt idx="13">
                  <c:v>20.670403057828167</c:v>
                </c:pt>
                <c:pt idx="14">
                  <c:v>18.563979792651505</c:v>
                </c:pt>
                <c:pt idx="15">
                  <c:v>17.46925528378986</c:v>
                </c:pt>
                <c:pt idx="16">
                  <c:v>16.375204858767955</c:v>
                </c:pt>
                <c:pt idx="17">
                  <c:v>16.092389964538334</c:v>
                </c:pt>
                <c:pt idx="18">
                  <c:v>15.63496665700203</c:v>
                </c:pt>
                <c:pt idx="19">
                  <c:v>15.520930487737971</c:v>
                </c:pt>
                <c:pt idx="20">
                  <c:v>15.084348989298455</c:v>
                </c:pt>
                <c:pt idx="21">
                  <c:v>14.775536391598889</c:v>
                </c:pt>
                <c:pt idx="22">
                  <c:v>14.65966534738822</c:v>
                </c:pt>
                <c:pt idx="23">
                  <c:v>14.509937217579077</c:v>
                </c:pt>
                <c:pt idx="24">
                  <c:v>14.221511602782938</c:v>
                </c:pt>
                <c:pt idx="25">
                  <c:v>14.189814265720996</c:v>
                </c:pt>
                <c:pt idx="26">
                  <c:v>13.879222108495396</c:v>
                </c:pt>
                <c:pt idx="27">
                  <c:v>13.24729392173189</c:v>
                </c:pt>
                <c:pt idx="28">
                  <c:v>13.183998093592683</c:v>
                </c:pt>
                <c:pt idx="29">
                  <c:v>12.54579952891913</c:v>
                </c:pt>
                <c:pt idx="30">
                  <c:v>12.135001896094046</c:v>
                </c:pt>
                <c:pt idx="31">
                  <c:v>10.877876106194691</c:v>
                </c:pt>
                <c:pt idx="32">
                  <c:v>10.624599977410488</c:v>
                </c:pt>
                <c:pt idx="33">
                  <c:v>10.089126559714796</c:v>
                </c:pt>
                <c:pt idx="34">
                  <c:v>9.494633273703041</c:v>
                </c:pt>
                <c:pt idx="35">
                  <c:v>8.6048633850448226</c:v>
                </c:pt>
                <c:pt idx="36">
                  <c:v>8.1713970453012923</c:v>
                </c:pt>
                <c:pt idx="37">
                  <c:v>8.1373172282263191</c:v>
                </c:pt>
                <c:pt idx="38">
                  <c:v>7.4220963172804533</c:v>
                </c:pt>
                <c:pt idx="39">
                  <c:v>6.1910747957259584</c:v>
                </c:pt>
                <c:pt idx="40">
                  <c:v>4.6186144156752977</c:v>
                </c:pt>
                <c:pt idx="41">
                  <c:v>1.7131474103585658</c:v>
                </c:pt>
                <c:pt idx="42">
                  <c:v>0.22831050228310501</c:v>
                </c:pt>
                <c:pt idx="43">
                  <c:v>0.69252077562326864</c:v>
                </c:pt>
              </c:numCache>
            </c:numRef>
          </c:val>
          <c:smooth val="0"/>
          <c:extLst/>
        </c:ser>
        <c:ser>
          <c:idx val="1"/>
          <c:order val="3"/>
          <c:tx>
            <c:strRef>
              <c:f>ts_share!$V$2</c:f>
              <c:strCache>
                <c:ptCount val="1"/>
                <c:pt idx="0">
                  <c:v>2017</c:v>
                </c:pt>
              </c:strCache>
            </c:strRef>
          </c:tx>
          <c:spPr>
            <a:ln w="22225">
              <a:solidFill>
                <a:srgbClr val="2C9ADC"/>
              </a:solidFill>
            </a:ln>
          </c:spPr>
          <c:marker>
            <c:symbol val="none"/>
          </c:marker>
          <c:cat>
            <c:numRef>
              <c:f>ts_share!$R$3:$R$46</c:f>
              <c:numCache>
                <c:formatCode>General</c:formatCode>
                <c:ptCount val="44"/>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pt idx="32">
                  <c:v>51</c:v>
                </c:pt>
                <c:pt idx="33">
                  <c:v>52</c:v>
                </c:pt>
                <c:pt idx="34">
                  <c:v>53</c:v>
                </c:pt>
                <c:pt idx="35">
                  <c:v>54</c:v>
                </c:pt>
                <c:pt idx="36">
                  <c:v>55</c:v>
                </c:pt>
                <c:pt idx="37">
                  <c:v>56</c:v>
                </c:pt>
                <c:pt idx="38">
                  <c:v>57</c:v>
                </c:pt>
                <c:pt idx="39">
                  <c:v>58</c:v>
                </c:pt>
                <c:pt idx="40">
                  <c:v>59</c:v>
                </c:pt>
                <c:pt idx="41">
                  <c:v>60</c:v>
                </c:pt>
                <c:pt idx="42">
                  <c:v>61</c:v>
                </c:pt>
                <c:pt idx="43">
                  <c:v>62</c:v>
                </c:pt>
              </c:numCache>
            </c:numRef>
          </c:cat>
          <c:val>
            <c:numRef>
              <c:f>ts_share!$V$3:$V$46</c:f>
              <c:numCache>
                <c:formatCode>General</c:formatCode>
                <c:ptCount val="44"/>
                <c:pt idx="0">
                  <c:v>84.738527214514406</c:v>
                </c:pt>
                <c:pt idx="1">
                  <c:v>86.419294990723557</c:v>
                </c:pt>
                <c:pt idx="2">
                  <c:v>86.412344620660093</c:v>
                </c:pt>
                <c:pt idx="3">
                  <c:v>87.022305412572138</c:v>
                </c:pt>
                <c:pt idx="4">
                  <c:v>80.447693010507081</c:v>
                </c:pt>
                <c:pt idx="5">
                  <c:v>67.977742205960823</c:v>
                </c:pt>
                <c:pt idx="6">
                  <c:v>60.475959791691899</c:v>
                </c:pt>
                <c:pt idx="7">
                  <c:v>59.984326018808773</c:v>
                </c:pt>
                <c:pt idx="8">
                  <c:v>56.622607110300812</c:v>
                </c:pt>
                <c:pt idx="9">
                  <c:v>49.257111075798505</c:v>
                </c:pt>
                <c:pt idx="10">
                  <c:v>39.436139197320266</c:v>
                </c:pt>
                <c:pt idx="11">
                  <c:v>39.528819623419544</c:v>
                </c:pt>
                <c:pt idx="12">
                  <c:v>32.72694384867826</c:v>
                </c:pt>
                <c:pt idx="13">
                  <c:v>27.846074030631808</c:v>
                </c:pt>
                <c:pt idx="14">
                  <c:v>24.524583289653005</c:v>
                </c:pt>
                <c:pt idx="15">
                  <c:v>22.358022971116906</c:v>
                </c:pt>
                <c:pt idx="16">
                  <c:v>20.707216852827131</c:v>
                </c:pt>
                <c:pt idx="17">
                  <c:v>19.08182027120202</c:v>
                </c:pt>
                <c:pt idx="18">
                  <c:v>18.574852333415109</c:v>
                </c:pt>
                <c:pt idx="19">
                  <c:v>18.02145023833598</c:v>
                </c:pt>
                <c:pt idx="20">
                  <c:v>17.883424408014573</c:v>
                </c:pt>
                <c:pt idx="21">
                  <c:v>17.551368276730958</c:v>
                </c:pt>
                <c:pt idx="22">
                  <c:v>17.139313299881604</c:v>
                </c:pt>
                <c:pt idx="23">
                  <c:v>16.956632105129557</c:v>
                </c:pt>
                <c:pt idx="24">
                  <c:v>16.920440051020407</c:v>
                </c:pt>
                <c:pt idx="25">
                  <c:v>16.598484196021015</c:v>
                </c:pt>
                <c:pt idx="26">
                  <c:v>16.461323811100335</c:v>
                </c:pt>
                <c:pt idx="27">
                  <c:v>16.194331983805668</c:v>
                </c:pt>
                <c:pt idx="28">
                  <c:v>15.351835966684192</c:v>
                </c:pt>
                <c:pt idx="29">
                  <c:v>15.095853767275969</c:v>
                </c:pt>
                <c:pt idx="30">
                  <c:v>14.262857142857143</c:v>
                </c:pt>
                <c:pt idx="31">
                  <c:v>13.654825829547018</c:v>
                </c:pt>
                <c:pt idx="32">
                  <c:v>12.390850920917735</c:v>
                </c:pt>
                <c:pt idx="33">
                  <c:v>12.011582866383364</c:v>
                </c:pt>
                <c:pt idx="34">
                  <c:v>11.276587317305026</c:v>
                </c:pt>
                <c:pt idx="35">
                  <c:v>10.42151422946125</c:v>
                </c:pt>
                <c:pt idx="36">
                  <c:v>9.5107674131357065</c:v>
                </c:pt>
                <c:pt idx="37">
                  <c:v>8.9100399140313176</c:v>
                </c:pt>
                <c:pt idx="38">
                  <c:v>8.6682615629984063</c:v>
                </c:pt>
                <c:pt idx="39">
                  <c:v>7.8179961420628619</c:v>
                </c:pt>
                <c:pt idx="40">
                  <c:v>6.5464895635673619</c:v>
                </c:pt>
                <c:pt idx="41">
                  <c:v>4.9101796407185629</c:v>
                </c:pt>
                <c:pt idx="42">
                  <c:v>1.0477787091366304</c:v>
                </c:pt>
                <c:pt idx="43">
                  <c:v>0.16207455429497569</c:v>
                </c:pt>
              </c:numCache>
            </c:numRef>
          </c:val>
          <c:smooth val="0"/>
          <c:extLst/>
        </c:ser>
        <c:dLbls>
          <c:showLegendKey val="0"/>
          <c:showVal val="0"/>
          <c:showCatName val="0"/>
          <c:showSerName val="0"/>
          <c:showPercent val="0"/>
          <c:showBubbleSize val="0"/>
        </c:dLbls>
        <c:smooth val="0"/>
        <c:axId val="398244432"/>
        <c:axId val="396287640"/>
      </c:lineChart>
      <c:catAx>
        <c:axId val="398244432"/>
        <c:scaling>
          <c:orientation val="minMax"/>
        </c:scaling>
        <c:delete val="0"/>
        <c:axPos val="b"/>
        <c:title>
          <c:tx>
            <c:rich>
              <a:bodyPr/>
              <a:lstStyle/>
              <a:p>
                <a:pPr>
                  <a:defRPr sz="800"/>
                </a:pPr>
                <a:r>
                  <a:rPr lang="sk-SK" sz="800"/>
                  <a:t>Vek</a:t>
                </a:r>
              </a:p>
            </c:rich>
          </c:tx>
          <c:layout>
            <c:manualLayout>
              <c:xMode val="edge"/>
              <c:yMode val="edge"/>
              <c:x val="0.48032361123398903"/>
              <c:y val="0.90824591370523111"/>
            </c:manualLayout>
          </c:layout>
          <c:overlay val="0"/>
        </c:title>
        <c:numFmt formatCode="General" sourceLinked="0"/>
        <c:majorTickMark val="out"/>
        <c:minorTickMark val="none"/>
        <c:tickLblPos val="low"/>
        <c:txPr>
          <a:bodyPr rot="-5400000" vert="horz"/>
          <a:lstStyle/>
          <a:p>
            <a:pPr>
              <a:defRPr sz="800"/>
            </a:pPr>
            <a:endParaRPr lang="en-US"/>
          </a:p>
        </c:txPr>
        <c:crossAx val="396287640"/>
        <c:crosses val="autoZero"/>
        <c:auto val="1"/>
        <c:lblAlgn val="ctr"/>
        <c:lblOffset val="100"/>
        <c:noMultiLvlLbl val="0"/>
      </c:catAx>
      <c:valAx>
        <c:axId val="396287640"/>
        <c:scaling>
          <c:orientation val="minMax"/>
          <c:min val="0"/>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sz="800"/>
            </a:pPr>
            <a:endParaRPr lang="en-US"/>
          </a:p>
        </c:txPr>
        <c:crossAx val="398244432"/>
        <c:crosses val="autoZero"/>
        <c:crossBetween val="between"/>
        <c:majorUnit val="20"/>
      </c:valAx>
      <c:spPr>
        <a:noFill/>
      </c:spPr>
    </c:plotArea>
    <c:legend>
      <c:legendPos val="l"/>
      <c:layout>
        <c:manualLayout>
          <c:xMode val="edge"/>
          <c:yMode val="edge"/>
          <c:x val="0.38531744870181195"/>
          <c:y val="0.11731550997985717"/>
          <c:w val="0.54191060086954768"/>
          <c:h val="0.25149030151718837"/>
        </c:manualLayout>
      </c:layout>
      <c:overlay val="1"/>
      <c:spPr>
        <a:noFill/>
      </c:spPr>
      <c:txPr>
        <a:bodyPr/>
        <a:lstStyle/>
        <a:p>
          <a:pPr>
            <a:defRPr sz="900"/>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Arial Narrow" pitchFamily="34" charset="0"/>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39677893666433"/>
          <c:y val="4.7863781707946515E-2"/>
          <c:w val="0.79204903052039966"/>
          <c:h val="0.78478004817403246"/>
        </c:manualLayout>
      </c:layout>
      <c:scatterChart>
        <c:scatterStyle val="lineMarker"/>
        <c:varyColors val="0"/>
        <c:ser>
          <c:idx val="0"/>
          <c:order val="0"/>
          <c:spPr>
            <a:ln w="28575" cap="rnd">
              <a:noFill/>
              <a:round/>
            </a:ln>
            <a:effectLst/>
          </c:spPr>
          <c:marker>
            <c:symbol val="diamond"/>
            <c:size val="5"/>
            <c:spPr>
              <a:solidFill>
                <a:srgbClr val="2C9ADC"/>
              </a:solidFill>
              <a:ln w="9525">
                <a:solidFill>
                  <a:schemeClr val="tx1"/>
                </a:solidFill>
              </a:ln>
              <a:effectLst/>
            </c:spPr>
          </c:marker>
          <c:dPt>
            <c:idx val="15"/>
            <c:marker>
              <c:symbol val="diamond"/>
              <c:size val="5"/>
              <c:spPr>
                <a:solidFill>
                  <a:srgbClr val="2C9ADC"/>
                </a:solidFill>
                <a:ln w="9525">
                  <a:solidFill>
                    <a:schemeClr val="tx1"/>
                  </a:solidFill>
                </a:ln>
                <a:effectLst/>
              </c:spPr>
            </c:marker>
            <c:bubble3D val="0"/>
          </c:dPt>
          <c:dPt>
            <c:idx val="16"/>
            <c:marker>
              <c:symbol val="diamond"/>
              <c:size val="5"/>
              <c:spPr>
                <a:solidFill>
                  <a:srgbClr val="2C9ADC"/>
                </a:solidFill>
                <a:ln w="9525">
                  <a:solidFill>
                    <a:schemeClr val="tx1"/>
                  </a:solidFill>
                </a:ln>
                <a:effectLst/>
              </c:spPr>
            </c:marker>
            <c:bubble3D val="0"/>
          </c:dPt>
          <c:dPt>
            <c:idx val="17"/>
            <c:marker>
              <c:symbol val="diamond"/>
              <c:size val="5"/>
              <c:spPr>
                <a:solidFill>
                  <a:srgbClr val="FF0000"/>
                </a:solidFill>
                <a:ln w="9525">
                  <a:solidFill>
                    <a:schemeClr val="tx1"/>
                  </a:solidFill>
                </a:ln>
                <a:effectLst/>
              </c:spPr>
            </c:marker>
            <c:bubble3D val="0"/>
          </c:dPt>
          <c:dPt>
            <c:idx val="23"/>
            <c:marker>
              <c:symbol val="diamond"/>
              <c:size val="5"/>
              <c:spPr>
                <a:solidFill>
                  <a:srgbClr val="2C9ADC"/>
                </a:solidFill>
                <a:ln w="9525">
                  <a:solidFill>
                    <a:schemeClr val="tx1"/>
                  </a:solidFill>
                </a:ln>
                <a:effectLst/>
              </c:spPr>
            </c:marker>
            <c:bubble3D val="0"/>
          </c:dPt>
          <c:dPt>
            <c:idx val="55"/>
            <c:marker>
              <c:symbol val="diamond"/>
              <c:size val="5"/>
              <c:spPr>
                <a:solidFill>
                  <a:srgbClr val="2C9ADC"/>
                </a:solidFill>
                <a:ln w="9525">
                  <a:solidFill>
                    <a:schemeClr val="tx1"/>
                  </a:solidFill>
                </a:ln>
                <a:effectLst/>
              </c:spPr>
            </c:marker>
            <c:bubble3D val="0"/>
          </c:dPt>
          <c:dPt>
            <c:idx val="56"/>
            <c:marker>
              <c:symbol val="diamond"/>
              <c:size val="5"/>
              <c:spPr>
                <a:solidFill>
                  <a:srgbClr val="2C9ADC"/>
                </a:solidFill>
                <a:ln w="9525">
                  <a:solidFill>
                    <a:schemeClr val="tx1"/>
                  </a:solidFill>
                </a:ln>
                <a:effectLst/>
              </c:spPr>
            </c:marker>
            <c:bubble3D val="0"/>
          </c:dPt>
          <c:dPt>
            <c:idx val="59"/>
            <c:marker>
              <c:symbol val="diamond"/>
              <c:size val="5"/>
              <c:spPr>
                <a:solidFill>
                  <a:srgbClr val="2C9ADC"/>
                </a:solidFill>
                <a:ln w="9525">
                  <a:solidFill>
                    <a:schemeClr val="tx1"/>
                  </a:solidFill>
                </a:ln>
                <a:effectLst/>
              </c:spPr>
            </c:marker>
            <c:bubble3D val="0"/>
          </c:dPt>
          <c:dPt>
            <c:idx val="60"/>
            <c:marker>
              <c:symbol val="diamond"/>
              <c:size val="5"/>
              <c:spPr>
                <a:solidFill>
                  <a:srgbClr val="FF0000"/>
                </a:solidFill>
                <a:ln w="9525">
                  <a:solidFill>
                    <a:schemeClr val="tx1"/>
                  </a:solidFill>
                </a:ln>
                <a:effectLst/>
              </c:spPr>
            </c:marker>
            <c:bubble3D val="0"/>
          </c:dPt>
          <c:dPt>
            <c:idx val="61"/>
            <c:marker>
              <c:symbol val="diamond"/>
              <c:size val="5"/>
              <c:spPr>
                <a:solidFill>
                  <a:srgbClr val="2C9ADC"/>
                </a:solidFill>
                <a:ln w="9525">
                  <a:solidFill>
                    <a:schemeClr val="tx1"/>
                  </a:solidFill>
                </a:ln>
                <a:effectLst/>
              </c:spPr>
            </c:marker>
            <c:bubble3D val="0"/>
          </c:dPt>
          <c:dPt>
            <c:idx val="70"/>
            <c:marker>
              <c:symbol val="diamond"/>
              <c:size val="5"/>
              <c:spPr>
                <a:solidFill>
                  <a:srgbClr val="2C9ADC"/>
                </a:solidFill>
                <a:ln w="9525">
                  <a:solidFill>
                    <a:schemeClr val="tx1"/>
                  </a:solidFill>
                </a:ln>
                <a:effectLst/>
              </c:spPr>
            </c:marker>
            <c:bubble3D val="0"/>
          </c:dPt>
          <c:dPt>
            <c:idx val="74"/>
            <c:marker>
              <c:symbol val="diamond"/>
              <c:size val="5"/>
              <c:spPr>
                <a:solidFill>
                  <a:srgbClr val="FF0000"/>
                </a:solidFill>
                <a:ln w="9525">
                  <a:solidFill>
                    <a:schemeClr val="tx1"/>
                  </a:solidFill>
                </a:ln>
                <a:effectLst/>
              </c:spPr>
            </c:marker>
            <c:bubble3D val="0"/>
          </c:dPt>
          <c:dPt>
            <c:idx val="76"/>
            <c:marker>
              <c:symbol val="diamond"/>
              <c:size val="5"/>
              <c:spPr>
                <a:solidFill>
                  <a:srgbClr val="2C9ADC"/>
                </a:solidFill>
                <a:ln w="9525">
                  <a:solidFill>
                    <a:schemeClr val="tx1"/>
                  </a:solidFill>
                </a:ln>
                <a:effectLst/>
              </c:spPr>
            </c:marker>
            <c:bubble3D val="0"/>
          </c:dPt>
          <c:dPt>
            <c:idx val="77"/>
            <c:marker>
              <c:symbol val="diamond"/>
              <c:size val="5"/>
              <c:spPr>
                <a:solidFill>
                  <a:srgbClr val="2C9ADC"/>
                </a:solidFill>
                <a:ln w="9525">
                  <a:solidFill>
                    <a:schemeClr val="tx1"/>
                  </a:solidFill>
                </a:ln>
                <a:effectLst/>
              </c:spPr>
            </c:marker>
            <c:bubble3D val="0"/>
          </c:dPt>
          <c:xVal>
            <c:numRef>
              <c:f>('Tabuľky a grafy'!$B$2:$B$23,'Tabuľky a grafy'!$B$26:$B$43,'Tabuľky a grafy'!$B$46:$B$85)</c:f>
              <c:numCache>
                <c:formatCode>0.00</c:formatCode>
                <c:ptCount val="80"/>
                <c:pt idx="0">
                  <c:v>-0.54467313769200698</c:v>
                </c:pt>
                <c:pt idx="1">
                  <c:v>-0.54467313769200698</c:v>
                </c:pt>
                <c:pt idx="2">
                  <c:v>-0.54467313769200698</c:v>
                </c:pt>
                <c:pt idx="3">
                  <c:v>-0.54467313769200698</c:v>
                </c:pt>
                <c:pt idx="4">
                  <c:v>-0.54467313769200698</c:v>
                </c:pt>
                <c:pt idx="5">
                  <c:v>-0.54467313769200698</c:v>
                </c:pt>
                <c:pt idx="6">
                  <c:v>-0.54467313769200698</c:v>
                </c:pt>
                <c:pt idx="7">
                  <c:v>-0.54467313769200698</c:v>
                </c:pt>
                <c:pt idx="8">
                  <c:v>-0.54467313769200698</c:v>
                </c:pt>
                <c:pt idx="9">
                  <c:v>-0.54467313769200698</c:v>
                </c:pt>
                <c:pt idx="10">
                  <c:v>-0.54467313769200698</c:v>
                </c:pt>
                <c:pt idx="11">
                  <c:v>-0.19608995803285015</c:v>
                </c:pt>
                <c:pt idx="12">
                  <c:v>-0.19608995803285015</c:v>
                </c:pt>
                <c:pt idx="13">
                  <c:v>-0.70630121955497593</c:v>
                </c:pt>
                <c:pt idx="14">
                  <c:v>-0.70630121955497593</c:v>
                </c:pt>
                <c:pt idx="15">
                  <c:v>-0.70630121955497593</c:v>
                </c:pt>
                <c:pt idx="16">
                  <c:v>-1.1178533993257116</c:v>
                </c:pt>
                <c:pt idx="17">
                  <c:v>-1.1178533993257116</c:v>
                </c:pt>
                <c:pt idx="18">
                  <c:v>-1.1178533993257116</c:v>
                </c:pt>
                <c:pt idx="19">
                  <c:v>-1.1178533993257116</c:v>
                </c:pt>
                <c:pt idx="20">
                  <c:v>-1.1178533993257116</c:v>
                </c:pt>
                <c:pt idx="21">
                  <c:v>-1.1178533993257116</c:v>
                </c:pt>
                <c:pt idx="22">
                  <c:v>-6.5498872528002267E-2</c:v>
                </c:pt>
                <c:pt idx="23">
                  <c:v>-6.5498872528002267E-2</c:v>
                </c:pt>
                <c:pt idx="24">
                  <c:v>-6.5498872528002267E-2</c:v>
                </c:pt>
                <c:pt idx="25">
                  <c:v>-6.5498872528002267E-2</c:v>
                </c:pt>
                <c:pt idx="26">
                  <c:v>-6.5498872528002267E-2</c:v>
                </c:pt>
                <c:pt idx="27">
                  <c:v>1.2538524444882924</c:v>
                </c:pt>
                <c:pt idx="28">
                  <c:v>1.2538524444882924</c:v>
                </c:pt>
                <c:pt idx="29">
                  <c:v>1.2538524444882924</c:v>
                </c:pt>
                <c:pt idx="30">
                  <c:v>1.2538524444882924</c:v>
                </c:pt>
                <c:pt idx="31">
                  <c:v>1.2538524444882924</c:v>
                </c:pt>
                <c:pt idx="32">
                  <c:v>-0.41673321431035282</c:v>
                </c:pt>
                <c:pt idx="33">
                  <c:v>-0.41673321431035282</c:v>
                </c:pt>
                <c:pt idx="34">
                  <c:v>-0.41673321431035282</c:v>
                </c:pt>
                <c:pt idx="35">
                  <c:v>-0.41673321431035282</c:v>
                </c:pt>
                <c:pt idx="36">
                  <c:v>-0.41673321431035282</c:v>
                </c:pt>
                <c:pt idx="37">
                  <c:v>-0.41673321431035282</c:v>
                </c:pt>
                <c:pt idx="38">
                  <c:v>-0.41673321431035282</c:v>
                </c:pt>
                <c:pt idx="39" formatCode="#,##0.00">
                  <c:v>-0.41673321431035282</c:v>
                </c:pt>
                <c:pt idx="40">
                  <c:v>-0.51696700136791729</c:v>
                </c:pt>
                <c:pt idx="41">
                  <c:v>-0.51696700136791729</c:v>
                </c:pt>
                <c:pt idx="42">
                  <c:v>-0.51696700136791729</c:v>
                </c:pt>
                <c:pt idx="43">
                  <c:v>-0.51696700136791729</c:v>
                </c:pt>
                <c:pt idx="44">
                  <c:v>-0.72329392295455519</c:v>
                </c:pt>
                <c:pt idx="45">
                  <c:v>-0.72329392295455519</c:v>
                </c:pt>
                <c:pt idx="46">
                  <c:v>-0.72329392295455519</c:v>
                </c:pt>
                <c:pt idx="47">
                  <c:v>-0.72329392295455519</c:v>
                </c:pt>
                <c:pt idx="48">
                  <c:v>-0.72329392295455519</c:v>
                </c:pt>
                <c:pt idx="49">
                  <c:v>-0.72329392295455519</c:v>
                </c:pt>
                <c:pt idx="50">
                  <c:v>-0.72329392295455519</c:v>
                </c:pt>
                <c:pt idx="51">
                  <c:v>-0.72329392295455519</c:v>
                </c:pt>
                <c:pt idx="52">
                  <c:v>-0.72329392295455519</c:v>
                </c:pt>
                <c:pt idx="53">
                  <c:v>-0.72329392295455519</c:v>
                </c:pt>
                <c:pt idx="54">
                  <c:v>-0.72329392295455519</c:v>
                </c:pt>
                <c:pt idx="55">
                  <c:v>-0.72329392295455519</c:v>
                </c:pt>
                <c:pt idx="56">
                  <c:v>-0.72329392295455519</c:v>
                </c:pt>
                <c:pt idx="57">
                  <c:v>-0.72329392295455519</c:v>
                </c:pt>
                <c:pt idx="58">
                  <c:v>-0.72329392295455519</c:v>
                </c:pt>
                <c:pt idx="59">
                  <c:v>-0.72329392295455519</c:v>
                </c:pt>
                <c:pt idx="60">
                  <c:v>-0.72329392295455519</c:v>
                </c:pt>
                <c:pt idx="61">
                  <c:v>-0.72329392295455519</c:v>
                </c:pt>
                <c:pt idx="62">
                  <c:v>-0.72329392295455519</c:v>
                </c:pt>
                <c:pt idx="63">
                  <c:v>-0.72329392295455519</c:v>
                </c:pt>
                <c:pt idx="64">
                  <c:v>-0.72329392295455519</c:v>
                </c:pt>
                <c:pt idx="65">
                  <c:v>-0.72329392295455519</c:v>
                </c:pt>
                <c:pt idx="66">
                  <c:v>-0.72329392295455519</c:v>
                </c:pt>
                <c:pt idx="67">
                  <c:v>-0.72329392295455519</c:v>
                </c:pt>
                <c:pt idx="68">
                  <c:v>-0.72329392295455519</c:v>
                </c:pt>
                <c:pt idx="69">
                  <c:v>-1.0277137168517334</c:v>
                </c:pt>
                <c:pt idx="70">
                  <c:v>-1.0277137168517334</c:v>
                </c:pt>
                <c:pt idx="71">
                  <c:v>-1.0277137168517334</c:v>
                </c:pt>
                <c:pt idx="72">
                  <c:v>-1.0277137168517334</c:v>
                </c:pt>
                <c:pt idx="73">
                  <c:v>-1.0277137168517334</c:v>
                </c:pt>
                <c:pt idx="74">
                  <c:v>-1.0277137168517334</c:v>
                </c:pt>
                <c:pt idx="75">
                  <c:v>-1.0277137168517334</c:v>
                </c:pt>
                <c:pt idx="76">
                  <c:v>-0.39428275734240953</c:v>
                </c:pt>
                <c:pt idx="77">
                  <c:v>-0.39428275734240953</c:v>
                </c:pt>
                <c:pt idx="78">
                  <c:v>-0.39428275734240953</c:v>
                </c:pt>
                <c:pt idx="79">
                  <c:v>-0.39428275734240953</c:v>
                </c:pt>
              </c:numCache>
            </c:numRef>
          </c:xVal>
          <c:yVal>
            <c:numRef>
              <c:f>('Tabuľky a grafy'!$D$2:$D$23,'Tabuľky a grafy'!$D$26:$D$43,'Tabuľky a grafy'!$D$46:$D$85)</c:f>
              <c:numCache>
                <c:formatCode>0.00</c:formatCode>
                <c:ptCount val="80"/>
                <c:pt idx="0">
                  <c:v>-1.9549427060368711</c:v>
                </c:pt>
                <c:pt idx="1">
                  <c:v>-2.2524428098733091</c:v>
                </c:pt>
                <c:pt idx="2">
                  <c:v>-0.19376471724869823</c:v>
                </c:pt>
                <c:pt idx="3">
                  <c:v>1.2207338269210313</c:v>
                </c:pt>
                <c:pt idx="4">
                  <c:v>0.28941183643945589</c:v>
                </c:pt>
                <c:pt idx="5">
                  <c:v>-1.3319300518421282</c:v>
                </c:pt>
                <c:pt idx="6">
                  <c:v>-0.28518771387637359</c:v>
                </c:pt>
                <c:pt idx="7">
                  <c:v>0.84753448267844489</c:v>
                </c:pt>
                <c:pt idx="8">
                  <c:v>-0.20228673720963156</c:v>
                </c:pt>
                <c:pt idx="9">
                  <c:v>-0.53552139919885566</c:v>
                </c:pt>
                <c:pt idx="10">
                  <c:v>-1.03849853526725</c:v>
                </c:pt>
                <c:pt idx="11">
                  <c:v>-0.73849451027601765</c:v>
                </c:pt>
                <c:pt idx="12">
                  <c:v>-1.1827484012561691</c:v>
                </c:pt>
                <c:pt idx="13">
                  <c:v>0.43576295262553361</c:v>
                </c:pt>
                <c:pt idx="14">
                  <c:v>-0.55401191389550719</c:v>
                </c:pt>
                <c:pt idx="15">
                  <c:v>-0.75026668159901233</c:v>
                </c:pt>
                <c:pt idx="16">
                  <c:v>-0.75950190736037604</c:v>
                </c:pt>
                <c:pt idx="17">
                  <c:v>-1.112408608186491</c:v>
                </c:pt>
                <c:pt idx="18">
                  <c:v>-1.0246274463532761</c:v>
                </c:pt>
                <c:pt idx="19">
                  <c:v>-0.50928812945530277</c:v>
                </c:pt>
                <c:pt idx="20">
                  <c:v>-0.91517176863967553</c:v>
                </c:pt>
                <c:pt idx="21">
                  <c:v>2.8336453120442844E-2</c:v>
                </c:pt>
                <c:pt idx="22">
                  <c:v>0.11316999854583895</c:v>
                </c:pt>
                <c:pt idx="23">
                  <c:v>-0.68089720378937402</c:v>
                </c:pt>
                <c:pt idx="24">
                  <c:v>0.29440073206469808</c:v>
                </c:pt>
                <c:pt idx="25">
                  <c:v>-0.11520000300930626</c:v>
                </c:pt>
                <c:pt idx="26">
                  <c:v>-1.4699529247067591</c:v>
                </c:pt>
                <c:pt idx="27">
                  <c:v>-0.10028305618770489</c:v>
                </c:pt>
                <c:pt idx="28">
                  <c:v>-0.55588111865296896</c:v>
                </c:pt>
                <c:pt idx="29">
                  <c:v>1.1870135421578347</c:v>
                </c:pt>
                <c:pt idx="30">
                  <c:v>0.10304205907914342</c:v>
                </c:pt>
                <c:pt idx="31">
                  <c:v>0.24515095078956192</c:v>
                </c:pt>
                <c:pt idx="32">
                  <c:v>-1.137651319539196</c:v>
                </c:pt>
                <c:pt idx="33">
                  <c:v>-0.76598562728192376</c:v>
                </c:pt>
                <c:pt idx="34">
                  <c:v>0.62819269676714751</c:v>
                </c:pt>
                <c:pt idx="35">
                  <c:v>-1.0936423829524344</c:v>
                </c:pt>
                <c:pt idx="36">
                  <c:v>-0.29777353277419116</c:v>
                </c:pt>
                <c:pt idx="37">
                  <c:v>0.35744128687792304</c:v>
                </c:pt>
                <c:pt idx="38">
                  <c:v>0.4139597998265529</c:v>
                </c:pt>
                <c:pt idx="39">
                  <c:v>-1.6851478360142365</c:v>
                </c:pt>
                <c:pt idx="40">
                  <c:v>0.97410158798618229</c:v>
                </c:pt>
                <c:pt idx="41">
                  <c:v>-1.1040401428742923</c:v>
                </c:pt>
                <c:pt idx="42">
                  <c:v>-0.72516677776469662</c:v>
                </c:pt>
                <c:pt idx="43">
                  <c:v>-0.76857262500768975</c:v>
                </c:pt>
                <c:pt idx="44">
                  <c:v>-0.1527451939417101</c:v>
                </c:pt>
                <c:pt idx="45" formatCode="#,##0.00">
                  <c:v>-6.1998151197630254E-2</c:v>
                </c:pt>
                <c:pt idx="46" formatCode="#,##0.00">
                  <c:v>0.31858563331838946</c:v>
                </c:pt>
                <c:pt idx="47" formatCode="#,##0.00">
                  <c:v>-0.69537209337686834</c:v>
                </c:pt>
                <c:pt idx="48" formatCode="#,##0.00">
                  <c:v>-0.55518923533632814</c:v>
                </c:pt>
                <c:pt idx="49" formatCode="#,##0.00">
                  <c:v>-0.87016987625667919</c:v>
                </c:pt>
                <c:pt idx="50" formatCode="#,##0.00">
                  <c:v>-0.50464755180464405</c:v>
                </c:pt>
                <c:pt idx="51" formatCode="#,##0.00">
                  <c:v>-0.47122783181567846</c:v>
                </c:pt>
                <c:pt idx="52" formatCode="#,##0.00">
                  <c:v>-0.60968836389046055</c:v>
                </c:pt>
                <c:pt idx="53" formatCode="#,##0.00">
                  <c:v>2.0146905321899022</c:v>
                </c:pt>
                <c:pt idx="54" formatCode="#,##0.00">
                  <c:v>2.8518555617438937</c:v>
                </c:pt>
                <c:pt idx="55" formatCode="#,##0.00">
                  <c:v>1.7905877623923907</c:v>
                </c:pt>
                <c:pt idx="56" formatCode="#,##0.00">
                  <c:v>0.13563507745478084</c:v>
                </c:pt>
                <c:pt idx="57" formatCode="#,##0.00">
                  <c:v>2.2175860321776333</c:v>
                </c:pt>
                <c:pt idx="58" formatCode="#,##0.00">
                  <c:v>0.55916457981932133</c:v>
                </c:pt>
                <c:pt idx="59" formatCode="#,##0.00">
                  <c:v>-0.80380614151522045</c:v>
                </c:pt>
                <c:pt idx="60" formatCode="#,##0.00">
                  <c:v>-2.5175097689614088</c:v>
                </c:pt>
                <c:pt idx="61" formatCode="#,##0.00">
                  <c:v>6.4472079861210188E-2</c:v>
                </c:pt>
                <c:pt idx="62" formatCode="#,##0.00">
                  <c:v>0.16394953041479102</c:v>
                </c:pt>
                <c:pt idx="63" formatCode="#,##0.00">
                  <c:v>-1.5509885398506595</c:v>
                </c:pt>
                <c:pt idx="64" formatCode="#,##0.00">
                  <c:v>0.31962669783029479</c:v>
                </c:pt>
                <c:pt idx="65" formatCode="#,##0.00">
                  <c:v>0.17204449036780137</c:v>
                </c:pt>
                <c:pt idx="66" formatCode="#,##0.00">
                  <c:v>-1.1051435587197454E-2</c:v>
                </c:pt>
                <c:pt idx="67" formatCode="#,##0.00">
                  <c:v>-1.9908098124357467</c:v>
                </c:pt>
                <c:pt idx="68" formatCode="#,##0.00">
                  <c:v>-1.539468914</c:v>
                </c:pt>
                <c:pt idx="69" formatCode="#,##0.00">
                  <c:v>-0.16229226338186489</c:v>
                </c:pt>
                <c:pt idx="70" formatCode="#,##0.00">
                  <c:v>-0.74036142989130749</c:v>
                </c:pt>
                <c:pt idx="71" formatCode="#,##0.00">
                  <c:v>-1.1523328708236755</c:v>
                </c:pt>
                <c:pt idx="72" formatCode="#,##0.00">
                  <c:v>-0.45572193376516329</c:v>
                </c:pt>
                <c:pt idx="73" formatCode="#,##0.00">
                  <c:v>-0.75795126877949548</c:v>
                </c:pt>
                <c:pt idx="74" formatCode="#,##0.00">
                  <c:v>-1.3814690368497387</c:v>
                </c:pt>
                <c:pt idx="75" formatCode="#,##0.00">
                  <c:v>-1.3177210421048215</c:v>
                </c:pt>
                <c:pt idx="76">
                  <c:v>0.2181152659352075</c:v>
                </c:pt>
                <c:pt idx="77" formatCode="#,##0.00">
                  <c:v>1.1244270053804801</c:v>
                </c:pt>
                <c:pt idx="78" formatCode="#,##0.00">
                  <c:v>0.84992078664176707</c:v>
                </c:pt>
                <c:pt idx="79" formatCode="#,##0.00">
                  <c:v>0.79750916034567176</c:v>
                </c:pt>
              </c:numCache>
            </c:numRef>
          </c:yVal>
          <c:smooth val="0"/>
        </c:ser>
        <c:dLbls>
          <c:showLegendKey val="0"/>
          <c:showVal val="0"/>
          <c:showCatName val="0"/>
          <c:showSerName val="0"/>
          <c:showPercent val="0"/>
          <c:showBubbleSize val="0"/>
        </c:dLbls>
        <c:axId val="397485528"/>
        <c:axId val="397482784"/>
      </c:scatterChart>
      <c:valAx>
        <c:axId val="397485528"/>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r>
                  <a:rPr lang="en-US" sz="800"/>
                  <a:t>Sk</a:t>
                </a:r>
                <a:r>
                  <a:rPr lang="sk-SK" sz="800"/>
                  <a:t>óre</a:t>
                </a:r>
                <a:r>
                  <a:rPr lang="sk-SK" sz="800" baseline="0"/>
                  <a:t> výsledkového indikátora</a:t>
                </a:r>
                <a:endParaRPr lang="sk-SK" sz="800"/>
              </a:p>
            </c:rich>
          </c:tx>
          <c:layout>
            <c:manualLayout>
              <c:xMode val="edge"/>
              <c:yMode val="edge"/>
              <c:x val="0.26558499559282839"/>
              <c:y val="0.9326270432828339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0.0" sourceLinked="0"/>
        <c:majorTickMark val="out"/>
        <c:minorTickMark val="none"/>
        <c:tickLblPos val="low"/>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397482784"/>
        <c:crosses val="autoZero"/>
        <c:crossBetween val="midCat"/>
      </c:valAx>
      <c:valAx>
        <c:axId val="397482784"/>
        <c:scaling>
          <c:orientation val="minMax"/>
          <c:max val="3"/>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r>
                  <a:rPr lang="sk-SK" sz="800"/>
                  <a:t>Skóre</a:t>
                </a:r>
                <a:r>
                  <a:rPr lang="sk-SK" sz="800" baseline="0"/>
                  <a:t> doplnkového indikátora</a:t>
                </a:r>
                <a:endParaRPr lang="sk-SK" sz="800"/>
              </a:p>
            </c:rich>
          </c:tx>
          <c:layout>
            <c:manualLayout>
              <c:xMode val="edge"/>
              <c:yMode val="edge"/>
              <c:x val="1.2477890525464422E-2"/>
              <c:y val="0.176839072789776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0.0" sourceLinked="0"/>
        <c:majorTickMark val="out"/>
        <c:minorTickMark val="none"/>
        <c:tickLblPos val="high"/>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39748552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userShapes r:id="rId4"/>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83404026235542"/>
          <c:y val="8.4437714516454654E-2"/>
          <c:w val="0.82435896719439528"/>
          <c:h val="0.7080925995361691"/>
        </c:manualLayout>
      </c:layout>
      <c:barChart>
        <c:barDir val="col"/>
        <c:grouping val="clustered"/>
        <c:varyColors val="0"/>
        <c:ser>
          <c:idx val="0"/>
          <c:order val="2"/>
          <c:tx>
            <c:strRef>
              <c:f>'Final version'!$D$1</c:f>
              <c:strCache>
                <c:ptCount val="1"/>
              </c:strCache>
            </c:strRef>
          </c:tx>
          <c:spPr>
            <a:ln w="19050">
              <a:solidFill>
                <a:srgbClr val="2C9ADC"/>
              </a:solidFill>
              <a:prstDash val="dash"/>
            </a:ln>
          </c:spPr>
          <c:invertIfNegative val="0"/>
          <c:dPt>
            <c:idx val="479"/>
            <c:invertIfNegative val="0"/>
            <c:bubble3D val="0"/>
            <c:spPr>
              <a:ln w="19050">
                <a:solidFill>
                  <a:sysClr val="windowText" lastClr="000000"/>
                </a:solidFill>
                <a:prstDash val="solid"/>
              </a:ln>
            </c:spPr>
          </c:dPt>
          <c:cat>
            <c:numRef>
              <c:f>'Final version'!$A$2:$A$709</c:f>
              <c:numCache>
                <c:formatCode>General</c:formatCode>
                <c:ptCount val="708"/>
                <c:pt idx="0">
                  <c:v>22</c:v>
                </c:pt>
                <c:pt idx="1">
                  <c:v>22</c:v>
                </c:pt>
                <c:pt idx="2">
                  <c:v>22</c:v>
                </c:pt>
                <c:pt idx="3">
                  <c:v>22</c:v>
                </c:pt>
                <c:pt idx="4">
                  <c:v>22</c:v>
                </c:pt>
                <c:pt idx="5">
                  <c:v>22</c:v>
                </c:pt>
                <c:pt idx="6">
                  <c:v>22</c:v>
                </c:pt>
                <c:pt idx="7">
                  <c:v>22</c:v>
                </c:pt>
                <c:pt idx="8">
                  <c:v>22</c:v>
                </c:pt>
                <c:pt idx="9">
                  <c:v>22</c:v>
                </c:pt>
                <c:pt idx="10">
                  <c:v>22</c:v>
                </c:pt>
                <c:pt idx="11">
                  <c:v>22</c:v>
                </c:pt>
                <c:pt idx="12">
                  <c:v>23</c:v>
                </c:pt>
                <c:pt idx="13">
                  <c:v>23</c:v>
                </c:pt>
                <c:pt idx="14">
                  <c:v>23</c:v>
                </c:pt>
                <c:pt idx="15">
                  <c:v>23</c:v>
                </c:pt>
                <c:pt idx="16">
                  <c:v>23</c:v>
                </c:pt>
                <c:pt idx="17">
                  <c:v>23</c:v>
                </c:pt>
                <c:pt idx="18">
                  <c:v>23</c:v>
                </c:pt>
                <c:pt idx="19">
                  <c:v>23</c:v>
                </c:pt>
                <c:pt idx="20">
                  <c:v>23</c:v>
                </c:pt>
                <c:pt idx="21">
                  <c:v>23</c:v>
                </c:pt>
                <c:pt idx="22">
                  <c:v>23</c:v>
                </c:pt>
                <c:pt idx="23">
                  <c:v>23</c:v>
                </c:pt>
                <c:pt idx="24">
                  <c:v>24</c:v>
                </c:pt>
                <c:pt idx="25">
                  <c:v>24</c:v>
                </c:pt>
                <c:pt idx="26">
                  <c:v>24</c:v>
                </c:pt>
                <c:pt idx="27">
                  <c:v>24</c:v>
                </c:pt>
                <c:pt idx="28">
                  <c:v>24</c:v>
                </c:pt>
                <c:pt idx="29">
                  <c:v>24</c:v>
                </c:pt>
                <c:pt idx="30">
                  <c:v>24</c:v>
                </c:pt>
                <c:pt idx="31">
                  <c:v>24</c:v>
                </c:pt>
                <c:pt idx="32">
                  <c:v>24</c:v>
                </c:pt>
                <c:pt idx="33">
                  <c:v>24</c:v>
                </c:pt>
                <c:pt idx="34">
                  <c:v>24</c:v>
                </c:pt>
                <c:pt idx="35">
                  <c:v>24</c:v>
                </c:pt>
                <c:pt idx="36">
                  <c:v>25</c:v>
                </c:pt>
                <c:pt idx="37">
                  <c:v>25</c:v>
                </c:pt>
                <c:pt idx="38">
                  <c:v>25</c:v>
                </c:pt>
                <c:pt idx="39">
                  <c:v>25</c:v>
                </c:pt>
                <c:pt idx="40">
                  <c:v>25</c:v>
                </c:pt>
                <c:pt idx="41">
                  <c:v>25</c:v>
                </c:pt>
                <c:pt idx="42">
                  <c:v>25</c:v>
                </c:pt>
                <c:pt idx="43">
                  <c:v>25</c:v>
                </c:pt>
                <c:pt idx="44">
                  <c:v>25</c:v>
                </c:pt>
                <c:pt idx="45">
                  <c:v>25</c:v>
                </c:pt>
                <c:pt idx="46">
                  <c:v>25</c:v>
                </c:pt>
                <c:pt idx="47">
                  <c:v>25</c:v>
                </c:pt>
                <c:pt idx="48">
                  <c:v>26</c:v>
                </c:pt>
                <c:pt idx="49">
                  <c:v>26</c:v>
                </c:pt>
                <c:pt idx="50">
                  <c:v>26</c:v>
                </c:pt>
                <c:pt idx="51">
                  <c:v>26</c:v>
                </c:pt>
                <c:pt idx="52">
                  <c:v>26</c:v>
                </c:pt>
                <c:pt idx="53">
                  <c:v>26</c:v>
                </c:pt>
                <c:pt idx="54">
                  <c:v>26</c:v>
                </c:pt>
                <c:pt idx="55">
                  <c:v>26</c:v>
                </c:pt>
                <c:pt idx="56">
                  <c:v>26</c:v>
                </c:pt>
                <c:pt idx="57">
                  <c:v>26</c:v>
                </c:pt>
                <c:pt idx="58">
                  <c:v>26</c:v>
                </c:pt>
                <c:pt idx="59">
                  <c:v>26</c:v>
                </c:pt>
                <c:pt idx="60">
                  <c:v>27</c:v>
                </c:pt>
                <c:pt idx="61">
                  <c:v>27</c:v>
                </c:pt>
                <c:pt idx="62">
                  <c:v>27</c:v>
                </c:pt>
                <c:pt idx="63">
                  <c:v>27</c:v>
                </c:pt>
                <c:pt idx="64">
                  <c:v>27</c:v>
                </c:pt>
                <c:pt idx="65">
                  <c:v>27</c:v>
                </c:pt>
                <c:pt idx="66">
                  <c:v>27</c:v>
                </c:pt>
                <c:pt idx="67">
                  <c:v>27</c:v>
                </c:pt>
                <c:pt idx="68">
                  <c:v>27</c:v>
                </c:pt>
                <c:pt idx="69">
                  <c:v>27</c:v>
                </c:pt>
                <c:pt idx="70">
                  <c:v>27</c:v>
                </c:pt>
                <c:pt idx="71">
                  <c:v>27</c:v>
                </c:pt>
                <c:pt idx="72">
                  <c:v>28</c:v>
                </c:pt>
                <c:pt idx="73">
                  <c:v>28</c:v>
                </c:pt>
                <c:pt idx="74">
                  <c:v>28</c:v>
                </c:pt>
                <c:pt idx="75">
                  <c:v>28</c:v>
                </c:pt>
                <c:pt idx="76">
                  <c:v>28</c:v>
                </c:pt>
                <c:pt idx="77">
                  <c:v>28</c:v>
                </c:pt>
                <c:pt idx="78">
                  <c:v>28</c:v>
                </c:pt>
                <c:pt idx="79">
                  <c:v>28</c:v>
                </c:pt>
                <c:pt idx="80">
                  <c:v>28</c:v>
                </c:pt>
                <c:pt idx="81">
                  <c:v>28</c:v>
                </c:pt>
                <c:pt idx="82">
                  <c:v>28</c:v>
                </c:pt>
                <c:pt idx="83">
                  <c:v>28</c:v>
                </c:pt>
                <c:pt idx="84">
                  <c:v>29</c:v>
                </c:pt>
                <c:pt idx="85">
                  <c:v>29</c:v>
                </c:pt>
                <c:pt idx="86">
                  <c:v>29</c:v>
                </c:pt>
                <c:pt idx="87">
                  <c:v>29</c:v>
                </c:pt>
                <c:pt idx="88">
                  <c:v>29</c:v>
                </c:pt>
                <c:pt idx="89">
                  <c:v>29</c:v>
                </c:pt>
                <c:pt idx="90">
                  <c:v>29</c:v>
                </c:pt>
                <c:pt idx="91">
                  <c:v>29</c:v>
                </c:pt>
                <c:pt idx="92">
                  <c:v>29</c:v>
                </c:pt>
                <c:pt idx="93">
                  <c:v>29</c:v>
                </c:pt>
                <c:pt idx="94">
                  <c:v>29</c:v>
                </c:pt>
                <c:pt idx="95">
                  <c:v>29</c:v>
                </c:pt>
                <c:pt idx="96">
                  <c:v>30</c:v>
                </c:pt>
                <c:pt idx="97">
                  <c:v>30</c:v>
                </c:pt>
                <c:pt idx="98">
                  <c:v>30</c:v>
                </c:pt>
                <c:pt idx="99">
                  <c:v>30</c:v>
                </c:pt>
                <c:pt idx="100">
                  <c:v>30</c:v>
                </c:pt>
                <c:pt idx="101">
                  <c:v>30</c:v>
                </c:pt>
                <c:pt idx="102">
                  <c:v>30</c:v>
                </c:pt>
                <c:pt idx="103">
                  <c:v>30</c:v>
                </c:pt>
                <c:pt idx="104">
                  <c:v>30</c:v>
                </c:pt>
                <c:pt idx="105">
                  <c:v>30</c:v>
                </c:pt>
                <c:pt idx="106">
                  <c:v>30</c:v>
                </c:pt>
                <c:pt idx="107">
                  <c:v>30</c:v>
                </c:pt>
                <c:pt idx="108">
                  <c:v>31</c:v>
                </c:pt>
                <c:pt idx="109">
                  <c:v>31</c:v>
                </c:pt>
                <c:pt idx="110">
                  <c:v>31</c:v>
                </c:pt>
                <c:pt idx="111">
                  <c:v>31</c:v>
                </c:pt>
                <c:pt idx="112">
                  <c:v>31</c:v>
                </c:pt>
                <c:pt idx="113">
                  <c:v>31</c:v>
                </c:pt>
                <c:pt idx="114">
                  <c:v>31</c:v>
                </c:pt>
                <c:pt idx="115">
                  <c:v>31</c:v>
                </c:pt>
                <c:pt idx="116">
                  <c:v>31</c:v>
                </c:pt>
                <c:pt idx="117">
                  <c:v>31</c:v>
                </c:pt>
                <c:pt idx="118">
                  <c:v>31</c:v>
                </c:pt>
                <c:pt idx="119">
                  <c:v>31</c:v>
                </c:pt>
                <c:pt idx="120">
                  <c:v>32</c:v>
                </c:pt>
                <c:pt idx="121">
                  <c:v>32</c:v>
                </c:pt>
                <c:pt idx="122">
                  <c:v>32</c:v>
                </c:pt>
                <c:pt idx="123">
                  <c:v>32</c:v>
                </c:pt>
                <c:pt idx="124">
                  <c:v>32</c:v>
                </c:pt>
                <c:pt idx="125">
                  <c:v>32</c:v>
                </c:pt>
                <c:pt idx="126">
                  <c:v>32</c:v>
                </c:pt>
                <c:pt idx="127">
                  <c:v>32</c:v>
                </c:pt>
                <c:pt idx="128">
                  <c:v>32</c:v>
                </c:pt>
                <c:pt idx="129">
                  <c:v>32</c:v>
                </c:pt>
                <c:pt idx="130">
                  <c:v>32</c:v>
                </c:pt>
                <c:pt idx="131">
                  <c:v>32</c:v>
                </c:pt>
                <c:pt idx="132">
                  <c:v>33</c:v>
                </c:pt>
                <c:pt idx="133">
                  <c:v>33</c:v>
                </c:pt>
                <c:pt idx="134">
                  <c:v>33</c:v>
                </c:pt>
                <c:pt idx="135">
                  <c:v>33</c:v>
                </c:pt>
                <c:pt idx="136">
                  <c:v>33</c:v>
                </c:pt>
                <c:pt idx="137">
                  <c:v>33</c:v>
                </c:pt>
                <c:pt idx="138">
                  <c:v>33</c:v>
                </c:pt>
                <c:pt idx="139">
                  <c:v>33</c:v>
                </c:pt>
                <c:pt idx="140">
                  <c:v>33</c:v>
                </c:pt>
                <c:pt idx="141">
                  <c:v>33</c:v>
                </c:pt>
                <c:pt idx="142">
                  <c:v>33</c:v>
                </c:pt>
                <c:pt idx="143">
                  <c:v>33</c:v>
                </c:pt>
                <c:pt idx="144">
                  <c:v>34</c:v>
                </c:pt>
                <c:pt idx="145">
                  <c:v>34</c:v>
                </c:pt>
                <c:pt idx="146">
                  <c:v>34</c:v>
                </c:pt>
                <c:pt idx="147">
                  <c:v>34</c:v>
                </c:pt>
                <c:pt idx="148">
                  <c:v>34</c:v>
                </c:pt>
                <c:pt idx="149">
                  <c:v>34</c:v>
                </c:pt>
                <c:pt idx="150">
                  <c:v>34</c:v>
                </c:pt>
                <c:pt idx="151">
                  <c:v>34</c:v>
                </c:pt>
                <c:pt idx="152">
                  <c:v>34</c:v>
                </c:pt>
                <c:pt idx="153">
                  <c:v>34</c:v>
                </c:pt>
                <c:pt idx="154">
                  <c:v>34</c:v>
                </c:pt>
                <c:pt idx="155">
                  <c:v>34</c:v>
                </c:pt>
                <c:pt idx="156">
                  <c:v>35</c:v>
                </c:pt>
                <c:pt idx="157">
                  <c:v>35</c:v>
                </c:pt>
                <c:pt idx="158">
                  <c:v>35</c:v>
                </c:pt>
                <c:pt idx="159">
                  <c:v>35</c:v>
                </c:pt>
                <c:pt idx="160">
                  <c:v>35</c:v>
                </c:pt>
                <c:pt idx="161">
                  <c:v>35</c:v>
                </c:pt>
                <c:pt idx="162">
                  <c:v>35</c:v>
                </c:pt>
                <c:pt idx="163">
                  <c:v>35</c:v>
                </c:pt>
                <c:pt idx="164">
                  <c:v>35</c:v>
                </c:pt>
                <c:pt idx="165">
                  <c:v>35</c:v>
                </c:pt>
                <c:pt idx="166">
                  <c:v>35</c:v>
                </c:pt>
                <c:pt idx="167">
                  <c:v>35</c:v>
                </c:pt>
                <c:pt idx="168">
                  <c:v>36</c:v>
                </c:pt>
                <c:pt idx="169">
                  <c:v>36</c:v>
                </c:pt>
                <c:pt idx="170">
                  <c:v>36</c:v>
                </c:pt>
                <c:pt idx="171">
                  <c:v>36</c:v>
                </c:pt>
                <c:pt idx="172">
                  <c:v>36</c:v>
                </c:pt>
                <c:pt idx="173">
                  <c:v>36</c:v>
                </c:pt>
                <c:pt idx="174">
                  <c:v>36</c:v>
                </c:pt>
                <c:pt idx="175">
                  <c:v>36</c:v>
                </c:pt>
                <c:pt idx="176">
                  <c:v>36</c:v>
                </c:pt>
                <c:pt idx="177">
                  <c:v>36</c:v>
                </c:pt>
                <c:pt idx="178">
                  <c:v>36</c:v>
                </c:pt>
                <c:pt idx="179">
                  <c:v>36</c:v>
                </c:pt>
                <c:pt idx="180">
                  <c:v>37</c:v>
                </c:pt>
                <c:pt idx="181">
                  <c:v>37</c:v>
                </c:pt>
                <c:pt idx="182">
                  <c:v>37</c:v>
                </c:pt>
                <c:pt idx="183">
                  <c:v>37</c:v>
                </c:pt>
                <c:pt idx="184">
                  <c:v>37</c:v>
                </c:pt>
                <c:pt idx="185">
                  <c:v>37</c:v>
                </c:pt>
                <c:pt idx="186">
                  <c:v>37</c:v>
                </c:pt>
                <c:pt idx="187">
                  <c:v>37</c:v>
                </c:pt>
                <c:pt idx="188">
                  <c:v>37</c:v>
                </c:pt>
                <c:pt idx="189">
                  <c:v>37</c:v>
                </c:pt>
                <c:pt idx="190">
                  <c:v>37</c:v>
                </c:pt>
                <c:pt idx="191">
                  <c:v>37</c:v>
                </c:pt>
                <c:pt idx="192">
                  <c:v>38</c:v>
                </c:pt>
                <c:pt idx="193">
                  <c:v>38</c:v>
                </c:pt>
                <c:pt idx="194">
                  <c:v>38</c:v>
                </c:pt>
                <c:pt idx="195">
                  <c:v>38</c:v>
                </c:pt>
                <c:pt idx="196">
                  <c:v>38</c:v>
                </c:pt>
                <c:pt idx="197">
                  <c:v>38</c:v>
                </c:pt>
                <c:pt idx="198">
                  <c:v>38</c:v>
                </c:pt>
                <c:pt idx="199">
                  <c:v>38</c:v>
                </c:pt>
                <c:pt idx="200">
                  <c:v>38</c:v>
                </c:pt>
                <c:pt idx="201">
                  <c:v>38</c:v>
                </c:pt>
                <c:pt idx="202">
                  <c:v>38</c:v>
                </c:pt>
                <c:pt idx="203">
                  <c:v>38</c:v>
                </c:pt>
                <c:pt idx="204">
                  <c:v>39</c:v>
                </c:pt>
                <c:pt idx="205">
                  <c:v>39</c:v>
                </c:pt>
                <c:pt idx="206">
                  <c:v>39</c:v>
                </c:pt>
                <c:pt idx="207">
                  <c:v>39</c:v>
                </c:pt>
                <c:pt idx="208">
                  <c:v>39</c:v>
                </c:pt>
                <c:pt idx="209">
                  <c:v>39</c:v>
                </c:pt>
                <c:pt idx="210">
                  <c:v>39</c:v>
                </c:pt>
                <c:pt idx="211">
                  <c:v>39</c:v>
                </c:pt>
                <c:pt idx="212">
                  <c:v>39</c:v>
                </c:pt>
                <c:pt idx="213">
                  <c:v>39</c:v>
                </c:pt>
                <c:pt idx="214">
                  <c:v>39</c:v>
                </c:pt>
                <c:pt idx="215">
                  <c:v>39</c:v>
                </c:pt>
                <c:pt idx="216">
                  <c:v>40</c:v>
                </c:pt>
                <c:pt idx="217">
                  <c:v>40</c:v>
                </c:pt>
                <c:pt idx="218">
                  <c:v>40</c:v>
                </c:pt>
                <c:pt idx="219">
                  <c:v>40</c:v>
                </c:pt>
                <c:pt idx="220">
                  <c:v>40</c:v>
                </c:pt>
                <c:pt idx="221">
                  <c:v>40</c:v>
                </c:pt>
                <c:pt idx="222">
                  <c:v>40</c:v>
                </c:pt>
                <c:pt idx="223">
                  <c:v>40</c:v>
                </c:pt>
                <c:pt idx="224">
                  <c:v>40</c:v>
                </c:pt>
                <c:pt idx="225">
                  <c:v>40</c:v>
                </c:pt>
                <c:pt idx="226">
                  <c:v>40</c:v>
                </c:pt>
                <c:pt idx="227">
                  <c:v>40</c:v>
                </c:pt>
                <c:pt idx="228">
                  <c:v>41</c:v>
                </c:pt>
                <c:pt idx="229">
                  <c:v>41</c:v>
                </c:pt>
                <c:pt idx="230">
                  <c:v>41</c:v>
                </c:pt>
                <c:pt idx="231">
                  <c:v>41</c:v>
                </c:pt>
                <c:pt idx="232">
                  <c:v>41</c:v>
                </c:pt>
                <c:pt idx="233">
                  <c:v>41</c:v>
                </c:pt>
                <c:pt idx="234">
                  <c:v>41</c:v>
                </c:pt>
                <c:pt idx="235">
                  <c:v>41</c:v>
                </c:pt>
                <c:pt idx="236">
                  <c:v>41</c:v>
                </c:pt>
                <c:pt idx="237">
                  <c:v>41</c:v>
                </c:pt>
                <c:pt idx="238">
                  <c:v>41</c:v>
                </c:pt>
                <c:pt idx="239">
                  <c:v>41</c:v>
                </c:pt>
                <c:pt idx="240">
                  <c:v>42</c:v>
                </c:pt>
                <c:pt idx="241">
                  <c:v>42</c:v>
                </c:pt>
                <c:pt idx="242">
                  <c:v>42</c:v>
                </c:pt>
                <c:pt idx="243">
                  <c:v>42</c:v>
                </c:pt>
                <c:pt idx="244">
                  <c:v>42</c:v>
                </c:pt>
                <c:pt idx="245">
                  <c:v>42</c:v>
                </c:pt>
                <c:pt idx="246">
                  <c:v>42</c:v>
                </c:pt>
                <c:pt idx="247">
                  <c:v>42</c:v>
                </c:pt>
                <c:pt idx="248">
                  <c:v>42</c:v>
                </c:pt>
                <c:pt idx="249">
                  <c:v>42</c:v>
                </c:pt>
                <c:pt idx="250">
                  <c:v>42</c:v>
                </c:pt>
                <c:pt idx="251">
                  <c:v>42</c:v>
                </c:pt>
                <c:pt idx="252">
                  <c:v>43</c:v>
                </c:pt>
                <c:pt idx="253">
                  <c:v>43</c:v>
                </c:pt>
                <c:pt idx="254">
                  <c:v>43</c:v>
                </c:pt>
                <c:pt idx="255">
                  <c:v>43</c:v>
                </c:pt>
                <c:pt idx="256">
                  <c:v>43</c:v>
                </c:pt>
                <c:pt idx="257">
                  <c:v>43</c:v>
                </c:pt>
                <c:pt idx="258">
                  <c:v>43</c:v>
                </c:pt>
                <c:pt idx="259">
                  <c:v>43</c:v>
                </c:pt>
                <c:pt idx="260">
                  <c:v>43</c:v>
                </c:pt>
                <c:pt idx="261">
                  <c:v>43</c:v>
                </c:pt>
                <c:pt idx="262">
                  <c:v>43</c:v>
                </c:pt>
                <c:pt idx="263">
                  <c:v>43</c:v>
                </c:pt>
                <c:pt idx="264">
                  <c:v>44</c:v>
                </c:pt>
                <c:pt idx="265">
                  <c:v>44</c:v>
                </c:pt>
                <c:pt idx="266">
                  <c:v>44</c:v>
                </c:pt>
                <c:pt idx="267">
                  <c:v>44</c:v>
                </c:pt>
                <c:pt idx="268">
                  <c:v>44</c:v>
                </c:pt>
                <c:pt idx="269">
                  <c:v>44</c:v>
                </c:pt>
                <c:pt idx="270">
                  <c:v>44</c:v>
                </c:pt>
                <c:pt idx="271">
                  <c:v>44</c:v>
                </c:pt>
                <c:pt idx="272">
                  <c:v>44</c:v>
                </c:pt>
                <c:pt idx="273">
                  <c:v>44</c:v>
                </c:pt>
                <c:pt idx="274">
                  <c:v>44</c:v>
                </c:pt>
                <c:pt idx="275">
                  <c:v>44</c:v>
                </c:pt>
                <c:pt idx="276">
                  <c:v>45</c:v>
                </c:pt>
                <c:pt idx="277">
                  <c:v>45</c:v>
                </c:pt>
                <c:pt idx="278">
                  <c:v>45</c:v>
                </c:pt>
                <c:pt idx="279">
                  <c:v>45</c:v>
                </c:pt>
                <c:pt idx="280">
                  <c:v>45</c:v>
                </c:pt>
                <c:pt idx="281">
                  <c:v>45</c:v>
                </c:pt>
                <c:pt idx="282">
                  <c:v>45</c:v>
                </c:pt>
                <c:pt idx="283">
                  <c:v>45</c:v>
                </c:pt>
                <c:pt idx="284">
                  <c:v>45</c:v>
                </c:pt>
                <c:pt idx="285">
                  <c:v>45</c:v>
                </c:pt>
                <c:pt idx="286">
                  <c:v>45</c:v>
                </c:pt>
                <c:pt idx="287">
                  <c:v>45</c:v>
                </c:pt>
                <c:pt idx="288">
                  <c:v>46</c:v>
                </c:pt>
                <c:pt idx="289">
                  <c:v>46</c:v>
                </c:pt>
                <c:pt idx="290">
                  <c:v>46</c:v>
                </c:pt>
                <c:pt idx="291">
                  <c:v>46</c:v>
                </c:pt>
                <c:pt idx="292">
                  <c:v>46</c:v>
                </c:pt>
                <c:pt idx="293">
                  <c:v>46</c:v>
                </c:pt>
                <c:pt idx="294">
                  <c:v>46</c:v>
                </c:pt>
                <c:pt idx="295">
                  <c:v>46</c:v>
                </c:pt>
                <c:pt idx="296">
                  <c:v>46</c:v>
                </c:pt>
                <c:pt idx="297">
                  <c:v>46</c:v>
                </c:pt>
                <c:pt idx="298">
                  <c:v>46</c:v>
                </c:pt>
                <c:pt idx="299">
                  <c:v>46</c:v>
                </c:pt>
                <c:pt idx="300">
                  <c:v>47</c:v>
                </c:pt>
                <c:pt idx="301">
                  <c:v>47</c:v>
                </c:pt>
                <c:pt idx="302">
                  <c:v>47</c:v>
                </c:pt>
                <c:pt idx="303">
                  <c:v>47</c:v>
                </c:pt>
                <c:pt idx="304">
                  <c:v>47</c:v>
                </c:pt>
                <c:pt idx="305">
                  <c:v>47</c:v>
                </c:pt>
                <c:pt idx="306">
                  <c:v>47</c:v>
                </c:pt>
                <c:pt idx="307">
                  <c:v>47</c:v>
                </c:pt>
                <c:pt idx="308">
                  <c:v>47</c:v>
                </c:pt>
                <c:pt idx="309">
                  <c:v>47</c:v>
                </c:pt>
                <c:pt idx="310">
                  <c:v>47</c:v>
                </c:pt>
                <c:pt idx="311">
                  <c:v>47</c:v>
                </c:pt>
                <c:pt idx="312">
                  <c:v>48</c:v>
                </c:pt>
                <c:pt idx="313">
                  <c:v>48</c:v>
                </c:pt>
                <c:pt idx="314">
                  <c:v>48</c:v>
                </c:pt>
                <c:pt idx="315">
                  <c:v>48</c:v>
                </c:pt>
                <c:pt idx="316">
                  <c:v>48</c:v>
                </c:pt>
                <c:pt idx="317">
                  <c:v>48</c:v>
                </c:pt>
                <c:pt idx="318">
                  <c:v>48</c:v>
                </c:pt>
                <c:pt idx="319">
                  <c:v>48</c:v>
                </c:pt>
                <c:pt idx="320">
                  <c:v>48</c:v>
                </c:pt>
                <c:pt idx="321">
                  <c:v>48</c:v>
                </c:pt>
                <c:pt idx="322">
                  <c:v>48</c:v>
                </c:pt>
                <c:pt idx="323">
                  <c:v>48</c:v>
                </c:pt>
                <c:pt idx="324">
                  <c:v>49</c:v>
                </c:pt>
                <c:pt idx="325">
                  <c:v>49</c:v>
                </c:pt>
                <c:pt idx="326">
                  <c:v>49</c:v>
                </c:pt>
                <c:pt idx="327">
                  <c:v>49</c:v>
                </c:pt>
                <c:pt idx="328">
                  <c:v>49</c:v>
                </c:pt>
                <c:pt idx="329">
                  <c:v>49</c:v>
                </c:pt>
                <c:pt idx="330">
                  <c:v>49</c:v>
                </c:pt>
                <c:pt idx="331">
                  <c:v>49</c:v>
                </c:pt>
                <c:pt idx="332">
                  <c:v>49</c:v>
                </c:pt>
                <c:pt idx="333">
                  <c:v>49</c:v>
                </c:pt>
                <c:pt idx="334">
                  <c:v>49</c:v>
                </c:pt>
                <c:pt idx="335">
                  <c:v>49</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51</c:v>
                </c:pt>
                <c:pt idx="349">
                  <c:v>51</c:v>
                </c:pt>
                <c:pt idx="350">
                  <c:v>51</c:v>
                </c:pt>
                <c:pt idx="351">
                  <c:v>51</c:v>
                </c:pt>
                <c:pt idx="352">
                  <c:v>51</c:v>
                </c:pt>
                <c:pt idx="353">
                  <c:v>51</c:v>
                </c:pt>
                <c:pt idx="354">
                  <c:v>51</c:v>
                </c:pt>
                <c:pt idx="355">
                  <c:v>51</c:v>
                </c:pt>
                <c:pt idx="356">
                  <c:v>51</c:v>
                </c:pt>
                <c:pt idx="357">
                  <c:v>51</c:v>
                </c:pt>
                <c:pt idx="358">
                  <c:v>51</c:v>
                </c:pt>
                <c:pt idx="359">
                  <c:v>51</c:v>
                </c:pt>
                <c:pt idx="360">
                  <c:v>52</c:v>
                </c:pt>
                <c:pt idx="361">
                  <c:v>52</c:v>
                </c:pt>
                <c:pt idx="362">
                  <c:v>52</c:v>
                </c:pt>
                <c:pt idx="363">
                  <c:v>52</c:v>
                </c:pt>
                <c:pt idx="364">
                  <c:v>52</c:v>
                </c:pt>
                <c:pt idx="365">
                  <c:v>52</c:v>
                </c:pt>
                <c:pt idx="366">
                  <c:v>52</c:v>
                </c:pt>
                <c:pt idx="367">
                  <c:v>52</c:v>
                </c:pt>
                <c:pt idx="368">
                  <c:v>52</c:v>
                </c:pt>
                <c:pt idx="369">
                  <c:v>52</c:v>
                </c:pt>
                <c:pt idx="370">
                  <c:v>52</c:v>
                </c:pt>
                <c:pt idx="371">
                  <c:v>52</c:v>
                </c:pt>
                <c:pt idx="372">
                  <c:v>53</c:v>
                </c:pt>
                <c:pt idx="373">
                  <c:v>53</c:v>
                </c:pt>
                <c:pt idx="374">
                  <c:v>53</c:v>
                </c:pt>
                <c:pt idx="375">
                  <c:v>53</c:v>
                </c:pt>
                <c:pt idx="376">
                  <c:v>53</c:v>
                </c:pt>
                <c:pt idx="377">
                  <c:v>53</c:v>
                </c:pt>
                <c:pt idx="378">
                  <c:v>53</c:v>
                </c:pt>
                <c:pt idx="379">
                  <c:v>53</c:v>
                </c:pt>
                <c:pt idx="380">
                  <c:v>53</c:v>
                </c:pt>
                <c:pt idx="381">
                  <c:v>53</c:v>
                </c:pt>
                <c:pt idx="382">
                  <c:v>53</c:v>
                </c:pt>
                <c:pt idx="383">
                  <c:v>53</c:v>
                </c:pt>
                <c:pt idx="384">
                  <c:v>54</c:v>
                </c:pt>
                <c:pt idx="385">
                  <c:v>54</c:v>
                </c:pt>
                <c:pt idx="386">
                  <c:v>54</c:v>
                </c:pt>
                <c:pt idx="387">
                  <c:v>54</c:v>
                </c:pt>
                <c:pt idx="388">
                  <c:v>54</c:v>
                </c:pt>
                <c:pt idx="389">
                  <c:v>54</c:v>
                </c:pt>
                <c:pt idx="390">
                  <c:v>54</c:v>
                </c:pt>
                <c:pt idx="391">
                  <c:v>54</c:v>
                </c:pt>
                <c:pt idx="392">
                  <c:v>54</c:v>
                </c:pt>
                <c:pt idx="393">
                  <c:v>54</c:v>
                </c:pt>
                <c:pt idx="394">
                  <c:v>54</c:v>
                </c:pt>
                <c:pt idx="395">
                  <c:v>54</c:v>
                </c:pt>
                <c:pt idx="396">
                  <c:v>55</c:v>
                </c:pt>
                <c:pt idx="397">
                  <c:v>55</c:v>
                </c:pt>
                <c:pt idx="398">
                  <c:v>55</c:v>
                </c:pt>
                <c:pt idx="399">
                  <c:v>55</c:v>
                </c:pt>
                <c:pt idx="400">
                  <c:v>55</c:v>
                </c:pt>
                <c:pt idx="401">
                  <c:v>55</c:v>
                </c:pt>
                <c:pt idx="402">
                  <c:v>55</c:v>
                </c:pt>
                <c:pt idx="403">
                  <c:v>55</c:v>
                </c:pt>
                <c:pt idx="404">
                  <c:v>55</c:v>
                </c:pt>
                <c:pt idx="405">
                  <c:v>55</c:v>
                </c:pt>
                <c:pt idx="406">
                  <c:v>55</c:v>
                </c:pt>
                <c:pt idx="407">
                  <c:v>55</c:v>
                </c:pt>
                <c:pt idx="408">
                  <c:v>56</c:v>
                </c:pt>
                <c:pt idx="409">
                  <c:v>56</c:v>
                </c:pt>
                <c:pt idx="410">
                  <c:v>56</c:v>
                </c:pt>
                <c:pt idx="411">
                  <c:v>56</c:v>
                </c:pt>
                <c:pt idx="412">
                  <c:v>56</c:v>
                </c:pt>
                <c:pt idx="413">
                  <c:v>56</c:v>
                </c:pt>
                <c:pt idx="414">
                  <c:v>56</c:v>
                </c:pt>
                <c:pt idx="415">
                  <c:v>56</c:v>
                </c:pt>
                <c:pt idx="416">
                  <c:v>56</c:v>
                </c:pt>
                <c:pt idx="417">
                  <c:v>56</c:v>
                </c:pt>
                <c:pt idx="418">
                  <c:v>56</c:v>
                </c:pt>
                <c:pt idx="419">
                  <c:v>56</c:v>
                </c:pt>
                <c:pt idx="420">
                  <c:v>57</c:v>
                </c:pt>
                <c:pt idx="421">
                  <c:v>57</c:v>
                </c:pt>
                <c:pt idx="422">
                  <c:v>57</c:v>
                </c:pt>
                <c:pt idx="423">
                  <c:v>57</c:v>
                </c:pt>
                <c:pt idx="424">
                  <c:v>57</c:v>
                </c:pt>
                <c:pt idx="425">
                  <c:v>57</c:v>
                </c:pt>
                <c:pt idx="426">
                  <c:v>57</c:v>
                </c:pt>
                <c:pt idx="427">
                  <c:v>57</c:v>
                </c:pt>
                <c:pt idx="428">
                  <c:v>57</c:v>
                </c:pt>
                <c:pt idx="429">
                  <c:v>57</c:v>
                </c:pt>
                <c:pt idx="430">
                  <c:v>57</c:v>
                </c:pt>
                <c:pt idx="431">
                  <c:v>57</c:v>
                </c:pt>
                <c:pt idx="432">
                  <c:v>58</c:v>
                </c:pt>
                <c:pt idx="433">
                  <c:v>58</c:v>
                </c:pt>
                <c:pt idx="434">
                  <c:v>58</c:v>
                </c:pt>
                <c:pt idx="435">
                  <c:v>58</c:v>
                </c:pt>
                <c:pt idx="436">
                  <c:v>58</c:v>
                </c:pt>
                <c:pt idx="437">
                  <c:v>58</c:v>
                </c:pt>
                <c:pt idx="438">
                  <c:v>58</c:v>
                </c:pt>
                <c:pt idx="439">
                  <c:v>58</c:v>
                </c:pt>
                <c:pt idx="440">
                  <c:v>58</c:v>
                </c:pt>
                <c:pt idx="441">
                  <c:v>58</c:v>
                </c:pt>
                <c:pt idx="442">
                  <c:v>58</c:v>
                </c:pt>
                <c:pt idx="443">
                  <c:v>58</c:v>
                </c:pt>
                <c:pt idx="444">
                  <c:v>59</c:v>
                </c:pt>
                <c:pt idx="445">
                  <c:v>59</c:v>
                </c:pt>
                <c:pt idx="446">
                  <c:v>59</c:v>
                </c:pt>
                <c:pt idx="447">
                  <c:v>59</c:v>
                </c:pt>
                <c:pt idx="448">
                  <c:v>59</c:v>
                </c:pt>
                <c:pt idx="449">
                  <c:v>59</c:v>
                </c:pt>
                <c:pt idx="450">
                  <c:v>59</c:v>
                </c:pt>
                <c:pt idx="451">
                  <c:v>59</c:v>
                </c:pt>
                <c:pt idx="452">
                  <c:v>59</c:v>
                </c:pt>
                <c:pt idx="453">
                  <c:v>59</c:v>
                </c:pt>
                <c:pt idx="454">
                  <c:v>59</c:v>
                </c:pt>
                <c:pt idx="455">
                  <c:v>59</c:v>
                </c:pt>
                <c:pt idx="456">
                  <c:v>60</c:v>
                </c:pt>
                <c:pt idx="457">
                  <c:v>60</c:v>
                </c:pt>
                <c:pt idx="458">
                  <c:v>60</c:v>
                </c:pt>
                <c:pt idx="459">
                  <c:v>60</c:v>
                </c:pt>
                <c:pt idx="460">
                  <c:v>60</c:v>
                </c:pt>
                <c:pt idx="461">
                  <c:v>60</c:v>
                </c:pt>
                <c:pt idx="462">
                  <c:v>60</c:v>
                </c:pt>
                <c:pt idx="463">
                  <c:v>60</c:v>
                </c:pt>
                <c:pt idx="464">
                  <c:v>60</c:v>
                </c:pt>
                <c:pt idx="465">
                  <c:v>60</c:v>
                </c:pt>
                <c:pt idx="466">
                  <c:v>60</c:v>
                </c:pt>
                <c:pt idx="467">
                  <c:v>60</c:v>
                </c:pt>
                <c:pt idx="468">
                  <c:v>61</c:v>
                </c:pt>
                <c:pt idx="469">
                  <c:v>61</c:v>
                </c:pt>
                <c:pt idx="470">
                  <c:v>61</c:v>
                </c:pt>
                <c:pt idx="471">
                  <c:v>61</c:v>
                </c:pt>
                <c:pt idx="472">
                  <c:v>61</c:v>
                </c:pt>
                <c:pt idx="473">
                  <c:v>61</c:v>
                </c:pt>
                <c:pt idx="474">
                  <c:v>61</c:v>
                </c:pt>
                <c:pt idx="475">
                  <c:v>61</c:v>
                </c:pt>
                <c:pt idx="476">
                  <c:v>61</c:v>
                </c:pt>
                <c:pt idx="477">
                  <c:v>61</c:v>
                </c:pt>
                <c:pt idx="478">
                  <c:v>61</c:v>
                </c:pt>
                <c:pt idx="479">
                  <c:v>61</c:v>
                </c:pt>
                <c:pt idx="480">
                  <c:v>62</c:v>
                </c:pt>
                <c:pt idx="481">
                  <c:v>62</c:v>
                </c:pt>
                <c:pt idx="482">
                  <c:v>62</c:v>
                </c:pt>
                <c:pt idx="483">
                  <c:v>62</c:v>
                </c:pt>
                <c:pt idx="484">
                  <c:v>62</c:v>
                </c:pt>
                <c:pt idx="485">
                  <c:v>62</c:v>
                </c:pt>
                <c:pt idx="486">
                  <c:v>62</c:v>
                </c:pt>
                <c:pt idx="487">
                  <c:v>62</c:v>
                </c:pt>
                <c:pt idx="488">
                  <c:v>62</c:v>
                </c:pt>
                <c:pt idx="489">
                  <c:v>62</c:v>
                </c:pt>
                <c:pt idx="490">
                  <c:v>62</c:v>
                </c:pt>
                <c:pt idx="491">
                  <c:v>62</c:v>
                </c:pt>
                <c:pt idx="492">
                  <c:v>63</c:v>
                </c:pt>
                <c:pt idx="493">
                  <c:v>63</c:v>
                </c:pt>
                <c:pt idx="494">
                  <c:v>63</c:v>
                </c:pt>
                <c:pt idx="495">
                  <c:v>63</c:v>
                </c:pt>
                <c:pt idx="496">
                  <c:v>63</c:v>
                </c:pt>
                <c:pt idx="497">
                  <c:v>63</c:v>
                </c:pt>
                <c:pt idx="498">
                  <c:v>63</c:v>
                </c:pt>
                <c:pt idx="499">
                  <c:v>63</c:v>
                </c:pt>
                <c:pt idx="500">
                  <c:v>63</c:v>
                </c:pt>
                <c:pt idx="501">
                  <c:v>63</c:v>
                </c:pt>
                <c:pt idx="502">
                  <c:v>63</c:v>
                </c:pt>
                <c:pt idx="503">
                  <c:v>63</c:v>
                </c:pt>
                <c:pt idx="504">
                  <c:v>64</c:v>
                </c:pt>
                <c:pt idx="505">
                  <c:v>64</c:v>
                </c:pt>
                <c:pt idx="506">
                  <c:v>64</c:v>
                </c:pt>
                <c:pt idx="507">
                  <c:v>64</c:v>
                </c:pt>
                <c:pt idx="508">
                  <c:v>64</c:v>
                </c:pt>
                <c:pt idx="509">
                  <c:v>64</c:v>
                </c:pt>
                <c:pt idx="510">
                  <c:v>64</c:v>
                </c:pt>
                <c:pt idx="511">
                  <c:v>64</c:v>
                </c:pt>
                <c:pt idx="512">
                  <c:v>64</c:v>
                </c:pt>
                <c:pt idx="513">
                  <c:v>64</c:v>
                </c:pt>
                <c:pt idx="514">
                  <c:v>64</c:v>
                </c:pt>
                <c:pt idx="515">
                  <c:v>64</c:v>
                </c:pt>
                <c:pt idx="516">
                  <c:v>65</c:v>
                </c:pt>
                <c:pt idx="517">
                  <c:v>65</c:v>
                </c:pt>
                <c:pt idx="518">
                  <c:v>65</c:v>
                </c:pt>
                <c:pt idx="519">
                  <c:v>65</c:v>
                </c:pt>
                <c:pt idx="520">
                  <c:v>65</c:v>
                </c:pt>
                <c:pt idx="521">
                  <c:v>65</c:v>
                </c:pt>
                <c:pt idx="522">
                  <c:v>65</c:v>
                </c:pt>
                <c:pt idx="523">
                  <c:v>65</c:v>
                </c:pt>
                <c:pt idx="524">
                  <c:v>65</c:v>
                </c:pt>
                <c:pt idx="525">
                  <c:v>65</c:v>
                </c:pt>
                <c:pt idx="526">
                  <c:v>65</c:v>
                </c:pt>
                <c:pt idx="527">
                  <c:v>65</c:v>
                </c:pt>
                <c:pt idx="528">
                  <c:v>66</c:v>
                </c:pt>
                <c:pt idx="529">
                  <c:v>66</c:v>
                </c:pt>
                <c:pt idx="530">
                  <c:v>66</c:v>
                </c:pt>
                <c:pt idx="531">
                  <c:v>66</c:v>
                </c:pt>
                <c:pt idx="532">
                  <c:v>66</c:v>
                </c:pt>
                <c:pt idx="533">
                  <c:v>66</c:v>
                </c:pt>
                <c:pt idx="534">
                  <c:v>66</c:v>
                </c:pt>
                <c:pt idx="535">
                  <c:v>66</c:v>
                </c:pt>
                <c:pt idx="536">
                  <c:v>66</c:v>
                </c:pt>
                <c:pt idx="537">
                  <c:v>66</c:v>
                </c:pt>
                <c:pt idx="538">
                  <c:v>66</c:v>
                </c:pt>
                <c:pt idx="539">
                  <c:v>66</c:v>
                </c:pt>
                <c:pt idx="540">
                  <c:v>67</c:v>
                </c:pt>
                <c:pt idx="541">
                  <c:v>67</c:v>
                </c:pt>
                <c:pt idx="542">
                  <c:v>67</c:v>
                </c:pt>
                <c:pt idx="543">
                  <c:v>67</c:v>
                </c:pt>
                <c:pt idx="544">
                  <c:v>67</c:v>
                </c:pt>
                <c:pt idx="545">
                  <c:v>67</c:v>
                </c:pt>
                <c:pt idx="546">
                  <c:v>67</c:v>
                </c:pt>
                <c:pt idx="547">
                  <c:v>67</c:v>
                </c:pt>
                <c:pt idx="548">
                  <c:v>67</c:v>
                </c:pt>
                <c:pt idx="549">
                  <c:v>67</c:v>
                </c:pt>
                <c:pt idx="550">
                  <c:v>67</c:v>
                </c:pt>
                <c:pt idx="551">
                  <c:v>67</c:v>
                </c:pt>
                <c:pt idx="552">
                  <c:v>68</c:v>
                </c:pt>
                <c:pt idx="553">
                  <c:v>68</c:v>
                </c:pt>
                <c:pt idx="554">
                  <c:v>68</c:v>
                </c:pt>
                <c:pt idx="555">
                  <c:v>68</c:v>
                </c:pt>
                <c:pt idx="556">
                  <c:v>68</c:v>
                </c:pt>
                <c:pt idx="557">
                  <c:v>68</c:v>
                </c:pt>
                <c:pt idx="558">
                  <c:v>68</c:v>
                </c:pt>
                <c:pt idx="559">
                  <c:v>68</c:v>
                </c:pt>
                <c:pt idx="560">
                  <c:v>68</c:v>
                </c:pt>
                <c:pt idx="561">
                  <c:v>68</c:v>
                </c:pt>
                <c:pt idx="562">
                  <c:v>68</c:v>
                </c:pt>
                <c:pt idx="563">
                  <c:v>68</c:v>
                </c:pt>
                <c:pt idx="564">
                  <c:v>69</c:v>
                </c:pt>
                <c:pt idx="565">
                  <c:v>69</c:v>
                </c:pt>
                <c:pt idx="566">
                  <c:v>69</c:v>
                </c:pt>
                <c:pt idx="567">
                  <c:v>69</c:v>
                </c:pt>
                <c:pt idx="568">
                  <c:v>69</c:v>
                </c:pt>
                <c:pt idx="569">
                  <c:v>69</c:v>
                </c:pt>
                <c:pt idx="570">
                  <c:v>69</c:v>
                </c:pt>
                <c:pt idx="571">
                  <c:v>69</c:v>
                </c:pt>
                <c:pt idx="572">
                  <c:v>69</c:v>
                </c:pt>
                <c:pt idx="573">
                  <c:v>69</c:v>
                </c:pt>
                <c:pt idx="574">
                  <c:v>69</c:v>
                </c:pt>
                <c:pt idx="575">
                  <c:v>69</c:v>
                </c:pt>
                <c:pt idx="576">
                  <c:v>70</c:v>
                </c:pt>
                <c:pt idx="577">
                  <c:v>70</c:v>
                </c:pt>
                <c:pt idx="578">
                  <c:v>70</c:v>
                </c:pt>
                <c:pt idx="579">
                  <c:v>70</c:v>
                </c:pt>
                <c:pt idx="580">
                  <c:v>70</c:v>
                </c:pt>
                <c:pt idx="581">
                  <c:v>70</c:v>
                </c:pt>
                <c:pt idx="582">
                  <c:v>70</c:v>
                </c:pt>
                <c:pt idx="583">
                  <c:v>70</c:v>
                </c:pt>
                <c:pt idx="584">
                  <c:v>70</c:v>
                </c:pt>
                <c:pt idx="585">
                  <c:v>70</c:v>
                </c:pt>
                <c:pt idx="586">
                  <c:v>70</c:v>
                </c:pt>
                <c:pt idx="587">
                  <c:v>70</c:v>
                </c:pt>
                <c:pt idx="588">
                  <c:v>71</c:v>
                </c:pt>
                <c:pt idx="589">
                  <c:v>71</c:v>
                </c:pt>
                <c:pt idx="590">
                  <c:v>71</c:v>
                </c:pt>
                <c:pt idx="591">
                  <c:v>71</c:v>
                </c:pt>
                <c:pt idx="592">
                  <c:v>71</c:v>
                </c:pt>
                <c:pt idx="593">
                  <c:v>71</c:v>
                </c:pt>
                <c:pt idx="594">
                  <c:v>71</c:v>
                </c:pt>
                <c:pt idx="595">
                  <c:v>71</c:v>
                </c:pt>
                <c:pt idx="596">
                  <c:v>71</c:v>
                </c:pt>
                <c:pt idx="597">
                  <c:v>71</c:v>
                </c:pt>
                <c:pt idx="598">
                  <c:v>71</c:v>
                </c:pt>
                <c:pt idx="599">
                  <c:v>71</c:v>
                </c:pt>
                <c:pt idx="600">
                  <c:v>72</c:v>
                </c:pt>
                <c:pt idx="601">
                  <c:v>72</c:v>
                </c:pt>
                <c:pt idx="602">
                  <c:v>72</c:v>
                </c:pt>
                <c:pt idx="603">
                  <c:v>72</c:v>
                </c:pt>
                <c:pt idx="604">
                  <c:v>72</c:v>
                </c:pt>
                <c:pt idx="605">
                  <c:v>72</c:v>
                </c:pt>
                <c:pt idx="606">
                  <c:v>72</c:v>
                </c:pt>
                <c:pt idx="607">
                  <c:v>72</c:v>
                </c:pt>
                <c:pt idx="608">
                  <c:v>72</c:v>
                </c:pt>
                <c:pt idx="609">
                  <c:v>72</c:v>
                </c:pt>
                <c:pt idx="610">
                  <c:v>72</c:v>
                </c:pt>
                <c:pt idx="611">
                  <c:v>72</c:v>
                </c:pt>
                <c:pt idx="612">
                  <c:v>73</c:v>
                </c:pt>
                <c:pt idx="613">
                  <c:v>73</c:v>
                </c:pt>
                <c:pt idx="614">
                  <c:v>73</c:v>
                </c:pt>
                <c:pt idx="615">
                  <c:v>73</c:v>
                </c:pt>
                <c:pt idx="616">
                  <c:v>73</c:v>
                </c:pt>
                <c:pt idx="617">
                  <c:v>73</c:v>
                </c:pt>
                <c:pt idx="618">
                  <c:v>73</c:v>
                </c:pt>
                <c:pt idx="619">
                  <c:v>73</c:v>
                </c:pt>
                <c:pt idx="620">
                  <c:v>73</c:v>
                </c:pt>
                <c:pt idx="621">
                  <c:v>73</c:v>
                </c:pt>
                <c:pt idx="622">
                  <c:v>73</c:v>
                </c:pt>
                <c:pt idx="623">
                  <c:v>73</c:v>
                </c:pt>
                <c:pt idx="624">
                  <c:v>74</c:v>
                </c:pt>
                <c:pt idx="625">
                  <c:v>74</c:v>
                </c:pt>
                <c:pt idx="626">
                  <c:v>74</c:v>
                </c:pt>
                <c:pt idx="627">
                  <c:v>74</c:v>
                </c:pt>
                <c:pt idx="628">
                  <c:v>74</c:v>
                </c:pt>
                <c:pt idx="629">
                  <c:v>74</c:v>
                </c:pt>
                <c:pt idx="630">
                  <c:v>74</c:v>
                </c:pt>
                <c:pt idx="631">
                  <c:v>74</c:v>
                </c:pt>
                <c:pt idx="632">
                  <c:v>74</c:v>
                </c:pt>
                <c:pt idx="633">
                  <c:v>74</c:v>
                </c:pt>
                <c:pt idx="634">
                  <c:v>74</c:v>
                </c:pt>
                <c:pt idx="635">
                  <c:v>74</c:v>
                </c:pt>
                <c:pt idx="636">
                  <c:v>75</c:v>
                </c:pt>
                <c:pt idx="637">
                  <c:v>75</c:v>
                </c:pt>
                <c:pt idx="638">
                  <c:v>75</c:v>
                </c:pt>
                <c:pt idx="639">
                  <c:v>75</c:v>
                </c:pt>
                <c:pt idx="640">
                  <c:v>75</c:v>
                </c:pt>
                <c:pt idx="641">
                  <c:v>75</c:v>
                </c:pt>
                <c:pt idx="642">
                  <c:v>75</c:v>
                </c:pt>
                <c:pt idx="643">
                  <c:v>75</c:v>
                </c:pt>
                <c:pt idx="644">
                  <c:v>75</c:v>
                </c:pt>
                <c:pt idx="645">
                  <c:v>75</c:v>
                </c:pt>
                <c:pt idx="646">
                  <c:v>75</c:v>
                </c:pt>
                <c:pt idx="647">
                  <c:v>75</c:v>
                </c:pt>
                <c:pt idx="648">
                  <c:v>76</c:v>
                </c:pt>
                <c:pt idx="649">
                  <c:v>76</c:v>
                </c:pt>
                <c:pt idx="650">
                  <c:v>76</c:v>
                </c:pt>
                <c:pt idx="651">
                  <c:v>76</c:v>
                </c:pt>
                <c:pt idx="652">
                  <c:v>76</c:v>
                </c:pt>
                <c:pt idx="653">
                  <c:v>76</c:v>
                </c:pt>
                <c:pt idx="654">
                  <c:v>76</c:v>
                </c:pt>
                <c:pt idx="655">
                  <c:v>76</c:v>
                </c:pt>
                <c:pt idx="656">
                  <c:v>76</c:v>
                </c:pt>
                <c:pt idx="657">
                  <c:v>76</c:v>
                </c:pt>
                <c:pt idx="658">
                  <c:v>76</c:v>
                </c:pt>
                <c:pt idx="659">
                  <c:v>76</c:v>
                </c:pt>
                <c:pt idx="660">
                  <c:v>77</c:v>
                </c:pt>
                <c:pt idx="661">
                  <c:v>77</c:v>
                </c:pt>
                <c:pt idx="662">
                  <c:v>77</c:v>
                </c:pt>
                <c:pt idx="663">
                  <c:v>77</c:v>
                </c:pt>
                <c:pt idx="664">
                  <c:v>77</c:v>
                </c:pt>
                <c:pt idx="665">
                  <c:v>77</c:v>
                </c:pt>
                <c:pt idx="666">
                  <c:v>77</c:v>
                </c:pt>
                <c:pt idx="667">
                  <c:v>77</c:v>
                </c:pt>
                <c:pt idx="668">
                  <c:v>77</c:v>
                </c:pt>
                <c:pt idx="669">
                  <c:v>77</c:v>
                </c:pt>
                <c:pt idx="670">
                  <c:v>77</c:v>
                </c:pt>
                <c:pt idx="671">
                  <c:v>77</c:v>
                </c:pt>
                <c:pt idx="672">
                  <c:v>78</c:v>
                </c:pt>
                <c:pt idx="673">
                  <c:v>78</c:v>
                </c:pt>
                <c:pt idx="674">
                  <c:v>78</c:v>
                </c:pt>
                <c:pt idx="675">
                  <c:v>78</c:v>
                </c:pt>
                <c:pt idx="676">
                  <c:v>78</c:v>
                </c:pt>
                <c:pt idx="677">
                  <c:v>78</c:v>
                </c:pt>
                <c:pt idx="678">
                  <c:v>78</c:v>
                </c:pt>
                <c:pt idx="679">
                  <c:v>78</c:v>
                </c:pt>
                <c:pt idx="680">
                  <c:v>78</c:v>
                </c:pt>
                <c:pt idx="681">
                  <c:v>78</c:v>
                </c:pt>
                <c:pt idx="682">
                  <c:v>78</c:v>
                </c:pt>
                <c:pt idx="683">
                  <c:v>78</c:v>
                </c:pt>
                <c:pt idx="684">
                  <c:v>79</c:v>
                </c:pt>
                <c:pt idx="685">
                  <c:v>79</c:v>
                </c:pt>
                <c:pt idx="686">
                  <c:v>79</c:v>
                </c:pt>
                <c:pt idx="687">
                  <c:v>79</c:v>
                </c:pt>
                <c:pt idx="688">
                  <c:v>79</c:v>
                </c:pt>
                <c:pt idx="689">
                  <c:v>79</c:v>
                </c:pt>
                <c:pt idx="690">
                  <c:v>79</c:v>
                </c:pt>
                <c:pt idx="691">
                  <c:v>79</c:v>
                </c:pt>
                <c:pt idx="692">
                  <c:v>79</c:v>
                </c:pt>
                <c:pt idx="693">
                  <c:v>79</c:v>
                </c:pt>
                <c:pt idx="694">
                  <c:v>79</c:v>
                </c:pt>
                <c:pt idx="695">
                  <c:v>79</c:v>
                </c:pt>
                <c:pt idx="696">
                  <c:v>80</c:v>
                </c:pt>
                <c:pt idx="697">
                  <c:v>80</c:v>
                </c:pt>
                <c:pt idx="698">
                  <c:v>80</c:v>
                </c:pt>
                <c:pt idx="699">
                  <c:v>80</c:v>
                </c:pt>
                <c:pt idx="700">
                  <c:v>80</c:v>
                </c:pt>
                <c:pt idx="701">
                  <c:v>80</c:v>
                </c:pt>
                <c:pt idx="702">
                  <c:v>80</c:v>
                </c:pt>
                <c:pt idx="703">
                  <c:v>80</c:v>
                </c:pt>
                <c:pt idx="704">
                  <c:v>80</c:v>
                </c:pt>
                <c:pt idx="705">
                  <c:v>80</c:v>
                </c:pt>
                <c:pt idx="706">
                  <c:v>80</c:v>
                </c:pt>
                <c:pt idx="707">
                  <c:v>80</c:v>
                </c:pt>
              </c:numCache>
            </c:numRef>
          </c:cat>
          <c:val>
            <c:numRef>
              <c:f>'Final version'!$D$2:$D$709</c:f>
              <c:numCache>
                <c:formatCode>General</c:formatCode>
                <c:ptCount val="708"/>
                <c:pt idx="479">
                  <c:v>100</c:v>
                </c:pt>
              </c:numCache>
            </c:numRef>
          </c:val>
          <c:extLst/>
        </c:ser>
        <c:ser>
          <c:idx val="1"/>
          <c:order val="3"/>
          <c:tx>
            <c:strRef>
              <c:f>'Final version'!$E$1</c:f>
              <c:strCache>
                <c:ptCount val="1"/>
              </c:strCache>
            </c:strRef>
          </c:tx>
          <c:spPr>
            <a:ln w="22225">
              <a:solidFill>
                <a:srgbClr val="AAD3F2"/>
              </a:solidFill>
            </a:ln>
          </c:spPr>
          <c:invertIfNegative val="0"/>
          <c:cat>
            <c:numRef>
              <c:f>'Final version'!$A$2:$A$709</c:f>
              <c:numCache>
                <c:formatCode>General</c:formatCode>
                <c:ptCount val="708"/>
                <c:pt idx="0">
                  <c:v>22</c:v>
                </c:pt>
                <c:pt idx="1">
                  <c:v>22</c:v>
                </c:pt>
                <c:pt idx="2">
                  <c:v>22</c:v>
                </c:pt>
                <c:pt idx="3">
                  <c:v>22</c:v>
                </c:pt>
                <c:pt idx="4">
                  <c:v>22</c:v>
                </c:pt>
                <c:pt idx="5">
                  <c:v>22</c:v>
                </c:pt>
                <c:pt idx="6">
                  <c:v>22</c:v>
                </c:pt>
                <c:pt idx="7">
                  <c:v>22</c:v>
                </c:pt>
                <c:pt idx="8">
                  <c:v>22</c:v>
                </c:pt>
                <c:pt idx="9">
                  <c:v>22</c:v>
                </c:pt>
                <c:pt idx="10">
                  <c:v>22</c:v>
                </c:pt>
                <c:pt idx="11">
                  <c:v>22</c:v>
                </c:pt>
                <c:pt idx="12">
                  <c:v>23</c:v>
                </c:pt>
                <c:pt idx="13">
                  <c:v>23</c:v>
                </c:pt>
                <c:pt idx="14">
                  <c:v>23</c:v>
                </c:pt>
                <c:pt idx="15">
                  <c:v>23</c:v>
                </c:pt>
                <c:pt idx="16">
                  <c:v>23</c:v>
                </c:pt>
                <c:pt idx="17">
                  <c:v>23</c:v>
                </c:pt>
                <c:pt idx="18">
                  <c:v>23</c:v>
                </c:pt>
                <c:pt idx="19">
                  <c:v>23</c:v>
                </c:pt>
                <c:pt idx="20">
                  <c:v>23</c:v>
                </c:pt>
                <c:pt idx="21">
                  <c:v>23</c:v>
                </c:pt>
                <c:pt idx="22">
                  <c:v>23</c:v>
                </c:pt>
                <c:pt idx="23">
                  <c:v>23</c:v>
                </c:pt>
                <c:pt idx="24">
                  <c:v>24</c:v>
                </c:pt>
                <c:pt idx="25">
                  <c:v>24</c:v>
                </c:pt>
                <c:pt idx="26">
                  <c:v>24</c:v>
                </c:pt>
                <c:pt idx="27">
                  <c:v>24</c:v>
                </c:pt>
                <c:pt idx="28">
                  <c:v>24</c:v>
                </c:pt>
                <c:pt idx="29">
                  <c:v>24</c:v>
                </c:pt>
                <c:pt idx="30">
                  <c:v>24</c:v>
                </c:pt>
                <c:pt idx="31">
                  <c:v>24</c:v>
                </c:pt>
                <c:pt idx="32">
                  <c:v>24</c:v>
                </c:pt>
                <c:pt idx="33">
                  <c:v>24</c:v>
                </c:pt>
                <c:pt idx="34">
                  <c:v>24</c:v>
                </c:pt>
                <c:pt idx="35">
                  <c:v>24</c:v>
                </c:pt>
                <c:pt idx="36">
                  <c:v>25</c:v>
                </c:pt>
                <c:pt idx="37">
                  <c:v>25</c:v>
                </c:pt>
                <c:pt idx="38">
                  <c:v>25</c:v>
                </c:pt>
                <c:pt idx="39">
                  <c:v>25</c:v>
                </c:pt>
                <c:pt idx="40">
                  <c:v>25</c:v>
                </c:pt>
                <c:pt idx="41">
                  <c:v>25</c:v>
                </c:pt>
                <c:pt idx="42">
                  <c:v>25</c:v>
                </c:pt>
                <c:pt idx="43">
                  <c:v>25</c:v>
                </c:pt>
                <c:pt idx="44">
                  <c:v>25</c:v>
                </c:pt>
                <c:pt idx="45">
                  <c:v>25</c:v>
                </c:pt>
                <c:pt idx="46">
                  <c:v>25</c:v>
                </c:pt>
                <c:pt idx="47">
                  <c:v>25</c:v>
                </c:pt>
                <c:pt idx="48">
                  <c:v>26</c:v>
                </c:pt>
                <c:pt idx="49">
                  <c:v>26</c:v>
                </c:pt>
                <c:pt idx="50">
                  <c:v>26</c:v>
                </c:pt>
                <c:pt idx="51">
                  <c:v>26</c:v>
                </c:pt>
                <c:pt idx="52">
                  <c:v>26</c:v>
                </c:pt>
                <c:pt idx="53">
                  <c:v>26</c:v>
                </c:pt>
                <c:pt idx="54">
                  <c:v>26</c:v>
                </c:pt>
                <c:pt idx="55">
                  <c:v>26</c:v>
                </c:pt>
                <c:pt idx="56">
                  <c:v>26</c:v>
                </c:pt>
                <c:pt idx="57">
                  <c:v>26</c:v>
                </c:pt>
                <c:pt idx="58">
                  <c:v>26</c:v>
                </c:pt>
                <c:pt idx="59">
                  <c:v>26</c:v>
                </c:pt>
                <c:pt idx="60">
                  <c:v>27</c:v>
                </c:pt>
                <c:pt idx="61">
                  <c:v>27</c:v>
                </c:pt>
                <c:pt idx="62">
                  <c:v>27</c:v>
                </c:pt>
                <c:pt idx="63">
                  <c:v>27</c:v>
                </c:pt>
                <c:pt idx="64">
                  <c:v>27</c:v>
                </c:pt>
                <c:pt idx="65">
                  <c:v>27</c:v>
                </c:pt>
                <c:pt idx="66">
                  <c:v>27</c:v>
                </c:pt>
                <c:pt idx="67">
                  <c:v>27</c:v>
                </c:pt>
                <c:pt idx="68">
                  <c:v>27</c:v>
                </c:pt>
                <c:pt idx="69">
                  <c:v>27</c:v>
                </c:pt>
                <c:pt idx="70">
                  <c:v>27</c:v>
                </c:pt>
                <c:pt idx="71">
                  <c:v>27</c:v>
                </c:pt>
                <c:pt idx="72">
                  <c:v>28</c:v>
                </c:pt>
                <c:pt idx="73">
                  <c:v>28</c:v>
                </c:pt>
                <c:pt idx="74">
                  <c:v>28</c:v>
                </c:pt>
                <c:pt idx="75">
                  <c:v>28</c:v>
                </c:pt>
                <c:pt idx="76">
                  <c:v>28</c:v>
                </c:pt>
                <c:pt idx="77">
                  <c:v>28</c:v>
                </c:pt>
                <c:pt idx="78">
                  <c:v>28</c:v>
                </c:pt>
                <c:pt idx="79">
                  <c:v>28</c:v>
                </c:pt>
                <c:pt idx="80">
                  <c:v>28</c:v>
                </c:pt>
                <c:pt idx="81">
                  <c:v>28</c:v>
                </c:pt>
                <c:pt idx="82">
                  <c:v>28</c:v>
                </c:pt>
                <c:pt idx="83">
                  <c:v>28</c:v>
                </c:pt>
                <c:pt idx="84">
                  <c:v>29</c:v>
                </c:pt>
                <c:pt idx="85">
                  <c:v>29</c:v>
                </c:pt>
                <c:pt idx="86">
                  <c:v>29</c:v>
                </c:pt>
                <c:pt idx="87">
                  <c:v>29</c:v>
                </c:pt>
                <c:pt idx="88">
                  <c:v>29</c:v>
                </c:pt>
                <c:pt idx="89">
                  <c:v>29</c:v>
                </c:pt>
                <c:pt idx="90">
                  <c:v>29</c:v>
                </c:pt>
                <c:pt idx="91">
                  <c:v>29</c:v>
                </c:pt>
                <c:pt idx="92">
                  <c:v>29</c:v>
                </c:pt>
                <c:pt idx="93">
                  <c:v>29</c:v>
                </c:pt>
                <c:pt idx="94">
                  <c:v>29</c:v>
                </c:pt>
                <c:pt idx="95">
                  <c:v>29</c:v>
                </c:pt>
                <c:pt idx="96">
                  <c:v>30</c:v>
                </c:pt>
                <c:pt idx="97">
                  <c:v>30</c:v>
                </c:pt>
                <c:pt idx="98">
                  <c:v>30</c:v>
                </c:pt>
                <c:pt idx="99">
                  <c:v>30</c:v>
                </c:pt>
                <c:pt idx="100">
                  <c:v>30</c:v>
                </c:pt>
                <c:pt idx="101">
                  <c:v>30</c:v>
                </c:pt>
                <c:pt idx="102">
                  <c:v>30</c:v>
                </c:pt>
                <c:pt idx="103">
                  <c:v>30</c:v>
                </c:pt>
                <c:pt idx="104">
                  <c:v>30</c:v>
                </c:pt>
                <c:pt idx="105">
                  <c:v>30</c:v>
                </c:pt>
                <c:pt idx="106">
                  <c:v>30</c:v>
                </c:pt>
                <c:pt idx="107">
                  <c:v>30</c:v>
                </c:pt>
                <c:pt idx="108">
                  <c:v>31</c:v>
                </c:pt>
                <c:pt idx="109">
                  <c:v>31</c:v>
                </c:pt>
                <c:pt idx="110">
                  <c:v>31</c:v>
                </c:pt>
                <c:pt idx="111">
                  <c:v>31</c:v>
                </c:pt>
                <c:pt idx="112">
                  <c:v>31</c:v>
                </c:pt>
                <c:pt idx="113">
                  <c:v>31</c:v>
                </c:pt>
                <c:pt idx="114">
                  <c:v>31</c:v>
                </c:pt>
                <c:pt idx="115">
                  <c:v>31</c:v>
                </c:pt>
                <c:pt idx="116">
                  <c:v>31</c:v>
                </c:pt>
                <c:pt idx="117">
                  <c:v>31</c:v>
                </c:pt>
                <c:pt idx="118">
                  <c:v>31</c:v>
                </c:pt>
                <c:pt idx="119">
                  <c:v>31</c:v>
                </c:pt>
                <c:pt idx="120">
                  <c:v>32</c:v>
                </c:pt>
                <c:pt idx="121">
                  <c:v>32</c:v>
                </c:pt>
                <c:pt idx="122">
                  <c:v>32</c:v>
                </c:pt>
                <c:pt idx="123">
                  <c:v>32</c:v>
                </c:pt>
                <c:pt idx="124">
                  <c:v>32</c:v>
                </c:pt>
                <c:pt idx="125">
                  <c:v>32</c:v>
                </c:pt>
                <c:pt idx="126">
                  <c:v>32</c:v>
                </c:pt>
                <c:pt idx="127">
                  <c:v>32</c:v>
                </c:pt>
                <c:pt idx="128">
                  <c:v>32</c:v>
                </c:pt>
                <c:pt idx="129">
                  <c:v>32</c:v>
                </c:pt>
                <c:pt idx="130">
                  <c:v>32</c:v>
                </c:pt>
                <c:pt idx="131">
                  <c:v>32</c:v>
                </c:pt>
                <c:pt idx="132">
                  <c:v>33</c:v>
                </c:pt>
                <c:pt idx="133">
                  <c:v>33</c:v>
                </c:pt>
                <c:pt idx="134">
                  <c:v>33</c:v>
                </c:pt>
                <c:pt idx="135">
                  <c:v>33</c:v>
                </c:pt>
                <c:pt idx="136">
                  <c:v>33</c:v>
                </c:pt>
                <c:pt idx="137">
                  <c:v>33</c:v>
                </c:pt>
                <c:pt idx="138">
                  <c:v>33</c:v>
                </c:pt>
                <c:pt idx="139">
                  <c:v>33</c:v>
                </c:pt>
                <c:pt idx="140">
                  <c:v>33</c:v>
                </c:pt>
                <c:pt idx="141">
                  <c:v>33</c:v>
                </c:pt>
                <c:pt idx="142">
                  <c:v>33</c:v>
                </c:pt>
                <c:pt idx="143">
                  <c:v>33</c:v>
                </c:pt>
                <c:pt idx="144">
                  <c:v>34</c:v>
                </c:pt>
                <c:pt idx="145">
                  <c:v>34</c:v>
                </c:pt>
                <c:pt idx="146">
                  <c:v>34</c:v>
                </c:pt>
                <c:pt idx="147">
                  <c:v>34</c:v>
                </c:pt>
                <c:pt idx="148">
                  <c:v>34</c:v>
                </c:pt>
                <c:pt idx="149">
                  <c:v>34</c:v>
                </c:pt>
                <c:pt idx="150">
                  <c:v>34</c:v>
                </c:pt>
                <c:pt idx="151">
                  <c:v>34</c:v>
                </c:pt>
                <c:pt idx="152">
                  <c:v>34</c:v>
                </c:pt>
                <c:pt idx="153">
                  <c:v>34</c:v>
                </c:pt>
                <c:pt idx="154">
                  <c:v>34</c:v>
                </c:pt>
                <c:pt idx="155">
                  <c:v>34</c:v>
                </c:pt>
                <c:pt idx="156">
                  <c:v>35</c:v>
                </c:pt>
                <c:pt idx="157">
                  <c:v>35</c:v>
                </c:pt>
                <c:pt idx="158">
                  <c:v>35</c:v>
                </c:pt>
                <c:pt idx="159">
                  <c:v>35</c:v>
                </c:pt>
                <c:pt idx="160">
                  <c:v>35</c:v>
                </c:pt>
                <c:pt idx="161">
                  <c:v>35</c:v>
                </c:pt>
                <c:pt idx="162">
                  <c:v>35</c:v>
                </c:pt>
                <c:pt idx="163">
                  <c:v>35</c:v>
                </c:pt>
                <c:pt idx="164">
                  <c:v>35</c:v>
                </c:pt>
                <c:pt idx="165">
                  <c:v>35</c:v>
                </c:pt>
                <c:pt idx="166">
                  <c:v>35</c:v>
                </c:pt>
                <c:pt idx="167">
                  <c:v>35</c:v>
                </c:pt>
                <c:pt idx="168">
                  <c:v>36</c:v>
                </c:pt>
                <c:pt idx="169">
                  <c:v>36</c:v>
                </c:pt>
                <c:pt idx="170">
                  <c:v>36</c:v>
                </c:pt>
                <c:pt idx="171">
                  <c:v>36</c:v>
                </c:pt>
                <c:pt idx="172">
                  <c:v>36</c:v>
                </c:pt>
                <c:pt idx="173">
                  <c:v>36</c:v>
                </c:pt>
                <c:pt idx="174">
                  <c:v>36</c:v>
                </c:pt>
                <c:pt idx="175">
                  <c:v>36</c:v>
                </c:pt>
                <c:pt idx="176">
                  <c:v>36</c:v>
                </c:pt>
                <c:pt idx="177">
                  <c:v>36</c:v>
                </c:pt>
                <c:pt idx="178">
                  <c:v>36</c:v>
                </c:pt>
                <c:pt idx="179">
                  <c:v>36</c:v>
                </c:pt>
                <c:pt idx="180">
                  <c:v>37</c:v>
                </c:pt>
                <c:pt idx="181">
                  <c:v>37</c:v>
                </c:pt>
                <c:pt idx="182">
                  <c:v>37</c:v>
                </c:pt>
                <c:pt idx="183">
                  <c:v>37</c:v>
                </c:pt>
                <c:pt idx="184">
                  <c:v>37</c:v>
                </c:pt>
                <c:pt idx="185">
                  <c:v>37</c:v>
                </c:pt>
                <c:pt idx="186">
                  <c:v>37</c:v>
                </c:pt>
                <c:pt idx="187">
                  <c:v>37</c:v>
                </c:pt>
                <c:pt idx="188">
                  <c:v>37</c:v>
                </c:pt>
                <c:pt idx="189">
                  <c:v>37</c:v>
                </c:pt>
                <c:pt idx="190">
                  <c:v>37</c:v>
                </c:pt>
                <c:pt idx="191">
                  <c:v>37</c:v>
                </c:pt>
                <c:pt idx="192">
                  <c:v>38</c:v>
                </c:pt>
                <c:pt idx="193">
                  <c:v>38</c:v>
                </c:pt>
                <c:pt idx="194">
                  <c:v>38</c:v>
                </c:pt>
                <c:pt idx="195">
                  <c:v>38</c:v>
                </c:pt>
                <c:pt idx="196">
                  <c:v>38</c:v>
                </c:pt>
                <c:pt idx="197">
                  <c:v>38</c:v>
                </c:pt>
                <c:pt idx="198">
                  <c:v>38</c:v>
                </c:pt>
                <c:pt idx="199">
                  <c:v>38</c:v>
                </c:pt>
                <c:pt idx="200">
                  <c:v>38</c:v>
                </c:pt>
                <c:pt idx="201">
                  <c:v>38</c:v>
                </c:pt>
                <c:pt idx="202">
                  <c:v>38</c:v>
                </c:pt>
                <c:pt idx="203">
                  <c:v>38</c:v>
                </c:pt>
                <c:pt idx="204">
                  <c:v>39</c:v>
                </c:pt>
                <c:pt idx="205">
                  <c:v>39</c:v>
                </c:pt>
                <c:pt idx="206">
                  <c:v>39</c:v>
                </c:pt>
                <c:pt idx="207">
                  <c:v>39</c:v>
                </c:pt>
                <c:pt idx="208">
                  <c:v>39</c:v>
                </c:pt>
                <c:pt idx="209">
                  <c:v>39</c:v>
                </c:pt>
                <c:pt idx="210">
                  <c:v>39</c:v>
                </c:pt>
                <c:pt idx="211">
                  <c:v>39</c:v>
                </c:pt>
                <c:pt idx="212">
                  <c:v>39</c:v>
                </c:pt>
                <c:pt idx="213">
                  <c:v>39</c:v>
                </c:pt>
                <c:pt idx="214">
                  <c:v>39</c:v>
                </c:pt>
                <c:pt idx="215">
                  <c:v>39</c:v>
                </c:pt>
                <c:pt idx="216">
                  <c:v>40</c:v>
                </c:pt>
                <c:pt idx="217">
                  <c:v>40</c:v>
                </c:pt>
                <c:pt idx="218">
                  <c:v>40</c:v>
                </c:pt>
                <c:pt idx="219">
                  <c:v>40</c:v>
                </c:pt>
                <c:pt idx="220">
                  <c:v>40</c:v>
                </c:pt>
                <c:pt idx="221">
                  <c:v>40</c:v>
                </c:pt>
                <c:pt idx="222">
                  <c:v>40</c:v>
                </c:pt>
                <c:pt idx="223">
                  <c:v>40</c:v>
                </c:pt>
                <c:pt idx="224">
                  <c:v>40</c:v>
                </c:pt>
                <c:pt idx="225">
                  <c:v>40</c:v>
                </c:pt>
                <c:pt idx="226">
                  <c:v>40</c:v>
                </c:pt>
                <c:pt idx="227">
                  <c:v>40</c:v>
                </c:pt>
                <c:pt idx="228">
                  <c:v>41</c:v>
                </c:pt>
                <c:pt idx="229">
                  <c:v>41</c:v>
                </c:pt>
                <c:pt idx="230">
                  <c:v>41</c:v>
                </c:pt>
                <c:pt idx="231">
                  <c:v>41</c:v>
                </c:pt>
                <c:pt idx="232">
                  <c:v>41</c:v>
                </c:pt>
                <c:pt idx="233">
                  <c:v>41</c:v>
                </c:pt>
                <c:pt idx="234">
                  <c:v>41</c:v>
                </c:pt>
                <c:pt idx="235">
                  <c:v>41</c:v>
                </c:pt>
                <c:pt idx="236">
                  <c:v>41</c:v>
                </c:pt>
                <c:pt idx="237">
                  <c:v>41</c:v>
                </c:pt>
                <c:pt idx="238">
                  <c:v>41</c:v>
                </c:pt>
                <c:pt idx="239">
                  <c:v>41</c:v>
                </c:pt>
                <c:pt idx="240">
                  <c:v>42</c:v>
                </c:pt>
                <c:pt idx="241">
                  <c:v>42</c:v>
                </c:pt>
                <c:pt idx="242">
                  <c:v>42</c:v>
                </c:pt>
                <c:pt idx="243">
                  <c:v>42</c:v>
                </c:pt>
                <c:pt idx="244">
                  <c:v>42</c:v>
                </c:pt>
                <c:pt idx="245">
                  <c:v>42</c:v>
                </c:pt>
                <c:pt idx="246">
                  <c:v>42</c:v>
                </c:pt>
                <c:pt idx="247">
                  <c:v>42</c:v>
                </c:pt>
                <c:pt idx="248">
                  <c:v>42</c:v>
                </c:pt>
                <c:pt idx="249">
                  <c:v>42</c:v>
                </c:pt>
                <c:pt idx="250">
                  <c:v>42</c:v>
                </c:pt>
                <c:pt idx="251">
                  <c:v>42</c:v>
                </c:pt>
                <c:pt idx="252">
                  <c:v>43</c:v>
                </c:pt>
                <c:pt idx="253">
                  <c:v>43</c:v>
                </c:pt>
                <c:pt idx="254">
                  <c:v>43</c:v>
                </c:pt>
                <c:pt idx="255">
                  <c:v>43</c:v>
                </c:pt>
                <c:pt idx="256">
                  <c:v>43</c:v>
                </c:pt>
                <c:pt idx="257">
                  <c:v>43</c:v>
                </c:pt>
                <c:pt idx="258">
                  <c:v>43</c:v>
                </c:pt>
                <c:pt idx="259">
                  <c:v>43</c:v>
                </c:pt>
                <c:pt idx="260">
                  <c:v>43</c:v>
                </c:pt>
                <c:pt idx="261">
                  <c:v>43</c:v>
                </c:pt>
                <c:pt idx="262">
                  <c:v>43</c:v>
                </c:pt>
                <c:pt idx="263">
                  <c:v>43</c:v>
                </c:pt>
                <c:pt idx="264">
                  <c:v>44</c:v>
                </c:pt>
                <c:pt idx="265">
                  <c:v>44</c:v>
                </c:pt>
                <c:pt idx="266">
                  <c:v>44</c:v>
                </c:pt>
                <c:pt idx="267">
                  <c:v>44</c:v>
                </c:pt>
                <c:pt idx="268">
                  <c:v>44</c:v>
                </c:pt>
                <c:pt idx="269">
                  <c:v>44</c:v>
                </c:pt>
                <c:pt idx="270">
                  <c:v>44</c:v>
                </c:pt>
                <c:pt idx="271">
                  <c:v>44</c:v>
                </c:pt>
                <c:pt idx="272">
                  <c:v>44</c:v>
                </c:pt>
                <c:pt idx="273">
                  <c:v>44</c:v>
                </c:pt>
                <c:pt idx="274">
                  <c:v>44</c:v>
                </c:pt>
                <c:pt idx="275">
                  <c:v>44</c:v>
                </c:pt>
                <c:pt idx="276">
                  <c:v>45</c:v>
                </c:pt>
                <c:pt idx="277">
                  <c:v>45</c:v>
                </c:pt>
                <c:pt idx="278">
                  <c:v>45</c:v>
                </c:pt>
                <c:pt idx="279">
                  <c:v>45</c:v>
                </c:pt>
                <c:pt idx="280">
                  <c:v>45</c:v>
                </c:pt>
                <c:pt idx="281">
                  <c:v>45</c:v>
                </c:pt>
                <c:pt idx="282">
                  <c:v>45</c:v>
                </c:pt>
                <c:pt idx="283">
                  <c:v>45</c:v>
                </c:pt>
                <c:pt idx="284">
                  <c:v>45</c:v>
                </c:pt>
                <c:pt idx="285">
                  <c:v>45</c:v>
                </c:pt>
                <c:pt idx="286">
                  <c:v>45</c:v>
                </c:pt>
                <c:pt idx="287">
                  <c:v>45</c:v>
                </c:pt>
                <c:pt idx="288">
                  <c:v>46</c:v>
                </c:pt>
                <c:pt idx="289">
                  <c:v>46</c:v>
                </c:pt>
                <c:pt idx="290">
                  <c:v>46</c:v>
                </c:pt>
                <c:pt idx="291">
                  <c:v>46</c:v>
                </c:pt>
                <c:pt idx="292">
                  <c:v>46</c:v>
                </c:pt>
                <c:pt idx="293">
                  <c:v>46</c:v>
                </c:pt>
                <c:pt idx="294">
                  <c:v>46</c:v>
                </c:pt>
                <c:pt idx="295">
                  <c:v>46</c:v>
                </c:pt>
                <c:pt idx="296">
                  <c:v>46</c:v>
                </c:pt>
                <c:pt idx="297">
                  <c:v>46</c:v>
                </c:pt>
                <c:pt idx="298">
                  <c:v>46</c:v>
                </c:pt>
                <c:pt idx="299">
                  <c:v>46</c:v>
                </c:pt>
                <c:pt idx="300">
                  <c:v>47</c:v>
                </c:pt>
                <c:pt idx="301">
                  <c:v>47</c:v>
                </c:pt>
                <c:pt idx="302">
                  <c:v>47</c:v>
                </c:pt>
                <c:pt idx="303">
                  <c:v>47</c:v>
                </c:pt>
                <c:pt idx="304">
                  <c:v>47</c:v>
                </c:pt>
                <c:pt idx="305">
                  <c:v>47</c:v>
                </c:pt>
                <c:pt idx="306">
                  <c:v>47</c:v>
                </c:pt>
                <c:pt idx="307">
                  <c:v>47</c:v>
                </c:pt>
                <c:pt idx="308">
                  <c:v>47</c:v>
                </c:pt>
                <c:pt idx="309">
                  <c:v>47</c:v>
                </c:pt>
                <c:pt idx="310">
                  <c:v>47</c:v>
                </c:pt>
                <c:pt idx="311">
                  <c:v>47</c:v>
                </c:pt>
                <c:pt idx="312">
                  <c:v>48</c:v>
                </c:pt>
                <c:pt idx="313">
                  <c:v>48</c:v>
                </c:pt>
                <c:pt idx="314">
                  <c:v>48</c:v>
                </c:pt>
                <c:pt idx="315">
                  <c:v>48</c:v>
                </c:pt>
                <c:pt idx="316">
                  <c:v>48</c:v>
                </c:pt>
                <c:pt idx="317">
                  <c:v>48</c:v>
                </c:pt>
                <c:pt idx="318">
                  <c:v>48</c:v>
                </c:pt>
                <c:pt idx="319">
                  <c:v>48</c:v>
                </c:pt>
                <c:pt idx="320">
                  <c:v>48</c:v>
                </c:pt>
                <c:pt idx="321">
                  <c:v>48</c:v>
                </c:pt>
                <c:pt idx="322">
                  <c:v>48</c:v>
                </c:pt>
                <c:pt idx="323">
                  <c:v>48</c:v>
                </c:pt>
                <c:pt idx="324">
                  <c:v>49</c:v>
                </c:pt>
                <c:pt idx="325">
                  <c:v>49</c:v>
                </c:pt>
                <c:pt idx="326">
                  <c:v>49</c:v>
                </c:pt>
                <c:pt idx="327">
                  <c:v>49</c:v>
                </c:pt>
                <c:pt idx="328">
                  <c:v>49</c:v>
                </c:pt>
                <c:pt idx="329">
                  <c:v>49</c:v>
                </c:pt>
                <c:pt idx="330">
                  <c:v>49</c:v>
                </c:pt>
                <c:pt idx="331">
                  <c:v>49</c:v>
                </c:pt>
                <c:pt idx="332">
                  <c:v>49</c:v>
                </c:pt>
                <c:pt idx="333">
                  <c:v>49</c:v>
                </c:pt>
                <c:pt idx="334">
                  <c:v>49</c:v>
                </c:pt>
                <c:pt idx="335">
                  <c:v>49</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51</c:v>
                </c:pt>
                <c:pt idx="349">
                  <c:v>51</c:v>
                </c:pt>
                <c:pt idx="350">
                  <c:v>51</c:v>
                </c:pt>
                <c:pt idx="351">
                  <c:v>51</c:v>
                </c:pt>
                <c:pt idx="352">
                  <c:v>51</c:v>
                </c:pt>
                <c:pt idx="353">
                  <c:v>51</c:v>
                </c:pt>
                <c:pt idx="354">
                  <c:v>51</c:v>
                </c:pt>
                <c:pt idx="355">
                  <c:v>51</c:v>
                </c:pt>
                <c:pt idx="356">
                  <c:v>51</c:v>
                </c:pt>
                <c:pt idx="357">
                  <c:v>51</c:v>
                </c:pt>
                <c:pt idx="358">
                  <c:v>51</c:v>
                </c:pt>
                <c:pt idx="359">
                  <c:v>51</c:v>
                </c:pt>
                <c:pt idx="360">
                  <c:v>52</c:v>
                </c:pt>
                <c:pt idx="361">
                  <c:v>52</c:v>
                </c:pt>
                <c:pt idx="362">
                  <c:v>52</c:v>
                </c:pt>
                <c:pt idx="363">
                  <c:v>52</c:v>
                </c:pt>
                <c:pt idx="364">
                  <c:v>52</c:v>
                </c:pt>
                <c:pt idx="365">
                  <c:v>52</c:v>
                </c:pt>
                <c:pt idx="366">
                  <c:v>52</c:v>
                </c:pt>
                <c:pt idx="367">
                  <c:v>52</c:v>
                </c:pt>
                <c:pt idx="368">
                  <c:v>52</c:v>
                </c:pt>
                <c:pt idx="369">
                  <c:v>52</c:v>
                </c:pt>
                <c:pt idx="370">
                  <c:v>52</c:v>
                </c:pt>
                <c:pt idx="371">
                  <c:v>52</c:v>
                </c:pt>
                <c:pt idx="372">
                  <c:v>53</c:v>
                </c:pt>
                <c:pt idx="373">
                  <c:v>53</c:v>
                </c:pt>
                <c:pt idx="374">
                  <c:v>53</c:v>
                </c:pt>
                <c:pt idx="375">
                  <c:v>53</c:v>
                </c:pt>
                <c:pt idx="376">
                  <c:v>53</c:v>
                </c:pt>
                <c:pt idx="377">
                  <c:v>53</c:v>
                </c:pt>
                <c:pt idx="378">
                  <c:v>53</c:v>
                </c:pt>
                <c:pt idx="379">
                  <c:v>53</c:v>
                </c:pt>
                <c:pt idx="380">
                  <c:v>53</c:v>
                </c:pt>
                <c:pt idx="381">
                  <c:v>53</c:v>
                </c:pt>
                <c:pt idx="382">
                  <c:v>53</c:v>
                </c:pt>
                <c:pt idx="383">
                  <c:v>53</c:v>
                </c:pt>
                <c:pt idx="384">
                  <c:v>54</c:v>
                </c:pt>
                <c:pt idx="385">
                  <c:v>54</c:v>
                </c:pt>
                <c:pt idx="386">
                  <c:v>54</c:v>
                </c:pt>
                <c:pt idx="387">
                  <c:v>54</c:v>
                </c:pt>
                <c:pt idx="388">
                  <c:v>54</c:v>
                </c:pt>
                <c:pt idx="389">
                  <c:v>54</c:v>
                </c:pt>
                <c:pt idx="390">
                  <c:v>54</c:v>
                </c:pt>
                <c:pt idx="391">
                  <c:v>54</c:v>
                </c:pt>
                <c:pt idx="392">
                  <c:v>54</c:v>
                </c:pt>
                <c:pt idx="393">
                  <c:v>54</c:v>
                </c:pt>
                <c:pt idx="394">
                  <c:v>54</c:v>
                </c:pt>
                <c:pt idx="395">
                  <c:v>54</c:v>
                </c:pt>
                <c:pt idx="396">
                  <c:v>55</c:v>
                </c:pt>
                <c:pt idx="397">
                  <c:v>55</c:v>
                </c:pt>
                <c:pt idx="398">
                  <c:v>55</c:v>
                </c:pt>
                <c:pt idx="399">
                  <c:v>55</c:v>
                </c:pt>
                <c:pt idx="400">
                  <c:v>55</c:v>
                </c:pt>
                <c:pt idx="401">
                  <c:v>55</c:v>
                </c:pt>
                <c:pt idx="402">
                  <c:v>55</c:v>
                </c:pt>
                <c:pt idx="403">
                  <c:v>55</c:v>
                </c:pt>
                <c:pt idx="404">
                  <c:v>55</c:v>
                </c:pt>
                <c:pt idx="405">
                  <c:v>55</c:v>
                </c:pt>
                <c:pt idx="406">
                  <c:v>55</c:v>
                </c:pt>
                <c:pt idx="407">
                  <c:v>55</c:v>
                </c:pt>
                <c:pt idx="408">
                  <c:v>56</c:v>
                </c:pt>
                <c:pt idx="409">
                  <c:v>56</c:v>
                </c:pt>
                <c:pt idx="410">
                  <c:v>56</c:v>
                </c:pt>
                <c:pt idx="411">
                  <c:v>56</c:v>
                </c:pt>
                <c:pt idx="412">
                  <c:v>56</c:v>
                </c:pt>
                <c:pt idx="413">
                  <c:v>56</c:v>
                </c:pt>
                <c:pt idx="414">
                  <c:v>56</c:v>
                </c:pt>
                <c:pt idx="415">
                  <c:v>56</c:v>
                </c:pt>
                <c:pt idx="416">
                  <c:v>56</c:v>
                </c:pt>
                <c:pt idx="417">
                  <c:v>56</c:v>
                </c:pt>
                <c:pt idx="418">
                  <c:v>56</c:v>
                </c:pt>
                <c:pt idx="419">
                  <c:v>56</c:v>
                </c:pt>
                <c:pt idx="420">
                  <c:v>57</c:v>
                </c:pt>
                <c:pt idx="421">
                  <c:v>57</c:v>
                </c:pt>
                <c:pt idx="422">
                  <c:v>57</c:v>
                </c:pt>
                <c:pt idx="423">
                  <c:v>57</c:v>
                </c:pt>
                <c:pt idx="424">
                  <c:v>57</c:v>
                </c:pt>
                <c:pt idx="425">
                  <c:v>57</c:v>
                </c:pt>
                <c:pt idx="426">
                  <c:v>57</c:v>
                </c:pt>
                <c:pt idx="427">
                  <c:v>57</c:v>
                </c:pt>
                <c:pt idx="428">
                  <c:v>57</c:v>
                </c:pt>
                <c:pt idx="429">
                  <c:v>57</c:v>
                </c:pt>
                <c:pt idx="430">
                  <c:v>57</c:v>
                </c:pt>
                <c:pt idx="431">
                  <c:v>57</c:v>
                </c:pt>
                <c:pt idx="432">
                  <c:v>58</c:v>
                </c:pt>
                <c:pt idx="433">
                  <c:v>58</c:v>
                </c:pt>
                <c:pt idx="434">
                  <c:v>58</c:v>
                </c:pt>
                <c:pt idx="435">
                  <c:v>58</c:v>
                </c:pt>
                <c:pt idx="436">
                  <c:v>58</c:v>
                </c:pt>
                <c:pt idx="437">
                  <c:v>58</c:v>
                </c:pt>
                <c:pt idx="438">
                  <c:v>58</c:v>
                </c:pt>
                <c:pt idx="439">
                  <c:v>58</c:v>
                </c:pt>
                <c:pt idx="440">
                  <c:v>58</c:v>
                </c:pt>
                <c:pt idx="441">
                  <c:v>58</c:v>
                </c:pt>
                <c:pt idx="442">
                  <c:v>58</c:v>
                </c:pt>
                <c:pt idx="443">
                  <c:v>58</c:v>
                </c:pt>
                <c:pt idx="444">
                  <c:v>59</c:v>
                </c:pt>
                <c:pt idx="445">
                  <c:v>59</c:v>
                </c:pt>
                <c:pt idx="446">
                  <c:v>59</c:v>
                </c:pt>
                <c:pt idx="447">
                  <c:v>59</c:v>
                </c:pt>
                <c:pt idx="448">
                  <c:v>59</c:v>
                </c:pt>
                <c:pt idx="449">
                  <c:v>59</c:v>
                </c:pt>
                <c:pt idx="450">
                  <c:v>59</c:v>
                </c:pt>
                <c:pt idx="451">
                  <c:v>59</c:v>
                </c:pt>
                <c:pt idx="452">
                  <c:v>59</c:v>
                </c:pt>
                <c:pt idx="453">
                  <c:v>59</c:v>
                </c:pt>
                <c:pt idx="454">
                  <c:v>59</c:v>
                </c:pt>
                <c:pt idx="455">
                  <c:v>59</c:v>
                </c:pt>
                <c:pt idx="456">
                  <c:v>60</c:v>
                </c:pt>
                <c:pt idx="457">
                  <c:v>60</c:v>
                </c:pt>
                <c:pt idx="458">
                  <c:v>60</c:v>
                </c:pt>
                <c:pt idx="459">
                  <c:v>60</c:v>
                </c:pt>
                <c:pt idx="460">
                  <c:v>60</c:v>
                </c:pt>
                <c:pt idx="461">
                  <c:v>60</c:v>
                </c:pt>
                <c:pt idx="462">
                  <c:v>60</c:v>
                </c:pt>
                <c:pt idx="463">
                  <c:v>60</c:v>
                </c:pt>
                <c:pt idx="464">
                  <c:v>60</c:v>
                </c:pt>
                <c:pt idx="465">
                  <c:v>60</c:v>
                </c:pt>
                <c:pt idx="466">
                  <c:v>60</c:v>
                </c:pt>
                <c:pt idx="467">
                  <c:v>60</c:v>
                </c:pt>
                <c:pt idx="468">
                  <c:v>61</c:v>
                </c:pt>
                <c:pt idx="469">
                  <c:v>61</c:v>
                </c:pt>
                <c:pt idx="470">
                  <c:v>61</c:v>
                </c:pt>
                <c:pt idx="471">
                  <c:v>61</c:v>
                </c:pt>
                <c:pt idx="472">
                  <c:v>61</c:v>
                </c:pt>
                <c:pt idx="473">
                  <c:v>61</c:v>
                </c:pt>
                <c:pt idx="474">
                  <c:v>61</c:v>
                </c:pt>
                <c:pt idx="475">
                  <c:v>61</c:v>
                </c:pt>
                <c:pt idx="476">
                  <c:v>61</c:v>
                </c:pt>
                <c:pt idx="477">
                  <c:v>61</c:v>
                </c:pt>
                <c:pt idx="478">
                  <c:v>61</c:v>
                </c:pt>
                <c:pt idx="479">
                  <c:v>61</c:v>
                </c:pt>
                <c:pt idx="480">
                  <c:v>62</c:v>
                </c:pt>
                <c:pt idx="481">
                  <c:v>62</c:v>
                </c:pt>
                <c:pt idx="482">
                  <c:v>62</c:v>
                </c:pt>
                <c:pt idx="483">
                  <c:v>62</c:v>
                </c:pt>
                <c:pt idx="484">
                  <c:v>62</c:v>
                </c:pt>
                <c:pt idx="485">
                  <c:v>62</c:v>
                </c:pt>
                <c:pt idx="486">
                  <c:v>62</c:v>
                </c:pt>
                <c:pt idx="487">
                  <c:v>62</c:v>
                </c:pt>
                <c:pt idx="488">
                  <c:v>62</c:v>
                </c:pt>
                <c:pt idx="489">
                  <c:v>62</c:v>
                </c:pt>
                <c:pt idx="490">
                  <c:v>62</c:v>
                </c:pt>
                <c:pt idx="491">
                  <c:v>62</c:v>
                </c:pt>
                <c:pt idx="492">
                  <c:v>63</c:v>
                </c:pt>
                <c:pt idx="493">
                  <c:v>63</c:v>
                </c:pt>
                <c:pt idx="494">
                  <c:v>63</c:v>
                </c:pt>
                <c:pt idx="495">
                  <c:v>63</c:v>
                </c:pt>
                <c:pt idx="496">
                  <c:v>63</c:v>
                </c:pt>
                <c:pt idx="497">
                  <c:v>63</c:v>
                </c:pt>
                <c:pt idx="498">
                  <c:v>63</c:v>
                </c:pt>
                <c:pt idx="499">
                  <c:v>63</c:v>
                </c:pt>
                <c:pt idx="500">
                  <c:v>63</c:v>
                </c:pt>
                <c:pt idx="501">
                  <c:v>63</c:v>
                </c:pt>
                <c:pt idx="502">
                  <c:v>63</c:v>
                </c:pt>
                <c:pt idx="503">
                  <c:v>63</c:v>
                </c:pt>
                <c:pt idx="504">
                  <c:v>64</c:v>
                </c:pt>
                <c:pt idx="505">
                  <c:v>64</c:v>
                </c:pt>
                <c:pt idx="506">
                  <c:v>64</c:v>
                </c:pt>
                <c:pt idx="507">
                  <c:v>64</c:v>
                </c:pt>
                <c:pt idx="508">
                  <c:v>64</c:v>
                </c:pt>
                <c:pt idx="509">
                  <c:v>64</c:v>
                </c:pt>
                <c:pt idx="510">
                  <c:v>64</c:v>
                </c:pt>
                <c:pt idx="511">
                  <c:v>64</c:v>
                </c:pt>
                <c:pt idx="512">
                  <c:v>64</c:v>
                </c:pt>
                <c:pt idx="513">
                  <c:v>64</c:v>
                </c:pt>
                <c:pt idx="514">
                  <c:v>64</c:v>
                </c:pt>
                <c:pt idx="515">
                  <c:v>64</c:v>
                </c:pt>
                <c:pt idx="516">
                  <c:v>65</c:v>
                </c:pt>
                <c:pt idx="517">
                  <c:v>65</c:v>
                </c:pt>
                <c:pt idx="518">
                  <c:v>65</c:v>
                </c:pt>
                <c:pt idx="519">
                  <c:v>65</c:v>
                </c:pt>
                <c:pt idx="520">
                  <c:v>65</c:v>
                </c:pt>
                <c:pt idx="521">
                  <c:v>65</c:v>
                </c:pt>
                <c:pt idx="522">
                  <c:v>65</c:v>
                </c:pt>
                <c:pt idx="523">
                  <c:v>65</c:v>
                </c:pt>
                <c:pt idx="524">
                  <c:v>65</c:v>
                </c:pt>
                <c:pt idx="525">
                  <c:v>65</c:v>
                </c:pt>
                <c:pt idx="526">
                  <c:v>65</c:v>
                </c:pt>
                <c:pt idx="527">
                  <c:v>65</c:v>
                </c:pt>
                <c:pt idx="528">
                  <c:v>66</c:v>
                </c:pt>
                <c:pt idx="529">
                  <c:v>66</c:v>
                </c:pt>
                <c:pt idx="530">
                  <c:v>66</c:v>
                </c:pt>
                <c:pt idx="531">
                  <c:v>66</c:v>
                </c:pt>
                <c:pt idx="532">
                  <c:v>66</c:v>
                </c:pt>
                <c:pt idx="533">
                  <c:v>66</c:v>
                </c:pt>
                <c:pt idx="534">
                  <c:v>66</c:v>
                </c:pt>
                <c:pt idx="535">
                  <c:v>66</c:v>
                </c:pt>
                <c:pt idx="536">
                  <c:v>66</c:v>
                </c:pt>
                <c:pt idx="537">
                  <c:v>66</c:v>
                </c:pt>
                <c:pt idx="538">
                  <c:v>66</c:v>
                </c:pt>
                <c:pt idx="539">
                  <c:v>66</c:v>
                </c:pt>
                <c:pt idx="540">
                  <c:v>67</c:v>
                </c:pt>
                <c:pt idx="541">
                  <c:v>67</c:v>
                </c:pt>
                <c:pt idx="542">
                  <c:v>67</c:v>
                </c:pt>
                <c:pt idx="543">
                  <c:v>67</c:v>
                </c:pt>
                <c:pt idx="544">
                  <c:v>67</c:v>
                </c:pt>
                <c:pt idx="545">
                  <c:v>67</c:v>
                </c:pt>
                <c:pt idx="546">
                  <c:v>67</c:v>
                </c:pt>
                <c:pt idx="547">
                  <c:v>67</c:v>
                </c:pt>
                <c:pt idx="548">
                  <c:v>67</c:v>
                </c:pt>
                <c:pt idx="549">
                  <c:v>67</c:v>
                </c:pt>
                <c:pt idx="550">
                  <c:v>67</c:v>
                </c:pt>
                <c:pt idx="551">
                  <c:v>67</c:v>
                </c:pt>
                <c:pt idx="552">
                  <c:v>68</c:v>
                </c:pt>
                <c:pt idx="553">
                  <c:v>68</c:v>
                </c:pt>
                <c:pt idx="554">
                  <c:v>68</c:v>
                </c:pt>
                <c:pt idx="555">
                  <c:v>68</c:v>
                </c:pt>
                <c:pt idx="556">
                  <c:v>68</c:v>
                </c:pt>
                <c:pt idx="557">
                  <c:v>68</c:v>
                </c:pt>
                <c:pt idx="558">
                  <c:v>68</c:v>
                </c:pt>
                <c:pt idx="559">
                  <c:v>68</c:v>
                </c:pt>
                <c:pt idx="560">
                  <c:v>68</c:v>
                </c:pt>
                <c:pt idx="561">
                  <c:v>68</c:v>
                </c:pt>
                <c:pt idx="562">
                  <c:v>68</c:v>
                </c:pt>
                <c:pt idx="563">
                  <c:v>68</c:v>
                </c:pt>
                <c:pt idx="564">
                  <c:v>69</c:v>
                </c:pt>
                <c:pt idx="565">
                  <c:v>69</c:v>
                </c:pt>
                <c:pt idx="566">
                  <c:v>69</c:v>
                </c:pt>
                <c:pt idx="567">
                  <c:v>69</c:v>
                </c:pt>
                <c:pt idx="568">
                  <c:v>69</c:v>
                </c:pt>
                <c:pt idx="569">
                  <c:v>69</c:v>
                </c:pt>
                <c:pt idx="570">
                  <c:v>69</c:v>
                </c:pt>
                <c:pt idx="571">
                  <c:v>69</c:v>
                </c:pt>
                <c:pt idx="572">
                  <c:v>69</c:v>
                </c:pt>
                <c:pt idx="573">
                  <c:v>69</c:v>
                </c:pt>
                <c:pt idx="574">
                  <c:v>69</c:v>
                </c:pt>
                <c:pt idx="575">
                  <c:v>69</c:v>
                </c:pt>
                <c:pt idx="576">
                  <c:v>70</c:v>
                </c:pt>
                <c:pt idx="577">
                  <c:v>70</c:v>
                </c:pt>
                <c:pt idx="578">
                  <c:v>70</c:v>
                </c:pt>
                <c:pt idx="579">
                  <c:v>70</c:v>
                </c:pt>
                <c:pt idx="580">
                  <c:v>70</c:v>
                </c:pt>
                <c:pt idx="581">
                  <c:v>70</c:v>
                </c:pt>
                <c:pt idx="582">
                  <c:v>70</c:v>
                </c:pt>
                <c:pt idx="583">
                  <c:v>70</c:v>
                </c:pt>
                <c:pt idx="584">
                  <c:v>70</c:v>
                </c:pt>
                <c:pt idx="585">
                  <c:v>70</c:v>
                </c:pt>
                <c:pt idx="586">
                  <c:v>70</c:v>
                </c:pt>
                <c:pt idx="587">
                  <c:v>70</c:v>
                </c:pt>
                <c:pt idx="588">
                  <c:v>71</c:v>
                </c:pt>
                <c:pt idx="589">
                  <c:v>71</c:v>
                </c:pt>
                <c:pt idx="590">
                  <c:v>71</c:v>
                </c:pt>
                <c:pt idx="591">
                  <c:v>71</c:v>
                </c:pt>
                <c:pt idx="592">
                  <c:v>71</c:v>
                </c:pt>
                <c:pt idx="593">
                  <c:v>71</c:v>
                </c:pt>
                <c:pt idx="594">
                  <c:v>71</c:v>
                </c:pt>
                <c:pt idx="595">
                  <c:v>71</c:v>
                </c:pt>
                <c:pt idx="596">
                  <c:v>71</c:v>
                </c:pt>
                <c:pt idx="597">
                  <c:v>71</c:v>
                </c:pt>
                <c:pt idx="598">
                  <c:v>71</c:v>
                </c:pt>
                <c:pt idx="599">
                  <c:v>71</c:v>
                </c:pt>
                <c:pt idx="600">
                  <c:v>72</c:v>
                </c:pt>
                <c:pt idx="601">
                  <c:v>72</c:v>
                </c:pt>
                <c:pt idx="602">
                  <c:v>72</c:v>
                </c:pt>
                <c:pt idx="603">
                  <c:v>72</c:v>
                </c:pt>
                <c:pt idx="604">
                  <c:v>72</c:v>
                </c:pt>
                <c:pt idx="605">
                  <c:v>72</c:v>
                </c:pt>
                <c:pt idx="606">
                  <c:v>72</c:v>
                </c:pt>
                <c:pt idx="607">
                  <c:v>72</c:v>
                </c:pt>
                <c:pt idx="608">
                  <c:v>72</c:v>
                </c:pt>
                <c:pt idx="609">
                  <c:v>72</c:v>
                </c:pt>
                <c:pt idx="610">
                  <c:v>72</c:v>
                </c:pt>
                <c:pt idx="611">
                  <c:v>72</c:v>
                </c:pt>
                <c:pt idx="612">
                  <c:v>73</c:v>
                </c:pt>
                <c:pt idx="613">
                  <c:v>73</c:v>
                </c:pt>
                <c:pt idx="614">
                  <c:v>73</c:v>
                </c:pt>
                <c:pt idx="615">
                  <c:v>73</c:v>
                </c:pt>
                <c:pt idx="616">
                  <c:v>73</c:v>
                </c:pt>
                <c:pt idx="617">
                  <c:v>73</c:v>
                </c:pt>
                <c:pt idx="618">
                  <c:v>73</c:v>
                </c:pt>
                <c:pt idx="619">
                  <c:v>73</c:v>
                </c:pt>
                <c:pt idx="620">
                  <c:v>73</c:v>
                </c:pt>
                <c:pt idx="621">
                  <c:v>73</c:v>
                </c:pt>
                <c:pt idx="622">
                  <c:v>73</c:v>
                </c:pt>
                <c:pt idx="623">
                  <c:v>73</c:v>
                </c:pt>
                <c:pt idx="624">
                  <c:v>74</c:v>
                </c:pt>
                <c:pt idx="625">
                  <c:v>74</c:v>
                </c:pt>
                <c:pt idx="626">
                  <c:v>74</c:v>
                </c:pt>
                <c:pt idx="627">
                  <c:v>74</c:v>
                </c:pt>
                <c:pt idx="628">
                  <c:v>74</c:v>
                </c:pt>
                <c:pt idx="629">
                  <c:v>74</c:v>
                </c:pt>
                <c:pt idx="630">
                  <c:v>74</c:v>
                </c:pt>
                <c:pt idx="631">
                  <c:v>74</c:v>
                </c:pt>
                <c:pt idx="632">
                  <c:v>74</c:v>
                </c:pt>
                <c:pt idx="633">
                  <c:v>74</c:v>
                </c:pt>
                <c:pt idx="634">
                  <c:v>74</c:v>
                </c:pt>
                <c:pt idx="635">
                  <c:v>74</c:v>
                </c:pt>
                <c:pt idx="636">
                  <c:v>75</c:v>
                </c:pt>
                <c:pt idx="637">
                  <c:v>75</c:v>
                </c:pt>
                <c:pt idx="638">
                  <c:v>75</c:v>
                </c:pt>
                <c:pt idx="639">
                  <c:v>75</c:v>
                </c:pt>
                <c:pt idx="640">
                  <c:v>75</c:v>
                </c:pt>
                <c:pt idx="641">
                  <c:v>75</c:v>
                </c:pt>
                <c:pt idx="642">
                  <c:v>75</c:v>
                </c:pt>
                <c:pt idx="643">
                  <c:v>75</c:v>
                </c:pt>
                <c:pt idx="644">
                  <c:v>75</c:v>
                </c:pt>
                <c:pt idx="645">
                  <c:v>75</c:v>
                </c:pt>
                <c:pt idx="646">
                  <c:v>75</c:v>
                </c:pt>
                <c:pt idx="647">
                  <c:v>75</c:v>
                </c:pt>
                <c:pt idx="648">
                  <c:v>76</c:v>
                </c:pt>
                <c:pt idx="649">
                  <c:v>76</c:v>
                </c:pt>
                <c:pt idx="650">
                  <c:v>76</c:v>
                </c:pt>
                <c:pt idx="651">
                  <c:v>76</c:v>
                </c:pt>
                <c:pt idx="652">
                  <c:v>76</c:v>
                </c:pt>
                <c:pt idx="653">
                  <c:v>76</c:v>
                </c:pt>
                <c:pt idx="654">
                  <c:v>76</c:v>
                </c:pt>
                <c:pt idx="655">
                  <c:v>76</c:v>
                </c:pt>
                <c:pt idx="656">
                  <c:v>76</c:v>
                </c:pt>
                <c:pt idx="657">
                  <c:v>76</c:v>
                </c:pt>
                <c:pt idx="658">
                  <c:v>76</c:v>
                </c:pt>
                <c:pt idx="659">
                  <c:v>76</c:v>
                </c:pt>
                <c:pt idx="660">
                  <c:v>77</c:v>
                </c:pt>
                <c:pt idx="661">
                  <c:v>77</c:v>
                </c:pt>
                <c:pt idx="662">
                  <c:v>77</c:v>
                </c:pt>
                <c:pt idx="663">
                  <c:v>77</c:v>
                </c:pt>
                <c:pt idx="664">
                  <c:v>77</c:v>
                </c:pt>
                <c:pt idx="665">
                  <c:v>77</c:v>
                </c:pt>
                <c:pt idx="666">
                  <c:v>77</c:v>
                </c:pt>
                <c:pt idx="667">
                  <c:v>77</c:v>
                </c:pt>
                <c:pt idx="668">
                  <c:v>77</c:v>
                </c:pt>
                <c:pt idx="669">
                  <c:v>77</c:v>
                </c:pt>
                <c:pt idx="670">
                  <c:v>77</c:v>
                </c:pt>
                <c:pt idx="671">
                  <c:v>77</c:v>
                </c:pt>
                <c:pt idx="672">
                  <c:v>78</c:v>
                </c:pt>
                <c:pt idx="673">
                  <c:v>78</c:v>
                </c:pt>
                <c:pt idx="674">
                  <c:v>78</c:v>
                </c:pt>
                <c:pt idx="675">
                  <c:v>78</c:v>
                </c:pt>
                <c:pt idx="676">
                  <c:v>78</c:v>
                </c:pt>
                <c:pt idx="677">
                  <c:v>78</c:v>
                </c:pt>
                <c:pt idx="678">
                  <c:v>78</c:v>
                </c:pt>
                <c:pt idx="679">
                  <c:v>78</c:v>
                </c:pt>
                <c:pt idx="680">
                  <c:v>78</c:v>
                </c:pt>
                <c:pt idx="681">
                  <c:v>78</c:v>
                </c:pt>
                <c:pt idx="682">
                  <c:v>78</c:v>
                </c:pt>
                <c:pt idx="683">
                  <c:v>78</c:v>
                </c:pt>
                <c:pt idx="684">
                  <c:v>79</c:v>
                </c:pt>
                <c:pt idx="685">
                  <c:v>79</c:v>
                </c:pt>
                <c:pt idx="686">
                  <c:v>79</c:v>
                </c:pt>
                <c:pt idx="687">
                  <c:v>79</c:v>
                </c:pt>
                <c:pt idx="688">
                  <c:v>79</c:v>
                </c:pt>
                <c:pt idx="689">
                  <c:v>79</c:v>
                </c:pt>
                <c:pt idx="690">
                  <c:v>79</c:v>
                </c:pt>
                <c:pt idx="691">
                  <c:v>79</c:v>
                </c:pt>
                <c:pt idx="692">
                  <c:v>79</c:v>
                </c:pt>
                <c:pt idx="693">
                  <c:v>79</c:v>
                </c:pt>
                <c:pt idx="694">
                  <c:v>79</c:v>
                </c:pt>
                <c:pt idx="695">
                  <c:v>79</c:v>
                </c:pt>
                <c:pt idx="696">
                  <c:v>80</c:v>
                </c:pt>
                <c:pt idx="697">
                  <c:v>80</c:v>
                </c:pt>
                <c:pt idx="698">
                  <c:v>80</c:v>
                </c:pt>
                <c:pt idx="699">
                  <c:v>80</c:v>
                </c:pt>
                <c:pt idx="700">
                  <c:v>80</c:v>
                </c:pt>
                <c:pt idx="701">
                  <c:v>80</c:v>
                </c:pt>
                <c:pt idx="702">
                  <c:v>80</c:v>
                </c:pt>
                <c:pt idx="703">
                  <c:v>80</c:v>
                </c:pt>
                <c:pt idx="704">
                  <c:v>80</c:v>
                </c:pt>
                <c:pt idx="705">
                  <c:v>80</c:v>
                </c:pt>
                <c:pt idx="706">
                  <c:v>80</c:v>
                </c:pt>
                <c:pt idx="707">
                  <c:v>80</c:v>
                </c:pt>
              </c:numCache>
            </c:numRef>
          </c:cat>
          <c:val>
            <c:numRef>
              <c:f>'Final version'!$E$2:$E$709</c:f>
              <c:numCache>
                <c:formatCode>General</c:formatCode>
                <c:ptCount val="708"/>
              </c:numCache>
            </c:numRef>
          </c:val>
          <c:extLst/>
        </c:ser>
        <c:dLbls>
          <c:showLegendKey val="0"/>
          <c:showVal val="0"/>
          <c:showCatName val="0"/>
          <c:showSerName val="0"/>
          <c:showPercent val="0"/>
          <c:showBubbleSize val="0"/>
        </c:dLbls>
        <c:gapWidth val="150"/>
        <c:axId val="396288424"/>
        <c:axId val="396288816"/>
      </c:barChart>
      <c:lineChart>
        <c:grouping val="standard"/>
        <c:varyColors val="0"/>
        <c:ser>
          <c:idx val="3"/>
          <c:order val="0"/>
          <c:tx>
            <c:strRef>
              <c:f>'Final version'!$B$1</c:f>
              <c:strCache>
                <c:ptCount val="1"/>
                <c:pt idx="0">
                  <c:v>Odporúčaná stratégia</c:v>
                </c:pt>
              </c:strCache>
            </c:strRef>
          </c:tx>
          <c:spPr>
            <a:ln w="22225">
              <a:solidFill>
                <a:srgbClr val="2C9ADC"/>
              </a:solidFill>
              <a:prstDash val="solid"/>
            </a:ln>
          </c:spPr>
          <c:marker>
            <c:symbol val="none"/>
          </c:marker>
          <c:cat>
            <c:numRef>
              <c:f>'Final version'!$A$2:$A$709</c:f>
              <c:numCache>
                <c:formatCode>General</c:formatCode>
                <c:ptCount val="708"/>
                <c:pt idx="0">
                  <c:v>22</c:v>
                </c:pt>
                <c:pt idx="1">
                  <c:v>22</c:v>
                </c:pt>
                <c:pt idx="2">
                  <c:v>22</c:v>
                </c:pt>
                <c:pt idx="3">
                  <c:v>22</c:v>
                </c:pt>
                <c:pt idx="4">
                  <c:v>22</c:v>
                </c:pt>
                <c:pt idx="5">
                  <c:v>22</c:v>
                </c:pt>
                <c:pt idx="6">
                  <c:v>22</c:v>
                </c:pt>
                <c:pt idx="7">
                  <c:v>22</c:v>
                </c:pt>
                <c:pt idx="8">
                  <c:v>22</c:v>
                </c:pt>
                <c:pt idx="9">
                  <c:v>22</c:v>
                </c:pt>
                <c:pt idx="10">
                  <c:v>22</c:v>
                </c:pt>
                <c:pt idx="11">
                  <c:v>22</c:v>
                </c:pt>
                <c:pt idx="12">
                  <c:v>23</c:v>
                </c:pt>
                <c:pt idx="13">
                  <c:v>23</c:v>
                </c:pt>
                <c:pt idx="14">
                  <c:v>23</c:v>
                </c:pt>
                <c:pt idx="15">
                  <c:v>23</c:v>
                </c:pt>
                <c:pt idx="16">
                  <c:v>23</c:v>
                </c:pt>
                <c:pt idx="17">
                  <c:v>23</c:v>
                </c:pt>
                <c:pt idx="18">
                  <c:v>23</c:v>
                </c:pt>
                <c:pt idx="19">
                  <c:v>23</c:v>
                </c:pt>
                <c:pt idx="20">
                  <c:v>23</c:v>
                </c:pt>
                <c:pt idx="21">
                  <c:v>23</c:v>
                </c:pt>
                <c:pt idx="22">
                  <c:v>23</c:v>
                </c:pt>
                <c:pt idx="23">
                  <c:v>23</c:v>
                </c:pt>
                <c:pt idx="24">
                  <c:v>24</c:v>
                </c:pt>
                <c:pt idx="25">
                  <c:v>24</c:v>
                </c:pt>
                <c:pt idx="26">
                  <c:v>24</c:v>
                </c:pt>
                <c:pt idx="27">
                  <c:v>24</c:v>
                </c:pt>
                <c:pt idx="28">
                  <c:v>24</c:v>
                </c:pt>
                <c:pt idx="29">
                  <c:v>24</c:v>
                </c:pt>
                <c:pt idx="30">
                  <c:v>24</c:v>
                </c:pt>
                <c:pt idx="31">
                  <c:v>24</c:v>
                </c:pt>
                <c:pt idx="32">
                  <c:v>24</c:v>
                </c:pt>
                <c:pt idx="33">
                  <c:v>24</c:v>
                </c:pt>
                <c:pt idx="34">
                  <c:v>24</c:v>
                </c:pt>
                <c:pt idx="35">
                  <c:v>24</c:v>
                </c:pt>
                <c:pt idx="36">
                  <c:v>25</c:v>
                </c:pt>
                <c:pt idx="37">
                  <c:v>25</c:v>
                </c:pt>
                <c:pt idx="38">
                  <c:v>25</c:v>
                </c:pt>
                <c:pt idx="39">
                  <c:v>25</c:v>
                </c:pt>
                <c:pt idx="40">
                  <c:v>25</c:v>
                </c:pt>
                <c:pt idx="41">
                  <c:v>25</c:v>
                </c:pt>
                <c:pt idx="42">
                  <c:v>25</c:v>
                </c:pt>
                <c:pt idx="43">
                  <c:v>25</c:v>
                </c:pt>
                <c:pt idx="44">
                  <c:v>25</c:v>
                </c:pt>
                <c:pt idx="45">
                  <c:v>25</c:v>
                </c:pt>
                <c:pt idx="46">
                  <c:v>25</c:v>
                </c:pt>
                <c:pt idx="47">
                  <c:v>25</c:v>
                </c:pt>
                <c:pt idx="48">
                  <c:v>26</c:v>
                </c:pt>
                <c:pt idx="49">
                  <c:v>26</c:v>
                </c:pt>
                <c:pt idx="50">
                  <c:v>26</c:v>
                </c:pt>
                <c:pt idx="51">
                  <c:v>26</c:v>
                </c:pt>
                <c:pt idx="52">
                  <c:v>26</c:v>
                </c:pt>
                <c:pt idx="53">
                  <c:v>26</c:v>
                </c:pt>
                <c:pt idx="54">
                  <c:v>26</c:v>
                </c:pt>
                <c:pt idx="55">
                  <c:v>26</c:v>
                </c:pt>
                <c:pt idx="56">
                  <c:v>26</c:v>
                </c:pt>
                <c:pt idx="57">
                  <c:v>26</c:v>
                </c:pt>
                <c:pt idx="58">
                  <c:v>26</c:v>
                </c:pt>
                <c:pt idx="59">
                  <c:v>26</c:v>
                </c:pt>
                <c:pt idx="60">
                  <c:v>27</c:v>
                </c:pt>
                <c:pt idx="61">
                  <c:v>27</c:v>
                </c:pt>
                <c:pt idx="62">
                  <c:v>27</c:v>
                </c:pt>
                <c:pt idx="63">
                  <c:v>27</c:v>
                </c:pt>
                <c:pt idx="64">
                  <c:v>27</c:v>
                </c:pt>
                <c:pt idx="65">
                  <c:v>27</c:v>
                </c:pt>
                <c:pt idx="66">
                  <c:v>27</c:v>
                </c:pt>
                <c:pt idx="67">
                  <c:v>27</c:v>
                </c:pt>
                <c:pt idx="68">
                  <c:v>27</c:v>
                </c:pt>
                <c:pt idx="69">
                  <c:v>27</c:v>
                </c:pt>
                <c:pt idx="70">
                  <c:v>27</c:v>
                </c:pt>
                <c:pt idx="71">
                  <c:v>27</c:v>
                </c:pt>
                <c:pt idx="72">
                  <c:v>28</c:v>
                </c:pt>
                <c:pt idx="73">
                  <c:v>28</c:v>
                </c:pt>
                <c:pt idx="74">
                  <c:v>28</c:v>
                </c:pt>
                <c:pt idx="75">
                  <c:v>28</c:v>
                </c:pt>
                <c:pt idx="76">
                  <c:v>28</c:v>
                </c:pt>
                <c:pt idx="77">
                  <c:v>28</c:v>
                </c:pt>
                <c:pt idx="78">
                  <c:v>28</c:v>
                </c:pt>
                <c:pt idx="79">
                  <c:v>28</c:v>
                </c:pt>
                <c:pt idx="80">
                  <c:v>28</c:v>
                </c:pt>
                <c:pt idx="81">
                  <c:v>28</c:v>
                </c:pt>
                <c:pt idx="82">
                  <c:v>28</c:v>
                </c:pt>
                <c:pt idx="83">
                  <c:v>28</c:v>
                </c:pt>
                <c:pt idx="84">
                  <c:v>29</c:v>
                </c:pt>
                <c:pt idx="85">
                  <c:v>29</c:v>
                </c:pt>
                <c:pt idx="86">
                  <c:v>29</c:v>
                </c:pt>
                <c:pt idx="87">
                  <c:v>29</c:v>
                </c:pt>
                <c:pt idx="88">
                  <c:v>29</c:v>
                </c:pt>
                <c:pt idx="89">
                  <c:v>29</c:v>
                </c:pt>
                <c:pt idx="90">
                  <c:v>29</c:v>
                </c:pt>
                <c:pt idx="91">
                  <c:v>29</c:v>
                </c:pt>
                <c:pt idx="92">
                  <c:v>29</c:v>
                </c:pt>
                <c:pt idx="93">
                  <c:v>29</c:v>
                </c:pt>
                <c:pt idx="94">
                  <c:v>29</c:v>
                </c:pt>
                <c:pt idx="95">
                  <c:v>29</c:v>
                </c:pt>
                <c:pt idx="96">
                  <c:v>30</c:v>
                </c:pt>
                <c:pt idx="97">
                  <c:v>30</c:v>
                </c:pt>
                <c:pt idx="98">
                  <c:v>30</c:v>
                </c:pt>
                <c:pt idx="99">
                  <c:v>30</c:v>
                </c:pt>
                <c:pt idx="100">
                  <c:v>30</c:v>
                </c:pt>
                <c:pt idx="101">
                  <c:v>30</c:v>
                </c:pt>
                <c:pt idx="102">
                  <c:v>30</c:v>
                </c:pt>
                <c:pt idx="103">
                  <c:v>30</c:v>
                </c:pt>
                <c:pt idx="104">
                  <c:v>30</c:v>
                </c:pt>
                <c:pt idx="105">
                  <c:v>30</c:v>
                </c:pt>
                <c:pt idx="106">
                  <c:v>30</c:v>
                </c:pt>
                <c:pt idx="107">
                  <c:v>30</c:v>
                </c:pt>
                <c:pt idx="108">
                  <c:v>31</c:v>
                </c:pt>
                <c:pt idx="109">
                  <c:v>31</c:v>
                </c:pt>
                <c:pt idx="110">
                  <c:v>31</c:v>
                </c:pt>
                <c:pt idx="111">
                  <c:v>31</c:v>
                </c:pt>
                <c:pt idx="112">
                  <c:v>31</c:v>
                </c:pt>
                <c:pt idx="113">
                  <c:v>31</c:v>
                </c:pt>
                <c:pt idx="114">
                  <c:v>31</c:v>
                </c:pt>
                <c:pt idx="115">
                  <c:v>31</c:v>
                </c:pt>
                <c:pt idx="116">
                  <c:v>31</c:v>
                </c:pt>
                <c:pt idx="117">
                  <c:v>31</c:v>
                </c:pt>
                <c:pt idx="118">
                  <c:v>31</c:v>
                </c:pt>
                <c:pt idx="119">
                  <c:v>31</c:v>
                </c:pt>
                <c:pt idx="120">
                  <c:v>32</c:v>
                </c:pt>
                <c:pt idx="121">
                  <c:v>32</c:v>
                </c:pt>
                <c:pt idx="122">
                  <c:v>32</c:v>
                </c:pt>
                <c:pt idx="123">
                  <c:v>32</c:v>
                </c:pt>
                <c:pt idx="124">
                  <c:v>32</c:v>
                </c:pt>
                <c:pt idx="125">
                  <c:v>32</c:v>
                </c:pt>
                <c:pt idx="126">
                  <c:v>32</c:v>
                </c:pt>
                <c:pt idx="127">
                  <c:v>32</c:v>
                </c:pt>
                <c:pt idx="128">
                  <c:v>32</c:v>
                </c:pt>
                <c:pt idx="129">
                  <c:v>32</c:v>
                </c:pt>
                <c:pt idx="130">
                  <c:v>32</c:v>
                </c:pt>
                <c:pt idx="131">
                  <c:v>32</c:v>
                </c:pt>
                <c:pt idx="132">
                  <c:v>33</c:v>
                </c:pt>
                <c:pt idx="133">
                  <c:v>33</c:v>
                </c:pt>
                <c:pt idx="134">
                  <c:v>33</c:v>
                </c:pt>
                <c:pt idx="135">
                  <c:v>33</c:v>
                </c:pt>
                <c:pt idx="136">
                  <c:v>33</c:v>
                </c:pt>
                <c:pt idx="137">
                  <c:v>33</c:v>
                </c:pt>
                <c:pt idx="138">
                  <c:v>33</c:v>
                </c:pt>
                <c:pt idx="139">
                  <c:v>33</c:v>
                </c:pt>
                <c:pt idx="140">
                  <c:v>33</c:v>
                </c:pt>
                <c:pt idx="141">
                  <c:v>33</c:v>
                </c:pt>
                <c:pt idx="142">
                  <c:v>33</c:v>
                </c:pt>
                <c:pt idx="143">
                  <c:v>33</c:v>
                </c:pt>
                <c:pt idx="144">
                  <c:v>34</c:v>
                </c:pt>
                <c:pt idx="145">
                  <c:v>34</c:v>
                </c:pt>
                <c:pt idx="146">
                  <c:v>34</c:v>
                </c:pt>
                <c:pt idx="147">
                  <c:v>34</c:v>
                </c:pt>
                <c:pt idx="148">
                  <c:v>34</c:v>
                </c:pt>
                <c:pt idx="149">
                  <c:v>34</c:v>
                </c:pt>
                <c:pt idx="150">
                  <c:v>34</c:v>
                </c:pt>
                <c:pt idx="151">
                  <c:v>34</c:v>
                </c:pt>
                <c:pt idx="152">
                  <c:v>34</c:v>
                </c:pt>
                <c:pt idx="153">
                  <c:v>34</c:v>
                </c:pt>
                <c:pt idx="154">
                  <c:v>34</c:v>
                </c:pt>
                <c:pt idx="155">
                  <c:v>34</c:v>
                </c:pt>
                <c:pt idx="156">
                  <c:v>35</c:v>
                </c:pt>
                <c:pt idx="157">
                  <c:v>35</c:v>
                </c:pt>
                <c:pt idx="158">
                  <c:v>35</c:v>
                </c:pt>
                <c:pt idx="159">
                  <c:v>35</c:v>
                </c:pt>
                <c:pt idx="160">
                  <c:v>35</c:v>
                </c:pt>
                <c:pt idx="161">
                  <c:v>35</c:v>
                </c:pt>
                <c:pt idx="162">
                  <c:v>35</c:v>
                </c:pt>
                <c:pt idx="163">
                  <c:v>35</c:v>
                </c:pt>
                <c:pt idx="164">
                  <c:v>35</c:v>
                </c:pt>
                <c:pt idx="165">
                  <c:v>35</c:v>
                </c:pt>
                <c:pt idx="166">
                  <c:v>35</c:v>
                </c:pt>
                <c:pt idx="167">
                  <c:v>35</c:v>
                </c:pt>
                <c:pt idx="168">
                  <c:v>36</c:v>
                </c:pt>
                <c:pt idx="169">
                  <c:v>36</c:v>
                </c:pt>
                <c:pt idx="170">
                  <c:v>36</c:v>
                </c:pt>
                <c:pt idx="171">
                  <c:v>36</c:v>
                </c:pt>
                <c:pt idx="172">
                  <c:v>36</c:v>
                </c:pt>
                <c:pt idx="173">
                  <c:v>36</c:v>
                </c:pt>
                <c:pt idx="174">
                  <c:v>36</c:v>
                </c:pt>
                <c:pt idx="175">
                  <c:v>36</c:v>
                </c:pt>
                <c:pt idx="176">
                  <c:v>36</c:v>
                </c:pt>
                <c:pt idx="177">
                  <c:v>36</c:v>
                </c:pt>
                <c:pt idx="178">
                  <c:v>36</c:v>
                </c:pt>
                <c:pt idx="179">
                  <c:v>36</c:v>
                </c:pt>
                <c:pt idx="180">
                  <c:v>37</c:v>
                </c:pt>
                <c:pt idx="181">
                  <c:v>37</c:v>
                </c:pt>
                <c:pt idx="182">
                  <c:v>37</c:v>
                </c:pt>
                <c:pt idx="183">
                  <c:v>37</c:v>
                </c:pt>
                <c:pt idx="184">
                  <c:v>37</c:v>
                </c:pt>
                <c:pt idx="185">
                  <c:v>37</c:v>
                </c:pt>
                <c:pt idx="186">
                  <c:v>37</c:v>
                </c:pt>
                <c:pt idx="187">
                  <c:v>37</c:v>
                </c:pt>
                <c:pt idx="188">
                  <c:v>37</c:v>
                </c:pt>
                <c:pt idx="189">
                  <c:v>37</c:v>
                </c:pt>
                <c:pt idx="190">
                  <c:v>37</c:v>
                </c:pt>
                <c:pt idx="191">
                  <c:v>37</c:v>
                </c:pt>
                <c:pt idx="192">
                  <c:v>38</c:v>
                </c:pt>
                <c:pt idx="193">
                  <c:v>38</c:v>
                </c:pt>
                <c:pt idx="194">
                  <c:v>38</c:v>
                </c:pt>
                <c:pt idx="195">
                  <c:v>38</c:v>
                </c:pt>
                <c:pt idx="196">
                  <c:v>38</c:v>
                </c:pt>
                <c:pt idx="197">
                  <c:v>38</c:v>
                </c:pt>
                <c:pt idx="198">
                  <c:v>38</c:v>
                </c:pt>
                <c:pt idx="199">
                  <c:v>38</c:v>
                </c:pt>
                <c:pt idx="200">
                  <c:v>38</c:v>
                </c:pt>
                <c:pt idx="201">
                  <c:v>38</c:v>
                </c:pt>
                <c:pt idx="202">
                  <c:v>38</c:v>
                </c:pt>
                <c:pt idx="203">
                  <c:v>38</c:v>
                </c:pt>
                <c:pt idx="204">
                  <c:v>39</c:v>
                </c:pt>
                <c:pt idx="205">
                  <c:v>39</c:v>
                </c:pt>
                <c:pt idx="206">
                  <c:v>39</c:v>
                </c:pt>
                <c:pt idx="207">
                  <c:v>39</c:v>
                </c:pt>
                <c:pt idx="208">
                  <c:v>39</c:v>
                </c:pt>
                <c:pt idx="209">
                  <c:v>39</c:v>
                </c:pt>
                <c:pt idx="210">
                  <c:v>39</c:v>
                </c:pt>
                <c:pt idx="211">
                  <c:v>39</c:v>
                </c:pt>
                <c:pt idx="212">
                  <c:v>39</c:v>
                </c:pt>
                <c:pt idx="213">
                  <c:v>39</c:v>
                </c:pt>
                <c:pt idx="214">
                  <c:v>39</c:v>
                </c:pt>
                <c:pt idx="215">
                  <c:v>39</c:v>
                </c:pt>
                <c:pt idx="216">
                  <c:v>40</c:v>
                </c:pt>
                <c:pt idx="217">
                  <c:v>40</c:v>
                </c:pt>
                <c:pt idx="218">
                  <c:v>40</c:v>
                </c:pt>
                <c:pt idx="219">
                  <c:v>40</c:v>
                </c:pt>
                <c:pt idx="220">
                  <c:v>40</c:v>
                </c:pt>
                <c:pt idx="221">
                  <c:v>40</c:v>
                </c:pt>
                <c:pt idx="222">
                  <c:v>40</c:v>
                </c:pt>
                <c:pt idx="223">
                  <c:v>40</c:v>
                </c:pt>
                <c:pt idx="224">
                  <c:v>40</c:v>
                </c:pt>
                <c:pt idx="225">
                  <c:v>40</c:v>
                </c:pt>
                <c:pt idx="226">
                  <c:v>40</c:v>
                </c:pt>
                <c:pt idx="227">
                  <c:v>40</c:v>
                </c:pt>
                <c:pt idx="228">
                  <c:v>41</c:v>
                </c:pt>
                <c:pt idx="229">
                  <c:v>41</c:v>
                </c:pt>
                <c:pt idx="230">
                  <c:v>41</c:v>
                </c:pt>
                <c:pt idx="231">
                  <c:v>41</c:v>
                </c:pt>
                <c:pt idx="232">
                  <c:v>41</c:v>
                </c:pt>
                <c:pt idx="233">
                  <c:v>41</c:v>
                </c:pt>
                <c:pt idx="234">
                  <c:v>41</c:v>
                </c:pt>
                <c:pt idx="235">
                  <c:v>41</c:v>
                </c:pt>
                <c:pt idx="236">
                  <c:v>41</c:v>
                </c:pt>
                <c:pt idx="237">
                  <c:v>41</c:v>
                </c:pt>
                <c:pt idx="238">
                  <c:v>41</c:v>
                </c:pt>
                <c:pt idx="239">
                  <c:v>41</c:v>
                </c:pt>
                <c:pt idx="240">
                  <c:v>42</c:v>
                </c:pt>
                <c:pt idx="241">
                  <c:v>42</c:v>
                </c:pt>
                <c:pt idx="242">
                  <c:v>42</c:v>
                </c:pt>
                <c:pt idx="243">
                  <c:v>42</c:v>
                </c:pt>
                <c:pt idx="244">
                  <c:v>42</c:v>
                </c:pt>
                <c:pt idx="245">
                  <c:v>42</c:v>
                </c:pt>
                <c:pt idx="246">
                  <c:v>42</c:v>
                </c:pt>
                <c:pt idx="247">
                  <c:v>42</c:v>
                </c:pt>
                <c:pt idx="248">
                  <c:v>42</c:v>
                </c:pt>
                <c:pt idx="249">
                  <c:v>42</c:v>
                </c:pt>
                <c:pt idx="250">
                  <c:v>42</c:v>
                </c:pt>
                <c:pt idx="251">
                  <c:v>42</c:v>
                </c:pt>
                <c:pt idx="252">
                  <c:v>43</c:v>
                </c:pt>
                <c:pt idx="253">
                  <c:v>43</c:v>
                </c:pt>
                <c:pt idx="254">
                  <c:v>43</c:v>
                </c:pt>
                <c:pt idx="255">
                  <c:v>43</c:v>
                </c:pt>
                <c:pt idx="256">
                  <c:v>43</c:v>
                </c:pt>
                <c:pt idx="257">
                  <c:v>43</c:v>
                </c:pt>
                <c:pt idx="258">
                  <c:v>43</c:v>
                </c:pt>
                <c:pt idx="259">
                  <c:v>43</c:v>
                </c:pt>
                <c:pt idx="260">
                  <c:v>43</c:v>
                </c:pt>
                <c:pt idx="261">
                  <c:v>43</c:v>
                </c:pt>
                <c:pt idx="262">
                  <c:v>43</c:v>
                </c:pt>
                <c:pt idx="263">
                  <c:v>43</c:v>
                </c:pt>
                <c:pt idx="264">
                  <c:v>44</c:v>
                </c:pt>
                <c:pt idx="265">
                  <c:v>44</c:v>
                </c:pt>
                <c:pt idx="266">
                  <c:v>44</c:v>
                </c:pt>
                <c:pt idx="267">
                  <c:v>44</c:v>
                </c:pt>
                <c:pt idx="268">
                  <c:v>44</c:v>
                </c:pt>
                <c:pt idx="269">
                  <c:v>44</c:v>
                </c:pt>
                <c:pt idx="270">
                  <c:v>44</c:v>
                </c:pt>
                <c:pt idx="271">
                  <c:v>44</c:v>
                </c:pt>
                <c:pt idx="272">
                  <c:v>44</c:v>
                </c:pt>
                <c:pt idx="273">
                  <c:v>44</c:v>
                </c:pt>
                <c:pt idx="274">
                  <c:v>44</c:v>
                </c:pt>
                <c:pt idx="275">
                  <c:v>44</c:v>
                </c:pt>
                <c:pt idx="276">
                  <c:v>45</c:v>
                </c:pt>
                <c:pt idx="277">
                  <c:v>45</c:v>
                </c:pt>
                <c:pt idx="278">
                  <c:v>45</c:v>
                </c:pt>
                <c:pt idx="279">
                  <c:v>45</c:v>
                </c:pt>
                <c:pt idx="280">
                  <c:v>45</c:v>
                </c:pt>
                <c:pt idx="281">
                  <c:v>45</c:v>
                </c:pt>
                <c:pt idx="282">
                  <c:v>45</c:v>
                </c:pt>
                <c:pt idx="283">
                  <c:v>45</c:v>
                </c:pt>
                <c:pt idx="284">
                  <c:v>45</c:v>
                </c:pt>
                <c:pt idx="285">
                  <c:v>45</c:v>
                </c:pt>
                <c:pt idx="286">
                  <c:v>45</c:v>
                </c:pt>
                <c:pt idx="287">
                  <c:v>45</c:v>
                </c:pt>
                <c:pt idx="288">
                  <c:v>46</c:v>
                </c:pt>
                <c:pt idx="289">
                  <c:v>46</c:v>
                </c:pt>
                <c:pt idx="290">
                  <c:v>46</c:v>
                </c:pt>
                <c:pt idx="291">
                  <c:v>46</c:v>
                </c:pt>
                <c:pt idx="292">
                  <c:v>46</c:v>
                </c:pt>
                <c:pt idx="293">
                  <c:v>46</c:v>
                </c:pt>
                <c:pt idx="294">
                  <c:v>46</c:v>
                </c:pt>
                <c:pt idx="295">
                  <c:v>46</c:v>
                </c:pt>
                <c:pt idx="296">
                  <c:v>46</c:v>
                </c:pt>
                <c:pt idx="297">
                  <c:v>46</c:v>
                </c:pt>
                <c:pt idx="298">
                  <c:v>46</c:v>
                </c:pt>
                <c:pt idx="299">
                  <c:v>46</c:v>
                </c:pt>
                <c:pt idx="300">
                  <c:v>47</c:v>
                </c:pt>
                <c:pt idx="301">
                  <c:v>47</c:v>
                </c:pt>
                <c:pt idx="302">
                  <c:v>47</c:v>
                </c:pt>
                <c:pt idx="303">
                  <c:v>47</c:v>
                </c:pt>
                <c:pt idx="304">
                  <c:v>47</c:v>
                </c:pt>
                <c:pt idx="305">
                  <c:v>47</c:v>
                </c:pt>
                <c:pt idx="306">
                  <c:v>47</c:v>
                </c:pt>
                <c:pt idx="307">
                  <c:v>47</c:v>
                </c:pt>
                <c:pt idx="308">
                  <c:v>47</c:v>
                </c:pt>
                <c:pt idx="309">
                  <c:v>47</c:v>
                </c:pt>
                <c:pt idx="310">
                  <c:v>47</c:v>
                </c:pt>
                <c:pt idx="311">
                  <c:v>47</c:v>
                </c:pt>
                <c:pt idx="312">
                  <c:v>48</c:v>
                </c:pt>
                <c:pt idx="313">
                  <c:v>48</c:v>
                </c:pt>
                <c:pt idx="314">
                  <c:v>48</c:v>
                </c:pt>
                <c:pt idx="315">
                  <c:v>48</c:v>
                </c:pt>
                <c:pt idx="316">
                  <c:v>48</c:v>
                </c:pt>
                <c:pt idx="317">
                  <c:v>48</c:v>
                </c:pt>
                <c:pt idx="318">
                  <c:v>48</c:v>
                </c:pt>
                <c:pt idx="319">
                  <c:v>48</c:v>
                </c:pt>
                <c:pt idx="320">
                  <c:v>48</c:v>
                </c:pt>
                <c:pt idx="321">
                  <c:v>48</c:v>
                </c:pt>
                <c:pt idx="322">
                  <c:v>48</c:v>
                </c:pt>
                <c:pt idx="323">
                  <c:v>48</c:v>
                </c:pt>
                <c:pt idx="324">
                  <c:v>49</c:v>
                </c:pt>
                <c:pt idx="325">
                  <c:v>49</c:v>
                </c:pt>
                <c:pt idx="326">
                  <c:v>49</c:v>
                </c:pt>
                <c:pt idx="327">
                  <c:v>49</c:v>
                </c:pt>
                <c:pt idx="328">
                  <c:v>49</c:v>
                </c:pt>
                <c:pt idx="329">
                  <c:v>49</c:v>
                </c:pt>
                <c:pt idx="330">
                  <c:v>49</c:v>
                </c:pt>
                <c:pt idx="331">
                  <c:v>49</c:v>
                </c:pt>
                <c:pt idx="332">
                  <c:v>49</c:v>
                </c:pt>
                <c:pt idx="333">
                  <c:v>49</c:v>
                </c:pt>
                <c:pt idx="334">
                  <c:v>49</c:v>
                </c:pt>
                <c:pt idx="335">
                  <c:v>49</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51</c:v>
                </c:pt>
                <c:pt idx="349">
                  <c:v>51</c:v>
                </c:pt>
                <c:pt idx="350">
                  <c:v>51</c:v>
                </c:pt>
                <c:pt idx="351">
                  <c:v>51</c:v>
                </c:pt>
                <c:pt idx="352">
                  <c:v>51</c:v>
                </c:pt>
                <c:pt idx="353">
                  <c:v>51</c:v>
                </c:pt>
                <c:pt idx="354">
                  <c:v>51</c:v>
                </c:pt>
                <c:pt idx="355">
                  <c:v>51</c:v>
                </c:pt>
                <c:pt idx="356">
                  <c:v>51</c:v>
                </c:pt>
                <c:pt idx="357">
                  <c:v>51</c:v>
                </c:pt>
                <c:pt idx="358">
                  <c:v>51</c:v>
                </c:pt>
                <c:pt idx="359">
                  <c:v>51</c:v>
                </c:pt>
                <c:pt idx="360">
                  <c:v>52</c:v>
                </c:pt>
                <c:pt idx="361">
                  <c:v>52</c:v>
                </c:pt>
                <c:pt idx="362">
                  <c:v>52</c:v>
                </c:pt>
                <c:pt idx="363">
                  <c:v>52</c:v>
                </c:pt>
                <c:pt idx="364">
                  <c:v>52</c:v>
                </c:pt>
                <c:pt idx="365">
                  <c:v>52</c:v>
                </c:pt>
                <c:pt idx="366">
                  <c:v>52</c:v>
                </c:pt>
                <c:pt idx="367">
                  <c:v>52</c:v>
                </c:pt>
                <c:pt idx="368">
                  <c:v>52</c:v>
                </c:pt>
                <c:pt idx="369">
                  <c:v>52</c:v>
                </c:pt>
                <c:pt idx="370">
                  <c:v>52</c:v>
                </c:pt>
                <c:pt idx="371">
                  <c:v>52</c:v>
                </c:pt>
                <c:pt idx="372">
                  <c:v>53</c:v>
                </c:pt>
                <c:pt idx="373">
                  <c:v>53</c:v>
                </c:pt>
                <c:pt idx="374">
                  <c:v>53</c:v>
                </c:pt>
                <c:pt idx="375">
                  <c:v>53</c:v>
                </c:pt>
                <c:pt idx="376">
                  <c:v>53</c:v>
                </c:pt>
                <c:pt idx="377">
                  <c:v>53</c:v>
                </c:pt>
                <c:pt idx="378">
                  <c:v>53</c:v>
                </c:pt>
                <c:pt idx="379">
                  <c:v>53</c:v>
                </c:pt>
                <c:pt idx="380">
                  <c:v>53</c:v>
                </c:pt>
                <c:pt idx="381">
                  <c:v>53</c:v>
                </c:pt>
                <c:pt idx="382">
                  <c:v>53</c:v>
                </c:pt>
                <c:pt idx="383">
                  <c:v>53</c:v>
                </c:pt>
                <c:pt idx="384">
                  <c:v>54</c:v>
                </c:pt>
                <c:pt idx="385">
                  <c:v>54</c:v>
                </c:pt>
                <c:pt idx="386">
                  <c:v>54</c:v>
                </c:pt>
                <c:pt idx="387">
                  <c:v>54</c:v>
                </c:pt>
                <c:pt idx="388">
                  <c:v>54</c:v>
                </c:pt>
                <c:pt idx="389">
                  <c:v>54</c:v>
                </c:pt>
                <c:pt idx="390">
                  <c:v>54</c:v>
                </c:pt>
                <c:pt idx="391">
                  <c:v>54</c:v>
                </c:pt>
                <c:pt idx="392">
                  <c:v>54</c:v>
                </c:pt>
                <c:pt idx="393">
                  <c:v>54</c:v>
                </c:pt>
                <c:pt idx="394">
                  <c:v>54</c:v>
                </c:pt>
                <c:pt idx="395">
                  <c:v>54</c:v>
                </c:pt>
                <c:pt idx="396">
                  <c:v>55</c:v>
                </c:pt>
                <c:pt idx="397">
                  <c:v>55</c:v>
                </c:pt>
                <c:pt idx="398">
                  <c:v>55</c:v>
                </c:pt>
                <c:pt idx="399">
                  <c:v>55</c:v>
                </c:pt>
                <c:pt idx="400">
                  <c:v>55</c:v>
                </c:pt>
                <c:pt idx="401">
                  <c:v>55</c:v>
                </c:pt>
                <c:pt idx="402">
                  <c:v>55</c:v>
                </c:pt>
                <c:pt idx="403">
                  <c:v>55</c:v>
                </c:pt>
                <c:pt idx="404">
                  <c:v>55</c:v>
                </c:pt>
                <c:pt idx="405">
                  <c:v>55</c:v>
                </c:pt>
                <c:pt idx="406">
                  <c:v>55</c:v>
                </c:pt>
                <c:pt idx="407">
                  <c:v>55</c:v>
                </c:pt>
                <c:pt idx="408">
                  <c:v>56</c:v>
                </c:pt>
                <c:pt idx="409">
                  <c:v>56</c:v>
                </c:pt>
                <c:pt idx="410">
                  <c:v>56</c:v>
                </c:pt>
                <c:pt idx="411">
                  <c:v>56</c:v>
                </c:pt>
                <c:pt idx="412">
                  <c:v>56</c:v>
                </c:pt>
                <c:pt idx="413">
                  <c:v>56</c:v>
                </c:pt>
                <c:pt idx="414">
                  <c:v>56</c:v>
                </c:pt>
                <c:pt idx="415">
                  <c:v>56</c:v>
                </c:pt>
                <c:pt idx="416">
                  <c:v>56</c:v>
                </c:pt>
                <c:pt idx="417">
                  <c:v>56</c:v>
                </c:pt>
                <c:pt idx="418">
                  <c:v>56</c:v>
                </c:pt>
                <c:pt idx="419">
                  <c:v>56</c:v>
                </c:pt>
                <c:pt idx="420">
                  <c:v>57</c:v>
                </c:pt>
                <c:pt idx="421">
                  <c:v>57</c:v>
                </c:pt>
                <c:pt idx="422">
                  <c:v>57</c:v>
                </c:pt>
                <c:pt idx="423">
                  <c:v>57</c:v>
                </c:pt>
                <c:pt idx="424">
                  <c:v>57</c:v>
                </c:pt>
                <c:pt idx="425">
                  <c:v>57</c:v>
                </c:pt>
                <c:pt idx="426">
                  <c:v>57</c:v>
                </c:pt>
                <c:pt idx="427">
                  <c:v>57</c:v>
                </c:pt>
                <c:pt idx="428">
                  <c:v>57</c:v>
                </c:pt>
                <c:pt idx="429">
                  <c:v>57</c:v>
                </c:pt>
                <c:pt idx="430">
                  <c:v>57</c:v>
                </c:pt>
                <c:pt idx="431">
                  <c:v>57</c:v>
                </c:pt>
                <c:pt idx="432">
                  <c:v>58</c:v>
                </c:pt>
                <c:pt idx="433">
                  <c:v>58</c:v>
                </c:pt>
                <c:pt idx="434">
                  <c:v>58</c:v>
                </c:pt>
                <c:pt idx="435">
                  <c:v>58</c:v>
                </c:pt>
                <c:pt idx="436">
                  <c:v>58</c:v>
                </c:pt>
                <c:pt idx="437">
                  <c:v>58</c:v>
                </c:pt>
                <c:pt idx="438">
                  <c:v>58</c:v>
                </c:pt>
                <c:pt idx="439">
                  <c:v>58</c:v>
                </c:pt>
                <c:pt idx="440">
                  <c:v>58</c:v>
                </c:pt>
                <c:pt idx="441">
                  <c:v>58</c:v>
                </c:pt>
                <c:pt idx="442">
                  <c:v>58</c:v>
                </c:pt>
                <c:pt idx="443">
                  <c:v>58</c:v>
                </c:pt>
                <c:pt idx="444">
                  <c:v>59</c:v>
                </c:pt>
                <c:pt idx="445">
                  <c:v>59</c:v>
                </c:pt>
                <c:pt idx="446">
                  <c:v>59</c:v>
                </c:pt>
                <c:pt idx="447">
                  <c:v>59</c:v>
                </c:pt>
                <c:pt idx="448">
                  <c:v>59</c:v>
                </c:pt>
                <c:pt idx="449">
                  <c:v>59</c:v>
                </c:pt>
                <c:pt idx="450">
                  <c:v>59</c:v>
                </c:pt>
                <c:pt idx="451">
                  <c:v>59</c:v>
                </c:pt>
                <c:pt idx="452">
                  <c:v>59</c:v>
                </c:pt>
                <c:pt idx="453">
                  <c:v>59</c:v>
                </c:pt>
                <c:pt idx="454">
                  <c:v>59</c:v>
                </c:pt>
                <c:pt idx="455">
                  <c:v>59</c:v>
                </c:pt>
                <c:pt idx="456">
                  <c:v>60</c:v>
                </c:pt>
                <c:pt idx="457">
                  <c:v>60</c:v>
                </c:pt>
                <c:pt idx="458">
                  <c:v>60</c:v>
                </c:pt>
                <c:pt idx="459">
                  <c:v>60</c:v>
                </c:pt>
                <c:pt idx="460">
                  <c:v>60</c:v>
                </c:pt>
                <c:pt idx="461">
                  <c:v>60</c:v>
                </c:pt>
                <c:pt idx="462">
                  <c:v>60</c:v>
                </c:pt>
                <c:pt idx="463">
                  <c:v>60</c:v>
                </c:pt>
                <c:pt idx="464">
                  <c:v>60</c:v>
                </c:pt>
                <c:pt idx="465">
                  <c:v>60</c:v>
                </c:pt>
                <c:pt idx="466">
                  <c:v>60</c:v>
                </c:pt>
                <c:pt idx="467">
                  <c:v>60</c:v>
                </c:pt>
                <c:pt idx="468">
                  <c:v>61</c:v>
                </c:pt>
                <c:pt idx="469">
                  <c:v>61</c:v>
                </c:pt>
                <c:pt idx="470">
                  <c:v>61</c:v>
                </c:pt>
                <c:pt idx="471">
                  <c:v>61</c:v>
                </c:pt>
                <c:pt idx="472">
                  <c:v>61</c:v>
                </c:pt>
                <c:pt idx="473">
                  <c:v>61</c:v>
                </c:pt>
                <c:pt idx="474">
                  <c:v>61</c:v>
                </c:pt>
                <c:pt idx="475">
                  <c:v>61</c:v>
                </c:pt>
                <c:pt idx="476">
                  <c:v>61</c:v>
                </c:pt>
                <c:pt idx="477">
                  <c:v>61</c:v>
                </c:pt>
                <c:pt idx="478">
                  <c:v>61</c:v>
                </c:pt>
                <c:pt idx="479">
                  <c:v>61</c:v>
                </c:pt>
                <c:pt idx="480">
                  <c:v>62</c:v>
                </c:pt>
                <c:pt idx="481">
                  <c:v>62</c:v>
                </c:pt>
                <c:pt idx="482">
                  <c:v>62</c:v>
                </c:pt>
                <c:pt idx="483">
                  <c:v>62</c:v>
                </c:pt>
                <c:pt idx="484">
                  <c:v>62</c:v>
                </c:pt>
                <c:pt idx="485">
                  <c:v>62</c:v>
                </c:pt>
                <c:pt idx="486">
                  <c:v>62</c:v>
                </c:pt>
                <c:pt idx="487">
                  <c:v>62</c:v>
                </c:pt>
                <c:pt idx="488">
                  <c:v>62</c:v>
                </c:pt>
                <c:pt idx="489">
                  <c:v>62</c:v>
                </c:pt>
                <c:pt idx="490">
                  <c:v>62</c:v>
                </c:pt>
                <c:pt idx="491">
                  <c:v>62</c:v>
                </c:pt>
                <c:pt idx="492">
                  <c:v>63</c:v>
                </c:pt>
                <c:pt idx="493">
                  <c:v>63</c:v>
                </c:pt>
                <c:pt idx="494">
                  <c:v>63</c:v>
                </c:pt>
                <c:pt idx="495">
                  <c:v>63</c:v>
                </c:pt>
                <c:pt idx="496">
                  <c:v>63</c:v>
                </c:pt>
                <c:pt idx="497">
                  <c:v>63</c:v>
                </c:pt>
                <c:pt idx="498">
                  <c:v>63</c:v>
                </c:pt>
                <c:pt idx="499">
                  <c:v>63</c:v>
                </c:pt>
                <c:pt idx="500">
                  <c:v>63</c:v>
                </c:pt>
                <c:pt idx="501">
                  <c:v>63</c:v>
                </c:pt>
                <c:pt idx="502">
                  <c:v>63</c:v>
                </c:pt>
                <c:pt idx="503">
                  <c:v>63</c:v>
                </c:pt>
                <c:pt idx="504">
                  <c:v>64</c:v>
                </c:pt>
                <c:pt idx="505">
                  <c:v>64</c:v>
                </c:pt>
                <c:pt idx="506">
                  <c:v>64</c:v>
                </c:pt>
                <c:pt idx="507">
                  <c:v>64</c:v>
                </c:pt>
                <c:pt idx="508">
                  <c:v>64</c:v>
                </c:pt>
                <c:pt idx="509">
                  <c:v>64</c:v>
                </c:pt>
                <c:pt idx="510">
                  <c:v>64</c:v>
                </c:pt>
                <c:pt idx="511">
                  <c:v>64</c:v>
                </c:pt>
                <c:pt idx="512">
                  <c:v>64</c:v>
                </c:pt>
                <c:pt idx="513">
                  <c:v>64</c:v>
                </c:pt>
                <c:pt idx="514">
                  <c:v>64</c:v>
                </c:pt>
                <c:pt idx="515">
                  <c:v>64</c:v>
                </c:pt>
                <c:pt idx="516">
                  <c:v>65</c:v>
                </c:pt>
                <c:pt idx="517">
                  <c:v>65</c:v>
                </c:pt>
                <c:pt idx="518">
                  <c:v>65</c:v>
                </c:pt>
                <c:pt idx="519">
                  <c:v>65</c:v>
                </c:pt>
                <c:pt idx="520">
                  <c:v>65</c:v>
                </c:pt>
                <c:pt idx="521">
                  <c:v>65</c:v>
                </c:pt>
                <c:pt idx="522">
                  <c:v>65</c:v>
                </c:pt>
                <c:pt idx="523">
                  <c:v>65</c:v>
                </c:pt>
                <c:pt idx="524">
                  <c:v>65</c:v>
                </c:pt>
                <c:pt idx="525">
                  <c:v>65</c:v>
                </c:pt>
                <c:pt idx="526">
                  <c:v>65</c:v>
                </c:pt>
                <c:pt idx="527">
                  <c:v>65</c:v>
                </c:pt>
                <c:pt idx="528">
                  <c:v>66</c:v>
                </c:pt>
                <c:pt idx="529">
                  <c:v>66</c:v>
                </c:pt>
                <c:pt idx="530">
                  <c:v>66</c:v>
                </c:pt>
                <c:pt idx="531">
                  <c:v>66</c:v>
                </c:pt>
                <c:pt idx="532">
                  <c:v>66</c:v>
                </c:pt>
                <c:pt idx="533">
                  <c:v>66</c:v>
                </c:pt>
                <c:pt idx="534">
                  <c:v>66</c:v>
                </c:pt>
                <c:pt idx="535">
                  <c:v>66</c:v>
                </c:pt>
                <c:pt idx="536">
                  <c:v>66</c:v>
                </c:pt>
                <c:pt idx="537">
                  <c:v>66</c:v>
                </c:pt>
                <c:pt idx="538">
                  <c:v>66</c:v>
                </c:pt>
                <c:pt idx="539">
                  <c:v>66</c:v>
                </c:pt>
                <c:pt idx="540">
                  <c:v>67</c:v>
                </c:pt>
                <c:pt idx="541">
                  <c:v>67</c:v>
                </c:pt>
                <c:pt idx="542">
                  <c:v>67</c:v>
                </c:pt>
                <c:pt idx="543">
                  <c:v>67</c:v>
                </c:pt>
                <c:pt idx="544">
                  <c:v>67</c:v>
                </c:pt>
                <c:pt idx="545">
                  <c:v>67</c:v>
                </c:pt>
                <c:pt idx="546">
                  <c:v>67</c:v>
                </c:pt>
                <c:pt idx="547">
                  <c:v>67</c:v>
                </c:pt>
                <c:pt idx="548">
                  <c:v>67</c:v>
                </c:pt>
                <c:pt idx="549">
                  <c:v>67</c:v>
                </c:pt>
                <c:pt idx="550">
                  <c:v>67</c:v>
                </c:pt>
                <c:pt idx="551">
                  <c:v>67</c:v>
                </c:pt>
                <c:pt idx="552">
                  <c:v>68</c:v>
                </c:pt>
                <c:pt idx="553">
                  <c:v>68</c:v>
                </c:pt>
                <c:pt idx="554">
                  <c:v>68</c:v>
                </c:pt>
                <c:pt idx="555">
                  <c:v>68</c:v>
                </c:pt>
                <c:pt idx="556">
                  <c:v>68</c:v>
                </c:pt>
                <c:pt idx="557">
                  <c:v>68</c:v>
                </c:pt>
                <c:pt idx="558">
                  <c:v>68</c:v>
                </c:pt>
                <c:pt idx="559">
                  <c:v>68</c:v>
                </c:pt>
                <c:pt idx="560">
                  <c:v>68</c:v>
                </c:pt>
                <c:pt idx="561">
                  <c:v>68</c:v>
                </c:pt>
                <c:pt idx="562">
                  <c:v>68</c:v>
                </c:pt>
                <c:pt idx="563">
                  <c:v>68</c:v>
                </c:pt>
                <c:pt idx="564">
                  <c:v>69</c:v>
                </c:pt>
                <c:pt idx="565">
                  <c:v>69</c:v>
                </c:pt>
                <c:pt idx="566">
                  <c:v>69</c:v>
                </c:pt>
                <c:pt idx="567">
                  <c:v>69</c:v>
                </c:pt>
                <c:pt idx="568">
                  <c:v>69</c:v>
                </c:pt>
                <c:pt idx="569">
                  <c:v>69</c:v>
                </c:pt>
                <c:pt idx="570">
                  <c:v>69</c:v>
                </c:pt>
                <c:pt idx="571">
                  <c:v>69</c:v>
                </c:pt>
                <c:pt idx="572">
                  <c:v>69</c:v>
                </c:pt>
                <c:pt idx="573">
                  <c:v>69</c:v>
                </c:pt>
                <c:pt idx="574">
                  <c:v>69</c:v>
                </c:pt>
                <c:pt idx="575">
                  <c:v>69</c:v>
                </c:pt>
                <c:pt idx="576">
                  <c:v>70</c:v>
                </c:pt>
                <c:pt idx="577">
                  <c:v>70</c:v>
                </c:pt>
                <c:pt idx="578">
                  <c:v>70</c:v>
                </c:pt>
                <c:pt idx="579">
                  <c:v>70</c:v>
                </c:pt>
                <c:pt idx="580">
                  <c:v>70</c:v>
                </c:pt>
                <c:pt idx="581">
                  <c:v>70</c:v>
                </c:pt>
                <c:pt idx="582">
                  <c:v>70</c:v>
                </c:pt>
                <c:pt idx="583">
                  <c:v>70</c:v>
                </c:pt>
                <c:pt idx="584">
                  <c:v>70</c:v>
                </c:pt>
                <c:pt idx="585">
                  <c:v>70</c:v>
                </c:pt>
                <c:pt idx="586">
                  <c:v>70</c:v>
                </c:pt>
                <c:pt idx="587">
                  <c:v>70</c:v>
                </c:pt>
                <c:pt idx="588">
                  <c:v>71</c:v>
                </c:pt>
                <c:pt idx="589">
                  <c:v>71</c:v>
                </c:pt>
                <c:pt idx="590">
                  <c:v>71</c:v>
                </c:pt>
                <c:pt idx="591">
                  <c:v>71</c:v>
                </c:pt>
                <c:pt idx="592">
                  <c:v>71</c:v>
                </c:pt>
                <c:pt idx="593">
                  <c:v>71</c:v>
                </c:pt>
                <c:pt idx="594">
                  <c:v>71</c:v>
                </c:pt>
                <c:pt idx="595">
                  <c:v>71</c:v>
                </c:pt>
                <c:pt idx="596">
                  <c:v>71</c:v>
                </c:pt>
                <c:pt idx="597">
                  <c:v>71</c:v>
                </c:pt>
                <c:pt idx="598">
                  <c:v>71</c:v>
                </c:pt>
                <c:pt idx="599">
                  <c:v>71</c:v>
                </c:pt>
                <c:pt idx="600">
                  <c:v>72</c:v>
                </c:pt>
                <c:pt idx="601">
                  <c:v>72</c:v>
                </c:pt>
                <c:pt idx="602">
                  <c:v>72</c:v>
                </c:pt>
                <c:pt idx="603">
                  <c:v>72</c:v>
                </c:pt>
                <c:pt idx="604">
                  <c:v>72</c:v>
                </c:pt>
                <c:pt idx="605">
                  <c:v>72</c:v>
                </c:pt>
                <c:pt idx="606">
                  <c:v>72</c:v>
                </c:pt>
                <c:pt idx="607">
                  <c:v>72</c:v>
                </c:pt>
                <c:pt idx="608">
                  <c:v>72</c:v>
                </c:pt>
                <c:pt idx="609">
                  <c:v>72</c:v>
                </c:pt>
                <c:pt idx="610">
                  <c:v>72</c:v>
                </c:pt>
                <c:pt idx="611">
                  <c:v>72</c:v>
                </c:pt>
                <c:pt idx="612">
                  <c:v>73</c:v>
                </c:pt>
                <c:pt idx="613">
                  <c:v>73</c:v>
                </c:pt>
                <c:pt idx="614">
                  <c:v>73</c:v>
                </c:pt>
                <c:pt idx="615">
                  <c:v>73</c:v>
                </c:pt>
                <c:pt idx="616">
                  <c:v>73</c:v>
                </c:pt>
                <c:pt idx="617">
                  <c:v>73</c:v>
                </c:pt>
                <c:pt idx="618">
                  <c:v>73</c:v>
                </c:pt>
                <c:pt idx="619">
                  <c:v>73</c:v>
                </c:pt>
                <c:pt idx="620">
                  <c:v>73</c:v>
                </c:pt>
                <c:pt idx="621">
                  <c:v>73</c:v>
                </c:pt>
                <c:pt idx="622">
                  <c:v>73</c:v>
                </c:pt>
                <c:pt idx="623">
                  <c:v>73</c:v>
                </c:pt>
                <c:pt idx="624">
                  <c:v>74</c:v>
                </c:pt>
                <c:pt idx="625">
                  <c:v>74</c:v>
                </c:pt>
                <c:pt idx="626">
                  <c:v>74</c:v>
                </c:pt>
                <c:pt idx="627">
                  <c:v>74</c:v>
                </c:pt>
                <c:pt idx="628">
                  <c:v>74</c:v>
                </c:pt>
                <c:pt idx="629">
                  <c:v>74</c:v>
                </c:pt>
                <c:pt idx="630">
                  <c:v>74</c:v>
                </c:pt>
                <c:pt idx="631">
                  <c:v>74</c:v>
                </c:pt>
                <c:pt idx="632">
                  <c:v>74</c:v>
                </c:pt>
                <c:pt idx="633">
                  <c:v>74</c:v>
                </c:pt>
                <c:pt idx="634">
                  <c:v>74</c:v>
                </c:pt>
                <c:pt idx="635">
                  <c:v>74</c:v>
                </c:pt>
                <c:pt idx="636">
                  <c:v>75</c:v>
                </c:pt>
                <c:pt idx="637">
                  <c:v>75</c:v>
                </c:pt>
                <c:pt idx="638">
                  <c:v>75</c:v>
                </c:pt>
                <c:pt idx="639">
                  <c:v>75</c:v>
                </c:pt>
                <c:pt idx="640">
                  <c:v>75</c:v>
                </c:pt>
                <c:pt idx="641">
                  <c:v>75</c:v>
                </c:pt>
                <c:pt idx="642">
                  <c:v>75</c:v>
                </c:pt>
                <c:pt idx="643">
                  <c:v>75</c:v>
                </c:pt>
                <c:pt idx="644">
                  <c:v>75</c:v>
                </c:pt>
                <c:pt idx="645">
                  <c:v>75</c:v>
                </c:pt>
                <c:pt idx="646">
                  <c:v>75</c:v>
                </c:pt>
                <c:pt idx="647">
                  <c:v>75</c:v>
                </c:pt>
                <c:pt idx="648">
                  <c:v>76</c:v>
                </c:pt>
                <c:pt idx="649">
                  <c:v>76</c:v>
                </c:pt>
                <c:pt idx="650">
                  <c:v>76</c:v>
                </c:pt>
                <c:pt idx="651">
                  <c:v>76</c:v>
                </c:pt>
                <c:pt idx="652">
                  <c:v>76</c:v>
                </c:pt>
                <c:pt idx="653">
                  <c:v>76</c:v>
                </c:pt>
                <c:pt idx="654">
                  <c:v>76</c:v>
                </c:pt>
                <c:pt idx="655">
                  <c:v>76</c:v>
                </c:pt>
                <c:pt idx="656">
                  <c:v>76</c:v>
                </c:pt>
                <c:pt idx="657">
                  <c:v>76</c:v>
                </c:pt>
                <c:pt idx="658">
                  <c:v>76</c:v>
                </c:pt>
                <c:pt idx="659">
                  <c:v>76</c:v>
                </c:pt>
                <c:pt idx="660">
                  <c:v>77</c:v>
                </c:pt>
                <c:pt idx="661">
                  <c:v>77</c:v>
                </c:pt>
                <c:pt idx="662">
                  <c:v>77</c:v>
                </c:pt>
                <c:pt idx="663">
                  <c:v>77</c:v>
                </c:pt>
                <c:pt idx="664">
                  <c:v>77</c:v>
                </c:pt>
                <c:pt idx="665">
                  <c:v>77</c:v>
                </c:pt>
                <c:pt idx="666">
                  <c:v>77</c:v>
                </c:pt>
                <c:pt idx="667">
                  <c:v>77</c:v>
                </c:pt>
                <c:pt idx="668">
                  <c:v>77</c:v>
                </c:pt>
                <c:pt idx="669">
                  <c:v>77</c:v>
                </c:pt>
                <c:pt idx="670">
                  <c:v>77</c:v>
                </c:pt>
                <c:pt idx="671">
                  <c:v>77</c:v>
                </c:pt>
                <c:pt idx="672">
                  <c:v>78</c:v>
                </c:pt>
                <c:pt idx="673">
                  <c:v>78</c:v>
                </c:pt>
                <c:pt idx="674">
                  <c:v>78</c:v>
                </c:pt>
                <c:pt idx="675">
                  <c:v>78</c:v>
                </c:pt>
                <c:pt idx="676">
                  <c:v>78</c:v>
                </c:pt>
                <c:pt idx="677">
                  <c:v>78</c:v>
                </c:pt>
                <c:pt idx="678">
                  <c:v>78</c:v>
                </c:pt>
                <c:pt idx="679">
                  <c:v>78</c:v>
                </c:pt>
                <c:pt idx="680">
                  <c:v>78</c:v>
                </c:pt>
                <c:pt idx="681">
                  <c:v>78</c:v>
                </c:pt>
                <c:pt idx="682">
                  <c:v>78</c:v>
                </c:pt>
                <c:pt idx="683">
                  <c:v>78</c:v>
                </c:pt>
                <c:pt idx="684">
                  <c:v>79</c:v>
                </c:pt>
                <c:pt idx="685">
                  <c:v>79</c:v>
                </c:pt>
                <c:pt idx="686">
                  <c:v>79</c:v>
                </c:pt>
                <c:pt idx="687">
                  <c:v>79</c:v>
                </c:pt>
                <c:pt idx="688">
                  <c:v>79</c:v>
                </c:pt>
                <c:pt idx="689">
                  <c:v>79</c:v>
                </c:pt>
                <c:pt idx="690">
                  <c:v>79</c:v>
                </c:pt>
                <c:pt idx="691">
                  <c:v>79</c:v>
                </c:pt>
                <c:pt idx="692">
                  <c:v>79</c:v>
                </c:pt>
                <c:pt idx="693">
                  <c:v>79</c:v>
                </c:pt>
                <c:pt idx="694">
                  <c:v>79</c:v>
                </c:pt>
                <c:pt idx="695">
                  <c:v>79</c:v>
                </c:pt>
                <c:pt idx="696">
                  <c:v>80</c:v>
                </c:pt>
                <c:pt idx="697">
                  <c:v>80</c:v>
                </c:pt>
                <c:pt idx="698">
                  <c:v>80</c:v>
                </c:pt>
                <c:pt idx="699">
                  <c:v>80</c:v>
                </c:pt>
                <c:pt idx="700">
                  <c:v>80</c:v>
                </c:pt>
                <c:pt idx="701">
                  <c:v>80</c:v>
                </c:pt>
                <c:pt idx="702">
                  <c:v>80</c:v>
                </c:pt>
                <c:pt idx="703">
                  <c:v>80</c:v>
                </c:pt>
                <c:pt idx="704">
                  <c:v>80</c:v>
                </c:pt>
                <c:pt idx="705">
                  <c:v>80</c:v>
                </c:pt>
                <c:pt idx="706">
                  <c:v>80</c:v>
                </c:pt>
                <c:pt idx="707">
                  <c:v>80</c:v>
                </c:pt>
              </c:numCache>
            </c:numRef>
          </c:cat>
          <c:val>
            <c:numRef>
              <c:f>'Final version'!$B$2:$B$709</c:f>
              <c:numCache>
                <c:formatCode>General</c:formatCode>
                <c:ptCount val="70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100.00009308803399</c:v>
                </c:pt>
                <c:pt idx="241">
                  <c:v>99.634161469311493</c:v>
                </c:pt>
                <c:pt idx="242">
                  <c:v>99.2686358923238</c:v>
                </c:pt>
                <c:pt idx="243">
                  <c:v>98.907421001726505</c:v>
                </c:pt>
                <c:pt idx="244">
                  <c:v>98.543223554700504</c:v>
                </c:pt>
                <c:pt idx="245">
                  <c:v>98.190435826384899</c:v>
                </c:pt>
                <c:pt idx="246">
                  <c:v>97.865311172113195</c:v>
                </c:pt>
                <c:pt idx="247">
                  <c:v>97.510185451883999</c:v>
                </c:pt>
                <c:pt idx="248">
                  <c:v>97.180227171291804</c:v>
                </c:pt>
                <c:pt idx="249">
                  <c:v>96.888148469061392</c:v>
                </c:pt>
                <c:pt idx="250">
                  <c:v>96.550532019802802</c:v>
                </c:pt>
                <c:pt idx="251">
                  <c:v>96.222298505352597</c:v>
                </c:pt>
                <c:pt idx="252">
                  <c:v>95.877720975876301</c:v>
                </c:pt>
                <c:pt idx="253">
                  <c:v>95.550350937989208</c:v>
                </c:pt>
                <c:pt idx="254">
                  <c:v>95.2761923071007</c:v>
                </c:pt>
                <c:pt idx="255">
                  <c:v>94.936310244942206</c:v>
                </c:pt>
                <c:pt idx="256">
                  <c:v>94.637755489057199</c:v>
                </c:pt>
                <c:pt idx="257">
                  <c:v>94.399820392931105</c:v>
                </c:pt>
                <c:pt idx="258">
                  <c:v>94.075211379516603</c:v>
                </c:pt>
                <c:pt idx="259">
                  <c:v>93.764840953417604</c:v>
                </c:pt>
                <c:pt idx="260">
                  <c:v>93.432290282274096</c:v>
                </c:pt>
                <c:pt idx="261">
                  <c:v>93.143124573070807</c:v>
                </c:pt>
                <c:pt idx="262">
                  <c:v>92.927229488053001</c:v>
                </c:pt>
                <c:pt idx="263">
                  <c:v>92.605407072237298</c:v>
                </c:pt>
                <c:pt idx="264">
                  <c:v>92.342033572794705</c:v>
                </c:pt>
                <c:pt idx="265">
                  <c:v>92.161131956177798</c:v>
                </c:pt>
                <c:pt idx="266">
                  <c:v>91.8572709748656</c:v>
                </c:pt>
                <c:pt idx="267">
                  <c:v>91.572709817044995</c:v>
                </c:pt>
                <c:pt idx="268">
                  <c:v>91.243928407308388</c:v>
                </c:pt>
                <c:pt idx="269">
                  <c:v>90.978564012911605</c:v>
                </c:pt>
                <c:pt idx="270">
                  <c:v>90.796077474172705</c:v>
                </c:pt>
                <c:pt idx="271">
                  <c:v>90.491136888825494</c:v>
                </c:pt>
                <c:pt idx="272">
                  <c:v>90.257634199558296</c:v>
                </c:pt>
                <c:pt idx="273">
                  <c:v>90.116534860283807</c:v>
                </c:pt>
                <c:pt idx="274">
                  <c:v>89.820624753932705</c:v>
                </c:pt>
                <c:pt idx="275">
                  <c:v>89.551554324488905</c:v>
                </c:pt>
                <c:pt idx="276">
                  <c:v>89.245077648487509</c:v>
                </c:pt>
                <c:pt idx="277">
                  <c:v>88.998122926329401</c:v>
                </c:pt>
                <c:pt idx="278">
                  <c:v>88.8522226169286</c:v>
                </c:pt>
                <c:pt idx="279">
                  <c:v>88.552986511002601</c:v>
                </c:pt>
                <c:pt idx="280">
                  <c:v>88.328811582412499</c:v>
                </c:pt>
                <c:pt idx="281">
                  <c:v>88.207024218847991</c:v>
                </c:pt>
                <c:pt idx="282">
                  <c:v>87.934756833509297</c:v>
                </c:pt>
                <c:pt idx="283">
                  <c:v>87.678240670132794</c:v>
                </c:pt>
                <c:pt idx="284">
                  <c:v>87.386244186794301</c:v>
                </c:pt>
                <c:pt idx="285">
                  <c:v>87.16599681993749</c:v>
                </c:pt>
                <c:pt idx="286">
                  <c:v>87.066032204511103</c:v>
                </c:pt>
                <c:pt idx="287">
                  <c:v>86.784105209622297</c:v>
                </c:pt>
                <c:pt idx="288">
                  <c:v>86.582982990091494</c:v>
                </c:pt>
                <c:pt idx="289">
                  <c:v>86.495813201871499</c:v>
                </c:pt>
                <c:pt idx="290">
                  <c:v>86.239804565554806</c:v>
                </c:pt>
                <c:pt idx="291">
                  <c:v>86.001920477325598</c:v>
                </c:pt>
                <c:pt idx="292">
                  <c:v>85.727381061961907</c:v>
                </c:pt>
                <c:pt idx="293">
                  <c:v>85.535906797394404</c:v>
                </c:pt>
                <c:pt idx="294">
                  <c:v>85.452229225720998</c:v>
                </c:pt>
                <c:pt idx="295">
                  <c:v>85.182816672684297</c:v>
                </c:pt>
                <c:pt idx="296">
                  <c:v>85.003992183292496</c:v>
                </c:pt>
                <c:pt idx="297">
                  <c:v>84.953962437103201</c:v>
                </c:pt>
                <c:pt idx="298">
                  <c:v>84.702285782902791</c:v>
                </c:pt>
                <c:pt idx="299">
                  <c:v>84.481036602031097</c:v>
                </c:pt>
                <c:pt idx="300">
                  <c:v>84.209556917664699</c:v>
                </c:pt>
                <c:pt idx="301">
                  <c:v>84.024874370064595</c:v>
                </c:pt>
                <c:pt idx="302">
                  <c:v>83.971437838479602</c:v>
                </c:pt>
                <c:pt idx="303">
                  <c:v>83.698719207371298</c:v>
                </c:pt>
                <c:pt idx="304">
                  <c:v>83.536522440478905</c:v>
                </c:pt>
                <c:pt idx="305">
                  <c:v>83.512020389004505</c:v>
                </c:pt>
                <c:pt idx="306">
                  <c:v>83.269171112925193</c:v>
                </c:pt>
                <c:pt idx="307">
                  <c:v>83.061992902829601</c:v>
                </c:pt>
                <c:pt idx="308">
                  <c:v>82.781189447198599</c:v>
                </c:pt>
                <c:pt idx="309">
                  <c:v>82.602879917064698</c:v>
                </c:pt>
                <c:pt idx="310">
                  <c:v>82.582815945622897</c:v>
                </c:pt>
                <c:pt idx="311">
                  <c:v>82.345974811526105</c:v>
                </c:pt>
                <c:pt idx="312">
                  <c:v>82.183122849974296</c:v>
                </c:pt>
                <c:pt idx="313">
                  <c:v>82.182649994411804</c:v>
                </c:pt>
                <c:pt idx="314">
                  <c:v>81.969087778562894</c:v>
                </c:pt>
                <c:pt idx="315">
                  <c:v>81.781982890712499</c:v>
                </c:pt>
                <c:pt idx="316">
                  <c:v>81.502251272203097</c:v>
                </c:pt>
                <c:pt idx="317">
                  <c:v>81.345205015870306</c:v>
                </c:pt>
                <c:pt idx="318">
                  <c:v>81.329339793172792</c:v>
                </c:pt>
                <c:pt idx="319">
                  <c:v>81.088713614414701</c:v>
                </c:pt>
                <c:pt idx="320">
                  <c:v>80.960953515357303</c:v>
                </c:pt>
                <c:pt idx="321">
                  <c:v>80.9896793326661</c:v>
                </c:pt>
                <c:pt idx="322">
                  <c:v>80.764867499543897</c:v>
                </c:pt>
                <c:pt idx="323">
                  <c:v>80.575268363313896</c:v>
                </c:pt>
                <c:pt idx="324">
                  <c:v>80.284479478514399</c:v>
                </c:pt>
                <c:pt idx="325">
                  <c:v>80.132195735949196</c:v>
                </c:pt>
                <c:pt idx="326">
                  <c:v>80.158548566097096</c:v>
                </c:pt>
                <c:pt idx="327">
                  <c:v>79.901367918308296</c:v>
                </c:pt>
                <c:pt idx="328">
                  <c:v>79.784224204875997</c:v>
                </c:pt>
                <c:pt idx="329">
                  <c:v>79.827734464825696</c:v>
                </c:pt>
                <c:pt idx="330">
                  <c:v>79.618134437756211</c:v>
                </c:pt>
                <c:pt idx="331">
                  <c:v>79.443904595125403</c:v>
                </c:pt>
                <c:pt idx="332">
                  <c:v>79.209766845432299</c:v>
                </c:pt>
                <c:pt idx="333">
                  <c:v>79.084494476620605</c:v>
                </c:pt>
                <c:pt idx="334">
                  <c:v>79.106675454647899</c:v>
                </c:pt>
                <c:pt idx="335">
                  <c:v>78.867587136890009</c:v>
                </c:pt>
                <c:pt idx="336">
                  <c:v>78.769930031269695</c:v>
                </c:pt>
                <c:pt idx="337">
                  <c:v>78.8189436692181</c:v>
                </c:pt>
                <c:pt idx="338">
                  <c:v>78.603699422234996</c:v>
                </c:pt>
                <c:pt idx="339">
                  <c:v>78.434909871486809</c:v>
                </c:pt>
                <c:pt idx="340">
                  <c:v>78.220159868499493</c:v>
                </c:pt>
                <c:pt idx="341">
                  <c:v>78.091741278905005</c:v>
                </c:pt>
                <c:pt idx="342">
                  <c:v>78.133285013108704</c:v>
                </c:pt>
                <c:pt idx="343">
                  <c:v>77.920347439762907</c:v>
                </c:pt>
                <c:pt idx="344">
                  <c:v>77.834183447313805</c:v>
                </c:pt>
                <c:pt idx="345">
                  <c:v>77.925726741004397</c:v>
                </c:pt>
                <c:pt idx="346">
                  <c:v>77.720982922301189</c:v>
                </c:pt>
                <c:pt idx="347">
                  <c:v>77.561786084186394</c:v>
                </c:pt>
                <c:pt idx="348">
                  <c:v>77.331357277404706</c:v>
                </c:pt>
                <c:pt idx="349">
                  <c:v>77.196037353036601</c:v>
                </c:pt>
                <c:pt idx="350">
                  <c:v>77.2472003914868</c:v>
                </c:pt>
                <c:pt idx="351">
                  <c:v>77.032470628396297</c:v>
                </c:pt>
                <c:pt idx="352">
                  <c:v>76.951955646500707</c:v>
                </c:pt>
                <c:pt idx="353">
                  <c:v>77.048130618458899</c:v>
                </c:pt>
                <c:pt idx="354">
                  <c:v>76.8435707635185</c:v>
                </c:pt>
                <c:pt idx="355">
                  <c:v>76.684379655212695</c:v>
                </c:pt>
                <c:pt idx="356">
                  <c:v>76.474051165041203</c:v>
                </c:pt>
                <c:pt idx="357">
                  <c:v>76.3709528204961</c:v>
                </c:pt>
                <c:pt idx="358">
                  <c:v>76.431181585185101</c:v>
                </c:pt>
                <c:pt idx="359">
                  <c:v>76.2262047236933</c:v>
                </c:pt>
                <c:pt idx="360">
                  <c:v>76.149817899574799</c:v>
                </c:pt>
                <c:pt idx="361">
                  <c:v>76.252695811033206</c:v>
                </c:pt>
                <c:pt idx="362">
                  <c:v>76.065798887097998</c:v>
                </c:pt>
                <c:pt idx="363">
                  <c:v>75.915587954245694</c:v>
                </c:pt>
                <c:pt idx="364">
                  <c:v>75.682578061557308</c:v>
                </c:pt>
                <c:pt idx="365">
                  <c:v>75.579926615317504</c:v>
                </c:pt>
                <c:pt idx="366">
                  <c:v>75.648301319301709</c:v>
                </c:pt>
                <c:pt idx="367">
                  <c:v>75.428552517235204</c:v>
                </c:pt>
                <c:pt idx="368">
                  <c:v>75.352453436059491</c:v>
                </c:pt>
                <c:pt idx="369">
                  <c:v>75.470808835859103</c:v>
                </c:pt>
                <c:pt idx="370">
                  <c:v>75.288842953147096</c:v>
                </c:pt>
                <c:pt idx="371">
                  <c:v>75.146972409675811</c:v>
                </c:pt>
                <c:pt idx="372">
                  <c:v>74.931293819558604</c:v>
                </c:pt>
                <c:pt idx="373">
                  <c:v>74.827240675692892</c:v>
                </c:pt>
                <c:pt idx="374">
                  <c:v>74.91837633032759</c:v>
                </c:pt>
                <c:pt idx="375">
                  <c:v>74.712943354299398</c:v>
                </c:pt>
                <c:pt idx="376">
                  <c:v>74.638568173675097</c:v>
                </c:pt>
                <c:pt idx="377">
                  <c:v>74.780929493619198</c:v>
                </c:pt>
                <c:pt idx="378">
                  <c:v>74.575985513832393</c:v>
                </c:pt>
                <c:pt idx="379">
                  <c:v>74.426355719559396</c:v>
                </c:pt>
                <c:pt idx="380">
                  <c:v>74.2088877002749</c:v>
                </c:pt>
                <c:pt idx="381">
                  <c:v>74.118121698308997</c:v>
                </c:pt>
                <c:pt idx="382">
                  <c:v>74.2471435349036</c:v>
                </c:pt>
                <c:pt idx="383">
                  <c:v>74.035097180872498</c:v>
                </c:pt>
                <c:pt idx="384">
                  <c:v>73.987208479142893</c:v>
                </c:pt>
                <c:pt idx="385">
                  <c:v>74.134062526769995</c:v>
                </c:pt>
                <c:pt idx="386">
                  <c:v>73.962116123154502</c:v>
                </c:pt>
                <c:pt idx="387">
                  <c:v>73.826376995850495</c:v>
                </c:pt>
                <c:pt idx="388">
                  <c:v>73.600806263761598</c:v>
                </c:pt>
                <c:pt idx="389">
                  <c:v>73.529932791475204</c:v>
                </c:pt>
                <c:pt idx="390">
                  <c:v>73.647329705145907</c:v>
                </c:pt>
                <c:pt idx="391">
                  <c:v>73.455198320002197</c:v>
                </c:pt>
                <c:pt idx="392">
                  <c:v>73.401961440102397</c:v>
                </c:pt>
                <c:pt idx="393">
                  <c:v>73.546492910389702</c:v>
                </c:pt>
                <c:pt idx="394">
                  <c:v>73.386985954135795</c:v>
                </c:pt>
                <c:pt idx="395">
                  <c:v>73.257642763896499</c:v>
                </c:pt>
                <c:pt idx="396">
                  <c:v>73.066394980363597</c:v>
                </c:pt>
                <c:pt idx="397">
                  <c:v>73.016877522750704</c:v>
                </c:pt>
                <c:pt idx="398">
                  <c:v>73.129245294956903</c:v>
                </c:pt>
                <c:pt idx="399">
                  <c:v>72.953444522052109</c:v>
                </c:pt>
                <c:pt idx="400">
                  <c:v>72.928139814825897</c:v>
                </c:pt>
                <c:pt idx="401">
                  <c:v>73.088057057388795</c:v>
                </c:pt>
                <c:pt idx="402">
                  <c:v>72.935440357186195</c:v>
                </c:pt>
                <c:pt idx="403">
                  <c:v>72.833409817307498</c:v>
                </c:pt>
                <c:pt idx="404">
                  <c:v>72.650072532740694</c:v>
                </c:pt>
                <c:pt idx="405">
                  <c:v>72.592059824720508</c:v>
                </c:pt>
                <c:pt idx="406">
                  <c:v>72.716151246276098</c:v>
                </c:pt>
                <c:pt idx="407">
                  <c:v>72.538809221533199</c:v>
                </c:pt>
                <c:pt idx="408">
                  <c:v>72.502200446445997</c:v>
                </c:pt>
                <c:pt idx="409">
                  <c:v>72.663505235851304</c:v>
                </c:pt>
                <c:pt idx="410">
                  <c:v>72.499001217720703</c:v>
                </c:pt>
                <c:pt idx="411">
                  <c:v>72.392335635722603</c:v>
                </c:pt>
                <c:pt idx="412">
                  <c:v>72.172487957677902</c:v>
                </c:pt>
                <c:pt idx="413">
                  <c:v>72.110167125202992</c:v>
                </c:pt>
                <c:pt idx="414">
                  <c:v>72.240927732379404</c:v>
                </c:pt>
                <c:pt idx="415">
                  <c:v>72.057791391310701</c:v>
                </c:pt>
                <c:pt idx="416">
                  <c:v>72.043994455726306</c:v>
                </c:pt>
                <c:pt idx="417">
                  <c:v>72.214289035442306</c:v>
                </c:pt>
                <c:pt idx="418">
                  <c:v>72.061109808288506</c:v>
                </c:pt>
                <c:pt idx="419">
                  <c:v>71.955233478543306</c:v>
                </c:pt>
                <c:pt idx="420">
                  <c:v>71.735103403733405</c:v>
                </c:pt>
                <c:pt idx="421">
                  <c:v>71.676127509117904</c:v>
                </c:pt>
                <c:pt idx="422">
                  <c:v>71.803148825703602</c:v>
                </c:pt>
                <c:pt idx="423">
                  <c:v>71.615889033420501</c:v>
                </c:pt>
                <c:pt idx="424">
                  <c:v>71.576762942519096</c:v>
                </c:pt>
                <c:pt idx="425">
                  <c:v>71.751019352652705</c:v>
                </c:pt>
                <c:pt idx="426">
                  <c:v>71.584579794517097</c:v>
                </c:pt>
                <c:pt idx="427">
                  <c:v>71.490598733039405</c:v>
                </c:pt>
                <c:pt idx="428">
                  <c:v>71.309417012151599</c:v>
                </c:pt>
                <c:pt idx="429">
                  <c:v>71.266900518164107</c:v>
                </c:pt>
                <c:pt idx="430">
                  <c:v>71.433990005835099</c:v>
                </c:pt>
                <c:pt idx="431">
                  <c:v>71.243718091274602</c:v>
                </c:pt>
                <c:pt idx="432">
                  <c:v>71.230198030910401</c:v>
                </c:pt>
                <c:pt idx="433">
                  <c:v>71.428057132200095</c:v>
                </c:pt>
                <c:pt idx="434">
                  <c:v>71.296219013687903</c:v>
                </c:pt>
                <c:pt idx="435">
                  <c:v>71.204863131498001</c:v>
                </c:pt>
                <c:pt idx="436">
                  <c:v>71.040802072875692</c:v>
                </c:pt>
                <c:pt idx="437">
                  <c:v>70.9788920171695</c:v>
                </c:pt>
                <c:pt idx="438">
                  <c:v>71.15506002866951</c:v>
                </c:pt>
                <c:pt idx="439">
                  <c:v>70.986032650003196</c:v>
                </c:pt>
                <c:pt idx="440">
                  <c:v>70.978862022055793</c:v>
                </c:pt>
                <c:pt idx="441">
                  <c:v>71.165413420379295</c:v>
                </c:pt>
                <c:pt idx="442">
                  <c:v>71.015610690757697</c:v>
                </c:pt>
                <c:pt idx="443">
                  <c:v>70.906899194924705</c:v>
                </c:pt>
                <c:pt idx="444">
                  <c:v>70.714187865584094</c:v>
                </c:pt>
                <c:pt idx="445">
                  <c:v>70.667175964331591</c:v>
                </c:pt>
                <c:pt idx="446">
                  <c:v>70.820557689469396</c:v>
                </c:pt>
                <c:pt idx="447">
                  <c:v>70.681841958308198</c:v>
                </c:pt>
                <c:pt idx="448">
                  <c:v>70.683505871502803</c:v>
                </c:pt>
                <c:pt idx="449">
                  <c:v>70.873709857471496</c:v>
                </c:pt>
                <c:pt idx="450">
                  <c:v>70.720255893295899</c:v>
                </c:pt>
                <c:pt idx="451">
                  <c:v>70.659567847333705</c:v>
                </c:pt>
                <c:pt idx="452">
                  <c:v>70.479968614346504</c:v>
                </c:pt>
                <c:pt idx="453">
                  <c:v>70.431210734227506</c:v>
                </c:pt>
                <c:pt idx="454">
                  <c:v>70.582576883970702</c:v>
                </c:pt>
                <c:pt idx="455">
                  <c:v>70.403946978274007</c:v>
                </c:pt>
                <c:pt idx="456">
                  <c:v>70.382109271840903</c:v>
                </c:pt>
                <c:pt idx="457">
                  <c:v>70.552668903635094</c:v>
                </c:pt>
                <c:pt idx="458">
                  <c:v>70.404941882420502</c:v>
                </c:pt>
                <c:pt idx="459">
                  <c:v>70.310936481234904</c:v>
                </c:pt>
                <c:pt idx="460">
                  <c:v>70.146307628101894</c:v>
                </c:pt>
                <c:pt idx="461">
                  <c:v>70.108271852378607</c:v>
                </c:pt>
                <c:pt idx="462">
                  <c:v>70.2997783745639</c:v>
                </c:pt>
                <c:pt idx="463">
                  <c:v>70.130278944042303</c:v>
                </c:pt>
                <c:pt idx="464">
                  <c:v>70.122007284878393</c:v>
                </c:pt>
                <c:pt idx="465">
                  <c:v>70.326163322613297</c:v>
                </c:pt>
                <c:pt idx="466">
                  <c:v>70.194836431478308</c:v>
                </c:pt>
                <c:pt idx="467">
                  <c:v>70.1129087713649</c:v>
                </c:pt>
                <c:pt idx="468">
                  <c:v>69.934464992554297</c:v>
                </c:pt>
                <c:pt idx="469">
                  <c:v>69.875932356986198</c:v>
                </c:pt>
                <c:pt idx="470">
                  <c:v>70.017207527192809</c:v>
                </c:pt>
                <c:pt idx="471">
                  <c:v>69.829766334865198</c:v>
                </c:pt>
                <c:pt idx="472">
                  <c:v>69.824165058075209</c:v>
                </c:pt>
                <c:pt idx="473">
                  <c:v>70.015319342840897</c:v>
                </c:pt>
                <c:pt idx="474">
                  <c:v>69.898162930473688</c:v>
                </c:pt>
                <c:pt idx="475">
                  <c:v>69.814740777728801</c:v>
                </c:pt>
                <c:pt idx="476">
                  <c:v>69.658555936781497</c:v>
                </c:pt>
                <c:pt idx="477">
                  <c:v>69.627140562501296</c:v>
                </c:pt>
                <c:pt idx="478">
                  <c:v>69.805263462609403</c:v>
                </c:pt>
                <c:pt idx="479">
                  <c:v>69.6493232669863</c:v>
                </c:pt>
                <c:pt idx="480">
                  <c:v>69.235578906428088</c:v>
                </c:pt>
                <c:pt idx="481">
                  <c:v>68.821834545869876</c:v>
                </c:pt>
                <c:pt idx="482">
                  <c:v>68.408090185311664</c:v>
                </c:pt>
                <c:pt idx="483">
                  <c:v>67.994345824753452</c:v>
                </c:pt>
                <c:pt idx="484">
                  <c:v>67.58060146419524</c:v>
                </c:pt>
                <c:pt idx="485">
                  <c:v>67.166857103637028</c:v>
                </c:pt>
                <c:pt idx="486">
                  <c:v>66.753112743078816</c:v>
                </c:pt>
                <c:pt idx="487">
                  <c:v>66.339368382520604</c:v>
                </c:pt>
                <c:pt idx="488">
                  <c:v>65.925624021962392</c:v>
                </c:pt>
                <c:pt idx="489">
                  <c:v>65.51187966140418</c:v>
                </c:pt>
                <c:pt idx="490">
                  <c:v>65.098135300845968</c:v>
                </c:pt>
                <c:pt idx="491">
                  <c:v>64.684390940287756</c:v>
                </c:pt>
                <c:pt idx="492">
                  <c:v>64.270646579729544</c:v>
                </c:pt>
                <c:pt idx="493">
                  <c:v>63.856902219171324</c:v>
                </c:pt>
                <c:pt idx="494">
                  <c:v>63.443157858613105</c:v>
                </c:pt>
                <c:pt idx="495">
                  <c:v>63.029413498054886</c:v>
                </c:pt>
                <c:pt idx="496">
                  <c:v>62.615669137496667</c:v>
                </c:pt>
                <c:pt idx="497">
                  <c:v>62.201924776938448</c:v>
                </c:pt>
                <c:pt idx="498">
                  <c:v>61.788180416380229</c:v>
                </c:pt>
                <c:pt idx="499">
                  <c:v>61.374436055822009</c:v>
                </c:pt>
                <c:pt idx="500">
                  <c:v>60.96069169526379</c:v>
                </c:pt>
                <c:pt idx="501">
                  <c:v>60.546947334705571</c:v>
                </c:pt>
                <c:pt idx="502">
                  <c:v>60.133202974147352</c:v>
                </c:pt>
                <c:pt idx="503">
                  <c:v>59.719458613589133</c:v>
                </c:pt>
                <c:pt idx="504">
                  <c:v>59.305714253030914</c:v>
                </c:pt>
                <c:pt idx="505">
                  <c:v>58.891969892472694</c:v>
                </c:pt>
                <c:pt idx="506">
                  <c:v>58.478225531914475</c:v>
                </c:pt>
                <c:pt idx="507">
                  <c:v>58.064481171356256</c:v>
                </c:pt>
                <c:pt idx="508">
                  <c:v>57.650736810798037</c:v>
                </c:pt>
                <c:pt idx="509">
                  <c:v>57.236992450239818</c:v>
                </c:pt>
                <c:pt idx="510">
                  <c:v>56.823248089681599</c:v>
                </c:pt>
                <c:pt idx="511">
                  <c:v>56.409503729123379</c:v>
                </c:pt>
                <c:pt idx="512">
                  <c:v>55.99575936856516</c:v>
                </c:pt>
                <c:pt idx="513">
                  <c:v>55.582015008006941</c:v>
                </c:pt>
                <c:pt idx="514">
                  <c:v>55.168270647448722</c:v>
                </c:pt>
                <c:pt idx="515">
                  <c:v>54.754526286890503</c:v>
                </c:pt>
                <c:pt idx="516">
                  <c:v>54.340781926332284</c:v>
                </c:pt>
                <c:pt idx="517">
                  <c:v>53.927037565774064</c:v>
                </c:pt>
                <c:pt idx="518">
                  <c:v>53.513293205215845</c:v>
                </c:pt>
                <c:pt idx="519">
                  <c:v>53.099548844657626</c:v>
                </c:pt>
                <c:pt idx="520">
                  <c:v>52.685804484099407</c:v>
                </c:pt>
                <c:pt idx="521">
                  <c:v>52.272060123541188</c:v>
                </c:pt>
                <c:pt idx="522">
                  <c:v>51.858315762982969</c:v>
                </c:pt>
                <c:pt idx="523">
                  <c:v>51.444571402424749</c:v>
                </c:pt>
                <c:pt idx="524">
                  <c:v>51.03082704186653</c:v>
                </c:pt>
                <c:pt idx="525">
                  <c:v>50.617082681308311</c:v>
                </c:pt>
                <c:pt idx="526">
                  <c:v>50.203338320750092</c:v>
                </c:pt>
                <c:pt idx="527">
                  <c:v>49.789593960191873</c:v>
                </c:pt>
                <c:pt idx="528">
                  <c:v>49.375849599633653</c:v>
                </c:pt>
                <c:pt idx="529">
                  <c:v>48.962105239075434</c:v>
                </c:pt>
                <c:pt idx="530">
                  <c:v>48.548360878517215</c:v>
                </c:pt>
                <c:pt idx="531">
                  <c:v>48.134616517958996</c:v>
                </c:pt>
                <c:pt idx="532">
                  <c:v>47.720872157400777</c:v>
                </c:pt>
                <c:pt idx="533">
                  <c:v>47.307127796842558</c:v>
                </c:pt>
                <c:pt idx="534">
                  <c:v>46.893383436284338</c:v>
                </c:pt>
                <c:pt idx="535">
                  <c:v>46.479639075726119</c:v>
                </c:pt>
                <c:pt idx="536">
                  <c:v>46.0658947151679</c:v>
                </c:pt>
                <c:pt idx="537">
                  <c:v>45.652150354609681</c:v>
                </c:pt>
                <c:pt idx="538">
                  <c:v>45.238405994051462</c:v>
                </c:pt>
                <c:pt idx="539">
                  <c:v>44.824661633493243</c:v>
                </c:pt>
                <c:pt idx="540">
                  <c:v>44.410917272935023</c:v>
                </c:pt>
                <c:pt idx="541">
                  <c:v>43.997172912376804</c:v>
                </c:pt>
                <c:pt idx="542">
                  <c:v>43.583428551818585</c:v>
                </c:pt>
                <c:pt idx="543">
                  <c:v>43.169684191260366</c:v>
                </c:pt>
                <c:pt idx="544">
                  <c:v>42.755939830702147</c:v>
                </c:pt>
                <c:pt idx="545">
                  <c:v>42.342195470143928</c:v>
                </c:pt>
                <c:pt idx="546">
                  <c:v>41.928451109585708</c:v>
                </c:pt>
                <c:pt idx="547">
                  <c:v>41.514706749027489</c:v>
                </c:pt>
                <c:pt idx="548">
                  <c:v>41.10096238846927</c:v>
                </c:pt>
                <c:pt idx="549">
                  <c:v>40.687218027911051</c:v>
                </c:pt>
                <c:pt idx="550">
                  <c:v>40.273473667352832</c:v>
                </c:pt>
                <c:pt idx="551">
                  <c:v>39.859729306794613</c:v>
                </c:pt>
                <c:pt idx="552">
                  <c:v>39.445984946236393</c:v>
                </c:pt>
                <c:pt idx="553">
                  <c:v>39.032240585678174</c:v>
                </c:pt>
                <c:pt idx="554">
                  <c:v>38.618496225119955</c:v>
                </c:pt>
                <c:pt idx="555">
                  <c:v>38.204751864561736</c:v>
                </c:pt>
                <c:pt idx="556">
                  <c:v>37.791007504003517</c:v>
                </c:pt>
                <c:pt idx="557">
                  <c:v>37.377263143445298</c:v>
                </c:pt>
                <c:pt idx="558">
                  <c:v>36.963518782887078</c:v>
                </c:pt>
                <c:pt idx="559">
                  <c:v>36.549774422328859</c:v>
                </c:pt>
                <c:pt idx="560">
                  <c:v>36.13603006177064</c:v>
                </c:pt>
                <c:pt idx="561">
                  <c:v>35.722285701212421</c:v>
                </c:pt>
                <c:pt idx="562">
                  <c:v>35.308541340654202</c:v>
                </c:pt>
                <c:pt idx="563">
                  <c:v>34.894796980095983</c:v>
                </c:pt>
                <c:pt idx="564">
                  <c:v>34.481052619537763</c:v>
                </c:pt>
                <c:pt idx="565">
                  <c:v>34.067308258979544</c:v>
                </c:pt>
                <c:pt idx="566">
                  <c:v>33.653563898421325</c:v>
                </c:pt>
                <c:pt idx="567">
                  <c:v>33.239819537863106</c:v>
                </c:pt>
                <c:pt idx="568">
                  <c:v>32.826075177304887</c:v>
                </c:pt>
                <c:pt idx="569">
                  <c:v>32.412330816746667</c:v>
                </c:pt>
                <c:pt idx="570">
                  <c:v>31.998586456188448</c:v>
                </c:pt>
                <c:pt idx="571">
                  <c:v>31.584842095630229</c:v>
                </c:pt>
                <c:pt idx="572">
                  <c:v>31.17109773507201</c:v>
                </c:pt>
                <c:pt idx="573">
                  <c:v>30.757353374513791</c:v>
                </c:pt>
                <c:pt idx="574">
                  <c:v>30.343609013955572</c:v>
                </c:pt>
                <c:pt idx="575">
                  <c:v>29.929864653397352</c:v>
                </c:pt>
                <c:pt idx="576">
                  <c:v>29.516120292839133</c:v>
                </c:pt>
                <c:pt idx="577">
                  <c:v>29.102375932280914</c:v>
                </c:pt>
                <c:pt idx="578">
                  <c:v>28.688631571722695</c:v>
                </c:pt>
                <c:pt idx="579">
                  <c:v>28.274887211164476</c:v>
                </c:pt>
                <c:pt idx="580">
                  <c:v>27.861142850606257</c:v>
                </c:pt>
                <c:pt idx="581">
                  <c:v>27.447398490048037</c:v>
                </c:pt>
                <c:pt idx="582">
                  <c:v>27.033654129489818</c:v>
                </c:pt>
                <c:pt idx="583">
                  <c:v>26.619909768931599</c:v>
                </c:pt>
                <c:pt idx="584">
                  <c:v>26.20616540837338</c:v>
                </c:pt>
                <c:pt idx="585">
                  <c:v>25.792421047815161</c:v>
                </c:pt>
                <c:pt idx="586">
                  <c:v>25.378676687256942</c:v>
                </c:pt>
                <c:pt idx="587">
                  <c:v>24.964932326698722</c:v>
                </c:pt>
                <c:pt idx="588">
                  <c:v>24.551187966140503</c:v>
                </c:pt>
                <c:pt idx="589">
                  <c:v>24.137443605582284</c:v>
                </c:pt>
                <c:pt idx="590">
                  <c:v>23.723699245024065</c:v>
                </c:pt>
                <c:pt idx="591">
                  <c:v>23.309954884465846</c:v>
                </c:pt>
                <c:pt idx="592">
                  <c:v>22.896210523907627</c:v>
                </c:pt>
                <c:pt idx="593">
                  <c:v>22.482466163349407</c:v>
                </c:pt>
                <c:pt idx="594">
                  <c:v>22.068721802791188</c:v>
                </c:pt>
                <c:pt idx="595">
                  <c:v>21.654977442232969</c:v>
                </c:pt>
                <c:pt idx="596">
                  <c:v>21.24123308167475</c:v>
                </c:pt>
                <c:pt idx="597">
                  <c:v>20.827488721116531</c:v>
                </c:pt>
                <c:pt idx="598">
                  <c:v>20.413744360558312</c:v>
                </c:pt>
                <c:pt idx="599">
                  <c:v>20.000000000000092</c:v>
                </c:pt>
              </c:numCache>
            </c:numRef>
          </c:val>
          <c:smooth val="0"/>
          <c:extLst/>
        </c:ser>
        <c:ser>
          <c:idx val="5"/>
          <c:order val="1"/>
          <c:tx>
            <c:strRef>
              <c:f>'Final version'!$C$1</c:f>
              <c:strCache>
                <c:ptCount val="1"/>
                <c:pt idx="0">
                  <c:v>Rozloženie úspor 2017</c:v>
                </c:pt>
              </c:strCache>
            </c:strRef>
          </c:tx>
          <c:spPr>
            <a:ln w="22225">
              <a:solidFill>
                <a:sysClr val="window" lastClr="FFFFFF">
                  <a:lumMod val="50000"/>
                </a:sysClr>
              </a:solidFill>
              <a:prstDash val="solid"/>
            </a:ln>
          </c:spPr>
          <c:marker>
            <c:symbol val="none"/>
          </c:marker>
          <c:cat>
            <c:numRef>
              <c:f>'Final version'!$A$2:$A$709</c:f>
              <c:numCache>
                <c:formatCode>General</c:formatCode>
                <c:ptCount val="708"/>
                <c:pt idx="0">
                  <c:v>22</c:v>
                </c:pt>
                <c:pt idx="1">
                  <c:v>22</c:v>
                </c:pt>
                <c:pt idx="2">
                  <c:v>22</c:v>
                </c:pt>
                <c:pt idx="3">
                  <c:v>22</c:v>
                </c:pt>
                <c:pt idx="4">
                  <c:v>22</c:v>
                </c:pt>
                <c:pt idx="5">
                  <c:v>22</c:v>
                </c:pt>
                <c:pt idx="6">
                  <c:v>22</c:v>
                </c:pt>
                <c:pt idx="7">
                  <c:v>22</c:v>
                </c:pt>
                <c:pt idx="8">
                  <c:v>22</c:v>
                </c:pt>
                <c:pt idx="9">
                  <c:v>22</c:v>
                </c:pt>
                <c:pt idx="10">
                  <c:v>22</c:v>
                </c:pt>
                <c:pt idx="11">
                  <c:v>22</c:v>
                </c:pt>
                <c:pt idx="12">
                  <c:v>23</c:v>
                </c:pt>
                <c:pt idx="13">
                  <c:v>23</c:v>
                </c:pt>
                <c:pt idx="14">
                  <c:v>23</c:v>
                </c:pt>
                <c:pt idx="15">
                  <c:v>23</c:v>
                </c:pt>
                <c:pt idx="16">
                  <c:v>23</c:v>
                </c:pt>
                <c:pt idx="17">
                  <c:v>23</c:v>
                </c:pt>
                <c:pt idx="18">
                  <c:v>23</c:v>
                </c:pt>
                <c:pt idx="19">
                  <c:v>23</c:v>
                </c:pt>
                <c:pt idx="20">
                  <c:v>23</c:v>
                </c:pt>
                <c:pt idx="21">
                  <c:v>23</c:v>
                </c:pt>
                <c:pt idx="22">
                  <c:v>23</c:v>
                </c:pt>
                <c:pt idx="23">
                  <c:v>23</c:v>
                </c:pt>
                <c:pt idx="24">
                  <c:v>24</c:v>
                </c:pt>
                <c:pt idx="25">
                  <c:v>24</c:v>
                </c:pt>
                <c:pt idx="26">
                  <c:v>24</c:v>
                </c:pt>
                <c:pt idx="27">
                  <c:v>24</c:v>
                </c:pt>
                <c:pt idx="28">
                  <c:v>24</c:v>
                </c:pt>
                <c:pt idx="29">
                  <c:v>24</c:v>
                </c:pt>
                <c:pt idx="30">
                  <c:v>24</c:v>
                </c:pt>
                <c:pt idx="31">
                  <c:v>24</c:v>
                </c:pt>
                <c:pt idx="32">
                  <c:v>24</c:v>
                </c:pt>
                <c:pt idx="33">
                  <c:v>24</c:v>
                </c:pt>
                <c:pt idx="34">
                  <c:v>24</c:v>
                </c:pt>
                <c:pt idx="35">
                  <c:v>24</c:v>
                </c:pt>
                <c:pt idx="36">
                  <c:v>25</c:v>
                </c:pt>
                <c:pt idx="37">
                  <c:v>25</c:v>
                </c:pt>
                <c:pt idx="38">
                  <c:v>25</c:v>
                </c:pt>
                <c:pt idx="39">
                  <c:v>25</c:v>
                </c:pt>
                <c:pt idx="40">
                  <c:v>25</c:v>
                </c:pt>
                <c:pt idx="41">
                  <c:v>25</c:v>
                </c:pt>
                <c:pt idx="42">
                  <c:v>25</c:v>
                </c:pt>
                <c:pt idx="43">
                  <c:v>25</c:v>
                </c:pt>
                <c:pt idx="44">
                  <c:v>25</c:v>
                </c:pt>
                <c:pt idx="45">
                  <c:v>25</c:v>
                </c:pt>
                <c:pt idx="46">
                  <c:v>25</c:v>
                </c:pt>
                <c:pt idx="47">
                  <c:v>25</c:v>
                </c:pt>
                <c:pt idx="48">
                  <c:v>26</c:v>
                </c:pt>
                <c:pt idx="49">
                  <c:v>26</c:v>
                </c:pt>
                <c:pt idx="50">
                  <c:v>26</c:v>
                </c:pt>
                <c:pt idx="51">
                  <c:v>26</c:v>
                </c:pt>
                <c:pt idx="52">
                  <c:v>26</c:v>
                </c:pt>
                <c:pt idx="53">
                  <c:v>26</c:v>
                </c:pt>
                <c:pt idx="54">
                  <c:v>26</c:v>
                </c:pt>
                <c:pt idx="55">
                  <c:v>26</c:v>
                </c:pt>
                <c:pt idx="56">
                  <c:v>26</c:v>
                </c:pt>
                <c:pt idx="57">
                  <c:v>26</c:v>
                </c:pt>
                <c:pt idx="58">
                  <c:v>26</c:v>
                </c:pt>
                <c:pt idx="59">
                  <c:v>26</c:v>
                </c:pt>
                <c:pt idx="60">
                  <c:v>27</c:v>
                </c:pt>
                <c:pt idx="61">
                  <c:v>27</c:v>
                </c:pt>
                <c:pt idx="62">
                  <c:v>27</c:v>
                </c:pt>
                <c:pt idx="63">
                  <c:v>27</c:v>
                </c:pt>
                <c:pt idx="64">
                  <c:v>27</c:v>
                </c:pt>
                <c:pt idx="65">
                  <c:v>27</c:v>
                </c:pt>
                <c:pt idx="66">
                  <c:v>27</c:v>
                </c:pt>
                <c:pt idx="67">
                  <c:v>27</c:v>
                </c:pt>
                <c:pt idx="68">
                  <c:v>27</c:v>
                </c:pt>
                <c:pt idx="69">
                  <c:v>27</c:v>
                </c:pt>
                <c:pt idx="70">
                  <c:v>27</c:v>
                </c:pt>
                <c:pt idx="71">
                  <c:v>27</c:v>
                </c:pt>
                <c:pt idx="72">
                  <c:v>28</c:v>
                </c:pt>
                <c:pt idx="73">
                  <c:v>28</c:v>
                </c:pt>
                <c:pt idx="74">
                  <c:v>28</c:v>
                </c:pt>
                <c:pt idx="75">
                  <c:v>28</c:v>
                </c:pt>
                <c:pt idx="76">
                  <c:v>28</c:v>
                </c:pt>
                <c:pt idx="77">
                  <c:v>28</c:v>
                </c:pt>
                <c:pt idx="78">
                  <c:v>28</c:v>
                </c:pt>
                <c:pt idx="79">
                  <c:v>28</c:v>
                </c:pt>
                <c:pt idx="80">
                  <c:v>28</c:v>
                </c:pt>
                <c:pt idx="81">
                  <c:v>28</c:v>
                </c:pt>
                <c:pt idx="82">
                  <c:v>28</c:v>
                </c:pt>
                <c:pt idx="83">
                  <c:v>28</c:v>
                </c:pt>
                <c:pt idx="84">
                  <c:v>29</c:v>
                </c:pt>
                <c:pt idx="85">
                  <c:v>29</c:v>
                </c:pt>
                <c:pt idx="86">
                  <c:v>29</c:v>
                </c:pt>
                <c:pt idx="87">
                  <c:v>29</c:v>
                </c:pt>
                <c:pt idx="88">
                  <c:v>29</c:v>
                </c:pt>
                <c:pt idx="89">
                  <c:v>29</c:v>
                </c:pt>
                <c:pt idx="90">
                  <c:v>29</c:v>
                </c:pt>
                <c:pt idx="91">
                  <c:v>29</c:v>
                </c:pt>
                <c:pt idx="92">
                  <c:v>29</c:v>
                </c:pt>
                <c:pt idx="93">
                  <c:v>29</c:v>
                </c:pt>
                <c:pt idx="94">
                  <c:v>29</c:v>
                </c:pt>
                <c:pt idx="95">
                  <c:v>29</c:v>
                </c:pt>
                <c:pt idx="96">
                  <c:v>30</c:v>
                </c:pt>
                <c:pt idx="97">
                  <c:v>30</c:v>
                </c:pt>
                <c:pt idx="98">
                  <c:v>30</c:v>
                </c:pt>
                <c:pt idx="99">
                  <c:v>30</c:v>
                </c:pt>
                <c:pt idx="100">
                  <c:v>30</c:v>
                </c:pt>
                <c:pt idx="101">
                  <c:v>30</c:v>
                </c:pt>
                <c:pt idx="102">
                  <c:v>30</c:v>
                </c:pt>
                <c:pt idx="103">
                  <c:v>30</c:v>
                </c:pt>
                <c:pt idx="104">
                  <c:v>30</c:v>
                </c:pt>
                <c:pt idx="105">
                  <c:v>30</c:v>
                </c:pt>
                <c:pt idx="106">
                  <c:v>30</c:v>
                </c:pt>
                <c:pt idx="107">
                  <c:v>30</c:v>
                </c:pt>
                <c:pt idx="108">
                  <c:v>31</c:v>
                </c:pt>
                <c:pt idx="109">
                  <c:v>31</c:v>
                </c:pt>
                <c:pt idx="110">
                  <c:v>31</c:v>
                </c:pt>
                <c:pt idx="111">
                  <c:v>31</c:v>
                </c:pt>
                <c:pt idx="112">
                  <c:v>31</c:v>
                </c:pt>
                <c:pt idx="113">
                  <c:v>31</c:v>
                </c:pt>
                <c:pt idx="114">
                  <c:v>31</c:v>
                </c:pt>
                <c:pt idx="115">
                  <c:v>31</c:v>
                </c:pt>
                <c:pt idx="116">
                  <c:v>31</c:v>
                </c:pt>
                <c:pt idx="117">
                  <c:v>31</c:v>
                </c:pt>
                <c:pt idx="118">
                  <c:v>31</c:v>
                </c:pt>
                <c:pt idx="119">
                  <c:v>31</c:v>
                </c:pt>
                <c:pt idx="120">
                  <c:v>32</c:v>
                </c:pt>
                <c:pt idx="121">
                  <c:v>32</c:v>
                </c:pt>
                <c:pt idx="122">
                  <c:v>32</c:v>
                </c:pt>
                <c:pt idx="123">
                  <c:v>32</c:v>
                </c:pt>
                <c:pt idx="124">
                  <c:v>32</c:v>
                </c:pt>
                <c:pt idx="125">
                  <c:v>32</c:v>
                </c:pt>
                <c:pt idx="126">
                  <c:v>32</c:v>
                </c:pt>
                <c:pt idx="127">
                  <c:v>32</c:v>
                </c:pt>
                <c:pt idx="128">
                  <c:v>32</c:v>
                </c:pt>
                <c:pt idx="129">
                  <c:v>32</c:v>
                </c:pt>
                <c:pt idx="130">
                  <c:v>32</c:v>
                </c:pt>
                <c:pt idx="131">
                  <c:v>32</c:v>
                </c:pt>
                <c:pt idx="132">
                  <c:v>33</c:v>
                </c:pt>
                <c:pt idx="133">
                  <c:v>33</c:v>
                </c:pt>
                <c:pt idx="134">
                  <c:v>33</c:v>
                </c:pt>
                <c:pt idx="135">
                  <c:v>33</c:v>
                </c:pt>
                <c:pt idx="136">
                  <c:v>33</c:v>
                </c:pt>
                <c:pt idx="137">
                  <c:v>33</c:v>
                </c:pt>
                <c:pt idx="138">
                  <c:v>33</c:v>
                </c:pt>
                <c:pt idx="139">
                  <c:v>33</c:v>
                </c:pt>
                <c:pt idx="140">
                  <c:v>33</c:v>
                </c:pt>
                <c:pt idx="141">
                  <c:v>33</c:v>
                </c:pt>
                <c:pt idx="142">
                  <c:v>33</c:v>
                </c:pt>
                <c:pt idx="143">
                  <c:v>33</c:v>
                </c:pt>
                <c:pt idx="144">
                  <c:v>34</c:v>
                </c:pt>
                <c:pt idx="145">
                  <c:v>34</c:v>
                </c:pt>
                <c:pt idx="146">
                  <c:v>34</c:v>
                </c:pt>
                <c:pt idx="147">
                  <c:v>34</c:v>
                </c:pt>
                <c:pt idx="148">
                  <c:v>34</c:v>
                </c:pt>
                <c:pt idx="149">
                  <c:v>34</c:v>
                </c:pt>
                <c:pt idx="150">
                  <c:v>34</c:v>
                </c:pt>
                <c:pt idx="151">
                  <c:v>34</c:v>
                </c:pt>
                <c:pt idx="152">
                  <c:v>34</c:v>
                </c:pt>
                <c:pt idx="153">
                  <c:v>34</c:v>
                </c:pt>
                <c:pt idx="154">
                  <c:v>34</c:v>
                </c:pt>
                <c:pt idx="155">
                  <c:v>34</c:v>
                </c:pt>
                <c:pt idx="156">
                  <c:v>35</c:v>
                </c:pt>
                <c:pt idx="157">
                  <c:v>35</c:v>
                </c:pt>
                <c:pt idx="158">
                  <c:v>35</c:v>
                </c:pt>
                <c:pt idx="159">
                  <c:v>35</c:v>
                </c:pt>
                <c:pt idx="160">
                  <c:v>35</c:v>
                </c:pt>
                <c:pt idx="161">
                  <c:v>35</c:v>
                </c:pt>
                <c:pt idx="162">
                  <c:v>35</c:v>
                </c:pt>
                <c:pt idx="163">
                  <c:v>35</c:v>
                </c:pt>
                <c:pt idx="164">
                  <c:v>35</c:v>
                </c:pt>
                <c:pt idx="165">
                  <c:v>35</c:v>
                </c:pt>
                <c:pt idx="166">
                  <c:v>35</c:v>
                </c:pt>
                <c:pt idx="167">
                  <c:v>35</c:v>
                </c:pt>
                <c:pt idx="168">
                  <c:v>36</c:v>
                </c:pt>
                <c:pt idx="169">
                  <c:v>36</c:v>
                </c:pt>
                <c:pt idx="170">
                  <c:v>36</c:v>
                </c:pt>
                <c:pt idx="171">
                  <c:v>36</c:v>
                </c:pt>
                <c:pt idx="172">
                  <c:v>36</c:v>
                </c:pt>
                <c:pt idx="173">
                  <c:v>36</c:v>
                </c:pt>
                <c:pt idx="174">
                  <c:v>36</c:v>
                </c:pt>
                <c:pt idx="175">
                  <c:v>36</c:v>
                </c:pt>
                <c:pt idx="176">
                  <c:v>36</c:v>
                </c:pt>
                <c:pt idx="177">
                  <c:v>36</c:v>
                </c:pt>
                <c:pt idx="178">
                  <c:v>36</c:v>
                </c:pt>
                <c:pt idx="179">
                  <c:v>36</c:v>
                </c:pt>
                <c:pt idx="180">
                  <c:v>37</c:v>
                </c:pt>
                <c:pt idx="181">
                  <c:v>37</c:v>
                </c:pt>
                <c:pt idx="182">
                  <c:v>37</c:v>
                </c:pt>
                <c:pt idx="183">
                  <c:v>37</c:v>
                </c:pt>
                <c:pt idx="184">
                  <c:v>37</c:v>
                </c:pt>
                <c:pt idx="185">
                  <c:v>37</c:v>
                </c:pt>
                <c:pt idx="186">
                  <c:v>37</c:v>
                </c:pt>
                <c:pt idx="187">
                  <c:v>37</c:v>
                </c:pt>
                <c:pt idx="188">
                  <c:v>37</c:v>
                </c:pt>
                <c:pt idx="189">
                  <c:v>37</c:v>
                </c:pt>
                <c:pt idx="190">
                  <c:v>37</c:v>
                </c:pt>
                <c:pt idx="191">
                  <c:v>37</c:v>
                </c:pt>
                <c:pt idx="192">
                  <c:v>38</c:v>
                </c:pt>
                <c:pt idx="193">
                  <c:v>38</c:v>
                </c:pt>
                <c:pt idx="194">
                  <c:v>38</c:v>
                </c:pt>
                <c:pt idx="195">
                  <c:v>38</c:v>
                </c:pt>
                <c:pt idx="196">
                  <c:v>38</c:v>
                </c:pt>
                <c:pt idx="197">
                  <c:v>38</c:v>
                </c:pt>
                <c:pt idx="198">
                  <c:v>38</c:v>
                </c:pt>
                <c:pt idx="199">
                  <c:v>38</c:v>
                </c:pt>
                <c:pt idx="200">
                  <c:v>38</c:v>
                </c:pt>
                <c:pt idx="201">
                  <c:v>38</c:v>
                </c:pt>
                <c:pt idx="202">
                  <c:v>38</c:v>
                </c:pt>
                <c:pt idx="203">
                  <c:v>38</c:v>
                </c:pt>
                <c:pt idx="204">
                  <c:v>39</c:v>
                </c:pt>
                <c:pt idx="205">
                  <c:v>39</c:v>
                </c:pt>
                <c:pt idx="206">
                  <c:v>39</c:v>
                </c:pt>
                <c:pt idx="207">
                  <c:v>39</c:v>
                </c:pt>
                <c:pt idx="208">
                  <c:v>39</c:v>
                </c:pt>
                <c:pt idx="209">
                  <c:v>39</c:v>
                </c:pt>
                <c:pt idx="210">
                  <c:v>39</c:v>
                </c:pt>
                <c:pt idx="211">
                  <c:v>39</c:v>
                </c:pt>
                <c:pt idx="212">
                  <c:v>39</c:v>
                </c:pt>
                <c:pt idx="213">
                  <c:v>39</c:v>
                </c:pt>
                <c:pt idx="214">
                  <c:v>39</c:v>
                </c:pt>
                <c:pt idx="215">
                  <c:v>39</c:v>
                </c:pt>
                <c:pt idx="216">
                  <c:v>40</c:v>
                </c:pt>
                <c:pt idx="217">
                  <c:v>40</c:v>
                </c:pt>
                <c:pt idx="218">
                  <c:v>40</c:v>
                </c:pt>
                <c:pt idx="219">
                  <c:v>40</c:v>
                </c:pt>
                <c:pt idx="220">
                  <c:v>40</c:v>
                </c:pt>
                <c:pt idx="221">
                  <c:v>40</c:v>
                </c:pt>
                <c:pt idx="222">
                  <c:v>40</c:v>
                </c:pt>
                <c:pt idx="223">
                  <c:v>40</c:v>
                </c:pt>
                <c:pt idx="224">
                  <c:v>40</c:v>
                </c:pt>
                <c:pt idx="225">
                  <c:v>40</c:v>
                </c:pt>
                <c:pt idx="226">
                  <c:v>40</c:v>
                </c:pt>
                <c:pt idx="227">
                  <c:v>40</c:v>
                </c:pt>
                <c:pt idx="228">
                  <c:v>41</c:v>
                </c:pt>
                <c:pt idx="229">
                  <c:v>41</c:v>
                </c:pt>
                <c:pt idx="230">
                  <c:v>41</c:v>
                </c:pt>
                <c:pt idx="231">
                  <c:v>41</c:v>
                </c:pt>
                <c:pt idx="232">
                  <c:v>41</c:v>
                </c:pt>
                <c:pt idx="233">
                  <c:v>41</c:v>
                </c:pt>
                <c:pt idx="234">
                  <c:v>41</c:v>
                </c:pt>
                <c:pt idx="235">
                  <c:v>41</c:v>
                </c:pt>
                <c:pt idx="236">
                  <c:v>41</c:v>
                </c:pt>
                <c:pt idx="237">
                  <c:v>41</c:v>
                </c:pt>
                <c:pt idx="238">
                  <c:v>41</c:v>
                </c:pt>
                <c:pt idx="239">
                  <c:v>41</c:v>
                </c:pt>
                <c:pt idx="240">
                  <c:v>42</c:v>
                </c:pt>
                <c:pt idx="241">
                  <c:v>42</c:v>
                </c:pt>
                <c:pt idx="242">
                  <c:v>42</c:v>
                </c:pt>
                <c:pt idx="243">
                  <c:v>42</c:v>
                </c:pt>
                <c:pt idx="244">
                  <c:v>42</c:v>
                </c:pt>
                <c:pt idx="245">
                  <c:v>42</c:v>
                </c:pt>
                <c:pt idx="246">
                  <c:v>42</c:v>
                </c:pt>
                <c:pt idx="247">
                  <c:v>42</c:v>
                </c:pt>
                <c:pt idx="248">
                  <c:v>42</c:v>
                </c:pt>
                <c:pt idx="249">
                  <c:v>42</c:v>
                </c:pt>
                <c:pt idx="250">
                  <c:v>42</c:v>
                </c:pt>
                <c:pt idx="251">
                  <c:v>42</c:v>
                </c:pt>
                <c:pt idx="252">
                  <c:v>43</c:v>
                </c:pt>
                <c:pt idx="253">
                  <c:v>43</c:v>
                </c:pt>
                <c:pt idx="254">
                  <c:v>43</c:v>
                </c:pt>
                <c:pt idx="255">
                  <c:v>43</c:v>
                </c:pt>
                <c:pt idx="256">
                  <c:v>43</c:v>
                </c:pt>
                <c:pt idx="257">
                  <c:v>43</c:v>
                </c:pt>
                <c:pt idx="258">
                  <c:v>43</c:v>
                </c:pt>
                <c:pt idx="259">
                  <c:v>43</c:v>
                </c:pt>
                <c:pt idx="260">
                  <c:v>43</c:v>
                </c:pt>
                <c:pt idx="261">
                  <c:v>43</c:v>
                </c:pt>
                <c:pt idx="262">
                  <c:v>43</c:v>
                </c:pt>
                <c:pt idx="263">
                  <c:v>43</c:v>
                </c:pt>
                <c:pt idx="264">
                  <c:v>44</c:v>
                </c:pt>
                <c:pt idx="265">
                  <c:v>44</c:v>
                </c:pt>
                <c:pt idx="266">
                  <c:v>44</c:v>
                </c:pt>
                <c:pt idx="267">
                  <c:v>44</c:v>
                </c:pt>
                <c:pt idx="268">
                  <c:v>44</c:v>
                </c:pt>
                <c:pt idx="269">
                  <c:v>44</c:v>
                </c:pt>
                <c:pt idx="270">
                  <c:v>44</c:v>
                </c:pt>
                <c:pt idx="271">
                  <c:v>44</c:v>
                </c:pt>
                <c:pt idx="272">
                  <c:v>44</c:v>
                </c:pt>
                <c:pt idx="273">
                  <c:v>44</c:v>
                </c:pt>
                <c:pt idx="274">
                  <c:v>44</c:v>
                </c:pt>
                <c:pt idx="275">
                  <c:v>44</c:v>
                </c:pt>
                <c:pt idx="276">
                  <c:v>45</c:v>
                </c:pt>
                <c:pt idx="277">
                  <c:v>45</c:v>
                </c:pt>
                <c:pt idx="278">
                  <c:v>45</c:v>
                </c:pt>
                <c:pt idx="279">
                  <c:v>45</c:v>
                </c:pt>
                <c:pt idx="280">
                  <c:v>45</c:v>
                </c:pt>
                <c:pt idx="281">
                  <c:v>45</c:v>
                </c:pt>
                <c:pt idx="282">
                  <c:v>45</c:v>
                </c:pt>
                <c:pt idx="283">
                  <c:v>45</c:v>
                </c:pt>
                <c:pt idx="284">
                  <c:v>45</c:v>
                </c:pt>
                <c:pt idx="285">
                  <c:v>45</c:v>
                </c:pt>
                <c:pt idx="286">
                  <c:v>45</c:v>
                </c:pt>
                <c:pt idx="287">
                  <c:v>45</c:v>
                </c:pt>
                <c:pt idx="288">
                  <c:v>46</c:v>
                </c:pt>
                <c:pt idx="289">
                  <c:v>46</c:v>
                </c:pt>
                <c:pt idx="290">
                  <c:v>46</c:v>
                </c:pt>
                <c:pt idx="291">
                  <c:v>46</c:v>
                </c:pt>
                <c:pt idx="292">
                  <c:v>46</c:v>
                </c:pt>
                <c:pt idx="293">
                  <c:v>46</c:v>
                </c:pt>
                <c:pt idx="294">
                  <c:v>46</c:v>
                </c:pt>
                <c:pt idx="295">
                  <c:v>46</c:v>
                </c:pt>
                <c:pt idx="296">
                  <c:v>46</c:v>
                </c:pt>
                <c:pt idx="297">
                  <c:v>46</c:v>
                </c:pt>
                <c:pt idx="298">
                  <c:v>46</c:v>
                </c:pt>
                <c:pt idx="299">
                  <c:v>46</c:v>
                </c:pt>
                <c:pt idx="300">
                  <c:v>47</c:v>
                </c:pt>
                <c:pt idx="301">
                  <c:v>47</c:v>
                </c:pt>
                <c:pt idx="302">
                  <c:v>47</c:v>
                </c:pt>
                <c:pt idx="303">
                  <c:v>47</c:v>
                </c:pt>
                <c:pt idx="304">
                  <c:v>47</c:v>
                </c:pt>
                <c:pt idx="305">
                  <c:v>47</c:v>
                </c:pt>
                <c:pt idx="306">
                  <c:v>47</c:v>
                </c:pt>
                <c:pt idx="307">
                  <c:v>47</c:v>
                </c:pt>
                <c:pt idx="308">
                  <c:v>47</c:v>
                </c:pt>
                <c:pt idx="309">
                  <c:v>47</c:v>
                </c:pt>
                <c:pt idx="310">
                  <c:v>47</c:v>
                </c:pt>
                <c:pt idx="311">
                  <c:v>47</c:v>
                </c:pt>
                <c:pt idx="312">
                  <c:v>48</c:v>
                </c:pt>
                <c:pt idx="313">
                  <c:v>48</c:v>
                </c:pt>
                <c:pt idx="314">
                  <c:v>48</c:v>
                </c:pt>
                <c:pt idx="315">
                  <c:v>48</c:v>
                </c:pt>
                <c:pt idx="316">
                  <c:v>48</c:v>
                </c:pt>
                <c:pt idx="317">
                  <c:v>48</c:v>
                </c:pt>
                <c:pt idx="318">
                  <c:v>48</c:v>
                </c:pt>
                <c:pt idx="319">
                  <c:v>48</c:v>
                </c:pt>
                <c:pt idx="320">
                  <c:v>48</c:v>
                </c:pt>
                <c:pt idx="321">
                  <c:v>48</c:v>
                </c:pt>
                <c:pt idx="322">
                  <c:v>48</c:v>
                </c:pt>
                <c:pt idx="323">
                  <c:v>48</c:v>
                </c:pt>
                <c:pt idx="324">
                  <c:v>49</c:v>
                </c:pt>
                <c:pt idx="325">
                  <c:v>49</c:v>
                </c:pt>
                <c:pt idx="326">
                  <c:v>49</c:v>
                </c:pt>
                <c:pt idx="327">
                  <c:v>49</c:v>
                </c:pt>
                <c:pt idx="328">
                  <c:v>49</c:v>
                </c:pt>
                <c:pt idx="329">
                  <c:v>49</c:v>
                </c:pt>
                <c:pt idx="330">
                  <c:v>49</c:v>
                </c:pt>
                <c:pt idx="331">
                  <c:v>49</c:v>
                </c:pt>
                <c:pt idx="332">
                  <c:v>49</c:v>
                </c:pt>
                <c:pt idx="333">
                  <c:v>49</c:v>
                </c:pt>
                <c:pt idx="334">
                  <c:v>49</c:v>
                </c:pt>
                <c:pt idx="335">
                  <c:v>49</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51</c:v>
                </c:pt>
                <c:pt idx="349">
                  <c:v>51</c:v>
                </c:pt>
                <c:pt idx="350">
                  <c:v>51</c:v>
                </c:pt>
                <c:pt idx="351">
                  <c:v>51</c:v>
                </c:pt>
                <c:pt idx="352">
                  <c:v>51</c:v>
                </c:pt>
                <c:pt idx="353">
                  <c:v>51</c:v>
                </c:pt>
                <c:pt idx="354">
                  <c:v>51</c:v>
                </c:pt>
                <c:pt idx="355">
                  <c:v>51</c:v>
                </c:pt>
                <c:pt idx="356">
                  <c:v>51</c:v>
                </c:pt>
                <c:pt idx="357">
                  <c:v>51</c:v>
                </c:pt>
                <c:pt idx="358">
                  <c:v>51</c:v>
                </c:pt>
                <c:pt idx="359">
                  <c:v>51</c:v>
                </c:pt>
                <c:pt idx="360">
                  <c:v>52</c:v>
                </c:pt>
                <c:pt idx="361">
                  <c:v>52</c:v>
                </c:pt>
                <c:pt idx="362">
                  <c:v>52</c:v>
                </c:pt>
                <c:pt idx="363">
                  <c:v>52</c:v>
                </c:pt>
                <c:pt idx="364">
                  <c:v>52</c:v>
                </c:pt>
                <c:pt idx="365">
                  <c:v>52</c:v>
                </c:pt>
                <c:pt idx="366">
                  <c:v>52</c:v>
                </c:pt>
                <c:pt idx="367">
                  <c:v>52</c:v>
                </c:pt>
                <c:pt idx="368">
                  <c:v>52</c:v>
                </c:pt>
                <c:pt idx="369">
                  <c:v>52</c:v>
                </c:pt>
                <c:pt idx="370">
                  <c:v>52</c:v>
                </c:pt>
                <c:pt idx="371">
                  <c:v>52</c:v>
                </c:pt>
                <c:pt idx="372">
                  <c:v>53</c:v>
                </c:pt>
                <c:pt idx="373">
                  <c:v>53</c:v>
                </c:pt>
                <c:pt idx="374">
                  <c:v>53</c:v>
                </c:pt>
                <c:pt idx="375">
                  <c:v>53</c:v>
                </c:pt>
                <c:pt idx="376">
                  <c:v>53</c:v>
                </c:pt>
                <c:pt idx="377">
                  <c:v>53</c:v>
                </c:pt>
                <c:pt idx="378">
                  <c:v>53</c:v>
                </c:pt>
                <c:pt idx="379">
                  <c:v>53</c:v>
                </c:pt>
                <c:pt idx="380">
                  <c:v>53</c:v>
                </c:pt>
                <c:pt idx="381">
                  <c:v>53</c:v>
                </c:pt>
                <c:pt idx="382">
                  <c:v>53</c:v>
                </c:pt>
                <c:pt idx="383">
                  <c:v>53</c:v>
                </c:pt>
                <c:pt idx="384">
                  <c:v>54</c:v>
                </c:pt>
                <c:pt idx="385">
                  <c:v>54</c:v>
                </c:pt>
                <c:pt idx="386">
                  <c:v>54</c:v>
                </c:pt>
                <c:pt idx="387">
                  <c:v>54</c:v>
                </c:pt>
                <c:pt idx="388">
                  <c:v>54</c:v>
                </c:pt>
                <c:pt idx="389">
                  <c:v>54</c:v>
                </c:pt>
                <c:pt idx="390">
                  <c:v>54</c:v>
                </c:pt>
                <c:pt idx="391">
                  <c:v>54</c:v>
                </c:pt>
                <c:pt idx="392">
                  <c:v>54</c:v>
                </c:pt>
                <c:pt idx="393">
                  <c:v>54</c:v>
                </c:pt>
                <c:pt idx="394">
                  <c:v>54</c:v>
                </c:pt>
                <c:pt idx="395">
                  <c:v>54</c:v>
                </c:pt>
                <c:pt idx="396">
                  <c:v>55</c:v>
                </c:pt>
                <c:pt idx="397">
                  <c:v>55</c:v>
                </c:pt>
                <c:pt idx="398">
                  <c:v>55</c:v>
                </c:pt>
                <c:pt idx="399">
                  <c:v>55</c:v>
                </c:pt>
                <c:pt idx="400">
                  <c:v>55</c:v>
                </c:pt>
                <c:pt idx="401">
                  <c:v>55</c:v>
                </c:pt>
                <c:pt idx="402">
                  <c:v>55</c:v>
                </c:pt>
                <c:pt idx="403">
                  <c:v>55</c:v>
                </c:pt>
                <c:pt idx="404">
                  <c:v>55</c:v>
                </c:pt>
                <c:pt idx="405">
                  <c:v>55</c:v>
                </c:pt>
                <c:pt idx="406">
                  <c:v>55</c:v>
                </c:pt>
                <c:pt idx="407">
                  <c:v>55</c:v>
                </c:pt>
                <c:pt idx="408">
                  <c:v>56</c:v>
                </c:pt>
                <c:pt idx="409">
                  <c:v>56</c:v>
                </c:pt>
                <c:pt idx="410">
                  <c:v>56</c:v>
                </c:pt>
                <c:pt idx="411">
                  <c:v>56</c:v>
                </c:pt>
                <c:pt idx="412">
                  <c:v>56</c:v>
                </c:pt>
                <c:pt idx="413">
                  <c:v>56</c:v>
                </c:pt>
                <c:pt idx="414">
                  <c:v>56</c:v>
                </c:pt>
                <c:pt idx="415">
                  <c:v>56</c:v>
                </c:pt>
                <c:pt idx="416">
                  <c:v>56</c:v>
                </c:pt>
                <c:pt idx="417">
                  <c:v>56</c:v>
                </c:pt>
                <c:pt idx="418">
                  <c:v>56</c:v>
                </c:pt>
                <c:pt idx="419">
                  <c:v>56</c:v>
                </c:pt>
                <c:pt idx="420">
                  <c:v>57</c:v>
                </c:pt>
                <c:pt idx="421">
                  <c:v>57</c:v>
                </c:pt>
                <c:pt idx="422">
                  <c:v>57</c:v>
                </c:pt>
                <c:pt idx="423">
                  <c:v>57</c:v>
                </c:pt>
                <c:pt idx="424">
                  <c:v>57</c:v>
                </c:pt>
                <c:pt idx="425">
                  <c:v>57</c:v>
                </c:pt>
                <c:pt idx="426">
                  <c:v>57</c:v>
                </c:pt>
                <c:pt idx="427">
                  <c:v>57</c:v>
                </c:pt>
                <c:pt idx="428">
                  <c:v>57</c:v>
                </c:pt>
                <c:pt idx="429">
                  <c:v>57</c:v>
                </c:pt>
                <c:pt idx="430">
                  <c:v>57</c:v>
                </c:pt>
                <c:pt idx="431">
                  <c:v>57</c:v>
                </c:pt>
                <c:pt idx="432">
                  <c:v>58</c:v>
                </c:pt>
                <c:pt idx="433">
                  <c:v>58</c:v>
                </c:pt>
                <c:pt idx="434">
                  <c:v>58</c:v>
                </c:pt>
                <c:pt idx="435">
                  <c:v>58</c:v>
                </c:pt>
                <c:pt idx="436">
                  <c:v>58</c:v>
                </c:pt>
                <c:pt idx="437">
                  <c:v>58</c:v>
                </c:pt>
                <c:pt idx="438">
                  <c:v>58</c:v>
                </c:pt>
                <c:pt idx="439">
                  <c:v>58</c:v>
                </c:pt>
                <c:pt idx="440">
                  <c:v>58</c:v>
                </c:pt>
                <c:pt idx="441">
                  <c:v>58</c:v>
                </c:pt>
                <c:pt idx="442">
                  <c:v>58</c:v>
                </c:pt>
                <c:pt idx="443">
                  <c:v>58</c:v>
                </c:pt>
                <c:pt idx="444">
                  <c:v>59</c:v>
                </c:pt>
                <c:pt idx="445">
                  <c:v>59</c:v>
                </c:pt>
                <c:pt idx="446">
                  <c:v>59</c:v>
                </c:pt>
                <c:pt idx="447">
                  <c:v>59</c:v>
                </c:pt>
                <c:pt idx="448">
                  <c:v>59</c:v>
                </c:pt>
                <c:pt idx="449">
                  <c:v>59</c:v>
                </c:pt>
                <c:pt idx="450">
                  <c:v>59</c:v>
                </c:pt>
                <c:pt idx="451">
                  <c:v>59</c:v>
                </c:pt>
                <c:pt idx="452">
                  <c:v>59</c:v>
                </c:pt>
                <c:pt idx="453">
                  <c:v>59</c:v>
                </c:pt>
                <c:pt idx="454">
                  <c:v>59</c:v>
                </c:pt>
                <c:pt idx="455">
                  <c:v>59</c:v>
                </c:pt>
                <c:pt idx="456">
                  <c:v>60</c:v>
                </c:pt>
                <c:pt idx="457">
                  <c:v>60</c:v>
                </c:pt>
                <c:pt idx="458">
                  <c:v>60</c:v>
                </c:pt>
                <c:pt idx="459">
                  <c:v>60</c:v>
                </c:pt>
                <c:pt idx="460">
                  <c:v>60</c:v>
                </c:pt>
                <c:pt idx="461">
                  <c:v>60</c:v>
                </c:pt>
                <c:pt idx="462">
                  <c:v>60</c:v>
                </c:pt>
                <c:pt idx="463">
                  <c:v>60</c:v>
                </c:pt>
                <c:pt idx="464">
                  <c:v>60</c:v>
                </c:pt>
                <c:pt idx="465">
                  <c:v>60</c:v>
                </c:pt>
                <c:pt idx="466">
                  <c:v>60</c:v>
                </c:pt>
                <c:pt idx="467">
                  <c:v>60</c:v>
                </c:pt>
                <c:pt idx="468">
                  <c:v>61</c:v>
                </c:pt>
                <c:pt idx="469">
                  <c:v>61</c:v>
                </c:pt>
                <c:pt idx="470">
                  <c:v>61</c:v>
                </c:pt>
                <c:pt idx="471">
                  <c:v>61</c:v>
                </c:pt>
                <c:pt idx="472">
                  <c:v>61</c:v>
                </c:pt>
                <c:pt idx="473">
                  <c:v>61</c:v>
                </c:pt>
                <c:pt idx="474">
                  <c:v>61</c:v>
                </c:pt>
                <c:pt idx="475">
                  <c:v>61</c:v>
                </c:pt>
                <c:pt idx="476">
                  <c:v>61</c:v>
                </c:pt>
                <c:pt idx="477">
                  <c:v>61</c:v>
                </c:pt>
                <c:pt idx="478">
                  <c:v>61</c:v>
                </c:pt>
                <c:pt idx="479">
                  <c:v>61</c:v>
                </c:pt>
                <c:pt idx="480">
                  <c:v>62</c:v>
                </c:pt>
                <c:pt idx="481">
                  <c:v>62</c:v>
                </c:pt>
                <c:pt idx="482">
                  <c:v>62</c:v>
                </c:pt>
                <c:pt idx="483">
                  <c:v>62</c:v>
                </c:pt>
                <c:pt idx="484">
                  <c:v>62</c:v>
                </c:pt>
                <c:pt idx="485">
                  <c:v>62</c:v>
                </c:pt>
                <c:pt idx="486">
                  <c:v>62</c:v>
                </c:pt>
                <c:pt idx="487">
                  <c:v>62</c:v>
                </c:pt>
                <c:pt idx="488">
                  <c:v>62</c:v>
                </c:pt>
                <c:pt idx="489">
                  <c:v>62</c:v>
                </c:pt>
                <c:pt idx="490">
                  <c:v>62</c:v>
                </c:pt>
                <c:pt idx="491">
                  <c:v>62</c:v>
                </c:pt>
                <c:pt idx="492">
                  <c:v>63</c:v>
                </c:pt>
                <c:pt idx="493">
                  <c:v>63</c:v>
                </c:pt>
                <c:pt idx="494">
                  <c:v>63</c:v>
                </c:pt>
                <c:pt idx="495">
                  <c:v>63</c:v>
                </c:pt>
                <c:pt idx="496">
                  <c:v>63</c:v>
                </c:pt>
                <c:pt idx="497">
                  <c:v>63</c:v>
                </c:pt>
                <c:pt idx="498">
                  <c:v>63</c:v>
                </c:pt>
                <c:pt idx="499">
                  <c:v>63</c:v>
                </c:pt>
                <c:pt idx="500">
                  <c:v>63</c:v>
                </c:pt>
                <c:pt idx="501">
                  <c:v>63</c:v>
                </c:pt>
                <c:pt idx="502">
                  <c:v>63</c:v>
                </c:pt>
                <c:pt idx="503">
                  <c:v>63</c:v>
                </c:pt>
                <c:pt idx="504">
                  <c:v>64</c:v>
                </c:pt>
                <c:pt idx="505">
                  <c:v>64</c:v>
                </c:pt>
                <c:pt idx="506">
                  <c:v>64</c:v>
                </c:pt>
                <c:pt idx="507">
                  <c:v>64</c:v>
                </c:pt>
                <c:pt idx="508">
                  <c:v>64</c:v>
                </c:pt>
                <c:pt idx="509">
                  <c:v>64</c:v>
                </c:pt>
                <c:pt idx="510">
                  <c:v>64</c:v>
                </c:pt>
                <c:pt idx="511">
                  <c:v>64</c:v>
                </c:pt>
                <c:pt idx="512">
                  <c:v>64</c:v>
                </c:pt>
                <c:pt idx="513">
                  <c:v>64</c:v>
                </c:pt>
                <c:pt idx="514">
                  <c:v>64</c:v>
                </c:pt>
                <c:pt idx="515">
                  <c:v>64</c:v>
                </c:pt>
                <c:pt idx="516">
                  <c:v>65</c:v>
                </c:pt>
                <c:pt idx="517">
                  <c:v>65</c:v>
                </c:pt>
                <c:pt idx="518">
                  <c:v>65</c:v>
                </c:pt>
                <c:pt idx="519">
                  <c:v>65</c:v>
                </c:pt>
                <c:pt idx="520">
                  <c:v>65</c:v>
                </c:pt>
                <c:pt idx="521">
                  <c:v>65</c:v>
                </c:pt>
                <c:pt idx="522">
                  <c:v>65</c:v>
                </c:pt>
                <c:pt idx="523">
                  <c:v>65</c:v>
                </c:pt>
                <c:pt idx="524">
                  <c:v>65</c:v>
                </c:pt>
                <c:pt idx="525">
                  <c:v>65</c:v>
                </c:pt>
                <c:pt idx="526">
                  <c:v>65</c:v>
                </c:pt>
                <c:pt idx="527">
                  <c:v>65</c:v>
                </c:pt>
                <c:pt idx="528">
                  <c:v>66</c:v>
                </c:pt>
                <c:pt idx="529">
                  <c:v>66</c:v>
                </c:pt>
                <c:pt idx="530">
                  <c:v>66</c:v>
                </c:pt>
                <c:pt idx="531">
                  <c:v>66</c:v>
                </c:pt>
                <c:pt idx="532">
                  <c:v>66</c:v>
                </c:pt>
                <c:pt idx="533">
                  <c:v>66</c:v>
                </c:pt>
                <c:pt idx="534">
                  <c:v>66</c:v>
                </c:pt>
                <c:pt idx="535">
                  <c:v>66</c:v>
                </c:pt>
                <c:pt idx="536">
                  <c:v>66</c:v>
                </c:pt>
                <c:pt idx="537">
                  <c:v>66</c:v>
                </c:pt>
                <c:pt idx="538">
                  <c:v>66</c:v>
                </c:pt>
                <c:pt idx="539">
                  <c:v>66</c:v>
                </c:pt>
                <c:pt idx="540">
                  <c:v>67</c:v>
                </c:pt>
                <c:pt idx="541">
                  <c:v>67</c:v>
                </c:pt>
                <c:pt idx="542">
                  <c:v>67</c:v>
                </c:pt>
                <c:pt idx="543">
                  <c:v>67</c:v>
                </c:pt>
                <c:pt idx="544">
                  <c:v>67</c:v>
                </c:pt>
                <c:pt idx="545">
                  <c:v>67</c:v>
                </c:pt>
                <c:pt idx="546">
                  <c:v>67</c:v>
                </c:pt>
                <c:pt idx="547">
                  <c:v>67</c:v>
                </c:pt>
                <c:pt idx="548">
                  <c:v>67</c:v>
                </c:pt>
                <c:pt idx="549">
                  <c:v>67</c:v>
                </c:pt>
                <c:pt idx="550">
                  <c:v>67</c:v>
                </c:pt>
                <c:pt idx="551">
                  <c:v>67</c:v>
                </c:pt>
                <c:pt idx="552">
                  <c:v>68</c:v>
                </c:pt>
                <c:pt idx="553">
                  <c:v>68</c:v>
                </c:pt>
                <c:pt idx="554">
                  <c:v>68</c:v>
                </c:pt>
                <c:pt idx="555">
                  <c:v>68</c:v>
                </c:pt>
                <c:pt idx="556">
                  <c:v>68</c:v>
                </c:pt>
                <c:pt idx="557">
                  <c:v>68</c:v>
                </c:pt>
                <c:pt idx="558">
                  <c:v>68</c:v>
                </c:pt>
                <c:pt idx="559">
                  <c:v>68</c:v>
                </c:pt>
                <c:pt idx="560">
                  <c:v>68</c:v>
                </c:pt>
                <c:pt idx="561">
                  <c:v>68</c:v>
                </c:pt>
                <c:pt idx="562">
                  <c:v>68</c:v>
                </c:pt>
                <c:pt idx="563">
                  <c:v>68</c:v>
                </c:pt>
                <c:pt idx="564">
                  <c:v>69</c:v>
                </c:pt>
                <c:pt idx="565">
                  <c:v>69</c:v>
                </c:pt>
                <c:pt idx="566">
                  <c:v>69</c:v>
                </c:pt>
                <c:pt idx="567">
                  <c:v>69</c:v>
                </c:pt>
                <c:pt idx="568">
                  <c:v>69</c:v>
                </c:pt>
                <c:pt idx="569">
                  <c:v>69</c:v>
                </c:pt>
                <c:pt idx="570">
                  <c:v>69</c:v>
                </c:pt>
                <c:pt idx="571">
                  <c:v>69</c:v>
                </c:pt>
                <c:pt idx="572">
                  <c:v>69</c:v>
                </c:pt>
                <c:pt idx="573">
                  <c:v>69</c:v>
                </c:pt>
                <c:pt idx="574">
                  <c:v>69</c:v>
                </c:pt>
                <c:pt idx="575">
                  <c:v>69</c:v>
                </c:pt>
                <c:pt idx="576">
                  <c:v>70</c:v>
                </c:pt>
                <c:pt idx="577">
                  <c:v>70</c:v>
                </c:pt>
                <c:pt idx="578">
                  <c:v>70</c:v>
                </c:pt>
                <c:pt idx="579">
                  <c:v>70</c:v>
                </c:pt>
                <c:pt idx="580">
                  <c:v>70</c:v>
                </c:pt>
                <c:pt idx="581">
                  <c:v>70</c:v>
                </c:pt>
                <c:pt idx="582">
                  <c:v>70</c:v>
                </c:pt>
                <c:pt idx="583">
                  <c:v>70</c:v>
                </c:pt>
                <c:pt idx="584">
                  <c:v>70</c:v>
                </c:pt>
                <c:pt idx="585">
                  <c:v>70</c:v>
                </c:pt>
                <c:pt idx="586">
                  <c:v>70</c:v>
                </c:pt>
                <c:pt idx="587">
                  <c:v>70</c:v>
                </c:pt>
                <c:pt idx="588">
                  <c:v>71</c:v>
                </c:pt>
                <c:pt idx="589">
                  <c:v>71</c:v>
                </c:pt>
                <c:pt idx="590">
                  <c:v>71</c:v>
                </c:pt>
                <c:pt idx="591">
                  <c:v>71</c:v>
                </c:pt>
                <c:pt idx="592">
                  <c:v>71</c:v>
                </c:pt>
                <c:pt idx="593">
                  <c:v>71</c:v>
                </c:pt>
                <c:pt idx="594">
                  <c:v>71</c:v>
                </c:pt>
                <c:pt idx="595">
                  <c:v>71</c:v>
                </c:pt>
                <c:pt idx="596">
                  <c:v>71</c:v>
                </c:pt>
                <c:pt idx="597">
                  <c:v>71</c:v>
                </c:pt>
                <c:pt idx="598">
                  <c:v>71</c:v>
                </c:pt>
                <c:pt idx="599">
                  <c:v>71</c:v>
                </c:pt>
                <c:pt idx="600">
                  <c:v>72</c:v>
                </c:pt>
                <c:pt idx="601">
                  <c:v>72</c:v>
                </c:pt>
                <c:pt idx="602">
                  <c:v>72</c:v>
                </c:pt>
                <c:pt idx="603">
                  <c:v>72</c:v>
                </c:pt>
                <c:pt idx="604">
                  <c:v>72</c:v>
                </c:pt>
                <c:pt idx="605">
                  <c:v>72</c:v>
                </c:pt>
                <c:pt idx="606">
                  <c:v>72</c:v>
                </c:pt>
                <c:pt idx="607">
                  <c:v>72</c:v>
                </c:pt>
                <c:pt idx="608">
                  <c:v>72</c:v>
                </c:pt>
                <c:pt idx="609">
                  <c:v>72</c:v>
                </c:pt>
                <c:pt idx="610">
                  <c:v>72</c:v>
                </c:pt>
                <c:pt idx="611">
                  <c:v>72</c:v>
                </c:pt>
                <c:pt idx="612">
                  <c:v>73</c:v>
                </c:pt>
                <c:pt idx="613">
                  <c:v>73</c:v>
                </c:pt>
                <c:pt idx="614">
                  <c:v>73</c:v>
                </c:pt>
                <c:pt idx="615">
                  <c:v>73</c:v>
                </c:pt>
                <c:pt idx="616">
                  <c:v>73</c:v>
                </c:pt>
                <c:pt idx="617">
                  <c:v>73</c:v>
                </c:pt>
                <c:pt idx="618">
                  <c:v>73</c:v>
                </c:pt>
                <c:pt idx="619">
                  <c:v>73</c:v>
                </c:pt>
                <c:pt idx="620">
                  <c:v>73</c:v>
                </c:pt>
                <c:pt idx="621">
                  <c:v>73</c:v>
                </c:pt>
                <c:pt idx="622">
                  <c:v>73</c:v>
                </c:pt>
                <c:pt idx="623">
                  <c:v>73</c:v>
                </c:pt>
                <c:pt idx="624">
                  <c:v>74</c:v>
                </c:pt>
                <c:pt idx="625">
                  <c:v>74</c:v>
                </c:pt>
                <c:pt idx="626">
                  <c:v>74</c:v>
                </c:pt>
                <c:pt idx="627">
                  <c:v>74</c:v>
                </c:pt>
                <c:pt idx="628">
                  <c:v>74</c:v>
                </c:pt>
                <c:pt idx="629">
                  <c:v>74</c:v>
                </c:pt>
                <c:pt idx="630">
                  <c:v>74</c:v>
                </c:pt>
                <c:pt idx="631">
                  <c:v>74</c:v>
                </c:pt>
                <c:pt idx="632">
                  <c:v>74</c:v>
                </c:pt>
                <c:pt idx="633">
                  <c:v>74</c:v>
                </c:pt>
                <c:pt idx="634">
                  <c:v>74</c:v>
                </c:pt>
                <c:pt idx="635">
                  <c:v>74</c:v>
                </c:pt>
                <c:pt idx="636">
                  <c:v>75</c:v>
                </c:pt>
                <c:pt idx="637">
                  <c:v>75</c:v>
                </c:pt>
                <c:pt idx="638">
                  <c:v>75</c:v>
                </c:pt>
                <c:pt idx="639">
                  <c:v>75</c:v>
                </c:pt>
                <c:pt idx="640">
                  <c:v>75</c:v>
                </c:pt>
                <c:pt idx="641">
                  <c:v>75</c:v>
                </c:pt>
                <c:pt idx="642">
                  <c:v>75</c:v>
                </c:pt>
                <c:pt idx="643">
                  <c:v>75</c:v>
                </c:pt>
                <c:pt idx="644">
                  <c:v>75</c:v>
                </c:pt>
                <c:pt idx="645">
                  <c:v>75</c:v>
                </c:pt>
                <c:pt idx="646">
                  <c:v>75</c:v>
                </c:pt>
                <c:pt idx="647">
                  <c:v>75</c:v>
                </c:pt>
                <c:pt idx="648">
                  <c:v>76</c:v>
                </c:pt>
                <c:pt idx="649">
                  <c:v>76</c:v>
                </c:pt>
                <c:pt idx="650">
                  <c:v>76</c:v>
                </c:pt>
                <c:pt idx="651">
                  <c:v>76</c:v>
                </c:pt>
                <c:pt idx="652">
                  <c:v>76</c:v>
                </c:pt>
                <c:pt idx="653">
                  <c:v>76</c:v>
                </c:pt>
                <c:pt idx="654">
                  <c:v>76</c:v>
                </c:pt>
                <c:pt idx="655">
                  <c:v>76</c:v>
                </c:pt>
                <c:pt idx="656">
                  <c:v>76</c:v>
                </c:pt>
                <c:pt idx="657">
                  <c:v>76</c:v>
                </c:pt>
                <c:pt idx="658">
                  <c:v>76</c:v>
                </c:pt>
                <c:pt idx="659">
                  <c:v>76</c:v>
                </c:pt>
                <c:pt idx="660">
                  <c:v>77</c:v>
                </c:pt>
                <c:pt idx="661">
                  <c:v>77</c:v>
                </c:pt>
                <c:pt idx="662">
                  <c:v>77</c:v>
                </c:pt>
                <c:pt idx="663">
                  <c:v>77</c:v>
                </c:pt>
                <c:pt idx="664">
                  <c:v>77</c:v>
                </c:pt>
                <c:pt idx="665">
                  <c:v>77</c:v>
                </c:pt>
                <c:pt idx="666">
                  <c:v>77</c:v>
                </c:pt>
                <c:pt idx="667">
                  <c:v>77</c:v>
                </c:pt>
                <c:pt idx="668">
                  <c:v>77</c:v>
                </c:pt>
                <c:pt idx="669">
                  <c:v>77</c:v>
                </c:pt>
                <c:pt idx="670">
                  <c:v>77</c:v>
                </c:pt>
                <c:pt idx="671">
                  <c:v>77</c:v>
                </c:pt>
                <c:pt idx="672">
                  <c:v>78</c:v>
                </c:pt>
                <c:pt idx="673">
                  <c:v>78</c:v>
                </c:pt>
                <c:pt idx="674">
                  <c:v>78</c:v>
                </c:pt>
                <c:pt idx="675">
                  <c:v>78</c:v>
                </c:pt>
                <c:pt idx="676">
                  <c:v>78</c:v>
                </c:pt>
                <c:pt idx="677">
                  <c:v>78</c:v>
                </c:pt>
                <c:pt idx="678">
                  <c:v>78</c:v>
                </c:pt>
                <c:pt idx="679">
                  <c:v>78</c:v>
                </c:pt>
                <c:pt idx="680">
                  <c:v>78</c:v>
                </c:pt>
                <c:pt idx="681">
                  <c:v>78</c:v>
                </c:pt>
                <c:pt idx="682">
                  <c:v>78</c:v>
                </c:pt>
                <c:pt idx="683">
                  <c:v>78</c:v>
                </c:pt>
                <c:pt idx="684">
                  <c:v>79</c:v>
                </c:pt>
                <c:pt idx="685">
                  <c:v>79</c:v>
                </c:pt>
                <c:pt idx="686">
                  <c:v>79</c:v>
                </c:pt>
                <c:pt idx="687">
                  <c:v>79</c:v>
                </c:pt>
                <c:pt idx="688">
                  <c:v>79</c:v>
                </c:pt>
                <c:pt idx="689">
                  <c:v>79</c:v>
                </c:pt>
                <c:pt idx="690">
                  <c:v>79</c:v>
                </c:pt>
                <c:pt idx="691">
                  <c:v>79</c:v>
                </c:pt>
                <c:pt idx="692">
                  <c:v>79</c:v>
                </c:pt>
                <c:pt idx="693">
                  <c:v>79</c:v>
                </c:pt>
                <c:pt idx="694">
                  <c:v>79</c:v>
                </c:pt>
                <c:pt idx="695">
                  <c:v>79</c:v>
                </c:pt>
                <c:pt idx="696">
                  <c:v>80</c:v>
                </c:pt>
                <c:pt idx="697">
                  <c:v>80</c:v>
                </c:pt>
                <c:pt idx="698">
                  <c:v>80</c:v>
                </c:pt>
                <c:pt idx="699">
                  <c:v>80</c:v>
                </c:pt>
                <c:pt idx="700">
                  <c:v>80</c:v>
                </c:pt>
                <c:pt idx="701">
                  <c:v>80</c:v>
                </c:pt>
                <c:pt idx="702">
                  <c:v>80</c:v>
                </c:pt>
                <c:pt idx="703">
                  <c:v>80</c:v>
                </c:pt>
                <c:pt idx="704">
                  <c:v>80</c:v>
                </c:pt>
                <c:pt idx="705">
                  <c:v>80</c:v>
                </c:pt>
                <c:pt idx="706">
                  <c:v>80</c:v>
                </c:pt>
                <c:pt idx="707">
                  <c:v>80</c:v>
                </c:pt>
              </c:numCache>
            </c:numRef>
          </c:cat>
          <c:val>
            <c:numRef>
              <c:f>'Final version'!$C$2:$C$709</c:f>
              <c:numCache>
                <c:formatCode>0.0000</c:formatCode>
                <c:ptCount val="708"/>
                <c:pt idx="0">
                  <c:v>64.886091688250275</c:v>
                </c:pt>
                <c:pt idx="1">
                  <c:v>64.886091688250275</c:v>
                </c:pt>
                <c:pt idx="2">
                  <c:v>64.886091688250275</c:v>
                </c:pt>
                <c:pt idx="3">
                  <c:v>64.886091688250275</c:v>
                </c:pt>
                <c:pt idx="4">
                  <c:v>64.886091688250275</c:v>
                </c:pt>
                <c:pt idx="5">
                  <c:v>64.886091688250275</c:v>
                </c:pt>
                <c:pt idx="6">
                  <c:v>64.441038663314785</c:v>
                </c:pt>
                <c:pt idx="7">
                  <c:v>63.995985638379267</c:v>
                </c:pt>
                <c:pt idx="8">
                  <c:v>63.550932613443749</c:v>
                </c:pt>
                <c:pt idx="9">
                  <c:v>63.105879588508238</c:v>
                </c:pt>
                <c:pt idx="10">
                  <c:v>62.660826563572719</c:v>
                </c:pt>
                <c:pt idx="11">
                  <c:v>62.215773538637208</c:v>
                </c:pt>
                <c:pt idx="12">
                  <c:v>61.770720513701697</c:v>
                </c:pt>
                <c:pt idx="13">
                  <c:v>61.325667488766193</c:v>
                </c:pt>
                <c:pt idx="14">
                  <c:v>60.880614463830675</c:v>
                </c:pt>
                <c:pt idx="15">
                  <c:v>60.435561438895171</c:v>
                </c:pt>
                <c:pt idx="16">
                  <c:v>59.99050841395966</c:v>
                </c:pt>
                <c:pt idx="17">
                  <c:v>59.545455389024148</c:v>
                </c:pt>
                <c:pt idx="18">
                  <c:v>58.382638037427292</c:v>
                </c:pt>
                <c:pt idx="19">
                  <c:v>57.664873710765946</c:v>
                </c:pt>
                <c:pt idx="20">
                  <c:v>56.947109384104593</c:v>
                </c:pt>
                <c:pt idx="21">
                  <c:v>56.229345057443247</c:v>
                </c:pt>
                <c:pt idx="22">
                  <c:v>55.511580730781901</c:v>
                </c:pt>
                <c:pt idx="23">
                  <c:v>54.793816404120548</c:v>
                </c:pt>
                <c:pt idx="24">
                  <c:v>54.076052077459181</c:v>
                </c:pt>
                <c:pt idx="25">
                  <c:v>53.358287750797828</c:v>
                </c:pt>
                <c:pt idx="26">
                  <c:v>52.640523424136482</c:v>
                </c:pt>
                <c:pt idx="27">
                  <c:v>51.922759097475129</c:v>
                </c:pt>
                <c:pt idx="28">
                  <c:v>51.204994770813769</c:v>
                </c:pt>
                <c:pt idx="29">
                  <c:v>50.487230444152416</c:v>
                </c:pt>
                <c:pt idx="30">
                  <c:v>49.447710566507681</c:v>
                </c:pt>
                <c:pt idx="31">
                  <c:v>49.125955015524298</c:v>
                </c:pt>
                <c:pt idx="32">
                  <c:v>48.804199464540915</c:v>
                </c:pt>
                <c:pt idx="33">
                  <c:v>48.482443913557532</c:v>
                </c:pt>
                <c:pt idx="34">
                  <c:v>48.160688362574156</c:v>
                </c:pt>
                <c:pt idx="35">
                  <c:v>47.838932811590773</c:v>
                </c:pt>
                <c:pt idx="36">
                  <c:v>47.51717726060739</c:v>
                </c:pt>
                <c:pt idx="37">
                  <c:v>47.195421709624007</c:v>
                </c:pt>
                <c:pt idx="38">
                  <c:v>46.873666158640624</c:v>
                </c:pt>
                <c:pt idx="39">
                  <c:v>46.551910607657241</c:v>
                </c:pt>
                <c:pt idx="40">
                  <c:v>46.230155056673865</c:v>
                </c:pt>
                <c:pt idx="41">
                  <c:v>45.908399505690483</c:v>
                </c:pt>
                <c:pt idx="42">
                  <c:v>45.608548199885909</c:v>
                </c:pt>
                <c:pt idx="43">
                  <c:v>45.630452445064719</c:v>
                </c:pt>
                <c:pt idx="44">
                  <c:v>45.652356690243543</c:v>
                </c:pt>
                <c:pt idx="45">
                  <c:v>45.67426093542236</c:v>
                </c:pt>
                <c:pt idx="46">
                  <c:v>45.696165180601184</c:v>
                </c:pt>
                <c:pt idx="47">
                  <c:v>45.718069425780001</c:v>
                </c:pt>
                <c:pt idx="48">
                  <c:v>45.739973670958825</c:v>
                </c:pt>
                <c:pt idx="49">
                  <c:v>45.761877916137642</c:v>
                </c:pt>
                <c:pt idx="50">
                  <c:v>45.783782161316466</c:v>
                </c:pt>
                <c:pt idx="51">
                  <c:v>45.805686406495283</c:v>
                </c:pt>
                <c:pt idx="52">
                  <c:v>45.8275906516741</c:v>
                </c:pt>
                <c:pt idx="53">
                  <c:v>45.849494896852924</c:v>
                </c:pt>
                <c:pt idx="54">
                  <c:v>45.700791258753036</c:v>
                </c:pt>
                <c:pt idx="55">
                  <c:v>45.53018337547433</c:v>
                </c:pt>
                <c:pt idx="56">
                  <c:v>45.359575492195631</c:v>
                </c:pt>
                <c:pt idx="57">
                  <c:v>45.188967608916933</c:v>
                </c:pt>
                <c:pt idx="58">
                  <c:v>45.018359725638227</c:v>
                </c:pt>
                <c:pt idx="59">
                  <c:v>44.847751842359528</c:v>
                </c:pt>
                <c:pt idx="60">
                  <c:v>44.677143959080823</c:v>
                </c:pt>
                <c:pt idx="61">
                  <c:v>44.506536075802124</c:v>
                </c:pt>
                <c:pt idx="62">
                  <c:v>44.335928192523426</c:v>
                </c:pt>
                <c:pt idx="63">
                  <c:v>44.16532030924472</c:v>
                </c:pt>
                <c:pt idx="64">
                  <c:v>43.994712425966021</c:v>
                </c:pt>
                <c:pt idx="65">
                  <c:v>43.824104542687323</c:v>
                </c:pt>
                <c:pt idx="66">
                  <c:v>43.166120047542783</c:v>
                </c:pt>
                <c:pt idx="67">
                  <c:v>42.678743435676942</c:v>
                </c:pt>
                <c:pt idx="68">
                  <c:v>42.191366823811101</c:v>
                </c:pt>
                <c:pt idx="69">
                  <c:v>41.703990211945261</c:v>
                </c:pt>
                <c:pt idx="70">
                  <c:v>41.21661360007942</c:v>
                </c:pt>
                <c:pt idx="71">
                  <c:v>40.729236988213579</c:v>
                </c:pt>
                <c:pt idx="72">
                  <c:v>40.241860376347738</c:v>
                </c:pt>
                <c:pt idx="73">
                  <c:v>39.754483764481897</c:v>
                </c:pt>
                <c:pt idx="74">
                  <c:v>39.267107152616063</c:v>
                </c:pt>
                <c:pt idx="75">
                  <c:v>38.779730540750229</c:v>
                </c:pt>
                <c:pt idx="76">
                  <c:v>38.292353928884388</c:v>
                </c:pt>
                <c:pt idx="77">
                  <c:v>37.804977317018555</c:v>
                </c:pt>
                <c:pt idx="78">
                  <c:v>36.657913538738867</c:v>
                </c:pt>
                <c:pt idx="79">
                  <c:v>35.998226372325021</c:v>
                </c:pt>
                <c:pt idx="80">
                  <c:v>35.338539205911175</c:v>
                </c:pt>
                <c:pt idx="81">
                  <c:v>34.678852039497329</c:v>
                </c:pt>
                <c:pt idx="82">
                  <c:v>34.019164873083483</c:v>
                </c:pt>
                <c:pt idx="83">
                  <c:v>33.359477706669637</c:v>
                </c:pt>
                <c:pt idx="84">
                  <c:v>32.699790540255783</c:v>
                </c:pt>
                <c:pt idx="85">
                  <c:v>32.04010337384193</c:v>
                </c:pt>
                <c:pt idx="86">
                  <c:v>31.380416207428084</c:v>
                </c:pt>
                <c:pt idx="87">
                  <c:v>30.720729041014231</c:v>
                </c:pt>
                <c:pt idx="88">
                  <c:v>30.061041874600384</c:v>
                </c:pt>
                <c:pt idx="89">
                  <c:v>29.401354708186528</c:v>
                </c:pt>
                <c:pt idx="90">
                  <c:v>28.868444254910777</c:v>
                </c:pt>
                <c:pt idx="91">
                  <c:v>28.995220968048873</c:v>
                </c:pt>
                <c:pt idx="92">
                  <c:v>29.121997681186965</c:v>
                </c:pt>
                <c:pt idx="93">
                  <c:v>29.248774394325061</c:v>
                </c:pt>
                <c:pt idx="94">
                  <c:v>29.375551107463156</c:v>
                </c:pt>
                <c:pt idx="95">
                  <c:v>29.502327820601252</c:v>
                </c:pt>
                <c:pt idx="96">
                  <c:v>29.629104533739344</c:v>
                </c:pt>
                <c:pt idx="97">
                  <c:v>29.75588124687744</c:v>
                </c:pt>
                <c:pt idx="98">
                  <c:v>29.882657960015536</c:v>
                </c:pt>
                <c:pt idx="99">
                  <c:v>30.009434673153631</c:v>
                </c:pt>
                <c:pt idx="100">
                  <c:v>30.136211386291727</c:v>
                </c:pt>
                <c:pt idx="101">
                  <c:v>30.262988099429819</c:v>
                </c:pt>
                <c:pt idx="102">
                  <c:v>30.025592344415788</c:v>
                </c:pt>
                <c:pt idx="103">
                  <c:v>29.661419876263661</c:v>
                </c:pt>
                <c:pt idx="104">
                  <c:v>29.297247408111534</c:v>
                </c:pt>
                <c:pt idx="105">
                  <c:v>28.933074939959404</c:v>
                </c:pt>
                <c:pt idx="106">
                  <c:v>28.568902471807284</c:v>
                </c:pt>
                <c:pt idx="107">
                  <c:v>28.204730003655154</c:v>
                </c:pt>
                <c:pt idx="108">
                  <c:v>27.840557535503031</c:v>
                </c:pt>
                <c:pt idx="109">
                  <c:v>27.476385067350904</c:v>
                </c:pt>
                <c:pt idx="110">
                  <c:v>27.112212599198781</c:v>
                </c:pt>
                <c:pt idx="111">
                  <c:v>26.748040131046654</c:v>
                </c:pt>
                <c:pt idx="112">
                  <c:v>26.383867662894531</c:v>
                </c:pt>
                <c:pt idx="113">
                  <c:v>26.019695194742404</c:v>
                </c:pt>
                <c:pt idx="114">
                  <c:v>25.389650048633385</c:v>
                </c:pt>
                <c:pt idx="115">
                  <c:v>25.123777370676486</c:v>
                </c:pt>
                <c:pt idx="116">
                  <c:v>24.85790469271959</c:v>
                </c:pt>
                <c:pt idx="117">
                  <c:v>24.592032014762687</c:v>
                </c:pt>
                <c:pt idx="118">
                  <c:v>24.326159336805787</c:v>
                </c:pt>
                <c:pt idx="119">
                  <c:v>24.060286658848892</c:v>
                </c:pt>
                <c:pt idx="120">
                  <c:v>23.794413980891992</c:v>
                </c:pt>
                <c:pt idx="121">
                  <c:v>23.528541302935096</c:v>
                </c:pt>
                <c:pt idx="122">
                  <c:v>23.262668624978197</c:v>
                </c:pt>
                <c:pt idx="123">
                  <c:v>22.996795947021301</c:v>
                </c:pt>
                <c:pt idx="124">
                  <c:v>22.730923269064398</c:v>
                </c:pt>
                <c:pt idx="125">
                  <c:v>22.465050591107499</c:v>
                </c:pt>
                <c:pt idx="126">
                  <c:v>21.985434598995166</c:v>
                </c:pt>
                <c:pt idx="127">
                  <c:v>21.771691284839736</c:v>
                </c:pt>
                <c:pt idx="128">
                  <c:v>21.557947970684307</c:v>
                </c:pt>
                <c:pt idx="129">
                  <c:v>21.344204656528877</c:v>
                </c:pt>
                <c:pt idx="130">
                  <c:v>21.130461342373447</c:v>
                </c:pt>
                <c:pt idx="131">
                  <c:v>20.916718028218018</c:v>
                </c:pt>
                <c:pt idx="132">
                  <c:v>20.702974714062591</c:v>
                </c:pt>
                <c:pt idx="133">
                  <c:v>20.489231399907162</c:v>
                </c:pt>
                <c:pt idx="134">
                  <c:v>20.275488085751729</c:v>
                </c:pt>
                <c:pt idx="135">
                  <c:v>20.061744771596302</c:v>
                </c:pt>
                <c:pt idx="136">
                  <c:v>19.848001457440873</c:v>
                </c:pt>
                <c:pt idx="137">
                  <c:v>19.634258143285443</c:v>
                </c:pt>
                <c:pt idx="138">
                  <c:v>19.278727036939543</c:v>
                </c:pt>
                <c:pt idx="139">
                  <c:v>19.136939244749069</c:v>
                </c:pt>
                <c:pt idx="140">
                  <c:v>18.995151452558595</c:v>
                </c:pt>
                <c:pt idx="141">
                  <c:v>18.853363660368121</c:v>
                </c:pt>
                <c:pt idx="142">
                  <c:v>18.711575868177647</c:v>
                </c:pt>
                <c:pt idx="143">
                  <c:v>18.569788075987173</c:v>
                </c:pt>
                <c:pt idx="144">
                  <c:v>18.428000283796699</c:v>
                </c:pt>
                <c:pt idx="145">
                  <c:v>18.286212491606229</c:v>
                </c:pt>
                <c:pt idx="146">
                  <c:v>18.144424699415755</c:v>
                </c:pt>
                <c:pt idx="147">
                  <c:v>18.002636907225281</c:v>
                </c:pt>
                <c:pt idx="148">
                  <c:v>17.86084911503481</c:v>
                </c:pt>
                <c:pt idx="149">
                  <c:v>17.719061322844336</c:v>
                </c:pt>
                <c:pt idx="150">
                  <c:v>17.476948568132872</c:v>
                </c:pt>
                <c:pt idx="151">
                  <c:v>17.376623605611883</c:v>
                </c:pt>
                <c:pt idx="152">
                  <c:v>17.276298643090893</c:v>
                </c:pt>
                <c:pt idx="153">
                  <c:v>17.175973680569903</c:v>
                </c:pt>
                <c:pt idx="154">
                  <c:v>17.075648718048914</c:v>
                </c:pt>
                <c:pt idx="155">
                  <c:v>16.975323755527924</c:v>
                </c:pt>
                <c:pt idx="156">
                  <c:v>16.874998793006935</c:v>
                </c:pt>
                <c:pt idx="157">
                  <c:v>16.774673830485941</c:v>
                </c:pt>
                <c:pt idx="158">
                  <c:v>16.674348867964952</c:v>
                </c:pt>
                <c:pt idx="159">
                  <c:v>16.574023905443958</c:v>
                </c:pt>
                <c:pt idx="160">
                  <c:v>16.473698942922969</c:v>
                </c:pt>
                <c:pt idx="161">
                  <c:v>16.373373980401976</c:v>
                </c:pt>
                <c:pt idx="162">
                  <c:v>16.162155022226493</c:v>
                </c:pt>
                <c:pt idx="163">
                  <c:v>16.051261026572</c:v>
                </c:pt>
                <c:pt idx="164">
                  <c:v>15.940367030917507</c:v>
                </c:pt>
                <c:pt idx="165">
                  <c:v>15.829473035263014</c:v>
                </c:pt>
                <c:pt idx="166">
                  <c:v>15.718579039608521</c:v>
                </c:pt>
                <c:pt idx="167">
                  <c:v>15.607685043954028</c:v>
                </c:pt>
                <c:pt idx="168">
                  <c:v>15.496791048299535</c:v>
                </c:pt>
                <c:pt idx="169">
                  <c:v>15.385897052645046</c:v>
                </c:pt>
                <c:pt idx="170">
                  <c:v>15.275003056990553</c:v>
                </c:pt>
                <c:pt idx="171">
                  <c:v>15.164109061336061</c:v>
                </c:pt>
                <c:pt idx="172">
                  <c:v>15.053215065681568</c:v>
                </c:pt>
                <c:pt idx="173">
                  <c:v>14.942321070027075</c:v>
                </c:pt>
                <c:pt idx="174">
                  <c:v>14.781818188295961</c:v>
                </c:pt>
                <c:pt idx="175">
                  <c:v>14.73220930221934</c:v>
                </c:pt>
                <c:pt idx="176">
                  <c:v>14.682600416142719</c:v>
                </c:pt>
                <c:pt idx="177">
                  <c:v>14.632991530066098</c:v>
                </c:pt>
                <c:pt idx="178">
                  <c:v>14.583382643989479</c:v>
                </c:pt>
                <c:pt idx="179">
                  <c:v>14.533773757912858</c:v>
                </c:pt>
                <c:pt idx="180">
                  <c:v>14.48416487183624</c:v>
                </c:pt>
                <c:pt idx="181">
                  <c:v>14.434555985759619</c:v>
                </c:pt>
                <c:pt idx="182">
                  <c:v>14.384947099683</c:v>
                </c:pt>
                <c:pt idx="183">
                  <c:v>14.335338213606379</c:v>
                </c:pt>
                <c:pt idx="184">
                  <c:v>14.285729327529761</c:v>
                </c:pt>
                <c:pt idx="185">
                  <c:v>14.23612044145314</c:v>
                </c:pt>
                <c:pt idx="186">
                  <c:v>14.159334781106887</c:v>
                </c:pt>
                <c:pt idx="187">
                  <c:v>14.132158006837253</c:v>
                </c:pt>
                <c:pt idx="188">
                  <c:v>14.104981232567619</c:v>
                </c:pt>
                <c:pt idx="189">
                  <c:v>14.077804458297985</c:v>
                </c:pt>
                <c:pt idx="190">
                  <c:v>14.050627684028351</c:v>
                </c:pt>
                <c:pt idx="191">
                  <c:v>14.023450909758715</c:v>
                </c:pt>
                <c:pt idx="192">
                  <c:v>13.996274135489081</c:v>
                </c:pt>
                <c:pt idx="193">
                  <c:v>13.969097361219443</c:v>
                </c:pt>
                <c:pt idx="194">
                  <c:v>13.941920586949809</c:v>
                </c:pt>
                <c:pt idx="195">
                  <c:v>13.914743812680175</c:v>
                </c:pt>
                <c:pt idx="196">
                  <c:v>13.887567038410539</c:v>
                </c:pt>
                <c:pt idx="197">
                  <c:v>13.860390264140905</c:v>
                </c:pt>
                <c:pt idx="198">
                  <c:v>13.82345417532381</c:v>
                </c:pt>
                <c:pt idx="199">
                  <c:v>13.813694860776348</c:v>
                </c:pt>
                <c:pt idx="200">
                  <c:v>13.803935546228887</c:v>
                </c:pt>
                <c:pt idx="201">
                  <c:v>13.794176231681423</c:v>
                </c:pt>
                <c:pt idx="202">
                  <c:v>13.78441691713396</c:v>
                </c:pt>
                <c:pt idx="203">
                  <c:v>13.774657602586499</c:v>
                </c:pt>
                <c:pt idx="204">
                  <c:v>13.764898288039037</c:v>
                </c:pt>
                <c:pt idx="205">
                  <c:v>13.755138973491576</c:v>
                </c:pt>
                <c:pt idx="206">
                  <c:v>13.745379658944113</c:v>
                </c:pt>
                <c:pt idx="207">
                  <c:v>13.735620344396652</c:v>
                </c:pt>
                <c:pt idx="208">
                  <c:v>13.72586102984919</c:v>
                </c:pt>
                <c:pt idx="209">
                  <c:v>13.716101715301729</c:v>
                </c:pt>
                <c:pt idx="210">
                  <c:v>13.680254682334382</c:v>
                </c:pt>
                <c:pt idx="211">
                  <c:v>13.654166963914502</c:v>
                </c:pt>
                <c:pt idx="212">
                  <c:v>13.628079245494622</c:v>
                </c:pt>
                <c:pt idx="213">
                  <c:v>13.601991527074743</c:v>
                </c:pt>
                <c:pt idx="214">
                  <c:v>13.575903808654861</c:v>
                </c:pt>
                <c:pt idx="215">
                  <c:v>13.54981609023498</c:v>
                </c:pt>
                <c:pt idx="216">
                  <c:v>13.5237283718151</c:v>
                </c:pt>
                <c:pt idx="217">
                  <c:v>13.497640653395219</c:v>
                </c:pt>
                <c:pt idx="218">
                  <c:v>13.471552934975337</c:v>
                </c:pt>
                <c:pt idx="219">
                  <c:v>13.445465216555457</c:v>
                </c:pt>
                <c:pt idx="220">
                  <c:v>13.419377498135578</c:v>
                </c:pt>
                <c:pt idx="221">
                  <c:v>13.393289779715698</c:v>
                </c:pt>
                <c:pt idx="222">
                  <c:v>13.327295415783455</c:v>
                </c:pt>
                <c:pt idx="223">
                  <c:v>13.287388770271095</c:v>
                </c:pt>
                <c:pt idx="224">
                  <c:v>13.247482124758735</c:v>
                </c:pt>
                <c:pt idx="225">
                  <c:v>13.207575479246374</c:v>
                </c:pt>
                <c:pt idx="226">
                  <c:v>13.167668833734014</c:v>
                </c:pt>
                <c:pt idx="227">
                  <c:v>13.127762188221654</c:v>
                </c:pt>
                <c:pt idx="228">
                  <c:v>13.087855542709294</c:v>
                </c:pt>
                <c:pt idx="229">
                  <c:v>13.047948897196934</c:v>
                </c:pt>
                <c:pt idx="230">
                  <c:v>13.008042251684572</c:v>
                </c:pt>
                <c:pt idx="231">
                  <c:v>12.968135606172211</c:v>
                </c:pt>
                <c:pt idx="232">
                  <c:v>12.928228960659851</c:v>
                </c:pt>
                <c:pt idx="233">
                  <c:v>12.888322315147491</c:v>
                </c:pt>
                <c:pt idx="234">
                  <c:v>12.823526937773893</c:v>
                </c:pt>
                <c:pt idx="235">
                  <c:v>12.79863820591266</c:v>
                </c:pt>
                <c:pt idx="236">
                  <c:v>12.773749474051424</c:v>
                </c:pt>
                <c:pt idx="237">
                  <c:v>12.748860742190192</c:v>
                </c:pt>
                <c:pt idx="238">
                  <c:v>12.723972010328957</c:v>
                </c:pt>
                <c:pt idx="239">
                  <c:v>12.699083278467723</c:v>
                </c:pt>
                <c:pt idx="240">
                  <c:v>12.674194546606488</c:v>
                </c:pt>
                <c:pt idx="241">
                  <c:v>12.649305814745254</c:v>
                </c:pt>
                <c:pt idx="242">
                  <c:v>12.624417082884019</c:v>
                </c:pt>
                <c:pt idx="243">
                  <c:v>12.599528351022785</c:v>
                </c:pt>
                <c:pt idx="244">
                  <c:v>12.574639619161552</c:v>
                </c:pt>
                <c:pt idx="245">
                  <c:v>12.549750887300318</c:v>
                </c:pt>
                <c:pt idx="246">
                  <c:v>12.512905152255248</c:v>
                </c:pt>
                <c:pt idx="247">
                  <c:v>12.500948149071412</c:v>
                </c:pt>
                <c:pt idx="248">
                  <c:v>12.488991145887574</c:v>
                </c:pt>
                <c:pt idx="249">
                  <c:v>12.47703414270374</c:v>
                </c:pt>
                <c:pt idx="250">
                  <c:v>12.465077139519904</c:v>
                </c:pt>
                <c:pt idx="251">
                  <c:v>12.45312013633607</c:v>
                </c:pt>
                <c:pt idx="252">
                  <c:v>12.44116313315223</c:v>
                </c:pt>
                <c:pt idx="253">
                  <c:v>12.429206129968394</c:v>
                </c:pt>
                <c:pt idx="254">
                  <c:v>12.417249126784558</c:v>
                </c:pt>
                <c:pt idx="255">
                  <c:v>12.405292123600722</c:v>
                </c:pt>
                <c:pt idx="256">
                  <c:v>12.393335120416886</c:v>
                </c:pt>
                <c:pt idx="257">
                  <c:v>12.381378117233048</c:v>
                </c:pt>
                <c:pt idx="258">
                  <c:v>12.348054426435835</c:v>
                </c:pt>
                <c:pt idx="259">
                  <c:v>12.326687738822461</c:v>
                </c:pt>
                <c:pt idx="260">
                  <c:v>12.305321051209084</c:v>
                </c:pt>
                <c:pt idx="261">
                  <c:v>12.28395436359571</c:v>
                </c:pt>
                <c:pt idx="262">
                  <c:v>12.262587675982331</c:v>
                </c:pt>
                <c:pt idx="263">
                  <c:v>12.241220988368955</c:v>
                </c:pt>
                <c:pt idx="264">
                  <c:v>12.21985430075558</c:v>
                </c:pt>
                <c:pt idx="265">
                  <c:v>12.198487613142204</c:v>
                </c:pt>
                <c:pt idx="266">
                  <c:v>12.177120925528827</c:v>
                </c:pt>
                <c:pt idx="267">
                  <c:v>12.155754237915451</c:v>
                </c:pt>
                <c:pt idx="268">
                  <c:v>12.134387550302073</c:v>
                </c:pt>
                <c:pt idx="269">
                  <c:v>12.113020862688698</c:v>
                </c:pt>
                <c:pt idx="270">
                  <c:v>12.080866327284665</c:v>
                </c:pt>
                <c:pt idx="271">
                  <c:v>12.070078479494004</c:v>
                </c:pt>
                <c:pt idx="272">
                  <c:v>12.059290631703346</c:v>
                </c:pt>
                <c:pt idx="273">
                  <c:v>12.048502783912685</c:v>
                </c:pt>
                <c:pt idx="274">
                  <c:v>12.037714936122029</c:v>
                </c:pt>
                <c:pt idx="275">
                  <c:v>12.026927088331373</c:v>
                </c:pt>
                <c:pt idx="276">
                  <c:v>12.016139240540715</c:v>
                </c:pt>
                <c:pt idx="277">
                  <c:v>12.005351392750054</c:v>
                </c:pt>
                <c:pt idx="278">
                  <c:v>11.994563544959398</c:v>
                </c:pt>
                <c:pt idx="279">
                  <c:v>11.98377569716874</c:v>
                </c:pt>
                <c:pt idx="280">
                  <c:v>11.972987849378079</c:v>
                </c:pt>
                <c:pt idx="281">
                  <c:v>11.962200001587423</c:v>
                </c:pt>
                <c:pt idx="282">
                  <c:v>11.911516008284179</c:v>
                </c:pt>
                <c:pt idx="283">
                  <c:v>11.871619862771594</c:v>
                </c:pt>
                <c:pt idx="284">
                  <c:v>11.831723717259006</c:v>
                </c:pt>
                <c:pt idx="285">
                  <c:v>11.791827571746419</c:v>
                </c:pt>
                <c:pt idx="286">
                  <c:v>11.751931426233833</c:v>
                </c:pt>
                <c:pt idx="287">
                  <c:v>11.712035280721246</c:v>
                </c:pt>
                <c:pt idx="288">
                  <c:v>11.67213913520866</c:v>
                </c:pt>
                <c:pt idx="289">
                  <c:v>11.632242989696071</c:v>
                </c:pt>
                <c:pt idx="290">
                  <c:v>11.592346844183485</c:v>
                </c:pt>
                <c:pt idx="291">
                  <c:v>11.552450698670897</c:v>
                </c:pt>
                <c:pt idx="292">
                  <c:v>11.512554553158312</c:v>
                </c:pt>
                <c:pt idx="293">
                  <c:v>11.472658407645724</c:v>
                </c:pt>
                <c:pt idx="294">
                  <c:v>11.386703604247602</c:v>
                </c:pt>
                <c:pt idx="295">
                  <c:v>11.340644946362069</c:v>
                </c:pt>
                <c:pt idx="296">
                  <c:v>11.294586288476534</c:v>
                </c:pt>
                <c:pt idx="297">
                  <c:v>11.248527630590997</c:v>
                </c:pt>
                <c:pt idx="298">
                  <c:v>11.202468972705464</c:v>
                </c:pt>
                <c:pt idx="299">
                  <c:v>11.156410314819928</c:v>
                </c:pt>
                <c:pt idx="300">
                  <c:v>11.110351656934395</c:v>
                </c:pt>
                <c:pt idx="301">
                  <c:v>11.06429299904886</c:v>
                </c:pt>
                <c:pt idx="302">
                  <c:v>11.018234341163323</c:v>
                </c:pt>
                <c:pt idx="303">
                  <c:v>10.97217568327779</c:v>
                </c:pt>
                <c:pt idx="304">
                  <c:v>10.926117025392255</c:v>
                </c:pt>
                <c:pt idx="305">
                  <c:v>10.880058367506722</c:v>
                </c:pt>
                <c:pt idx="306">
                  <c:v>10.802130218714378</c:v>
                </c:pt>
                <c:pt idx="307">
                  <c:v>10.770260727807569</c:v>
                </c:pt>
                <c:pt idx="308">
                  <c:v>10.738391236900764</c:v>
                </c:pt>
                <c:pt idx="309">
                  <c:v>10.706521745993957</c:v>
                </c:pt>
                <c:pt idx="310">
                  <c:v>10.674652255087151</c:v>
                </c:pt>
                <c:pt idx="311">
                  <c:v>10.642782764180343</c:v>
                </c:pt>
                <c:pt idx="312">
                  <c:v>10.610913273273537</c:v>
                </c:pt>
                <c:pt idx="313">
                  <c:v>10.57904378236673</c:v>
                </c:pt>
                <c:pt idx="314">
                  <c:v>10.547174291459923</c:v>
                </c:pt>
                <c:pt idx="315">
                  <c:v>10.515304800553114</c:v>
                </c:pt>
                <c:pt idx="316">
                  <c:v>10.483435309646307</c:v>
                </c:pt>
                <c:pt idx="317">
                  <c:v>10.4515658187395</c:v>
                </c:pt>
                <c:pt idx="318">
                  <c:v>10.359754698786597</c:v>
                </c:pt>
                <c:pt idx="319">
                  <c:v>10.2998130697405</c:v>
                </c:pt>
                <c:pt idx="320">
                  <c:v>10.239871440694404</c:v>
                </c:pt>
                <c:pt idx="321">
                  <c:v>10.179929811648309</c:v>
                </c:pt>
                <c:pt idx="322">
                  <c:v>10.119988182602214</c:v>
                </c:pt>
                <c:pt idx="323">
                  <c:v>10.060046553556116</c:v>
                </c:pt>
                <c:pt idx="324">
                  <c:v>10.000104924510023</c:v>
                </c:pt>
                <c:pt idx="325">
                  <c:v>9.9401632954639254</c:v>
                </c:pt>
                <c:pt idx="326">
                  <c:v>9.88022166641783</c:v>
                </c:pt>
                <c:pt idx="327">
                  <c:v>9.8202800373717345</c:v>
                </c:pt>
                <c:pt idx="328">
                  <c:v>9.760338408325639</c:v>
                </c:pt>
                <c:pt idx="329">
                  <c:v>9.7003967792795418</c:v>
                </c:pt>
                <c:pt idx="330">
                  <c:v>9.5903427878536771</c:v>
                </c:pt>
                <c:pt idx="331">
                  <c:v>9.5402304254739079</c:v>
                </c:pt>
                <c:pt idx="332">
                  <c:v>9.4901180630941386</c:v>
                </c:pt>
                <c:pt idx="333">
                  <c:v>9.4400057007143694</c:v>
                </c:pt>
                <c:pt idx="334">
                  <c:v>9.3898933383346002</c:v>
                </c:pt>
                <c:pt idx="335">
                  <c:v>9.3397809759548309</c:v>
                </c:pt>
                <c:pt idx="336">
                  <c:v>9.2896686135750617</c:v>
                </c:pt>
                <c:pt idx="337">
                  <c:v>9.2395562511952942</c:v>
                </c:pt>
                <c:pt idx="338">
                  <c:v>9.189443888815525</c:v>
                </c:pt>
                <c:pt idx="339">
                  <c:v>9.1393315264357575</c:v>
                </c:pt>
                <c:pt idx="340">
                  <c:v>9.0892191640559883</c:v>
                </c:pt>
                <c:pt idx="341">
                  <c:v>9.0391068016762208</c:v>
                </c:pt>
                <c:pt idx="342">
                  <c:v>8.9166400581101222</c:v>
                </c:pt>
                <c:pt idx="343">
                  <c:v>8.8442856769237945</c:v>
                </c:pt>
                <c:pt idx="344">
                  <c:v>8.7719312957374669</c:v>
                </c:pt>
                <c:pt idx="345">
                  <c:v>8.6995769145511375</c:v>
                </c:pt>
                <c:pt idx="346">
                  <c:v>8.6272225333648098</c:v>
                </c:pt>
                <c:pt idx="347">
                  <c:v>8.5548681521784822</c:v>
                </c:pt>
                <c:pt idx="348">
                  <c:v>8.4825137709921528</c:v>
                </c:pt>
                <c:pt idx="349">
                  <c:v>8.4101593898058233</c:v>
                </c:pt>
                <c:pt idx="350">
                  <c:v>8.3378050086194957</c:v>
                </c:pt>
                <c:pt idx="351">
                  <c:v>8.2654506274331663</c:v>
                </c:pt>
                <c:pt idx="352">
                  <c:v>8.1930962462468369</c:v>
                </c:pt>
                <c:pt idx="353">
                  <c:v>8.1207418650605092</c:v>
                </c:pt>
                <c:pt idx="354">
                  <c:v>7.9654999899238561</c:v>
                </c:pt>
                <c:pt idx="355">
                  <c:v>7.8826124959735315</c:v>
                </c:pt>
                <c:pt idx="356">
                  <c:v>7.799725002023207</c:v>
                </c:pt>
                <c:pt idx="357">
                  <c:v>7.7168375080728815</c:v>
                </c:pt>
                <c:pt idx="358">
                  <c:v>7.6339500141225569</c:v>
                </c:pt>
                <c:pt idx="359">
                  <c:v>7.5510625201722323</c:v>
                </c:pt>
                <c:pt idx="360">
                  <c:v>7.468175026221906</c:v>
                </c:pt>
                <c:pt idx="361">
                  <c:v>7.3852875322715823</c:v>
                </c:pt>
                <c:pt idx="362">
                  <c:v>7.3024000383212568</c:v>
                </c:pt>
                <c:pt idx="363">
                  <c:v>7.2195125443709331</c:v>
                </c:pt>
                <c:pt idx="364">
                  <c:v>7.1366250504206068</c:v>
                </c:pt>
                <c:pt idx="365">
                  <c:v>7.0537375564702822</c:v>
                </c:pt>
                <c:pt idx="366">
                  <c:v>6.8691201023577264</c:v>
                </c:pt>
                <c:pt idx="367">
                  <c:v>6.7673901421954952</c:v>
                </c:pt>
                <c:pt idx="368">
                  <c:v>6.6656601820332639</c:v>
                </c:pt>
                <c:pt idx="369">
                  <c:v>6.5639302218710327</c:v>
                </c:pt>
                <c:pt idx="370">
                  <c:v>6.4622002617087997</c:v>
                </c:pt>
                <c:pt idx="371">
                  <c:v>6.3604703015465685</c:v>
                </c:pt>
                <c:pt idx="372">
                  <c:v>6.2587403413843372</c:v>
                </c:pt>
                <c:pt idx="373">
                  <c:v>6.1570103812221033</c:v>
                </c:pt>
                <c:pt idx="374">
                  <c:v>6.0552804210598721</c:v>
                </c:pt>
                <c:pt idx="375">
                  <c:v>5.9535504608976408</c:v>
                </c:pt>
                <c:pt idx="376">
                  <c:v>5.8518205007354096</c:v>
                </c:pt>
                <c:pt idx="377">
                  <c:v>5.7500905405731766</c:v>
                </c:pt>
                <c:pt idx="378">
                  <c:v>5.5617377495591152</c:v>
                </c:pt>
                <c:pt idx="379">
                  <c:v>5.4751149187072867</c:v>
                </c:pt>
                <c:pt idx="380">
                  <c:v>5.3884920878554574</c:v>
                </c:pt>
                <c:pt idx="381">
                  <c:v>5.301869257003629</c:v>
                </c:pt>
                <c:pt idx="382">
                  <c:v>5.2152464261517988</c:v>
                </c:pt>
                <c:pt idx="383">
                  <c:v>5.1286235952999704</c:v>
                </c:pt>
                <c:pt idx="384">
                  <c:v>5.042000764448141</c:v>
                </c:pt>
                <c:pt idx="385">
                  <c:v>4.9553779335963117</c:v>
                </c:pt>
                <c:pt idx="386">
                  <c:v>4.8687551027444824</c:v>
                </c:pt>
                <c:pt idx="387">
                  <c:v>4.7821322718926531</c:v>
                </c:pt>
                <c:pt idx="388">
                  <c:v>4.6955094410408247</c:v>
                </c:pt>
                <c:pt idx="389">
                  <c:v>4.6088866101889954</c:v>
                </c:pt>
                <c:pt idx="390">
                  <c:v>4.4565304212583667</c:v>
                </c:pt>
                <c:pt idx="391">
                  <c:v>4.3907970631795674</c:v>
                </c:pt>
                <c:pt idx="392">
                  <c:v>4.3250637051007672</c:v>
                </c:pt>
                <c:pt idx="393">
                  <c:v>4.259330347021967</c:v>
                </c:pt>
                <c:pt idx="394">
                  <c:v>4.1935969889431677</c:v>
                </c:pt>
                <c:pt idx="395">
                  <c:v>4.1278636308643675</c:v>
                </c:pt>
                <c:pt idx="396">
                  <c:v>4.0621302727855673</c:v>
                </c:pt>
                <c:pt idx="397">
                  <c:v>3.9963969147067675</c:v>
                </c:pt>
                <c:pt idx="398">
                  <c:v>3.9306635566279677</c:v>
                </c:pt>
                <c:pt idx="399">
                  <c:v>3.864930198549168</c:v>
                </c:pt>
                <c:pt idx="400">
                  <c:v>3.7991968404703682</c:v>
                </c:pt>
                <c:pt idx="401">
                  <c:v>3.7334634823915684</c:v>
                </c:pt>
                <c:pt idx="402">
                  <c:v>3.6094821099638827</c:v>
                </c:pt>
                <c:pt idx="403">
                  <c:v>3.5512340956149973</c:v>
                </c:pt>
                <c:pt idx="404">
                  <c:v>3.4929860812661122</c:v>
                </c:pt>
                <c:pt idx="405">
                  <c:v>3.4347380669172267</c:v>
                </c:pt>
                <c:pt idx="406">
                  <c:v>3.3764900525683421</c:v>
                </c:pt>
                <c:pt idx="407">
                  <c:v>3.3182420382194566</c:v>
                </c:pt>
                <c:pt idx="408">
                  <c:v>3.2599940238705711</c:v>
                </c:pt>
                <c:pt idx="409">
                  <c:v>3.2017460095216856</c:v>
                </c:pt>
                <c:pt idx="410">
                  <c:v>3.1434979951728006</c:v>
                </c:pt>
                <c:pt idx="411">
                  <c:v>3.0852499808239151</c:v>
                </c:pt>
                <c:pt idx="412">
                  <c:v>3.0270019664750296</c:v>
                </c:pt>
                <c:pt idx="413">
                  <c:v>2.9687539521261446</c:v>
                </c:pt>
                <c:pt idx="414">
                  <c:v>2.8614733316980718</c:v>
                </c:pt>
                <c:pt idx="415">
                  <c:v>2.8124407256188846</c:v>
                </c:pt>
                <c:pt idx="416">
                  <c:v>2.7634081195396973</c:v>
                </c:pt>
                <c:pt idx="417">
                  <c:v>2.7143755134605101</c:v>
                </c:pt>
                <c:pt idx="418">
                  <c:v>2.6653429073813228</c:v>
                </c:pt>
                <c:pt idx="419">
                  <c:v>2.6163103013021356</c:v>
                </c:pt>
                <c:pt idx="420">
                  <c:v>2.5672776952229484</c:v>
                </c:pt>
                <c:pt idx="421">
                  <c:v>2.5182450891437611</c:v>
                </c:pt>
                <c:pt idx="422">
                  <c:v>2.4692124830645734</c:v>
                </c:pt>
                <c:pt idx="423">
                  <c:v>2.4201798769853862</c:v>
                </c:pt>
                <c:pt idx="424">
                  <c:v>2.3711472709061989</c:v>
                </c:pt>
                <c:pt idx="425">
                  <c:v>2.3221146648270112</c:v>
                </c:pt>
                <c:pt idx="426">
                  <c:v>2.2258735222950792</c:v>
                </c:pt>
                <c:pt idx="427">
                  <c:v>2.1786649858423344</c:v>
                </c:pt>
                <c:pt idx="428">
                  <c:v>2.1314564493895891</c:v>
                </c:pt>
                <c:pt idx="429">
                  <c:v>2.0842479129368443</c:v>
                </c:pt>
                <c:pt idx="430">
                  <c:v>2.0370393764840995</c:v>
                </c:pt>
                <c:pt idx="431">
                  <c:v>1.9898308400313545</c:v>
                </c:pt>
                <c:pt idx="432">
                  <c:v>1.9426223035786094</c:v>
                </c:pt>
                <c:pt idx="433">
                  <c:v>1.8954137671258644</c:v>
                </c:pt>
                <c:pt idx="434">
                  <c:v>1.8482052306731194</c:v>
                </c:pt>
                <c:pt idx="435">
                  <c:v>1.8009966942203743</c:v>
                </c:pt>
                <c:pt idx="436">
                  <c:v>1.7537881577676293</c:v>
                </c:pt>
                <c:pt idx="437">
                  <c:v>1.7065796213148845</c:v>
                </c:pt>
                <c:pt idx="438">
                  <c:v>1.6022970447450422</c:v>
                </c:pt>
                <c:pt idx="439">
                  <c:v>1.5452230046279449</c:v>
                </c:pt>
                <c:pt idx="440">
                  <c:v>1.4881489645108477</c:v>
                </c:pt>
                <c:pt idx="441">
                  <c:v>1.4310749243937504</c:v>
                </c:pt>
                <c:pt idx="442">
                  <c:v>1.3740008842766531</c:v>
                </c:pt>
                <c:pt idx="443">
                  <c:v>1.3169268441595561</c:v>
                </c:pt>
                <c:pt idx="444">
                  <c:v>1.2598528040424593</c:v>
                </c:pt>
                <c:pt idx="445">
                  <c:v>1.202778763925362</c:v>
                </c:pt>
                <c:pt idx="446">
                  <c:v>1.1457047238082647</c:v>
                </c:pt>
                <c:pt idx="447">
                  <c:v>1.0886306836911677</c:v>
                </c:pt>
                <c:pt idx="448">
                  <c:v>1.0315566435740704</c:v>
                </c:pt>
                <c:pt idx="449">
                  <c:v>0.97448260345697324</c:v>
                </c:pt>
                <c:pt idx="450">
                  <c:v>0.88332655378315983</c:v>
                </c:pt>
                <c:pt idx="451">
                  <c:v>0.84924454422644347</c:v>
                </c:pt>
                <c:pt idx="452">
                  <c:v>0.81516253466972721</c:v>
                </c:pt>
                <c:pt idx="453">
                  <c:v>0.78108052511301085</c:v>
                </c:pt>
                <c:pt idx="454">
                  <c:v>0.7469985155562946</c:v>
                </c:pt>
                <c:pt idx="455">
                  <c:v>0.71291650599957823</c:v>
                </c:pt>
                <c:pt idx="456">
                  <c:v>0.67883449644286198</c:v>
                </c:pt>
                <c:pt idx="457">
                  <c:v>0.64475248688614561</c:v>
                </c:pt>
                <c:pt idx="458">
                  <c:v>0.61067047732942936</c:v>
                </c:pt>
                <c:pt idx="459">
                  <c:v>0.576588467772713</c:v>
                </c:pt>
                <c:pt idx="460">
                  <c:v>0.54250645821599675</c:v>
                </c:pt>
                <c:pt idx="461">
                  <c:v>0.50842444865928038</c:v>
                </c:pt>
                <c:pt idx="462">
                  <c:v>0.44368592553824276</c:v>
                </c:pt>
                <c:pt idx="463">
                  <c:v>0.41302941197392129</c:v>
                </c:pt>
                <c:pt idx="464">
                  <c:v>0.38237289840959987</c:v>
                </c:pt>
                <c:pt idx="465">
                  <c:v>0.3517163848452784</c:v>
                </c:pt>
                <c:pt idx="466">
                  <c:v>0.32105987128095692</c:v>
                </c:pt>
                <c:pt idx="467">
                  <c:v>0.2904033577166355</c:v>
                </c:pt>
                <c:pt idx="468">
                  <c:v>0.25974684415231403</c:v>
                </c:pt>
                <c:pt idx="469">
                  <c:v>0.22909033058799261</c:v>
                </c:pt>
                <c:pt idx="470">
                  <c:v>0.19843381702367113</c:v>
                </c:pt>
                <c:pt idx="471">
                  <c:v>0.16777730345934957</c:v>
                </c:pt>
                <c:pt idx="472">
                  <c:v>0.13712078989502807</c:v>
                </c:pt>
                <c:pt idx="473">
                  <c:v>0.10646427633070664</c:v>
                </c:pt>
                <c:pt idx="474">
                  <c:v>7.9914139653402508E-2</c:v>
                </c:pt>
                <c:pt idx="475">
                  <c:v>8.4020516540419782E-2</c:v>
                </c:pt>
                <c:pt idx="476">
                  <c:v>8.8126893427437056E-2</c:v>
                </c:pt>
                <c:pt idx="477">
                  <c:v>9.223327031445433E-2</c:v>
                </c:pt>
                <c:pt idx="478">
                  <c:v>9.6339647201471618E-2</c:v>
                </c:pt>
                <c:pt idx="479">
                  <c:v>0.10044602408848889</c:v>
                </c:pt>
                <c:pt idx="480">
                  <c:v>0.10455240097550618</c:v>
                </c:pt>
                <c:pt idx="481">
                  <c:v>0.10865877786252344</c:v>
                </c:pt>
                <c:pt idx="482">
                  <c:v>0.11276515474954073</c:v>
                </c:pt>
                <c:pt idx="483">
                  <c:v>0.116871531636558</c:v>
                </c:pt>
                <c:pt idx="484">
                  <c:v>0.12097790852357529</c:v>
                </c:pt>
                <c:pt idx="485">
                  <c:v>0.12508428541059258</c:v>
                </c:pt>
                <c:pt idx="486">
                  <c:v>0.12919066229760984</c:v>
                </c:pt>
                <c:pt idx="487">
                  <c:v>0.12919066229760984</c:v>
                </c:pt>
                <c:pt idx="488">
                  <c:v>0.12919066229760984</c:v>
                </c:pt>
                <c:pt idx="489">
                  <c:v>0.12919066229760987</c:v>
                </c:pt>
                <c:pt idx="490">
                  <c:v>0.12919066229760987</c:v>
                </c:pt>
                <c:pt idx="491">
                  <c:v>0.12919066229760987</c:v>
                </c:pt>
              </c:numCache>
            </c:numRef>
          </c:val>
          <c:smooth val="0"/>
          <c:extLst/>
        </c:ser>
        <c:dLbls>
          <c:showLegendKey val="0"/>
          <c:showVal val="0"/>
          <c:showCatName val="0"/>
          <c:showSerName val="0"/>
          <c:showPercent val="0"/>
          <c:showBubbleSize val="0"/>
        </c:dLbls>
        <c:marker val="1"/>
        <c:smooth val="0"/>
        <c:axId val="396288424"/>
        <c:axId val="396288816"/>
      </c:lineChart>
      <c:catAx>
        <c:axId val="396288424"/>
        <c:scaling>
          <c:orientation val="minMax"/>
        </c:scaling>
        <c:delete val="0"/>
        <c:axPos val="b"/>
        <c:title>
          <c:tx>
            <c:rich>
              <a:bodyPr/>
              <a:lstStyle/>
              <a:p>
                <a:pPr>
                  <a:defRPr sz="800">
                    <a:latin typeface="Arial Narrow" panose="020B0606020202030204" pitchFamily="34" charset="0"/>
                    <a:cs typeface="Arial" panose="020B0604020202020204" pitchFamily="34" charset="0"/>
                  </a:defRPr>
                </a:pPr>
                <a:r>
                  <a:rPr lang="sk-SK" sz="800">
                    <a:latin typeface="Arial Narrow" panose="020B0606020202030204" pitchFamily="34" charset="0"/>
                    <a:cs typeface="Arial" panose="020B0604020202020204" pitchFamily="34" charset="0"/>
                  </a:rPr>
                  <a:t>Vek</a:t>
                </a:r>
              </a:p>
            </c:rich>
          </c:tx>
          <c:layout>
            <c:manualLayout>
              <c:xMode val="edge"/>
              <c:yMode val="edge"/>
              <c:x val="0.51434292856756991"/>
              <c:y val="0.91046119235095624"/>
            </c:manualLayout>
          </c:layout>
          <c:overlay val="0"/>
        </c:title>
        <c:numFmt formatCode="General" sourceLinked="0"/>
        <c:majorTickMark val="out"/>
        <c:minorTickMark val="none"/>
        <c:tickLblPos val="low"/>
        <c:txPr>
          <a:bodyPr rot="-5400000" vert="horz"/>
          <a:lstStyle/>
          <a:p>
            <a:pPr>
              <a:defRPr sz="800">
                <a:latin typeface="Arial Narrow" panose="020B0606020202030204" pitchFamily="34" charset="0"/>
                <a:cs typeface="Arial" panose="020B0604020202020204" pitchFamily="34" charset="0"/>
              </a:defRPr>
            </a:pPr>
            <a:endParaRPr lang="en-US"/>
          </a:p>
        </c:txPr>
        <c:crossAx val="396288816"/>
        <c:crosses val="autoZero"/>
        <c:auto val="1"/>
        <c:lblAlgn val="ctr"/>
        <c:lblOffset val="100"/>
        <c:tickLblSkip val="48"/>
        <c:tickMarkSkip val="24"/>
        <c:noMultiLvlLbl val="0"/>
      </c:catAx>
      <c:valAx>
        <c:axId val="396288816"/>
        <c:scaling>
          <c:orientation val="minMax"/>
          <c:max val="102"/>
          <c:min val="0"/>
        </c:scaling>
        <c:delete val="0"/>
        <c:axPos val="l"/>
        <c:majorGridlines>
          <c:spPr>
            <a:ln>
              <a:solidFill>
                <a:schemeClr val="bg1">
                  <a:lumMod val="75000"/>
                </a:schemeClr>
              </a:solidFill>
              <a:prstDash val="sysDash"/>
            </a:ln>
          </c:spPr>
        </c:majorGridlines>
        <c:title>
          <c:tx>
            <c:rich>
              <a:bodyPr/>
              <a:lstStyle/>
              <a:p>
                <a:pPr>
                  <a:defRPr sz="800">
                    <a:latin typeface="Arial Narrow" panose="020B0606020202030204" pitchFamily="34" charset="0"/>
                    <a:cs typeface="Arial" panose="020B0604020202020204" pitchFamily="34" charset="0"/>
                  </a:defRPr>
                </a:pPr>
                <a:r>
                  <a:rPr lang="sk-SK" sz="800">
                    <a:latin typeface="Arial Narrow" panose="020B0606020202030204" pitchFamily="34" charset="0"/>
                    <a:cs typeface="Arial" panose="020B0604020202020204" pitchFamily="34" charset="0"/>
                  </a:rPr>
                  <a:t>Časť úspor</a:t>
                </a:r>
                <a:r>
                  <a:rPr lang="sk-SK" sz="800" baseline="0">
                    <a:latin typeface="Arial Narrow" panose="020B0606020202030204" pitchFamily="34" charset="0"/>
                    <a:cs typeface="Arial" panose="020B0604020202020204" pitchFamily="34" charset="0"/>
                  </a:rPr>
                  <a:t> v akcií</a:t>
                </a:r>
                <a:endParaRPr lang="sk-SK" sz="800">
                  <a:latin typeface="Arial Narrow" panose="020B0606020202030204" pitchFamily="34" charset="0"/>
                  <a:cs typeface="Arial" panose="020B0604020202020204" pitchFamily="34" charset="0"/>
                </a:endParaRPr>
              </a:p>
            </c:rich>
          </c:tx>
          <c:layout>
            <c:manualLayout>
              <c:xMode val="edge"/>
              <c:yMode val="edge"/>
              <c:x val="1.7307932321092935E-2"/>
              <c:y val="0.20508966319329844"/>
            </c:manualLayout>
          </c:layout>
          <c:overlay val="0"/>
        </c:title>
        <c:numFmt formatCode="#,##0" sourceLinked="0"/>
        <c:majorTickMark val="out"/>
        <c:minorTickMark val="none"/>
        <c:tickLblPos val="nextTo"/>
        <c:txPr>
          <a:bodyPr rot="0" vert="horz"/>
          <a:lstStyle/>
          <a:p>
            <a:pPr>
              <a:defRPr sz="800">
                <a:latin typeface="Arial Narrow" panose="020B0606020202030204" pitchFamily="34" charset="0"/>
                <a:cs typeface="Arial" panose="020B0604020202020204" pitchFamily="34" charset="0"/>
              </a:defRPr>
            </a:pPr>
            <a:endParaRPr lang="en-US"/>
          </a:p>
        </c:txPr>
        <c:crossAx val="396288424"/>
        <c:crosses val="autoZero"/>
        <c:crossBetween val="between"/>
      </c:valAx>
      <c:spPr>
        <a:noFill/>
      </c:spPr>
    </c:plotArea>
    <c:legend>
      <c:legendPos val="l"/>
      <c:legendEntry>
        <c:idx val="0"/>
        <c:delete val="1"/>
      </c:legendEntry>
      <c:legendEntry>
        <c:idx val="1"/>
        <c:delete val="1"/>
      </c:legendEntry>
      <c:layout>
        <c:manualLayout>
          <c:xMode val="edge"/>
          <c:yMode val="edge"/>
          <c:x val="0.1961615337472454"/>
          <c:y val="0.31216810473541107"/>
          <c:w val="0.51108341762460674"/>
          <c:h val="0.21968912568563659"/>
        </c:manualLayout>
      </c:layout>
      <c:overlay val="1"/>
      <c:spPr>
        <a:noFill/>
      </c:spPr>
      <c:txPr>
        <a:bodyPr/>
        <a:lstStyle/>
        <a:p>
          <a:pPr>
            <a:defRPr sz="800">
              <a:latin typeface="Arial Narrow" panose="020B0606020202030204" pitchFamily="34" charset="0"/>
              <a:cs typeface="Arial" panose="020B0604020202020204" pitchFamily="34" charset="0"/>
            </a:defRPr>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NeueHaasGroteskText W02" panose="020B0504020202020204" pitchFamily="34" charset="-18"/>
          <a:ea typeface="Calibri"/>
          <a:cs typeface="Calibri"/>
        </a:defRPr>
      </a:pPr>
      <a:endParaRPr lang="en-US"/>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417436997626964E-2"/>
          <c:y val="5.5989236111111111E-2"/>
          <c:w val="0.93616132135261021"/>
          <c:h val="0.84548864285569136"/>
        </c:manualLayout>
      </c:layout>
      <c:barChart>
        <c:barDir val="col"/>
        <c:grouping val="clustered"/>
        <c:varyColors val="0"/>
        <c:ser>
          <c:idx val="0"/>
          <c:order val="0"/>
          <c:tx>
            <c:strRef>
              <c:f>'47 zdravotnictvo'!$T$38</c:f>
              <c:strCache>
                <c:ptCount val="1"/>
                <c:pt idx="0">
                  <c:v>2017</c:v>
                </c:pt>
              </c:strCache>
            </c:strRef>
          </c:tx>
          <c:spPr>
            <a:solidFill>
              <a:srgbClr val="2C9ADC"/>
            </a:solidFill>
          </c:spPr>
          <c:invertIfNegative val="0"/>
          <c:dPt>
            <c:idx val="1"/>
            <c:invertIfNegative val="0"/>
            <c:bubble3D val="0"/>
            <c:spPr>
              <a:solidFill>
                <a:srgbClr val="AAD3F2"/>
              </a:solidFill>
            </c:spPr>
          </c:dPt>
          <c:dPt>
            <c:idx val="2"/>
            <c:invertIfNegative val="0"/>
            <c:bubble3D val="0"/>
            <c:spPr>
              <a:solidFill>
                <a:srgbClr val="00206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'47 zdravotnictvo'!$B$39:$B$41</c:f>
              <c:strCache>
                <c:ptCount val="3"/>
                <c:pt idx="0">
                  <c:v>SK</c:v>
                </c:pt>
                <c:pt idx="1">
                  <c:v>OECD</c:v>
                </c:pt>
                <c:pt idx="2">
                  <c:v>V3</c:v>
                </c:pt>
              </c:strCache>
            </c:strRef>
          </c:cat>
          <c:val>
            <c:numRef>
              <c:f>'47 zdravotnictvo'!$T$39:$T$41</c:f>
              <c:numCache>
                <c:formatCode>#\ ##0.0_ ;\-#\ ##0.0\ </c:formatCode>
                <c:ptCount val="3"/>
                <c:pt idx="0">
                  <c:v>5.6849999999999996</c:v>
                </c:pt>
                <c:pt idx="1">
                  <c:v>6.3368285714285717</c:v>
                </c:pt>
                <c:pt idx="2">
                  <c:v>5.0843333333333334</c:v>
                </c:pt>
              </c:numCache>
            </c:numRef>
          </c:val>
        </c:ser>
        <c:dLbls>
          <c:showLegendKey val="0"/>
          <c:showVal val="0"/>
          <c:showCatName val="0"/>
          <c:showSerName val="0"/>
          <c:showPercent val="0"/>
          <c:showBubbleSize val="0"/>
        </c:dLbls>
        <c:gapWidth val="66"/>
        <c:axId val="396289600"/>
        <c:axId val="396289992"/>
      </c:barChart>
      <c:catAx>
        <c:axId val="396289600"/>
        <c:scaling>
          <c:orientation val="minMax"/>
        </c:scaling>
        <c:delete val="0"/>
        <c:axPos val="b"/>
        <c:numFmt formatCode="General" sourceLinked="1"/>
        <c:majorTickMark val="out"/>
        <c:minorTickMark val="none"/>
        <c:tickLblPos val="nextTo"/>
        <c:crossAx val="396289992"/>
        <c:crosses val="autoZero"/>
        <c:auto val="1"/>
        <c:lblAlgn val="ctr"/>
        <c:lblOffset val="100"/>
        <c:noMultiLvlLbl val="0"/>
      </c:catAx>
      <c:valAx>
        <c:axId val="396289992"/>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396289600"/>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tx>
            <c:strRef>
              <c:f>'47 zdravotnictvo'!$G$15</c:f>
              <c:strCache>
                <c:ptCount val="1"/>
                <c:pt idx="0">
                  <c:v>2015</c:v>
                </c:pt>
              </c:strCache>
            </c:strRef>
          </c:tx>
          <c:spPr>
            <a:solidFill>
              <a:srgbClr val="AAD3F2"/>
            </a:solidFill>
          </c:spPr>
          <c:invertIfNegative val="0"/>
          <c:dPt>
            <c:idx val="0"/>
            <c:invertIfNegative val="0"/>
            <c:bubble3D val="0"/>
            <c:spPr>
              <a:solidFill>
                <a:srgbClr val="2C9ADC"/>
              </a:solidFill>
            </c:spPr>
          </c:dPt>
          <c:dPt>
            <c:idx val="1"/>
            <c:invertIfNegative val="0"/>
            <c:bubble3D val="0"/>
          </c:dPt>
          <c:dPt>
            <c:idx val="2"/>
            <c:invertIfNegative val="0"/>
            <c:bubble3D val="0"/>
            <c:spPr>
              <a:solidFill>
                <a:srgbClr val="002060"/>
              </a:solidFill>
            </c:spPr>
          </c:dPt>
          <c:dLbls>
            <c:spPr>
              <a:noFill/>
              <a:ln>
                <a:noFill/>
              </a:ln>
              <a:effectLst/>
            </c:spPr>
            <c:txPr>
              <a:bodyPr wrap="square" lIns="38100" tIns="19050" rIns="38100" bIns="19050" anchor="ctr">
                <a:spAutoFit/>
              </a:bodyPr>
              <a:lstStyle/>
              <a:p>
                <a:pPr>
                  <a:defRPr>
                    <a:latin typeface="Arial Narrow" panose="020B0606020202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'47 zdravotnictvo'!$B$16:$B$18</c:f>
              <c:strCache>
                <c:ptCount val="3"/>
                <c:pt idx="0">
                  <c:v>SK</c:v>
                </c:pt>
                <c:pt idx="1">
                  <c:v>EÚ</c:v>
                </c:pt>
                <c:pt idx="2">
                  <c:v>V3</c:v>
                </c:pt>
              </c:strCache>
            </c:strRef>
          </c:cat>
          <c:val>
            <c:numRef>
              <c:f>'47 zdravotnictvo'!$G$16:$G$18</c:f>
              <c:numCache>
                <c:formatCode>0</c:formatCode>
                <c:ptCount val="3"/>
                <c:pt idx="0">
                  <c:v>249.96</c:v>
                </c:pt>
                <c:pt idx="1">
                  <c:v>127.1</c:v>
                </c:pt>
                <c:pt idx="2">
                  <c:v>205.22666666666666</c:v>
                </c:pt>
              </c:numCache>
            </c:numRef>
          </c:val>
        </c:ser>
        <c:dLbls>
          <c:showLegendKey val="0"/>
          <c:showVal val="0"/>
          <c:showCatName val="0"/>
          <c:showSerName val="0"/>
          <c:showPercent val="0"/>
          <c:showBubbleSize val="0"/>
        </c:dLbls>
        <c:gapWidth val="52"/>
        <c:axId val="396291168"/>
        <c:axId val="480070376"/>
      </c:barChart>
      <c:catAx>
        <c:axId val="396291168"/>
        <c:scaling>
          <c:orientation val="minMax"/>
        </c:scaling>
        <c:delete val="0"/>
        <c:axPos val="b"/>
        <c:numFmt formatCode="General" sourceLinked="1"/>
        <c:majorTickMark val="out"/>
        <c:minorTickMark val="none"/>
        <c:tickLblPos val="nextTo"/>
        <c:txPr>
          <a:bodyPr/>
          <a:lstStyle/>
          <a:p>
            <a:pPr>
              <a:defRPr>
                <a:latin typeface="Arial Narrow" panose="020B0606020202030204" pitchFamily="34" charset="0"/>
              </a:defRPr>
            </a:pPr>
            <a:endParaRPr lang="en-US"/>
          </a:p>
        </c:txPr>
        <c:crossAx val="480070376"/>
        <c:crosses val="autoZero"/>
        <c:auto val="1"/>
        <c:lblAlgn val="ctr"/>
        <c:lblOffset val="100"/>
        <c:noMultiLvlLbl val="0"/>
      </c:catAx>
      <c:valAx>
        <c:axId val="480070376"/>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a:lstStyle/>
          <a:p>
            <a:pPr>
              <a:defRPr>
                <a:latin typeface="Arial Narrow" panose="020B0606020202030204" pitchFamily="34" charset="0"/>
              </a:defRPr>
            </a:pPr>
            <a:endParaRPr lang="en-US"/>
          </a:p>
        </c:txPr>
        <c:crossAx val="396291168"/>
        <c:crosses val="autoZero"/>
        <c:crossBetween val="between"/>
      </c:valAx>
    </c:plotArea>
    <c:plotVisOnly val="1"/>
    <c:dispBlanksAs val="gap"/>
    <c:showDLblsOverMax val="0"/>
  </c:chart>
  <c:spPr>
    <a:ln>
      <a:noFill/>
    </a:ln>
  </c:spPr>
  <c:txPr>
    <a:bodyPr/>
    <a:lstStyle/>
    <a:p>
      <a:pPr>
        <a:defRPr sz="800">
          <a:latin typeface="NeueHaasGroteskDisp W02" panose="020B0504020202020204" pitchFamily="34" charset="-18"/>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77873064476464E-2"/>
          <c:y val="4.6416778547842819E-2"/>
          <c:w val="0.87886436123909406"/>
          <c:h val="0.83885095008285249"/>
        </c:manualLayout>
      </c:layout>
      <c:barChart>
        <c:barDir val="col"/>
        <c:grouping val="clustered"/>
        <c:varyColors val="0"/>
        <c:ser>
          <c:idx val="0"/>
          <c:order val="0"/>
          <c:spPr>
            <a:solidFill>
              <a:srgbClr val="2C9ADC"/>
            </a:solidFill>
            <a:ln>
              <a:noFill/>
            </a:ln>
            <a:effectLst/>
          </c:spPr>
          <c:invertIfNegative val="0"/>
          <c:dPt>
            <c:idx val="1"/>
            <c:invertIfNegative val="0"/>
            <c:bubble3D val="0"/>
            <c:spPr>
              <a:solidFill>
                <a:srgbClr val="AAD3F2"/>
              </a:solidFill>
              <a:ln>
                <a:noFill/>
              </a:ln>
              <a:effectLst/>
            </c:spPr>
          </c:dPt>
          <c:dPt>
            <c:idx val="2"/>
            <c:invertIfNegative val="0"/>
            <c:bubble3D val="0"/>
            <c:spPr>
              <a:solidFill>
                <a:srgbClr val="002060"/>
              </a:solidFill>
              <a:ln>
                <a:noFill/>
              </a:ln>
              <a:effectLst/>
            </c:spPr>
          </c:dPt>
          <c:cat>
            <c:strRef>
              <c:f>'47 zdravotnictvo'!$B$98:$D$98</c:f>
              <c:strCache>
                <c:ptCount val="3"/>
                <c:pt idx="0">
                  <c:v>Rómska populácia</c:v>
                </c:pt>
                <c:pt idx="1">
                  <c:v>Väčšinová populácia</c:v>
                </c:pt>
                <c:pt idx="2">
                  <c:v>EÚ (Eurostat)</c:v>
                </c:pt>
              </c:strCache>
            </c:strRef>
          </c:cat>
          <c:val>
            <c:numRef>
              <c:f>'47 zdravotnictvo'!$B$99:$D$99</c:f>
              <c:numCache>
                <c:formatCode>0.0</c:formatCode>
                <c:ptCount val="3"/>
                <c:pt idx="0">
                  <c:v>69.900328465318893</c:v>
                </c:pt>
                <c:pt idx="1">
                  <c:v>75.658578265974498</c:v>
                </c:pt>
                <c:pt idx="2">
                  <c:v>79.94</c:v>
                </c:pt>
              </c:numCache>
            </c:numRef>
          </c:val>
        </c:ser>
        <c:dLbls>
          <c:showLegendKey val="0"/>
          <c:showVal val="0"/>
          <c:showCatName val="0"/>
          <c:showSerName val="0"/>
          <c:showPercent val="0"/>
          <c:showBubbleSize val="0"/>
        </c:dLbls>
        <c:gapWidth val="150"/>
        <c:axId val="480071160"/>
        <c:axId val="480071552"/>
      </c:barChart>
      <c:catAx>
        <c:axId val="480071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480071552"/>
        <c:crosses val="autoZero"/>
        <c:auto val="1"/>
        <c:lblAlgn val="ctr"/>
        <c:lblOffset val="100"/>
        <c:noMultiLvlLbl val="0"/>
      </c:catAx>
      <c:valAx>
        <c:axId val="480071552"/>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480071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Narrow" panose="020B0606020202030204" pitchFamily="34" charset="0"/>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060002084403982E-2"/>
          <c:y val="4.659675388110119E-2"/>
          <c:w val="0.88784325282023469"/>
          <c:h val="0.85073832138695671"/>
        </c:manualLayout>
      </c:layout>
      <c:barChart>
        <c:barDir val="col"/>
        <c:grouping val="clustered"/>
        <c:varyColors val="0"/>
        <c:ser>
          <c:idx val="0"/>
          <c:order val="0"/>
          <c:spPr>
            <a:solidFill>
              <a:srgbClr val="2C9ADC"/>
            </a:solidFill>
            <a:ln>
              <a:noFill/>
            </a:ln>
            <a:effectLst/>
          </c:spPr>
          <c:invertIfNegative val="0"/>
          <c:dPt>
            <c:idx val="1"/>
            <c:invertIfNegative val="0"/>
            <c:bubble3D val="0"/>
            <c:spPr>
              <a:solidFill>
                <a:srgbClr val="AAD3F2"/>
              </a:solidFill>
              <a:ln>
                <a:noFill/>
              </a:ln>
              <a:effectLst/>
            </c:spPr>
          </c:dPt>
          <c:dPt>
            <c:idx val="2"/>
            <c:invertIfNegative val="0"/>
            <c:bubble3D val="0"/>
            <c:spPr>
              <a:solidFill>
                <a:srgbClr val="002060"/>
              </a:solidFill>
              <a:ln>
                <a:noFill/>
              </a:ln>
              <a:effectLst/>
            </c:spPr>
          </c:dPt>
          <c:cat>
            <c:strRef>
              <c:f>'47 zdravotnictvo'!$B$113:$D$113</c:f>
              <c:strCache>
                <c:ptCount val="3"/>
                <c:pt idx="0">
                  <c:v>Rómska populácia</c:v>
                </c:pt>
                <c:pt idx="1">
                  <c:v>Väčšinová populácia</c:v>
                </c:pt>
                <c:pt idx="2">
                  <c:v>EÚ (Eurostat)</c:v>
                </c:pt>
              </c:strCache>
            </c:strRef>
          </c:cat>
          <c:val>
            <c:numRef>
              <c:f>'47 zdravotnictvo'!$B$114:$D$114</c:f>
              <c:numCache>
                <c:formatCode>0.0</c:formatCode>
                <c:ptCount val="3"/>
                <c:pt idx="0">
                  <c:v>12.332240161851661</c:v>
                </c:pt>
                <c:pt idx="1">
                  <c:v>4.1787973497497184</c:v>
                </c:pt>
                <c:pt idx="2">
                  <c:v>4.01</c:v>
                </c:pt>
              </c:numCache>
            </c:numRef>
          </c:val>
        </c:ser>
        <c:dLbls>
          <c:showLegendKey val="0"/>
          <c:showVal val="0"/>
          <c:showCatName val="0"/>
          <c:showSerName val="0"/>
          <c:showPercent val="0"/>
          <c:showBubbleSize val="0"/>
        </c:dLbls>
        <c:gapWidth val="150"/>
        <c:axId val="480072336"/>
        <c:axId val="480072728"/>
      </c:barChart>
      <c:catAx>
        <c:axId val="48007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480072728"/>
        <c:crosses val="autoZero"/>
        <c:auto val="1"/>
        <c:lblAlgn val="ctr"/>
        <c:lblOffset val="100"/>
        <c:noMultiLvlLbl val="0"/>
      </c:catAx>
      <c:valAx>
        <c:axId val="480072728"/>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480072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Narrow" panose="020B0606020202030204" pitchFamily="34" charset="0"/>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83145069444444442"/>
        </c:manualLayout>
      </c:layout>
      <c:lineChart>
        <c:grouping val="standard"/>
        <c:varyColors val="0"/>
        <c:ser>
          <c:idx val="3"/>
          <c:order val="0"/>
          <c:tx>
            <c:strRef>
              <c:f>'47 zdravotnictvo'!$B$54</c:f>
              <c:strCache>
                <c:ptCount val="1"/>
                <c:pt idx="0">
                  <c:v>SK</c:v>
                </c:pt>
              </c:strCache>
            </c:strRef>
          </c:tx>
          <c:spPr>
            <a:ln w="19050">
              <a:solidFill>
                <a:srgbClr val="2C9ADC"/>
              </a:solidFill>
              <a:prstDash val="solid"/>
            </a:ln>
          </c:spPr>
          <c:marker>
            <c:symbol val="none"/>
          </c:marker>
          <c:cat>
            <c:numRef>
              <c:f>'47 zdravotnictvo'!$C$53:$O$53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'47 zdravotnictvo'!$C$54:$O$54</c:f>
              <c:numCache>
                <c:formatCode>0.00</c:formatCode>
                <c:ptCount val="13"/>
                <c:pt idx="0">
                  <c:v>-2.8246120000000001</c:v>
                </c:pt>
                <c:pt idx="1">
                  <c:v>-2.9040569999999999</c:v>
                </c:pt>
                <c:pt idx="2">
                  <c:v>-3.08867</c:v>
                </c:pt>
                <c:pt idx="3">
                  <c:v>-3.2773129999999999</c:v>
                </c:pt>
                <c:pt idx="4">
                  <c:v>-3.1911999999999998</c:v>
                </c:pt>
                <c:pt idx="5">
                  <c:v>-3.1951939999999999</c:v>
                </c:pt>
                <c:pt idx="6">
                  <c:v>-3.2463669999999998</c:v>
                </c:pt>
                <c:pt idx="7">
                  <c:v>-2.9913539999999998</c:v>
                </c:pt>
                <c:pt idx="8">
                  <c:v>-3.0170940000000002</c:v>
                </c:pt>
                <c:pt idx="9">
                  <c:v>-3.0779269999999999</c:v>
                </c:pt>
                <c:pt idx="10">
                  <c:v>-2.979654</c:v>
                </c:pt>
                <c:pt idx="11">
                  <c:v>-3.050503</c:v>
                </c:pt>
                <c:pt idx="12">
                  <c:v>-2.9110140000000002</c:v>
                </c:pt>
              </c:numCache>
            </c:numRef>
          </c:val>
          <c:smooth val="0"/>
        </c:ser>
        <c:ser>
          <c:idx val="5"/>
          <c:order val="1"/>
          <c:tx>
            <c:strRef>
              <c:f>'47 zdravotnictvo'!$B$55</c:f>
              <c:strCache>
                <c:ptCount val="1"/>
                <c:pt idx="0">
                  <c:v>CZ</c:v>
                </c:pt>
              </c:strCache>
            </c:strRef>
          </c:tx>
          <c:spPr>
            <a:ln w="19050">
              <a:solidFill>
                <a:sysClr val="windowText" lastClr="000000"/>
              </a:solidFill>
              <a:prstDash val="solid"/>
            </a:ln>
          </c:spPr>
          <c:marker>
            <c:symbol val="none"/>
          </c:marker>
          <c:cat>
            <c:numRef>
              <c:f>'47 zdravotnictvo'!$C$53:$O$53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'47 zdravotnictvo'!$C$55:$O$55</c:f>
              <c:numCache>
                <c:formatCode>0.00</c:formatCode>
                <c:ptCount val="13"/>
                <c:pt idx="0">
                  <c:v>-1.7989459999999999</c:v>
                </c:pt>
                <c:pt idx="1">
                  <c:v>-1.5459959999999999</c:v>
                </c:pt>
                <c:pt idx="2">
                  <c:v>-1.2124980000000001</c:v>
                </c:pt>
                <c:pt idx="3">
                  <c:v>-1.009163</c:v>
                </c:pt>
                <c:pt idx="4">
                  <c:v>-1.0510900000000001</c:v>
                </c:pt>
                <c:pt idx="5">
                  <c:v>-1.301118</c:v>
                </c:pt>
                <c:pt idx="6">
                  <c:v>-1.218121</c:v>
                </c:pt>
                <c:pt idx="7">
                  <c:v>-1.2375719999999999</c:v>
                </c:pt>
                <c:pt idx="8">
                  <c:v>-1.100598</c:v>
                </c:pt>
                <c:pt idx="9">
                  <c:v>-1.506084</c:v>
                </c:pt>
                <c:pt idx="10">
                  <c:v>-1.1798569999999999</c:v>
                </c:pt>
                <c:pt idx="11">
                  <c:v>-1.257657</c:v>
                </c:pt>
                <c:pt idx="12">
                  <c:v>-1.1539900000000001</c:v>
                </c:pt>
              </c:numCache>
            </c:numRef>
          </c:val>
          <c:smooth val="0"/>
        </c:ser>
        <c:ser>
          <c:idx val="0"/>
          <c:order val="2"/>
          <c:tx>
            <c:strRef>
              <c:f>'47 zdravotnictvo'!$B$57</c:f>
              <c:strCache>
                <c:ptCount val="1"/>
                <c:pt idx="0">
                  <c:v>FR</c:v>
                </c:pt>
              </c:strCache>
            </c:strRef>
          </c:tx>
          <c:spPr>
            <a:ln w="19050">
              <a:solidFill>
                <a:srgbClr val="0070C0"/>
              </a:solidFill>
              <a:prstDash val="dash"/>
            </a:ln>
          </c:spPr>
          <c:marker>
            <c:symbol val="none"/>
          </c:marker>
          <c:dPt>
            <c:idx val="2"/>
            <c:bubble3D val="0"/>
          </c:dPt>
          <c:cat>
            <c:numRef>
              <c:f>'47 zdravotnictvo'!$C$53:$O$53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'47 zdravotnictvo'!$C$57:$O$57</c:f>
              <c:numCache>
                <c:formatCode>0.00</c:formatCode>
                <c:ptCount val="13"/>
                <c:pt idx="0">
                  <c:v>1.73058</c:v>
                </c:pt>
                <c:pt idx="1">
                  <c:v>1.6651210000000001</c:v>
                </c:pt>
                <c:pt idx="2">
                  <c:v>2.0089190000000001</c:v>
                </c:pt>
                <c:pt idx="3">
                  <c:v>2.0740159999999999</c:v>
                </c:pt>
                <c:pt idx="4">
                  <c:v>1.9690000000000001</c:v>
                </c:pt>
                <c:pt idx="5">
                  <c:v>1.8689039999999999</c:v>
                </c:pt>
                <c:pt idx="6">
                  <c:v>1.873494</c:v>
                </c:pt>
                <c:pt idx="7">
                  <c:v>2.0803729999999998</c:v>
                </c:pt>
                <c:pt idx="8">
                  <c:v>1.7775129999999999</c:v>
                </c:pt>
                <c:pt idx="9">
                  <c:v>1.5684100000000001</c:v>
                </c:pt>
                <c:pt idx="10">
                  <c:v>1.7837190000000001</c:v>
                </c:pt>
                <c:pt idx="11">
                  <c:v>1.5045299999999999</c:v>
                </c:pt>
              </c:numCache>
            </c:numRef>
          </c:val>
          <c:smooth val="0"/>
        </c:ser>
        <c:ser>
          <c:idx val="4"/>
          <c:order val="3"/>
          <c:tx>
            <c:strRef>
              <c:f>'47 zdravotnictvo'!$B$58</c:f>
              <c:strCache>
                <c:ptCount val="1"/>
                <c:pt idx="0">
                  <c:v>JP</c:v>
                </c:pt>
              </c:strCache>
            </c:strRef>
          </c:tx>
          <c:spPr>
            <a:ln w="19050">
              <a:solidFill>
                <a:srgbClr val="E7E6E6">
                  <a:lumMod val="50000"/>
                </a:srgbClr>
              </a:solidFill>
            </a:ln>
          </c:spPr>
          <c:marker>
            <c:symbol val="none"/>
          </c:marker>
          <c:cat>
            <c:numRef>
              <c:f>'47 zdravotnictvo'!$C$53:$O$53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'47 zdravotnictvo'!$C$58:$N$58</c:f>
              <c:numCache>
                <c:formatCode>0.00</c:formatCode>
                <c:ptCount val="12"/>
                <c:pt idx="0">
                  <c:v>3.3360150000000002</c:v>
                </c:pt>
                <c:pt idx="1">
                  <c:v>3.1019060000000001</c:v>
                </c:pt>
                <c:pt idx="2">
                  <c:v>3.1894140000000002</c:v>
                </c:pt>
                <c:pt idx="3">
                  <c:v>3.2151960000000002</c:v>
                </c:pt>
                <c:pt idx="4">
                  <c:v>3.0218690000000001</c:v>
                </c:pt>
                <c:pt idx="5">
                  <c:v>3.109245</c:v>
                </c:pt>
                <c:pt idx="6">
                  <c:v>2.6610930000000002</c:v>
                </c:pt>
                <c:pt idx="7">
                  <c:v>1.894099</c:v>
                </c:pt>
                <c:pt idx="8">
                  <c:v>2.2341950000000002</c:v>
                </c:pt>
                <c:pt idx="9">
                  <c:v>2.1351460000000002</c:v>
                </c:pt>
                <c:pt idx="10">
                  <c:v>2.1107740000000002</c:v>
                </c:pt>
                <c:pt idx="11">
                  <c:v>2.3825750000000001</c:v>
                </c:pt>
              </c:numCache>
            </c:numRef>
          </c:val>
          <c:smooth val="0"/>
        </c:ser>
        <c:ser>
          <c:idx val="6"/>
          <c:order val="4"/>
          <c:tx>
            <c:strRef>
              <c:f>'47 zdravotnictvo'!$B$59</c:f>
              <c:strCache>
                <c:ptCount val="1"/>
                <c:pt idx="0">
                  <c:v>HU</c:v>
                </c:pt>
              </c:strCache>
            </c:strRef>
          </c:tx>
          <c:spPr>
            <a:ln w="19050"/>
          </c:spPr>
          <c:marker>
            <c:symbol val="none"/>
          </c:marker>
          <c:cat>
            <c:numRef>
              <c:f>'47 zdravotnictvo'!$C$53:$O$53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'47 zdravotnictvo'!$C$59:$O$59</c:f>
              <c:numCache>
                <c:formatCode>0.00</c:formatCode>
                <c:ptCount val="13"/>
                <c:pt idx="0">
                  <c:v>-3.9184570000000001</c:v>
                </c:pt>
                <c:pt idx="1">
                  <c:v>-4.1370089999999999</c:v>
                </c:pt>
                <c:pt idx="2">
                  <c:v>-3.8717190000000001</c:v>
                </c:pt>
                <c:pt idx="3">
                  <c:v>-3.772681</c:v>
                </c:pt>
                <c:pt idx="4">
                  <c:v>-3.571126</c:v>
                </c:pt>
                <c:pt idx="5">
                  <c:v>-3.5330059999999999</c:v>
                </c:pt>
                <c:pt idx="6">
                  <c:v>-3.6343049999999999</c:v>
                </c:pt>
                <c:pt idx="7">
                  <c:v>-3.594757</c:v>
                </c:pt>
                <c:pt idx="8">
                  <c:v>-3.456013</c:v>
                </c:pt>
                <c:pt idx="9">
                  <c:v>-3.3292820000000001</c:v>
                </c:pt>
                <c:pt idx="10">
                  <c:v>-3.4151929999999999</c:v>
                </c:pt>
                <c:pt idx="11">
                  <c:v>-3.5373429999999999</c:v>
                </c:pt>
              </c:numCache>
            </c:numRef>
          </c:val>
          <c:smooth val="0"/>
        </c:ser>
        <c:ser>
          <c:idx val="7"/>
          <c:order val="5"/>
          <c:tx>
            <c:strRef>
              <c:f>'47 zdravotnictvo'!$B$60</c:f>
              <c:strCache>
                <c:ptCount val="1"/>
                <c:pt idx="0">
                  <c:v>PL</c:v>
                </c:pt>
              </c:strCache>
            </c:strRef>
          </c:tx>
          <c:spPr>
            <a:ln w="19050">
              <a:solidFill>
                <a:srgbClr val="B0D6AF"/>
              </a:solidFill>
            </a:ln>
          </c:spPr>
          <c:marker>
            <c:symbol val="none"/>
          </c:marker>
          <c:cat>
            <c:numRef>
              <c:f>'47 zdravotnictvo'!$C$53:$O$53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'47 zdravotnictvo'!$C$60:$O$60</c:f>
              <c:numCache>
                <c:formatCode>0.00</c:formatCode>
                <c:ptCount val="13"/>
                <c:pt idx="0">
                  <c:v>-1.611162</c:v>
                </c:pt>
                <c:pt idx="1">
                  <c:v>-1.5496730000000001</c:v>
                </c:pt>
                <c:pt idx="2">
                  <c:v>-1.594028</c:v>
                </c:pt>
                <c:pt idx="3">
                  <c:v>-1.7061550000000001</c:v>
                </c:pt>
                <c:pt idx="4">
                  <c:v>-1.8641559999999999</c:v>
                </c:pt>
                <c:pt idx="5">
                  <c:v>-2.0830869999999999</c:v>
                </c:pt>
                <c:pt idx="6">
                  <c:v>-1.73214</c:v>
                </c:pt>
                <c:pt idx="7">
                  <c:v>-1.7077519999999999</c:v>
                </c:pt>
                <c:pt idx="8">
                  <c:v>-1.7122820000000001</c:v>
                </c:pt>
                <c:pt idx="9">
                  <c:v>-1.8023439999999999</c:v>
                </c:pt>
                <c:pt idx="10">
                  <c:v>-1.539677</c:v>
                </c:pt>
                <c:pt idx="11">
                  <c:v>-1.582533</c:v>
                </c:pt>
                <c:pt idx="12">
                  <c:v>-1.5738749999999999</c:v>
                </c:pt>
              </c:numCache>
            </c:numRef>
          </c:val>
          <c:smooth val="0"/>
        </c:ser>
        <c:ser>
          <c:idx val="9"/>
          <c:order val="6"/>
          <c:tx>
            <c:strRef>
              <c:f>'47 zdravotnictvo'!$B$61</c:f>
              <c:strCache>
                <c:ptCount val="1"/>
                <c:pt idx="0">
                  <c:v>SI</c:v>
                </c:pt>
              </c:strCache>
            </c:strRef>
          </c:tx>
          <c:spPr>
            <a:ln w="19050">
              <a:solidFill>
                <a:srgbClr val="D3BEDE"/>
              </a:solidFill>
            </a:ln>
          </c:spPr>
          <c:marker>
            <c:symbol val="none"/>
          </c:marker>
          <c:cat>
            <c:numRef>
              <c:f>'47 zdravotnictvo'!$C$53:$O$53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'47 zdravotnictvo'!$C$61:$O$61</c:f>
              <c:numCache>
                <c:formatCode>0.00</c:formatCode>
                <c:ptCount val="13"/>
                <c:pt idx="0">
                  <c:v>-0.3643845</c:v>
                </c:pt>
                <c:pt idx="1">
                  <c:v>-0.68464049999999999</c:v>
                </c:pt>
                <c:pt idx="2">
                  <c:v>0.1764954</c:v>
                </c:pt>
                <c:pt idx="3">
                  <c:v>-1.72836E-2</c:v>
                </c:pt>
                <c:pt idx="4">
                  <c:v>0.34476620000000002</c:v>
                </c:pt>
                <c:pt idx="5">
                  <c:v>0.36921389999999998</c:v>
                </c:pt>
                <c:pt idx="6">
                  <c:v>0.59884340000000003</c:v>
                </c:pt>
                <c:pt idx="7">
                  <c:v>0.63315739999999998</c:v>
                </c:pt>
                <c:pt idx="8">
                  <c:v>0.72199550000000001</c:v>
                </c:pt>
                <c:pt idx="9">
                  <c:v>0.46604000000000001</c:v>
                </c:pt>
                <c:pt idx="10">
                  <c:v>1.1557269999999999</c:v>
                </c:pt>
                <c:pt idx="11">
                  <c:v>1.009398</c:v>
                </c:pt>
                <c:pt idx="12">
                  <c:v>0.9230469</c:v>
                </c:pt>
              </c:numCache>
            </c:numRef>
          </c:val>
          <c:smooth val="0"/>
        </c:ser>
        <c:ser>
          <c:idx val="8"/>
          <c:order val="7"/>
          <c:tx>
            <c:strRef>
              <c:f>'47 zdravotnictvo'!$B$63</c:f>
              <c:strCache>
                <c:ptCount val="1"/>
                <c:pt idx="0">
                  <c:v>UK</c:v>
                </c:pt>
              </c:strCache>
            </c:strRef>
          </c:tx>
          <c:spPr>
            <a:ln w="19050">
              <a:solidFill>
                <a:srgbClr val="F9C9BA"/>
              </a:solidFill>
            </a:ln>
          </c:spPr>
          <c:marker>
            <c:symbol val="none"/>
          </c:marker>
          <c:cat>
            <c:numRef>
              <c:f>'47 zdravotnictvo'!$C$53:$O$53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'47 zdravotnictvo'!$C$63:$O$63</c:f>
              <c:numCache>
                <c:formatCode>0.00</c:formatCode>
                <c:ptCount val="13"/>
                <c:pt idx="0">
                  <c:v>0.68110660000000001</c:v>
                </c:pt>
                <c:pt idx="1">
                  <c:v>0.72663420000000001</c:v>
                </c:pt>
                <c:pt idx="2">
                  <c:v>0.6430283</c:v>
                </c:pt>
                <c:pt idx="3">
                  <c:v>0.76473539999999995</c:v>
                </c:pt>
                <c:pt idx="4">
                  <c:v>0.5145615</c:v>
                </c:pt>
                <c:pt idx="5">
                  <c:v>0.81233820000000001</c:v>
                </c:pt>
                <c:pt idx="6">
                  <c:v>0.75445709999999999</c:v>
                </c:pt>
                <c:pt idx="7">
                  <c:v>0.87488560000000004</c:v>
                </c:pt>
                <c:pt idx="8">
                  <c:v>0.75276949999999998</c:v>
                </c:pt>
                <c:pt idx="9">
                  <c:v>0.31969599999999998</c:v>
                </c:pt>
                <c:pt idx="10">
                  <c:v>0.2908463</c:v>
                </c:pt>
                <c:pt idx="11">
                  <c:v>-1.29395E-2</c:v>
                </c:pt>
                <c:pt idx="12">
                  <c:v>-0.13795930000000001</c:v>
                </c:pt>
              </c:numCache>
            </c:numRef>
          </c:val>
          <c:smooth val="0"/>
        </c:ser>
        <c:dLbls>
          <c:showLegendKey val="0"/>
          <c:showVal val="0"/>
          <c:showCatName val="0"/>
          <c:showSerName val="0"/>
          <c:showPercent val="0"/>
          <c:showBubbleSize val="0"/>
        </c:dLbls>
        <c:smooth val="0"/>
        <c:axId val="480073120"/>
        <c:axId val="480073512"/>
      </c:lineChart>
      <c:catAx>
        <c:axId val="480073120"/>
        <c:scaling>
          <c:orientation val="minMax"/>
        </c:scaling>
        <c:delete val="0"/>
        <c:axPos val="b"/>
        <c:numFmt formatCode="General" sourceLinked="0"/>
        <c:majorTickMark val="out"/>
        <c:minorTickMark val="none"/>
        <c:tickLblPos val="low"/>
        <c:txPr>
          <a:bodyPr rot="-5400000" vert="horz"/>
          <a:lstStyle/>
          <a:p>
            <a:pPr>
              <a:defRPr>
                <a:solidFill>
                  <a:schemeClr val="tx1"/>
                </a:solidFill>
              </a:defRPr>
            </a:pPr>
            <a:endParaRPr lang="en-US"/>
          </a:p>
        </c:txPr>
        <c:crossAx val="480073512"/>
        <c:crosses val="autoZero"/>
        <c:auto val="1"/>
        <c:lblAlgn val="ctr"/>
        <c:lblOffset val="100"/>
        <c:noMultiLvlLbl val="0"/>
      </c:catAx>
      <c:valAx>
        <c:axId val="480073512"/>
        <c:scaling>
          <c:orientation val="minMax"/>
          <c:max val="6"/>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solidFill>
                  <a:schemeClr val="tx1"/>
                </a:solidFill>
              </a:defRPr>
            </a:pPr>
            <a:endParaRPr lang="en-US"/>
          </a:p>
        </c:txPr>
        <c:crossAx val="480073120"/>
        <c:crosses val="autoZero"/>
        <c:crossBetween val="between"/>
      </c:valAx>
    </c:plotArea>
    <c:legend>
      <c:legendPos val="l"/>
      <c:layout>
        <c:manualLayout>
          <c:xMode val="edge"/>
          <c:yMode val="edge"/>
          <c:x val="6.3888888888888884E-2"/>
          <c:y val="4.8965441819772526E-2"/>
          <c:w val="0.93186482939632542"/>
          <c:h val="0.13144356955380576"/>
        </c:manualLayout>
      </c:layout>
      <c:overlay val="1"/>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690174099416612E-2"/>
          <c:y val="4.7988389206451244E-2"/>
          <c:w val="0.95052344439477821"/>
          <c:h val="0.85174098135692222"/>
        </c:manualLayout>
      </c:layout>
      <c:barChart>
        <c:barDir val="col"/>
        <c:grouping val="stacked"/>
        <c:varyColors val="0"/>
        <c:ser>
          <c:idx val="0"/>
          <c:order val="0"/>
          <c:tx>
            <c:strRef>
              <c:f>'47 zdravotnictvo'!$A$74</c:f>
              <c:strCache>
                <c:ptCount val="1"/>
                <c:pt idx="0">
                  <c:v>Záväzky po lehote splatnosti</c:v>
                </c:pt>
              </c:strCache>
            </c:strRef>
          </c:tx>
          <c:spPr>
            <a:solidFill>
              <a:srgbClr val="2C9A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'47 zdravotnictvo'!$B$73:$M$73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'47 zdravotnictvo'!$B$74:$M$74</c:f>
              <c:numCache>
                <c:formatCode>0</c:formatCode>
                <c:ptCount val="12"/>
                <c:pt idx="0">
                  <c:v>67.159831539999985</c:v>
                </c:pt>
                <c:pt idx="1">
                  <c:v>136.35985430000002</c:v>
                </c:pt>
                <c:pt idx="2">
                  <c:v>248.62299999999999</c:v>
                </c:pt>
                <c:pt idx="3">
                  <c:v>317.1539403999999</c:v>
                </c:pt>
                <c:pt idx="4">
                  <c:v>426.22098303999996</c:v>
                </c:pt>
                <c:pt idx="5">
                  <c:v>527.16479532999995</c:v>
                </c:pt>
                <c:pt idx="6">
                  <c:v>645.29771389000007</c:v>
                </c:pt>
                <c:pt idx="7">
                  <c:v>655.70083417999979</c:v>
                </c:pt>
                <c:pt idx="8">
                  <c:v>766.43469724999932</c:v>
                </c:pt>
                <c:pt idx="9">
                  <c:v>877.16856031999885</c:v>
                </c:pt>
                <c:pt idx="10">
                  <c:v>987.90242338999838</c:v>
                </c:pt>
                <c:pt idx="11">
                  <c:v>1098.6362864599978</c:v>
                </c:pt>
              </c:numCache>
            </c:numRef>
          </c:val>
        </c:ser>
        <c:ser>
          <c:idx val="1"/>
          <c:order val="1"/>
          <c:tx>
            <c:strRef>
              <c:f>'47 zdravotnictvo'!$A$75</c:f>
              <c:strCache>
                <c:ptCount val="1"/>
                <c:pt idx="0">
                  <c:v>Záväzky v lehote splatnosti</c:v>
                </c:pt>
              </c:strCache>
            </c:strRef>
          </c:tx>
          <c:spPr>
            <a:solidFill>
              <a:srgbClr val="AAD3F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'47 zdravotnictvo'!$B$73:$M$73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'47 zdravotnictvo'!$B$75:$M$75</c:f>
              <c:numCache>
                <c:formatCode>0</c:formatCode>
                <c:ptCount val="12"/>
                <c:pt idx="0">
                  <c:v>98.884194740000041</c:v>
                </c:pt>
                <c:pt idx="1">
                  <c:v>122.29867731999998</c:v>
                </c:pt>
                <c:pt idx="2">
                  <c:v>104.77303745999995</c:v>
                </c:pt>
                <c:pt idx="3">
                  <c:v>107.33575787000002</c:v>
                </c:pt>
                <c:pt idx="4">
                  <c:v>106.38716651000001</c:v>
                </c:pt>
                <c:pt idx="5">
                  <c:v>112.26786167999998</c:v>
                </c:pt>
                <c:pt idx="6">
                  <c:v>111.05299933000009</c:v>
                </c:pt>
                <c:pt idx="7">
                  <c:v>134.21856666999997</c:v>
                </c:pt>
                <c:pt idx="8">
                  <c:v>157.38413400999985</c:v>
                </c:pt>
                <c:pt idx="9">
                  <c:v>180.54970134999974</c:v>
                </c:pt>
                <c:pt idx="10">
                  <c:v>203.71526868999962</c:v>
                </c:pt>
                <c:pt idx="11">
                  <c:v>226.8808360299995</c:v>
                </c:pt>
              </c:numCache>
            </c:numRef>
          </c:val>
        </c:ser>
        <c:dLbls>
          <c:showLegendKey val="0"/>
          <c:showVal val="0"/>
          <c:showCatName val="0"/>
          <c:showSerName val="0"/>
          <c:showPercent val="0"/>
          <c:showBubbleSize val="0"/>
        </c:dLbls>
        <c:gapWidth val="150"/>
        <c:overlap val="100"/>
        <c:axId val="398209160"/>
        <c:axId val="398209552"/>
      </c:barChart>
      <c:catAx>
        <c:axId val="398209160"/>
        <c:scaling>
          <c:orientation val="minMax"/>
        </c:scaling>
        <c:delete val="0"/>
        <c:axPos val="b"/>
        <c:numFmt formatCode="General" sourceLinked="1"/>
        <c:majorTickMark val="none"/>
        <c:minorTickMark val="none"/>
        <c:tickLblPos val="low"/>
        <c:spPr>
          <a:noFill/>
          <a:ln w="9525" cap="flat" cmpd="sng" algn="ctr">
            <a:solidFill>
              <a:srgbClr val="868686"/>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398209552"/>
        <c:crosses val="autoZero"/>
        <c:auto val="1"/>
        <c:lblAlgn val="ctr"/>
        <c:lblOffset val="100"/>
        <c:noMultiLvlLbl val="0"/>
      </c:catAx>
      <c:valAx>
        <c:axId val="398209552"/>
        <c:scaling>
          <c:orientation val="minMax"/>
          <c:max val="1400"/>
          <c:min val="0"/>
        </c:scaling>
        <c:delete val="0"/>
        <c:axPos val="l"/>
        <c:majorGridlines>
          <c:spPr>
            <a:ln w="9525" cap="flat" cmpd="sng" algn="ctr">
              <a:solidFill>
                <a:sysClr val="window" lastClr="FFFFFF">
                  <a:lumMod val="75000"/>
                </a:sysClr>
              </a:solidFill>
              <a:prstDash val="sysDash"/>
              <a:round/>
            </a:ln>
            <a:effectLst/>
          </c:spPr>
        </c:majorGridlines>
        <c:numFmt formatCode="#,##0" sourceLinked="0"/>
        <c:majorTickMark val="out"/>
        <c:minorTickMark val="none"/>
        <c:tickLblPos val="nextTo"/>
        <c:spPr>
          <a:noFill/>
          <a:ln>
            <a:solidFill>
              <a:srgbClr val="868686"/>
            </a:solid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398209160"/>
        <c:crosses val="autoZero"/>
        <c:crossBetween val="between"/>
        <c:majorUnit val="200"/>
      </c:valAx>
      <c:spPr>
        <a:solidFill>
          <a:sysClr val="window" lastClr="FFFFFF"/>
        </a:solidFill>
        <a:ln>
          <a:noFill/>
        </a:ln>
        <a:effectLst/>
      </c:spPr>
    </c:plotArea>
    <c:legend>
      <c:legendPos val="b"/>
      <c:layout>
        <c:manualLayout>
          <c:xMode val="edge"/>
          <c:yMode val="edge"/>
          <c:x val="0.12630556230264756"/>
          <c:y val="6.3003599959841089E-2"/>
          <c:w val="0.50935146951663823"/>
          <c:h val="0.22317186791441646"/>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sz="1100">
          <a:solidFill>
            <a:sysClr val="windowText" lastClr="000000"/>
          </a:solidFill>
          <a:latin typeface="Arial Narrow" panose="020B0606020202030204" pitchFamily="34" charset="0"/>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99E-2"/>
          <c:y val="4.2759961127308101E-2"/>
          <c:w val="0.93616132135260999"/>
          <c:h val="0.87659205384652905"/>
        </c:manualLayout>
      </c:layout>
      <c:barChart>
        <c:barDir val="col"/>
        <c:grouping val="clustered"/>
        <c:varyColors val="0"/>
        <c:ser>
          <c:idx val="0"/>
          <c:order val="0"/>
          <c:tx>
            <c:strRef>
              <c:f>'45 podnikateľské prostredie'!$D$31</c:f>
              <c:strCache>
                <c:ptCount val="1"/>
                <c:pt idx="0">
                  <c:v>2018</c:v>
                </c:pt>
              </c:strCache>
            </c:strRef>
          </c:tx>
          <c:spPr>
            <a:solidFill>
              <a:srgbClr val="AAD3F2"/>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cat>
            <c:strRef>
              <c:f>'45 podnikateľské prostredie'!$E$30:$J$30</c:f>
              <c:strCache>
                <c:ptCount val="6"/>
                <c:pt idx="0">
                  <c:v>SK</c:v>
                </c:pt>
                <c:pt idx="1">
                  <c:v>CZ</c:v>
                </c:pt>
                <c:pt idx="2">
                  <c:v>HU</c:v>
                </c:pt>
                <c:pt idx="3">
                  <c:v>PL</c:v>
                </c:pt>
                <c:pt idx="4">
                  <c:v>EÚ-28</c:v>
                </c:pt>
                <c:pt idx="5">
                  <c:v>OECD</c:v>
                </c:pt>
              </c:strCache>
            </c:strRef>
          </c:cat>
          <c:val>
            <c:numRef>
              <c:f>'45 podnikateľské prostredie'!$E$31:$J$31</c:f>
              <c:numCache>
                <c:formatCode>0.00</c:formatCode>
                <c:ptCount val="6"/>
                <c:pt idx="0">
                  <c:v>74.88</c:v>
                </c:pt>
                <c:pt idx="1">
                  <c:v>76.05</c:v>
                </c:pt>
                <c:pt idx="2">
                  <c:v>71.94</c:v>
                </c:pt>
                <c:pt idx="3">
                  <c:v>77.31</c:v>
                </c:pt>
                <c:pt idx="4">
                  <c:v>75.73</c:v>
                </c:pt>
                <c:pt idx="5">
                  <c:v>77.25</c:v>
                </c:pt>
              </c:numCache>
            </c:numRef>
          </c:val>
        </c:ser>
        <c:ser>
          <c:idx val="2"/>
          <c:order val="1"/>
          <c:tx>
            <c:strRef>
              <c:f>'45 podnikateľské prostredie'!$D$32</c:f>
              <c:strCache>
                <c:ptCount val="1"/>
                <c:pt idx="0">
                  <c:v>2019</c:v>
                </c:pt>
              </c:strCache>
            </c:strRef>
          </c:tx>
          <c:spPr>
            <a:solidFill>
              <a:srgbClr val="2C9ADC"/>
            </a:solidFill>
          </c:spPr>
          <c:invertIfNegative val="0"/>
          <c:cat>
            <c:strRef>
              <c:f>'45 podnikateľské prostredie'!$E$30:$J$30</c:f>
              <c:strCache>
                <c:ptCount val="6"/>
                <c:pt idx="0">
                  <c:v>SK</c:v>
                </c:pt>
                <c:pt idx="1">
                  <c:v>CZ</c:v>
                </c:pt>
                <c:pt idx="2">
                  <c:v>HU</c:v>
                </c:pt>
                <c:pt idx="3">
                  <c:v>PL</c:v>
                </c:pt>
                <c:pt idx="4">
                  <c:v>EÚ-28</c:v>
                </c:pt>
                <c:pt idx="5">
                  <c:v>OECD</c:v>
                </c:pt>
              </c:strCache>
            </c:strRef>
          </c:cat>
          <c:val>
            <c:numRef>
              <c:f>'45 podnikateľské prostredie'!$E$32:$J$32</c:f>
              <c:numCache>
                <c:formatCode>0.00</c:formatCode>
                <c:ptCount val="6"/>
                <c:pt idx="0">
                  <c:v>75.17</c:v>
                </c:pt>
                <c:pt idx="1">
                  <c:v>76.099999999999994</c:v>
                </c:pt>
                <c:pt idx="2">
                  <c:v>72.28</c:v>
                </c:pt>
                <c:pt idx="3">
                  <c:v>76.95</c:v>
                </c:pt>
                <c:pt idx="4">
                  <c:v>75.91</c:v>
                </c:pt>
                <c:pt idx="5">
                  <c:v>77.540000000000006</c:v>
                </c:pt>
              </c:numCache>
            </c:numRef>
          </c:val>
        </c:ser>
        <c:dLbls>
          <c:showLegendKey val="0"/>
          <c:showVal val="0"/>
          <c:showCatName val="0"/>
          <c:showSerName val="0"/>
          <c:showPercent val="0"/>
          <c:showBubbleSize val="0"/>
        </c:dLbls>
        <c:gapWidth val="150"/>
        <c:axId val="398210336"/>
        <c:axId val="398210728"/>
      </c:barChart>
      <c:lineChart>
        <c:grouping val="standard"/>
        <c:varyColors val="0"/>
        <c:ser>
          <c:idx val="1"/>
          <c:order val="2"/>
          <c:tx>
            <c:strRef>
              <c:f>'45 podnikateľské prostredie'!$D$33</c:f>
              <c:strCache>
                <c:ptCount val="1"/>
                <c:pt idx="0">
                  <c:v>medziročná zmena (pravá os)</c:v>
                </c:pt>
              </c:strCache>
            </c:strRef>
          </c:tx>
          <c:spPr>
            <a:ln w="28575">
              <a:noFill/>
            </a:ln>
          </c:spPr>
          <c:marker>
            <c:symbol val="diamond"/>
            <c:size val="8"/>
            <c:spPr>
              <a:solidFill>
                <a:srgbClr val="002060"/>
              </a:solidFill>
              <a:ln>
                <a:solidFill>
                  <a:srgbClr val="002060"/>
                </a:solidFill>
              </a:ln>
            </c:spPr>
          </c:marker>
          <c:dPt>
            <c:idx val="0"/>
            <c:marker>
              <c:spPr>
                <a:solidFill>
                  <a:srgbClr val="FF0000"/>
                </a:solidFill>
                <a:ln>
                  <a:solidFill>
                    <a:srgbClr val="002060"/>
                  </a:solidFill>
                </a:ln>
              </c:spPr>
            </c:marker>
            <c:bubble3D val="0"/>
          </c:dPt>
          <c:cat>
            <c:strRef>
              <c:f>'45 podnikateľské prostredie'!$E$30:$J$30</c:f>
              <c:strCache>
                <c:ptCount val="6"/>
                <c:pt idx="0">
                  <c:v>SK</c:v>
                </c:pt>
                <c:pt idx="1">
                  <c:v>CZ</c:v>
                </c:pt>
                <c:pt idx="2">
                  <c:v>HU</c:v>
                </c:pt>
                <c:pt idx="3">
                  <c:v>PL</c:v>
                </c:pt>
                <c:pt idx="4">
                  <c:v>EÚ-28</c:v>
                </c:pt>
                <c:pt idx="5">
                  <c:v>OECD</c:v>
                </c:pt>
              </c:strCache>
            </c:strRef>
          </c:cat>
          <c:val>
            <c:numRef>
              <c:f>'45 podnikateľské prostredie'!$E$33:$J$33</c:f>
              <c:numCache>
                <c:formatCode>0.00</c:formatCode>
                <c:ptCount val="6"/>
                <c:pt idx="0">
                  <c:v>0.29000000000000625</c:v>
                </c:pt>
                <c:pt idx="1">
                  <c:v>4.9999999999997158E-2</c:v>
                </c:pt>
                <c:pt idx="2">
                  <c:v>0.34000000000000341</c:v>
                </c:pt>
                <c:pt idx="3">
                  <c:v>-0.35999999999999943</c:v>
                </c:pt>
                <c:pt idx="4">
                  <c:v>0.17999999999999261</c:v>
                </c:pt>
                <c:pt idx="5">
                  <c:v>0.29000000000000625</c:v>
                </c:pt>
              </c:numCache>
            </c:numRef>
          </c:val>
          <c:smooth val="0"/>
        </c:ser>
        <c:dLbls>
          <c:showLegendKey val="0"/>
          <c:showVal val="0"/>
          <c:showCatName val="0"/>
          <c:showSerName val="0"/>
          <c:showPercent val="0"/>
          <c:showBubbleSize val="0"/>
        </c:dLbls>
        <c:marker val="1"/>
        <c:smooth val="0"/>
        <c:axId val="480260880"/>
        <c:axId val="480260488"/>
      </c:lineChart>
      <c:catAx>
        <c:axId val="398210336"/>
        <c:scaling>
          <c:orientation val="minMax"/>
        </c:scaling>
        <c:delete val="0"/>
        <c:axPos val="b"/>
        <c:numFmt formatCode="General" sourceLinked="1"/>
        <c:majorTickMark val="out"/>
        <c:minorTickMark val="none"/>
        <c:tickLblPos val="nextTo"/>
        <c:txPr>
          <a:bodyPr/>
          <a:lstStyle/>
          <a:p>
            <a:pPr>
              <a:defRPr sz="800">
                <a:solidFill>
                  <a:sysClr val="windowText" lastClr="000000"/>
                </a:solidFill>
              </a:defRPr>
            </a:pPr>
            <a:endParaRPr lang="en-US"/>
          </a:p>
        </c:txPr>
        <c:crossAx val="398210728"/>
        <c:crosses val="autoZero"/>
        <c:auto val="1"/>
        <c:lblAlgn val="ctr"/>
        <c:lblOffset val="100"/>
        <c:noMultiLvlLbl val="0"/>
      </c:catAx>
      <c:valAx>
        <c:axId val="398210728"/>
        <c:scaling>
          <c:orientation val="minMax"/>
        </c:scaling>
        <c:delete val="0"/>
        <c:axPos val="l"/>
        <c:majorGridlines>
          <c:spPr>
            <a:ln>
              <a:solidFill>
                <a:schemeClr val="bg1">
                  <a:lumMod val="75000"/>
                </a:schemeClr>
              </a:solidFill>
              <a:prstDash val="sysDash"/>
            </a:ln>
          </c:spPr>
        </c:majorGridlines>
        <c:numFmt formatCode="0" sourceLinked="0"/>
        <c:majorTickMark val="in"/>
        <c:minorTickMark val="none"/>
        <c:tickLblPos val="nextTo"/>
        <c:spPr>
          <a:ln/>
        </c:spPr>
        <c:txPr>
          <a:bodyPr/>
          <a:lstStyle/>
          <a:p>
            <a:pPr>
              <a:defRPr sz="800"/>
            </a:pPr>
            <a:endParaRPr lang="en-US"/>
          </a:p>
        </c:txPr>
        <c:crossAx val="398210336"/>
        <c:crosses val="autoZero"/>
        <c:crossBetween val="between"/>
      </c:valAx>
      <c:valAx>
        <c:axId val="480260488"/>
        <c:scaling>
          <c:orientation val="minMax"/>
          <c:max val="1"/>
          <c:min val="-0.4"/>
        </c:scaling>
        <c:delete val="0"/>
        <c:axPos val="r"/>
        <c:numFmt formatCode="0.0" sourceLinked="0"/>
        <c:majorTickMark val="in"/>
        <c:minorTickMark val="none"/>
        <c:tickLblPos val="nextTo"/>
        <c:spPr>
          <a:ln/>
        </c:spPr>
        <c:txPr>
          <a:bodyPr/>
          <a:lstStyle/>
          <a:p>
            <a:pPr>
              <a:defRPr sz="800"/>
            </a:pPr>
            <a:endParaRPr lang="en-US"/>
          </a:p>
        </c:txPr>
        <c:crossAx val="480260880"/>
        <c:crosses val="max"/>
        <c:crossBetween val="between"/>
        <c:majorUnit val="0.2"/>
      </c:valAx>
      <c:catAx>
        <c:axId val="480260880"/>
        <c:scaling>
          <c:orientation val="minMax"/>
        </c:scaling>
        <c:delete val="1"/>
        <c:axPos val="b"/>
        <c:numFmt formatCode="General" sourceLinked="1"/>
        <c:majorTickMark val="out"/>
        <c:minorTickMark val="none"/>
        <c:tickLblPos val="nextTo"/>
        <c:crossAx val="480260488"/>
        <c:crosses val="autoZero"/>
        <c:auto val="1"/>
        <c:lblAlgn val="ctr"/>
        <c:lblOffset val="100"/>
        <c:noMultiLvlLbl val="0"/>
      </c:catAx>
    </c:plotArea>
    <c:legend>
      <c:legendPos val="r"/>
      <c:layout>
        <c:manualLayout>
          <c:xMode val="edge"/>
          <c:yMode val="edge"/>
          <c:x val="7.1266844890610498E-2"/>
          <c:y val="1.2489935274745401E-2"/>
          <c:w val="0.80492767451930014"/>
          <c:h val="6.7039585931023715E-2"/>
        </c:manualLayout>
      </c:layout>
      <c:overlay val="0"/>
      <c:spPr>
        <a:solidFill>
          <a:sysClr val="window" lastClr="FFFFFF"/>
        </a:solidFill>
        <a:ln>
          <a:solidFill>
            <a:sysClr val="window" lastClr="FFFFFF"/>
          </a:solidFill>
        </a:ln>
      </c:spPr>
      <c:txPr>
        <a:bodyPr/>
        <a:lstStyle/>
        <a:p>
          <a:pPr>
            <a:defRPr sz="800"/>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37408089946204"/>
          <c:y val="2.5961984051356638E-2"/>
          <c:w val="0.89562591910053801"/>
          <c:h val="0.51767009378604745"/>
        </c:manualLayout>
      </c:layout>
      <c:barChart>
        <c:barDir val="col"/>
        <c:grouping val="clustered"/>
        <c:varyColors val="0"/>
        <c:ser>
          <c:idx val="0"/>
          <c:order val="0"/>
          <c:tx>
            <c:strRef>
              <c:f>'45 podnikateľské prostredie'!$B$5</c:f>
              <c:strCache>
                <c:ptCount val="1"/>
                <c:pt idx="0">
                  <c:v>2018</c:v>
                </c:pt>
              </c:strCache>
            </c:strRef>
          </c:tx>
          <c:spPr>
            <a:solidFill>
              <a:srgbClr val="AAD3F2"/>
            </a:solidFill>
          </c:spPr>
          <c:invertIfNegative val="0"/>
          <c:cat>
            <c:strRef>
              <c:f>'45 podnikateľské prostredie'!$A$6:$A$15</c:f>
              <c:strCache>
                <c:ptCount val="10"/>
                <c:pt idx="0">
                  <c:v>Stavebné povolenia</c:v>
                </c:pt>
                <c:pt idx="1">
                  <c:v>Začatie podnikania</c:v>
                </c:pt>
                <c:pt idx="2">
                  <c:v>Ochrana minoritných 
investorov</c:v>
                </c:pt>
                <c:pt idx="3">
                  <c:v>Riešenie insolventnosti</c:v>
                </c:pt>
                <c:pt idx="4">
                  <c:v>Platenie daní</c:v>
                </c:pt>
                <c:pt idx="5">
                  <c:v>Vymáhanie plnenia zmlúv</c:v>
                </c:pt>
                <c:pt idx="6">
                  <c:v>Zriadenie elektrickej prípojky</c:v>
                </c:pt>
                <c:pt idx="7">
                  <c:v>Získanie úveru</c:v>
                </c:pt>
                <c:pt idx="8">
                  <c:v>Cezhraničný obchod</c:v>
                </c:pt>
                <c:pt idx="9">
                  <c:v>Registrovanie majetku</c:v>
                </c:pt>
              </c:strCache>
            </c:strRef>
          </c:cat>
          <c:val>
            <c:numRef>
              <c:f>'45 podnikateľské prostredie'!$B$6:$B$15</c:f>
              <c:numCache>
                <c:formatCode>0.00</c:formatCode>
                <c:ptCount val="10"/>
                <c:pt idx="0">
                  <c:v>-2.2000000000000002</c:v>
                </c:pt>
                <c:pt idx="1">
                  <c:v>-1.8</c:v>
                </c:pt>
                <c:pt idx="2">
                  <c:v>-1.33</c:v>
                </c:pt>
                <c:pt idx="3">
                  <c:v>-0.55000000000000004</c:v>
                </c:pt>
                <c:pt idx="4">
                  <c:v>-0.31</c:v>
                </c:pt>
                <c:pt idx="5">
                  <c:v>-0.36</c:v>
                </c:pt>
                <c:pt idx="6">
                  <c:v>-0.15</c:v>
                </c:pt>
                <c:pt idx="7">
                  <c:v>0.35</c:v>
                </c:pt>
                <c:pt idx="8">
                  <c:v>0.86</c:v>
                </c:pt>
                <c:pt idx="9">
                  <c:v>1.2</c:v>
                </c:pt>
              </c:numCache>
            </c:numRef>
          </c:val>
        </c:ser>
        <c:ser>
          <c:idx val="1"/>
          <c:order val="1"/>
          <c:tx>
            <c:strRef>
              <c:f>'45 podnikateľské prostredie'!$C$5</c:f>
              <c:strCache>
                <c:ptCount val="1"/>
                <c:pt idx="0">
                  <c:v>2019</c:v>
                </c:pt>
              </c:strCache>
            </c:strRef>
          </c:tx>
          <c:spPr>
            <a:solidFill>
              <a:srgbClr val="2C9ADC"/>
            </a:solidFill>
          </c:spPr>
          <c:invertIfNegative val="0"/>
          <c:cat>
            <c:strRef>
              <c:f>'45 podnikateľské prostredie'!$A$6:$A$15</c:f>
              <c:strCache>
                <c:ptCount val="10"/>
                <c:pt idx="0">
                  <c:v>Stavebné povolenia</c:v>
                </c:pt>
                <c:pt idx="1">
                  <c:v>Začatie podnikania</c:v>
                </c:pt>
                <c:pt idx="2">
                  <c:v>Ochrana minoritných 
investorov</c:v>
                </c:pt>
                <c:pt idx="3">
                  <c:v>Riešenie insolventnosti</c:v>
                </c:pt>
                <c:pt idx="4">
                  <c:v>Platenie daní</c:v>
                </c:pt>
                <c:pt idx="5">
                  <c:v>Vymáhanie plnenia zmlúv</c:v>
                </c:pt>
                <c:pt idx="6">
                  <c:v>Zriadenie elektrickej prípojky</c:v>
                </c:pt>
                <c:pt idx="7">
                  <c:v>Získanie úveru</c:v>
                </c:pt>
                <c:pt idx="8">
                  <c:v>Cezhraničný obchod</c:v>
                </c:pt>
                <c:pt idx="9">
                  <c:v>Registrovanie majetku</c:v>
                </c:pt>
              </c:strCache>
            </c:strRef>
          </c:cat>
          <c:val>
            <c:numRef>
              <c:f>'45 podnikateľské prostredie'!$C$6:$C$15</c:f>
              <c:numCache>
                <c:formatCode>0.00</c:formatCode>
                <c:ptCount val="10"/>
                <c:pt idx="0">
                  <c:v>-2.25</c:v>
                </c:pt>
                <c:pt idx="1">
                  <c:v>-1.95</c:v>
                </c:pt>
                <c:pt idx="2">
                  <c:v>-1.33</c:v>
                </c:pt>
                <c:pt idx="3">
                  <c:v>-0.54</c:v>
                </c:pt>
                <c:pt idx="4">
                  <c:v>-0.28999999999999998</c:v>
                </c:pt>
                <c:pt idx="5">
                  <c:v>-0.2</c:v>
                </c:pt>
                <c:pt idx="6">
                  <c:v>-0.19</c:v>
                </c:pt>
                <c:pt idx="7">
                  <c:v>0.28999999999999998</c:v>
                </c:pt>
                <c:pt idx="8">
                  <c:v>0.85</c:v>
                </c:pt>
                <c:pt idx="9">
                  <c:v>1.22</c:v>
                </c:pt>
              </c:numCache>
            </c:numRef>
          </c:val>
        </c:ser>
        <c:dLbls>
          <c:showLegendKey val="0"/>
          <c:showVal val="0"/>
          <c:showCatName val="0"/>
          <c:showSerName val="0"/>
          <c:showPercent val="0"/>
          <c:showBubbleSize val="0"/>
        </c:dLbls>
        <c:gapWidth val="150"/>
        <c:axId val="480261272"/>
        <c:axId val="480261664"/>
      </c:barChart>
      <c:catAx>
        <c:axId val="480261272"/>
        <c:scaling>
          <c:orientation val="minMax"/>
        </c:scaling>
        <c:delete val="0"/>
        <c:axPos val="b"/>
        <c:numFmt formatCode="General" sourceLinked="1"/>
        <c:majorTickMark val="in"/>
        <c:minorTickMark val="out"/>
        <c:tickLblPos val="low"/>
        <c:txPr>
          <a:bodyPr rot="-5400000" vert="horz"/>
          <a:lstStyle/>
          <a:p>
            <a:pPr>
              <a:defRPr sz="800"/>
            </a:pPr>
            <a:endParaRPr lang="en-US"/>
          </a:p>
        </c:txPr>
        <c:crossAx val="480261664"/>
        <c:crosses val="autoZero"/>
        <c:auto val="1"/>
        <c:lblAlgn val="ctr"/>
        <c:lblOffset val="100"/>
        <c:noMultiLvlLbl val="0"/>
      </c:catAx>
      <c:valAx>
        <c:axId val="480261664"/>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sz="800"/>
            </a:pPr>
            <a:endParaRPr lang="en-US"/>
          </a:p>
        </c:txPr>
        <c:crossAx val="480261272"/>
        <c:crosses val="autoZero"/>
        <c:crossBetween val="between"/>
        <c:majorUnit val="1"/>
      </c:valAx>
    </c:plotArea>
    <c:legend>
      <c:legendPos val="t"/>
      <c:layout>
        <c:manualLayout>
          <c:xMode val="edge"/>
          <c:yMode val="edge"/>
          <c:x val="0.16205320079670896"/>
          <c:y val="4.4671429316368576E-2"/>
          <c:w val="0.59290072783455261"/>
          <c:h val="8.394472545236481E-2"/>
        </c:manualLayout>
      </c:layout>
      <c:overlay val="0"/>
      <c:txPr>
        <a:bodyPr/>
        <a:lstStyle/>
        <a:p>
          <a:pPr>
            <a:defRPr sz="800"/>
          </a:pPr>
          <a:endParaRPr lang="en-US"/>
        </a:p>
      </c:txPr>
    </c:legend>
    <c:plotVisOnly val="1"/>
    <c:dispBlanksAs val="gap"/>
    <c:showDLblsOverMax val="0"/>
  </c:chart>
  <c:spPr>
    <a:ln>
      <a:noFill/>
    </a:ln>
  </c:spPr>
  <c:txPr>
    <a:bodyPr/>
    <a:lstStyle/>
    <a:p>
      <a:pPr>
        <a:defRPr sz="1050" b="0" i="0" u="none" strike="noStrike" baseline="0">
          <a:solidFill>
            <a:srgbClr val="000000"/>
          </a:solidFill>
          <a:latin typeface="Arial Narrow"/>
          <a:ea typeface="Arial Narrow"/>
          <a:cs typeface="Arial Narrow"/>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spPr>
            <a:solidFill>
              <a:srgbClr val="2C9ADC"/>
            </a:solidFill>
          </c:spPr>
          <c:invertIfNegative val="0"/>
          <c:dPt>
            <c:idx val="1"/>
            <c:invertIfNegative val="0"/>
            <c:bubble3D val="0"/>
          </c:dPt>
          <c:dPt>
            <c:idx val="8"/>
            <c:invertIfNegative val="0"/>
            <c:bubble3D val="0"/>
            <c:spPr>
              <a:solidFill>
                <a:sysClr val="window" lastClr="FFFFFF">
                  <a:lumMod val="50000"/>
                </a:sysClr>
              </a:solidFill>
            </c:spPr>
          </c:dPt>
          <c:cat>
            <c:strRef>
              <c:f>'46 transparentna spolocnost'!$A$64:$A$73</c:f>
              <c:strCache>
                <c:ptCount val="10"/>
                <c:pt idx="0">
                  <c:v>Grécko</c:v>
                </c:pt>
                <c:pt idx="1">
                  <c:v>Taliansko</c:v>
                </c:pt>
                <c:pt idx="2">
                  <c:v>Chorvátsko</c:v>
                </c:pt>
                <c:pt idx="3">
                  <c:v>Slovinsko</c:v>
                </c:pt>
                <c:pt idx="4">
                  <c:v>Polsko</c:v>
                </c:pt>
                <c:pt idx="5">
                  <c:v>Maďarsko</c:v>
                </c:pt>
                <c:pt idx="6">
                  <c:v>Česko</c:v>
                </c:pt>
                <c:pt idx="7">
                  <c:v>Rakúsko</c:v>
                </c:pt>
                <c:pt idx="8">
                  <c:v>Slovensko</c:v>
                </c:pt>
                <c:pt idx="9">
                  <c:v>Švajčiarsko</c:v>
                </c:pt>
              </c:strCache>
            </c:strRef>
          </c:cat>
          <c:val>
            <c:numRef>
              <c:f>'46 transparentna spolocnost'!$C$64:$C$73</c:f>
              <c:numCache>
                <c:formatCode>General</c:formatCode>
                <c:ptCount val="10"/>
                <c:pt idx="0">
                  <c:v>610</c:v>
                </c:pt>
                <c:pt idx="1">
                  <c:v>514</c:v>
                </c:pt>
                <c:pt idx="2">
                  <c:v>364</c:v>
                </c:pt>
                <c:pt idx="3">
                  <c:v>280</c:v>
                </c:pt>
                <c:pt idx="4">
                  <c:v>225</c:v>
                </c:pt>
                <c:pt idx="5">
                  <c:v>159</c:v>
                </c:pt>
                <c:pt idx="6">
                  <c:v>153</c:v>
                </c:pt>
                <c:pt idx="7">
                  <c:v>133</c:v>
                </c:pt>
                <c:pt idx="8">
                  <c:v>130</c:v>
                </c:pt>
                <c:pt idx="9">
                  <c:v>107</c:v>
                </c:pt>
              </c:numCache>
            </c:numRef>
          </c:val>
        </c:ser>
        <c:dLbls>
          <c:showLegendKey val="0"/>
          <c:showVal val="0"/>
          <c:showCatName val="0"/>
          <c:showSerName val="0"/>
          <c:showPercent val="0"/>
          <c:showBubbleSize val="0"/>
        </c:dLbls>
        <c:gapWidth val="150"/>
        <c:axId val="482181736"/>
        <c:axId val="482182128"/>
      </c:barChart>
      <c:lineChart>
        <c:grouping val="standard"/>
        <c:varyColors val="0"/>
        <c:ser>
          <c:idx val="1"/>
          <c:order val="1"/>
          <c:tx>
            <c:strRef>
              <c:f>'46 transparentna spolocnost'!$D$63</c:f>
              <c:strCache>
                <c:ptCount val="1"/>
                <c:pt idx="0">
                  <c:v>Priemer CEPEJ</c:v>
                </c:pt>
              </c:strCache>
            </c:strRef>
          </c:tx>
          <c:spPr>
            <a:ln>
              <a:solidFill>
                <a:sysClr val="windowText" lastClr="000000"/>
              </a:solidFill>
              <a:prstDash val="sysDash"/>
            </a:ln>
          </c:spPr>
          <c:marker>
            <c:symbol val="none"/>
          </c:marker>
          <c:val>
            <c:numRef>
              <c:f>'46 transparentna spolocnost'!$D$64:$D$73</c:f>
              <c:numCache>
                <c:formatCode>General</c:formatCode>
                <c:ptCount val="10"/>
                <c:pt idx="0">
                  <c:v>233</c:v>
                </c:pt>
                <c:pt idx="1">
                  <c:v>233</c:v>
                </c:pt>
                <c:pt idx="2">
                  <c:v>233</c:v>
                </c:pt>
                <c:pt idx="3">
                  <c:v>233</c:v>
                </c:pt>
                <c:pt idx="4">
                  <c:v>233</c:v>
                </c:pt>
                <c:pt idx="5">
                  <c:v>233</c:v>
                </c:pt>
                <c:pt idx="6">
                  <c:v>233</c:v>
                </c:pt>
                <c:pt idx="7">
                  <c:v>233</c:v>
                </c:pt>
                <c:pt idx="8">
                  <c:v>233</c:v>
                </c:pt>
                <c:pt idx="9">
                  <c:v>233</c:v>
                </c:pt>
              </c:numCache>
            </c:numRef>
          </c:val>
          <c:smooth val="0"/>
        </c:ser>
        <c:dLbls>
          <c:showLegendKey val="0"/>
          <c:showVal val="0"/>
          <c:showCatName val="0"/>
          <c:showSerName val="0"/>
          <c:showPercent val="0"/>
          <c:showBubbleSize val="0"/>
        </c:dLbls>
        <c:marker val="1"/>
        <c:smooth val="0"/>
        <c:axId val="482181736"/>
        <c:axId val="482182128"/>
      </c:lineChart>
      <c:catAx>
        <c:axId val="482181736"/>
        <c:scaling>
          <c:orientation val="minMax"/>
        </c:scaling>
        <c:delete val="0"/>
        <c:axPos val="b"/>
        <c:numFmt formatCode="General" sourceLinked="1"/>
        <c:majorTickMark val="out"/>
        <c:minorTickMark val="none"/>
        <c:tickLblPos val="nextTo"/>
        <c:txPr>
          <a:bodyPr rot="-5400000" vert="horz"/>
          <a:lstStyle/>
          <a:p>
            <a:pPr>
              <a:defRPr sz="800">
                <a:solidFill>
                  <a:sysClr val="windowText" lastClr="000000"/>
                </a:solidFill>
              </a:defRPr>
            </a:pPr>
            <a:endParaRPr lang="en-US"/>
          </a:p>
        </c:txPr>
        <c:crossAx val="482182128"/>
        <c:crosses val="autoZero"/>
        <c:auto val="1"/>
        <c:lblAlgn val="ctr"/>
        <c:lblOffset val="100"/>
        <c:noMultiLvlLbl val="0"/>
      </c:catAx>
      <c:valAx>
        <c:axId val="482182128"/>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a:lstStyle/>
          <a:p>
            <a:pPr>
              <a:defRPr sz="800"/>
            </a:pPr>
            <a:endParaRPr lang="en-US"/>
          </a:p>
        </c:txPr>
        <c:crossAx val="482181736"/>
        <c:crosses val="autoZero"/>
        <c:crossBetween val="between"/>
      </c:valAx>
    </c:plotArea>
    <c:legend>
      <c:legendPos val="r"/>
      <c:legendEntry>
        <c:idx val="0"/>
        <c:delete val="1"/>
      </c:legendEntry>
      <c:layout>
        <c:manualLayout>
          <c:xMode val="edge"/>
          <c:yMode val="edge"/>
          <c:x val="0.19095838301814275"/>
          <c:y val="7.891029005989636E-2"/>
          <c:w val="0.72714988223468313"/>
          <c:h val="0.21392233663099805"/>
        </c:manualLayout>
      </c:layout>
      <c:overlay val="0"/>
      <c:txPr>
        <a:bodyPr/>
        <a:lstStyle/>
        <a:p>
          <a:pPr>
            <a:defRPr sz="800"/>
          </a:pPr>
          <a:endParaRPr lang="en-US"/>
        </a:p>
      </c:txPr>
    </c:legend>
    <c:plotVisOnly val="1"/>
    <c:dispBlanksAs val="gap"/>
    <c:showDLblsOverMax val="0"/>
  </c:chart>
  <c:spPr>
    <a:ln>
      <a:noFill/>
    </a:ln>
  </c:spPr>
  <c:txPr>
    <a:bodyPr/>
    <a:lstStyle/>
    <a:p>
      <a:pPr>
        <a:defRPr sz="1000">
          <a:latin typeface="Arial Narrow" panose="020B060602020203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5802857976086324E-2"/>
          <c:y val="5.0257340281444414E-2"/>
          <c:w val="0.86459362950001617"/>
          <c:h val="0.8560478409586556"/>
        </c:manualLayout>
      </c:layout>
      <c:barChart>
        <c:barDir val="col"/>
        <c:grouping val="stacked"/>
        <c:varyColors val="0"/>
        <c:ser>
          <c:idx val="5"/>
          <c:order val="0"/>
          <c:tx>
            <c:strRef>
              <c:f>'1 makro'!$A$3</c:f>
              <c:strCache>
                <c:ptCount val="1"/>
                <c:pt idx="0">
                  <c:v>Spotreba</c:v>
                </c:pt>
              </c:strCache>
            </c:strRef>
          </c:tx>
          <c:spPr>
            <a:solidFill>
              <a:srgbClr val="2C9ADC"/>
            </a:solidFill>
          </c:spPr>
          <c:invertIfNegative val="0"/>
          <c:cat>
            <c:strRef>
              <c:f>'1 makro'!$J$1:$T$1</c:f>
              <c:strCache>
                <c:ptCount val="11"/>
                <c:pt idx="0">
                  <c:v>2012</c:v>
                </c:pt>
                <c:pt idx="1">
                  <c:v>2013</c:v>
                </c:pt>
                <c:pt idx="2">
                  <c:v>2014</c:v>
                </c:pt>
                <c:pt idx="3">
                  <c:v>2015</c:v>
                </c:pt>
                <c:pt idx="4">
                  <c:v>2016</c:v>
                </c:pt>
                <c:pt idx="5">
                  <c:v>2017</c:v>
                </c:pt>
                <c:pt idx="6">
                  <c:v>2018</c:v>
                </c:pt>
                <c:pt idx="7">
                  <c:v>2019F</c:v>
                </c:pt>
                <c:pt idx="8">
                  <c:v>2020F</c:v>
                </c:pt>
                <c:pt idx="9">
                  <c:v>2021F</c:v>
                </c:pt>
                <c:pt idx="10">
                  <c:v>2022F</c:v>
                </c:pt>
              </c:strCache>
            </c:strRef>
          </c:cat>
          <c:val>
            <c:numRef>
              <c:f>'1 makro'!$J$3:$T$3</c:f>
              <c:numCache>
                <c:formatCode>0.0</c:formatCode>
                <c:ptCount val="11"/>
                <c:pt idx="0">
                  <c:v>-0.62634747332054208</c:v>
                </c:pt>
                <c:pt idx="1">
                  <c:v>-4.3702882409578113E-2</c:v>
                </c:pt>
                <c:pt idx="2">
                  <c:v>1.6716214454608791</c:v>
                </c:pt>
                <c:pt idx="3">
                  <c:v>2.1840387348561072</c:v>
                </c:pt>
                <c:pt idx="4">
                  <c:v>1.8278456136143963</c:v>
                </c:pt>
                <c:pt idx="5">
                  <c:v>2.1232733765242178</c:v>
                </c:pt>
                <c:pt idx="6">
                  <c:v>1.912450252540961</c:v>
                </c:pt>
                <c:pt idx="7">
                  <c:v>1.9600892612875109</c:v>
                </c:pt>
                <c:pt idx="8" formatCode="General">
                  <c:v>1.7604065046702044</c:v>
                </c:pt>
                <c:pt idx="9" formatCode="General">
                  <c:v>1.309055938007899</c:v>
                </c:pt>
                <c:pt idx="10" formatCode="General">
                  <c:v>1.0564805015646812</c:v>
                </c:pt>
              </c:numCache>
            </c:numRef>
          </c:val>
        </c:ser>
        <c:ser>
          <c:idx val="8"/>
          <c:order val="1"/>
          <c:tx>
            <c:strRef>
              <c:f>'1 makro'!$A$4</c:f>
              <c:strCache>
                <c:ptCount val="1"/>
                <c:pt idx="0">
                  <c:v>Investície</c:v>
                </c:pt>
              </c:strCache>
            </c:strRef>
          </c:tx>
          <c:spPr>
            <a:solidFill>
              <a:schemeClr val="tx2">
                <a:lumMod val="20000"/>
                <a:lumOff val="80000"/>
              </a:schemeClr>
            </a:solidFill>
            <a:ln>
              <a:noFill/>
            </a:ln>
          </c:spPr>
          <c:invertIfNegative val="0"/>
          <c:cat>
            <c:strRef>
              <c:f>'1 makro'!$J$1:$T$1</c:f>
              <c:strCache>
                <c:ptCount val="11"/>
                <c:pt idx="0">
                  <c:v>2012</c:v>
                </c:pt>
                <c:pt idx="1">
                  <c:v>2013</c:v>
                </c:pt>
                <c:pt idx="2">
                  <c:v>2014</c:v>
                </c:pt>
                <c:pt idx="3">
                  <c:v>2015</c:v>
                </c:pt>
                <c:pt idx="4">
                  <c:v>2016</c:v>
                </c:pt>
                <c:pt idx="5">
                  <c:v>2017</c:v>
                </c:pt>
                <c:pt idx="6">
                  <c:v>2018</c:v>
                </c:pt>
                <c:pt idx="7">
                  <c:v>2019F</c:v>
                </c:pt>
                <c:pt idx="8">
                  <c:v>2020F</c:v>
                </c:pt>
                <c:pt idx="9">
                  <c:v>2021F</c:v>
                </c:pt>
                <c:pt idx="10">
                  <c:v>2022F</c:v>
                </c:pt>
              </c:strCache>
            </c:strRef>
          </c:cat>
          <c:val>
            <c:numRef>
              <c:f>'1 makro'!$J$4:$T$4</c:f>
              <c:numCache>
                <c:formatCode>0.0</c:formatCode>
                <c:ptCount val="11"/>
                <c:pt idx="0">
                  <c:v>-2.1742612394607947</c:v>
                </c:pt>
                <c:pt idx="1">
                  <c:v>-0.18762692668954159</c:v>
                </c:pt>
                <c:pt idx="2">
                  <c:v>0.63625623084677296</c:v>
                </c:pt>
                <c:pt idx="3">
                  <c:v>4.6365672065591381</c:v>
                </c:pt>
                <c:pt idx="4">
                  <c:v>-2.3224760518391894</c:v>
                </c:pt>
                <c:pt idx="5">
                  <c:v>0.74321556529473476</c:v>
                </c:pt>
                <c:pt idx="6">
                  <c:v>1.4936793635803298</c:v>
                </c:pt>
                <c:pt idx="7">
                  <c:v>0.43356573571150492</c:v>
                </c:pt>
                <c:pt idx="8" formatCode="General">
                  <c:v>0.64574463844189522</c:v>
                </c:pt>
                <c:pt idx="9" formatCode="General">
                  <c:v>0.6721638203211846</c:v>
                </c:pt>
                <c:pt idx="10" formatCode="General">
                  <c:v>0.77653555550866149</c:v>
                </c:pt>
              </c:numCache>
            </c:numRef>
          </c:val>
        </c:ser>
        <c:ser>
          <c:idx val="0"/>
          <c:order val="2"/>
          <c:tx>
            <c:strRef>
              <c:f>'1 makro'!$A$5</c:f>
              <c:strCache>
                <c:ptCount val="1"/>
                <c:pt idx="0">
                  <c:v>Zásoby a štat. disk.</c:v>
                </c:pt>
              </c:strCache>
            </c:strRef>
          </c:tx>
          <c:invertIfNegative val="0"/>
          <c:cat>
            <c:strRef>
              <c:f>'1 makro'!$J$1:$T$1</c:f>
              <c:strCache>
                <c:ptCount val="11"/>
                <c:pt idx="0">
                  <c:v>2012</c:v>
                </c:pt>
                <c:pt idx="1">
                  <c:v>2013</c:v>
                </c:pt>
                <c:pt idx="2">
                  <c:v>2014</c:v>
                </c:pt>
                <c:pt idx="3">
                  <c:v>2015</c:v>
                </c:pt>
                <c:pt idx="4">
                  <c:v>2016</c:v>
                </c:pt>
                <c:pt idx="5">
                  <c:v>2017</c:v>
                </c:pt>
                <c:pt idx="6">
                  <c:v>2018</c:v>
                </c:pt>
                <c:pt idx="7">
                  <c:v>2019F</c:v>
                </c:pt>
                <c:pt idx="8">
                  <c:v>2020F</c:v>
                </c:pt>
                <c:pt idx="9">
                  <c:v>2021F</c:v>
                </c:pt>
                <c:pt idx="10">
                  <c:v>2022F</c:v>
                </c:pt>
              </c:strCache>
            </c:strRef>
          </c:cat>
          <c:val>
            <c:numRef>
              <c:f>'1 makro'!$J$5:$T$5</c:f>
              <c:numCache>
                <c:formatCode>0.0</c:formatCode>
                <c:ptCount val="11"/>
                <c:pt idx="0">
                  <c:v>-1.175152962207292</c:v>
                </c:pt>
                <c:pt idx="1">
                  <c:v>0.45539963630718083</c:v>
                </c:pt>
                <c:pt idx="2">
                  <c:v>0.94539732169231949</c:v>
                </c:pt>
                <c:pt idx="3">
                  <c:v>-1.169411858205974</c:v>
                </c:pt>
                <c:pt idx="4">
                  <c:v>1.4456211730347019</c:v>
                </c:pt>
                <c:pt idx="5">
                  <c:v>-0.60013128748615141</c:v>
                </c:pt>
                <c:pt idx="6">
                  <c:v>0.81135834075288349</c:v>
                </c:pt>
                <c:pt idx="7">
                  <c:v>1.847750671587782E-2</c:v>
                </c:pt>
                <c:pt idx="8" formatCode="General">
                  <c:v>2.4009087347610224E-2</c:v>
                </c:pt>
                <c:pt idx="9" formatCode="General">
                  <c:v>1.8642197828297836E-2</c:v>
                </c:pt>
                <c:pt idx="10" formatCode="General">
                  <c:v>5.0750745062491031E-3</c:v>
                </c:pt>
              </c:numCache>
            </c:numRef>
          </c:val>
        </c:ser>
        <c:ser>
          <c:idx val="1"/>
          <c:order val="3"/>
          <c:tx>
            <c:strRef>
              <c:f>'1 makro'!$A$6</c:f>
              <c:strCache>
                <c:ptCount val="1"/>
                <c:pt idx="0">
                  <c:v>Čistý export</c:v>
                </c:pt>
              </c:strCache>
            </c:strRef>
          </c:tx>
          <c:invertIfNegative val="0"/>
          <c:cat>
            <c:strRef>
              <c:f>'1 makro'!$J$1:$T$1</c:f>
              <c:strCache>
                <c:ptCount val="11"/>
                <c:pt idx="0">
                  <c:v>2012</c:v>
                </c:pt>
                <c:pt idx="1">
                  <c:v>2013</c:v>
                </c:pt>
                <c:pt idx="2">
                  <c:v>2014</c:v>
                </c:pt>
                <c:pt idx="3">
                  <c:v>2015</c:v>
                </c:pt>
                <c:pt idx="4">
                  <c:v>2016</c:v>
                </c:pt>
                <c:pt idx="5">
                  <c:v>2017</c:v>
                </c:pt>
                <c:pt idx="6">
                  <c:v>2018</c:v>
                </c:pt>
                <c:pt idx="7">
                  <c:v>2019F</c:v>
                </c:pt>
                <c:pt idx="8">
                  <c:v>2020F</c:v>
                </c:pt>
                <c:pt idx="9">
                  <c:v>2021F</c:v>
                </c:pt>
                <c:pt idx="10">
                  <c:v>2022F</c:v>
                </c:pt>
              </c:strCache>
            </c:strRef>
          </c:cat>
          <c:val>
            <c:numRef>
              <c:f>'1 makro'!$J$6:$T$6</c:f>
              <c:numCache>
                <c:formatCode>0.0</c:formatCode>
                <c:ptCount val="11"/>
                <c:pt idx="0">
                  <c:v>5.6329103621827246</c:v>
                </c:pt>
                <c:pt idx="1">
                  <c:v>1.2665766106120377</c:v>
                </c:pt>
                <c:pt idx="2">
                  <c:v>-0.50293998111364391</c:v>
                </c:pt>
                <c:pt idx="3">
                  <c:v>-1.4763208859437764</c:v>
                </c:pt>
                <c:pt idx="4">
                  <c:v>2.1744193699097489</c:v>
                </c:pt>
                <c:pt idx="5">
                  <c:v>0.92198340020181679</c:v>
                </c:pt>
                <c:pt idx="6">
                  <c:v>-0.10843837437203165</c:v>
                </c:pt>
                <c:pt idx="7">
                  <c:v>1.4398476358533827</c:v>
                </c:pt>
                <c:pt idx="8" formatCode="General">
                  <c:v>1.2653335980538014</c:v>
                </c:pt>
                <c:pt idx="9" formatCode="General">
                  <c:v>1.1897381806467791</c:v>
                </c:pt>
                <c:pt idx="10" formatCode="General">
                  <c:v>0.66609190257917217</c:v>
                </c:pt>
              </c:numCache>
            </c:numRef>
          </c:val>
        </c:ser>
        <c:dLbls>
          <c:showLegendKey val="0"/>
          <c:showVal val="0"/>
          <c:showCatName val="0"/>
          <c:showSerName val="0"/>
          <c:showPercent val="0"/>
          <c:showBubbleSize val="0"/>
        </c:dLbls>
        <c:gapWidth val="150"/>
        <c:overlap val="100"/>
        <c:axId val="394608240"/>
        <c:axId val="394607848"/>
      </c:barChart>
      <c:lineChart>
        <c:grouping val="standard"/>
        <c:varyColors val="0"/>
        <c:ser>
          <c:idx val="2"/>
          <c:order val="4"/>
          <c:tx>
            <c:strRef>
              <c:f>'1 makro'!$A$2</c:f>
              <c:strCache>
                <c:ptCount val="1"/>
                <c:pt idx="0">
                  <c:v>HDP</c:v>
                </c:pt>
              </c:strCache>
            </c:strRef>
          </c:tx>
          <c:spPr>
            <a:ln w="12700">
              <a:solidFill>
                <a:sysClr val="windowText" lastClr="000000"/>
              </a:solidFill>
            </a:ln>
          </c:spPr>
          <c:marker>
            <c:symbol val="none"/>
          </c:marker>
          <c:cat>
            <c:strRef>
              <c:f>'1 makro'!$J$1:$T$1</c:f>
              <c:strCache>
                <c:ptCount val="11"/>
                <c:pt idx="0">
                  <c:v>2012</c:v>
                </c:pt>
                <c:pt idx="1">
                  <c:v>2013</c:v>
                </c:pt>
                <c:pt idx="2">
                  <c:v>2014</c:v>
                </c:pt>
                <c:pt idx="3">
                  <c:v>2015</c:v>
                </c:pt>
                <c:pt idx="4">
                  <c:v>2016</c:v>
                </c:pt>
                <c:pt idx="5">
                  <c:v>2017</c:v>
                </c:pt>
                <c:pt idx="6">
                  <c:v>2018</c:v>
                </c:pt>
                <c:pt idx="7">
                  <c:v>2019F</c:v>
                </c:pt>
                <c:pt idx="8">
                  <c:v>2020F</c:v>
                </c:pt>
                <c:pt idx="9">
                  <c:v>2021F</c:v>
                </c:pt>
                <c:pt idx="10">
                  <c:v>2022F</c:v>
                </c:pt>
              </c:strCache>
            </c:strRef>
          </c:cat>
          <c:val>
            <c:numRef>
              <c:f>'1 makro'!$J$2:$T$2</c:f>
              <c:numCache>
                <c:formatCode>0.0</c:formatCode>
                <c:ptCount val="11"/>
                <c:pt idx="0">
                  <c:v>1.6571486871941221</c:v>
                </c:pt>
                <c:pt idx="1">
                  <c:v>1.4906464378200801</c:v>
                </c:pt>
                <c:pt idx="2">
                  <c:v>2.7503350168863445</c:v>
                </c:pt>
                <c:pt idx="3">
                  <c:v>4.2</c:v>
                </c:pt>
                <c:pt idx="4">
                  <c:v>3.1</c:v>
                </c:pt>
                <c:pt idx="5">
                  <c:v>3.2</c:v>
                </c:pt>
                <c:pt idx="6">
                  <c:v>4.1090495825021538</c:v>
                </c:pt>
                <c:pt idx="7">
                  <c:v>3.8519801395682722</c:v>
                </c:pt>
                <c:pt idx="8" formatCode="General">
                  <c:v>3.6954938285135026</c:v>
                </c:pt>
                <c:pt idx="9" formatCode="General">
                  <c:v>3.1896001368041724</c:v>
                </c:pt>
                <c:pt idx="10" formatCode="General">
                  <c:v>2.5041830341587525</c:v>
                </c:pt>
              </c:numCache>
            </c:numRef>
          </c:val>
          <c:smooth val="0"/>
        </c:ser>
        <c:dLbls>
          <c:showLegendKey val="0"/>
          <c:showVal val="0"/>
          <c:showCatName val="0"/>
          <c:showSerName val="0"/>
          <c:showPercent val="0"/>
          <c:showBubbleSize val="0"/>
        </c:dLbls>
        <c:marker val="1"/>
        <c:smooth val="0"/>
        <c:axId val="394608240"/>
        <c:axId val="394607848"/>
      </c:lineChart>
      <c:catAx>
        <c:axId val="394608240"/>
        <c:scaling>
          <c:orientation val="minMax"/>
        </c:scaling>
        <c:delete val="0"/>
        <c:axPos val="b"/>
        <c:numFmt formatCode="General" sourceLinked="1"/>
        <c:majorTickMark val="out"/>
        <c:minorTickMark val="none"/>
        <c:tickLblPos val="low"/>
        <c:crossAx val="394607848"/>
        <c:crosses val="autoZero"/>
        <c:auto val="1"/>
        <c:lblAlgn val="ctr"/>
        <c:lblOffset val="100"/>
        <c:noMultiLvlLbl val="0"/>
      </c:catAx>
      <c:valAx>
        <c:axId val="394607848"/>
        <c:scaling>
          <c:orientation val="minMax"/>
          <c:max val="9"/>
          <c:min val="-5"/>
        </c:scaling>
        <c:delete val="0"/>
        <c:axPos val="l"/>
        <c:majorGridlines>
          <c:spPr>
            <a:ln>
              <a:solidFill>
                <a:schemeClr val="bg1">
                  <a:lumMod val="75000"/>
                </a:schemeClr>
              </a:solidFill>
              <a:prstDash val="dash"/>
            </a:ln>
          </c:spPr>
        </c:majorGridlines>
        <c:numFmt formatCode="0" sourceLinked="0"/>
        <c:majorTickMark val="out"/>
        <c:minorTickMark val="none"/>
        <c:tickLblPos val="nextTo"/>
        <c:crossAx val="394608240"/>
        <c:crosses val="autoZero"/>
        <c:crossBetween val="between"/>
      </c:valAx>
    </c:plotArea>
    <c:legend>
      <c:legendPos val="r"/>
      <c:layout>
        <c:manualLayout>
          <c:xMode val="edge"/>
          <c:yMode val="edge"/>
          <c:x val="7.4911565702528396E-2"/>
          <c:y val="3.4920323003733648E-2"/>
          <c:w val="0.87483717801606453"/>
          <c:h val="0.17584555412871705"/>
        </c:manualLayout>
      </c:layout>
      <c:overlay val="0"/>
    </c:legend>
    <c:plotVisOnly val="1"/>
    <c:dispBlanksAs val="gap"/>
    <c:showDLblsOverMax val="0"/>
  </c:chart>
  <c:spPr>
    <a:ln>
      <a:noFill/>
    </a:ln>
  </c:spPr>
  <c:txPr>
    <a:bodyPr/>
    <a:lstStyle/>
    <a:p>
      <a:pPr>
        <a:defRPr sz="800">
          <a:latin typeface="Arial Narrow" pitchFamily="34"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83145069444444442"/>
        </c:manualLayout>
      </c:layout>
      <c:lineChart>
        <c:grouping val="standard"/>
        <c:varyColors val="0"/>
        <c:ser>
          <c:idx val="0"/>
          <c:order val="2"/>
          <c:tx>
            <c:strRef>
              <c:f>'46 transparentna spolocnost'!$A$50</c:f>
              <c:strCache>
                <c:ptCount val="1"/>
                <c:pt idx="0">
                  <c:v>Slovensko</c:v>
                </c:pt>
              </c:strCache>
            </c:strRef>
          </c:tx>
          <c:spPr>
            <a:ln w="19050">
              <a:solidFill>
                <a:srgbClr val="0070C0"/>
              </a:solidFill>
              <a:prstDash val="dash"/>
            </a:ln>
          </c:spPr>
          <c:marker>
            <c:symbol val="none"/>
          </c:marker>
          <c:dPt>
            <c:idx val="2"/>
            <c:bubble3D val="0"/>
          </c:dPt>
          <c:cat>
            <c:numRef>
              <c:f>'46 transparentna spolocnost'!$B$46:$E$46</c:f>
              <c:numCache>
                <c:formatCode>General</c:formatCode>
                <c:ptCount val="4"/>
                <c:pt idx="0">
                  <c:v>2010</c:v>
                </c:pt>
                <c:pt idx="1">
                  <c:v>2012</c:v>
                </c:pt>
                <c:pt idx="2">
                  <c:v>2014</c:v>
                </c:pt>
                <c:pt idx="3">
                  <c:v>2016</c:v>
                </c:pt>
              </c:numCache>
            </c:numRef>
          </c:cat>
          <c:val>
            <c:numRef>
              <c:f>'46 transparentna spolocnost'!$B$50:$E$50</c:f>
              <c:numCache>
                <c:formatCode>General</c:formatCode>
                <c:ptCount val="4"/>
                <c:pt idx="0">
                  <c:v>98</c:v>
                </c:pt>
                <c:pt idx="1">
                  <c:v>82</c:v>
                </c:pt>
                <c:pt idx="2">
                  <c:v>92</c:v>
                </c:pt>
                <c:pt idx="3">
                  <c:v>132</c:v>
                </c:pt>
              </c:numCache>
            </c:numRef>
          </c:val>
          <c:smooth val="0"/>
        </c:ser>
        <c:ser>
          <c:idx val="2"/>
          <c:order val="4"/>
          <c:tx>
            <c:strRef>
              <c:f>'46 transparentna spolocnost'!$A$51</c:f>
              <c:strCache>
                <c:ptCount val="1"/>
                <c:pt idx="0">
                  <c:v>Polsko</c:v>
                </c:pt>
              </c:strCache>
            </c:strRef>
          </c:tx>
          <c:spPr>
            <a:ln w="19050">
              <a:solidFill>
                <a:sysClr val="windowText" lastClr="000000"/>
              </a:solidFill>
            </a:ln>
          </c:spPr>
          <c:marker>
            <c:symbol val="none"/>
          </c:marker>
          <c:cat>
            <c:numRef>
              <c:f>'46 transparentna spolocnost'!$B$46:$E$46</c:f>
              <c:numCache>
                <c:formatCode>General</c:formatCode>
                <c:ptCount val="4"/>
                <c:pt idx="0">
                  <c:v>2010</c:v>
                </c:pt>
                <c:pt idx="1">
                  <c:v>2012</c:v>
                </c:pt>
                <c:pt idx="2">
                  <c:v>2014</c:v>
                </c:pt>
                <c:pt idx="3">
                  <c:v>2016</c:v>
                </c:pt>
              </c:numCache>
            </c:numRef>
          </c:cat>
          <c:val>
            <c:numRef>
              <c:f>'46 transparentna spolocnost'!$B$51:$E$51</c:f>
              <c:numCache>
                <c:formatCode>General</c:formatCode>
                <c:ptCount val="4"/>
                <c:pt idx="0">
                  <c:v>95</c:v>
                </c:pt>
                <c:pt idx="1">
                  <c:v>89</c:v>
                </c:pt>
                <c:pt idx="2">
                  <c:v>99</c:v>
                </c:pt>
                <c:pt idx="3">
                  <c:v>99</c:v>
                </c:pt>
              </c:numCache>
            </c:numRef>
          </c:val>
          <c:smooth val="0"/>
        </c:ser>
        <c:ser>
          <c:idx val="4"/>
          <c:order val="5"/>
          <c:tx>
            <c:strRef>
              <c:f>'46 transparentna spolocnost'!$A$52</c:f>
              <c:strCache>
                <c:ptCount val="1"/>
                <c:pt idx="0">
                  <c:v>Česko</c:v>
                </c:pt>
              </c:strCache>
            </c:strRef>
          </c:tx>
          <c:spPr>
            <a:ln w="19050"/>
          </c:spPr>
          <c:marker>
            <c:symbol val="none"/>
          </c:marker>
          <c:cat>
            <c:numRef>
              <c:f>'46 transparentna spolocnost'!$B$46:$E$46</c:f>
              <c:numCache>
                <c:formatCode>General</c:formatCode>
                <c:ptCount val="4"/>
                <c:pt idx="0">
                  <c:v>2010</c:v>
                </c:pt>
                <c:pt idx="1">
                  <c:v>2012</c:v>
                </c:pt>
                <c:pt idx="2">
                  <c:v>2014</c:v>
                </c:pt>
                <c:pt idx="3">
                  <c:v>2016</c:v>
                </c:pt>
              </c:numCache>
            </c:numRef>
          </c:cat>
          <c:val>
            <c:numRef>
              <c:f>'46 transparentna spolocnost'!$B$52:$E$52</c:f>
              <c:numCache>
                <c:formatCode>General</c:formatCode>
                <c:ptCount val="4"/>
                <c:pt idx="0">
                  <c:v>103</c:v>
                </c:pt>
                <c:pt idx="1">
                  <c:v>99</c:v>
                </c:pt>
                <c:pt idx="2">
                  <c:v>105</c:v>
                </c:pt>
                <c:pt idx="3">
                  <c:v>110</c:v>
                </c:pt>
              </c:numCache>
            </c:numRef>
          </c:val>
          <c:smooth val="0"/>
        </c:ser>
        <c:ser>
          <c:idx val="9"/>
          <c:order val="9"/>
          <c:tx>
            <c:strRef>
              <c:f>'46 transparentna spolocnost'!$A$56</c:f>
              <c:strCache>
                <c:ptCount val="1"/>
                <c:pt idx="0">
                  <c:v>Maďarsko</c:v>
                </c:pt>
              </c:strCache>
            </c:strRef>
          </c:tx>
          <c:spPr>
            <a:ln w="19050"/>
          </c:spPr>
          <c:marker>
            <c:symbol val="none"/>
          </c:marker>
          <c:cat>
            <c:numRef>
              <c:f>'46 transparentna spolocnost'!$B$46:$E$46</c:f>
              <c:numCache>
                <c:formatCode>General</c:formatCode>
                <c:ptCount val="4"/>
                <c:pt idx="0">
                  <c:v>2010</c:v>
                </c:pt>
                <c:pt idx="1">
                  <c:v>2012</c:v>
                </c:pt>
                <c:pt idx="2">
                  <c:v>2014</c:v>
                </c:pt>
                <c:pt idx="3">
                  <c:v>2016</c:v>
                </c:pt>
              </c:numCache>
            </c:numRef>
          </c:cat>
          <c:val>
            <c:numRef>
              <c:f>'46 transparentna spolocnost'!$B$56:$E$56</c:f>
              <c:numCache>
                <c:formatCode>General</c:formatCode>
                <c:ptCount val="4"/>
                <c:pt idx="0">
                  <c:v>102</c:v>
                </c:pt>
                <c:pt idx="1">
                  <c:v>105</c:v>
                </c:pt>
                <c:pt idx="2">
                  <c:v>104</c:v>
                </c:pt>
                <c:pt idx="3">
                  <c:v>98</c:v>
                </c:pt>
              </c:numCache>
            </c:numRef>
          </c:val>
          <c:smooth val="0"/>
        </c:ser>
        <c:dLbls>
          <c:showLegendKey val="0"/>
          <c:showVal val="0"/>
          <c:showCatName val="0"/>
          <c:showSerName val="0"/>
          <c:showPercent val="0"/>
          <c:showBubbleSize val="0"/>
        </c:dLbls>
        <c:smooth val="0"/>
        <c:axId val="482182912"/>
        <c:axId val="482183304"/>
        <c:extLst>
          <c:ext xmlns:c15="http://schemas.microsoft.com/office/drawing/2012/chart" uri="{02D57815-91ED-43cb-92C2-25804820EDAC}">
            <c15:filteredLineSeries>
              <c15:ser>
                <c:idx val="3"/>
                <c:order val="0"/>
                <c:tx>
                  <c:v>Taliansko</c:v>
                </c:tx>
                <c:spPr>
                  <a:ln w="19050">
                    <a:solidFill>
                      <a:srgbClr val="2C9ADC"/>
                    </a:solidFill>
                    <a:prstDash val="solid"/>
                  </a:ln>
                </c:spPr>
                <c:marker>
                  <c:symbol val="none"/>
                </c:marker>
                <c:cat>
                  <c:numRef>
                    <c:extLst>
                      <c:ext uri="{02D57815-91ED-43cb-92C2-25804820EDAC}">
                        <c15:formulaRef>
                          <c15:sqref>'46 transparentna spolocnost'!$B$46:$E$46</c15:sqref>
                        </c15:formulaRef>
                      </c:ext>
                    </c:extLst>
                    <c:numCache>
                      <c:formatCode>General</c:formatCode>
                      <c:ptCount val="4"/>
                      <c:pt idx="0">
                        <c:v>2010</c:v>
                      </c:pt>
                      <c:pt idx="1">
                        <c:v>2012</c:v>
                      </c:pt>
                      <c:pt idx="2">
                        <c:v>2014</c:v>
                      </c:pt>
                      <c:pt idx="3">
                        <c:v>2016</c:v>
                      </c:pt>
                    </c:numCache>
                  </c:numRef>
                </c:cat>
                <c:val>
                  <c:numLit>
                    <c:formatCode>General</c:formatCode>
                    <c:ptCount val="3"/>
                    <c:pt idx="0">
                      <c:v>118</c:v>
                    </c:pt>
                    <c:pt idx="1">
                      <c:v>131</c:v>
                    </c:pt>
                    <c:pt idx="2">
                      <c:v>119</c:v>
                    </c:pt>
                  </c:numLit>
                </c:val>
                <c:smooth val="0"/>
              </c15:ser>
            </c15:filteredLineSeries>
            <c15:filteredLineSeries>
              <c15:ser>
                <c:idx val="5"/>
                <c:order val="1"/>
                <c:tx>
                  <c:v>Slovinsko</c:v>
                </c:tx>
                <c:spPr>
                  <a:ln w="19050">
                    <a:solidFill>
                      <a:sysClr val="windowText" lastClr="000000"/>
                    </a:solidFill>
                    <a:prstDash val="solid"/>
                  </a:ln>
                </c:spPr>
                <c:marker>
                  <c:symbol val="none"/>
                </c:marker>
                <c:cat>
                  <c:numRef>
                    <c:extLst xmlns:c15="http://schemas.microsoft.com/office/drawing/2012/chart">
                      <c:ext xmlns:c15="http://schemas.microsoft.com/office/drawing/2012/chart" uri="{02D57815-91ED-43cb-92C2-25804820EDAC}">
                        <c15:formulaRef>
                          <c15:sqref>'46 transparentna spolocnost'!$B$46:$E$46</c15:sqref>
                        </c15:formulaRef>
                      </c:ext>
                    </c:extLst>
                    <c:numCache>
                      <c:formatCode>General</c:formatCode>
                      <c:ptCount val="4"/>
                      <c:pt idx="0">
                        <c:v>2010</c:v>
                      </c:pt>
                      <c:pt idx="1">
                        <c:v>2012</c:v>
                      </c:pt>
                      <c:pt idx="2">
                        <c:v>2014</c:v>
                      </c:pt>
                      <c:pt idx="3">
                        <c:v>2016</c:v>
                      </c:pt>
                    </c:numCache>
                  </c:numRef>
                </c:cat>
                <c:val>
                  <c:numLit>
                    <c:formatCode>General</c:formatCode>
                    <c:ptCount val="3"/>
                    <c:pt idx="0">
                      <c:v>99</c:v>
                    </c:pt>
                    <c:pt idx="1">
                      <c:v>101</c:v>
                    </c:pt>
                    <c:pt idx="2">
                      <c:v>117</c:v>
                    </c:pt>
                  </c:numLit>
                </c:val>
                <c:smooth val="0"/>
              </c15:ser>
            </c15:filteredLineSeries>
            <c15:filteredLineSeries>
              <c15:ser>
                <c:idx val="1"/>
                <c:order val="3"/>
                <c:tx>
                  <c:v>Grécko</c:v>
                </c:tx>
                <c:marker>
                  <c:symbol val="none"/>
                </c:marker>
                <c:cat>
                  <c:numRef>
                    <c:extLst xmlns:c15="http://schemas.microsoft.com/office/drawing/2012/chart">
                      <c:ext xmlns:c15="http://schemas.microsoft.com/office/drawing/2012/chart" uri="{02D57815-91ED-43cb-92C2-25804820EDAC}">
                        <c15:formulaRef>
                          <c15:sqref>'46 transparentna spolocnost'!$B$46:$E$46</c15:sqref>
                        </c15:formulaRef>
                      </c:ext>
                    </c:extLst>
                    <c:numCache>
                      <c:formatCode>General</c:formatCode>
                      <c:ptCount val="4"/>
                      <c:pt idx="0">
                        <c:v>2010</c:v>
                      </c:pt>
                      <c:pt idx="1">
                        <c:v>2012</c:v>
                      </c:pt>
                      <c:pt idx="2">
                        <c:v>2014</c:v>
                      </c:pt>
                      <c:pt idx="3">
                        <c:v>2016</c:v>
                      </c:pt>
                    </c:numCache>
                  </c:numRef>
                </c:cat>
                <c:val>
                  <c:numLit>
                    <c:formatCode>General</c:formatCode>
                    <c:ptCount val="3"/>
                    <c:pt idx="0">
                      <c:v>79</c:v>
                    </c:pt>
                    <c:pt idx="1">
                      <c:v>58</c:v>
                    </c:pt>
                    <c:pt idx="2">
                      <c:v>113</c:v>
                    </c:pt>
                  </c:numLit>
                </c:val>
                <c:smooth val="0"/>
              </c15:ser>
            </c15:filteredLineSeries>
            <c15:filteredLineSeries>
              <c15:ser>
                <c:idx val="6"/>
                <c:order val="6"/>
                <c:tx>
                  <c:v>Chorvátsko</c:v>
                </c:tx>
                <c:marker>
                  <c:symbol val="none"/>
                </c:marker>
                <c:cat>
                  <c:numRef>
                    <c:extLst xmlns:c15="http://schemas.microsoft.com/office/drawing/2012/chart">
                      <c:ext xmlns:c15="http://schemas.microsoft.com/office/drawing/2012/chart" uri="{02D57815-91ED-43cb-92C2-25804820EDAC}">
                        <c15:formulaRef>
                          <c15:sqref>'46 transparentna spolocnost'!$B$46:$E$46</c15:sqref>
                        </c15:formulaRef>
                      </c:ext>
                    </c:extLst>
                    <c:numCache>
                      <c:formatCode>General</c:formatCode>
                      <c:ptCount val="4"/>
                      <c:pt idx="0">
                        <c:v>2010</c:v>
                      </c:pt>
                      <c:pt idx="1">
                        <c:v>2012</c:v>
                      </c:pt>
                      <c:pt idx="2">
                        <c:v>2014</c:v>
                      </c:pt>
                      <c:pt idx="3">
                        <c:v>2016</c:v>
                      </c:pt>
                    </c:numCache>
                  </c:numRef>
                </c:cat>
                <c:val>
                  <c:numLit>
                    <c:formatCode>General</c:formatCode>
                    <c:ptCount val="3"/>
                    <c:pt idx="0">
                      <c:v>102</c:v>
                    </c:pt>
                    <c:pt idx="1">
                      <c:v>95</c:v>
                    </c:pt>
                    <c:pt idx="2">
                      <c:v>113</c:v>
                    </c:pt>
                  </c:numLit>
                </c:val>
                <c:smooth val="0"/>
              </c15:ser>
            </c15:filteredLineSeries>
            <c15:filteredLineSeries>
              <c15:ser>
                <c:idx val="7"/>
                <c:order val="7"/>
                <c:tx>
                  <c:v>Švajčiarsko</c:v>
                </c:tx>
                <c:marker>
                  <c:symbol val="none"/>
                </c:marker>
                <c:cat>
                  <c:numRef>
                    <c:extLst xmlns:c15="http://schemas.microsoft.com/office/drawing/2012/chart">
                      <c:ext xmlns:c15="http://schemas.microsoft.com/office/drawing/2012/chart" uri="{02D57815-91ED-43cb-92C2-25804820EDAC}">
                        <c15:formulaRef>
                          <c15:sqref>'46 transparentna spolocnost'!$B$46:$E$46</c15:sqref>
                        </c15:formulaRef>
                      </c:ext>
                    </c:extLst>
                    <c:numCache>
                      <c:formatCode>General</c:formatCode>
                      <c:ptCount val="4"/>
                      <c:pt idx="0">
                        <c:v>2010</c:v>
                      </c:pt>
                      <c:pt idx="1">
                        <c:v>2012</c:v>
                      </c:pt>
                      <c:pt idx="2">
                        <c:v>2014</c:v>
                      </c:pt>
                      <c:pt idx="3">
                        <c:v>2016</c:v>
                      </c:pt>
                    </c:numCache>
                  </c:numRef>
                </c:cat>
                <c:val>
                  <c:numLit>
                    <c:formatCode>General</c:formatCode>
                    <c:ptCount val="3"/>
                    <c:pt idx="0">
                      <c:v>100</c:v>
                    </c:pt>
                    <c:pt idx="1">
                      <c:v>100</c:v>
                    </c:pt>
                    <c:pt idx="2">
                      <c:v>101</c:v>
                    </c:pt>
                  </c:numLit>
                </c:val>
                <c:smooth val="0"/>
              </c15:ser>
            </c15:filteredLineSeries>
            <c15:filteredLineSeries>
              <c15:ser>
                <c:idx val="8"/>
                <c:order val="8"/>
                <c:tx>
                  <c:v>100</c:v>
                </c:tx>
                <c:marker>
                  <c:symbol val="none"/>
                </c:marker>
                <c:cat>
                  <c:numRef>
                    <c:extLst xmlns:c15="http://schemas.microsoft.com/office/drawing/2012/chart">
                      <c:ext xmlns:c15="http://schemas.microsoft.com/office/drawing/2012/chart" uri="{02D57815-91ED-43cb-92C2-25804820EDAC}">
                        <c15:formulaRef>
                          <c15:sqref>'46 transparentna spolocnost'!$B$46:$E$46</c15:sqref>
                        </c15:formulaRef>
                      </c:ext>
                    </c:extLst>
                    <c:numCache>
                      <c:formatCode>General</c:formatCode>
                      <c:ptCount val="4"/>
                      <c:pt idx="0">
                        <c:v>2010</c:v>
                      </c:pt>
                      <c:pt idx="1">
                        <c:v>2012</c:v>
                      </c:pt>
                      <c:pt idx="2">
                        <c:v>2014</c:v>
                      </c:pt>
                      <c:pt idx="3">
                        <c:v>2016</c:v>
                      </c:pt>
                    </c:numCache>
                  </c:numRef>
                </c:cat>
                <c:val>
                  <c:numLit>
                    <c:formatCode>General</c:formatCode>
                    <c:ptCount val="3"/>
                    <c:pt idx="0">
                      <c:v>100</c:v>
                    </c:pt>
                    <c:pt idx="1">
                      <c:v>101</c:v>
                    </c:pt>
                    <c:pt idx="2">
                      <c:v>103</c:v>
                    </c:pt>
                  </c:numLit>
                </c:val>
                <c:smooth val="0"/>
              </c15:ser>
            </c15:filteredLineSeries>
          </c:ext>
        </c:extLst>
      </c:lineChart>
      <c:catAx>
        <c:axId val="482182912"/>
        <c:scaling>
          <c:orientation val="minMax"/>
        </c:scaling>
        <c:delete val="0"/>
        <c:axPos val="b"/>
        <c:numFmt formatCode="General" sourceLinked="0"/>
        <c:majorTickMark val="out"/>
        <c:minorTickMark val="none"/>
        <c:tickLblPos val="low"/>
        <c:txPr>
          <a:bodyPr rot="-5400000" vert="horz"/>
          <a:lstStyle/>
          <a:p>
            <a:pPr>
              <a:defRPr>
                <a:solidFill>
                  <a:sysClr val="windowText" lastClr="000000"/>
                </a:solidFill>
              </a:defRPr>
            </a:pPr>
            <a:endParaRPr lang="en-US"/>
          </a:p>
        </c:txPr>
        <c:crossAx val="482183304"/>
        <c:crosses val="autoZero"/>
        <c:auto val="1"/>
        <c:lblAlgn val="ctr"/>
        <c:lblOffset val="100"/>
        <c:noMultiLvlLbl val="0"/>
      </c:catAx>
      <c:valAx>
        <c:axId val="482183304"/>
        <c:scaling>
          <c:orientation val="minMax"/>
          <c:min val="75"/>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pPr>
            <a:endParaRPr lang="en-US"/>
          </a:p>
        </c:txPr>
        <c:crossAx val="482182912"/>
        <c:crosses val="autoZero"/>
        <c:crossBetween val="midCat"/>
      </c:valAx>
    </c:plotArea>
    <c:legend>
      <c:legendPos val="l"/>
      <c:layout>
        <c:manualLayout>
          <c:xMode val="edge"/>
          <c:yMode val="edge"/>
          <c:x val="0.14585973620708775"/>
          <c:y val="0.11850855232793948"/>
          <c:w val="0.68588932633420818"/>
          <c:h val="0.16497521143190436"/>
        </c:manualLayout>
      </c:layout>
      <c:overlay val="1"/>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83145069444444442"/>
        </c:manualLayout>
      </c:layout>
      <c:lineChart>
        <c:grouping val="standard"/>
        <c:varyColors val="0"/>
        <c:ser>
          <c:idx val="3"/>
          <c:order val="0"/>
          <c:tx>
            <c:strRef>
              <c:f>'48 enviro'!$J$5</c:f>
              <c:strCache>
                <c:ptCount val="1"/>
                <c:pt idx="0">
                  <c:v>EÚ (28)</c:v>
                </c:pt>
              </c:strCache>
            </c:strRef>
          </c:tx>
          <c:spPr>
            <a:ln w="19050">
              <a:solidFill>
                <a:srgbClr val="2C9ADC"/>
              </a:solidFill>
              <a:prstDash val="solid"/>
            </a:ln>
          </c:spPr>
          <c:marker>
            <c:symbol val="none"/>
          </c:marker>
          <c:cat>
            <c:strRef>
              <c:f>'48 enviro'!$K$4:$U$4</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'48 enviro'!$K$5:$U$5</c:f>
              <c:numCache>
                <c:formatCode>0</c:formatCode>
                <c:ptCount val="11"/>
                <c:pt idx="0">
                  <c:v>35</c:v>
                </c:pt>
                <c:pt idx="1">
                  <c:v>36.5</c:v>
                </c:pt>
                <c:pt idx="2">
                  <c:v>37.5</c:v>
                </c:pt>
                <c:pt idx="3">
                  <c:v>38.299999999999997</c:v>
                </c:pt>
                <c:pt idx="4">
                  <c:v>39.6</c:v>
                </c:pt>
                <c:pt idx="5">
                  <c:v>41.5</c:v>
                </c:pt>
                <c:pt idx="6">
                  <c:v>42.2</c:v>
                </c:pt>
                <c:pt idx="7">
                  <c:v>44.1</c:v>
                </c:pt>
                <c:pt idx="8">
                  <c:v>45</c:v>
                </c:pt>
                <c:pt idx="9">
                  <c:v>46</c:v>
                </c:pt>
                <c:pt idx="10">
                  <c:v>46.4</c:v>
                </c:pt>
              </c:numCache>
            </c:numRef>
          </c:val>
          <c:smooth val="0"/>
        </c:ser>
        <c:ser>
          <c:idx val="5"/>
          <c:order val="1"/>
          <c:tx>
            <c:strRef>
              <c:f>'48 enviro'!$J$6</c:f>
              <c:strCache>
                <c:ptCount val="1"/>
                <c:pt idx="0">
                  <c:v>Slovensko</c:v>
                </c:pt>
              </c:strCache>
            </c:strRef>
          </c:tx>
          <c:spPr>
            <a:ln w="19050">
              <a:solidFill>
                <a:srgbClr val="AAD3F2"/>
              </a:solidFill>
              <a:prstDash val="solid"/>
            </a:ln>
          </c:spPr>
          <c:marker>
            <c:symbol val="none"/>
          </c:marker>
          <c:cat>
            <c:strRef>
              <c:f>'48 enviro'!$K$4:$U$4</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'48 enviro'!$K$6:$U$6</c:f>
              <c:numCache>
                <c:formatCode>0</c:formatCode>
                <c:ptCount val="11"/>
                <c:pt idx="0">
                  <c:v>6.6000000000000005</c:v>
                </c:pt>
                <c:pt idx="1">
                  <c:v>7.4000000000000012</c:v>
                </c:pt>
                <c:pt idx="2">
                  <c:v>8.2000000000000011</c:v>
                </c:pt>
                <c:pt idx="3">
                  <c:v>9.1</c:v>
                </c:pt>
                <c:pt idx="4">
                  <c:v>10.3</c:v>
                </c:pt>
                <c:pt idx="5">
                  <c:v>13.3</c:v>
                </c:pt>
                <c:pt idx="6">
                  <c:v>10.8</c:v>
                </c:pt>
                <c:pt idx="7">
                  <c:v>10.3</c:v>
                </c:pt>
                <c:pt idx="8">
                  <c:v>14.899999999999999</c:v>
                </c:pt>
                <c:pt idx="9">
                  <c:v>23</c:v>
                </c:pt>
                <c:pt idx="10">
                  <c:v>29.8</c:v>
                </c:pt>
              </c:numCache>
            </c:numRef>
          </c:val>
          <c:smooth val="0"/>
        </c:ser>
        <c:ser>
          <c:idx val="0"/>
          <c:order val="2"/>
          <c:tx>
            <c:strRef>
              <c:f>'48 enviro'!$J$7</c:f>
              <c:strCache>
                <c:ptCount val="1"/>
                <c:pt idx="0">
                  <c:v>V3</c:v>
                </c:pt>
              </c:strCache>
            </c:strRef>
          </c:tx>
          <c:spPr>
            <a:ln w="19050">
              <a:solidFill>
                <a:srgbClr val="0070C0"/>
              </a:solidFill>
              <a:prstDash val="dash"/>
            </a:ln>
          </c:spPr>
          <c:marker>
            <c:symbol val="none"/>
          </c:marker>
          <c:dPt>
            <c:idx val="2"/>
            <c:bubble3D val="0"/>
          </c:dPt>
          <c:cat>
            <c:strRef>
              <c:f>'48 enviro'!$K$4:$U$4</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'48 enviro'!$K$7:$U$7</c:f>
              <c:numCache>
                <c:formatCode>0</c:formatCode>
                <c:ptCount val="11"/>
                <c:pt idx="0">
                  <c:v>9.9666666666666668</c:v>
                </c:pt>
                <c:pt idx="1">
                  <c:v>12.033333333333333</c:v>
                </c:pt>
                <c:pt idx="2">
                  <c:v>14</c:v>
                </c:pt>
                <c:pt idx="3">
                  <c:v>17</c:v>
                </c:pt>
                <c:pt idx="4">
                  <c:v>17</c:v>
                </c:pt>
                <c:pt idx="5">
                  <c:v>20</c:v>
                </c:pt>
                <c:pt idx="6">
                  <c:v>22</c:v>
                </c:pt>
                <c:pt idx="7">
                  <c:v>27</c:v>
                </c:pt>
                <c:pt idx="8">
                  <c:v>31</c:v>
                </c:pt>
                <c:pt idx="9">
                  <c:v>34</c:v>
                </c:pt>
                <c:pt idx="10">
                  <c:v>34.299999999999997</c:v>
                </c:pt>
              </c:numCache>
            </c:numRef>
          </c:val>
          <c:smooth val="0"/>
        </c:ser>
        <c:ser>
          <c:idx val="1"/>
          <c:order val="3"/>
          <c:tx>
            <c:strRef>
              <c:f>'48 enviro'!$J$8</c:f>
              <c:strCache>
                <c:ptCount val="1"/>
                <c:pt idx="0">
                  <c:v>Cieľ 2020</c:v>
                </c:pt>
              </c:strCache>
            </c:strRef>
          </c:tx>
          <c:spPr>
            <a:ln w="19050">
              <a:solidFill>
                <a:sysClr val="windowText" lastClr="000000"/>
              </a:solidFill>
            </a:ln>
          </c:spPr>
          <c:marker>
            <c:symbol val="none"/>
          </c:marker>
          <c:cat>
            <c:strRef>
              <c:f>'48 enviro'!$K$4:$U$4</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'48 enviro'!$K$8:$U$8</c:f>
              <c:numCache>
                <c:formatCode>0</c:formatCode>
                <c:ptCount val="11"/>
                <c:pt idx="0">
                  <c:v>50</c:v>
                </c:pt>
                <c:pt idx="1">
                  <c:v>50</c:v>
                </c:pt>
                <c:pt idx="2">
                  <c:v>50</c:v>
                </c:pt>
                <c:pt idx="3">
                  <c:v>50</c:v>
                </c:pt>
                <c:pt idx="4">
                  <c:v>50</c:v>
                </c:pt>
                <c:pt idx="5">
                  <c:v>50</c:v>
                </c:pt>
                <c:pt idx="6">
                  <c:v>50</c:v>
                </c:pt>
                <c:pt idx="7">
                  <c:v>50</c:v>
                </c:pt>
                <c:pt idx="8">
                  <c:v>50</c:v>
                </c:pt>
                <c:pt idx="9">
                  <c:v>50</c:v>
                </c:pt>
                <c:pt idx="10">
                  <c:v>50</c:v>
                </c:pt>
              </c:numCache>
            </c:numRef>
          </c:val>
          <c:smooth val="0"/>
        </c:ser>
        <c:dLbls>
          <c:showLegendKey val="0"/>
          <c:showVal val="0"/>
          <c:showCatName val="0"/>
          <c:showSerName val="0"/>
          <c:showPercent val="0"/>
          <c:showBubbleSize val="0"/>
        </c:dLbls>
        <c:smooth val="0"/>
        <c:axId val="482184088"/>
        <c:axId val="482184480"/>
      </c:lineChart>
      <c:catAx>
        <c:axId val="482184088"/>
        <c:scaling>
          <c:orientation val="minMax"/>
        </c:scaling>
        <c:delete val="0"/>
        <c:axPos val="b"/>
        <c:numFmt formatCode="General" sourceLinked="0"/>
        <c:majorTickMark val="out"/>
        <c:minorTickMark val="none"/>
        <c:tickLblPos val="low"/>
        <c:txPr>
          <a:bodyPr rot="-5400000" vert="horz"/>
          <a:lstStyle/>
          <a:p>
            <a:pPr>
              <a:defRPr/>
            </a:pPr>
            <a:endParaRPr lang="en-US"/>
          </a:p>
        </c:txPr>
        <c:crossAx val="482184480"/>
        <c:crosses val="autoZero"/>
        <c:auto val="1"/>
        <c:lblAlgn val="ctr"/>
        <c:lblOffset val="100"/>
        <c:noMultiLvlLbl val="0"/>
      </c:catAx>
      <c:valAx>
        <c:axId val="482184480"/>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en-US"/>
          </a:p>
        </c:txPr>
        <c:crossAx val="482184088"/>
        <c:crosses val="autoZero"/>
        <c:crossBetween val="between"/>
      </c:valAx>
    </c:plotArea>
    <c:legend>
      <c:legendPos val="l"/>
      <c:layout>
        <c:manualLayout>
          <c:xMode val="edge"/>
          <c:yMode val="edge"/>
          <c:x val="0.11719201115485564"/>
          <c:y val="5.0532572317349223E-3"/>
          <c:w val="0.75383079068241465"/>
          <c:h val="0.20270299545890097"/>
        </c:manualLayout>
      </c:layout>
      <c:overlay val="1"/>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6857412054262449E-2"/>
          <c:y val="5.5989218004729648E-2"/>
          <c:w val="0.93616132135261021"/>
          <c:h val="0.86336284722222201"/>
        </c:manualLayout>
      </c:layout>
      <c:barChart>
        <c:barDir val="col"/>
        <c:grouping val="clustered"/>
        <c:varyColors val="0"/>
        <c:ser>
          <c:idx val="0"/>
          <c:order val="0"/>
          <c:spPr>
            <a:solidFill>
              <a:srgbClr val="2C9ADC"/>
            </a:solidFill>
          </c:spPr>
          <c:invertIfNegative val="0"/>
          <c:dPt>
            <c:idx val="1"/>
            <c:invertIfNegative val="0"/>
            <c:bubble3D val="0"/>
            <c:spPr>
              <a:solidFill>
                <a:sysClr val="windowText" lastClr="000000"/>
              </a:solidFill>
            </c:spPr>
          </c:dPt>
          <c:dPt>
            <c:idx val="8"/>
            <c:invertIfNegative val="0"/>
            <c:bubble3D val="0"/>
          </c:dPt>
          <c:cat>
            <c:strRef>
              <c:f>'48 enviro'!$A$9:$A$35</c:f>
              <c:strCache>
                <c:ptCount val="27"/>
                <c:pt idx="0">
                  <c:v>PL</c:v>
                </c:pt>
                <c:pt idx="1">
                  <c:v>SK</c:v>
                </c:pt>
                <c:pt idx="2">
                  <c:v>HU</c:v>
                </c:pt>
                <c:pt idx="3">
                  <c:v>CZ</c:v>
                </c:pt>
                <c:pt idx="4">
                  <c:v>IT</c:v>
                </c:pt>
                <c:pt idx="5">
                  <c:v>HR</c:v>
                </c:pt>
                <c:pt idx="6">
                  <c:v>RO</c:v>
                </c:pt>
                <c:pt idx="7">
                  <c:v>EL</c:v>
                </c:pt>
                <c:pt idx="8">
                  <c:v>SI</c:v>
                </c:pt>
                <c:pt idx="9">
                  <c:v>AT</c:v>
                </c:pt>
                <c:pt idx="10">
                  <c:v>BG</c:v>
                </c:pt>
                <c:pt idx="11">
                  <c:v>NL</c:v>
                </c:pt>
                <c:pt idx="12">
                  <c:v>BE</c:v>
                </c:pt>
                <c:pt idx="13">
                  <c:v>MT</c:v>
                </c:pt>
                <c:pt idx="14">
                  <c:v>DE</c:v>
                </c:pt>
                <c:pt idx="15">
                  <c:v>LT</c:v>
                </c:pt>
                <c:pt idx="16">
                  <c:v>FR</c:v>
                </c:pt>
                <c:pt idx="17">
                  <c:v>ES</c:v>
                </c:pt>
                <c:pt idx="18">
                  <c:v>LU</c:v>
                </c:pt>
                <c:pt idx="19">
                  <c:v>UK</c:v>
                </c:pt>
                <c:pt idx="20">
                  <c:v>PT</c:v>
                </c:pt>
                <c:pt idx="21">
                  <c:v>DK</c:v>
                </c:pt>
                <c:pt idx="22">
                  <c:v>LV</c:v>
                </c:pt>
                <c:pt idx="23">
                  <c:v>SW</c:v>
                </c:pt>
                <c:pt idx="24">
                  <c:v>EE</c:v>
                </c:pt>
                <c:pt idx="25">
                  <c:v>IE</c:v>
                </c:pt>
                <c:pt idx="26">
                  <c:v>FI</c:v>
                </c:pt>
              </c:strCache>
            </c:strRef>
          </c:cat>
          <c:val>
            <c:numRef>
              <c:f>'48 enviro'!$B$9:$B$35</c:f>
              <c:numCache>
                <c:formatCode>0.00</c:formatCode>
                <c:ptCount val="27"/>
                <c:pt idx="0">
                  <c:v>23.447800000000001</c:v>
                </c:pt>
                <c:pt idx="1">
                  <c:v>22.53633</c:v>
                </c:pt>
                <c:pt idx="2">
                  <c:v>22.444800000000001</c:v>
                </c:pt>
                <c:pt idx="3">
                  <c:v>20.25451</c:v>
                </c:pt>
                <c:pt idx="4">
                  <c:v>19.991630000000001</c:v>
                </c:pt>
                <c:pt idx="5" formatCode="#\ ##0.0_ ;\-#\ ##0.0\ ">
                  <c:v>18.23451</c:v>
                </c:pt>
                <c:pt idx="6" formatCode="General">
                  <c:v>18.2</c:v>
                </c:pt>
                <c:pt idx="7">
                  <c:v>17.681059999999999</c:v>
                </c:pt>
                <c:pt idx="8">
                  <c:v>17.113199999999999</c:v>
                </c:pt>
                <c:pt idx="9">
                  <c:v>15.69556</c:v>
                </c:pt>
                <c:pt idx="10" formatCode="General">
                  <c:v>15.6</c:v>
                </c:pt>
                <c:pt idx="11">
                  <c:v>15.13664</c:v>
                </c:pt>
                <c:pt idx="12">
                  <c:v>14.9018</c:v>
                </c:pt>
                <c:pt idx="13" formatCode="General">
                  <c:v>14.4</c:v>
                </c:pt>
                <c:pt idx="14">
                  <c:v>14.25652</c:v>
                </c:pt>
                <c:pt idx="15" formatCode="General">
                  <c:v>13.5</c:v>
                </c:pt>
                <c:pt idx="16">
                  <c:v>12.65321</c:v>
                </c:pt>
                <c:pt idx="17">
                  <c:v>12.290889999999999</c:v>
                </c:pt>
                <c:pt idx="18">
                  <c:v>11.92022</c:v>
                </c:pt>
                <c:pt idx="19">
                  <c:v>10.68308</c:v>
                </c:pt>
                <c:pt idx="20">
                  <c:v>10.63411</c:v>
                </c:pt>
                <c:pt idx="21">
                  <c:v>10.624890000000001</c:v>
                </c:pt>
                <c:pt idx="22">
                  <c:v>9.9936860000000003</c:v>
                </c:pt>
                <c:pt idx="23">
                  <c:v>6.9794780000000003</c:v>
                </c:pt>
                <c:pt idx="24">
                  <c:v>6.9377880000000003</c:v>
                </c:pt>
                <c:pt idx="25">
                  <c:v>6.6518230000000003</c:v>
                </c:pt>
                <c:pt idx="26">
                  <c:v>6.023695</c:v>
                </c:pt>
              </c:numCache>
            </c:numRef>
          </c:val>
          <c:extLst/>
        </c:ser>
        <c:dLbls>
          <c:showLegendKey val="0"/>
          <c:showVal val="0"/>
          <c:showCatName val="0"/>
          <c:showSerName val="0"/>
          <c:showPercent val="0"/>
          <c:showBubbleSize val="0"/>
        </c:dLbls>
        <c:gapWidth val="150"/>
        <c:axId val="482185264"/>
        <c:axId val="479964776"/>
      </c:barChart>
      <c:catAx>
        <c:axId val="482185264"/>
        <c:scaling>
          <c:orientation val="minMax"/>
        </c:scaling>
        <c:delete val="0"/>
        <c:axPos val="b"/>
        <c:numFmt formatCode="General" sourceLinked="1"/>
        <c:majorTickMark val="out"/>
        <c:minorTickMark val="none"/>
        <c:tickLblPos val="nextTo"/>
        <c:txPr>
          <a:bodyPr rot="-5400000" vert="horz"/>
          <a:lstStyle/>
          <a:p>
            <a:pPr>
              <a:defRPr sz="600"/>
            </a:pPr>
            <a:endParaRPr lang="en-US"/>
          </a:p>
        </c:txPr>
        <c:crossAx val="479964776"/>
        <c:crosses val="autoZero"/>
        <c:auto val="1"/>
        <c:lblAlgn val="ctr"/>
        <c:lblOffset val="100"/>
        <c:noMultiLvlLbl val="0"/>
      </c:catAx>
      <c:valAx>
        <c:axId val="479964776"/>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482185264"/>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Hárok1!$C$3:$C$4</c:f>
              <c:strCache>
                <c:ptCount val="2"/>
                <c:pt idx="0">
                  <c:v>Výzvy/vyzvania</c:v>
                </c:pt>
                <c:pt idx="1">
                  <c:v>(eur)</c:v>
                </c:pt>
              </c:strCache>
            </c:strRef>
          </c:tx>
          <c:spPr>
            <a:solidFill>
              <a:srgbClr val="2C9ADC"/>
            </a:solidFill>
            <a:ln>
              <a:noFill/>
            </a:ln>
            <a:effectLst/>
          </c:spPr>
          <c:invertIfNegative val="0"/>
          <c:dLbls>
            <c:dLbl>
              <c:idx val="0"/>
              <c:tx>
                <c:rich>
                  <a:bodyPr/>
                  <a:lstStyle/>
                  <a:p>
                    <a:fld id="{AB090DE6-5708-4B6A-85AD-F0A127EFFE43}"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tx>
                <c:rich>
                  <a:bodyPr/>
                  <a:lstStyle/>
                  <a:p>
                    <a:fld id="{A79820E3-D082-4FB2-A728-2CA6AA21B546}"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2610A037-006F-48E5-BCD2-CE4809593C85}"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Narrow" panose="020B0606020202030204" pitchFamily="34" charset="0"/>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Hárok1!$B$5:$B$7</c:f>
              <c:strCache>
                <c:ptCount val="3"/>
                <c:pt idx="0">
                  <c:v>k 31.12.2016</c:v>
                </c:pt>
                <c:pt idx="1">
                  <c:v>k 31.12.2017</c:v>
                </c:pt>
                <c:pt idx="2">
                  <c:v>k 31.12.2018</c:v>
                </c:pt>
              </c:strCache>
            </c:strRef>
          </c:cat>
          <c:val>
            <c:numRef>
              <c:f>Hárok1!$C$5:$C$7</c:f>
              <c:numCache>
                <c:formatCode>#,##0</c:formatCode>
                <c:ptCount val="3"/>
                <c:pt idx="0">
                  <c:v>9570559535</c:v>
                </c:pt>
                <c:pt idx="1">
                  <c:v>12161227900</c:v>
                </c:pt>
                <c:pt idx="2">
                  <c:v>15222394029</c:v>
                </c:pt>
              </c:numCache>
            </c:numRef>
          </c:val>
          <c:extLst>
            <c:ext xmlns:c15="http://schemas.microsoft.com/office/drawing/2012/chart" uri="{02D57815-91ED-43cb-92C2-25804820EDAC}">
              <c15:datalabelsRange>
                <c15:f>(Hárok1!$D$5:$D$7,Hárok1!$F$5:$F$7,Hárok1!$H$5:$H$7)</c15:f>
                <c15:dlblRangeCache>
                  <c:ptCount val="9"/>
                  <c:pt idx="0">
                    <c:v>61,7%</c:v>
                  </c:pt>
                  <c:pt idx="1">
                    <c:v>78,7%</c:v>
                  </c:pt>
                  <c:pt idx="2">
                    <c:v>98,7%</c:v>
                  </c:pt>
                  <c:pt idx="3">
                    <c:v>20,8%</c:v>
                  </c:pt>
                  <c:pt idx="4">
                    <c:v>34,4%</c:v>
                  </c:pt>
                  <c:pt idx="5">
                    <c:v>54,3%</c:v>
                  </c:pt>
                  <c:pt idx="6">
                    <c:v>5,0%</c:v>
                  </c:pt>
                  <c:pt idx="7">
                    <c:v>11,3%</c:v>
                  </c:pt>
                  <c:pt idx="8">
                    <c:v>21,7%</c:v>
                  </c:pt>
                </c15:dlblRangeCache>
              </c15:datalabelsRange>
            </c:ext>
          </c:extLst>
        </c:ser>
        <c:ser>
          <c:idx val="2"/>
          <c:order val="2"/>
          <c:tx>
            <c:strRef>
              <c:f>Hárok1!$E$3:$E$4</c:f>
              <c:strCache>
                <c:ptCount val="2"/>
                <c:pt idx="0">
                  <c:v>Kontrahovanie</c:v>
                </c:pt>
                <c:pt idx="1">
                  <c:v>(eur)</c:v>
                </c:pt>
              </c:strCache>
            </c:strRef>
          </c:tx>
          <c:spPr>
            <a:solidFill>
              <a:srgbClr val="002060"/>
            </a:solidFill>
            <a:ln>
              <a:noFill/>
            </a:ln>
            <a:effectLst/>
          </c:spPr>
          <c:invertIfNegative val="0"/>
          <c:dLbls>
            <c:dLbl>
              <c:idx val="0"/>
              <c:tx>
                <c:rich>
                  <a:bodyPr/>
                  <a:lstStyle/>
                  <a:p>
                    <a:fld id="{9A47A686-493F-432B-AF67-1A0614F3E1C7}"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tx>
                <c:rich>
                  <a:bodyPr/>
                  <a:lstStyle/>
                  <a:p>
                    <a:fld id="{128B3779-A65B-4D30-8735-0765F83DA671}"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92C0ABC7-9B2E-49F1-8F73-2BD9624E4919}"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Hárok1!$B$5:$B$7</c:f>
              <c:strCache>
                <c:ptCount val="3"/>
                <c:pt idx="0">
                  <c:v>k 31.12.2016</c:v>
                </c:pt>
                <c:pt idx="1">
                  <c:v>k 31.12.2017</c:v>
                </c:pt>
                <c:pt idx="2">
                  <c:v>k 31.12.2018</c:v>
                </c:pt>
              </c:strCache>
            </c:strRef>
          </c:cat>
          <c:val>
            <c:numRef>
              <c:f>Hárok1!$E$5:$E$7</c:f>
              <c:numCache>
                <c:formatCode>#,##0</c:formatCode>
                <c:ptCount val="3"/>
                <c:pt idx="0">
                  <c:v>3227849823</c:v>
                </c:pt>
                <c:pt idx="1">
                  <c:v>5327464033</c:v>
                </c:pt>
                <c:pt idx="2">
                  <c:v>8404969604</c:v>
                </c:pt>
              </c:numCache>
            </c:numRef>
          </c:val>
          <c:extLst>
            <c:ext xmlns:c15="http://schemas.microsoft.com/office/drawing/2012/chart" uri="{02D57815-91ED-43cb-92C2-25804820EDAC}">
              <c15:datalabelsRange>
                <c15:f>Hárok1!$F$5:$F$7</c15:f>
                <c15:dlblRangeCache>
                  <c:ptCount val="3"/>
                  <c:pt idx="0">
                    <c:v>20,8%</c:v>
                  </c:pt>
                  <c:pt idx="1">
                    <c:v>34,4%</c:v>
                  </c:pt>
                  <c:pt idx="2">
                    <c:v>54,3%</c:v>
                  </c:pt>
                </c15:dlblRangeCache>
              </c15:datalabelsRange>
            </c:ext>
          </c:extLst>
        </c:ser>
        <c:ser>
          <c:idx val="4"/>
          <c:order val="4"/>
          <c:tx>
            <c:strRef>
              <c:f>Hárok1!$G$3:$G$4</c:f>
              <c:strCache>
                <c:ptCount val="2"/>
                <c:pt idx="0">
                  <c:v>Čerpanie</c:v>
                </c:pt>
                <c:pt idx="1">
                  <c:v>(eur)</c:v>
                </c:pt>
              </c:strCache>
            </c:strRef>
          </c:tx>
          <c:spPr>
            <a:solidFill>
              <a:srgbClr val="AAD3F2"/>
            </a:solidFill>
            <a:ln>
              <a:noFill/>
            </a:ln>
            <a:effectLst/>
          </c:spPr>
          <c:invertIfNegative val="0"/>
          <c:dLbls>
            <c:dLbl>
              <c:idx val="0"/>
              <c:tx>
                <c:rich>
                  <a:bodyPr/>
                  <a:lstStyle/>
                  <a:p>
                    <a:fld id="{621C2664-68FD-4511-A924-810345DB4406}"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tx>
                <c:rich>
                  <a:bodyPr/>
                  <a:lstStyle/>
                  <a:p>
                    <a:fld id="{4BE909B4-3CE7-4504-BED1-D5D94C8E28A9}"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803B9751-6B7B-49FE-AAE9-09D7DD3A810D}"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Hárok1!$B$5:$B$7</c:f>
              <c:strCache>
                <c:ptCount val="3"/>
                <c:pt idx="0">
                  <c:v>k 31.12.2016</c:v>
                </c:pt>
                <c:pt idx="1">
                  <c:v>k 31.12.2017</c:v>
                </c:pt>
                <c:pt idx="2">
                  <c:v>k 31.12.2018</c:v>
                </c:pt>
              </c:strCache>
            </c:strRef>
          </c:cat>
          <c:val>
            <c:numRef>
              <c:f>Hárok1!$G$5:$G$7</c:f>
              <c:numCache>
                <c:formatCode>#,##0</c:formatCode>
                <c:ptCount val="3"/>
                <c:pt idx="0">
                  <c:v>775058572</c:v>
                </c:pt>
                <c:pt idx="1">
                  <c:v>1747832597</c:v>
                </c:pt>
                <c:pt idx="2">
                  <c:v>3350848760</c:v>
                </c:pt>
              </c:numCache>
            </c:numRef>
          </c:val>
          <c:extLst>
            <c:ext xmlns:c15="http://schemas.microsoft.com/office/drawing/2012/chart" uri="{02D57815-91ED-43cb-92C2-25804820EDAC}">
              <c15:datalabelsRange>
                <c15:f>Hárok1!$H$5:$H$7</c15:f>
                <c15:dlblRangeCache>
                  <c:ptCount val="3"/>
                  <c:pt idx="0">
                    <c:v>5,0%</c:v>
                  </c:pt>
                  <c:pt idx="1">
                    <c:v>11,3%</c:v>
                  </c:pt>
                  <c:pt idx="2">
                    <c:v>21,7%</c:v>
                  </c:pt>
                </c15:dlblRangeCache>
              </c15:datalabelsRange>
            </c:ext>
          </c:extLst>
        </c:ser>
        <c:dLbls>
          <c:showLegendKey val="0"/>
          <c:showVal val="0"/>
          <c:showCatName val="0"/>
          <c:showSerName val="0"/>
          <c:showPercent val="0"/>
          <c:showBubbleSize val="0"/>
        </c:dLbls>
        <c:gapWidth val="219"/>
        <c:overlap val="-27"/>
        <c:axId val="479965560"/>
        <c:axId val="479965952"/>
        <c:extLst>
          <c:ext xmlns:c15="http://schemas.microsoft.com/office/drawing/2012/chart" uri="{02D57815-91ED-43cb-92C2-25804820EDAC}">
            <c15:filteredBarSeries>
              <c15:ser>
                <c:idx val="1"/>
                <c:order val="1"/>
                <c:tx>
                  <c:strRef>
                    <c:extLst>
                      <c:ext uri="{02D57815-91ED-43cb-92C2-25804820EDAC}">
                        <c15:formulaRef>
                          <c15:sqref>Hárok1!$D$3:$D$4</c15:sqref>
                        </c15:formulaRef>
                      </c:ext>
                    </c:extLst>
                    <c:strCache>
                      <c:ptCount val="2"/>
                      <c:pt idx="0">
                        <c:v>Výzvy/vyzvania</c:v>
                      </c:pt>
                      <c:pt idx="1">
                        <c:v>% z alokácie</c:v>
                      </c:pt>
                    </c:strCache>
                  </c:strRef>
                </c:tx>
                <c:spPr>
                  <a:solidFill>
                    <a:schemeClr val="accent2"/>
                  </a:solidFill>
                  <a:ln>
                    <a:noFill/>
                  </a:ln>
                  <a:effectLst/>
                </c:spPr>
                <c:invertIfNegative val="0"/>
                <c:cat>
                  <c:strRef>
                    <c:extLst>
                      <c:ext uri="{02D57815-91ED-43cb-92C2-25804820EDAC}">
                        <c15:formulaRef>
                          <c15:sqref>Hárok1!$B$5:$B$7</c15:sqref>
                        </c15:formulaRef>
                      </c:ext>
                    </c:extLst>
                    <c:strCache>
                      <c:ptCount val="3"/>
                      <c:pt idx="0">
                        <c:v>k 31.12.2016</c:v>
                      </c:pt>
                      <c:pt idx="1">
                        <c:v>k 31.12.2017</c:v>
                      </c:pt>
                      <c:pt idx="2">
                        <c:v>k 31.12.2018</c:v>
                      </c:pt>
                    </c:strCache>
                  </c:strRef>
                </c:cat>
                <c:val>
                  <c:numRef>
                    <c:extLst>
                      <c:ext uri="{02D57815-91ED-43cb-92C2-25804820EDAC}">
                        <c15:formulaRef>
                          <c15:sqref>Hárok1!$D$5:$D$7</c15:sqref>
                        </c15:formulaRef>
                      </c:ext>
                    </c:extLst>
                    <c:numCache>
                      <c:formatCode>0.0%</c:formatCode>
                      <c:ptCount val="3"/>
                      <c:pt idx="0">
                        <c:v>0.61699999999999999</c:v>
                      </c:pt>
                      <c:pt idx="1">
                        <c:v>0.78700000000000003</c:v>
                      </c:pt>
                      <c:pt idx="2">
                        <c:v>0.98699999999999999</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Hárok1!$F$3:$F$4</c15:sqref>
                        </c15:formulaRef>
                      </c:ext>
                    </c:extLst>
                    <c:strCache>
                      <c:ptCount val="2"/>
                      <c:pt idx="0">
                        <c:v>Kontrahovanie</c:v>
                      </c:pt>
                      <c:pt idx="1">
                        <c:v>% z alokácie</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Hárok1!$B$5:$B$7</c15:sqref>
                        </c15:formulaRef>
                      </c:ext>
                    </c:extLst>
                    <c:strCache>
                      <c:ptCount val="3"/>
                      <c:pt idx="0">
                        <c:v>k 31.12.2016</c:v>
                      </c:pt>
                      <c:pt idx="1">
                        <c:v>k 31.12.2017</c:v>
                      </c:pt>
                      <c:pt idx="2">
                        <c:v>k 31.12.2018</c:v>
                      </c:pt>
                    </c:strCache>
                  </c:strRef>
                </c:cat>
                <c:val>
                  <c:numRef>
                    <c:extLst xmlns:c15="http://schemas.microsoft.com/office/drawing/2012/chart">
                      <c:ext xmlns:c15="http://schemas.microsoft.com/office/drawing/2012/chart" uri="{02D57815-91ED-43cb-92C2-25804820EDAC}">
                        <c15:formulaRef>
                          <c15:sqref>Hárok1!$F$5:$F$7</c15:sqref>
                        </c15:formulaRef>
                      </c:ext>
                    </c:extLst>
                    <c:numCache>
                      <c:formatCode>0.0%</c:formatCode>
                      <c:ptCount val="3"/>
                      <c:pt idx="0">
                        <c:v>0.20799999999999999</c:v>
                      </c:pt>
                      <c:pt idx="1">
                        <c:v>0.34399999999999997</c:v>
                      </c:pt>
                      <c:pt idx="2">
                        <c:v>0.54300000000000004</c:v>
                      </c:pt>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Hárok1!$H$3:$H$4</c15:sqref>
                        </c15:formulaRef>
                      </c:ext>
                    </c:extLst>
                    <c:strCache>
                      <c:ptCount val="2"/>
                      <c:pt idx="0">
                        <c:v>Čerpanie</c:v>
                      </c:pt>
                      <c:pt idx="1">
                        <c:v>% z alokácie</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Hárok1!$B$5:$B$7</c15:sqref>
                        </c15:formulaRef>
                      </c:ext>
                    </c:extLst>
                    <c:strCache>
                      <c:ptCount val="3"/>
                      <c:pt idx="0">
                        <c:v>k 31.12.2016</c:v>
                      </c:pt>
                      <c:pt idx="1">
                        <c:v>k 31.12.2017</c:v>
                      </c:pt>
                      <c:pt idx="2">
                        <c:v>k 31.12.2018</c:v>
                      </c:pt>
                    </c:strCache>
                  </c:strRef>
                </c:cat>
                <c:val>
                  <c:numRef>
                    <c:extLst xmlns:c15="http://schemas.microsoft.com/office/drawing/2012/chart">
                      <c:ext xmlns:c15="http://schemas.microsoft.com/office/drawing/2012/chart" uri="{02D57815-91ED-43cb-92C2-25804820EDAC}">
                        <c15:formulaRef>
                          <c15:sqref>Hárok1!$H$5:$H$7</c15:sqref>
                        </c15:formulaRef>
                      </c:ext>
                    </c:extLst>
                    <c:numCache>
                      <c:formatCode>0.0%</c:formatCode>
                      <c:ptCount val="3"/>
                      <c:pt idx="0">
                        <c:v>0.05</c:v>
                      </c:pt>
                      <c:pt idx="1">
                        <c:v>0.113</c:v>
                      </c:pt>
                      <c:pt idx="2">
                        <c:v>0.217</c:v>
                      </c:pt>
                    </c:numCache>
                  </c:numRef>
                </c:val>
              </c15:ser>
            </c15:filteredBarSeries>
          </c:ext>
        </c:extLst>
      </c:barChart>
      <c:catAx>
        <c:axId val="479965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479965952"/>
        <c:crosses val="autoZero"/>
        <c:auto val="1"/>
        <c:lblAlgn val="ctr"/>
        <c:lblOffset val="100"/>
        <c:noMultiLvlLbl val="0"/>
      </c:catAx>
      <c:valAx>
        <c:axId val="479965952"/>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0"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479965560"/>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692E-2"/>
          <c:y val="8.5242482034935022E-2"/>
          <c:w val="0.89093095636884034"/>
          <c:h val="0.82106259115597957"/>
        </c:manualLayout>
      </c:layout>
      <c:barChart>
        <c:barDir val="col"/>
        <c:grouping val="stacked"/>
        <c:varyColors val="0"/>
        <c:ser>
          <c:idx val="5"/>
          <c:order val="0"/>
          <c:tx>
            <c:strRef>
              <c:f>'1 makro'!$A$23</c:f>
              <c:strCache>
                <c:ptCount val="1"/>
                <c:pt idx="0">
                  <c:v>Čistá inflácia</c:v>
                </c:pt>
              </c:strCache>
            </c:strRef>
          </c:tx>
          <c:spPr>
            <a:solidFill>
              <a:srgbClr val="2C9ADC"/>
            </a:solidFill>
            <a:ln>
              <a:noFill/>
            </a:ln>
          </c:spPr>
          <c:invertIfNegative val="0"/>
          <c:cat>
            <c:numRef>
              <c:f>'1 makro'!$Z$21:$BJ$21</c:f>
              <c:numCache>
                <c:formatCode>m/d/yyyy</c:formatCode>
                <c:ptCount val="37"/>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numCache>
            </c:numRef>
          </c:cat>
          <c:val>
            <c:numRef>
              <c:f>'1 makro'!$Z$23:$BJ$23</c:f>
              <c:numCache>
                <c:formatCode>0.0000</c:formatCode>
                <c:ptCount val="37"/>
                <c:pt idx="0">
                  <c:v>-1.8921923246588479E-2</c:v>
                </c:pt>
                <c:pt idx="1">
                  <c:v>0.13276580692705217</c:v>
                </c:pt>
                <c:pt idx="2">
                  <c:v>2.3666323377969669E-2</c:v>
                </c:pt>
                <c:pt idx="3">
                  <c:v>0.18898303840223252</c:v>
                </c:pt>
                <c:pt idx="4">
                  <c:v>5.6574443141852893E-2</c:v>
                </c:pt>
                <c:pt idx="5">
                  <c:v>6.5955191096779692E-2</c:v>
                </c:pt>
                <c:pt idx="6">
                  <c:v>-1.4142574547588434E-2</c:v>
                </c:pt>
                <c:pt idx="7">
                  <c:v>4.247440222972327E-2</c:v>
                </c:pt>
                <c:pt idx="8">
                  <c:v>0.28862298698433481</c:v>
                </c:pt>
                <c:pt idx="9">
                  <c:v>0.41130991917707349</c:v>
                </c:pt>
                <c:pt idx="10">
                  <c:v>0.34471686481726405</c:v>
                </c:pt>
                <c:pt idx="11">
                  <c:v>0.55877185752134739</c:v>
                </c:pt>
                <c:pt idx="12">
                  <c:v>0.79475293055152807</c:v>
                </c:pt>
                <c:pt idx="13" formatCode="General">
                  <c:v>0.90564868830290768</c:v>
                </c:pt>
                <c:pt idx="14" formatCode="General">
                  <c:v>0.93330399235373407</c:v>
                </c:pt>
                <c:pt idx="15" formatCode="General">
                  <c:v>0.74980343780115166</c:v>
                </c:pt>
                <c:pt idx="16" formatCode="General">
                  <c:v>0.83714254981204406</c:v>
                </c:pt>
                <c:pt idx="17" formatCode="General">
                  <c:v>0.7077296638540127</c:v>
                </c:pt>
                <c:pt idx="18" formatCode="General">
                  <c:v>0.86102342597311621</c:v>
                </c:pt>
                <c:pt idx="19" formatCode="General">
                  <c:v>0.94411024380681019</c:v>
                </c:pt>
                <c:pt idx="20" formatCode="General">
                  <c:v>0.93373592094421209</c:v>
                </c:pt>
                <c:pt idx="21" formatCode="General">
                  <c:v>0.87157923158845207</c:v>
                </c:pt>
                <c:pt idx="22" formatCode="General">
                  <c:v>1.0136362556044296</c:v>
                </c:pt>
                <c:pt idx="23" formatCode="General">
                  <c:v>0.95352335623043594</c:v>
                </c:pt>
                <c:pt idx="24" formatCode="General">
                  <c:v>1.0518705037406331</c:v>
                </c:pt>
                <c:pt idx="25" formatCode="General">
                  <c:v>1.1524610121688799</c:v>
                </c:pt>
                <c:pt idx="26" formatCode="General">
                  <c:v>1.2374527684336054</c:v>
                </c:pt>
                <c:pt idx="27" formatCode="General">
                  <c:v>1.6775275305184185</c:v>
                </c:pt>
                <c:pt idx="28" formatCode="General">
                  <c:v>1.5944329912315627</c:v>
                </c:pt>
                <c:pt idx="29" formatCode="General">
                  <c:v>1.719799655022604</c:v>
                </c:pt>
                <c:pt idx="30" formatCode="General">
                  <c:v>1.7331746450406906</c:v>
                </c:pt>
                <c:pt idx="31" formatCode="General">
                  <c:v>1.925771779541537</c:v>
                </c:pt>
                <c:pt idx="32" formatCode="General">
                  <c:v>1.7625910321499252</c:v>
                </c:pt>
                <c:pt idx="33" formatCode="General">
                  <c:v>1.7784646977774292</c:v>
                </c:pt>
                <c:pt idx="34" formatCode="General">
                  <c:v>1.5996549065469099</c:v>
                </c:pt>
                <c:pt idx="35" formatCode="General">
                  <c:v>1.2934939546388393</c:v>
                </c:pt>
              </c:numCache>
            </c:numRef>
          </c:val>
        </c:ser>
        <c:ser>
          <c:idx val="8"/>
          <c:order val="1"/>
          <c:tx>
            <c:strRef>
              <c:f>'1 makro'!$A$24</c:f>
              <c:strCache>
                <c:ptCount val="1"/>
                <c:pt idx="0">
                  <c:v>Ceny potravín</c:v>
                </c:pt>
              </c:strCache>
            </c:strRef>
          </c:tx>
          <c:spPr>
            <a:solidFill>
              <a:srgbClr val="5B9BD5">
                <a:lumMod val="40000"/>
                <a:lumOff val="60000"/>
              </a:srgbClr>
            </a:solidFill>
          </c:spPr>
          <c:invertIfNegative val="0"/>
          <c:cat>
            <c:numRef>
              <c:f>'1 makro'!$Z$21:$BJ$21</c:f>
              <c:numCache>
                <c:formatCode>m/d/yyyy</c:formatCode>
                <c:ptCount val="37"/>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numCache>
            </c:numRef>
          </c:cat>
          <c:val>
            <c:numRef>
              <c:f>'1 makro'!$Z$24:$BJ$24</c:f>
              <c:numCache>
                <c:formatCode>0.0000</c:formatCode>
                <c:ptCount val="37"/>
                <c:pt idx="0">
                  <c:v>-5.8764985995524585E-2</c:v>
                </c:pt>
                <c:pt idx="1">
                  <c:v>1.8370532580499935E-2</c:v>
                </c:pt>
                <c:pt idx="2">
                  <c:v>-2.026715917745495E-2</c:v>
                </c:pt>
                <c:pt idx="3">
                  <c:v>-9.7024973512938609E-2</c:v>
                </c:pt>
                <c:pt idx="4">
                  <c:v>-0.32110567646398863</c:v>
                </c:pt>
                <c:pt idx="5">
                  <c:v>-0.30492624664078866</c:v>
                </c:pt>
                <c:pt idx="6">
                  <c:v>-0.18501036700718967</c:v>
                </c:pt>
                <c:pt idx="7">
                  <c:v>-0.1694866473370982</c:v>
                </c:pt>
                <c:pt idx="8">
                  <c:v>-0.20121366478572283</c:v>
                </c:pt>
                <c:pt idx="9">
                  <c:v>-0.20116764504078435</c:v>
                </c:pt>
                <c:pt idx="10">
                  <c:v>-5.5980688175340756E-2</c:v>
                </c:pt>
                <c:pt idx="11">
                  <c:v>0.12915346534653641</c:v>
                </c:pt>
                <c:pt idx="12">
                  <c:v>0.26803517452203279</c:v>
                </c:pt>
                <c:pt idx="13" formatCode="General">
                  <c:v>0.47020378054317608</c:v>
                </c:pt>
                <c:pt idx="14" formatCode="General">
                  <c:v>0.38309964607795199</c:v>
                </c:pt>
                <c:pt idx="15" formatCode="General">
                  <c:v>0.39953044236381496</c:v>
                </c:pt>
                <c:pt idx="16" formatCode="General">
                  <c:v>0.60844694154050394</c:v>
                </c:pt>
                <c:pt idx="17" formatCode="General">
                  <c:v>0.62077633489305128</c:v>
                </c:pt>
                <c:pt idx="18" formatCode="General">
                  <c:v>0.73270191121319739</c:v>
                </c:pt>
                <c:pt idx="19" formatCode="General">
                  <c:v>0.78617736356261836</c:v>
                </c:pt>
                <c:pt idx="20" formatCode="General">
                  <c:v>0.89559407977641048</c:v>
                </c:pt>
                <c:pt idx="21" formatCode="General">
                  <c:v>1.0921889980670474</c:v>
                </c:pt>
                <c:pt idx="22" formatCode="General">
                  <c:v>1.1688788321207841</c:v>
                </c:pt>
                <c:pt idx="23" formatCode="General">
                  <c:v>1.1523599811095255</c:v>
                </c:pt>
                <c:pt idx="24" formatCode="General">
                  <c:v>1.1461724318253041</c:v>
                </c:pt>
                <c:pt idx="25" formatCode="General">
                  <c:v>0.76862165797722326</c:v>
                </c:pt>
                <c:pt idx="26" formatCode="General">
                  <c:v>0.94986656205941933</c:v>
                </c:pt>
                <c:pt idx="27" formatCode="General">
                  <c:v>0.95722445766196951</c:v>
                </c:pt>
                <c:pt idx="28" formatCode="General">
                  <c:v>0.80329679757795325</c:v>
                </c:pt>
                <c:pt idx="29" formatCode="General">
                  <c:v>0.83983909376731891</c:v>
                </c:pt>
                <c:pt idx="30" formatCode="General">
                  <c:v>0.61622246493220612</c:v>
                </c:pt>
                <c:pt idx="31" formatCode="General">
                  <c:v>0.62813556645890412</c:v>
                </c:pt>
                <c:pt idx="32" formatCode="General">
                  <c:v>0.64147071146714774</c:v>
                </c:pt>
                <c:pt idx="33" formatCode="General">
                  <c:v>0.40489728120688218</c:v>
                </c:pt>
                <c:pt idx="34" formatCode="General">
                  <c:v>0.17280403544677622</c:v>
                </c:pt>
                <c:pt idx="35" formatCode="General">
                  <c:v>0.16108770261414121</c:v>
                </c:pt>
              </c:numCache>
            </c:numRef>
          </c:val>
        </c:ser>
        <c:ser>
          <c:idx val="0"/>
          <c:order val="2"/>
          <c:tx>
            <c:strRef>
              <c:f>'1 makro'!$A$25</c:f>
              <c:strCache>
                <c:ptCount val="1"/>
                <c:pt idx="0">
                  <c:v>Regulované ceny</c:v>
                </c:pt>
              </c:strCache>
            </c:strRef>
          </c:tx>
          <c:spPr>
            <a:ln w="12700">
              <a:noFill/>
            </a:ln>
          </c:spPr>
          <c:invertIfNegative val="0"/>
          <c:cat>
            <c:numRef>
              <c:f>'1 makro'!$Z$21:$BJ$21</c:f>
              <c:numCache>
                <c:formatCode>m/d/yyyy</c:formatCode>
                <c:ptCount val="37"/>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numCache>
            </c:numRef>
          </c:cat>
          <c:val>
            <c:numRef>
              <c:f>'1 makro'!$Z$25:$BJ$25</c:f>
              <c:numCache>
                <c:formatCode>0.0000</c:formatCode>
                <c:ptCount val="37"/>
                <c:pt idx="0">
                  <c:v>-0.23382985942801682</c:v>
                </c:pt>
                <c:pt idx="1">
                  <c:v>-0.23043091959129361</c:v>
                </c:pt>
                <c:pt idx="2">
                  <c:v>-0.22539423309910328</c:v>
                </c:pt>
                <c:pt idx="3">
                  <c:v>-0.2153568659127616</c:v>
                </c:pt>
                <c:pt idx="4">
                  <c:v>-0.21450157499394235</c:v>
                </c:pt>
                <c:pt idx="5">
                  <c:v>-0.21780918157225304</c:v>
                </c:pt>
                <c:pt idx="6">
                  <c:v>-0.38197295005854043</c:v>
                </c:pt>
                <c:pt idx="7">
                  <c:v>-0.38603656617023901</c:v>
                </c:pt>
                <c:pt idx="8">
                  <c:v>-0.24939727918781862</c:v>
                </c:pt>
                <c:pt idx="9">
                  <c:v>-0.20127336932256551</c:v>
                </c:pt>
                <c:pt idx="10">
                  <c:v>-0.19873885867359209</c:v>
                </c:pt>
                <c:pt idx="11">
                  <c:v>-0.19788871301594999</c:v>
                </c:pt>
                <c:pt idx="12">
                  <c:v>-0.338428899638192</c:v>
                </c:pt>
                <c:pt idx="13" formatCode="General">
                  <c:v>-0.40380954722508922</c:v>
                </c:pt>
                <c:pt idx="14" formatCode="General">
                  <c:v>-0.45757528815727022</c:v>
                </c:pt>
                <c:pt idx="15" formatCode="General">
                  <c:v>-0.47313199191590832</c:v>
                </c:pt>
                <c:pt idx="16" formatCode="General">
                  <c:v>-0.47390257257185991</c:v>
                </c:pt>
                <c:pt idx="17" formatCode="General">
                  <c:v>-0.47222630074611233</c:v>
                </c:pt>
                <c:pt idx="18" formatCode="General">
                  <c:v>-0.29895783736762155</c:v>
                </c:pt>
                <c:pt idx="19" formatCode="General">
                  <c:v>-0.30059090273811456</c:v>
                </c:pt>
                <c:pt idx="20" formatCode="General">
                  <c:v>-0.29375405593061643</c:v>
                </c:pt>
                <c:pt idx="21" formatCode="General">
                  <c:v>-0.33369954331217649</c:v>
                </c:pt>
                <c:pt idx="22" formatCode="General">
                  <c:v>-0.3444612593077222</c:v>
                </c:pt>
                <c:pt idx="23" formatCode="General">
                  <c:v>-0.34443302940612125</c:v>
                </c:pt>
                <c:pt idx="24" formatCode="General">
                  <c:v>0.16047392040628458</c:v>
                </c:pt>
                <c:pt idx="25" formatCode="General">
                  <c:v>0.15118309197849902</c:v>
                </c:pt>
                <c:pt idx="26" formatCode="General">
                  <c:v>0.20026164306077371</c:v>
                </c:pt>
                <c:pt idx="27" formatCode="General">
                  <c:v>0.20575146684489415</c:v>
                </c:pt>
                <c:pt idx="28" formatCode="General">
                  <c:v>0.20728114784557641</c:v>
                </c:pt>
                <c:pt idx="29" formatCode="General">
                  <c:v>0.20493514895475731</c:v>
                </c:pt>
                <c:pt idx="30" formatCode="General">
                  <c:v>0.21096323158196464</c:v>
                </c:pt>
                <c:pt idx="31" formatCode="General">
                  <c:v>0.24031804494164261</c:v>
                </c:pt>
                <c:pt idx="32" formatCode="General">
                  <c:v>0.27716596724852882</c:v>
                </c:pt>
                <c:pt idx="33" formatCode="General">
                  <c:v>0.27924918651181274</c:v>
                </c:pt>
                <c:pt idx="34" formatCode="General">
                  <c:v>0.29324448560780308</c:v>
                </c:pt>
                <c:pt idx="35" formatCode="General">
                  <c:v>0.48072653660883624</c:v>
                </c:pt>
              </c:numCache>
            </c:numRef>
          </c:val>
        </c:ser>
        <c:ser>
          <c:idx val="2"/>
          <c:order val="4"/>
          <c:tx>
            <c:strRef>
              <c:f>'1 makro'!$A$26</c:f>
              <c:strCache>
                <c:ptCount val="1"/>
                <c:pt idx="0">
                  <c:v>Zmena nepriamych daní</c:v>
                </c:pt>
              </c:strCache>
            </c:strRef>
          </c:tx>
          <c:spPr>
            <a:solidFill>
              <a:sysClr val="window" lastClr="FFFFFF">
                <a:lumMod val="75000"/>
              </a:sysClr>
            </a:solidFill>
            <a:ln>
              <a:noFill/>
            </a:ln>
          </c:spPr>
          <c:invertIfNegative val="0"/>
          <c:cat>
            <c:numRef>
              <c:f>'1 makro'!$Z$21:$BJ$21</c:f>
              <c:numCache>
                <c:formatCode>m/d/yyyy</c:formatCode>
                <c:ptCount val="37"/>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numCache>
            </c:numRef>
          </c:cat>
          <c:val>
            <c:numRef>
              <c:f>'1 makro'!$Z$26:$AX$26</c:f>
              <c:numCache>
                <c:formatCode>0.0000</c:formatCode>
                <c:ptCount val="25"/>
                <c:pt idx="0">
                  <c:v>-0.32</c:v>
                </c:pt>
                <c:pt idx="1">
                  <c:v>-0.32</c:v>
                </c:pt>
                <c:pt idx="2">
                  <c:v>-0.32</c:v>
                </c:pt>
                <c:pt idx="3">
                  <c:v>-0.32</c:v>
                </c:pt>
                <c:pt idx="4">
                  <c:v>-0.32</c:v>
                </c:pt>
                <c:pt idx="5">
                  <c:v>-0.32</c:v>
                </c:pt>
                <c:pt idx="6">
                  <c:v>-0.32</c:v>
                </c:pt>
                <c:pt idx="7">
                  <c:v>-0.32</c:v>
                </c:pt>
                <c:pt idx="8">
                  <c:v>-0.32</c:v>
                </c:pt>
                <c:pt idx="9">
                  <c:v>-0.32</c:v>
                </c:pt>
                <c:pt idx="10">
                  <c:v>-0.32</c:v>
                </c:pt>
                <c:pt idx="11">
                  <c:v>-0.32</c:v>
                </c:pt>
                <c:pt idx="12">
                  <c:v>0</c:v>
                </c:pt>
                <c:pt idx="13" formatCode="General">
                  <c:v>0.1</c:v>
                </c:pt>
                <c:pt idx="14" formatCode="General">
                  <c:v>0.1</c:v>
                </c:pt>
                <c:pt idx="15" formatCode="General">
                  <c:v>0.1</c:v>
                </c:pt>
                <c:pt idx="16" formatCode="General">
                  <c:v>0.1</c:v>
                </c:pt>
                <c:pt idx="17" formatCode="General">
                  <c:v>0.1</c:v>
                </c:pt>
                <c:pt idx="18" formatCode="General">
                  <c:v>0.1</c:v>
                </c:pt>
                <c:pt idx="19" formatCode="General">
                  <c:v>0.1</c:v>
                </c:pt>
                <c:pt idx="20" formatCode="General">
                  <c:v>0.1</c:v>
                </c:pt>
                <c:pt idx="21" formatCode="General">
                  <c:v>0.1</c:v>
                </c:pt>
                <c:pt idx="22" formatCode="General">
                  <c:v>0.1</c:v>
                </c:pt>
                <c:pt idx="23" formatCode="General">
                  <c:v>0.1</c:v>
                </c:pt>
                <c:pt idx="24" formatCode="General">
                  <c:v>0.1</c:v>
                </c:pt>
              </c:numCache>
            </c:numRef>
          </c:val>
        </c:ser>
        <c:dLbls>
          <c:showLegendKey val="0"/>
          <c:showVal val="0"/>
          <c:showCatName val="0"/>
          <c:showSerName val="0"/>
          <c:showPercent val="0"/>
          <c:showBubbleSize val="0"/>
        </c:dLbls>
        <c:gapWidth val="150"/>
        <c:overlap val="100"/>
        <c:axId val="479529296"/>
        <c:axId val="479529688"/>
      </c:barChart>
      <c:lineChart>
        <c:grouping val="standard"/>
        <c:varyColors val="0"/>
        <c:ser>
          <c:idx val="1"/>
          <c:order val="3"/>
          <c:tx>
            <c:strRef>
              <c:f>'1 makro'!$A$22</c:f>
              <c:strCache>
                <c:ptCount val="1"/>
                <c:pt idx="0">
                  <c:v>Celková inflácia</c:v>
                </c:pt>
              </c:strCache>
            </c:strRef>
          </c:tx>
          <c:spPr>
            <a:ln w="12700">
              <a:solidFill>
                <a:sysClr val="windowText" lastClr="000000"/>
              </a:solidFill>
            </a:ln>
          </c:spPr>
          <c:marker>
            <c:symbol val="none"/>
          </c:marker>
          <c:cat>
            <c:numRef>
              <c:f>[1]Hárok1!$B$2:$AM$2</c:f>
              <c:numCache>
                <c:formatCode>General</c:formatCode>
                <c:ptCount val="3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numCache>
            </c:numRef>
          </c:cat>
          <c:val>
            <c:numRef>
              <c:f>'1 makro'!$Z$22:$BJ$22</c:f>
              <c:numCache>
                <c:formatCode>0.0000</c:formatCode>
                <c:ptCount val="37"/>
                <c:pt idx="0">
                  <c:v>-0.63151676867012996</c:v>
                </c:pt>
                <c:pt idx="1">
                  <c:v>-0.39929458008374152</c:v>
                </c:pt>
                <c:pt idx="2">
                  <c:v>-0.54199506889858862</c:v>
                </c:pt>
                <c:pt idx="3">
                  <c:v>-0.44339880102346768</c:v>
                </c:pt>
                <c:pt idx="4">
                  <c:v>-0.79903280831607804</c:v>
                </c:pt>
                <c:pt idx="5">
                  <c:v>-0.77678023711626198</c:v>
                </c:pt>
                <c:pt idx="6">
                  <c:v>-0.90112589161331846</c:v>
                </c:pt>
                <c:pt idx="7">
                  <c:v>-0.83304881127761399</c:v>
                </c:pt>
                <c:pt idx="8">
                  <c:v>-0.48198795698920666</c:v>
                </c:pt>
                <c:pt idx="9">
                  <c:v>-0.31113109518627635</c:v>
                </c:pt>
                <c:pt idx="10">
                  <c:v>-0.23000268203166879</c:v>
                </c:pt>
                <c:pt idx="11">
                  <c:v>0.17003660985193375</c:v>
                </c:pt>
                <c:pt idx="12">
                  <c:v>0.7243592054353688</c:v>
                </c:pt>
                <c:pt idx="13" formatCode="General">
                  <c:v>1.0720429216209946</c:v>
                </c:pt>
                <c:pt idx="14" formatCode="General">
                  <c:v>0.95882835027441571</c:v>
                </c:pt>
                <c:pt idx="15" formatCode="General">
                  <c:v>0.77620188824905834</c:v>
                </c:pt>
                <c:pt idx="16" formatCode="General">
                  <c:v>1.0716869187806881</c:v>
                </c:pt>
                <c:pt idx="17" formatCode="General">
                  <c:v>0.95627969800095169</c:v>
                </c:pt>
                <c:pt idx="18" formatCode="General">
                  <c:v>1.3947674998186921</c:v>
                </c:pt>
                <c:pt idx="19" formatCode="General">
                  <c:v>1.5296967046313141</c:v>
                </c:pt>
                <c:pt idx="20" formatCode="General">
                  <c:v>1.6355759447900062</c:v>
                </c:pt>
                <c:pt idx="21" formatCode="General">
                  <c:v>1.730068686343323</c:v>
                </c:pt>
                <c:pt idx="22" formatCode="General">
                  <c:v>1.9380538284174915</c:v>
                </c:pt>
                <c:pt idx="23" formatCode="General">
                  <c:v>1.8614503079338405</c:v>
                </c:pt>
                <c:pt idx="24" formatCode="General">
                  <c:v>2.4585168559722219</c:v>
                </c:pt>
                <c:pt idx="25" formatCode="General">
                  <c:v>2.0722657621246023</c:v>
                </c:pt>
                <c:pt idx="26" formatCode="General">
                  <c:v>2.3875809735537983</c:v>
                </c:pt>
                <c:pt idx="27" formatCode="General">
                  <c:v>2.8405034550252819</c:v>
                </c:pt>
                <c:pt idx="28" formatCode="General">
                  <c:v>2.6050109366550922</c:v>
                </c:pt>
                <c:pt idx="29" formatCode="General">
                  <c:v>2.7645738977446803</c:v>
                </c:pt>
                <c:pt idx="30" formatCode="General">
                  <c:v>2.5603603415548615</c:v>
                </c:pt>
                <c:pt idx="31" formatCode="General">
                  <c:v>2.794225390942084</c:v>
                </c:pt>
                <c:pt idx="32" formatCode="General">
                  <c:v>2.6812277108656017</c:v>
                </c:pt>
                <c:pt idx="33" formatCode="General">
                  <c:v>2.4626111654961242</c:v>
                </c:pt>
                <c:pt idx="34" formatCode="General">
                  <c:v>2.065703427601489</c:v>
                </c:pt>
                <c:pt idx="35" formatCode="General">
                  <c:v>1.9353081938618169</c:v>
                </c:pt>
              </c:numCache>
            </c:numRef>
          </c:val>
          <c:smooth val="0"/>
        </c:ser>
        <c:dLbls>
          <c:showLegendKey val="0"/>
          <c:showVal val="0"/>
          <c:showCatName val="0"/>
          <c:showSerName val="0"/>
          <c:showPercent val="0"/>
          <c:showBubbleSize val="0"/>
        </c:dLbls>
        <c:marker val="1"/>
        <c:smooth val="0"/>
        <c:axId val="479529296"/>
        <c:axId val="479529688"/>
      </c:lineChart>
      <c:dateAx>
        <c:axId val="479529296"/>
        <c:scaling>
          <c:orientation val="minMax"/>
        </c:scaling>
        <c:delete val="0"/>
        <c:axPos val="b"/>
        <c:numFmt formatCode="[$-41B]mmm\-yy;@" sourceLinked="0"/>
        <c:majorTickMark val="out"/>
        <c:minorTickMark val="none"/>
        <c:tickLblPos val="low"/>
        <c:txPr>
          <a:bodyPr/>
          <a:lstStyle/>
          <a:p>
            <a:pPr>
              <a:defRPr sz="800"/>
            </a:pPr>
            <a:endParaRPr lang="en-US"/>
          </a:p>
        </c:txPr>
        <c:crossAx val="479529688"/>
        <c:crosses val="autoZero"/>
        <c:auto val="0"/>
        <c:lblOffset val="100"/>
        <c:baseTimeUnit val="months"/>
      </c:dateAx>
      <c:valAx>
        <c:axId val="479529688"/>
        <c:scaling>
          <c:orientation val="minMax"/>
          <c:min val="-1"/>
        </c:scaling>
        <c:delete val="0"/>
        <c:axPos val="l"/>
        <c:majorGridlines>
          <c:spPr>
            <a:ln>
              <a:solidFill>
                <a:schemeClr val="bg1">
                  <a:lumMod val="75000"/>
                </a:schemeClr>
              </a:solidFill>
              <a:prstDash val="dash"/>
            </a:ln>
          </c:spPr>
        </c:majorGridlines>
        <c:numFmt formatCode="0.0" sourceLinked="0"/>
        <c:majorTickMark val="out"/>
        <c:minorTickMark val="none"/>
        <c:tickLblPos val="nextTo"/>
        <c:txPr>
          <a:bodyPr/>
          <a:lstStyle/>
          <a:p>
            <a:pPr>
              <a:defRPr sz="800"/>
            </a:pPr>
            <a:endParaRPr lang="en-US"/>
          </a:p>
        </c:txPr>
        <c:crossAx val="479529296"/>
        <c:crosses val="autoZero"/>
        <c:crossBetween val="between"/>
      </c:valAx>
    </c:plotArea>
    <c:legend>
      <c:legendPos val="r"/>
      <c:layout>
        <c:manualLayout>
          <c:xMode val="edge"/>
          <c:yMode val="edge"/>
          <c:x val="0.13667646021859206"/>
          <c:y val="3.8098017920173761E-2"/>
          <c:w val="0.58147451717789"/>
          <c:h val="0.33581591094216678"/>
        </c:manualLayout>
      </c:layout>
      <c:overlay val="0"/>
      <c:txPr>
        <a:bodyPr/>
        <a:lstStyle/>
        <a:p>
          <a:pPr>
            <a:defRPr sz="800"/>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577683887075091E-2"/>
          <c:y val="3.2840722495894911E-2"/>
          <c:w val="0.89797689922905977"/>
          <c:h val="0.82255045705493712"/>
        </c:manualLayout>
      </c:layout>
      <c:lineChart>
        <c:grouping val="standard"/>
        <c:varyColors val="0"/>
        <c:ser>
          <c:idx val="0"/>
          <c:order val="0"/>
          <c:tx>
            <c:strRef>
              <c:f>'Graf 46 '!$B$22</c:f>
              <c:strCache>
                <c:ptCount val="1"/>
                <c:pt idx="0">
                  <c:v>Daňová medzera podľa MFSR</c:v>
                </c:pt>
              </c:strCache>
            </c:strRef>
          </c:tx>
          <c:spPr>
            <a:ln w="19050" cap="rnd">
              <a:solidFill>
                <a:srgbClr val="2C9ADC"/>
              </a:solidFill>
              <a:round/>
            </a:ln>
            <a:effectLst/>
          </c:spPr>
          <c:marker>
            <c:symbol val="none"/>
          </c:marker>
          <c:dPt>
            <c:idx val="16"/>
            <c:marker>
              <c:symbol val="none"/>
            </c:marker>
            <c:bubble3D val="0"/>
            <c:spPr>
              <a:ln w="19050" cap="rnd">
                <a:solidFill>
                  <a:srgbClr val="2C9ADC"/>
                </a:solidFill>
                <a:round/>
              </a:ln>
              <a:effectLst/>
            </c:spPr>
            <c:extLst xmlns:c16r2="http://schemas.microsoft.com/office/drawing/2015/06/chart">
              <c:ext xmlns:c16="http://schemas.microsoft.com/office/drawing/2014/chart" uri="{C3380CC4-5D6E-409C-BE32-E72D297353CC}">
                <c16:uniqueId val="{00000001-F83B-4012-8D30-52965B7763B3}"/>
              </c:ext>
            </c:extLst>
          </c:dPt>
          <c:dLbls>
            <c:dLbl>
              <c:idx val="18"/>
              <c:layout>
                <c:manualLayout>
                  <c:x val="-3.6035908623231708E-2"/>
                  <c:y val="-9.20300206618675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852-44F2-AC62-58E7BFF3A9B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46 '!$C$21:$U$21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'Graf 46 '!$C$22:$U$22</c:f>
              <c:numCache>
                <c:formatCode>0.0</c:formatCode>
                <c:ptCount val="19"/>
                <c:pt idx="0">
                  <c:v>20.539006440035472</c:v>
                </c:pt>
                <c:pt idx="1">
                  <c:v>17.981154939472081</c:v>
                </c:pt>
                <c:pt idx="2">
                  <c:v>20.273398893987622</c:v>
                </c:pt>
                <c:pt idx="3">
                  <c:v>15.538242902431607</c:v>
                </c:pt>
                <c:pt idx="4">
                  <c:v>23.326946389646071</c:v>
                </c:pt>
                <c:pt idx="5">
                  <c:v>21.305748893528705</c:v>
                </c:pt>
                <c:pt idx="6">
                  <c:v>26.429308528507438</c:v>
                </c:pt>
                <c:pt idx="7">
                  <c:v>31.26735410746781</c:v>
                </c:pt>
                <c:pt idx="8">
                  <c:v>31.122782716720604</c:v>
                </c:pt>
                <c:pt idx="9">
                  <c:v>34.727321237247274</c:v>
                </c:pt>
                <c:pt idx="10">
                  <c:v>34.828664108815545</c:v>
                </c:pt>
                <c:pt idx="11">
                  <c:v>36.059935538041309</c:v>
                </c:pt>
                <c:pt idx="12">
                  <c:v>40.293510129677998</c:v>
                </c:pt>
                <c:pt idx="13">
                  <c:v>36.36325176533132</c:v>
                </c:pt>
                <c:pt idx="14">
                  <c:v>31.952172830368447</c:v>
                </c:pt>
                <c:pt idx="15">
                  <c:v>31.100818320796762</c:v>
                </c:pt>
                <c:pt idx="16">
                  <c:v>28.935185052644247</c:v>
                </c:pt>
                <c:pt idx="17">
                  <c:v>26.956310257893474</c:v>
                </c:pt>
                <c:pt idx="18">
                  <c:v>26.865608545812826</c:v>
                </c:pt>
              </c:numCache>
            </c:numRef>
          </c:val>
          <c:smooth val="0"/>
          <c:extLst xmlns:c16r2="http://schemas.microsoft.com/office/drawing/2015/06/chart">
            <c:ext xmlns:c16="http://schemas.microsoft.com/office/drawing/2014/chart" uri="{C3380CC4-5D6E-409C-BE32-E72D297353CC}">
              <c16:uniqueId val="{00000003-F83B-4012-8D30-52965B7763B3}"/>
            </c:ext>
          </c:extLst>
        </c:ser>
        <c:ser>
          <c:idx val="1"/>
          <c:order val="1"/>
          <c:tx>
            <c:strRef>
              <c:f>'Graf 46 '!$B$23</c:f>
              <c:strCache>
                <c:ptCount val="1"/>
                <c:pt idx="0">
                  <c:v>Daňová medzera podľa EK</c:v>
                </c:pt>
              </c:strCache>
            </c:strRef>
          </c:tx>
          <c:spPr>
            <a:ln w="19050" cap="rnd">
              <a:solidFill>
                <a:srgbClr val="002060"/>
              </a:solidFill>
              <a:round/>
            </a:ln>
            <a:effectLst/>
          </c:spPr>
          <c:marker>
            <c:symbol val="none"/>
          </c:marker>
          <c:dLbls>
            <c:dLbl>
              <c:idx val="16"/>
              <c:layout>
                <c:manualLayout>
                  <c:x val="-6.9451859604213143E-2"/>
                  <c:y val="8.68536133261229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83B-4012-8D30-52965B7763B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46 '!$C$21:$U$21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'Graf 46 '!$C$23:$U$23</c:f>
              <c:numCache>
                <c:formatCode>General</c:formatCode>
                <c:ptCount val="19"/>
                <c:pt idx="12" formatCode="0">
                  <c:v>36.688121708601521</c:v>
                </c:pt>
                <c:pt idx="13" formatCode="0">
                  <c:v>31.370543541788425</c:v>
                </c:pt>
                <c:pt idx="14" formatCode="0">
                  <c:v>30.601243953006218</c:v>
                </c:pt>
                <c:pt idx="15" formatCode="0">
                  <c:v>29.26670146137787</c:v>
                </c:pt>
                <c:pt idx="16" formatCode="0.0">
                  <c:v>25.671969281404277</c:v>
                </c:pt>
              </c:numCache>
            </c:numRef>
          </c:val>
          <c:smooth val="0"/>
          <c:extLst xmlns:c16r2="http://schemas.microsoft.com/office/drawing/2015/06/chart">
            <c:ext xmlns:c16="http://schemas.microsoft.com/office/drawing/2014/chart" uri="{C3380CC4-5D6E-409C-BE32-E72D297353CC}">
              <c16:uniqueId val="{00000005-F83B-4012-8D30-52965B7763B3}"/>
            </c:ext>
          </c:extLst>
        </c:ser>
        <c:dLbls>
          <c:showLegendKey val="0"/>
          <c:showVal val="0"/>
          <c:showCatName val="0"/>
          <c:showSerName val="0"/>
          <c:showPercent val="0"/>
          <c:showBubbleSize val="0"/>
        </c:dLbls>
        <c:smooth val="0"/>
        <c:axId val="479530080"/>
        <c:axId val="479530472"/>
      </c:lineChart>
      <c:catAx>
        <c:axId val="479530080"/>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479530472"/>
        <c:crosses val="autoZero"/>
        <c:auto val="1"/>
        <c:lblAlgn val="ctr"/>
        <c:lblOffset val="100"/>
        <c:noMultiLvlLbl val="0"/>
      </c:catAx>
      <c:valAx>
        <c:axId val="479530472"/>
        <c:scaling>
          <c:orientation val="minMax"/>
          <c:min val="15"/>
        </c:scaling>
        <c:delete val="0"/>
        <c:axPos val="l"/>
        <c:majorGridlines>
          <c:spPr>
            <a:ln w="6350" cap="flat" cmpd="sng" algn="ctr">
              <a:solidFill>
                <a:schemeClr val="tx1">
                  <a:lumMod val="15000"/>
                  <a:lumOff val="85000"/>
                </a:schemeClr>
              </a:solidFill>
              <a:prstDash val="sysDash"/>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479530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194036312471255E-2"/>
          <c:y val="3.3496646252551769E-2"/>
          <c:w val="0.89537423764058477"/>
          <c:h val="0.86055612613640675"/>
        </c:manualLayout>
      </c:layout>
      <c:barChart>
        <c:barDir val="col"/>
        <c:grouping val="clustered"/>
        <c:varyColors val="0"/>
        <c:ser>
          <c:idx val="2"/>
          <c:order val="0"/>
          <c:tx>
            <c:v>Medziročná zmena</c:v>
          </c:tx>
          <c:spPr>
            <a:solidFill>
              <a:srgbClr val="2C9ADC"/>
            </a:solidFill>
            <a:ln w="25400">
              <a:noFill/>
            </a:ln>
            <a:effectLst/>
          </c:spPr>
          <c:invertIfNegative val="0"/>
          <c:dPt>
            <c:idx val="23"/>
            <c:invertIfNegative val="0"/>
            <c:bubble3D val="0"/>
            <c:spPr>
              <a:solidFill>
                <a:srgbClr val="FF0000"/>
              </a:solidFill>
              <a:ln w="25400">
                <a:noFill/>
              </a:ln>
              <a:effectLst/>
            </c:spPr>
            <c:extLst xmlns:c16r2="http://schemas.microsoft.com/office/drawing/2015/06/chart">
              <c:ext xmlns:c16="http://schemas.microsoft.com/office/drawing/2014/chart" uri="{C3380CC4-5D6E-409C-BE32-E72D297353CC}">
                <c16:uniqueId val="{00000001-6A0B-471D-AC7F-0A16935DDF4C}"/>
              </c:ext>
            </c:extLst>
          </c:dPt>
          <c:dLbls>
            <c:dLbl>
              <c:idx val="23"/>
              <c:layout>
                <c:manualLayout>
                  <c:x val="-1.582591493570722E-2"/>
                  <c:y val="8.546909812377058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A0B-471D-AC7F-0A16935DDF4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46 '!$W$28:$W$55</c:f>
              <c:strCache>
                <c:ptCount val="28"/>
                <c:pt idx="0">
                  <c:v>RO</c:v>
                </c:pt>
                <c:pt idx="1">
                  <c:v>FI</c:v>
                </c:pt>
                <c:pt idx="2">
                  <c:v>UK</c:v>
                </c:pt>
                <c:pt idx="3">
                  <c:v>IE</c:v>
                </c:pt>
                <c:pt idx="4">
                  <c:v>EE</c:v>
                </c:pt>
                <c:pt idx="5">
                  <c:v>FR</c:v>
                </c:pt>
                <c:pt idx="6">
                  <c:v>EL</c:v>
                </c:pt>
                <c:pt idx="7">
                  <c:v>SI</c:v>
                </c:pt>
                <c:pt idx="8">
                  <c:v>IT</c:v>
                </c:pt>
                <c:pt idx="9">
                  <c:v>AT</c:v>
                </c:pt>
                <c:pt idx="10">
                  <c:v>MT</c:v>
                </c:pt>
                <c:pt idx="11">
                  <c:v>LT</c:v>
                </c:pt>
                <c:pt idx="12">
                  <c:v>DE</c:v>
                </c:pt>
                <c:pt idx="13">
                  <c:v>BE</c:v>
                </c:pt>
                <c:pt idx="14">
                  <c:v>ES</c:v>
                </c:pt>
                <c:pt idx="15">
                  <c:v>LU</c:v>
                </c:pt>
                <c:pt idx="16">
                  <c:v>HU</c:v>
                </c:pt>
                <c:pt idx="17">
                  <c:v>DK</c:v>
                </c:pt>
                <c:pt idx="18">
                  <c:v>SE</c:v>
                </c:pt>
                <c:pt idx="19">
                  <c:v>PT</c:v>
                </c:pt>
                <c:pt idx="20">
                  <c:v>CZ</c:v>
                </c:pt>
                <c:pt idx="21">
                  <c:v>HR</c:v>
                </c:pt>
                <c:pt idx="22">
                  <c:v>PL</c:v>
                </c:pt>
                <c:pt idx="23">
                  <c:v>SK</c:v>
                </c:pt>
                <c:pt idx="24">
                  <c:v>NL</c:v>
                </c:pt>
                <c:pt idx="25">
                  <c:v>CY</c:v>
                </c:pt>
                <c:pt idx="26">
                  <c:v>LV</c:v>
                </c:pt>
                <c:pt idx="27">
                  <c:v>BG</c:v>
                </c:pt>
              </c:strCache>
            </c:strRef>
          </c:cat>
          <c:val>
            <c:numRef>
              <c:f>'Graf 46 '!$X$28:$X$55</c:f>
              <c:numCache>
                <c:formatCode>General</c:formatCode>
                <c:ptCount val="28"/>
                <c:pt idx="0">
                  <c:v>1.4000000000000057</c:v>
                </c:pt>
                <c:pt idx="1">
                  <c:v>1.0900000000000007</c:v>
                </c:pt>
                <c:pt idx="2">
                  <c:v>0.63000000000000078</c:v>
                </c:pt>
                <c:pt idx="3">
                  <c:v>0.54000000000000092</c:v>
                </c:pt>
                <c:pt idx="4">
                  <c:v>0.45000000000000018</c:v>
                </c:pt>
                <c:pt idx="5">
                  <c:v>0.33999999999999986</c:v>
                </c:pt>
                <c:pt idx="6">
                  <c:v>-0.15000000000000213</c:v>
                </c:pt>
                <c:pt idx="7">
                  <c:v>-0.20000000000000107</c:v>
                </c:pt>
                <c:pt idx="8">
                  <c:v>-0.23000000000000043</c:v>
                </c:pt>
                <c:pt idx="9">
                  <c:v>-0.70000000000000018</c:v>
                </c:pt>
                <c:pt idx="10">
                  <c:v>-0.71</c:v>
                </c:pt>
                <c:pt idx="11">
                  <c:v>-1.0500000000000007</c:v>
                </c:pt>
                <c:pt idx="12">
                  <c:v>-1.0599999999999987</c:v>
                </c:pt>
                <c:pt idx="13">
                  <c:v>-1.0899999999999999</c:v>
                </c:pt>
                <c:pt idx="14">
                  <c:v>-1.3399999999999999</c:v>
                </c:pt>
                <c:pt idx="15">
                  <c:v>-1.4299999999999997</c:v>
                </c:pt>
                <c:pt idx="16">
                  <c:v>-2.0700000000000003</c:v>
                </c:pt>
                <c:pt idx="17">
                  <c:v>-2.1899999999999995</c:v>
                </c:pt>
                <c:pt idx="18">
                  <c:v>-2.4299999999999997</c:v>
                </c:pt>
                <c:pt idx="19">
                  <c:v>-2.7200000000000006</c:v>
                </c:pt>
                <c:pt idx="20">
                  <c:v>-2.7300000000000022</c:v>
                </c:pt>
                <c:pt idx="21">
                  <c:v>-3.07</c:v>
                </c:pt>
                <c:pt idx="22">
                  <c:v>-3.5</c:v>
                </c:pt>
                <c:pt idx="23">
                  <c:v>-3.59</c:v>
                </c:pt>
                <c:pt idx="24">
                  <c:v>-5.49</c:v>
                </c:pt>
                <c:pt idx="25">
                  <c:v>-5.5499999999999989</c:v>
                </c:pt>
                <c:pt idx="26">
                  <c:v>-5.9000000000000021</c:v>
                </c:pt>
                <c:pt idx="27">
                  <c:v>-7.1100000000000012</c:v>
                </c:pt>
              </c:numCache>
            </c:numRef>
          </c:val>
          <c:extLst xmlns:c16r2="http://schemas.microsoft.com/office/drawing/2015/06/chart">
            <c:ext xmlns:c16="http://schemas.microsoft.com/office/drawing/2014/chart" uri="{C3380CC4-5D6E-409C-BE32-E72D297353CC}">
              <c16:uniqueId val="{00000002-6A0B-471D-AC7F-0A16935DDF4C}"/>
            </c:ext>
          </c:extLst>
        </c:ser>
        <c:dLbls>
          <c:showLegendKey val="0"/>
          <c:showVal val="0"/>
          <c:showCatName val="0"/>
          <c:showSerName val="0"/>
          <c:showPercent val="0"/>
          <c:showBubbleSize val="0"/>
        </c:dLbls>
        <c:gapWidth val="89"/>
        <c:axId val="479531256"/>
        <c:axId val="479531648"/>
      </c:barChart>
      <c:catAx>
        <c:axId val="479531256"/>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5400000" spcFirstLastPara="1" vertOverflow="ellipsis" wrap="square" anchor="ctr" anchorCtr="1"/>
          <a:lstStyle/>
          <a:p>
            <a:pPr>
              <a:defRPr sz="750" b="0" i="0" u="none" strike="noStrike" kern="1200" baseline="0">
                <a:solidFill>
                  <a:schemeClr val="tx1"/>
                </a:solidFill>
                <a:latin typeface="Arial Narrow" panose="020B0606020202030204" pitchFamily="34" charset="0"/>
                <a:ea typeface="+mn-ea"/>
                <a:cs typeface="+mn-cs"/>
              </a:defRPr>
            </a:pPr>
            <a:endParaRPr lang="en-US"/>
          </a:p>
        </c:txPr>
        <c:crossAx val="479531648"/>
        <c:crosses val="autoZero"/>
        <c:auto val="1"/>
        <c:lblAlgn val="ctr"/>
        <c:lblOffset val="100"/>
        <c:tickLblSkip val="1"/>
        <c:noMultiLvlLbl val="0"/>
      </c:catAx>
      <c:valAx>
        <c:axId val="479531648"/>
        <c:scaling>
          <c:orientation val="minMax"/>
          <c:min val="-7"/>
        </c:scaling>
        <c:delete val="0"/>
        <c:axPos val="l"/>
        <c:majorGridlines>
          <c:spPr>
            <a:ln w="9525" cap="flat" cmpd="sng" algn="ctr">
              <a:solidFill>
                <a:schemeClr val="tx1">
                  <a:lumMod val="15000"/>
                  <a:lumOff val="85000"/>
                </a:schemeClr>
              </a:solidFill>
              <a:prstDash val="sysDot"/>
              <a:round/>
            </a:ln>
            <a:effectLst/>
          </c:spPr>
        </c:majorGridlines>
        <c:numFmt formatCode="0.0" sourceLinked="0"/>
        <c:majorTickMark val="out"/>
        <c:minorTickMark val="none"/>
        <c:tickLblPos val="low"/>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479531256"/>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chemeClr val="tx1"/>
          </a:solidFill>
          <a:latin typeface="Arial Narrow" panose="020B0606020202030204" pitchFamily="34"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209341887819573E-2"/>
          <c:y val="2.452485858040308E-2"/>
          <c:w val="0.91336930105958991"/>
          <c:h val="0.60412784142054443"/>
        </c:manualLayout>
      </c:layout>
      <c:barChart>
        <c:barDir val="col"/>
        <c:grouping val="clustered"/>
        <c:varyColors val="0"/>
        <c:ser>
          <c:idx val="0"/>
          <c:order val="0"/>
          <c:tx>
            <c:strRef>
              <c:f>'42 vzdelávanie'!$C$1</c:f>
              <c:strCache>
                <c:ptCount val="1"/>
                <c:pt idx="0">
                  <c:v>Slovensko</c:v>
                </c:pt>
              </c:strCache>
            </c:strRef>
          </c:tx>
          <c:spPr>
            <a:solidFill>
              <a:srgbClr val="2C9ADC"/>
            </a:solidFill>
          </c:spPr>
          <c:invertIfNegative val="0"/>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'42 vzdelávanie'!$A$2:$B$5</c:f>
              <c:multiLvlStrCache>
                <c:ptCount val="4"/>
                <c:lvl>
                  <c:pt idx="0">
                    <c:v>Primárne a sekundárne</c:v>
                  </c:pt>
                  <c:pt idx="1">
                    <c:v>Terciárne</c:v>
                  </c:pt>
                  <c:pt idx="2">
                    <c:v>Primárne a sekundárne</c:v>
                  </c:pt>
                  <c:pt idx="3">
                    <c:v>Terciárne</c:v>
                  </c:pt>
                </c:lvl>
                <c:lvl>
                  <c:pt idx="0">
                    <c:v>% celkových výdavkov</c:v>
                  </c:pt>
                  <c:pt idx="2">
                    <c:v>% HDP</c:v>
                  </c:pt>
                </c:lvl>
              </c:multiLvlStrCache>
            </c:multiLvlStrRef>
          </c:cat>
          <c:val>
            <c:numRef>
              <c:f>'42 vzdelávanie'!$C$2:$C$5</c:f>
              <c:numCache>
                <c:formatCode>0.0</c:formatCode>
                <c:ptCount val="4"/>
                <c:pt idx="0">
                  <c:v>6</c:v>
                </c:pt>
                <c:pt idx="1">
                  <c:v>3.1</c:v>
                </c:pt>
                <c:pt idx="2">
                  <c:v>2.7</c:v>
                </c:pt>
                <c:pt idx="3">
                  <c:v>1.4</c:v>
                </c:pt>
              </c:numCache>
            </c:numRef>
          </c:val>
        </c:ser>
        <c:ser>
          <c:idx val="2"/>
          <c:order val="1"/>
          <c:tx>
            <c:strRef>
              <c:f>'42 vzdelávanie'!$D$1</c:f>
              <c:strCache>
                <c:ptCount val="1"/>
                <c:pt idx="0">
                  <c:v>OECD</c:v>
                </c:pt>
              </c:strCache>
            </c:strRef>
          </c:tx>
          <c:spPr>
            <a:solidFill>
              <a:schemeClr val="tx2">
                <a:lumMod val="20000"/>
                <a:lumOff val="80000"/>
              </a:schemeClr>
            </a:solidFill>
          </c:spPr>
          <c:invertIfNegative val="0"/>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'42 vzdelávanie'!$A$2:$B$5</c:f>
              <c:multiLvlStrCache>
                <c:ptCount val="4"/>
                <c:lvl>
                  <c:pt idx="0">
                    <c:v>Primárne a sekundárne</c:v>
                  </c:pt>
                  <c:pt idx="1">
                    <c:v>Terciárne</c:v>
                  </c:pt>
                  <c:pt idx="2">
                    <c:v>Primárne a sekundárne</c:v>
                  </c:pt>
                  <c:pt idx="3">
                    <c:v>Terciárne</c:v>
                  </c:pt>
                </c:lvl>
                <c:lvl>
                  <c:pt idx="0">
                    <c:v>% celkových výdavkov</c:v>
                  </c:pt>
                  <c:pt idx="2">
                    <c:v>% HDP</c:v>
                  </c:pt>
                </c:lvl>
              </c:multiLvlStrCache>
            </c:multiLvlStrRef>
          </c:cat>
          <c:val>
            <c:numRef>
              <c:f>'42 vzdelávanie'!$D$2:$D$5</c:f>
              <c:numCache>
                <c:formatCode>0.0</c:formatCode>
                <c:ptCount val="4"/>
                <c:pt idx="0">
                  <c:v>8.1</c:v>
                </c:pt>
                <c:pt idx="1">
                  <c:v>3</c:v>
                </c:pt>
                <c:pt idx="2">
                  <c:v>3.3</c:v>
                </c:pt>
                <c:pt idx="3">
                  <c:v>1.2</c:v>
                </c:pt>
              </c:numCache>
            </c:numRef>
          </c:val>
        </c:ser>
        <c:dLbls>
          <c:dLblPos val="inEnd"/>
          <c:showLegendKey val="0"/>
          <c:showVal val="1"/>
          <c:showCatName val="0"/>
          <c:showSerName val="0"/>
          <c:showPercent val="0"/>
          <c:showBubbleSize val="0"/>
        </c:dLbls>
        <c:gapWidth val="150"/>
        <c:axId val="479532432"/>
        <c:axId val="479532824"/>
      </c:barChart>
      <c:catAx>
        <c:axId val="479532432"/>
        <c:scaling>
          <c:orientation val="minMax"/>
        </c:scaling>
        <c:delete val="0"/>
        <c:axPos val="b"/>
        <c:numFmt formatCode="General" sourceLinked="1"/>
        <c:majorTickMark val="out"/>
        <c:minorTickMark val="none"/>
        <c:tickLblPos val="nextTo"/>
        <c:txPr>
          <a:bodyPr/>
          <a:lstStyle/>
          <a:p>
            <a:pPr>
              <a:defRPr sz="900"/>
            </a:pPr>
            <a:endParaRPr lang="en-US"/>
          </a:p>
        </c:txPr>
        <c:crossAx val="479532824"/>
        <c:crosses val="autoZero"/>
        <c:auto val="1"/>
        <c:lblAlgn val="ctr"/>
        <c:lblOffset val="100"/>
        <c:noMultiLvlLbl val="0"/>
      </c:catAx>
      <c:valAx>
        <c:axId val="479532824"/>
        <c:scaling>
          <c:orientation val="minMax"/>
        </c:scaling>
        <c:delete val="0"/>
        <c:axPos val="l"/>
        <c:majorGridlines>
          <c:spPr>
            <a:ln>
              <a:solidFill>
                <a:sysClr val="window" lastClr="FFFFFF">
                  <a:lumMod val="65000"/>
                </a:sysClr>
              </a:solidFill>
              <a:prstDash val="sysDash"/>
            </a:ln>
          </c:spPr>
        </c:majorGridlines>
        <c:numFmt formatCode="0.0" sourceLinked="0"/>
        <c:majorTickMark val="out"/>
        <c:minorTickMark val="none"/>
        <c:tickLblPos val="nextTo"/>
        <c:spPr>
          <a:noFill/>
          <a:ln>
            <a:solidFill>
              <a:sysClr val="windowText" lastClr="000000">
                <a:lumMod val="50000"/>
                <a:lumOff val="50000"/>
              </a:sysClr>
            </a:solidFill>
            <a:prstDash val="solid"/>
          </a:ln>
        </c:spPr>
        <c:txPr>
          <a:bodyPr/>
          <a:lstStyle/>
          <a:p>
            <a:pPr>
              <a:defRPr sz="800"/>
            </a:pPr>
            <a:endParaRPr lang="en-US"/>
          </a:p>
        </c:txPr>
        <c:crossAx val="479532432"/>
        <c:crosses val="autoZero"/>
        <c:crossBetween val="between"/>
      </c:valAx>
    </c:plotArea>
    <c:legend>
      <c:legendPos val="r"/>
      <c:layout>
        <c:manualLayout>
          <c:xMode val="edge"/>
          <c:yMode val="edge"/>
          <c:x val="0.47664697668212169"/>
          <c:y val="2.4298219136734078E-2"/>
          <c:w val="0.47664357927481316"/>
          <c:h val="8.8228601774972673E-2"/>
        </c:manualLayout>
      </c:layout>
      <c:overlay val="0"/>
      <c:txPr>
        <a:bodyPr/>
        <a:lstStyle/>
        <a:p>
          <a:pPr>
            <a:defRPr sz="900"/>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417436997626964E-2"/>
          <c:y val="5.5989236111111111E-2"/>
          <c:w val="0.88238058899025285"/>
          <c:h val="0.86336284722222201"/>
        </c:manualLayout>
      </c:layout>
      <c:barChart>
        <c:barDir val="col"/>
        <c:grouping val="clustered"/>
        <c:varyColors val="0"/>
        <c:ser>
          <c:idx val="0"/>
          <c:order val="0"/>
          <c:tx>
            <c:strRef>
              <c:f>'42 vzdelávanie'!$B$18</c:f>
              <c:strCache>
                <c:ptCount val="1"/>
                <c:pt idx="0">
                  <c:v>Teachers' actual salaries relative to earnings for tertiary-educated workers</c:v>
                </c:pt>
              </c:strCache>
            </c:strRef>
          </c:tx>
          <c:spPr>
            <a:solidFill>
              <a:srgbClr val="AAD3F2"/>
            </a:solidFill>
          </c:spPr>
          <c:invertIfNegative val="0"/>
          <c:dPt>
            <c:idx val="10"/>
            <c:invertIfNegative val="0"/>
            <c:bubble3D val="0"/>
            <c:spPr>
              <a:solidFill>
                <a:sysClr val="windowText" lastClr="000000"/>
              </a:solidFill>
            </c:spPr>
          </c:dPt>
          <c:dPt>
            <c:idx val="13"/>
            <c:invertIfNegative val="0"/>
            <c:bubble3D val="0"/>
          </c:dPt>
          <c:dPt>
            <c:idx val="15"/>
            <c:invertIfNegative val="0"/>
            <c:bubble3D val="0"/>
          </c:dPt>
          <c:dPt>
            <c:idx val="25"/>
            <c:invertIfNegative val="0"/>
            <c:bubble3D val="0"/>
          </c:dPt>
          <c:dPt>
            <c:idx val="27"/>
            <c:invertIfNegative val="0"/>
            <c:bubble3D val="0"/>
            <c:spPr>
              <a:solidFill>
                <a:srgbClr val="2C9ADC"/>
              </a:solidFill>
            </c:spPr>
          </c:dPt>
          <c:cat>
            <c:strRef>
              <c:f>'42 vzdelávanie'!$A$19:$A$47</c:f>
              <c:strCache>
                <c:ptCount val="29"/>
                <c:pt idx="0">
                  <c:v>LU</c:v>
                </c:pt>
                <c:pt idx="1">
                  <c:v>PT</c:v>
                </c:pt>
                <c:pt idx="2">
                  <c:v>GR</c:v>
                </c:pt>
                <c:pt idx="3">
                  <c:v>DE</c:v>
                </c:pt>
                <c:pt idx="4">
                  <c:v>FI</c:v>
                </c:pt>
                <c:pt idx="5">
                  <c:v>LV</c:v>
                </c:pt>
                <c:pt idx="6">
                  <c:v>IL</c:v>
                </c:pt>
                <c:pt idx="7">
                  <c:v>AU</c:v>
                </c:pt>
                <c:pt idx="8">
                  <c:v>NL</c:v>
                </c:pt>
                <c:pt idx="9">
                  <c:v>EE</c:v>
                </c:pt>
                <c:pt idx="10">
                  <c:v>OECD</c:v>
                </c:pt>
                <c:pt idx="11">
                  <c:v>UK (Eng.)</c:v>
                </c:pt>
                <c:pt idx="12">
                  <c:v>AT</c:v>
                </c:pt>
                <c:pt idx="13">
                  <c:v>SI</c:v>
                </c:pt>
                <c:pt idx="14">
                  <c:v>SE</c:v>
                </c:pt>
                <c:pt idx="15">
                  <c:v>FR</c:v>
                </c:pt>
                <c:pt idx="16">
                  <c:v>NZ</c:v>
                </c:pt>
                <c:pt idx="17">
                  <c:v>BE (Fl.)</c:v>
                </c:pt>
                <c:pt idx="18">
                  <c:v>UK (Šk.)</c:v>
                </c:pt>
                <c:pt idx="19">
                  <c:v>DK</c:v>
                </c:pt>
                <c:pt idx="20">
                  <c:v>CL</c:v>
                </c:pt>
                <c:pt idx="21">
                  <c:v>BE (Fr.)</c:v>
                </c:pt>
                <c:pt idx="22">
                  <c:v>PL</c:v>
                </c:pt>
                <c:pt idx="23">
                  <c:v>NO</c:v>
                </c:pt>
                <c:pt idx="24">
                  <c:v>HU</c:v>
                </c:pt>
                <c:pt idx="25">
                  <c:v>IT</c:v>
                </c:pt>
                <c:pt idx="26">
                  <c:v>US</c:v>
                </c:pt>
                <c:pt idx="27">
                  <c:v>SK</c:v>
                </c:pt>
                <c:pt idx="28">
                  <c:v>CZ</c:v>
                </c:pt>
              </c:strCache>
            </c:strRef>
          </c:cat>
          <c:val>
            <c:numRef>
              <c:f>'42 vzdelávanie'!$B$19:$B$47</c:f>
              <c:numCache>
                <c:formatCode>_(* #,##0.00_);_(* \(#,##0.00\);_(* "-"??_);_(@_)</c:formatCode>
                <c:ptCount val="29"/>
                <c:pt idx="0">
                  <c:v>2.0177017665055006</c:v>
                </c:pt>
                <c:pt idx="1">
                  <c:v>1.3534201374908943</c:v>
                </c:pt>
                <c:pt idx="2">
                  <c:v>1.1473679899954954</c:v>
                </c:pt>
                <c:pt idx="3">
                  <c:v>0.99226145636069751</c:v>
                </c:pt>
                <c:pt idx="4">
                  <c:v>0.98610509890851117</c:v>
                </c:pt>
                <c:pt idx="5">
                  <c:v>0.96769049106706684</c:v>
                </c:pt>
                <c:pt idx="6">
                  <c:v>0.95268715363438017</c:v>
                </c:pt>
                <c:pt idx="7">
                  <c:v>0.93322271242867127</c:v>
                </c:pt>
                <c:pt idx="8">
                  <c:v>0.91773261336263923</c:v>
                </c:pt>
                <c:pt idx="9">
                  <c:v>0.91449711302423675</c:v>
                </c:pt>
                <c:pt idx="10">
                  <c:v>0.90874700061971514</c:v>
                </c:pt>
                <c:pt idx="11">
                  <c:v>0.89934618701665836</c:v>
                </c:pt>
                <c:pt idx="12">
                  <c:v>0.89505090316235258</c:v>
                </c:pt>
                <c:pt idx="13">
                  <c:v>0.8882792667543874</c:v>
                </c:pt>
                <c:pt idx="14">
                  <c:v>0.88580622624932515</c:v>
                </c:pt>
                <c:pt idx="15">
                  <c:v>0.88463211229664829</c:v>
                </c:pt>
                <c:pt idx="16">
                  <c:v>0.86779055588856213</c:v>
                </c:pt>
                <c:pt idx="17">
                  <c:v>0.85585038710640449</c:v>
                </c:pt>
                <c:pt idx="18">
                  <c:v>0.82648783337153509</c:v>
                </c:pt>
                <c:pt idx="19">
                  <c:v>0.82645124516827162</c:v>
                </c:pt>
                <c:pt idx="20">
                  <c:v>0.81918768685985544</c:v>
                </c:pt>
                <c:pt idx="21">
                  <c:v>0.81802949679840453</c:v>
                </c:pt>
                <c:pt idx="22">
                  <c:v>0.81638395976351175</c:v>
                </c:pt>
                <c:pt idx="23">
                  <c:v>0.75183922404806247</c:v>
                </c:pt>
                <c:pt idx="24">
                  <c:v>0.69811649184755997</c:v>
                </c:pt>
                <c:pt idx="25">
                  <c:v>0.68819902519069365</c:v>
                </c:pt>
                <c:pt idx="26">
                  <c:v>0.65495271605252725</c:v>
                </c:pt>
                <c:pt idx="27">
                  <c:v>0.63636788053190074</c:v>
                </c:pt>
                <c:pt idx="28">
                  <c:v>0.61142627722411536</c:v>
                </c:pt>
              </c:numCache>
            </c:numRef>
          </c:val>
        </c:ser>
        <c:dLbls>
          <c:showLegendKey val="0"/>
          <c:showVal val="0"/>
          <c:showCatName val="0"/>
          <c:showSerName val="0"/>
          <c:showPercent val="0"/>
          <c:showBubbleSize val="0"/>
        </c:dLbls>
        <c:gapWidth val="150"/>
        <c:axId val="479515504"/>
        <c:axId val="479515896"/>
      </c:barChart>
      <c:catAx>
        <c:axId val="479515504"/>
        <c:scaling>
          <c:orientation val="minMax"/>
        </c:scaling>
        <c:delete val="0"/>
        <c:axPos val="b"/>
        <c:numFmt formatCode="General" sourceLinked="1"/>
        <c:majorTickMark val="out"/>
        <c:minorTickMark val="none"/>
        <c:tickLblPos val="nextTo"/>
        <c:crossAx val="479515896"/>
        <c:crosses val="autoZero"/>
        <c:auto val="1"/>
        <c:lblAlgn val="ctr"/>
        <c:lblOffset val="100"/>
        <c:tickLblSkip val="1"/>
        <c:noMultiLvlLbl val="0"/>
      </c:catAx>
      <c:valAx>
        <c:axId val="479515896"/>
        <c:scaling>
          <c:orientation val="minMax"/>
          <c:max val="2.1"/>
          <c:min val="0"/>
        </c:scaling>
        <c:delete val="0"/>
        <c:axPos val="l"/>
        <c:majorGridlines>
          <c:spPr>
            <a:ln>
              <a:solidFill>
                <a:schemeClr val="bg1">
                  <a:lumMod val="75000"/>
                </a:schemeClr>
              </a:solidFill>
              <a:prstDash val="sysDash"/>
            </a:ln>
          </c:spPr>
        </c:majorGridlines>
        <c:numFmt formatCode="0.0" sourceLinked="0"/>
        <c:majorTickMark val="out"/>
        <c:minorTickMark val="none"/>
        <c:tickLblPos val="nextTo"/>
        <c:crossAx val="479515504"/>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4.7656077473074487E-2"/>
          <c:w val="0.91819511922711794"/>
          <c:h val="0.84421793827495706"/>
        </c:manualLayout>
      </c:layout>
      <c:lineChart>
        <c:grouping val="standard"/>
        <c:varyColors val="0"/>
        <c:ser>
          <c:idx val="3"/>
          <c:order val="0"/>
          <c:tx>
            <c:v>Výdavky na výskum a vývoj (% HDP)</c:v>
          </c:tx>
          <c:spPr>
            <a:ln w="19050">
              <a:solidFill>
                <a:srgbClr val="2C9ADC"/>
              </a:solidFill>
              <a:prstDash val="solid"/>
            </a:ln>
          </c:spPr>
          <c:marker>
            <c:symbol val="none"/>
          </c:marker>
          <c:cat>
            <c:strRef>
              <c:f>'42_vzdelávanie'!$B$52:$J$52</c:f>
              <c:strCache>
                <c:ptCount val="9"/>
                <c:pt idx="0">
                  <c:v>2009</c:v>
                </c:pt>
                <c:pt idx="1">
                  <c:v>2010</c:v>
                </c:pt>
                <c:pt idx="2">
                  <c:v>2011</c:v>
                </c:pt>
                <c:pt idx="3">
                  <c:v>2012</c:v>
                </c:pt>
                <c:pt idx="4">
                  <c:v>2013</c:v>
                </c:pt>
                <c:pt idx="5">
                  <c:v>2014</c:v>
                </c:pt>
                <c:pt idx="6">
                  <c:v>2015</c:v>
                </c:pt>
                <c:pt idx="7">
                  <c:v>2016</c:v>
                </c:pt>
                <c:pt idx="8">
                  <c:v>2017</c:v>
                </c:pt>
              </c:strCache>
            </c:strRef>
          </c:cat>
          <c:val>
            <c:numRef>
              <c:f>'42_vzdelávanie'!$B$58:$J$58</c:f>
              <c:numCache>
                <c:formatCode>0%</c:formatCode>
                <c:ptCount val="9"/>
                <c:pt idx="0">
                  <c:v>0.45631067961165045</c:v>
                </c:pt>
                <c:pt idx="1">
                  <c:v>0.58125000000000004</c:v>
                </c:pt>
                <c:pt idx="2">
                  <c:v>0.56571428571428573</c:v>
                </c:pt>
                <c:pt idx="3">
                  <c:v>0.61068702290076349</c:v>
                </c:pt>
                <c:pt idx="4">
                  <c:v>0.58992805755395683</c:v>
                </c:pt>
                <c:pt idx="5">
                  <c:v>0.61538461538461542</c:v>
                </c:pt>
                <c:pt idx="6">
                  <c:v>0.81818181818181812</c:v>
                </c:pt>
                <c:pt idx="7">
                  <c:v>0.6171875</c:v>
                </c:pt>
                <c:pt idx="8">
                  <c:v>0.63309352517985618</c:v>
                </c:pt>
              </c:numCache>
            </c:numRef>
          </c:val>
          <c:smooth val="0"/>
        </c:ser>
        <c:ser>
          <c:idx val="0"/>
          <c:order val="1"/>
          <c:tx>
            <c:v>Výskumníci (podiel zamestnaných))</c:v>
          </c:tx>
          <c:spPr>
            <a:ln w="19050">
              <a:solidFill>
                <a:srgbClr val="002060"/>
              </a:solidFill>
            </a:ln>
          </c:spPr>
          <c:marker>
            <c:symbol val="none"/>
          </c:marker>
          <c:cat>
            <c:strRef>
              <c:f>'42_vzdelávanie'!$B$52:$J$52</c:f>
              <c:strCache>
                <c:ptCount val="9"/>
                <c:pt idx="0">
                  <c:v>2009</c:v>
                </c:pt>
                <c:pt idx="1">
                  <c:v>2010</c:v>
                </c:pt>
                <c:pt idx="2">
                  <c:v>2011</c:v>
                </c:pt>
                <c:pt idx="3">
                  <c:v>2012</c:v>
                </c:pt>
                <c:pt idx="4">
                  <c:v>2013</c:v>
                </c:pt>
                <c:pt idx="5">
                  <c:v>2014</c:v>
                </c:pt>
                <c:pt idx="6">
                  <c:v>2015</c:v>
                </c:pt>
                <c:pt idx="7">
                  <c:v>2016</c:v>
                </c:pt>
                <c:pt idx="8">
                  <c:v>2017</c:v>
                </c:pt>
              </c:strCache>
            </c:strRef>
          </c:cat>
          <c:val>
            <c:numRef>
              <c:f>'42_vzdelávanie'!$B$69:$J$69</c:f>
              <c:numCache>
                <c:formatCode>0%</c:formatCode>
                <c:ptCount val="9"/>
                <c:pt idx="0">
                  <c:v>1.1265185757952831</c:v>
                </c:pt>
                <c:pt idx="1">
                  <c:v>1.2480108682874449</c:v>
                </c:pt>
                <c:pt idx="2">
                  <c:v>1.2115808146674307</c:v>
                </c:pt>
                <c:pt idx="3">
                  <c:v>1.1467674872366012</c:v>
                </c:pt>
                <c:pt idx="4">
                  <c:v>1.0639784722452443</c:v>
                </c:pt>
                <c:pt idx="5">
                  <c:v>1.015886239001321</c:v>
                </c:pt>
                <c:pt idx="6">
                  <c:v>0.96282307531895361</c:v>
                </c:pt>
                <c:pt idx="7">
                  <c:v>0.92133237187366668</c:v>
                </c:pt>
                <c:pt idx="8">
                  <c:v>0.91808693392397045</c:v>
                </c:pt>
              </c:numCache>
            </c:numRef>
          </c:val>
          <c:smooth val="0"/>
        </c:ser>
        <c:ser>
          <c:idx val="1"/>
          <c:order val="2"/>
          <c:tx>
            <c:v>Publikácie (na výskumníka)</c:v>
          </c:tx>
          <c:spPr>
            <a:ln w="19050">
              <a:solidFill>
                <a:srgbClr val="002060"/>
              </a:solidFill>
              <a:prstDash val="dash"/>
            </a:ln>
          </c:spPr>
          <c:marker>
            <c:symbol val="none"/>
          </c:marker>
          <c:cat>
            <c:strRef>
              <c:f>'42_vzdelávanie'!$B$52:$J$52</c:f>
              <c:strCache>
                <c:ptCount val="9"/>
                <c:pt idx="0">
                  <c:v>2009</c:v>
                </c:pt>
                <c:pt idx="1">
                  <c:v>2010</c:v>
                </c:pt>
                <c:pt idx="2">
                  <c:v>2011</c:v>
                </c:pt>
                <c:pt idx="3">
                  <c:v>2012</c:v>
                </c:pt>
                <c:pt idx="4">
                  <c:v>2013</c:v>
                </c:pt>
                <c:pt idx="5">
                  <c:v>2014</c:v>
                </c:pt>
                <c:pt idx="6">
                  <c:v>2015</c:v>
                </c:pt>
                <c:pt idx="7">
                  <c:v>2016</c:v>
                </c:pt>
                <c:pt idx="8">
                  <c:v>2017</c:v>
                </c:pt>
              </c:strCache>
            </c:strRef>
          </c:cat>
          <c:val>
            <c:numRef>
              <c:f>'42_vzdelávanie'!$B$80:$J$80</c:f>
              <c:numCache>
                <c:formatCode>0%</c:formatCode>
                <c:ptCount val="9"/>
                <c:pt idx="0">
                  <c:v>0.71564086523786918</c:v>
                </c:pt>
                <c:pt idx="1">
                  <c:v>0.69153158391877978</c:v>
                </c:pt>
                <c:pt idx="2">
                  <c:v>0.71635207409209245</c:v>
                </c:pt>
                <c:pt idx="3">
                  <c:v>0.78445683869196969</c:v>
                </c:pt>
                <c:pt idx="4">
                  <c:v>0.88806379076011865</c:v>
                </c:pt>
                <c:pt idx="5">
                  <c:v>1.0243517451172783</c:v>
                </c:pt>
                <c:pt idx="6">
                  <c:v>0.99477352449342871</c:v>
                </c:pt>
                <c:pt idx="7">
                  <c:v>1.1222583260888781</c:v>
                </c:pt>
                <c:pt idx="8">
                  <c:v>1.127156160943847</c:v>
                </c:pt>
              </c:numCache>
            </c:numRef>
          </c:val>
          <c:smooth val="0"/>
        </c:ser>
        <c:ser>
          <c:idx val="2"/>
          <c:order val="3"/>
          <c:tx>
            <c:v>Citácie (na publikáciu)</c:v>
          </c:tx>
          <c:spPr>
            <a:ln w="19050">
              <a:solidFill>
                <a:srgbClr val="8064A2">
                  <a:lumMod val="60000"/>
                  <a:lumOff val="40000"/>
                </a:srgbClr>
              </a:solidFill>
            </a:ln>
          </c:spPr>
          <c:marker>
            <c:symbol val="none"/>
          </c:marker>
          <c:cat>
            <c:strRef>
              <c:f>'42_vzdelávanie'!$B$52:$J$52</c:f>
              <c:strCache>
                <c:ptCount val="9"/>
                <c:pt idx="0">
                  <c:v>2009</c:v>
                </c:pt>
                <c:pt idx="1">
                  <c:v>2010</c:v>
                </c:pt>
                <c:pt idx="2">
                  <c:v>2011</c:v>
                </c:pt>
                <c:pt idx="3">
                  <c:v>2012</c:v>
                </c:pt>
                <c:pt idx="4">
                  <c:v>2013</c:v>
                </c:pt>
                <c:pt idx="5">
                  <c:v>2014</c:v>
                </c:pt>
                <c:pt idx="6">
                  <c:v>2015</c:v>
                </c:pt>
                <c:pt idx="7">
                  <c:v>2016</c:v>
                </c:pt>
                <c:pt idx="8">
                  <c:v>2017</c:v>
                </c:pt>
              </c:strCache>
            </c:strRef>
          </c:cat>
          <c:val>
            <c:numRef>
              <c:f>'42_vzdelávanie'!$B$90:$J$90</c:f>
              <c:numCache>
                <c:formatCode>0%</c:formatCode>
                <c:ptCount val="9"/>
                <c:pt idx="0">
                  <c:v>0.80980844450874834</c:v>
                </c:pt>
                <c:pt idx="1">
                  <c:v>0.81270892828300978</c:v>
                </c:pt>
                <c:pt idx="2">
                  <c:v>0.77801798124161625</c:v>
                </c:pt>
                <c:pt idx="3">
                  <c:v>0.83768916890045886</c:v>
                </c:pt>
                <c:pt idx="4">
                  <c:v>0.75645391194570699</c:v>
                </c:pt>
                <c:pt idx="5">
                  <c:v>0.71238834182452293</c:v>
                </c:pt>
                <c:pt idx="6">
                  <c:v>0.83703280725367213</c:v>
                </c:pt>
                <c:pt idx="7">
                  <c:v>0.79886709701926184</c:v>
                </c:pt>
                <c:pt idx="8">
                  <c:v>0.6777518389224042</c:v>
                </c:pt>
              </c:numCache>
            </c:numRef>
          </c:val>
          <c:smooth val="0"/>
        </c:ser>
        <c:dLbls>
          <c:showLegendKey val="0"/>
          <c:showVal val="0"/>
          <c:showCatName val="0"/>
          <c:showSerName val="0"/>
          <c:showPercent val="0"/>
          <c:showBubbleSize val="0"/>
        </c:dLbls>
        <c:smooth val="0"/>
        <c:axId val="479517072"/>
        <c:axId val="479517464"/>
      </c:lineChart>
      <c:catAx>
        <c:axId val="479517072"/>
        <c:scaling>
          <c:orientation val="minMax"/>
        </c:scaling>
        <c:delete val="0"/>
        <c:axPos val="b"/>
        <c:numFmt formatCode="General" sourceLinked="1"/>
        <c:majorTickMark val="out"/>
        <c:minorTickMark val="none"/>
        <c:tickLblPos val="low"/>
        <c:txPr>
          <a:bodyPr rot="-5400000" vert="horz"/>
          <a:lstStyle/>
          <a:p>
            <a:pPr>
              <a:defRPr sz="800"/>
            </a:pPr>
            <a:endParaRPr lang="en-US"/>
          </a:p>
        </c:txPr>
        <c:crossAx val="479517464"/>
        <c:crosses val="autoZero"/>
        <c:auto val="1"/>
        <c:lblAlgn val="ctr"/>
        <c:lblOffset val="100"/>
        <c:noMultiLvlLbl val="0"/>
      </c:catAx>
      <c:valAx>
        <c:axId val="479517464"/>
        <c:scaling>
          <c:orientation val="minMax"/>
          <c:max val="1.5"/>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sz="800"/>
            </a:pPr>
            <a:endParaRPr lang="en-US"/>
          </a:p>
        </c:txPr>
        <c:crossAx val="479517072"/>
        <c:crosses val="autoZero"/>
        <c:crossBetween val="between"/>
        <c:majorUnit val="0.25"/>
      </c:valAx>
    </c:plotArea>
    <c:legend>
      <c:legendPos val="l"/>
      <c:layout>
        <c:manualLayout>
          <c:xMode val="edge"/>
          <c:yMode val="edge"/>
          <c:x val="0.17043540569698726"/>
          <c:y val="0.58657814831969535"/>
          <c:w val="0.79310178252258334"/>
          <c:h val="0.26486614173228346"/>
        </c:manualLayout>
      </c:layout>
      <c:overlay val="1"/>
      <c:txPr>
        <a:bodyPr/>
        <a:lstStyle/>
        <a:p>
          <a:pPr>
            <a:defRPr sz="800"/>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Narrow" pitchFamily="34" charset="0"/>
          <a:ea typeface="Calibri"/>
          <a:cs typeface="Calibri"/>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0.08348</cdr:x>
      <cdr:y>0.35519</cdr:y>
    </cdr:from>
    <cdr:to>
      <cdr:x>0.32464</cdr:x>
      <cdr:y>0.57014</cdr:y>
    </cdr:to>
    <cdr:sp macro="" textlink="">
      <cdr:nvSpPr>
        <cdr:cNvPr id="2" name="BlokTextu 1"/>
        <cdr:cNvSpPr txBox="1"/>
      </cdr:nvSpPr>
      <cdr:spPr>
        <a:xfrm xmlns:a="http://schemas.openxmlformats.org/drawingml/2006/main">
          <a:off x="212634" y="878718"/>
          <a:ext cx="614217" cy="531792"/>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700">
              <a:latin typeface="Arial Narrow" panose="020B0606020202030204" pitchFamily="34" charset="0"/>
            </a:rPr>
            <a:t>P</a:t>
          </a:r>
          <a:r>
            <a:rPr lang="en-US" sz="700">
              <a:latin typeface="Arial Narrow" panose="020B0606020202030204" pitchFamily="34" charset="0"/>
            </a:rPr>
            <a:t>odiel </a:t>
          </a:r>
          <a:r>
            <a:rPr lang="sk-SK" sz="700">
              <a:latin typeface="Arial Narrow" panose="020B0606020202030204" pitchFamily="34" charset="0"/>
            </a:rPr>
            <a:t>žiakov</a:t>
          </a:r>
          <a:r>
            <a:rPr lang="sk-SK" sz="700" baseline="0">
              <a:latin typeface="Arial Narrow" panose="020B0606020202030204" pitchFamily="34" charset="0"/>
            </a:rPr>
            <a:t> pod základnou úrovnňou PISA</a:t>
          </a:r>
        </a:p>
        <a:p xmlns:a="http://schemas.openxmlformats.org/drawingml/2006/main">
          <a:endParaRPr lang="sk-SK" sz="700">
            <a:latin typeface="NeueHaasGroteskDisp W02" panose="020B0504020202020204" pitchFamily="34" charset="-18"/>
          </a:endParaRPr>
        </a:p>
      </cdr:txBody>
    </cdr:sp>
  </cdr:relSizeAnchor>
  <cdr:relSizeAnchor xmlns:cdr="http://schemas.openxmlformats.org/drawingml/2006/chartDrawing">
    <cdr:from>
      <cdr:x>0.08484</cdr:x>
      <cdr:y>0.62128</cdr:y>
    </cdr:from>
    <cdr:to>
      <cdr:x>0.35614</cdr:x>
      <cdr:y>0.75696</cdr:y>
    </cdr:to>
    <cdr:sp macro="" textlink="">
      <cdr:nvSpPr>
        <cdr:cNvPr id="4" name="BlokTextu 1"/>
        <cdr:cNvSpPr txBox="1"/>
      </cdr:nvSpPr>
      <cdr:spPr>
        <a:xfrm xmlns:a="http://schemas.openxmlformats.org/drawingml/2006/main">
          <a:off x="216086" y="1537022"/>
          <a:ext cx="690998" cy="335670"/>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700">
              <a:latin typeface="Arial Narrow" panose="020B0606020202030204" pitchFamily="34" charset="0"/>
            </a:rPr>
            <a:t>Efektivita zdravotnej starostlivosti</a:t>
          </a:r>
        </a:p>
        <a:p xmlns:a="http://schemas.openxmlformats.org/drawingml/2006/main">
          <a:endParaRPr lang="sk-SK" sz="700">
            <a:latin typeface="NeueHaasGroteskDisp W02" panose="020B0504020202020204" pitchFamily="34" charset="-18"/>
          </a:endParaRPr>
        </a:p>
      </cdr:txBody>
    </cdr:sp>
  </cdr:relSizeAnchor>
  <cdr:relSizeAnchor xmlns:cdr="http://schemas.openxmlformats.org/drawingml/2006/chartDrawing">
    <cdr:from>
      <cdr:x>0.36683</cdr:x>
      <cdr:y>0.73095</cdr:y>
    </cdr:from>
    <cdr:to>
      <cdr:x>0.73362</cdr:x>
      <cdr:y>0.81067</cdr:y>
    </cdr:to>
    <cdr:sp macro="" textlink="">
      <cdr:nvSpPr>
        <cdr:cNvPr id="9" name="BlokTextu 1"/>
        <cdr:cNvSpPr txBox="1"/>
      </cdr:nvSpPr>
      <cdr:spPr>
        <a:xfrm xmlns:a="http://schemas.openxmlformats.org/drawingml/2006/main">
          <a:off x="934309" y="1808331"/>
          <a:ext cx="934209" cy="197224"/>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700">
              <a:latin typeface="Arial Narrow" panose="020B0606020202030204" pitchFamily="34" charset="0"/>
            </a:rPr>
            <a:t>Nezamestnanosť</a:t>
          </a:r>
          <a:r>
            <a:rPr lang="sk-SK" sz="700" baseline="0">
              <a:latin typeface="Arial Narrow" panose="020B0606020202030204" pitchFamily="34" charset="0"/>
            </a:rPr>
            <a:t> ľudí so zákl. vzdelaním</a:t>
          </a:r>
          <a:endParaRPr lang="sk-SK" sz="700">
            <a:latin typeface="Arial Narrow" panose="020B060602020203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0.20457</cdr:x>
      <cdr:y>0.18104</cdr:y>
    </cdr:from>
    <cdr:to>
      <cdr:x>0.32904</cdr:x>
      <cdr:y>0.27379</cdr:y>
    </cdr:to>
    <cdr:sp macro="" textlink="">
      <cdr:nvSpPr>
        <cdr:cNvPr id="10" name="BlokTextu 1"/>
        <cdr:cNvSpPr txBox="1"/>
      </cdr:nvSpPr>
      <cdr:spPr>
        <a:xfrm xmlns:a="http://schemas.openxmlformats.org/drawingml/2006/main">
          <a:off x="505979" y="407414"/>
          <a:ext cx="307854" cy="2087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800" b="1">
              <a:solidFill>
                <a:srgbClr val="2C9ADC"/>
              </a:solidFill>
              <a:latin typeface="Arial Narrow" panose="020B0606020202030204" pitchFamily="34" charset="0"/>
            </a:rPr>
            <a:t>SK</a:t>
          </a:r>
        </a:p>
      </cdr:txBody>
    </cdr:sp>
  </cdr:relSizeAnchor>
  <cdr:relSizeAnchor xmlns:cdr="http://schemas.openxmlformats.org/drawingml/2006/chartDrawing">
    <cdr:from>
      <cdr:x>0.20655</cdr:x>
      <cdr:y>0.4941</cdr:y>
    </cdr:from>
    <cdr:to>
      <cdr:x>0.34576</cdr:x>
      <cdr:y>0.5763</cdr:y>
    </cdr:to>
    <cdr:sp macro="" textlink="">
      <cdr:nvSpPr>
        <cdr:cNvPr id="11" name="BlokTextu 1"/>
        <cdr:cNvSpPr txBox="1"/>
      </cdr:nvSpPr>
      <cdr:spPr>
        <a:xfrm xmlns:a="http://schemas.openxmlformats.org/drawingml/2006/main">
          <a:off x="510876" y="1111934"/>
          <a:ext cx="344311" cy="1849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800" b="1">
              <a:solidFill>
                <a:sysClr val="windowText" lastClr="000000"/>
              </a:solidFill>
              <a:latin typeface="Arial Narrow" panose="020B0606020202030204" pitchFamily="34" charset="0"/>
            </a:rPr>
            <a:t>CZ</a:t>
          </a:r>
        </a:p>
      </cdr:txBody>
    </cdr:sp>
  </cdr:relSizeAnchor>
  <cdr:relSizeAnchor xmlns:cdr="http://schemas.openxmlformats.org/drawingml/2006/chartDrawing">
    <cdr:from>
      <cdr:x>0.50685</cdr:x>
      <cdr:y>0.56064</cdr:y>
    </cdr:from>
    <cdr:to>
      <cdr:x>0.64537</cdr:x>
      <cdr:y>0.6367</cdr:y>
    </cdr:to>
    <cdr:sp macro="" textlink="">
      <cdr:nvSpPr>
        <cdr:cNvPr id="12" name="BlokTextu 1"/>
        <cdr:cNvSpPr txBox="1"/>
      </cdr:nvSpPr>
      <cdr:spPr>
        <a:xfrm xmlns:a="http://schemas.openxmlformats.org/drawingml/2006/main">
          <a:off x="1253612" y="1261682"/>
          <a:ext cx="342605" cy="1711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800" b="1">
              <a:solidFill>
                <a:sysClr val="windowText" lastClr="000000"/>
              </a:solidFill>
              <a:latin typeface="Arial Narrow" panose="020B0606020202030204" pitchFamily="34" charset="0"/>
            </a:rPr>
            <a:t>HU</a:t>
          </a:r>
        </a:p>
      </cdr:txBody>
    </cdr:sp>
  </cdr:relSizeAnchor>
  <cdr:relSizeAnchor xmlns:cdr="http://schemas.openxmlformats.org/drawingml/2006/chartDrawing">
    <cdr:from>
      <cdr:x>0.14494</cdr:x>
      <cdr:y>0.54935</cdr:y>
    </cdr:from>
    <cdr:to>
      <cdr:x>0.26592</cdr:x>
      <cdr:y>0.65863</cdr:y>
    </cdr:to>
    <cdr:sp macro="" textlink="">
      <cdr:nvSpPr>
        <cdr:cNvPr id="13" name="BlokTextu 1"/>
        <cdr:cNvSpPr txBox="1"/>
      </cdr:nvSpPr>
      <cdr:spPr>
        <a:xfrm xmlns:a="http://schemas.openxmlformats.org/drawingml/2006/main">
          <a:off x="358488" y="1236269"/>
          <a:ext cx="299223" cy="2459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800" b="1">
              <a:solidFill>
                <a:sysClr val="windowText" lastClr="000000"/>
              </a:solidFill>
              <a:latin typeface="Arial Narrow" panose="020B0606020202030204" pitchFamily="34" charset="0"/>
            </a:rPr>
            <a:t>PL</a:t>
          </a:r>
        </a:p>
      </cdr:txBody>
    </cdr:sp>
  </cdr:relSizeAnchor>
</c:userShapes>
</file>

<file path=word/drawings/drawing3.xml><?xml version="1.0" encoding="utf-8"?>
<c:userShapes xmlns:c="http://schemas.openxmlformats.org/drawingml/2006/chart">
  <cdr:relSizeAnchor xmlns:cdr="http://schemas.openxmlformats.org/drawingml/2006/chartDrawing">
    <cdr:from>
      <cdr:x>0.84271</cdr:x>
      <cdr:y>0.09896</cdr:y>
    </cdr:from>
    <cdr:to>
      <cdr:x>0.84499</cdr:x>
      <cdr:y>0.82669</cdr:y>
    </cdr:to>
    <cdr:cxnSp macro="">
      <cdr:nvCxnSpPr>
        <cdr:cNvPr id="3" name="Rovná spojnica 2"/>
        <cdr:cNvCxnSpPr/>
      </cdr:nvCxnSpPr>
      <cdr:spPr>
        <a:xfrm xmlns:a="http://schemas.openxmlformats.org/drawingml/2006/main">
          <a:off x="4763905" y="271934"/>
          <a:ext cx="12883" cy="1999780"/>
        </a:xfrm>
        <a:prstGeom xmlns:a="http://schemas.openxmlformats.org/drawingml/2006/main" prst="line">
          <a:avLst/>
        </a:prstGeom>
        <a:ln xmlns:a="http://schemas.openxmlformats.org/drawingml/2006/main" w="2222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0.71669</cdr:x>
      <cdr:y>0</cdr:y>
    </cdr:from>
    <cdr:to>
      <cdr:x>0.83834</cdr:x>
      <cdr:y>0.45012</cdr:y>
    </cdr:to>
    <cdr:sp macro="" textlink="">
      <cdr:nvSpPr>
        <cdr:cNvPr id="4" name="BlokTextu 3"/>
        <cdr:cNvSpPr txBox="1"/>
      </cdr:nvSpPr>
      <cdr:spPr>
        <a:xfrm xmlns:a="http://schemas.openxmlformats.org/drawingml/2006/main" rot="16200000">
          <a:off x="1728961" y="194732"/>
          <a:ext cx="715992" cy="326527"/>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sk-SK" sz="800">
              <a:latin typeface="Arial Narrow" panose="020B0606020202030204" pitchFamily="34" charset="0"/>
              <a:cs typeface="Arial" panose="020B0604020202020204" pitchFamily="34" charset="0"/>
            </a:rPr>
            <a:t>Programový</a:t>
          </a:r>
          <a:r>
            <a:rPr lang="sk-SK" sz="800" baseline="0">
              <a:latin typeface="Arial Narrow" panose="020B0606020202030204" pitchFamily="34" charset="0"/>
              <a:cs typeface="Arial" panose="020B0604020202020204" pitchFamily="34" charset="0"/>
            </a:rPr>
            <a:t> výber</a:t>
          </a:r>
          <a:endParaRPr lang="sk-SK" sz="800">
            <a:latin typeface="Arial Narrow" panose="020B0606020202030204" pitchFamily="34" charset="0"/>
            <a:cs typeface="Arial" panose="020B0604020202020204" pitchFamily="34" charset="0"/>
          </a:endParaRPr>
        </a:p>
      </cdr:txBody>
    </cdr:sp>
  </cdr:relSizeAnchor>
  <cdr:relSizeAnchor xmlns:cdr="http://schemas.openxmlformats.org/drawingml/2006/chartDrawing">
    <cdr:from>
      <cdr:x>0.84205</cdr:x>
      <cdr:y>0.01085</cdr:y>
    </cdr:from>
    <cdr:to>
      <cdr:x>0.96737</cdr:x>
      <cdr:y>0.41453</cdr:y>
    </cdr:to>
    <cdr:sp macro="" textlink="">
      <cdr:nvSpPr>
        <cdr:cNvPr id="6" name="BlokTextu 5"/>
        <cdr:cNvSpPr txBox="1"/>
      </cdr:nvSpPr>
      <cdr:spPr>
        <a:xfrm xmlns:a="http://schemas.openxmlformats.org/drawingml/2006/main" rot="16200000">
          <a:off x="2107305" y="170130"/>
          <a:ext cx="642125" cy="33637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sk-SK" sz="800">
              <a:latin typeface="Arial Narrow" panose="020B0606020202030204" pitchFamily="34" charset="0"/>
              <a:cs typeface="Arial" panose="020B0604020202020204" pitchFamily="34" charset="0"/>
            </a:rPr>
            <a:t>Doživotná anutia</a:t>
          </a:r>
        </a:p>
      </cdr:txBody>
    </cdr:sp>
  </cdr:relSizeAnchor>
  <cdr:relSizeAnchor xmlns:cdr="http://schemas.openxmlformats.org/drawingml/2006/chartDrawing">
    <cdr:from>
      <cdr:x>0.44994</cdr:x>
      <cdr:y>0.01247</cdr:y>
    </cdr:from>
    <cdr:to>
      <cdr:x>0.7394</cdr:x>
      <cdr:y>0.34165</cdr:y>
    </cdr:to>
    <cdr:sp macro="" textlink="">
      <cdr:nvSpPr>
        <cdr:cNvPr id="7" name="BlokTextu 6"/>
        <cdr:cNvSpPr txBox="1"/>
      </cdr:nvSpPr>
      <cdr:spPr>
        <a:xfrm xmlns:a="http://schemas.openxmlformats.org/drawingml/2006/main">
          <a:off x="1207699" y="19828"/>
          <a:ext cx="776957" cy="5236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800">
              <a:latin typeface="Arial Narrow" panose="020B0606020202030204" pitchFamily="34" charset="0"/>
              <a:cs typeface="Arial" panose="020B0604020202020204" pitchFamily="34" charset="0"/>
            </a:rPr>
            <a:t>Vek odchodu do dôchodku</a:t>
          </a:r>
        </a:p>
      </cdr:txBody>
    </cdr:sp>
  </cdr:relSizeAnchor>
  <cdr:relSizeAnchor xmlns:cdr="http://schemas.openxmlformats.org/drawingml/2006/chartDrawing">
    <cdr:from>
      <cdr:x>0.64021</cdr:x>
      <cdr:y>0.1969</cdr:y>
    </cdr:from>
    <cdr:to>
      <cdr:x>0.67053</cdr:x>
      <cdr:y>0.25236</cdr:y>
    </cdr:to>
    <cdr:cxnSp macro="">
      <cdr:nvCxnSpPr>
        <cdr:cNvPr id="9" name="Rovná spojovacia šípka 8"/>
        <cdr:cNvCxnSpPr/>
      </cdr:nvCxnSpPr>
      <cdr:spPr>
        <a:xfrm xmlns:a="http://schemas.openxmlformats.org/drawingml/2006/main">
          <a:off x="1718419" y="313205"/>
          <a:ext cx="81383" cy="88219"/>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F503-FB2E-4C6B-AF68-29B47607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70</Pages>
  <Words>31096</Words>
  <Characters>177248</Characters>
  <Application>Microsoft Office Word</Application>
  <DocSecurity>0</DocSecurity>
  <Lines>1477</Lines>
  <Paragraphs>415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MFSR</dc:creator>
  <cp:keywords/>
  <dc:description/>
  <cp:lastModifiedBy>Hidas Slavomir</cp:lastModifiedBy>
  <cp:revision>5</cp:revision>
  <cp:lastPrinted>2018-05-03T12:49:00Z</cp:lastPrinted>
  <dcterms:created xsi:type="dcterms:W3CDTF">2019-03-29T15:23:00Z</dcterms:created>
  <dcterms:modified xsi:type="dcterms:W3CDTF">2019-04-04T08:26:00Z</dcterms:modified>
</cp:coreProperties>
</file>