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39" w:rsidRDefault="001D0939" w:rsidP="001D0939">
      <w:pPr>
        <w:jc w:val="center"/>
        <w:rPr>
          <w:b/>
        </w:rPr>
      </w:pPr>
      <w:bookmarkStart w:id="0" w:name="_GoBack"/>
      <w:bookmarkEnd w:id="0"/>
      <w:r>
        <w:rPr>
          <w:b/>
        </w:rPr>
        <w:t>N Á V R H</w:t>
      </w:r>
    </w:p>
    <w:p w:rsidR="001D0939" w:rsidRDefault="001D0939" w:rsidP="001D0939">
      <w:pPr>
        <w:jc w:val="center"/>
        <w:rPr>
          <w:b/>
        </w:rPr>
      </w:pPr>
    </w:p>
    <w:p w:rsidR="001D0939" w:rsidRDefault="001D0939" w:rsidP="001D0939">
      <w:pPr>
        <w:jc w:val="center"/>
        <w:rPr>
          <w:b/>
        </w:rPr>
      </w:pPr>
      <w:r>
        <w:rPr>
          <w:b/>
        </w:rPr>
        <w:t>OPATRENIE</w:t>
      </w:r>
    </w:p>
    <w:p w:rsidR="001D0939" w:rsidRDefault="001D0939" w:rsidP="001D0939">
      <w:pPr>
        <w:jc w:val="center"/>
        <w:rPr>
          <w:b/>
        </w:rPr>
      </w:pPr>
      <w:bookmarkStart w:id="1" w:name="_Hlk374012915"/>
      <w:r>
        <w:rPr>
          <w:b/>
        </w:rPr>
        <w:t>Ministerstva práce, sociálnych vecí a rodiny Slovenskej republiky</w:t>
      </w:r>
    </w:p>
    <w:p w:rsidR="001D0939" w:rsidRDefault="001D0939" w:rsidP="001D0939">
      <w:pPr>
        <w:jc w:val="center"/>
      </w:pPr>
    </w:p>
    <w:p w:rsidR="001D0939" w:rsidRDefault="001D0939" w:rsidP="001D0939">
      <w:pPr>
        <w:jc w:val="center"/>
        <w:rPr>
          <w:b/>
        </w:rPr>
      </w:pPr>
      <w:r>
        <w:rPr>
          <w:b/>
        </w:rPr>
        <w:t>z ... 201</w:t>
      </w:r>
      <w:r w:rsidR="00C4004A">
        <w:rPr>
          <w:b/>
        </w:rPr>
        <w:t>9</w:t>
      </w:r>
      <w:r>
        <w:rPr>
          <w:b/>
        </w:rPr>
        <w:t>,</w:t>
      </w:r>
    </w:p>
    <w:p w:rsidR="001D0939" w:rsidRDefault="001D0939" w:rsidP="001D0939">
      <w:pPr>
        <w:jc w:val="center"/>
        <w:rPr>
          <w:b/>
        </w:rPr>
      </w:pPr>
    </w:p>
    <w:p w:rsidR="008531CC" w:rsidRDefault="001D0939" w:rsidP="001D0939">
      <w:pPr>
        <w:jc w:val="center"/>
        <w:rPr>
          <w:b/>
        </w:rPr>
      </w:pPr>
      <w:r>
        <w:rPr>
          <w:b/>
        </w:rPr>
        <w:t xml:space="preserve">ktorým sa </w:t>
      </w:r>
      <w:bookmarkEnd w:id="1"/>
      <w:r w:rsidR="00C3342C">
        <w:rPr>
          <w:b/>
        </w:rPr>
        <w:t xml:space="preserve">ustanovujú </w:t>
      </w:r>
      <w:r>
        <w:rPr>
          <w:b/>
        </w:rPr>
        <w:t>vzor</w:t>
      </w:r>
      <w:r w:rsidR="00C3342C">
        <w:rPr>
          <w:b/>
        </w:rPr>
        <w:t>y</w:t>
      </w:r>
      <w:r>
        <w:rPr>
          <w:b/>
        </w:rPr>
        <w:t xml:space="preserve"> </w:t>
      </w:r>
      <w:r w:rsidR="00B87114">
        <w:rPr>
          <w:b/>
        </w:rPr>
        <w:t xml:space="preserve">výpisov </w:t>
      </w:r>
      <w:r>
        <w:rPr>
          <w:b/>
        </w:rPr>
        <w:t>z</w:t>
      </w:r>
      <w:r w:rsidR="00C4004A">
        <w:rPr>
          <w:b/>
        </w:rPr>
        <w:t> </w:t>
      </w:r>
      <w:r>
        <w:rPr>
          <w:b/>
        </w:rPr>
        <w:t>osobného</w:t>
      </w:r>
      <w:r w:rsidR="00C4004A">
        <w:rPr>
          <w:b/>
        </w:rPr>
        <w:t xml:space="preserve"> dôchodkového účtu</w:t>
      </w:r>
      <w:r>
        <w:rPr>
          <w:b/>
        </w:rPr>
        <w:t xml:space="preserve"> </w:t>
      </w:r>
      <w:r w:rsidR="00C4004A">
        <w:rPr>
          <w:b/>
        </w:rPr>
        <w:t>sporiteľa</w:t>
      </w:r>
      <w:r w:rsidR="00B87114">
        <w:rPr>
          <w:b/>
        </w:rPr>
        <w:t xml:space="preserve"> </w:t>
      </w:r>
    </w:p>
    <w:p w:rsidR="001D0939" w:rsidRDefault="001D0939" w:rsidP="001D0939">
      <w:pPr>
        <w:jc w:val="both"/>
      </w:pPr>
    </w:p>
    <w:p w:rsidR="001D0939" w:rsidRDefault="001D0939" w:rsidP="001D0939">
      <w:pPr>
        <w:jc w:val="both"/>
      </w:pPr>
      <w:r>
        <w:tab/>
        <w:t xml:space="preserve">Ministerstvo práce, sociálnych vecí a rodiny Slovenskej republiky po dohode s Národnou bankou Slovenska podľa § </w:t>
      </w:r>
      <w:r w:rsidR="002B7D99">
        <w:t>108</w:t>
      </w:r>
      <w:r>
        <w:t xml:space="preserve"> ods. </w:t>
      </w:r>
      <w:r w:rsidR="002B7D99">
        <w:t>6</w:t>
      </w:r>
      <w:r>
        <w:t xml:space="preserve"> zákona č. </w:t>
      </w:r>
      <w:r w:rsidR="002B7D99">
        <w:t>43</w:t>
      </w:r>
      <w:r>
        <w:t xml:space="preserve">/2004 Z. z. o </w:t>
      </w:r>
      <w:r w:rsidR="002B7D99">
        <w:t>starobnom</w:t>
      </w:r>
      <w:r>
        <w:t xml:space="preserve"> dôchodkovom sporení a o zmene a doplnení niektorých zákonov v znení zákona č. </w:t>
      </w:r>
      <w:r w:rsidR="002B7D99">
        <w:t>...</w:t>
      </w:r>
      <w:r>
        <w:t>/201</w:t>
      </w:r>
      <w:r w:rsidR="002B7D99">
        <w:t xml:space="preserve">9  </w:t>
      </w:r>
      <w:r>
        <w:t xml:space="preserve"> Z. z. (ďalej len „zákon“) ustanovuje:</w:t>
      </w:r>
    </w:p>
    <w:p w:rsidR="001D0939" w:rsidRDefault="001D0939" w:rsidP="001D0939">
      <w:pPr>
        <w:jc w:val="both"/>
      </w:pPr>
    </w:p>
    <w:p w:rsidR="001D0939" w:rsidRDefault="001D0939" w:rsidP="001D0939">
      <w:pPr>
        <w:jc w:val="center"/>
        <w:rPr>
          <w:b/>
        </w:rPr>
      </w:pPr>
      <w:r>
        <w:rPr>
          <w:b/>
        </w:rPr>
        <w:t>§ 1</w:t>
      </w:r>
    </w:p>
    <w:p w:rsidR="001D0939" w:rsidRDefault="001D0939" w:rsidP="001D0939">
      <w:pPr>
        <w:ind w:firstLine="708"/>
        <w:jc w:val="both"/>
      </w:pPr>
    </w:p>
    <w:p w:rsidR="001D0939" w:rsidRDefault="001D0939" w:rsidP="001D0939">
      <w:pPr>
        <w:ind w:firstLine="708"/>
        <w:jc w:val="both"/>
      </w:pPr>
      <w:r>
        <w:t>Vzor výpisu z</w:t>
      </w:r>
      <w:r w:rsidR="002B7D99">
        <w:t> </w:t>
      </w:r>
      <w:r>
        <w:t>osobného</w:t>
      </w:r>
      <w:r w:rsidR="002B7D99">
        <w:t xml:space="preserve"> dôchodkového</w:t>
      </w:r>
      <w:r>
        <w:t xml:space="preserve"> účtu</w:t>
      </w:r>
      <w:r w:rsidR="008F002B">
        <w:t xml:space="preserve"> sporiteľa</w:t>
      </w:r>
      <w:r>
        <w:t xml:space="preserve"> (ďalej len „výpis“), ktorý sa zasiela </w:t>
      </w:r>
      <w:r w:rsidR="008F002B">
        <w:t>sporiteľovi</w:t>
      </w:r>
      <w:r>
        <w:t xml:space="preserve"> </w:t>
      </w:r>
      <w:r w:rsidR="008F002B">
        <w:t>starobného</w:t>
      </w:r>
      <w:r>
        <w:t xml:space="preserve"> dôchodkového sporenia (ďalej len „</w:t>
      </w:r>
      <w:r w:rsidR="008F002B">
        <w:t>sporiteľ</w:t>
      </w:r>
      <w:r>
        <w:t>“), je uvedený v prílohe č. 1.</w:t>
      </w:r>
    </w:p>
    <w:p w:rsidR="001D0939" w:rsidRDefault="001D0939" w:rsidP="001D0939">
      <w:pPr>
        <w:ind w:firstLine="708"/>
        <w:jc w:val="both"/>
      </w:pPr>
    </w:p>
    <w:p w:rsidR="004A3815" w:rsidRDefault="00C3342C" w:rsidP="001D0939">
      <w:pPr>
        <w:jc w:val="center"/>
        <w:rPr>
          <w:b/>
        </w:rPr>
      </w:pPr>
      <w:r>
        <w:rPr>
          <w:b/>
        </w:rPr>
        <w:t>Pravidlá na určenie prognóz</w:t>
      </w:r>
      <w:r w:rsidR="008F002B">
        <w:rPr>
          <w:b/>
        </w:rPr>
        <w:t xml:space="preserve"> starobného</w:t>
      </w:r>
      <w:r>
        <w:rPr>
          <w:b/>
        </w:rPr>
        <w:t xml:space="preserve"> </w:t>
      </w:r>
    </w:p>
    <w:p w:rsidR="004A3815" w:rsidRDefault="008F002B" w:rsidP="001D0939">
      <w:pPr>
        <w:jc w:val="center"/>
        <w:rPr>
          <w:b/>
        </w:rPr>
      </w:pPr>
      <w:r>
        <w:rPr>
          <w:b/>
        </w:rPr>
        <w:t>dôchodku zo starobného</w:t>
      </w:r>
      <w:r w:rsidR="00C3342C">
        <w:rPr>
          <w:b/>
        </w:rPr>
        <w:t xml:space="preserve"> dôchodkového sporenia</w:t>
      </w:r>
    </w:p>
    <w:p w:rsidR="001D0939" w:rsidRDefault="001D0939" w:rsidP="001D0939">
      <w:pPr>
        <w:jc w:val="center"/>
        <w:rPr>
          <w:b/>
        </w:rPr>
      </w:pPr>
      <w:r>
        <w:rPr>
          <w:b/>
        </w:rPr>
        <w:t xml:space="preserve">§ </w:t>
      </w:r>
      <w:r w:rsidR="008F002B">
        <w:rPr>
          <w:b/>
        </w:rPr>
        <w:t>2</w:t>
      </w:r>
    </w:p>
    <w:p w:rsidR="004A3815" w:rsidRDefault="004A3815" w:rsidP="001D0939">
      <w:pPr>
        <w:jc w:val="center"/>
        <w:rPr>
          <w:b/>
        </w:rPr>
      </w:pPr>
    </w:p>
    <w:p w:rsidR="00C3342C" w:rsidRDefault="00C3342C" w:rsidP="00C3342C">
      <w:pPr>
        <w:pStyle w:val="Odsekzoznamu"/>
        <w:numPr>
          <w:ilvl w:val="0"/>
          <w:numId w:val="30"/>
        </w:numPr>
        <w:tabs>
          <w:tab w:val="left" w:pos="1134"/>
        </w:tabs>
        <w:ind w:left="0" w:firstLine="708"/>
        <w:jc w:val="both"/>
      </w:pPr>
      <w:r>
        <w:t>Výpis obsahuje prognózy</w:t>
      </w:r>
      <w:r w:rsidR="008F002B">
        <w:t xml:space="preserve"> starobného</w:t>
      </w:r>
      <w:r>
        <w:t xml:space="preserve"> </w:t>
      </w:r>
      <w:r w:rsidR="008F002B">
        <w:t>dôchodku</w:t>
      </w:r>
      <w:r>
        <w:t xml:space="preserve"> </w:t>
      </w:r>
      <w:r w:rsidR="008F002B">
        <w:t>zo starobného</w:t>
      </w:r>
      <w:r>
        <w:t xml:space="preserve"> dôchodkového sporenia (ďalej len „</w:t>
      </w:r>
      <w:r w:rsidR="008F002B">
        <w:t>dôchodok“), ktorý</w:t>
      </w:r>
      <w:r>
        <w:t xml:space="preserve"> vychádzajú z možných ekonomických scenárov zahŕňajúcich pesimistický scenár, základný scenár a optimistický scenár.</w:t>
      </w:r>
    </w:p>
    <w:p w:rsidR="00C3342C" w:rsidRDefault="00C3342C" w:rsidP="00C3342C">
      <w:pPr>
        <w:pStyle w:val="Odsekzoznamu"/>
        <w:tabs>
          <w:tab w:val="left" w:pos="1134"/>
        </w:tabs>
        <w:ind w:left="1068"/>
        <w:jc w:val="both"/>
      </w:pPr>
    </w:p>
    <w:p w:rsidR="00C3342C" w:rsidRDefault="00C3342C" w:rsidP="00C3342C">
      <w:pPr>
        <w:pStyle w:val="Odsekzoznamu"/>
        <w:numPr>
          <w:ilvl w:val="0"/>
          <w:numId w:val="30"/>
        </w:numPr>
        <w:tabs>
          <w:tab w:val="left" w:pos="1134"/>
        </w:tabs>
        <w:jc w:val="both"/>
      </w:pPr>
      <w:r>
        <w:t xml:space="preserve">Prognózy </w:t>
      </w:r>
      <w:r w:rsidR="008F002B">
        <w:t>dôchodku</w:t>
      </w:r>
      <w:r>
        <w:t xml:space="preserve"> sa zostavujú na základe</w:t>
      </w:r>
    </w:p>
    <w:p w:rsidR="00C3342C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 xml:space="preserve">príspevkov na </w:t>
      </w:r>
      <w:r w:rsidR="00E56AB0">
        <w:t xml:space="preserve">starobné </w:t>
      </w:r>
      <w:r>
        <w:t xml:space="preserve">dôchodkové sporenie (ďalej len „príspevky“) </w:t>
      </w:r>
      <w:r w:rsidR="00E56AB0">
        <w:t>sporiteľa</w:t>
      </w:r>
      <w:r>
        <w:t xml:space="preserve"> podľa odseku 3,</w:t>
      </w:r>
    </w:p>
    <w:p w:rsidR="00C3342C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 xml:space="preserve">sumy zodpovedajúcej aktuálnej hodnote osobného </w:t>
      </w:r>
      <w:r w:rsidR="00E56AB0">
        <w:t>dôchodkového účtu</w:t>
      </w:r>
      <w:r>
        <w:t xml:space="preserve"> </w:t>
      </w:r>
      <w:r w:rsidR="00E56AB0">
        <w:t>sporiteľa</w:t>
      </w:r>
      <w:r>
        <w:t xml:space="preserve"> ku dňu podľa § </w:t>
      </w:r>
      <w:r w:rsidR="00E56AB0">
        <w:t>108</w:t>
      </w:r>
      <w:r>
        <w:t xml:space="preserve"> ods. 3 písm. </w:t>
      </w:r>
      <w:r w:rsidR="00E56AB0">
        <w:t>g</w:t>
      </w:r>
      <w:r>
        <w:t xml:space="preserve">) zákona, </w:t>
      </w:r>
    </w:p>
    <w:p w:rsidR="00C3342C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>syntetického ukazovateľa rizika</w:t>
      </w:r>
      <w:r>
        <w:rPr>
          <w:rStyle w:val="Odkaznapoznmkupodiarou"/>
        </w:rPr>
        <w:footnoteReference w:id="1"/>
      </w:r>
      <w:r>
        <w:t xml:space="preserve">) doplnkového dôchodkového fondu účastníka, </w:t>
      </w:r>
    </w:p>
    <w:p w:rsidR="00C3342C" w:rsidRDefault="00C3342C" w:rsidP="00E56AB0">
      <w:pPr>
        <w:pStyle w:val="Odsekzoznamu"/>
        <w:numPr>
          <w:ilvl w:val="0"/>
          <w:numId w:val="31"/>
        </w:numPr>
        <w:ind w:left="426" w:hanging="426"/>
        <w:jc w:val="both"/>
      </w:pPr>
      <w:r>
        <w:t xml:space="preserve">veku podľa § </w:t>
      </w:r>
      <w:r w:rsidR="00E56AB0">
        <w:t>3</w:t>
      </w:r>
      <w:r>
        <w:t xml:space="preserve">, </w:t>
      </w:r>
    </w:p>
    <w:p w:rsidR="00CD3EB9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>mesačného výnosu dôchodkového fondu</w:t>
      </w:r>
      <w:r w:rsidR="00CD3EB9">
        <w:t>,</w:t>
      </w:r>
    </w:p>
    <w:p w:rsidR="00E56AB0" w:rsidRDefault="00CD3EB9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>predpokladaného rastu miezd</w:t>
      </w:r>
      <w:r w:rsidR="00E56AB0">
        <w:t>,</w:t>
      </w:r>
      <w:r w:rsidR="00C3342C">
        <w:t xml:space="preserve"> </w:t>
      </w:r>
    </w:p>
    <w:p w:rsidR="00C3342C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>ukazovateľa zníženia výnosnosti,</w:t>
      </w:r>
    </w:p>
    <w:p w:rsidR="00C3342C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>pre</w:t>
      </w:r>
      <w:r w:rsidR="00E56AB0">
        <w:t>dpokladanej inflácie.</w:t>
      </w:r>
    </w:p>
    <w:p w:rsidR="00C3342C" w:rsidRDefault="00C3342C" w:rsidP="00C3342C">
      <w:pPr>
        <w:pStyle w:val="Odsekzoznamu"/>
        <w:ind w:left="284"/>
        <w:jc w:val="both"/>
      </w:pPr>
    </w:p>
    <w:p w:rsidR="00C3342C" w:rsidRDefault="00C3342C" w:rsidP="00C3342C">
      <w:pPr>
        <w:pStyle w:val="Odsekzoznamu"/>
        <w:numPr>
          <w:ilvl w:val="0"/>
          <w:numId w:val="30"/>
        </w:numPr>
        <w:tabs>
          <w:tab w:val="left" w:pos="1134"/>
        </w:tabs>
        <w:ind w:left="0" w:firstLine="708"/>
        <w:jc w:val="both"/>
      </w:pPr>
      <w:r>
        <w:t xml:space="preserve">Príspevok </w:t>
      </w:r>
      <w:r w:rsidR="00CC03B4">
        <w:t>sporiteľa</w:t>
      </w:r>
      <w:r>
        <w:t xml:space="preserve"> je priemerná suma mesačných príspevkov </w:t>
      </w:r>
      <w:r w:rsidR="00CC03B4">
        <w:t>sporiteľa</w:t>
      </w:r>
      <w:r>
        <w:t xml:space="preserve"> za obdobie</w:t>
      </w:r>
    </w:p>
    <w:p w:rsidR="00C3342C" w:rsidRDefault="00C3342C" w:rsidP="00C3342C">
      <w:pPr>
        <w:pStyle w:val="Odsekzoznamu"/>
        <w:numPr>
          <w:ilvl w:val="0"/>
          <w:numId w:val="32"/>
        </w:numPr>
        <w:ind w:left="426" w:hanging="426"/>
        <w:jc w:val="both"/>
      </w:pPr>
      <w:r>
        <w:t xml:space="preserve">12 mesiacov predchádzajúcich dňu podľa § </w:t>
      </w:r>
      <w:r w:rsidR="00CC03B4">
        <w:t>108</w:t>
      </w:r>
      <w:r>
        <w:t xml:space="preserve"> ods. 3 písm. </w:t>
      </w:r>
      <w:r w:rsidR="00CC03B4">
        <w:t>e</w:t>
      </w:r>
      <w:r>
        <w:t xml:space="preserve">) zákona alebo </w:t>
      </w:r>
    </w:p>
    <w:p w:rsidR="00C3342C" w:rsidRDefault="00C3342C" w:rsidP="00C3342C">
      <w:pPr>
        <w:pStyle w:val="Odsekzoznamu"/>
        <w:numPr>
          <w:ilvl w:val="0"/>
          <w:numId w:val="32"/>
        </w:numPr>
        <w:ind w:left="426" w:hanging="426"/>
        <w:jc w:val="both"/>
      </w:pPr>
      <w:r>
        <w:t>od uzatvorenia zmluvy</w:t>
      </w:r>
      <w:r w:rsidR="00CC03B4">
        <w:t xml:space="preserve"> o starobnom dôchodkovom sporení</w:t>
      </w:r>
      <w:r>
        <w:t xml:space="preserve"> do dňa podľa § </w:t>
      </w:r>
      <w:r w:rsidR="00CC03B4">
        <w:t>108</w:t>
      </w:r>
      <w:r>
        <w:t xml:space="preserve"> ods. 3 písm. </w:t>
      </w:r>
      <w:r w:rsidR="00CC03B4">
        <w:t>e</w:t>
      </w:r>
      <w:r>
        <w:t xml:space="preserve">) zákona, ak má </w:t>
      </w:r>
      <w:r w:rsidR="00CC03B4">
        <w:t xml:space="preserve">sporiteľ uzatvorenú </w:t>
      </w:r>
      <w:r>
        <w:t>zmluvu</w:t>
      </w:r>
      <w:r w:rsidR="00CC03B4">
        <w:t xml:space="preserve"> o starobnom dôchodkovom sporení</w:t>
      </w:r>
      <w:r>
        <w:t xml:space="preserve"> </w:t>
      </w:r>
      <w:r>
        <w:lastRenderedPageBreak/>
        <w:t>s</w:t>
      </w:r>
      <w:r w:rsidR="00CC03B4">
        <w:t> </w:t>
      </w:r>
      <w:r>
        <w:t>dôchodkovou</w:t>
      </w:r>
      <w:r w:rsidR="00CC03B4">
        <w:t xml:space="preserve"> správcovskou</w:t>
      </w:r>
      <w:r>
        <w:t xml:space="preserve"> spoločnosťou, ktorá výpis zasiela, kratšie ako od začiatku obdobia, za ktoré sa výpis zasiela.</w:t>
      </w:r>
    </w:p>
    <w:p w:rsidR="00C3342C" w:rsidRDefault="00C3342C" w:rsidP="00C3342C">
      <w:pPr>
        <w:jc w:val="both"/>
      </w:pPr>
    </w:p>
    <w:p w:rsidR="00C3342C" w:rsidRDefault="00C3342C" w:rsidP="00C3342C">
      <w:pPr>
        <w:pStyle w:val="Odsekzoznamu"/>
        <w:numPr>
          <w:ilvl w:val="0"/>
          <w:numId w:val="30"/>
        </w:numPr>
        <w:tabs>
          <w:tab w:val="left" w:pos="1134"/>
        </w:tabs>
        <w:ind w:left="0" w:firstLine="708"/>
        <w:jc w:val="both"/>
      </w:pPr>
      <w:r>
        <w:t xml:space="preserve">Vzorce na výpočet prognóz </w:t>
      </w:r>
      <w:r w:rsidR="00763CCE">
        <w:t>dôchodku</w:t>
      </w:r>
      <w:r>
        <w:t xml:space="preserve"> sú uvedené v prílohe č. </w:t>
      </w:r>
      <w:r w:rsidR="00C135B2">
        <w:t>2.</w:t>
      </w:r>
    </w:p>
    <w:p w:rsidR="00C3342C" w:rsidRDefault="00C3342C" w:rsidP="00C3342C">
      <w:pPr>
        <w:pStyle w:val="Odsekzoznamu"/>
        <w:tabs>
          <w:tab w:val="left" w:pos="1134"/>
        </w:tabs>
        <w:ind w:left="708"/>
        <w:jc w:val="both"/>
      </w:pPr>
    </w:p>
    <w:p w:rsidR="001D0939" w:rsidRDefault="001D0939" w:rsidP="001D0939">
      <w:pPr>
        <w:jc w:val="center"/>
        <w:rPr>
          <w:b/>
        </w:rPr>
      </w:pPr>
      <w:r>
        <w:rPr>
          <w:b/>
        </w:rPr>
        <w:t xml:space="preserve">§ </w:t>
      </w:r>
      <w:r w:rsidR="00A7375A">
        <w:rPr>
          <w:b/>
        </w:rPr>
        <w:t>3</w:t>
      </w:r>
    </w:p>
    <w:p w:rsidR="00016F32" w:rsidRDefault="00016F32" w:rsidP="001D0939">
      <w:pPr>
        <w:jc w:val="center"/>
        <w:rPr>
          <w:b/>
        </w:rPr>
      </w:pPr>
    </w:p>
    <w:p w:rsidR="00C3342C" w:rsidRDefault="00CD3EB9" w:rsidP="00CD3EB9">
      <w:pPr>
        <w:tabs>
          <w:tab w:val="left" w:pos="1134"/>
        </w:tabs>
        <w:ind w:left="708"/>
        <w:jc w:val="both"/>
      </w:pPr>
      <w:r>
        <w:t>V</w:t>
      </w:r>
      <w:r w:rsidR="00C3342C" w:rsidRPr="00F96942">
        <w:t xml:space="preserve">ek </w:t>
      </w:r>
      <w:r w:rsidR="00CC03B4">
        <w:t>sporiteľa</w:t>
      </w:r>
      <w:r w:rsidR="00C3342C" w:rsidRPr="00F96942">
        <w:t xml:space="preserve"> potrebný na splnenie podmienok vyplácania starobného dôchodku, </w:t>
      </w:r>
      <w:r w:rsidR="00C3342C">
        <w:t>ktorý</w:t>
      </w:r>
    </w:p>
    <w:p w:rsidR="00C3342C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>v roku 20</w:t>
      </w:r>
      <w:r w:rsidR="00E73C33">
        <w:t>21</w:t>
      </w:r>
      <w:r>
        <w:t xml:space="preserve"> dovŕši vek 62 rokov, je 62 rokov a </w:t>
      </w:r>
      <w:r w:rsidR="00E73C33">
        <w:t>10</w:t>
      </w:r>
      <w:r>
        <w:t xml:space="preserve"> kalendárnych mesiacov, </w:t>
      </w:r>
    </w:p>
    <w:p w:rsidR="00C3342C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>v roku 202</w:t>
      </w:r>
      <w:r w:rsidR="00E73C33">
        <w:t>2</w:t>
      </w:r>
      <w:r>
        <w:t xml:space="preserve"> dovŕši vek 6</w:t>
      </w:r>
      <w:r w:rsidR="00E73C33">
        <w:t>3</w:t>
      </w:r>
      <w:r>
        <w:t xml:space="preserve"> rokov, je 6</w:t>
      </w:r>
      <w:r w:rsidR="00E73C33">
        <w:t>3</w:t>
      </w:r>
      <w:r>
        <w:t xml:space="preserve"> rokov,</w:t>
      </w:r>
    </w:p>
    <w:p w:rsidR="00C3342C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>v roku 202</w:t>
      </w:r>
      <w:r w:rsidR="00E73C33">
        <w:t>3</w:t>
      </w:r>
      <w:r>
        <w:t xml:space="preserve"> dovŕši vek 6</w:t>
      </w:r>
      <w:r w:rsidR="00E73C33">
        <w:t>3</w:t>
      </w:r>
      <w:r>
        <w:t xml:space="preserve"> rokov, je 6</w:t>
      </w:r>
      <w:r w:rsidR="00E73C33">
        <w:t>3</w:t>
      </w:r>
      <w:r>
        <w:t xml:space="preserve"> rokov a </w:t>
      </w:r>
      <w:r w:rsidR="00E73C33">
        <w:t>2</w:t>
      </w:r>
      <w:r>
        <w:t xml:space="preserve"> kalendár</w:t>
      </w:r>
      <w:r w:rsidR="00E73C33">
        <w:t>ne</w:t>
      </w:r>
      <w:r>
        <w:t xml:space="preserve"> mesia</w:t>
      </w:r>
      <w:r w:rsidR="00E73C33">
        <w:t>ce</w:t>
      </w:r>
      <w:r>
        <w:t>,</w:t>
      </w:r>
    </w:p>
    <w:p w:rsidR="00C3342C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>v roku 202</w:t>
      </w:r>
      <w:r w:rsidR="00E73C33">
        <w:t>4</w:t>
      </w:r>
      <w:r>
        <w:t xml:space="preserve"> dovŕši vek 63 rokov, je 63 rokov</w:t>
      </w:r>
      <w:r w:rsidR="00E73C33">
        <w:t xml:space="preserve"> 4 kalendárne mesiace</w:t>
      </w:r>
      <w:r>
        <w:t>,</w:t>
      </w:r>
    </w:p>
    <w:p w:rsidR="00C3342C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>v roku 2</w:t>
      </w:r>
      <w:r w:rsidR="00E73C33">
        <w:t>025</w:t>
      </w:r>
      <w:r>
        <w:t xml:space="preserve"> dovŕ</w:t>
      </w:r>
      <w:r w:rsidR="00E73C33">
        <w:t>ši vek 63 rokov, je 63 rokov a 6 kalendárnych mesiacov</w:t>
      </w:r>
      <w:r>
        <w:t>,</w:t>
      </w:r>
    </w:p>
    <w:p w:rsidR="00C3342C" w:rsidRPr="00F96942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 xml:space="preserve"> v období piatich po sebe nasledujúcich kalendárnych rokov, ktoré začína plynúť </w:t>
      </w:r>
      <w:r w:rsidRPr="00F96942">
        <w:t>kalendárn</w:t>
      </w:r>
      <w:r>
        <w:t>ym</w:t>
      </w:r>
      <w:r w:rsidRPr="00F96942">
        <w:t xml:space="preserve"> rok</w:t>
      </w:r>
      <w:r>
        <w:t>om</w:t>
      </w:r>
      <w:r w:rsidRPr="00F96942">
        <w:t>, za ktorý sa výpis zasiela</w:t>
      </w:r>
      <w:r>
        <w:t>,</w:t>
      </w:r>
      <w:r w:rsidRPr="00F96942">
        <w:t xml:space="preserve"> </w:t>
      </w:r>
    </w:p>
    <w:p w:rsidR="00C3342C" w:rsidRDefault="00C3342C" w:rsidP="00C3342C">
      <w:pPr>
        <w:pStyle w:val="Odsekzoznamu"/>
        <w:widowControl w:val="0"/>
        <w:numPr>
          <w:ilvl w:val="0"/>
          <w:numId w:val="28"/>
        </w:numPr>
        <w:tabs>
          <w:tab w:val="left" w:pos="1134"/>
        </w:tabs>
        <w:suppressAutoHyphens/>
        <w:autoSpaceDN w:val="0"/>
        <w:jc w:val="both"/>
        <w:textAlignment w:val="baseline"/>
      </w:pPr>
      <w:r>
        <w:t>nedovŕšil referenčný vek,</w:t>
      </w:r>
      <w:r>
        <w:rPr>
          <w:rStyle w:val="Odkaznapoznmkupodiarou"/>
        </w:rPr>
        <w:footnoteReference w:id="2"/>
      </w:r>
      <w:r>
        <w:t xml:space="preserve">) je </w:t>
      </w:r>
      <w:r w:rsidRPr="009B75E1">
        <w:t xml:space="preserve">vek podľa roku jeho narodenia uvedený v prílohe č. </w:t>
      </w:r>
      <w:r w:rsidR="00C135B2">
        <w:t>3</w:t>
      </w:r>
      <w:r w:rsidR="002164DD">
        <w:t>,</w:t>
      </w:r>
    </w:p>
    <w:p w:rsidR="00C3342C" w:rsidRDefault="00C3342C" w:rsidP="00C3342C">
      <w:pPr>
        <w:pStyle w:val="Odsekzoznamu"/>
        <w:widowControl w:val="0"/>
        <w:numPr>
          <w:ilvl w:val="0"/>
          <w:numId w:val="28"/>
        </w:numPr>
        <w:tabs>
          <w:tab w:val="left" w:pos="1134"/>
        </w:tabs>
        <w:suppressAutoHyphens/>
        <w:autoSpaceDN w:val="0"/>
        <w:jc w:val="both"/>
        <w:textAlignment w:val="baseline"/>
      </w:pPr>
      <w:r>
        <w:t>dovŕšil referenčný vek,</w:t>
      </w:r>
      <w:r w:rsidRPr="003B59B4">
        <w:rPr>
          <w:vertAlign w:val="superscript"/>
        </w:rPr>
        <w:t>1</w:t>
      </w:r>
      <w:r>
        <w:t xml:space="preserve">) je vek potrebný na </w:t>
      </w:r>
      <w:r w:rsidRPr="00DA6A00">
        <w:t>nárok na starobný dôchodok</w:t>
      </w:r>
      <w:r>
        <w:t xml:space="preserve"> podľa osobitného predpisu.</w:t>
      </w:r>
      <w:r>
        <w:rPr>
          <w:rStyle w:val="Odkaznapoznmkupodiarou"/>
        </w:rPr>
        <w:footnoteReference w:id="3"/>
      </w:r>
      <w:r>
        <w:t>)</w:t>
      </w:r>
    </w:p>
    <w:p w:rsidR="00A7375A" w:rsidRDefault="00A7375A" w:rsidP="00A7375A">
      <w:pPr>
        <w:pStyle w:val="Odsekzoznamu"/>
        <w:widowControl w:val="0"/>
        <w:tabs>
          <w:tab w:val="left" w:pos="1134"/>
        </w:tabs>
        <w:suppressAutoHyphens/>
        <w:autoSpaceDN w:val="0"/>
        <w:ind w:left="786"/>
        <w:jc w:val="both"/>
        <w:textAlignment w:val="baseline"/>
      </w:pPr>
    </w:p>
    <w:p w:rsidR="001D0939" w:rsidRDefault="001D0939" w:rsidP="001D0939">
      <w:pPr>
        <w:pStyle w:val="Odsekzoznamu"/>
        <w:ind w:left="0"/>
        <w:jc w:val="center"/>
        <w:rPr>
          <w:b/>
        </w:rPr>
      </w:pPr>
      <w:r>
        <w:rPr>
          <w:b/>
        </w:rPr>
        <w:t xml:space="preserve">§ </w:t>
      </w:r>
      <w:r w:rsidR="00A7375A">
        <w:rPr>
          <w:b/>
        </w:rPr>
        <w:t>4</w:t>
      </w:r>
    </w:p>
    <w:p w:rsidR="001D0939" w:rsidRDefault="001D0939" w:rsidP="001D0939">
      <w:pPr>
        <w:jc w:val="center"/>
        <w:rPr>
          <w:b/>
        </w:rPr>
      </w:pPr>
      <w:r>
        <w:rPr>
          <w:b/>
        </w:rPr>
        <w:t>Alternatívna prognóza dôchodkových dávok</w:t>
      </w:r>
    </w:p>
    <w:p w:rsidR="001D0939" w:rsidRDefault="001D0939" w:rsidP="001D0939">
      <w:pPr>
        <w:jc w:val="center"/>
        <w:rPr>
          <w:b/>
        </w:rPr>
      </w:pPr>
    </w:p>
    <w:p w:rsidR="001D0939" w:rsidRDefault="001D0939" w:rsidP="00375A89">
      <w:pPr>
        <w:ind w:firstLine="708"/>
        <w:jc w:val="both"/>
      </w:pPr>
      <w:r>
        <w:t xml:space="preserve">Ak výpis obsahuje alternatívnu prognózu </w:t>
      </w:r>
      <w:r w:rsidR="00262CA0">
        <w:t>dôchodku</w:t>
      </w:r>
      <w:r>
        <w:t>, zostaví sa podľa § </w:t>
      </w:r>
      <w:r w:rsidR="00262CA0">
        <w:t>2</w:t>
      </w:r>
      <w:r w:rsidR="00383BF0">
        <w:t xml:space="preserve"> </w:t>
      </w:r>
      <w:r>
        <w:t xml:space="preserve">ods. 2 až </w:t>
      </w:r>
      <w:r w:rsidR="00262CA0">
        <w:t>4</w:t>
      </w:r>
      <w:r>
        <w:t xml:space="preserve">, pričom sa pri zostavovaní tejto prognózy vychádza z predpokladu, že </w:t>
      </w:r>
    </w:p>
    <w:p w:rsidR="001D0939" w:rsidRDefault="00262CA0" w:rsidP="001D0939">
      <w:pPr>
        <w:pStyle w:val="Odsekzoznamu"/>
        <w:numPr>
          <w:ilvl w:val="0"/>
          <w:numId w:val="34"/>
        </w:numPr>
        <w:ind w:left="426" w:hanging="426"/>
        <w:jc w:val="both"/>
      </w:pPr>
      <w:r>
        <w:t xml:space="preserve">začne platiť dobrovoľné príspevky podľa </w:t>
      </w:r>
      <w:r w:rsidR="00E90B7D">
        <w:t>§ 21 ods. 5 zákona</w:t>
      </w:r>
      <w:r w:rsidR="001D0939">
        <w:t>,</w:t>
      </w:r>
    </w:p>
    <w:p w:rsidR="001D0939" w:rsidRDefault="001D0939" w:rsidP="001D0939">
      <w:pPr>
        <w:pStyle w:val="Odsekzoznamu"/>
        <w:numPr>
          <w:ilvl w:val="0"/>
          <w:numId w:val="34"/>
        </w:numPr>
        <w:ind w:left="426" w:hanging="426"/>
        <w:jc w:val="both"/>
      </w:pPr>
      <w:r>
        <w:t>použije mesačný výnos dôchodkového fondu, ktorý je zaradený do inej kategórie syntetického ukazovateľa rizika.</w:t>
      </w:r>
    </w:p>
    <w:p w:rsidR="001D0939" w:rsidRDefault="001D0939" w:rsidP="001D0939">
      <w:pPr>
        <w:jc w:val="center"/>
        <w:rPr>
          <w:b/>
        </w:rPr>
      </w:pPr>
    </w:p>
    <w:p w:rsidR="00BD6E7A" w:rsidRPr="00BD6E7A" w:rsidRDefault="00CD3EB9" w:rsidP="00BD6E7A">
      <w:pPr>
        <w:jc w:val="center"/>
        <w:rPr>
          <w:b/>
        </w:rPr>
      </w:pPr>
      <w:r>
        <w:rPr>
          <w:b/>
        </w:rPr>
        <w:t>§ 5</w:t>
      </w:r>
    </w:p>
    <w:p w:rsidR="00BD6E7A" w:rsidRDefault="00BD6E7A" w:rsidP="00BD6E7A">
      <w:pPr>
        <w:jc w:val="center"/>
        <w:rPr>
          <w:b/>
        </w:rPr>
      </w:pPr>
      <w:r>
        <w:rPr>
          <w:b/>
        </w:rPr>
        <w:t>Zrušovacie ustanovenie</w:t>
      </w:r>
    </w:p>
    <w:p w:rsidR="00BD6E7A" w:rsidRPr="00BD6E7A" w:rsidRDefault="00BD6E7A" w:rsidP="00BD6E7A">
      <w:pPr>
        <w:jc w:val="center"/>
        <w:rPr>
          <w:b/>
        </w:rPr>
      </w:pPr>
    </w:p>
    <w:p w:rsidR="00BD6E7A" w:rsidRDefault="00BD6E7A" w:rsidP="00BD6E7A">
      <w:pPr>
        <w:ind w:firstLine="708"/>
        <w:jc w:val="both"/>
      </w:pPr>
      <w:r w:rsidRPr="00BD6E7A">
        <w:t xml:space="preserve">Zrušuje sa opatrenie Ministerstva práce, sociálnych vecí a rodiny Slovenskej republiky </w:t>
      </w:r>
      <w:r>
        <w:t xml:space="preserve">č. </w:t>
      </w:r>
      <w:r w:rsidR="00CD3EB9">
        <w:t>288</w:t>
      </w:r>
      <w:r>
        <w:t>/201</w:t>
      </w:r>
      <w:r w:rsidR="00CD3EB9">
        <w:t>4</w:t>
      </w:r>
      <w:r>
        <w:t xml:space="preserve"> Z. z., ktorým sa ustanovuje obsah, forma a štruktúra výpisu z</w:t>
      </w:r>
      <w:r w:rsidR="00CD3EB9">
        <w:t> </w:t>
      </w:r>
      <w:r>
        <w:t>osobného</w:t>
      </w:r>
      <w:r w:rsidR="00CD3EB9">
        <w:t xml:space="preserve"> dôchodkového</w:t>
      </w:r>
      <w:r>
        <w:t xml:space="preserve"> účtu </w:t>
      </w:r>
      <w:r w:rsidR="00CD3EB9">
        <w:t>sporiteľa</w:t>
      </w:r>
      <w:r>
        <w:t>.</w:t>
      </w:r>
    </w:p>
    <w:p w:rsidR="00BD6E7A" w:rsidRPr="00BD6E7A" w:rsidRDefault="00BD6E7A" w:rsidP="00BD6E7A">
      <w:pPr>
        <w:ind w:firstLine="708"/>
        <w:jc w:val="both"/>
      </w:pPr>
    </w:p>
    <w:p w:rsidR="001D0939" w:rsidRDefault="001D0939" w:rsidP="001D0939">
      <w:pPr>
        <w:jc w:val="center"/>
        <w:rPr>
          <w:b/>
        </w:rPr>
      </w:pPr>
      <w:r>
        <w:rPr>
          <w:b/>
        </w:rPr>
        <w:t xml:space="preserve">§ </w:t>
      </w:r>
      <w:r w:rsidR="00CD3EB9">
        <w:rPr>
          <w:b/>
        </w:rPr>
        <w:t>6</w:t>
      </w:r>
    </w:p>
    <w:p w:rsidR="001D0939" w:rsidRDefault="001D0939" w:rsidP="001D0939">
      <w:pPr>
        <w:jc w:val="center"/>
        <w:rPr>
          <w:b/>
        </w:rPr>
      </w:pPr>
    </w:p>
    <w:p w:rsidR="001D0939" w:rsidRDefault="001D0939" w:rsidP="001D0939">
      <w:pPr>
        <w:jc w:val="both"/>
      </w:pPr>
      <w:r>
        <w:tab/>
        <w:t>Toto opatrenie nadobúda účinnosť 1. januára 20</w:t>
      </w:r>
      <w:r w:rsidR="00CD3EB9">
        <w:t>21</w:t>
      </w:r>
      <w:r>
        <w:t>.</w:t>
      </w:r>
    </w:p>
    <w:p w:rsidR="001D0939" w:rsidRDefault="001D0939" w:rsidP="001D0939">
      <w:pPr>
        <w:jc w:val="both"/>
      </w:pPr>
    </w:p>
    <w:p w:rsidR="001D0939" w:rsidRDefault="001D0939" w:rsidP="001D0939">
      <w:pPr>
        <w:jc w:val="center"/>
      </w:pPr>
    </w:p>
    <w:p w:rsidR="001D0939" w:rsidRDefault="001D0939" w:rsidP="001D0939">
      <w:pPr>
        <w:ind w:left="360"/>
        <w:jc w:val="center"/>
        <w:rPr>
          <w:b/>
        </w:rPr>
      </w:pPr>
      <w:r>
        <w:rPr>
          <w:b/>
        </w:rPr>
        <w:t>Ján Richter</w:t>
      </w:r>
    </w:p>
    <w:p w:rsidR="00C7069D" w:rsidRDefault="00B77176" w:rsidP="00B77176">
      <w:pPr>
        <w:rPr>
          <w:b/>
          <w:sz w:val="28"/>
          <w:szCs w:val="28"/>
        </w:rPr>
        <w:sectPr w:rsidR="00C7069D" w:rsidSect="00724A3A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                                                      v. r.</w:t>
      </w:r>
    </w:p>
    <w:p w:rsidR="00143872" w:rsidRDefault="00143872" w:rsidP="00143872">
      <w:pPr>
        <w:pStyle w:val="Hlavika"/>
        <w:pageBreakBefore/>
        <w:jc w:val="right"/>
      </w:pPr>
      <w:r>
        <w:lastRenderedPageBreak/>
        <w:t>Príloha č. 1 k opatreniu č. .../2019 Z. z.</w:t>
      </w:r>
    </w:p>
    <w:p w:rsidR="00143872" w:rsidRDefault="00143872" w:rsidP="001D0939">
      <w:pPr>
        <w:jc w:val="center"/>
      </w:pPr>
    </w:p>
    <w:p w:rsidR="001D0939" w:rsidRDefault="001D0939" w:rsidP="001D0939">
      <w:pPr>
        <w:jc w:val="center"/>
      </w:pPr>
      <w:r>
        <w:t>VZOR</w:t>
      </w:r>
    </w:p>
    <w:p w:rsidR="001D0939" w:rsidRDefault="001D0939" w:rsidP="001D0939">
      <w:pPr>
        <w:jc w:val="center"/>
        <w:rPr>
          <w:b/>
        </w:rPr>
      </w:pPr>
      <w:r>
        <w:rPr>
          <w:b/>
        </w:rPr>
        <w:t>Výpis z</w:t>
      </w:r>
      <w:r w:rsidR="00CD3EB9">
        <w:rPr>
          <w:b/>
        </w:rPr>
        <w:t> </w:t>
      </w:r>
      <w:r>
        <w:rPr>
          <w:b/>
        </w:rPr>
        <w:t>osobného</w:t>
      </w:r>
      <w:r w:rsidR="00CD3EB9">
        <w:rPr>
          <w:b/>
        </w:rPr>
        <w:t xml:space="preserve"> dôchodkového účtu sporiteľa</w:t>
      </w:r>
      <w:r>
        <w:rPr>
          <w:b/>
        </w:rPr>
        <w:t xml:space="preserve"> </w:t>
      </w:r>
      <w:r>
        <w:rPr>
          <w:vertAlign w:val="superscript"/>
        </w:rPr>
        <w:t>a</w:t>
      </w:r>
      <w:r>
        <w:t>)</w:t>
      </w:r>
    </w:p>
    <w:p w:rsidR="001D0939" w:rsidRDefault="001D0939" w:rsidP="001D0939"/>
    <w:tbl>
      <w:tblPr>
        <w:tblStyle w:val="Mriekatabuky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D0939" w:rsidTr="001E536F">
        <w:trPr>
          <w:trHeight w:val="272"/>
        </w:trPr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763CCE">
            <w:pPr>
              <w:rPr>
                <w:lang w:eastAsia="en-US"/>
              </w:rPr>
            </w:pPr>
            <w:r>
              <w:rPr>
                <w:lang w:eastAsia="en-US"/>
              </w:rPr>
              <w:t>Údaje o</w:t>
            </w:r>
            <w:r w:rsidR="00763CCE">
              <w:rPr>
                <w:lang w:eastAsia="en-US"/>
              </w:rPr>
              <w:t> </w:t>
            </w:r>
            <w:r>
              <w:rPr>
                <w:lang w:eastAsia="en-US"/>
              </w:rPr>
              <w:t>dôchodkovej</w:t>
            </w:r>
            <w:r w:rsidR="00763CCE">
              <w:rPr>
                <w:lang w:eastAsia="en-US"/>
              </w:rPr>
              <w:t xml:space="preserve"> správcovskej spoločnosti a sporiteľovi </w:t>
            </w:r>
            <w:r>
              <w:rPr>
                <w:vertAlign w:val="superscript"/>
                <w:lang w:eastAsia="en-US"/>
              </w:rPr>
              <w:t>b</w:t>
            </w:r>
            <w:r>
              <w:rPr>
                <w:lang w:eastAsia="en-US"/>
              </w:rPr>
              <w:t>)</w:t>
            </w:r>
          </w:p>
        </w:tc>
      </w:tr>
    </w:tbl>
    <w:p w:rsidR="001D0939" w:rsidRDefault="001D0939" w:rsidP="001D0939">
      <w:r>
        <w:t>Blok A</w:t>
      </w:r>
      <w:r>
        <w:rPr>
          <w:vertAlign w:val="superscript"/>
        </w:rPr>
        <w:t>c</w:t>
      </w:r>
      <w: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1D0939" w:rsidTr="001E536F">
        <w:trPr>
          <w:trHeight w:val="987"/>
        </w:trPr>
        <w:tc>
          <w:tcPr>
            <w:tcW w:w="10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 ...</w:t>
            </w:r>
            <w:r>
              <w:rPr>
                <w:vertAlign w:val="superscript"/>
                <w:lang w:eastAsia="en-US"/>
              </w:rPr>
              <w:t>d</w:t>
            </w:r>
            <w:r>
              <w:rPr>
                <w:lang w:eastAsia="en-US"/>
              </w:rPr>
              <w:t>) máte nasporené ...</w:t>
            </w:r>
            <w:r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 xml:space="preserve">). </w:t>
            </w:r>
          </w:p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Mesačne si priemerne sporíte ...</w:t>
            </w:r>
            <w:r>
              <w:rPr>
                <w:rStyle w:val="Odkaznapoznmkupodiarou"/>
                <w:lang w:eastAsia="en-US"/>
              </w:rPr>
              <w:t>f</w:t>
            </w:r>
            <w:r>
              <w:rPr>
                <w:lang w:eastAsia="en-US"/>
              </w:rPr>
              <w:t xml:space="preserve">), </w:t>
            </w:r>
          </w:p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Váš predpokladaný dôchodok vyplácaný ...</w:t>
            </w:r>
            <w:r w:rsidR="00112E06">
              <w:rPr>
                <w:vertAlign w:val="superscript"/>
                <w:lang w:eastAsia="en-US"/>
              </w:rPr>
              <w:t>g</w:t>
            </w:r>
            <w:r>
              <w:rPr>
                <w:lang w:eastAsia="en-US"/>
              </w:rPr>
              <w:t>) bude v sume ...</w:t>
            </w:r>
            <w:r w:rsidR="00112E06">
              <w:rPr>
                <w:vertAlign w:val="superscript"/>
                <w:lang w:eastAsia="en-US"/>
              </w:rPr>
              <w:t>h</w:t>
            </w:r>
            <w:r>
              <w:rPr>
                <w:lang w:eastAsia="en-US"/>
              </w:rPr>
              <w:t xml:space="preserve">), </w:t>
            </w:r>
          </w:p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čo v dnešných cenách predstavuje ...</w:t>
            </w:r>
            <w:r w:rsidR="00112E06">
              <w:rPr>
                <w:vertAlign w:val="superscript"/>
                <w:lang w:eastAsia="en-US"/>
              </w:rPr>
              <w:t>i</w:t>
            </w:r>
            <w:r>
              <w:rPr>
                <w:lang w:eastAsia="en-US"/>
              </w:rPr>
              <w:t>).</w:t>
            </w:r>
          </w:p>
        </w:tc>
      </w:tr>
    </w:tbl>
    <w:p w:rsidR="001D0939" w:rsidRPr="009C7A2C" w:rsidRDefault="001D0939" w:rsidP="001D0939">
      <w:pPr>
        <w:rPr>
          <w:sz w:val="16"/>
          <w:szCs w:val="16"/>
        </w:rPr>
      </w:pPr>
    </w:p>
    <w:p w:rsidR="001D0939" w:rsidRDefault="001D0939" w:rsidP="001D0939">
      <w:r>
        <w:t>Blok B</w:t>
      </w:r>
      <w:r>
        <w:rPr>
          <w:vertAlign w:val="superscript"/>
        </w:rPr>
        <w:t>c</w:t>
      </w:r>
      <w: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7"/>
        <w:gridCol w:w="1701"/>
      </w:tblGrid>
      <w:tr w:rsidR="001D0939" w:rsidTr="001E536F">
        <w:trPr>
          <w:trHeight w:val="22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12E06">
            <w:pPr>
              <w:rPr>
                <w:lang w:eastAsia="en-US"/>
              </w:rPr>
            </w:pPr>
            <w:r>
              <w:rPr>
                <w:lang w:eastAsia="en-US"/>
              </w:rPr>
              <w:t>Váš predpokladaný</w:t>
            </w:r>
            <w:r w:rsidR="0078677F">
              <w:rPr>
                <w:lang w:eastAsia="en-US"/>
              </w:rPr>
              <w:t xml:space="preserve"> </w:t>
            </w:r>
            <w:r w:rsidR="00112E06">
              <w:rPr>
                <w:vertAlign w:val="superscript"/>
                <w:lang w:eastAsia="en-US"/>
              </w:rPr>
              <w:t>j</w:t>
            </w:r>
            <w:r>
              <w:rPr>
                <w:lang w:eastAsia="en-US"/>
              </w:rPr>
              <w:t>) vek pre starobný dôchodok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9F396E" w:rsidP="001E536F">
            <w:pPr>
              <w:jc w:val="center"/>
              <w:rPr>
                <w:lang w:eastAsia="en-US"/>
              </w:rPr>
            </w:pPr>
            <w:r>
              <w:rPr>
                <w:rStyle w:val="Odkaznapoznmkupodiarou"/>
                <w:lang w:eastAsia="en-US"/>
              </w:rPr>
              <w:t>k</w:t>
            </w:r>
            <w:r w:rsidR="001D0939">
              <w:rPr>
                <w:lang w:eastAsia="en-US"/>
              </w:rPr>
              <w:t xml:space="preserve">) </w:t>
            </w:r>
          </w:p>
        </w:tc>
      </w:tr>
      <w:tr w:rsidR="001D0939" w:rsidTr="001E536F">
        <w:trPr>
          <w:trHeight w:val="21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Doteraz ste si sporili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9F396E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l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/>
    <w:p w:rsidR="001D0939" w:rsidRPr="009C7A2C" w:rsidRDefault="001D0939" w:rsidP="001D0939">
      <w:pPr>
        <w:rPr>
          <w:sz w:val="16"/>
          <w:szCs w:val="16"/>
        </w:rPr>
      </w:pPr>
    </w:p>
    <w:p w:rsidR="001D0939" w:rsidRDefault="001D0939" w:rsidP="001D0939">
      <w:r>
        <w:t>Blok C</w:t>
      </w:r>
      <w:r>
        <w:rPr>
          <w:vertAlign w:val="superscript"/>
        </w:rPr>
        <w:t>c</w:t>
      </w:r>
      <w:r>
        <w:t>)</w:t>
      </w:r>
    </w:p>
    <w:p w:rsidR="001D0939" w:rsidRDefault="001D0939" w:rsidP="001D0939">
      <w:pPr>
        <w:jc w:val="center"/>
      </w:pPr>
      <w:r>
        <w:t>Prognózy Vašej nasporenej sumy a </w:t>
      </w:r>
      <w:r w:rsidR="00763CCE">
        <w:t>dôchodku</w:t>
      </w:r>
      <w:r>
        <w:t> v nominálnom vyjadrení*</w:t>
      </w:r>
    </w:p>
    <w:p w:rsidR="001D0939" w:rsidRDefault="001D0939" w:rsidP="001D0939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1D0939" w:rsidTr="001E536F">
        <w:trPr>
          <w:trHeight w:val="13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Do dovŕšenia</w:t>
            </w:r>
            <w:r>
              <w:rPr>
                <w:vertAlign w:val="superscript"/>
                <w:lang w:eastAsia="en-US"/>
              </w:rPr>
              <w:t>l</w:t>
            </w:r>
            <w:r>
              <w:rPr>
                <w:lang w:eastAsia="en-US"/>
              </w:rPr>
              <w:t xml:space="preserve">) </w:t>
            </w:r>
          </w:p>
        </w:tc>
      </w:tr>
      <w:tr w:rsidR="001D0939" w:rsidTr="001E536F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budete sporiť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9F396E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m</w:t>
            </w:r>
            <w:r w:rsidR="001D0939">
              <w:rPr>
                <w:lang w:eastAsia="en-US"/>
              </w:rPr>
              <w:t xml:space="preserve">) </w:t>
            </w:r>
          </w:p>
        </w:tc>
      </w:tr>
      <w:tr w:rsidR="001D0939" w:rsidTr="001E536F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prispejete 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9F396E" w:rsidP="001E536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n</w:t>
            </w:r>
            <w:r w:rsidR="001D0939">
              <w:rPr>
                <w:lang w:eastAsia="en-US"/>
              </w:rPr>
              <w:t>)</w:t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86"/>
        <w:tblW w:w="6662" w:type="dxa"/>
        <w:tblLook w:val="04A0" w:firstRow="1" w:lastRow="0" w:firstColumn="1" w:lastColumn="0" w:noHBand="0" w:noVBand="1"/>
      </w:tblPr>
      <w:tblGrid>
        <w:gridCol w:w="6662"/>
      </w:tblGrid>
      <w:tr w:rsidR="001D0939" w:rsidTr="001E536F">
        <w:trPr>
          <w:trHeight w:val="25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1D0939" w:rsidP="009F396E">
            <w:pPr>
              <w:rPr>
                <w:lang w:eastAsia="en-US"/>
              </w:rPr>
            </w:pPr>
            <w:r>
              <w:rPr>
                <w:lang w:eastAsia="en-US"/>
              </w:rPr>
              <w:t>Grafické znázornenie prognóz nasporenej sumy</w:t>
            </w:r>
            <w:r w:rsidR="009F396E">
              <w:rPr>
                <w:vertAlign w:val="superscript"/>
                <w:lang w:eastAsia="en-US"/>
              </w:rPr>
              <w:t>o</w:t>
            </w:r>
            <w:r>
              <w:rPr>
                <w:lang w:eastAsia="en-US"/>
              </w:rPr>
              <w:t>)</w:t>
            </w:r>
          </w:p>
        </w:tc>
      </w:tr>
    </w:tbl>
    <w:p w:rsidR="001D0939" w:rsidRDefault="001D0939" w:rsidP="001D0939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br w:type="textWrapping" w:clear="all"/>
      </w:r>
    </w:p>
    <w:p w:rsidR="00667143" w:rsidRDefault="00667143" w:rsidP="001D0939">
      <w:pPr>
        <w:pStyle w:val="Nadpis3"/>
        <w:spacing w:before="0" w:after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0939" w:rsidRDefault="001D0939" w:rsidP="001D0939">
      <w:pPr>
        <w:pStyle w:val="Nadpis3"/>
        <w:spacing w:before="0" w:after="0"/>
        <w:jc w:val="center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895"/>
        <w:gridCol w:w="2224"/>
      </w:tblGrid>
      <w:tr w:rsidR="001D0939" w:rsidTr="001E536F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39" w:rsidRDefault="001D0939" w:rsidP="001E536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Pesimistický scenár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Základný  scenár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Optimistický scenár</w:t>
            </w:r>
          </w:p>
        </w:tc>
      </w:tr>
      <w:tr w:rsidR="001D0939" w:rsidTr="001E536F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E5374A">
            <w:pPr>
              <w:rPr>
                <w:lang w:eastAsia="en-US"/>
              </w:rPr>
            </w:pPr>
            <w:r>
              <w:rPr>
                <w:lang w:eastAsia="en-US"/>
              </w:rPr>
              <w:t>Prognóza nasporenej sumy k veku ...</w:t>
            </w:r>
            <w:r w:rsidR="00E5374A">
              <w:rPr>
                <w:vertAlign w:val="superscript"/>
                <w:lang w:eastAsia="en-US"/>
              </w:rPr>
              <w:t>k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p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p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p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E5374A">
            <w:pPr>
              <w:rPr>
                <w:lang w:eastAsia="en-US"/>
              </w:rPr>
            </w:pPr>
            <w:r>
              <w:rPr>
                <w:lang w:eastAsia="en-US"/>
              </w:rPr>
              <w:t>Predpokladaný mesačný dôchodok vyplácaný počas ...</w:t>
            </w:r>
            <w:r w:rsidR="00E5374A">
              <w:rPr>
                <w:vertAlign w:val="superscript"/>
                <w:lang w:eastAsia="en-US"/>
              </w:rPr>
              <w:t>g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q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q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q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>
      <w:pPr>
        <w:rPr>
          <w:rFonts w:ascii="Helvetica" w:hAnsi="Helvetica" w:cs="Arial"/>
          <w:color w:val="333333"/>
          <w:sz w:val="21"/>
          <w:szCs w:val="21"/>
        </w:rPr>
      </w:pPr>
    </w:p>
    <w:p w:rsidR="001D0939" w:rsidRDefault="001D0939" w:rsidP="001D0939">
      <w:pPr>
        <w:pStyle w:val="ng-binding"/>
        <w:spacing w:after="0"/>
        <w:jc w:val="both"/>
      </w:pPr>
      <w:r>
        <w:t>Je dôležité si uvedomiť, že ceny tovarov a služieb postupne rastú. Rast cien vo výške 2% ročne môže po ...</w:t>
      </w:r>
      <w:r w:rsidR="00E5374A">
        <w:rPr>
          <w:vertAlign w:val="superscript"/>
        </w:rPr>
        <w:t>m</w:t>
      </w:r>
      <w:r>
        <w:t>) sporenia znížiť kúpnu silu Vášho dôchodku o ...</w:t>
      </w:r>
      <w:r w:rsidR="00E5374A">
        <w:rPr>
          <w:vertAlign w:val="superscript"/>
        </w:rPr>
        <w:t>r</w:t>
      </w:r>
      <w:r>
        <w:t>). Množstvo tovarov a služieb, ktoré si budete môcť kúpiť, teda v skutočnosti nebude zodpovedať sume ...</w:t>
      </w:r>
      <w:r w:rsidR="00A45E64">
        <w:rPr>
          <w:vertAlign w:val="superscript"/>
        </w:rPr>
        <w:t>s</w:t>
      </w:r>
      <w:r>
        <w:t>), ale sume ...</w:t>
      </w:r>
      <w:r w:rsidR="00A45E64">
        <w:rPr>
          <w:vertAlign w:val="superscript"/>
        </w:rPr>
        <w:t>h</w:t>
      </w:r>
      <w:r>
        <w:t>).</w:t>
      </w:r>
    </w:p>
    <w:p w:rsidR="001D0939" w:rsidRDefault="001D0939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763CCE" w:rsidRDefault="001D0939" w:rsidP="00763CCE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*Na výpočet prognózy Vašej nasporenej sumy a výšky predpokladaného mesačného dôchodku boli použité </w:t>
      </w:r>
      <w:r w:rsidR="00A1430E">
        <w:rPr>
          <w:sz w:val="20"/>
          <w:szCs w:val="20"/>
        </w:rPr>
        <w:t xml:space="preserve">tieto </w:t>
      </w:r>
      <w:r>
        <w:rPr>
          <w:sz w:val="20"/>
          <w:szCs w:val="20"/>
        </w:rPr>
        <w:t>parametre: </w:t>
      </w:r>
      <w:r w:rsidR="00B87114">
        <w:rPr>
          <w:sz w:val="20"/>
          <w:szCs w:val="20"/>
        </w:rPr>
        <w:t>Váš </w:t>
      </w:r>
      <w:r w:rsidR="00786D28">
        <w:rPr>
          <w:sz w:val="20"/>
          <w:szCs w:val="20"/>
        </w:rPr>
        <w:t xml:space="preserve">priemerný mesačný príspevok, </w:t>
      </w:r>
      <w:r w:rsidR="00763CCE">
        <w:rPr>
          <w:sz w:val="20"/>
          <w:szCs w:val="20"/>
        </w:rPr>
        <w:t>celková hodnota Vašich úspor,</w:t>
      </w:r>
      <w:r>
        <w:rPr>
          <w:sz w:val="20"/>
          <w:szCs w:val="20"/>
        </w:rPr>
        <w:t xml:space="preserve"> inflácia</w:t>
      </w:r>
      <w:r w:rsidR="00763CCE">
        <w:rPr>
          <w:sz w:val="20"/>
          <w:szCs w:val="20"/>
        </w:rPr>
        <w:t>, predpokladaný rast mzdy</w:t>
      </w:r>
      <w:r>
        <w:rPr>
          <w:sz w:val="20"/>
          <w:szCs w:val="20"/>
        </w:rPr>
        <w:t xml:space="preserve"> a odhad zhodnotenia počas obdobia sporenia znížený o odplaty, náklady a poplatky. Grafické znázornenie prognóz nasporenej sumy </w:t>
      </w:r>
      <w:r w:rsidR="00763CCE">
        <w:rPr>
          <w:sz w:val="20"/>
          <w:szCs w:val="20"/>
        </w:rPr>
        <w:t>závisí od dôchodkového</w:t>
      </w:r>
      <w:r>
        <w:rPr>
          <w:sz w:val="20"/>
          <w:szCs w:val="20"/>
        </w:rPr>
        <w:t xml:space="preserve"> vek</w:t>
      </w:r>
      <w:r w:rsidR="00763CCE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="00763CCE">
        <w:rPr>
          <w:sz w:val="20"/>
          <w:szCs w:val="20"/>
        </w:rPr>
        <w:t>potrebného</w:t>
      </w:r>
      <w:r>
        <w:rPr>
          <w:sz w:val="20"/>
          <w:szCs w:val="20"/>
        </w:rPr>
        <w:t xml:space="preserve"> pre starobný dôchodok zo Sociálnej poisťovne. Parametre na výpočet prognóz, okrem výšky odplát, nákladov a poplatkov, sú ustanovené Ministerstvom práce, sociálnych vecí a rodiny Slovenskej republiky. </w:t>
      </w:r>
    </w:p>
    <w:p w:rsidR="00143872" w:rsidRDefault="00143872" w:rsidP="00763CCE">
      <w:pPr>
        <w:spacing w:after="80"/>
        <w:jc w:val="both"/>
      </w:pPr>
    </w:p>
    <w:p w:rsidR="001D0939" w:rsidRDefault="001D0939" w:rsidP="00763CCE">
      <w:pPr>
        <w:spacing w:after="80"/>
        <w:jc w:val="both"/>
      </w:pPr>
      <w:r>
        <w:lastRenderedPageBreak/>
        <w:t>Blok D</w:t>
      </w:r>
      <w:r>
        <w:rPr>
          <w:vertAlign w:val="superscript"/>
        </w:rPr>
        <w:t>c</w:t>
      </w:r>
      <w:r>
        <w:t>)</w:t>
      </w:r>
    </w:p>
    <w:tbl>
      <w:tblPr>
        <w:tblStyle w:val="Mriekatabuky"/>
        <w:tblW w:w="10581" w:type="dxa"/>
        <w:tblLook w:val="04A0" w:firstRow="1" w:lastRow="0" w:firstColumn="1" w:lastColumn="0" w:noHBand="0" w:noVBand="1"/>
      </w:tblPr>
      <w:tblGrid>
        <w:gridCol w:w="7054"/>
        <w:gridCol w:w="3527"/>
      </w:tblGrid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786D28">
            <w:pPr>
              <w:rPr>
                <w:lang w:eastAsia="en-US"/>
              </w:rPr>
            </w:pPr>
            <w:r>
              <w:rPr>
                <w:lang w:eastAsia="en-US"/>
              </w:rPr>
              <w:t>Celková hodnota Vašich úspor k ...</w:t>
            </w:r>
            <w:r w:rsidR="00786D28">
              <w:rPr>
                <w:vertAlign w:val="superscript"/>
                <w:lang w:eastAsia="en-US"/>
              </w:rPr>
              <w:t>t</w:t>
            </w:r>
            <w:r>
              <w:rPr>
                <w:lang w:eastAsia="en-US"/>
              </w:rPr>
              <w:t>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86D28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u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/>
    <w:tbl>
      <w:tblPr>
        <w:tblStyle w:val="Mriekatabuky"/>
        <w:tblW w:w="10581" w:type="dxa"/>
        <w:tblLook w:val="04A0" w:firstRow="1" w:lastRow="0" w:firstColumn="1" w:lastColumn="0" w:noHBand="0" w:noVBand="1"/>
      </w:tblPr>
      <w:tblGrid>
        <w:gridCol w:w="7054"/>
        <w:gridCol w:w="3527"/>
      </w:tblGrid>
      <w:tr w:rsidR="001D0939" w:rsidTr="001E536F">
        <w:trPr>
          <w:trHeight w:val="275"/>
        </w:trPr>
        <w:tc>
          <w:tcPr>
            <w:tcW w:w="10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86D28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v</w:t>
            </w:r>
            <w:r w:rsidR="001D0939">
              <w:rPr>
                <w:lang w:eastAsia="en-US"/>
              </w:rPr>
              <w:t>)Transakcie a zmeny na Vašom osobnom</w:t>
            </w:r>
            <w:r w:rsidR="00667143">
              <w:rPr>
                <w:lang w:eastAsia="en-US"/>
              </w:rPr>
              <w:t xml:space="preserve"> dôchodkovom</w:t>
            </w:r>
            <w:r w:rsidR="001D0939">
              <w:rPr>
                <w:lang w:eastAsia="en-US"/>
              </w:rPr>
              <w:t xml:space="preserve"> účte od</w:t>
            </w:r>
            <w:r>
              <w:rPr>
                <w:vertAlign w:val="superscript"/>
                <w:lang w:eastAsia="en-US"/>
              </w:rPr>
              <w:t>t</w:t>
            </w:r>
            <w:r w:rsidR="001D0939">
              <w:rPr>
                <w:lang w:eastAsia="en-US"/>
              </w:rPr>
              <w:t>) ... do</w:t>
            </w:r>
            <w:r w:rsidR="001D0939">
              <w:rPr>
                <w:vertAlign w:val="superscript"/>
                <w:lang w:eastAsia="en-US"/>
              </w:rPr>
              <w:t>d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39" w:rsidRDefault="001D0939" w:rsidP="001E536F">
            <w:pPr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786D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Názov dôchodkového fondu</w:t>
            </w:r>
            <w:r w:rsidR="0079367B">
              <w:rPr>
                <w:lang w:eastAsia="en-US"/>
              </w:rPr>
              <w:t xml:space="preserve"> </w:t>
            </w:r>
            <w:r w:rsidR="00786D28">
              <w:rPr>
                <w:vertAlign w:val="superscript"/>
                <w:lang w:eastAsia="en-US"/>
              </w:rPr>
              <w:t>w</w:t>
            </w:r>
            <w:r>
              <w:rPr>
                <w:lang w:eastAsia="en-US"/>
              </w:rPr>
              <w:t xml:space="preserve">) </w:t>
            </w:r>
            <w:r w:rsidR="00786D28">
              <w:rPr>
                <w:vertAlign w:val="superscript"/>
                <w:lang w:eastAsia="en-US"/>
              </w:rPr>
              <w:t>x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285811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)Stav Vašich úspor v dôchodkovom fonde k ...</w:t>
            </w:r>
            <w:r>
              <w:rPr>
                <w:vertAlign w:val="superscript"/>
                <w:lang w:eastAsia="en-US"/>
              </w:rPr>
              <w:t>z</w:t>
            </w:r>
            <w:r w:rsidR="001D0939">
              <w:rPr>
                <w:lang w:eastAsia="en-US"/>
              </w:rPr>
              <w:t>)</w:t>
            </w:r>
            <w:r w:rsidR="001D0939">
              <w:rPr>
                <w:vertAlign w:val="superscript"/>
                <w:lang w:eastAsia="en-US"/>
              </w:rPr>
              <w:t xml:space="preserve"> a</w:t>
            </w:r>
            <w:r>
              <w:rPr>
                <w:vertAlign w:val="superscript"/>
                <w:lang w:eastAsia="en-US"/>
              </w:rPr>
              <w:t>a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285811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</w:t>
            </w:r>
            <w:r w:rsidR="00285811">
              <w:rPr>
                <w:vertAlign w:val="superscript"/>
                <w:lang w:eastAsia="en-US"/>
              </w:rPr>
              <w:t>b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1E536F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)Vaše príspevky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285811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</w:t>
            </w:r>
            <w:r w:rsidR="00285811">
              <w:rPr>
                <w:vertAlign w:val="superscript"/>
                <w:lang w:eastAsia="en-US"/>
              </w:rPr>
              <w:t>c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1E536F">
            <w:pPr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)...</w:t>
            </w:r>
            <w:r>
              <w:rPr>
                <w:vertAlign w:val="superscript"/>
                <w:lang w:eastAsia="en-US"/>
              </w:rPr>
              <w:t>ad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285811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a</w:t>
            </w:r>
            <w:r w:rsidR="00285811"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390B43">
            <w:pPr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)Prestupy medzi dôchodkovými fondmi</w:t>
            </w:r>
            <w:r w:rsidR="001D0939">
              <w:rPr>
                <w:vertAlign w:val="superscript"/>
                <w:lang w:eastAsia="en-US"/>
              </w:rPr>
              <w:t>a</w:t>
            </w:r>
            <w:r w:rsidR="00390B43">
              <w:rPr>
                <w:vertAlign w:val="superscript"/>
                <w:lang w:eastAsia="en-US"/>
              </w:rPr>
              <w:t>f</w:t>
            </w:r>
            <w:r w:rsidR="001D0939">
              <w:rPr>
                <w:lang w:eastAsia="en-US"/>
              </w:rPr>
              <w:t xml:space="preserve">)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390B43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a</w:t>
            </w:r>
            <w:r w:rsidR="00390B43">
              <w:rPr>
                <w:vertAlign w:val="superscript"/>
                <w:lang w:eastAsia="en-US"/>
              </w:rPr>
              <w:t>g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390B43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667143">
              <w:rPr>
                <w:lang w:eastAsia="en-US"/>
              </w:rPr>
              <w:t xml:space="preserve">)Vyplatené dôchodky </w:t>
            </w:r>
            <w:r w:rsidR="001D0939">
              <w:rPr>
                <w:vertAlign w:val="superscript"/>
                <w:lang w:eastAsia="en-US"/>
              </w:rPr>
              <w:t>a</w:t>
            </w:r>
            <w:r w:rsidR="00390B43">
              <w:rPr>
                <w:vertAlign w:val="superscript"/>
                <w:lang w:eastAsia="en-US"/>
              </w:rPr>
              <w:t>h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390B43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</w:t>
            </w:r>
            <w:r w:rsidR="00390B43">
              <w:rPr>
                <w:vertAlign w:val="superscript"/>
                <w:lang w:eastAsia="en-US"/>
              </w:rPr>
              <w:t>i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1E536F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)Čisté zhodnotenie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aj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667143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)Stav Vašich úspor v  dôchodkovom fonde k ...</w:t>
            </w:r>
            <w:r w:rsidR="00390B43">
              <w:rPr>
                <w:vertAlign w:val="superscript"/>
                <w:lang w:eastAsia="en-US"/>
              </w:rPr>
              <w:t>ak</w:t>
            </w:r>
            <w:r w:rsidR="001D0939">
              <w:rPr>
                <w:lang w:eastAsia="en-US"/>
              </w:rPr>
              <w:t>)</w:t>
            </w:r>
            <w:r w:rsidR="00390B43">
              <w:rPr>
                <w:vertAlign w:val="superscript"/>
                <w:lang w:eastAsia="en-US"/>
              </w:rPr>
              <w:t xml:space="preserve"> al</w:t>
            </w:r>
            <w:r w:rsidR="001D0939">
              <w:rPr>
                <w:lang w:eastAsia="en-US"/>
              </w:rPr>
              <w:t xml:space="preserve">)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ab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/>
    <w:tbl>
      <w:tblPr>
        <w:tblStyle w:val="Mriekatabuky"/>
        <w:tblW w:w="10581" w:type="dxa"/>
        <w:tblLook w:val="04A0" w:firstRow="1" w:lastRow="0" w:firstColumn="1" w:lastColumn="0" w:noHBand="0" w:noVBand="1"/>
      </w:tblPr>
      <w:tblGrid>
        <w:gridCol w:w="7054"/>
        <w:gridCol w:w="3527"/>
      </w:tblGrid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Celková hodnota Vašich úspor k ...</w:t>
            </w:r>
            <w:r>
              <w:rPr>
                <w:vertAlign w:val="superscript"/>
                <w:lang w:eastAsia="en-US"/>
              </w:rPr>
              <w:t>d</w:t>
            </w:r>
            <w:r>
              <w:rPr>
                <w:lang w:eastAsia="en-US"/>
              </w:rPr>
              <w:t>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>)</w:t>
            </w:r>
          </w:p>
        </w:tc>
      </w:tr>
    </w:tbl>
    <w:p w:rsidR="001D0939" w:rsidRDefault="001D0939" w:rsidP="001D0939">
      <w:pPr>
        <w:jc w:val="both"/>
      </w:pPr>
      <w:r>
        <w:t>Doterajší výnos dôchodkového fondu nie je zárukou rovnakého výnosu dôchodkového fondu v budúcnosti.</w:t>
      </w:r>
    </w:p>
    <w:p w:rsidR="001D0939" w:rsidRDefault="001D0939" w:rsidP="001D0939">
      <w:pPr>
        <w:jc w:val="both"/>
      </w:pPr>
    </w:p>
    <w:p w:rsidR="001D0939" w:rsidRDefault="001D0939" w:rsidP="001D0939">
      <w:pPr>
        <w:jc w:val="both"/>
      </w:pPr>
      <w:r>
        <w:t>Blok E</w:t>
      </w:r>
      <w:r>
        <w:rPr>
          <w:vertAlign w:val="superscript"/>
        </w:rPr>
        <w:t>c</w:t>
      </w:r>
      <w: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78"/>
        <w:gridCol w:w="4815"/>
      </w:tblGrid>
      <w:tr w:rsidR="001D0939" w:rsidTr="001E536F">
        <w:trPr>
          <w:trHeight w:val="1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Odplaty, náklady a poplatky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Názov dôchodkového fondu</w:t>
            </w:r>
            <w:r w:rsidR="0079367B">
              <w:rPr>
                <w:lang w:eastAsia="en-US"/>
              </w:rPr>
              <w:t xml:space="preserve"> </w:t>
            </w:r>
            <w:r w:rsidR="0079367B">
              <w:rPr>
                <w:vertAlign w:val="superscript"/>
                <w:lang w:eastAsia="en-US"/>
              </w:rPr>
              <w:t>w</w:t>
            </w:r>
            <w:r>
              <w:rPr>
                <w:lang w:eastAsia="en-US"/>
              </w:rPr>
              <w:t xml:space="preserve">) </w:t>
            </w:r>
          </w:p>
          <w:p w:rsidR="001D0939" w:rsidRDefault="0079367B" w:rsidP="0079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1D0939">
              <w:rPr>
                <w:lang w:eastAsia="en-US"/>
              </w:rPr>
              <w:t>d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t</w:t>
            </w:r>
            <w:r w:rsidR="001D0939">
              <w:rPr>
                <w:lang w:eastAsia="en-US"/>
              </w:rPr>
              <w:t>) ... do ...</w:t>
            </w:r>
            <w:r w:rsidR="001D0939">
              <w:rPr>
                <w:vertAlign w:val="superscript"/>
                <w:lang w:eastAsia="en-US"/>
              </w:rPr>
              <w:t>d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1E536F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 xml:space="preserve">)Odplata za správu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am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1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1E536F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 xml:space="preserve">)Odplata za zhodnotenie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an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1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667143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 xml:space="preserve">)Odplata za </w:t>
            </w:r>
            <w:r w:rsidR="00667143">
              <w:rPr>
                <w:lang w:eastAsia="en-US"/>
              </w:rPr>
              <w:t>vedenie osobného dôchodkového účtu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ao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1E536F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)Náklady a poplatky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ap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79367B">
            <w:pPr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 Spolu za dôchodkový fond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aq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78"/>
        <w:gridCol w:w="4815"/>
      </w:tblGrid>
      <w:tr w:rsidR="001D0939" w:rsidTr="001E536F">
        <w:trPr>
          <w:trHeight w:val="1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Spolu za všetky doplnkové dôchodkové fondy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ar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1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 percentách z priemernej hodnoty Vašich úspor </w:t>
            </w:r>
          </w:p>
          <w:p w:rsidR="001D0939" w:rsidRDefault="0079367B" w:rsidP="0079367B">
            <w:pPr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1D0939">
              <w:rPr>
                <w:lang w:eastAsia="en-US"/>
              </w:rPr>
              <w:t>d</w:t>
            </w:r>
            <w:r>
              <w:rPr>
                <w:vertAlign w:val="superscript"/>
                <w:lang w:eastAsia="en-US"/>
              </w:rPr>
              <w:t>t</w:t>
            </w:r>
            <w:r w:rsidR="001D0939">
              <w:rPr>
                <w:lang w:eastAsia="en-US"/>
              </w:rPr>
              <w:t>) ... do</w:t>
            </w:r>
            <w:r w:rsidR="001D0939">
              <w:rPr>
                <w:vertAlign w:val="superscript"/>
                <w:lang w:eastAsia="en-US"/>
              </w:rPr>
              <w:t>d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as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>
      <w:pPr>
        <w:pStyle w:val="ng-binding"/>
        <w:spacing w:after="0"/>
        <w:jc w:val="both"/>
      </w:pPr>
    </w:p>
    <w:p w:rsidR="001D0939" w:rsidRDefault="001D0939" w:rsidP="001D0939">
      <w:pPr>
        <w:pStyle w:val="ng-binding"/>
        <w:spacing w:after="0"/>
        <w:jc w:val="both"/>
      </w:pPr>
      <w:r>
        <w:t>Blok F</w:t>
      </w:r>
      <w:r>
        <w:rPr>
          <w:vertAlign w:val="superscript"/>
        </w:rPr>
        <w:t>c</w:t>
      </w:r>
      <w:r>
        <w:t>)</w:t>
      </w:r>
    </w:p>
    <w:p w:rsidR="001D0939" w:rsidRDefault="001D0939" w:rsidP="001D0939">
      <w:pPr>
        <w:jc w:val="center"/>
      </w:pPr>
      <w:r>
        <w:t>Alternatívna pr</w:t>
      </w:r>
      <w:r w:rsidR="00667143">
        <w:t>ognóza Vášho dôchodku</w:t>
      </w:r>
      <w:r>
        <w:t xml:space="preserve">* </w:t>
      </w:r>
      <w:r w:rsidR="00924CEE">
        <w:rPr>
          <w:vertAlign w:val="superscript"/>
        </w:rPr>
        <w:t>at</w:t>
      </w:r>
      <w:r>
        <w:t>)</w:t>
      </w:r>
    </w:p>
    <w:p w:rsidR="001D0939" w:rsidRDefault="001D0939" w:rsidP="001D0939">
      <w:pPr>
        <w:rPr>
          <w:rFonts w:eastAsiaTheme="minorHAnsi"/>
          <w:lang w:eastAsia="en-US"/>
        </w:rPr>
      </w:pPr>
    </w:p>
    <w:p w:rsidR="001D0939" w:rsidRDefault="001D0939" w:rsidP="001D0939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Blok G</w:t>
      </w:r>
      <w:r>
        <w:rPr>
          <w:vertAlign w:val="superscript"/>
        </w:rPr>
        <w:t>c</w:t>
      </w:r>
      <w: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D0939" w:rsidTr="001E536F">
        <w:trPr>
          <w:trHeight w:val="264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3B1B3F" w:rsidP="001E536F">
            <w:pPr>
              <w:rPr>
                <w:rFonts w:cstheme="minorHAnsi"/>
                <w:color w:val="333333"/>
                <w:sz w:val="21"/>
                <w:szCs w:val="21"/>
                <w:lang w:eastAsia="en-US"/>
              </w:rPr>
            </w:pPr>
            <w:r>
              <w:rPr>
                <w:vertAlign w:val="superscript"/>
                <w:lang w:eastAsia="en-US"/>
              </w:rPr>
              <w:t>au</w:t>
            </w:r>
            <w:r w:rsidR="001D0939">
              <w:rPr>
                <w:lang w:eastAsia="en-US"/>
              </w:rPr>
              <w:t>)Informácia o významných zmenách</w:t>
            </w:r>
          </w:p>
        </w:tc>
      </w:tr>
    </w:tbl>
    <w:p w:rsidR="001D0939" w:rsidRDefault="001D0939" w:rsidP="001D0939">
      <w:pPr>
        <w:rPr>
          <w:rFonts w:eastAsiaTheme="minorHAnsi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D0939" w:rsidTr="001E536F">
        <w:trPr>
          <w:trHeight w:val="19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0939" w:rsidRDefault="001D0939" w:rsidP="001E536F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Ďalšie informácie o:</w:t>
            </w:r>
            <w:r>
              <w:rPr>
                <w:vertAlign w:val="superscript"/>
                <w:lang w:eastAsia="en-US"/>
              </w:rPr>
              <w:t xml:space="preserve"> </w:t>
            </w:r>
          </w:p>
          <w:p w:rsidR="001D0939" w:rsidRDefault="001D0939" w:rsidP="001D0939">
            <w:pPr>
              <w:pStyle w:val="Odsekzoznamu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možnostiach účasti na </w:t>
            </w:r>
            <w:r w:rsidR="00667143">
              <w:rPr>
                <w:lang w:eastAsia="en-US"/>
              </w:rPr>
              <w:t>starobnom</w:t>
            </w:r>
            <w:r>
              <w:rPr>
                <w:lang w:eastAsia="en-US"/>
              </w:rPr>
              <w:t xml:space="preserve"> dôchodkovom sporení,</w:t>
            </w:r>
          </w:p>
          <w:p w:rsidR="001D0939" w:rsidRDefault="001D0939" w:rsidP="001D0939">
            <w:pPr>
              <w:pStyle w:val="Odsekzoznamu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účtovných závierkach, ročných a polročných správach o hospodárení a správe o investičnej politike,</w:t>
            </w:r>
          </w:p>
          <w:p w:rsidR="001D0939" w:rsidRDefault="001D0939" w:rsidP="001D0939">
            <w:pPr>
              <w:pStyle w:val="Odsekzoznamu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pravidlách investovania dôchodkového fondu, </w:t>
            </w:r>
          </w:p>
          <w:p w:rsidR="001D0939" w:rsidRDefault="001D0939" w:rsidP="001D0939">
            <w:pPr>
              <w:pStyle w:val="Odsekzoznamu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prognózach dôchodkových dávok</w:t>
            </w:r>
          </w:p>
          <w:p w:rsidR="001D0939" w:rsidRDefault="001D0939" w:rsidP="003B1B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môžete získať na ...</w:t>
            </w:r>
            <w:r w:rsidR="003B1B3F">
              <w:rPr>
                <w:vertAlign w:val="superscript"/>
                <w:lang w:eastAsia="en-US"/>
              </w:rPr>
              <w:t>av</w:t>
            </w:r>
            <w:r>
              <w:rPr>
                <w:lang w:eastAsia="en-US"/>
              </w:rPr>
              <w:t>).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</w:tr>
    </w:tbl>
    <w:p w:rsidR="001D0939" w:rsidRDefault="001D0939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1D0939" w:rsidRPr="00667143" w:rsidRDefault="001D0939" w:rsidP="00667143">
      <w:pPr>
        <w:jc w:val="both"/>
      </w:pPr>
      <w:r>
        <w:rPr>
          <w:sz w:val="20"/>
          <w:szCs w:val="20"/>
        </w:rPr>
        <w:t>*</w:t>
      </w:r>
      <w:r>
        <w:t xml:space="preserve"> </w:t>
      </w:r>
      <w:r>
        <w:rPr>
          <w:sz w:val="20"/>
          <w:szCs w:val="20"/>
        </w:rPr>
        <w:t>Na výpočet alternatívnej prognózy Vašej nasporenej sumy a výšky Vášho predpokladaného mesačného dôchodku boli použité parametre navrhnuté Vašou dôchodkovou</w:t>
      </w:r>
      <w:r w:rsidR="00667143">
        <w:rPr>
          <w:sz w:val="20"/>
          <w:szCs w:val="20"/>
        </w:rPr>
        <w:t xml:space="preserve"> správcovskou</w:t>
      </w:r>
      <w:r>
        <w:rPr>
          <w:sz w:val="20"/>
          <w:szCs w:val="20"/>
        </w:rPr>
        <w:t xml:space="preserve"> spoločnosťou, celková ho</w:t>
      </w:r>
      <w:r w:rsidR="00667143">
        <w:rPr>
          <w:sz w:val="20"/>
          <w:szCs w:val="20"/>
        </w:rPr>
        <w:t>dnota Vašich úspor, predpoklad,</w:t>
      </w:r>
      <w:r>
        <w:rPr>
          <w:sz w:val="20"/>
          <w:szCs w:val="20"/>
        </w:rPr>
        <w:t xml:space="preserve"> inflácia</w:t>
      </w:r>
      <w:r w:rsidR="00667143">
        <w:rPr>
          <w:sz w:val="20"/>
          <w:szCs w:val="20"/>
        </w:rPr>
        <w:t>, predpokladaný rast mzdy</w:t>
      </w:r>
      <w:r>
        <w:rPr>
          <w:sz w:val="20"/>
          <w:szCs w:val="20"/>
        </w:rPr>
        <w:t xml:space="preserve"> a odhad zhodnotenia počas obdobia sporenia znížený o odplaty, náklady a poplatky. Parametre na výpočet prognóz, okrem výšky odplát, nákladov a poplatkov, sú ustanovené Ministerstvom práce, sociálnych vecí a rodiny Slovenskej republiky. Výpočty sú uvedené v sumách pred zdanením a môžu sa líšiť od skutočnosti.</w:t>
      </w:r>
      <w:r w:rsidR="00994A57">
        <w:br w:type="page"/>
      </w:r>
      <w:r w:rsidR="00861A74" w:rsidRPr="00D5547A">
        <w:rPr>
          <w:smallCaps/>
        </w:rPr>
        <w:lastRenderedPageBreak/>
        <w:t xml:space="preserve"> </w:t>
      </w:r>
      <w:r w:rsidR="003A1D46" w:rsidRPr="00D5547A">
        <w:rPr>
          <w:smallCaps/>
        </w:rPr>
        <w:t>Vysvetlivky na vypĺňanie</w:t>
      </w:r>
    </w:p>
    <w:p w:rsidR="001D0939" w:rsidRDefault="001D0939" w:rsidP="001D0939">
      <w:pPr>
        <w:jc w:val="both"/>
      </w:pPr>
    </w:p>
    <w:p w:rsidR="001D0939" w:rsidRDefault="001D0939" w:rsidP="001D0939">
      <w:pPr>
        <w:jc w:val="both"/>
      </w:pPr>
      <w:r>
        <w:t xml:space="preserve">a) </w:t>
      </w:r>
      <w:r w:rsidR="00667143">
        <w:t>D</w:t>
      </w:r>
      <w:r>
        <w:t xml:space="preserve">ôchodková </w:t>
      </w:r>
      <w:r w:rsidR="00E70BA5">
        <w:t xml:space="preserve">správcovská </w:t>
      </w:r>
      <w:r>
        <w:t>spoločnosť môže za názov doplniť slová „z</w:t>
      </w:r>
      <w:r w:rsidR="00667143">
        <w:t>o starobného dôchodkového sporenia</w:t>
      </w:r>
      <w:r>
        <w:t>“.</w:t>
      </w:r>
    </w:p>
    <w:p w:rsidR="001D0939" w:rsidRDefault="001D0939" w:rsidP="001D0939">
      <w:pPr>
        <w:jc w:val="both"/>
      </w:pPr>
      <w:r>
        <w:t xml:space="preserve">b) </w:t>
      </w:r>
      <w:r w:rsidR="0017104D">
        <w:t>U</w:t>
      </w:r>
      <w:r>
        <w:t xml:space="preserve">vádza </w:t>
      </w:r>
      <w:r w:rsidR="0017104D">
        <w:t xml:space="preserve">sa </w:t>
      </w:r>
      <w:r>
        <w:t>názov a sídlo dôchodkovej</w:t>
      </w:r>
      <w:r w:rsidR="00667143">
        <w:t xml:space="preserve"> správcovskej</w:t>
      </w:r>
      <w:r>
        <w:t xml:space="preserve"> spoločnosti, meno a priezvisko účastníka, adresa trvalého pobytu, adresa elektronickej pošty alebo adresa, ktorú si </w:t>
      </w:r>
      <w:r w:rsidR="00112E06">
        <w:t>sporiteľ</w:t>
      </w:r>
      <w:r>
        <w:t xml:space="preserve"> určil</w:t>
      </w:r>
      <w:r w:rsidR="00017FDE">
        <w:t xml:space="preserve"> na doručovanie</w:t>
      </w:r>
      <w:r>
        <w:t>, dátum narodenia účastníka a číslo zmluvy</w:t>
      </w:r>
      <w:r w:rsidR="00112E06">
        <w:t xml:space="preserve"> o starobnom dôchodkovom sporení</w:t>
      </w:r>
      <w:r>
        <w:t>.</w:t>
      </w:r>
    </w:p>
    <w:p w:rsidR="001D0939" w:rsidRDefault="001D0939" w:rsidP="001D0939">
      <w:pPr>
        <w:jc w:val="both"/>
      </w:pPr>
      <w:r>
        <w:t>c) Tento text sa vo výpise účastníka neuvádza.</w:t>
      </w:r>
    </w:p>
    <w:p w:rsidR="001D0939" w:rsidRDefault="001D0939" w:rsidP="001D0939">
      <w:pPr>
        <w:jc w:val="both"/>
      </w:pPr>
      <w:r>
        <w:t xml:space="preserve">d) Uvádza sa deň podľa § </w:t>
      </w:r>
      <w:r w:rsidR="00112E06">
        <w:t>108 ods. 3 písm. e</w:t>
      </w:r>
      <w:r>
        <w:t>) zákona.</w:t>
      </w:r>
    </w:p>
    <w:p w:rsidR="001D0939" w:rsidRDefault="001D0939" w:rsidP="001D0939">
      <w:pPr>
        <w:jc w:val="both"/>
      </w:pPr>
      <w:r>
        <w:t xml:space="preserve">e) Uvádza sa suma zodpovedajúca aktuálnej hodnote osobného účtu účastníka ku dňu podľa § </w:t>
      </w:r>
      <w:r w:rsidR="00112E06">
        <w:t>108</w:t>
      </w:r>
      <w:r>
        <w:t xml:space="preserve"> ods. 3 písm. </w:t>
      </w:r>
      <w:r w:rsidR="00112E06">
        <w:t>e</w:t>
      </w:r>
      <w:r>
        <w:t xml:space="preserve">) zákona. </w:t>
      </w:r>
    </w:p>
    <w:p w:rsidR="001D0939" w:rsidRDefault="001D0939" w:rsidP="001D0939">
      <w:pPr>
        <w:jc w:val="both"/>
      </w:pPr>
      <w:r>
        <w:t xml:space="preserve">f) Uvádza sa suma podľa § </w:t>
      </w:r>
      <w:r w:rsidR="00112E06">
        <w:t>2</w:t>
      </w:r>
      <w:r w:rsidR="004607DE">
        <w:t xml:space="preserve"> </w:t>
      </w:r>
      <w:r>
        <w:t>ods. 3.</w:t>
      </w:r>
    </w:p>
    <w:p w:rsidR="00924CEE" w:rsidRDefault="001D0939" w:rsidP="001D0939">
      <w:pPr>
        <w:jc w:val="both"/>
      </w:pPr>
      <w:r w:rsidRPr="00924CEE">
        <w:t>g</w:t>
      </w:r>
      <w:r w:rsidR="00924CEE" w:rsidRPr="00924CEE">
        <w:t xml:space="preserve">) Uvádza sa predpokladaný vek poberania dôchodku podľa </w:t>
      </w:r>
      <w:r w:rsidR="00C135B2">
        <w:t>prílohy č. 3.</w:t>
      </w:r>
    </w:p>
    <w:p w:rsidR="001D0939" w:rsidRDefault="00112E06" w:rsidP="001D0939">
      <w:pPr>
        <w:jc w:val="both"/>
      </w:pPr>
      <w:r>
        <w:t>h</w:t>
      </w:r>
      <w:r w:rsidR="001D0939">
        <w:t xml:space="preserve">) Uvádza sa suma mesačného starobného dôchodku vypočítaná z hodnoty osobného </w:t>
      </w:r>
      <w:r>
        <w:t xml:space="preserve">dôchodkového účtu sporiteľa </w:t>
      </w:r>
      <w:r w:rsidR="001D0939">
        <w:t xml:space="preserve">ku dňu podľa § </w:t>
      </w:r>
      <w:r>
        <w:t>108 ods. 3 písm. e</w:t>
      </w:r>
      <w:r w:rsidR="001D0939">
        <w:t>) zákona pre základný scenár</w:t>
      </w:r>
      <w:r w:rsidR="0017104D">
        <w:t>; táto s</w:t>
      </w:r>
      <w:r w:rsidR="001D0939">
        <w:t>uma sa zaokrúhľuje na celé eurá nadol.</w:t>
      </w:r>
    </w:p>
    <w:p w:rsidR="001D0939" w:rsidRDefault="00112E06" w:rsidP="001D0939">
      <w:pPr>
        <w:jc w:val="both"/>
      </w:pPr>
      <w:r>
        <w:t>i</w:t>
      </w:r>
      <w:r w:rsidR="001D0939">
        <w:t>) Uvádza sa suma mesačného starobného dôchodku vypočítaná z hodnoty osobného</w:t>
      </w:r>
      <w:r>
        <w:t xml:space="preserve"> dôchodkového</w:t>
      </w:r>
      <w:r w:rsidR="001D0939">
        <w:t xml:space="preserve"> účtu </w:t>
      </w:r>
      <w:r>
        <w:t>sporiteľa</w:t>
      </w:r>
      <w:r w:rsidR="001D0939">
        <w:t xml:space="preserve"> upravenej o infláciu podľa vzorca v prílohe č</w:t>
      </w:r>
      <w:r w:rsidR="00C135B2">
        <w:t xml:space="preserve">.2 </w:t>
      </w:r>
      <w:r w:rsidR="001D0939">
        <w:t xml:space="preserve">ku dňu podľa § </w:t>
      </w:r>
      <w:r>
        <w:t>108</w:t>
      </w:r>
      <w:r w:rsidR="001D0939">
        <w:t xml:space="preserve"> ods. 3 písm. </w:t>
      </w:r>
      <w:r>
        <w:t>e</w:t>
      </w:r>
      <w:r w:rsidR="001D0939">
        <w:t>) zákona</w:t>
      </w:r>
      <w:r w:rsidR="0017104D">
        <w:t>; táto s</w:t>
      </w:r>
      <w:r w:rsidR="001D0939">
        <w:t>uma sa zaokrúhľuje na celé eurá nadol.</w:t>
      </w:r>
    </w:p>
    <w:p w:rsidR="001D0939" w:rsidRDefault="009F396E" w:rsidP="001D0939">
      <w:pPr>
        <w:jc w:val="both"/>
      </w:pPr>
      <w:r>
        <w:t>j</w:t>
      </w:r>
      <w:r w:rsidR="001D0939">
        <w:t xml:space="preserve">) Slovo „predpokladaný“ sa uvádza pre </w:t>
      </w:r>
      <w:r w:rsidR="00112E06">
        <w:t>sporiteľa</w:t>
      </w:r>
      <w:r w:rsidR="00CF5FAD">
        <w:t xml:space="preserve"> ktorého</w:t>
      </w:r>
      <w:r w:rsidR="001D0939">
        <w:t xml:space="preserve"> vek potrebný na splnenie podmienok vyplácania </w:t>
      </w:r>
      <w:r>
        <w:t>starobného dôchodku</w:t>
      </w:r>
      <w:r w:rsidR="001D0939">
        <w:t xml:space="preserve"> je </w:t>
      </w:r>
      <w:r w:rsidR="00FE16A6">
        <w:t xml:space="preserve">vek </w:t>
      </w:r>
      <w:r w:rsidR="001D0939">
        <w:t>podľa § </w:t>
      </w:r>
      <w:r>
        <w:t>3</w:t>
      </w:r>
      <w:r w:rsidR="004607DE">
        <w:t xml:space="preserve"> </w:t>
      </w:r>
      <w:r w:rsidR="001D0939">
        <w:t xml:space="preserve">písm. f) prvého bodu. </w:t>
      </w:r>
    </w:p>
    <w:p w:rsidR="001D0939" w:rsidRDefault="009F396E" w:rsidP="001D0939">
      <w:pPr>
        <w:jc w:val="both"/>
      </w:pPr>
      <w:r>
        <w:t>k</w:t>
      </w:r>
      <w:r w:rsidR="001D0939">
        <w:t xml:space="preserve">) Uvádza sa vek potrebný na splnenie podmienok vyplácania starobného dôchodku </w:t>
      </w:r>
      <w:r>
        <w:t>sporiteľa</w:t>
      </w:r>
      <w:r w:rsidR="001D0939">
        <w:t xml:space="preserve"> podľa § </w:t>
      </w:r>
      <w:r>
        <w:t>3</w:t>
      </w:r>
      <w:r w:rsidR="001D0939">
        <w:t>. Údaj o veku sa uvádza spolu s uvedením slova „rok“ a „mesiac“ v príslušnom gramatickom tvare.</w:t>
      </w:r>
    </w:p>
    <w:p w:rsidR="009F396E" w:rsidRDefault="009F396E" w:rsidP="001D0939">
      <w:pPr>
        <w:jc w:val="both"/>
      </w:pPr>
      <w:r>
        <w:t>l</w:t>
      </w:r>
      <w:r w:rsidR="001D0939">
        <w:t xml:space="preserve">) Uvádza sa počet rokov a mesiacov, za ktoré </w:t>
      </w:r>
      <w:r>
        <w:t>platil sporiteľ</w:t>
      </w:r>
      <w:r w:rsidR="001D0939">
        <w:t xml:space="preserve"> príspevky. </w:t>
      </w:r>
    </w:p>
    <w:p w:rsidR="001D0939" w:rsidRDefault="009F396E" w:rsidP="001D0939">
      <w:pPr>
        <w:jc w:val="both"/>
      </w:pPr>
      <w:r>
        <w:t>m</w:t>
      </w:r>
      <w:r w:rsidR="001D0939">
        <w:t xml:space="preserve">) Uvádza sa počet rokov, ktoré </w:t>
      </w:r>
      <w:r>
        <w:t>sporiteľovi</w:t>
      </w:r>
      <w:r w:rsidR="001D0939">
        <w:t xml:space="preserve"> zostávajú do dovŕšenia veku, ku ktorému sa robí prognóza starobného dôchodku podľa § </w:t>
      </w:r>
      <w:r>
        <w:t>2</w:t>
      </w:r>
      <w:r w:rsidR="001D0939">
        <w:t>. Údaj o veku sa uvádza spolu s uvedením slova „rok“ a „mesiac“ v príslušnom gramatickom tvare.</w:t>
      </w:r>
    </w:p>
    <w:p w:rsidR="001D0939" w:rsidRDefault="009F396E" w:rsidP="001D0939">
      <w:pPr>
        <w:jc w:val="both"/>
      </w:pPr>
      <w:r>
        <w:t>n</w:t>
      </w:r>
      <w:r w:rsidR="001D0939">
        <w:t xml:space="preserve">) Uvádza sa suma vypočítaná ako súčin príspevku </w:t>
      </w:r>
      <w:r>
        <w:t>sporiteľa</w:t>
      </w:r>
      <w:r w:rsidR="001D0939">
        <w:t xml:space="preserve"> podľa § </w:t>
      </w:r>
      <w:r>
        <w:t>2</w:t>
      </w:r>
      <w:r w:rsidR="004607DE">
        <w:t xml:space="preserve"> </w:t>
      </w:r>
      <w:r w:rsidR="001D0939">
        <w:t xml:space="preserve">ods. 3 a počtu mesiacov, ktoré </w:t>
      </w:r>
      <w:r>
        <w:t>sporiteľovi</w:t>
      </w:r>
      <w:r w:rsidR="001D0939">
        <w:t xml:space="preserve"> zostávajú do dovŕšenia veku, ku ktorému sa robí prognóza starobného dôchodku podľa § </w:t>
      </w:r>
      <w:r>
        <w:t>2</w:t>
      </w:r>
      <w:r w:rsidR="001D0939">
        <w:t>.</w:t>
      </w:r>
    </w:p>
    <w:p w:rsidR="009F396E" w:rsidRDefault="009F396E" w:rsidP="001D0939">
      <w:pPr>
        <w:jc w:val="both"/>
      </w:pPr>
      <w:r>
        <w:t>o</w:t>
      </w:r>
      <w:r w:rsidR="001D0939">
        <w:t xml:space="preserve">) </w:t>
      </w:r>
      <w:r w:rsidR="0079357B">
        <w:t>Uvádza sa grafické znáz</w:t>
      </w:r>
      <w:r>
        <w:t>ornenie prognóz nasporenej sumy.</w:t>
      </w:r>
    </w:p>
    <w:p w:rsidR="001D0939" w:rsidRDefault="00E5374A" w:rsidP="001D0939">
      <w:pPr>
        <w:jc w:val="both"/>
      </w:pPr>
      <w:r>
        <w:t>p</w:t>
      </w:r>
      <w:r w:rsidR="001D0939">
        <w:t xml:space="preserve">) Uvádza sa suma určená podľa vzorca </w:t>
      </w:r>
      <w:r w:rsidR="001D0939">
        <w:rPr>
          <w:rFonts w:eastAsiaTheme="minorHAnsi"/>
          <w:lang w:eastAsia="en-US"/>
        </w:rPr>
        <w:t>na výpočet prognózovanej hodnoty osobného</w:t>
      </w:r>
      <w:r>
        <w:rPr>
          <w:rFonts w:eastAsiaTheme="minorHAnsi"/>
          <w:lang w:eastAsia="en-US"/>
        </w:rPr>
        <w:t xml:space="preserve"> dôchodkového účtu sporiteľa</w:t>
      </w:r>
      <w:r w:rsidR="00827D67">
        <w:t xml:space="preserve">; táto suma </w:t>
      </w:r>
      <w:r w:rsidR="001D0939">
        <w:t>sa zaokrúhľuje na celé eurá nadol.</w:t>
      </w:r>
    </w:p>
    <w:p w:rsidR="001D0939" w:rsidRDefault="00E5374A" w:rsidP="001D0939">
      <w:pPr>
        <w:jc w:val="both"/>
      </w:pPr>
      <w:r>
        <w:t>q</w:t>
      </w:r>
      <w:r w:rsidR="001D0939">
        <w:t xml:space="preserve">) Uvádza sa </w:t>
      </w:r>
      <w:r>
        <w:t>suma mesačného dôchodku</w:t>
      </w:r>
      <w:r w:rsidR="001D0939">
        <w:t xml:space="preserve"> pre príslušný scenár</w:t>
      </w:r>
      <w:r w:rsidR="000E4F5C">
        <w:t xml:space="preserve">; táto suma </w:t>
      </w:r>
      <w:r w:rsidR="001D0939">
        <w:t>sa zaokrúhľuje na celé eurá nadol.</w:t>
      </w:r>
    </w:p>
    <w:p w:rsidR="001D0939" w:rsidRDefault="00E5374A" w:rsidP="001D0939">
      <w:pPr>
        <w:jc w:val="both"/>
      </w:pPr>
      <w:r>
        <w:t>r</w:t>
      </w:r>
      <w:r w:rsidR="001D0939">
        <w:t xml:space="preserve">) Uvádza sa rozdiel sumy určenej podľa vzorca </w:t>
      </w:r>
      <w:r w:rsidR="001D0939">
        <w:rPr>
          <w:rFonts w:eastAsiaTheme="minorHAnsi"/>
          <w:lang w:eastAsia="en-US"/>
        </w:rPr>
        <w:t>na výpočet prognózovanej hodnoty osobného</w:t>
      </w:r>
      <w:r>
        <w:rPr>
          <w:rFonts w:eastAsiaTheme="minorHAnsi"/>
          <w:lang w:eastAsia="en-US"/>
        </w:rPr>
        <w:t xml:space="preserve"> dôchodkového účtu sporiteľa</w:t>
      </w:r>
      <w:r>
        <w:t xml:space="preserve"> </w:t>
      </w:r>
      <w:r w:rsidR="001D0939">
        <w:t>a sumy určenej podľa vzorca na výpočet hodnoty osobného</w:t>
      </w:r>
      <w:r>
        <w:t xml:space="preserve"> dôchodkového účtu sporiteľa</w:t>
      </w:r>
      <w:r w:rsidR="001D0939">
        <w:t xml:space="preserve"> upravenej o infláciu v percentách zo sumy určenej podľa vzorca </w:t>
      </w:r>
      <w:r w:rsidR="001D0939">
        <w:rPr>
          <w:rFonts w:eastAsiaTheme="minorHAnsi"/>
          <w:lang w:eastAsia="en-US"/>
        </w:rPr>
        <w:t>na výpočet prognózovanej hodnoty osobného</w:t>
      </w:r>
      <w:r>
        <w:rPr>
          <w:rFonts w:eastAsiaTheme="minorHAnsi"/>
          <w:lang w:eastAsia="en-US"/>
        </w:rPr>
        <w:t xml:space="preserve"> dôchodkového účtu sporiteľa</w:t>
      </w:r>
      <w:r w:rsidR="001D0939">
        <w:t>.</w:t>
      </w:r>
    </w:p>
    <w:p w:rsidR="001D0939" w:rsidRDefault="00A45E64" w:rsidP="001D0939">
      <w:pPr>
        <w:tabs>
          <w:tab w:val="left" w:pos="3402"/>
        </w:tabs>
        <w:jc w:val="both"/>
      </w:pPr>
      <w:r>
        <w:t>s</w:t>
      </w:r>
      <w:r w:rsidR="001D0939">
        <w:t>) Uvádza sa</w:t>
      </w:r>
      <w:r w:rsidR="00D35F7C">
        <w:t xml:space="preserve"> suma predpokladaného mesačného </w:t>
      </w:r>
      <w:r w:rsidR="001D0939">
        <w:t>dôchodk</w:t>
      </w:r>
      <w:r w:rsidR="00D35F7C">
        <w:t>u</w:t>
      </w:r>
      <w:r w:rsidR="001D0939">
        <w:t xml:space="preserve"> </w:t>
      </w:r>
      <w:r>
        <w:t>sporiteľa</w:t>
      </w:r>
      <w:r w:rsidR="001D0939">
        <w:t xml:space="preserve"> pre základný scenár</w:t>
      </w:r>
      <w:r w:rsidR="000E4F5C">
        <w:t xml:space="preserve">; táto suma </w:t>
      </w:r>
      <w:r w:rsidR="001D0939">
        <w:t>sa zaokrúhľuje na celé eurá nadol.</w:t>
      </w:r>
    </w:p>
    <w:p w:rsidR="001D0939" w:rsidRDefault="00786D28" w:rsidP="001D0939">
      <w:pPr>
        <w:jc w:val="both"/>
      </w:pPr>
      <w:r>
        <w:t>t</w:t>
      </w:r>
      <w:r w:rsidR="001D0939">
        <w:t>) Uvádza sa deň, ktorý 12 mesiacov predchádza dátumu, ku ktorému sa vzťahujú informácie uvedené vo výpise</w:t>
      </w:r>
      <w:r>
        <w:t>. Ak má sporiteľ</w:t>
      </w:r>
      <w:r w:rsidR="001D0939">
        <w:t xml:space="preserve"> uzatvorenú zmluvu </w:t>
      </w:r>
      <w:r>
        <w:t>s </w:t>
      </w:r>
      <w:r w:rsidR="001D0939">
        <w:t>dôchodkovou</w:t>
      </w:r>
      <w:r>
        <w:t xml:space="preserve"> správcovskou</w:t>
      </w:r>
      <w:r w:rsidR="001D0939">
        <w:t xml:space="preserve"> spoločnosťou, ktorá výpis zasiela, kratšie ako od začiatku obdobia, za ktoré sa výpis zasiela, uvádza sa deň uzatvorenia j zmluvy</w:t>
      </w:r>
      <w:r>
        <w:t xml:space="preserve"> o starobnom dôchodkovom sporení</w:t>
      </w:r>
      <w:r w:rsidR="001D0939">
        <w:t>.</w:t>
      </w:r>
    </w:p>
    <w:p w:rsidR="001D0939" w:rsidRDefault="00786D28" w:rsidP="001D0939">
      <w:pPr>
        <w:jc w:val="both"/>
      </w:pPr>
      <w:r>
        <w:t>u</w:t>
      </w:r>
      <w:r w:rsidR="001D0939">
        <w:t>) Uvádza sa suma zodpovedajúca aktuálnej hodnote osobného</w:t>
      </w:r>
      <w:r>
        <w:t xml:space="preserve"> dôchodkového účtu sporiteľa</w:t>
      </w:r>
      <w:r w:rsidR="001D0939">
        <w:t xml:space="preserve"> ku dňu, ktorý 12 mesiacov predchádza dňu podľa § </w:t>
      </w:r>
      <w:r>
        <w:t>108</w:t>
      </w:r>
      <w:r w:rsidR="001D0939">
        <w:t xml:space="preserve"> ods. 3 písm. </w:t>
      </w:r>
      <w:r>
        <w:t>e</w:t>
      </w:r>
      <w:r w:rsidR="001D0939">
        <w:t xml:space="preserve">) zákona. Ak </w:t>
      </w:r>
      <w:r>
        <w:t>sporiteľ</w:t>
      </w:r>
      <w:r w:rsidR="001D0939">
        <w:t xml:space="preserve"> prestúpil z inej dôchodkovej</w:t>
      </w:r>
      <w:r>
        <w:t xml:space="preserve"> správcovskej</w:t>
      </w:r>
      <w:r w:rsidR="001D0939">
        <w:t xml:space="preserve"> spoločnosti tento riadok sa neuvádza.</w:t>
      </w:r>
    </w:p>
    <w:p w:rsidR="001D0939" w:rsidRDefault="00786D28" w:rsidP="001D0939">
      <w:pPr>
        <w:jc w:val="both"/>
      </w:pPr>
      <w:r>
        <w:t>v</w:t>
      </w:r>
      <w:r w:rsidR="001D0939">
        <w:t>) Informácia „Transakcie a zmeny na Vašom osobnom</w:t>
      </w:r>
      <w:r>
        <w:t xml:space="preserve"> dôchodkovom</w:t>
      </w:r>
      <w:r w:rsidR="001D0939">
        <w:t xml:space="preserve"> účte“ vo výpise sa môže v uvedenej štruktúre opakovať, ak je to nevyhnutné z dôvodu zachovania prehľadnosti poskytovaných informácií. Ak si </w:t>
      </w:r>
      <w:r>
        <w:t>sporiteľ</w:t>
      </w:r>
      <w:r w:rsidR="001D0939">
        <w:t xml:space="preserve"> zvolil viac dôchodkových fondov a/alebo uskutočnil prestup medzi dôchodkovými fondmi </w:t>
      </w:r>
      <w:r w:rsidR="001D0939">
        <w:lastRenderedPageBreak/>
        <w:t>v</w:t>
      </w:r>
      <w:r>
        <w:t> </w:t>
      </w:r>
      <w:r w:rsidR="001D0939">
        <w:t>dôchodkovej</w:t>
      </w:r>
      <w:r>
        <w:t xml:space="preserve"> správcovskej</w:t>
      </w:r>
      <w:r w:rsidR="001D0939">
        <w:t xml:space="preserve"> spoločnosti, uvádza sa obdobie, počas ktorého mal </w:t>
      </w:r>
      <w:r>
        <w:t>sporiteľ</w:t>
      </w:r>
      <w:r w:rsidR="001D0939">
        <w:t xml:space="preserve"> podiel na majetku v príslušnom dôchodkovom fonde. </w:t>
      </w:r>
    </w:p>
    <w:p w:rsidR="001D0939" w:rsidRDefault="00786D28" w:rsidP="001D0939">
      <w:pPr>
        <w:jc w:val="both"/>
      </w:pPr>
      <w:r>
        <w:t>w</w:t>
      </w:r>
      <w:r w:rsidR="001D0939">
        <w:t xml:space="preserve">) Ak si </w:t>
      </w:r>
      <w:r>
        <w:t>sporiteľ</w:t>
      </w:r>
      <w:r w:rsidR="001D0939">
        <w:t xml:space="preserve"> zvolil viac dôchodkových fondov, pre každý dôchodkový fond sa vytvorí osobitný stĺpec. Namiesto názvu dôchodkového fondu sa môže uviesť iné označenie spolu s vysvetlením tohto označenia pod tabuľkou.</w:t>
      </w:r>
    </w:p>
    <w:p w:rsidR="001D0939" w:rsidRDefault="00786D28" w:rsidP="001D0939">
      <w:pPr>
        <w:jc w:val="both"/>
      </w:pPr>
      <w:r>
        <w:t>x</w:t>
      </w:r>
      <w:r w:rsidR="001D0939">
        <w:t xml:space="preserve">) Uvádza sa obdobie, počas ktorého mal </w:t>
      </w:r>
      <w:r>
        <w:t>sporiteľ</w:t>
      </w:r>
      <w:r w:rsidR="001D0939">
        <w:t xml:space="preserve"> podiel na majetku v príslušnom dôchodkovom fonde. Obdobie sa neuvádza, ak si v období, za ktoré sa výpis zasiela, </w:t>
      </w:r>
      <w:r>
        <w:t>sporiteľ</w:t>
      </w:r>
      <w:r w:rsidR="001D0939">
        <w:t xml:space="preserve"> zvolil jeden dôchodkový fond.</w:t>
      </w:r>
    </w:p>
    <w:p w:rsidR="001D0939" w:rsidRDefault="00285811" w:rsidP="001D0939">
      <w:pPr>
        <w:jc w:val="both"/>
      </w:pPr>
      <w:r>
        <w:t>y</w:t>
      </w:r>
      <w:r w:rsidR="001D0939">
        <w:t xml:space="preserve">) Suma v riadku sa </w:t>
      </w:r>
      <w:r w:rsidR="00D35F7C">
        <w:t xml:space="preserve">uvádza </w:t>
      </w:r>
      <w:r w:rsidR="001D0939">
        <w:t xml:space="preserve">zvlášť za každý dôchodkový fond, ak si </w:t>
      </w:r>
      <w:r>
        <w:t>sporiteľ</w:t>
      </w:r>
      <w:r w:rsidR="001D0939">
        <w:t xml:space="preserve"> zvolil viac dôchodkových fondov.</w:t>
      </w:r>
    </w:p>
    <w:p w:rsidR="001D0939" w:rsidRDefault="00285811" w:rsidP="001D0939">
      <w:pPr>
        <w:jc w:val="both"/>
      </w:pPr>
      <w:r>
        <w:t>z</w:t>
      </w:r>
      <w:r w:rsidR="001D0939">
        <w:t xml:space="preserve">) Uvádza sa deň, ktorý 12 mesiacov predchádza dňu podľa § </w:t>
      </w:r>
      <w:r>
        <w:t>108</w:t>
      </w:r>
      <w:r w:rsidR="001D0939">
        <w:t xml:space="preserve"> ods. 3 písm. </w:t>
      </w:r>
      <w:r>
        <w:t>e</w:t>
      </w:r>
      <w:r w:rsidR="001D0939">
        <w:t>) zákona, ak sa informácia „Transakcie a zmeny na Vašom osobnom</w:t>
      </w:r>
      <w:r>
        <w:t xml:space="preserve"> dôchodkovom</w:t>
      </w:r>
      <w:r w:rsidR="001D0939">
        <w:t xml:space="preserve"> účte“ vo výpise uvádza jedenkrát. Deň podľa predchádzajúcej vety sa uvádza, aj keď sa v informácii „Transakcie a zmeny na Vašom</w:t>
      </w:r>
      <w:r>
        <w:t xml:space="preserve"> dôchodkovom</w:t>
      </w:r>
      <w:r w:rsidR="001D0939">
        <w:t xml:space="preserve"> osobnom účte“ vytvorí stĺpec pre ďalší dôchodkový fond.</w:t>
      </w:r>
    </w:p>
    <w:p w:rsidR="001D0939" w:rsidRDefault="001D0939" w:rsidP="001D0939">
      <w:pPr>
        <w:jc w:val="both"/>
      </w:pPr>
      <w:r>
        <w:t>a</w:t>
      </w:r>
      <w:r w:rsidR="00285811">
        <w:t>a</w:t>
      </w:r>
      <w:r>
        <w:t>) Ak sa informácia „Transakcie a zmeny na Vašom</w:t>
      </w:r>
      <w:r w:rsidR="00285811">
        <w:t xml:space="preserve"> </w:t>
      </w:r>
      <w:r>
        <w:t xml:space="preserve">osobnom </w:t>
      </w:r>
      <w:r w:rsidR="00285811">
        <w:t xml:space="preserve">dôchodkovom </w:t>
      </w:r>
      <w:r>
        <w:t xml:space="preserve">účte“ vo výpise </w:t>
      </w:r>
      <w:r w:rsidR="00285811">
        <w:t>sporiteľa</w:t>
      </w:r>
      <w:r>
        <w:t xml:space="preserve"> opakuje, uvádza sa prvý deň obdobia, v ktorom mal </w:t>
      </w:r>
      <w:r w:rsidR="00285811">
        <w:t>sporiteľ</w:t>
      </w:r>
      <w:r>
        <w:t xml:space="preserve"> podiel na majetku v príslušnom dôchodkovom fonde. </w:t>
      </w:r>
    </w:p>
    <w:p w:rsidR="001D0939" w:rsidRDefault="001D0939" w:rsidP="001D0939">
      <w:pPr>
        <w:jc w:val="both"/>
      </w:pPr>
      <w:r>
        <w:t>a</w:t>
      </w:r>
      <w:r w:rsidR="00285811">
        <w:t>b</w:t>
      </w:r>
      <w:r>
        <w:t xml:space="preserve">) Uvádza sa suma zodpovedajúca podielu majetku </w:t>
      </w:r>
      <w:r w:rsidR="00285811">
        <w:t>sporiteľa</w:t>
      </w:r>
      <w:r>
        <w:t xml:space="preserve"> v príslušnom dôchodkovom fonde ku dňu, ktorý sa uvádza v tomto riadku.</w:t>
      </w:r>
    </w:p>
    <w:p w:rsidR="001D0939" w:rsidRDefault="001D0939" w:rsidP="001D0939">
      <w:pPr>
        <w:jc w:val="both"/>
      </w:pPr>
      <w:r>
        <w:t>a</w:t>
      </w:r>
      <w:r w:rsidR="00285811">
        <w:t>c</w:t>
      </w:r>
      <w:r>
        <w:t>) Uvádza sa suma príspevkov, ktoré boli pripísané na osobný</w:t>
      </w:r>
      <w:r w:rsidR="00285811">
        <w:t xml:space="preserve"> dôchodkový účet sporiteľa</w:t>
      </w:r>
      <w:r>
        <w:t xml:space="preserve"> počas obdobia, za ktoré sa výpis zasiela.</w:t>
      </w:r>
    </w:p>
    <w:p w:rsidR="00285811" w:rsidRDefault="001D0939" w:rsidP="001D0939">
      <w:pPr>
        <w:jc w:val="both"/>
      </w:pPr>
      <w:r>
        <w:t>a</w:t>
      </w:r>
      <w:r w:rsidR="00285811">
        <w:t>d</w:t>
      </w:r>
      <w:r>
        <w:t>) Uvádza sa „Prestup z inej dôchodkovej</w:t>
      </w:r>
      <w:r w:rsidR="00285811">
        <w:t xml:space="preserve"> správcovskej spoločnosti“.</w:t>
      </w:r>
    </w:p>
    <w:p w:rsidR="001D0939" w:rsidRDefault="001D0939" w:rsidP="001D0939">
      <w:pPr>
        <w:jc w:val="both"/>
      </w:pPr>
      <w:r>
        <w:t>a</w:t>
      </w:r>
      <w:r w:rsidR="00285811">
        <w:t>e</w:t>
      </w:r>
      <w:r>
        <w:t>) Uvádza sa suma pripísaná na osobný</w:t>
      </w:r>
      <w:r w:rsidR="00285811">
        <w:t xml:space="preserve"> dôchodkový</w:t>
      </w:r>
      <w:r>
        <w:t xml:space="preserve"> účet </w:t>
      </w:r>
      <w:r w:rsidR="00285811">
        <w:t>sporiteľa</w:t>
      </w:r>
      <w:r>
        <w:t xml:space="preserve"> ku dňu prestupu podľa § 64</w:t>
      </w:r>
      <w:r w:rsidR="00285811">
        <w:t>b zákona.</w:t>
      </w:r>
      <w:r>
        <w:t xml:space="preserve"> a</w:t>
      </w:r>
      <w:r w:rsidR="00285811">
        <w:t>f</w:t>
      </w:r>
      <w:r>
        <w:t xml:space="preserve">) Riadok sa môže uvádzať, ak </w:t>
      </w:r>
      <w:r w:rsidR="00285811">
        <w:t>sporiteľ</w:t>
      </w:r>
      <w:r>
        <w:t xml:space="preserve"> prestúpil medzi dôchodkovými fondmi spravovanými tou istou dôchodkovou</w:t>
      </w:r>
      <w:r w:rsidR="00285811">
        <w:t xml:space="preserve"> správcovskou</w:t>
      </w:r>
      <w:r>
        <w:t xml:space="preserve"> spoločnosťou. </w:t>
      </w:r>
      <w:r w:rsidR="0079357B">
        <w:t>Riadok sa neuvádza, a</w:t>
      </w:r>
      <w:r>
        <w:t>k sa informácia „Transakcie a zmeny na Vašom osobnom</w:t>
      </w:r>
      <w:r w:rsidR="00390B43">
        <w:t xml:space="preserve"> dôchodkovom účte“ vo výpise</w:t>
      </w:r>
      <w:r>
        <w:t xml:space="preserve"> opakuje.</w:t>
      </w:r>
    </w:p>
    <w:p w:rsidR="001D0939" w:rsidRDefault="001D0939" w:rsidP="001D0939">
      <w:pPr>
        <w:jc w:val="both"/>
      </w:pPr>
      <w:r>
        <w:t>a</w:t>
      </w:r>
      <w:r w:rsidR="00390B43">
        <w:t>g</w:t>
      </w:r>
      <w:r>
        <w:t xml:space="preserve">) Uvádza sa súčet súm prevodov medzi dôchodkovými fondmi, ktoré boli v období, za ktoré sa výpis účastníka </w:t>
      </w:r>
      <w:r w:rsidR="002164DD">
        <w:t>z</w:t>
      </w:r>
      <w:r>
        <w:t>a</w:t>
      </w:r>
      <w:r w:rsidR="002164DD">
        <w:t>siela</w:t>
      </w:r>
      <w:r>
        <w:t xml:space="preserve">, uskutočnené. Ak je suma podľa predchádzajúcej vety záporná, uvádza sa so záporným znamienkom.   </w:t>
      </w:r>
    </w:p>
    <w:p w:rsidR="001D0939" w:rsidRDefault="001D0939" w:rsidP="001D0939">
      <w:pPr>
        <w:jc w:val="both"/>
      </w:pPr>
      <w:r>
        <w:t>a</w:t>
      </w:r>
      <w:r w:rsidR="00390B43">
        <w:t>h</w:t>
      </w:r>
      <w:r>
        <w:t xml:space="preserve">) </w:t>
      </w:r>
      <w:r w:rsidR="0061436A">
        <w:t>U</w:t>
      </w:r>
      <w:r>
        <w:t xml:space="preserve">vádzajú </w:t>
      </w:r>
      <w:r w:rsidR="0061436A">
        <w:t xml:space="preserve">sa </w:t>
      </w:r>
      <w:r>
        <w:t xml:space="preserve">slová </w:t>
      </w:r>
      <w:r w:rsidR="00390B43">
        <w:t xml:space="preserve">„programový výber“. </w:t>
      </w:r>
      <w:r>
        <w:t xml:space="preserve">Riadok sa </w:t>
      </w:r>
      <w:r w:rsidR="0079357B">
        <w:t>neuvádza</w:t>
      </w:r>
      <w:r>
        <w:t>, ak sa transakcia podľa predchádzajúcej vety neuskutočnila v období, za ktoré sa výpis účastníka zasiela.</w:t>
      </w:r>
    </w:p>
    <w:p w:rsidR="001D0939" w:rsidRDefault="001D0939" w:rsidP="001D0939">
      <w:pPr>
        <w:jc w:val="both"/>
      </w:pPr>
      <w:r>
        <w:t>a</w:t>
      </w:r>
      <w:r w:rsidR="00390B43">
        <w:t>i</w:t>
      </w:r>
      <w:r>
        <w:t xml:space="preserve">) Uvádza sa </w:t>
      </w:r>
      <w:r w:rsidR="00390B43">
        <w:t>suma zodpovedajúca programovému výberu</w:t>
      </w:r>
      <w:r>
        <w:t>. Suma sa uvádza so záporným znamienkom.</w:t>
      </w:r>
    </w:p>
    <w:p w:rsidR="001D0939" w:rsidRDefault="001D0939" w:rsidP="001D0939">
      <w:pPr>
        <w:jc w:val="both"/>
      </w:pPr>
      <w:r>
        <w:t>a</w:t>
      </w:r>
      <w:r w:rsidR="00390B43">
        <w:t>j</w:t>
      </w:r>
      <w:r>
        <w:t xml:space="preserve">) Uvádza sa suma zhodnotenia očistená o odplaty, náklady a poplatky ku dňu podľa § </w:t>
      </w:r>
      <w:r w:rsidR="00390B43">
        <w:t>108</w:t>
      </w:r>
      <w:r>
        <w:t xml:space="preserve"> ods. 3 písm. </w:t>
      </w:r>
      <w:r w:rsidR="00390B43">
        <w:t>e</w:t>
      </w:r>
      <w:r>
        <w:t>) zákona. Ak je suma podľa predchádzajúcej vety záporná, uvádza sa so záporným znamienkom.</w:t>
      </w:r>
    </w:p>
    <w:p w:rsidR="001D0939" w:rsidRDefault="001D0939" w:rsidP="001D0939">
      <w:pPr>
        <w:jc w:val="both"/>
      </w:pPr>
      <w:r>
        <w:t>a</w:t>
      </w:r>
      <w:r w:rsidR="00390B43">
        <w:t>k</w:t>
      </w:r>
      <w:r>
        <w:t xml:space="preserve">) Uvádza sa deň podľa § </w:t>
      </w:r>
      <w:r w:rsidR="00390B43">
        <w:t>108</w:t>
      </w:r>
      <w:r>
        <w:t xml:space="preserve"> ods. 3 písm. </w:t>
      </w:r>
      <w:r w:rsidR="00390B43">
        <w:t>e</w:t>
      </w:r>
      <w:r>
        <w:t>) zákona, ak sa informácia „Transakcie a zmeny na Vašom osobnom</w:t>
      </w:r>
      <w:r w:rsidR="00390B43">
        <w:t xml:space="preserve"> dôchodkovom</w:t>
      </w:r>
      <w:r>
        <w:t xml:space="preserve"> účte“ vo výpise uvádza jedenkrát. Deň podľa predchádzajúcej vety sa uvádza, aj keď sa v informácii „Transakcie a zmeny na Vašom</w:t>
      </w:r>
      <w:r w:rsidR="00390B43">
        <w:t xml:space="preserve"> dôchodkovom</w:t>
      </w:r>
      <w:r>
        <w:t xml:space="preserve"> osobnom účte“ vytvorí stĺpec pre ďalší dôchodkový fond. </w:t>
      </w:r>
    </w:p>
    <w:p w:rsidR="001D0939" w:rsidRDefault="001D0939" w:rsidP="001D0939">
      <w:pPr>
        <w:jc w:val="both"/>
      </w:pPr>
      <w:r>
        <w:t>a</w:t>
      </w:r>
      <w:r w:rsidR="00390B43">
        <w:t>l</w:t>
      </w:r>
      <w:r>
        <w:t>) Ak sa informácia „Transakcie a zmeny na Vašom osobnom</w:t>
      </w:r>
      <w:r w:rsidR="00390B43">
        <w:t xml:space="preserve"> dôchodkovom</w:t>
      </w:r>
      <w:r>
        <w:t xml:space="preserve"> účte“ vo výpise opakuje, uvádza sa posledný deň obdobia, v ktorom mal </w:t>
      </w:r>
      <w:r w:rsidR="00390B43">
        <w:t>sporiteľ</w:t>
      </w:r>
      <w:r>
        <w:t xml:space="preserve"> podiel na majetku v príslušnom dôchodkovom fonde. V poslednej informácii „Transakcie a zmeny na Vašom osobnom</w:t>
      </w:r>
      <w:r w:rsidR="00390B43">
        <w:t xml:space="preserve"> dôchodkovom</w:t>
      </w:r>
      <w:r>
        <w:t xml:space="preserve"> účte“ sa uvádza deň podľa § </w:t>
      </w:r>
      <w:r w:rsidR="00390B43">
        <w:t>108 ods. 3 písm. e</w:t>
      </w:r>
      <w:r>
        <w:t>) zákona.</w:t>
      </w:r>
    </w:p>
    <w:p w:rsidR="001D0939" w:rsidRDefault="001D0939" w:rsidP="001D0939">
      <w:pPr>
        <w:jc w:val="both"/>
      </w:pPr>
      <w:r>
        <w:t>a</w:t>
      </w:r>
      <w:r w:rsidR="0079367B">
        <w:t>m</w:t>
      </w:r>
      <w:r>
        <w:t xml:space="preserve">) Uvádza sa </w:t>
      </w:r>
      <w:r w:rsidR="0079357B">
        <w:t xml:space="preserve">suma </w:t>
      </w:r>
      <w:r>
        <w:t xml:space="preserve">odplaty za správu dôchodkového fondu podľa § </w:t>
      </w:r>
      <w:r w:rsidR="0079367B">
        <w:t>63a</w:t>
      </w:r>
      <w:r>
        <w:t xml:space="preserve"> ods. </w:t>
      </w:r>
      <w:r w:rsidR="0079367B">
        <w:t>3</w:t>
      </w:r>
      <w:r>
        <w:t xml:space="preserve"> zákona za obdobie, za ktoré sa výpis zasiela.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t xml:space="preserve">Suma sa </w:t>
      </w:r>
      <w:r w:rsidR="0079357B">
        <w:t> uvádza vo výške</w:t>
      </w:r>
      <w:r>
        <w:t>, ktor</w:t>
      </w:r>
      <w:r w:rsidR="0079357B">
        <w:t>á</w:t>
      </w:r>
      <w:r>
        <w:t xml:space="preserve"> </w:t>
      </w:r>
      <w:r w:rsidR="0079357B">
        <w:t xml:space="preserve">pripadá </w:t>
      </w:r>
      <w:r>
        <w:t xml:space="preserve">na </w:t>
      </w:r>
      <w:r w:rsidR="0079367B">
        <w:t>sporiteľa</w:t>
      </w:r>
      <w:r>
        <w:t xml:space="preserve">, a </w:t>
      </w:r>
      <w:r w:rsidR="00046812">
        <w:t xml:space="preserve">ktorá bola </w:t>
      </w:r>
      <w:r>
        <w:t xml:space="preserve">z majetku dôchodkového fondu </w:t>
      </w:r>
      <w:r w:rsidR="00046812">
        <w:t xml:space="preserve">uhradená </w:t>
      </w:r>
      <w:r>
        <w:t xml:space="preserve">od prvého dňa obdobia, za ktoré sa výpis zasiela, do dňa podľa § </w:t>
      </w:r>
      <w:r w:rsidR="0079367B">
        <w:t>108</w:t>
      </w:r>
      <w:r>
        <w:t xml:space="preserve"> ods. 3 písm. </w:t>
      </w:r>
      <w:r w:rsidR="0079367B">
        <w:t>e</w:t>
      </w:r>
      <w:r>
        <w:t xml:space="preserve">) zákona. </w:t>
      </w:r>
    </w:p>
    <w:p w:rsidR="001D0939" w:rsidRDefault="001D0939" w:rsidP="001D0939">
      <w:pPr>
        <w:jc w:val="both"/>
      </w:pPr>
      <w:r>
        <w:t>a</w:t>
      </w:r>
      <w:r w:rsidR="0079367B">
        <w:t>n</w:t>
      </w:r>
      <w:r>
        <w:t xml:space="preserve">) Uvádza sa </w:t>
      </w:r>
      <w:r w:rsidR="0079357B">
        <w:t xml:space="preserve">suma </w:t>
      </w:r>
      <w:r>
        <w:t xml:space="preserve">odplaty za zhodnotenie majetku v dôchodkovom fonde podľa § </w:t>
      </w:r>
      <w:r w:rsidR="0079367B">
        <w:t>63c</w:t>
      </w:r>
      <w:r>
        <w:t xml:space="preserve"> ods. 1 zákona za obdobie, za ktoré sa výpis zasiela. Suma sa </w:t>
      </w:r>
      <w:r w:rsidR="0079357B">
        <w:t>uvádza  vo výške</w:t>
      </w:r>
      <w:r>
        <w:t xml:space="preserve">, </w:t>
      </w:r>
      <w:r w:rsidR="0079357B">
        <w:t xml:space="preserve">ktorá pripadá </w:t>
      </w:r>
      <w:r>
        <w:t xml:space="preserve">na </w:t>
      </w:r>
      <w:r w:rsidR="0079367B">
        <w:t>sporiteľa</w:t>
      </w:r>
      <w:r>
        <w:t xml:space="preserve">, a </w:t>
      </w:r>
      <w:r w:rsidR="00046812">
        <w:t xml:space="preserve">ktorá bola </w:t>
      </w:r>
      <w:r>
        <w:t xml:space="preserve">z majetku dôchodkového fondu </w:t>
      </w:r>
      <w:r w:rsidR="00046812">
        <w:t xml:space="preserve">uhradená </w:t>
      </w:r>
      <w:r>
        <w:t xml:space="preserve">od prvého dňa obdobia, za ktoré sa výpis zasiela, do dňa podľa § </w:t>
      </w:r>
      <w:r w:rsidR="0079367B">
        <w:t>108 ods. 3 písm. e</w:t>
      </w:r>
      <w:r>
        <w:t>) zákona.</w:t>
      </w:r>
    </w:p>
    <w:p w:rsidR="0079367B" w:rsidRDefault="0079367B" w:rsidP="0079367B">
      <w:pPr>
        <w:jc w:val="both"/>
      </w:pPr>
      <w:r>
        <w:lastRenderedPageBreak/>
        <w:t>ao</w:t>
      </w:r>
      <w:r w:rsidR="001D0939">
        <w:t xml:space="preserve">) Uvádza sa suma odplaty </w:t>
      </w:r>
      <w:r>
        <w:t xml:space="preserve">vedenie osobného dôchodkového účtu </w:t>
      </w:r>
      <w:r w:rsidR="001D0939">
        <w:t xml:space="preserve">podľa § </w:t>
      </w:r>
      <w:r>
        <w:t>63b</w:t>
      </w:r>
      <w:r w:rsidR="001D0939">
        <w:t xml:space="preserve"> zákona.</w:t>
      </w:r>
      <w:r w:rsidRPr="0079367B">
        <w:t xml:space="preserve"> </w:t>
      </w:r>
      <w:r>
        <w:t>Suma sa uvádza  vo výške, ktorá pripadá na sporiteľa, a ktorá bola z majetku dôchodkového fondu uhradená od prvého dňa obdobia, za ktoré sa výpis zasiela, do dňa podľa § 108 ods. 3 písm. e) zákona.</w:t>
      </w:r>
    </w:p>
    <w:p w:rsidR="001D0939" w:rsidRDefault="0079367B" w:rsidP="001D0939">
      <w:pPr>
        <w:jc w:val="both"/>
      </w:pPr>
      <w:r>
        <w:t>ap</w:t>
      </w:r>
      <w:r w:rsidR="001D0939">
        <w:t xml:space="preserve">) Uvádza sa suma nákladov a poplatkov, za obdobie, za ktoré sa výpis zasiela. Suma sa </w:t>
      </w:r>
      <w:r w:rsidR="0079357B">
        <w:t> uvádza vo výške</w:t>
      </w:r>
      <w:r w:rsidR="001D0939">
        <w:t xml:space="preserve">, </w:t>
      </w:r>
      <w:r w:rsidR="0079357B">
        <w:t xml:space="preserve">ktorá pripadá </w:t>
      </w:r>
      <w:r w:rsidR="001D0939">
        <w:t xml:space="preserve">na </w:t>
      </w:r>
      <w:r>
        <w:t>sporiteľa</w:t>
      </w:r>
      <w:r w:rsidR="001D0939">
        <w:t xml:space="preserve"> a </w:t>
      </w:r>
      <w:r w:rsidR="0079357B">
        <w:t xml:space="preserve">ktorá bola </w:t>
      </w:r>
      <w:r w:rsidR="001D0939">
        <w:t xml:space="preserve">z majetku dôchodkového fondu </w:t>
      </w:r>
      <w:r w:rsidR="00046812">
        <w:t xml:space="preserve">uhradená </w:t>
      </w:r>
      <w:r w:rsidR="001D0939">
        <w:t xml:space="preserve">od prvého dňa obdobia, za ktoré sa výpis zasiela, do dňa podľa § </w:t>
      </w:r>
      <w:r>
        <w:t>108 ods. 3 písm. e</w:t>
      </w:r>
      <w:r w:rsidR="001D0939">
        <w:t>) zákona.</w:t>
      </w:r>
    </w:p>
    <w:p w:rsidR="001D0939" w:rsidRDefault="0079367B" w:rsidP="001D0939">
      <w:pPr>
        <w:jc w:val="both"/>
      </w:pPr>
      <w:r>
        <w:t>aq</w:t>
      </w:r>
      <w:r w:rsidR="00394C21" w:rsidRPr="00513260">
        <w:t xml:space="preserve">) </w:t>
      </w:r>
      <w:r w:rsidR="00394C21">
        <w:t xml:space="preserve">Uvádza sa súčet súm uvedených v riadkoch „Odplata za správu“, „Odplata za zhodnotenie“, „Odplata za </w:t>
      </w:r>
      <w:r>
        <w:t>vedenie osobného dôchodkového účtu</w:t>
      </w:r>
      <w:r w:rsidR="00394C21">
        <w:t>“ a „Náklady a poplatky“ za dôchodkový fond.</w:t>
      </w:r>
    </w:p>
    <w:p w:rsidR="001D0939" w:rsidRDefault="00924CEE" w:rsidP="001D0939">
      <w:pPr>
        <w:jc w:val="both"/>
      </w:pPr>
      <w:r>
        <w:t>ar</w:t>
      </w:r>
      <w:r w:rsidR="001D0939">
        <w:t xml:space="preserve">) Uvádza sa súčet súm uvedených v riadku „Spolu za dôchodkový fond“. Riadok sa neuvádza, ak si v období, za ktoré sa výpis zasiela, </w:t>
      </w:r>
      <w:r>
        <w:t>sporiteľ</w:t>
      </w:r>
      <w:r w:rsidR="001D0939">
        <w:t xml:space="preserve"> zvolil jeden dôchodkový fond.</w:t>
      </w:r>
    </w:p>
    <w:p w:rsidR="001D0939" w:rsidRDefault="0079367B" w:rsidP="001D0939">
      <w:pPr>
        <w:jc w:val="both"/>
      </w:pPr>
      <w:r>
        <w:t>a</w:t>
      </w:r>
      <w:r w:rsidR="00924CEE">
        <w:t>s</w:t>
      </w:r>
      <w:r w:rsidR="001D0939">
        <w:t>) Uvádza sa pomer sumy uvedenej v riadku „Spolu za všetky dôchodkové fondy“ a priemernej hodnoty osobného</w:t>
      </w:r>
      <w:r>
        <w:t xml:space="preserve"> dôchodkového účtu</w:t>
      </w:r>
      <w:r w:rsidR="001D0939">
        <w:t xml:space="preserve"> za obdobie, za ktoré sa výpis zasiela. Ak si v období, za ktoré sa výpis zasiela, </w:t>
      </w:r>
      <w:r w:rsidR="00924CEE">
        <w:t>sporiteľ</w:t>
      </w:r>
      <w:r w:rsidR="001D0939">
        <w:t xml:space="preserve"> zvolil jeden dôchodkový fond, uvádza sa suma zodpovedajúca pomeru sumy uvedenej v riadku „Spolu za dôchodkový fond“ a priemernej hodnoty osobného</w:t>
      </w:r>
      <w:r w:rsidR="00924CEE">
        <w:t xml:space="preserve"> dôchodkového</w:t>
      </w:r>
      <w:r w:rsidR="001D0939">
        <w:t xml:space="preserve"> účtu za obdobie, za ktoré sa výpis zasiela. Priemerná hodnota osobného</w:t>
      </w:r>
      <w:r w:rsidR="00924CEE">
        <w:t xml:space="preserve"> dôchodkového</w:t>
      </w:r>
      <w:r w:rsidR="001D0939">
        <w:t xml:space="preserve"> účtu </w:t>
      </w:r>
      <w:r w:rsidR="00924CEE">
        <w:t>sporiteľa</w:t>
      </w:r>
      <w:r w:rsidR="001D0939">
        <w:t xml:space="preserve"> sa vypočíta ako podiel súčtu sumy zodpovedajúcej aktuálnej hodnote osobného</w:t>
      </w:r>
      <w:r w:rsidR="00924CEE">
        <w:t xml:space="preserve"> dôchodkového</w:t>
      </w:r>
      <w:r w:rsidR="001D0939">
        <w:t xml:space="preserve"> účtu ku dňu, ktorý 12 mesiacov predchádza dňu podľa § </w:t>
      </w:r>
      <w:r w:rsidR="00924CEE">
        <w:t>108</w:t>
      </w:r>
      <w:r w:rsidR="001D0939">
        <w:t xml:space="preserve"> ods. 3 písm. </w:t>
      </w:r>
      <w:r w:rsidR="00924CEE">
        <w:t>e</w:t>
      </w:r>
      <w:r w:rsidR="001D0939">
        <w:t xml:space="preserve">) zákona a sumy zodpovedajúcej aktuálnej hodnote osobného </w:t>
      </w:r>
      <w:r w:rsidR="00924CEE">
        <w:t>dôchodkového účtu ku dňu podľa § 108 ods. 3 písm. e</w:t>
      </w:r>
      <w:r w:rsidR="001D0939">
        <w:t xml:space="preserve">) zákona a čísla dva. </w:t>
      </w:r>
      <w:r w:rsidR="00046812">
        <w:t xml:space="preserve">Pomer </w:t>
      </w:r>
      <w:r w:rsidR="001D0939">
        <w:t>podľa prvej a druhej vety sa uvádza v percentách a zaokrúhľuje sa matematicky na dve desatinné miesta.</w:t>
      </w:r>
    </w:p>
    <w:p w:rsidR="001D0939" w:rsidRDefault="00924CEE" w:rsidP="001D0939">
      <w:pPr>
        <w:jc w:val="both"/>
      </w:pPr>
      <w:r>
        <w:t>at</w:t>
      </w:r>
      <w:r w:rsidR="001D0939">
        <w:t xml:space="preserve">) Uvádzajú sa informácie o predpokladoch použitých na výpočet alternatívnych prognóz podľa § </w:t>
      </w:r>
      <w:r>
        <w:t>4</w:t>
      </w:r>
      <w:r w:rsidR="001D0939">
        <w:t xml:space="preserve"> </w:t>
      </w:r>
      <w:r w:rsidR="001D0939">
        <w:rPr>
          <w:rFonts w:ascii="Times" w:hAnsi="Times" w:cs="Times"/>
          <w:sz w:val="25"/>
          <w:szCs w:val="25"/>
        </w:rPr>
        <w:t xml:space="preserve">a ich vplyv na výšku  mesačnej sumy predpokladaného starobného dôchodku. </w:t>
      </w:r>
    </w:p>
    <w:p w:rsidR="001D0939" w:rsidRDefault="00924CEE" w:rsidP="00046812">
      <w:pPr>
        <w:jc w:val="both"/>
      </w:pPr>
      <w:r>
        <w:t>au</w:t>
      </w:r>
      <w:r w:rsidR="001D0939">
        <w:t xml:space="preserve">) </w:t>
      </w:r>
      <w:r w:rsidR="00016F32">
        <w:t>Významná zmena je najmä zmena všeobecne záväzných právnych predpisov súvisiacich s</w:t>
      </w:r>
      <w:r>
        <w:t>o starobným</w:t>
      </w:r>
      <w:r w:rsidR="00016F32">
        <w:t xml:space="preserve"> dôchodkovým sporením a/alebo ekonomických podmienok a podmienok na finančnom trhu, na základe ktorej môže dôjsť k významnému zníženiu </w:t>
      </w:r>
      <w:r>
        <w:t>dôchodku sporiteľa</w:t>
      </w:r>
      <w:r w:rsidR="00016F32">
        <w:t xml:space="preserve">. </w:t>
      </w:r>
      <w:r w:rsidR="00046812">
        <w:t>Informácia sa u</w:t>
      </w:r>
      <w:r w:rsidR="001D0939">
        <w:t>vádza, ak v období, za ktoré sa výpis zasiela došlo k významnej zmene.</w:t>
      </w:r>
    </w:p>
    <w:p w:rsidR="001D0939" w:rsidRDefault="00924CEE" w:rsidP="001D0939">
      <w:pPr>
        <w:jc w:val="both"/>
      </w:pPr>
      <w:r>
        <w:t>av</w:t>
      </w:r>
      <w:r w:rsidR="001D0939">
        <w:t>) Uvádza sa hypertextové prepojenie na bezplatný pasívny elektronický prístup k</w:t>
      </w:r>
      <w:r>
        <w:t> </w:t>
      </w:r>
      <w:r w:rsidR="001D0939">
        <w:t>osobnému</w:t>
      </w:r>
      <w:r>
        <w:t xml:space="preserve"> dôchodkovému</w:t>
      </w:r>
      <w:r w:rsidR="001D0939">
        <w:t xml:space="preserve"> účtu a webové sídlo dôchodkovej </w:t>
      </w:r>
      <w:r>
        <w:t xml:space="preserve">správcovskej </w:t>
      </w:r>
      <w:r w:rsidR="001D0939">
        <w:t>spoločnosti.</w:t>
      </w:r>
    </w:p>
    <w:p w:rsidR="001E536F" w:rsidRDefault="00924CEE" w:rsidP="00924CEE">
      <w:r>
        <w:t xml:space="preserve"> </w:t>
      </w:r>
    </w:p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C135B2" w:rsidRDefault="00C135B2" w:rsidP="00924CEE"/>
    <w:p w:rsidR="00C135B2" w:rsidRDefault="00C135B2" w:rsidP="00C135B2">
      <w:pPr>
        <w:pStyle w:val="Hlavika"/>
        <w:pageBreakBefore/>
        <w:jc w:val="right"/>
      </w:pPr>
      <w:r>
        <w:lastRenderedPageBreak/>
        <w:t>Príloha č. 2 k opatreniu č. .../2019 Z. z.</w:t>
      </w:r>
    </w:p>
    <w:p w:rsidR="00C135B2" w:rsidRDefault="00C135B2" w:rsidP="00924CEE"/>
    <w:p w:rsidR="002164DD" w:rsidRPr="00C135B2" w:rsidRDefault="00C135B2" w:rsidP="00C135B2">
      <w:pPr>
        <w:jc w:val="center"/>
        <w:rPr>
          <w:b/>
        </w:rPr>
      </w:pPr>
      <w:r w:rsidRPr="00C135B2">
        <w:rPr>
          <w:b/>
        </w:rPr>
        <w:t>VZORCE NA VÝPOČET PROGNÓZ DÔCHODKOVÝCH DÁVOK</w:t>
      </w:r>
    </w:p>
    <w:p w:rsidR="00C135B2" w:rsidRDefault="00C135B2" w:rsidP="00924CEE"/>
    <w:p w:rsidR="00C135B2" w:rsidRPr="00366EC3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b/>
        </w:rPr>
      </w:pPr>
      <w:r w:rsidRPr="00366EC3">
        <w:rPr>
          <w:b/>
        </w:rPr>
        <w:t>Vzorec na výpočet hrubého ročného výnosu</w:t>
      </w:r>
    </w:p>
    <w:p w:rsidR="00C135B2" w:rsidRDefault="00D85526" w:rsidP="00C135B2">
      <w:pPr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C135B2" w:rsidRPr="00256515">
        <w:rPr>
          <w:rFonts w:eastAsiaTheme="minorEastAsia"/>
        </w:rPr>
        <w:t xml:space="preserve"> </w:t>
      </w:r>
      <w:r w:rsidR="00C135B2" w:rsidRPr="00256515">
        <w:t xml:space="preserve">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(1+r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</m:oMath>
    </w:p>
    <w:p w:rsidR="00C135B2" w:rsidRPr="00256515" w:rsidRDefault="00C135B2" w:rsidP="00C135B2">
      <w:pPr>
        <w:jc w:val="both"/>
        <w:rPr>
          <w:rFonts w:eastAsiaTheme="minorEastAsia"/>
        </w:rPr>
      </w:pPr>
    </w:p>
    <w:p w:rsidR="00C135B2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b/>
        </w:rPr>
      </w:pPr>
      <w:r w:rsidRPr="00256515">
        <w:rPr>
          <w:b/>
        </w:rPr>
        <w:t>Vzorec na výpočet vplyvu odplaty za zhodnotenie na zníženie výnosnosti</w:t>
      </w:r>
    </w:p>
    <w:p w:rsidR="00C135B2" w:rsidRPr="00366EC3" w:rsidRDefault="00C135B2" w:rsidP="00C135B2">
      <w:pPr>
        <w:jc w:val="both"/>
        <w:rPr>
          <w:rFonts w:eastAsiaTheme="minorEastAsia"/>
        </w:rPr>
      </w:pPr>
      <w:r>
        <w:tab/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RiY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/>
          </w:rPr>
          <m:t>=(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V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) x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sub>
        </m:sSub>
      </m:oMath>
    </w:p>
    <w:p w:rsidR="00C135B2" w:rsidRPr="00256515" w:rsidRDefault="00C135B2" w:rsidP="00C135B2">
      <w:pPr>
        <w:jc w:val="both"/>
        <w:rPr>
          <w:rFonts w:eastAsiaTheme="minorEastAsia"/>
        </w:rPr>
      </w:pPr>
    </w:p>
    <w:p w:rsidR="00C135B2" w:rsidRPr="00256515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rFonts w:eastAsiaTheme="minorEastAsia"/>
          <w:b/>
        </w:rPr>
      </w:pPr>
      <w:r w:rsidRPr="00256515">
        <w:rPr>
          <w:b/>
        </w:rPr>
        <w:t xml:space="preserve">Vzorec na výpočet ukazovateľa zníženia výnosnosti </w:t>
      </w:r>
    </w:p>
    <w:p w:rsidR="00C135B2" w:rsidRDefault="00C135B2" w:rsidP="00C135B2">
      <w:pPr>
        <w:ind w:firstLine="708"/>
        <w:jc w:val="both"/>
      </w:pPr>
      <w:r w:rsidRPr="00256515">
        <w:t xml:space="preserve">RiY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12</m:t>
            </m:r>
          </m:deg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RiY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</m:sSub>
              </m:sub>
            </m:sSub>
          </m:e>
        </m:rad>
        <m:r>
          <w:rPr>
            <w:rFonts w:ascii="Cambria Math" w:hAnsi="Cambria Math"/>
          </w:rPr>
          <m:t>-1</m:t>
        </m:r>
      </m:oMath>
    </w:p>
    <w:p w:rsidR="00C135B2" w:rsidRPr="00256515" w:rsidRDefault="00C135B2" w:rsidP="00C135B2">
      <w:pPr>
        <w:jc w:val="both"/>
        <w:rPr>
          <w:rFonts w:eastAsiaTheme="minorEastAsia"/>
        </w:rPr>
      </w:pPr>
    </w:p>
    <w:p w:rsidR="00C135B2" w:rsidRPr="00256515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b/>
        </w:rPr>
      </w:pPr>
      <w:r w:rsidRPr="00256515">
        <w:rPr>
          <w:b/>
        </w:rPr>
        <w:t xml:space="preserve">Vzorec na výpočet čistého výnosu </w:t>
      </w:r>
    </w:p>
    <w:p w:rsidR="00C135B2" w:rsidRDefault="00C135B2" w:rsidP="00C135B2">
      <w:pPr>
        <w:ind w:firstLine="708"/>
        <w:jc w:val="both"/>
      </w:pPr>
      <w:r w:rsidRPr="00256515">
        <w:t xml:space="preserve">r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</w:rPr>
          <m:t>-RiY</m:t>
        </m:r>
      </m:oMath>
    </w:p>
    <w:p w:rsidR="00C135B2" w:rsidRPr="00256515" w:rsidRDefault="00C135B2" w:rsidP="00C135B2">
      <w:pPr>
        <w:jc w:val="both"/>
        <w:rPr>
          <w:rFonts w:eastAsiaTheme="minorEastAsia"/>
        </w:rPr>
      </w:pPr>
    </w:p>
    <w:p w:rsidR="00C135B2" w:rsidRPr="00256515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rFonts w:eastAsiaTheme="minorEastAsia"/>
          <w:b/>
        </w:rPr>
      </w:pPr>
      <w:r w:rsidRPr="00256515">
        <w:rPr>
          <w:rFonts w:eastAsiaTheme="minorEastAsia"/>
          <w:b/>
        </w:rPr>
        <w:t xml:space="preserve">Vzorec </w:t>
      </w:r>
      <w:r w:rsidRPr="00256515">
        <w:rPr>
          <w:b/>
        </w:rPr>
        <w:t xml:space="preserve">na výpočet prognózovanej hodnoty osobného účtu </w:t>
      </w:r>
      <w:r>
        <w:rPr>
          <w:b/>
        </w:rPr>
        <w:t>sporiteľa</w:t>
      </w:r>
      <w:r w:rsidRPr="00256515">
        <w:rPr>
          <w:rFonts w:eastAsiaTheme="minorEastAsia"/>
          <w:b/>
        </w:rPr>
        <w:t xml:space="preserve"> </w:t>
      </w:r>
    </w:p>
    <w:p w:rsidR="00C135B2" w:rsidRPr="00366EC3" w:rsidRDefault="00D85526" w:rsidP="00C135B2">
      <w:pPr>
        <w:ind w:left="708" w:firstLine="708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(1+r)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(1+r)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q-1</m:t>
              </m:r>
            </m:den>
          </m:f>
        </m:oMath>
      </m:oMathPara>
    </w:p>
    <w:p w:rsidR="00C135B2" w:rsidRPr="00256515" w:rsidRDefault="00C135B2" w:rsidP="00C135B2">
      <w:pPr>
        <w:jc w:val="both"/>
      </w:pPr>
    </w:p>
    <w:p w:rsidR="00C135B2" w:rsidRPr="00256515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b/>
        </w:rPr>
      </w:pPr>
      <w:r w:rsidRPr="00256515">
        <w:rPr>
          <w:b/>
        </w:rPr>
        <w:t>Vzorec na výpočet hodnoty osobného</w:t>
      </w:r>
      <w:r w:rsidR="0078677F">
        <w:rPr>
          <w:b/>
        </w:rPr>
        <w:t xml:space="preserve"> dôchodkového</w:t>
      </w:r>
      <w:r w:rsidRPr="00256515">
        <w:rPr>
          <w:b/>
        </w:rPr>
        <w:t xml:space="preserve"> účtu </w:t>
      </w:r>
      <w:r>
        <w:rPr>
          <w:b/>
        </w:rPr>
        <w:t>sporiteľa</w:t>
      </w:r>
      <w:r w:rsidRPr="00256515">
        <w:rPr>
          <w:b/>
        </w:rPr>
        <w:t xml:space="preserve"> upravenej o infláciu</w:t>
      </w:r>
    </w:p>
    <w:p w:rsidR="00C135B2" w:rsidRDefault="00D85526" w:rsidP="00C135B2">
      <w:pPr>
        <w:ind w:firstLine="70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C135B2" w:rsidRPr="00256515">
        <w:rPr>
          <w:vertAlign w:val="subscript"/>
        </w:rPr>
        <w:t xml:space="preserve"> </w:t>
      </w:r>
      <w:r w:rsidR="00C135B2" w:rsidRPr="00256515">
        <w:t xml:space="preserve">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</m:oMath>
      <w:r w:rsidR="00C135B2" w:rsidRPr="00256515">
        <w:rPr>
          <w:vertAlign w:val="subscript"/>
        </w:rPr>
        <w:t xml:space="preserve"> </w:t>
      </w:r>
      <w:r w:rsidR="00C135B2" w:rsidRPr="00256515">
        <w:t xml:space="preserve">x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(1-i)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</m:oMath>
    </w:p>
    <w:p w:rsidR="00C135B2" w:rsidRPr="00256515" w:rsidRDefault="00C135B2" w:rsidP="00C135B2">
      <w:pPr>
        <w:jc w:val="both"/>
        <w:rPr>
          <w:rFonts w:eastAsiaTheme="minorEastAsia"/>
        </w:rPr>
      </w:pPr>
    </w:p>
    <w:p w:rsidR="00C135B2" w:rsidRPr="007B2213" w:rsidRDefault="00C135B2" w:rsidP="00C135B2">
      <w:pPr>
        <w:jc w:val="both"/>
        <w:rPr>
          <w:u w:val="single"/>
        </w:rPr>
      </w:pPr>
      <w:r w:rsidRPr="007B2213">
        <w:rPr>
          <w:u w:val="single"/>
        </w:rPr>
        <w:t>P</w:t>
      </w:r>
      <w:r w:rsidR="0078677F">
        <w:rPr>
          <w:u w:val="single"/>
        </w:rPr>
        <w:t xml:space="preserve">ri výpočte prognóz dôchodkov </w:t>
      </w:r>
      <w:r w:rsidRPr="007B2213">
        <w:rPr>
          <w:u w:val="single"/>
        </w:rPr>
        <w:t>sa použijú tieto veličiny a ich označenie:</w:t>
      </w:r>
    </w:p>
    <w:p w:rsidR="00C135B2" w:rsidRPr="00256515" w:rsidRDefault="00D8552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C135B2" w:rsidRPr="00256515">
        <w:rPr>
          <w:rFonts w:eastAsiaTheme="minorEastAsia"/>
        </w:rPr>
        <w:t xml:space="preserve"> = hrubý ročný výnos</w:t>
      </w:r>
      <w:r w:rsidR="00C135B2">
        <w:rPr>
          <w:rFonts w:eastAsiaTheme="minorEastAsia"/>
        </w:rPr>
        <w:t xml:space="preserve"> v %,</w:t>
      </w:r>
    </w:p>
    <w:p w:rsidR="00C135B2" w:rsidRPr="00256515" w:rsidRDefault="00D8552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</m:t>
            </m:r>
          </m:sub>
        </m:sSub>
      </m:oMath>
      <w:r w:rsidR="00C135B2" w:rsidRPr="00256515">
        <w:rPr>
          <w:rFonts w:eastAsiaTheme="minorEastAsia"/>
        </w:rPr>
        <w:t xml:space="preserve"> = hrubý mesačný </w:t>
      </w:r>
      <w:r w:rsidR="00C135B2" w:rsidRPr="00256515">
        <w:t xml:space="preserve">výnos uvedený v tabuľke č. 1 </w:t>
      </w:r>
      <w:r w:rsidR="00C135B2">
        <w:t>až</w:t>
      </w:r>
      <w:r w:rsidR="00C135B2" w:rsidRPr="00256515">
        <w:t xml:space="preserve"> v tabuľke č. 5, určený na základe syntetického ukazovateľa rizika, predpokladanej zostávajúcej dĺžky </w:t>
      </w:r>
      <w:r w:rsidR="00821314">
        <w:t>starobného</w:t>
      </w:r>
      <w:r w:rsidR="00821314" w:rsidRPr="00256515">
        <w:t xml:space="preserve"> </w:t>
      </w:r>
      <w:r w:rsidR="00C135B2" w:rsidRPr="00256515">
        <w:t>dôchodkového sporenia a prognózovaného scenára</w:t>
      </w:r>
      <w:r w:rsidR="00C135B2">
        <w:t>,</w:t>
      </w:r>
    </w:p>
    <w:p w:rsidR="00C135B2" w:rsidRPr="00256515" w:rsidRDefault="00D8552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RiY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</m:sub>
            </m:sSub>
          </m:sub>
        </m:sSub>
      </m:oMath>
      <w:r w:rsidR="00C135B2" w:rsidRPr="00256515">
        <w:rPr>
          <w:rFonts w:eastAsiaTheme="minorEastAsia"/>
        </w:rPr>
        <w:t>= vplyv odplaty za zhodnotenie na zníženie výnosnosti</w:t>
      </w:r>
      <w:r w:rsidR="00C135B2">
        <w:rPr>
          <w:rFonts w:eastAsiaTheme="minorEastAsia"/>
        </w:rPr>
        <w:t xml:space="preserve"> v %,</w:t>
      </w:r>
    </w:p>
    <w:p w:rsidR="00C135B2" w:rsidRDefault="00D8552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</m:sSub>
      </m:oMath>
      <w:r w:rsidR="00C135B2" w:rsidRPr="00256515">
        <w:rPr>
          <w:rFonts w:eastAsiaTheme="minorEastAsia"/>
        </w:rPr>
        <w:t xml:space="preserve"> = ročná odplata za správu v %</w:t>
      </w:r>
      <w:r w:rsidR="00C135B2">
        <w:rPr>
          <w:rFonts w:eastAsiaTheme="minorEastAsia"/>
        </w:rPr>
        <w:t>,</w:t>
      </w:r>
    </w:p>
    <w:p w:rsidR="00FD449D" w:rsidRPr="00FD449D" w:rsidRDefault="00D8552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 w:rsidR="00FD449D">
        <w:rPr>
          <w:rFonts w:eastAsiaTheme="minorEastAsia"/>
        </w:rPr>
        <w:t xml:space="preserve"> = ročná odplata za vedenie osobného dôchodkového účtu v %</w:t>
      </w:r>
    </w:p>
    <w:p w:rsidR="00C135B2" w:rsidRPr="00256515" w:rsidRDefault="00D8552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b>
        </m:sSub>
      </m:oMath>
      <w:r w:rsidR="00C135B2" w:rsidRPr="00256515">
        <w:rPr>
          <w:rFonts w:eastAsiaTheme="minorEastAsia"/>
        </w:rPr>
        <w:t xml:space="preserve"> = ostatné ročné náklady hradené z</w:t>
      </w:r>
      <w:r w:rsidR="0078677F">
        <w:rPr>
          <w:rFonts w:eastAsiaTheme="minorEastAsia"/>
        </w:rPr>
        <w:t> </w:t>
      </w:r>
      <w:r w:rsidR="00C135B2" w:rsidRPr="00256515">
        <w:rPr>
          <w:rFonts w:eastAsiaTheme="minorEastAsia"/>
        </w:rPr>
        <w:t>majetku</w:t>
      </w:r>
      <w:r w:rsidR="0078677F">
        <w:rPr>
          <w:rFonts w:eastAsiaTheme="minorEastAsia"/>
        </w:rPr>
        <w:t xml:space="preserve"> dôchodkového</w:t>
      </w:r>
      <w:r w:rsidR="00C135B2" w:rsidRPr="00256515">
        <w:rPr>
          <w:rFonts w:eastAsiaTheme="minorEastAsia"/>
        </w:rPr>
        <w:t xml:space="preserve"> fondu v %</w:t>
      </w:r>
      <w:r w:rsidR="00C135B2">
        <w:rPr>
          <w:rFonts w:eastAsiaTheme="minorEastAsia"/>
        </w:rPr>
        <w:t>,</w:t>
      </w:r>
    </w:p>
    <w:p w:rsidR="00C135B2" w:rsidRPr="00256515" w:rsidRDefault="00D8552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</m:oMath>
      <w:r w:rsidR="00C135B2" w:rsidRPr="00256515">
        <w:rPr>
          <w:rFonts w:eastAsiaTheme="minorEastAsia"/>
        </w:rPr>
        <w:t xml:space="preserve"> = odplata za zhodnotenie v %</w:t>
      </w:r>
      <w:r w:rsidR="00C135B2">
        <w:rPr>
          <w:rFonts w:eastAsiaTheme="minorEastAsia"/>
        </w:rPr>
        <w:t>,</w:t>
      </w:r>
    </w:p>
    <w:p w:rsidR="00C135B2" w:rsidRPr="00256515" w:rsidRDefault="00C135B2" w:rsidP="00C135B2">
      <w:pPr>
        <w:jc w:val="both"/>
      </w:pPr>
      <w:r w:rsidRPr="00256515">
        <w:t>RiY = ukazovateľ zníženia výnosnosti</w:t>
      </w:r>
      <w:r>
        <w:t xml:space="preserve"> v %,</w:t>
      </w:r>
      <w:r w:rsidRPr="00256515">
        <w:t xml:space="preserve"> </w:t>
      </w:r>
    </w:p>
    <w:p w:rsidR="00C135B2" w:rsidRPr="00256515" w:rsidRDefault="00C135B2" w:rsidP="00C135B2">
      <w:pPr>
        <w:jc w:val="both"/>
      </w:pPr>
      <w:r w:rsidRPr="00256515">
        <w:t>r = čistý výnos</w:t>
      </w:r>
      <w:r>
        <w:t xml:space="preserve"> v %,</w:t>
      </w:r>
    </w:p>
    <w:p w:rsidR="00C135B2" w:rsidRPr="00256515" w:rsidRDefault="00C135B2" w:rsidP="00C135B2">
      <w:pPr>
        <w:jc w:val="both"/>
      </w:pPr>
      <w:r w:rsidRPr="00256515">
        <w:t>q = koeficient zvyšovania</w:t>
      </w:r>
      <w:r>
        <w:t xml:space="preserve"> hodnoty</w:t>
      </w:r>
      <w:r w:rsidRPr="00256515">
        <w:t xml:space="preserve"> príspevkov</w:t>
      </w:r>
      <w:r>
        <w:t>,</w:t>
      </w:r>
      <w:r w:rsidRPr="00256515">
        <w:t xml:space="preserve">  </w:t>
      </w:r>
    </w:p>
    <w:p w:rsidR="00C135B2" w:rsidRPr="00256515" w:rsidRDefault="00D85526" w:rsidP="00C135B2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</m:oMath>
      <w:r w:rsidR="00C135B2" w:rsidRPr="00256515">
        <w:t xml:space="preserve"> = prognózovaná hodnota osobného</w:t>
      </w:r>
      <w:r w:rsidR="0078677F">
        <w:t xml:space="preserve"> dôchodkového</w:t>
      </w:r>
      <w:r w:rsidR="00C135B2" w:rsidRPr="00256515">
        <w:t xml:space="preserve"> účtu </w:t>
      </w:r>
      <w:r w:rsidR="00821314">
        <w:t>sporiteľa</w:t>
      </w:r>
      <w:r w:rsidR="00C135B2">
        <w:t>,</w:t>
      </w:r>
      <w:r w:rsidR="00C135B2" w:rsidRPr="00256515">
        <w:t xml:space="preserve"> </w:t>
      </w:r>
    </w:p>
    <w:p w:rsidR="00C135B2" w:rsidRPr="00256515" w:rsidRDefault="00D85526" w:rsidP="00C135B2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</m:sSub>
      </m:oMath>
      <w:r w:rsidR="00C135B2" w:rsidRPr="00256515">
        <w:t xml:space="preserve"> =  aktuálna hodnota osobného</w:t>
      </w:r>
      <w:r w:rsidR="0078677F">
        <w:t xml:space="preserve"> dôchodkového</w:t>
      </w:r>
      <w:r w:rsidR="00C135B2" w:rsidRPr="00256515">
        <w:t xml:space="preserve"> účtu </w:t>
      </w:r>
      <w:r w:rsidR="00821314">
        <w:t>sporiteľa</w:t>
      </w:r>
      <w:r w:rsidR="00821314" w:rsidRPr="00256515">
        <w:t xml:space="preserve"> </w:t>
      </w:r>
      <w:r w:rsidR="0078677F">
        <w:t>ku dňu podľa § 108 ods. 3 písm. e</w:t>
      </w:r>
      <w:r w:rsidR="00C135B2" w:rsidRPr="00256515">
        <w:t>) zákona</w:t>
      </w:r>
      <w:r w:rsidR="00C135B2">
        <w:t>,</w:t>
      </w:r>
    </w:p>
    <w:p w:rsidR="00C135B2" w:rsidRPr="00256515" w:rsidRDefault="00C135B2" w:rsidP="00C135B2">
      <w:pPr>
        <w:jc w:val="both"/>
      </w:pPr>
      <w:r w:rsidRPr="00256515">
        <w:t xml:space="preserve">n = predpokladaná zostávajúca dĺžka </w:t>
      </w:r>
      <w:r w:rsidR="00821314">
        <w:t>starobného</w:t>
      </w:r>
      <w:r w:rsidR="00821314" w:rsidRPr="00256515">
        <w:t xml:space="preserve"> </w:t>
      </w:r>
      <w:r w:rsidRPr="00256515">
        <w:t>dôchodkového sporenia v čase vyhotovenia výpisu v</w:t>
      </w:r>
      <w:r>
        <w:t> </w:t>
      </w:r>
      <w:r w:rsidRPr="00256515">
        <w:t>mesiacoch</w:t>
      </w:r>
      <w:r>
        <w:t>,</w:t>
      </w:r>
    </w:p>
    <w:p w:rsidR="00C135B2" w:rsidRPr="00256515" w:rsidRDefault="00D85526" w:rsidP="00C135B2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</m:sSub>
      </m:oMath>
      <w:r w:rsidR="00C135B2" w:rsidRPr="00256515">
        <w:t xml:space="preserve"> = príspevok </w:t>
      </w:r>
      <w:r w:rsidR="00821314">
        <w:t>sporiteľa</w:t>
      </w:r>
      <w:r w:rsidR="00C135B2">
        <w:t>,</w:t>
      </w:r>
    </w:p>
    <w:p w:rsidR="00C135B2" w:rsidRPr="00256515" w:rsidRDefault="00D85526" w:rsidP="00C135B2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C135B2" w:rsidRPr="00256515">
        <w:rPr>
          <w:vertAlign w:val="subscript"/>
        </w:rPr>
        <w:t xml:space="preserve"> </w:t>
      </w:r>
      <w:r w:rsidR="00C135B2" w:rsidRPr="00256515">
        <w:t>= hodnota osobného</w:t>
      </w:r>
      <w:r w:rsidR="0078677F">
        <w:t xml:space="preserve"> dôchodkového</w:t>
      </w:r>
      <w:r w:rsidR="00C135B2" w:rsidRPr="00256515">
        <w:t xml:space="preserve"> účtu </w:t>
      </w:r>
      <w:r w:rsidR="00821314">
        <w:t>sporiteľa</w:t>
      </w:r>
      <w:r w:rsidR="00821314" w:rsidRPr="00256515">
        <w:t xml:space="preserve"> </w:t>
      </w:r>
      <w:r w:rsidR="00C135B2" w:rsidRPr="00256515">
        <w:t>upravená o</w:t>
      </w:r>
      <w:r w:rsidR="00C135B2">
        <w:t> </w:t>
      </w:r>
      <w:r w:rsidR="00C135B2" w:rsidRPr="00256515">
        <w:t>infláciu</w:t>
      </w:r>
      <w:r w:rsidR="00C135B2">
        <w:t>,</w:t>
      </w:r>
    </w:p>
    <w:p w:rsidR="00C135B2" w:rsidRDefault="00C135B2" w:rsidP="00C135B2">
      <w:pPr>
        <w:jc w:val="both"/>
      </w:pPr>
      <w:r w:rsidRPr="00256515">
        <w:t>i = miera inflácie vo výške 0,165 %</w:t>
      </w:r>
      <w:r>
        <w:t>.</w:t>
      </w:r>
    </w:p>
    <w:p w:rsidR="00C135B2" w:rsidRDefault="00C135B2" w:rsidP="00C135B2">
      <w:pPr>
        <w:jc w:val="both"/>
      </w:pPr>
    </w:p>
    <w:p w:rsidR="00FD449D" w:rsidRDefault="00FD449D" w:rsidP="00C135B2">
      <w:pPr>
        <w:jc w:val="both"/>
      </w:pPr>
    </w:p>
    <w:p w:rsidR="00FD449D" w:rsidRDefault="00FD449D" w:rsidP="00C135B2">
      <w:pPr>
        <w:jc w:val="both"/>
      </w:pPr>
    </w:p>
    <w:p w:rsidR="00FD449D" w:rsidRDefault="00FD449D" w:rsidP="00C135B2">
      <w:pPr>
        <w:jc w:val="both"/>
      </w:pPr>
    </w:p>
    <w:p w:rsidR="00FD449D" w:rsidRDefault="00FD449D" w:rsidP="00C135B2">
      <w:pPr>
        <w:jc w:val="both"/>
      </w:pPr>
    </w:p>
    <w:p w:rsidR="00C135B2" w:rsidRDefault="00C135B2" w:rsidP="00C135B2">
      <w:pPr>
        <w:jc w:val="both"/>
      </w:pPr>
      <w:r>
        <w:lastRenderedPageBreak/>
        <w:t xml:space="preserve">Tabuľka č. 1: Mesačný výnos dôchodkového fondu pre zostávajúcu dĺžku </w:t>
      </w:r>
      <w:r w:rsidR="00821314">
        <w:t xml:space="preserve">starobného </w:t>
      </w:r>
      <w:r>
        <w:t>dôchodkového spore</w:t>
      </w:r>
      <w:r w:rsidR="00FD449D">
        <w:t>nia v rozsahu 1 až 12 mesiacov.</w:t>
      </w:r>
    </w:p>
    <w:p w:rsidR="00C135B2" w:rsidRDefault="00C135B2" w:rsidP="00C135B2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915"/>
        <w:gridCol w:w="915"/>
        <w:gridCol w:w="915"/>
        <w:gridCol w:w="914"/>
        <w:gridCol w:w="914"/>
        <w:gridCol w:w="914"/>
        <w:gridCol w:w="914"/>
      </w:tblGrid>
      <w:tr w:rsidR="00C135B2" w:rsidTr="00C135B2">
        <w:trPr>
          <w:trHeight w:val="300"/>
        </w:trPr>
        <w:tc>
          <w:tcPr>
            <w:tcW w:w="1981" w:type="pct"/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Kategória syntetického ukazovateľa rizika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135B2" w:rsidTr="00C135B2">
        <w:trPr>
          <w:trHeight w:val="30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Pesimistický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-0,02%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-0,03%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-0,10%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-0,45%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-0,80%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-0,99%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-1,47%</w:t>
            </w:r>
          </w:p>
        </w:tc>
      </w:tr>
      <w:tr w:rsidR="00C135B2" w:rsidTr="00C135B2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Základný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0,96%</w:t>
            </w:r>
          </w:p>
        </w:tc>
      </w:tr>
      <w:tr w:rsidR="00C135B2" w:rsidTr="00C135B2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Optimistický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2,62%</w:t>
            </w:r>
          </w:p>
        </w:tc>
      </w:tr>
    </w:tbl>
    <w:p w:rsidR="00C135B2" w:rsidRDefault="00C135B2" w:rsidP="00C135B2">
      <w:pPr>
        <w:spacing w:after="80"/>
        <w:jc w:val="both"/>
      </w:pPr>
    </w:p>
    <w:p w:rsidR="00C135B2" w:rsidRDefault="00C135B2" w:rsidP="00C135B2">
      <w:pPr>
        <w:jc w:val="both"/>
      </w:pPr>
      <w:r>
        <w:t xml:space="preserve">Tabuľka č. 2: Mesačný výnos dôchodkového fondu pre zostávajúcu dĺžku </w:t>
      </w:r>
      <w:r w:rsidR="00821314">
        <w:t xml:space="preserve">starobného </w:t>
      </w:r>
      <w:r>
        <w:t>dôchodkového sporenia v rozsahu 13 až 36 mesiacov.*</w:t>
      </w:r>
    </w:p>
    <w:p w:rsidR="00C135B2" w:rsidRDefault="00C135B2" w:rsidP="00C135B2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915"/>
        <w:gridCol w:w="915"/>
        <w:gridCol w:w="915"/>
        <w:gridCol w:w="914"/>
        <w:gridCol w:w="914"/>
        <w:gridCol w:w="914"/>
        <w:gridCol w:w="914"/>
      </w:tblGrid>
      <w:tr w:rsidR="00C135B2" w:rsidTr="00C135B2">
        <w:trPr>
          <w:trHeight w:val="300"/>
        </w:trPr>
        <w:tc>
          <w:tcPr>
            <w:tcW w:w="1982" w:type="pct"/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Kategória syntetického ukazovateľa rizika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Pesimistický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-0,11%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-0,29%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-0,44%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-0,77%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Základný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0,87%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Optimistický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2,04%</w:t>
            </w:r>
          </w:p>
        </w:tc>
      </w:tr>
    </w:tbl>
    <w:p w:rsidR="00C135B2" w:rsidRDefault="00C135B2" w:rsidP="00C135B2">
      <w:pPr>
        <w:spacing w:after="80"/>
        <w:jc w:val="both"/>
      </w:pPr>
    </w:p>
    <w:p w:rsidR="00C135B2" w:rsidRDefault="00C135B2" w:rsidP="00C135B2">
      <w:pPr>
        <w:jc w:val="both"/>
      </w:pPr>
      <w:r>
        <w:t xml:space="preserve">Tabuľka č. 3: Mesačný výnos dôchodkového fondu pre zostávajúcu dĺžku </w:t>
      </w:r>
      <w:r w:rsidR="00821314">
        <w:t xml:space="preserve">starobného </w:t>
      </w:r>
      <w:r>
        <w:t>dôchodkového sporenia v rozsahu 37 až 72 mesiacov.*</w:t>
      </w:r>
    </w:p>
    <w:p w:rsidR="00C135B2" w:rsidRDefault="00C135B2" w:rsidP="00C135B2">
      <w:pPr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915"/>
        <w:gridCol w:w="915"/>
        <w:gridCol w:w="915"/>
        <w:gridCol w:w="914"/>
        <w:gridCol w:w="914"/>
        <w:gridCol w:w="914"/>
        <w:gridCol w:w="914"/>
      </w:tblGrid>
      <w:tr w:rsidR="00C135B2" w:rsidTr="00C135B2">
        <w:trPr>
          <w:trHeight w:val="300"/>
          <w:jc w:val="center"/>
        </w:trPr>
        <w:tc>
          <w:tcPr>
            <w:tcW w:w="1982" w:type="pct"/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Kategória syntetického ukazovateľa rizika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Pesimistický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-0,04%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-0,15%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-0,40%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Základný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0,84%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Optimistický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1,68%</w:t>
            </w:r>
          </w:p>
        </w:tc>
      </w:tr>
    </w:tbl>
    <w:p w:rsidR="00C135B2" w:rsidRDefault="00C135B2" w:rsidP="00C135B2">
      <w:pPr>
        <w:spacing w:after="80"/>
        <w:jc w:val="both"/>
      </w:pPr>
    </w:p>
    <w:p w:rsidR="00C135B2" w:rsidRDefault="00C135B2" w:rsidP="00C135B2">
      <w:pPr>
        <w:jc w:val="both"/>
      </w:pPr>
      <w:r>
        <w:t xml:space="preserve">Tabuľka č. 4: Mesačný výnos dôchodkového fondu pre zostávajúcu dĺžku </w:t>
      </w:r>
      <w:r w:rsidR="00821314">
        <w:t xml:space="preserve">starobného </w:t>
      </w:r>
      <w:r>
        <w:t>dôchodkového sporenia v rozsahu 73 až 120 mesiacov.*</w:t>
      </w:r>
    </w:p>
    <w:p w:rsidR="00C135B2" w:rsidRDefault="00C135B2" w:rsidP="00C135B2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915"/>
        <w:gridCol w:w="915"/>
        <w:gridCol w:w="915"/>
        <w:gridCol w:w="914"/>
        <w:gridCol w:w="914"/>
        <w:gridCol w:w="914"/>
        <w:gridCol w:w="914"/>
      </w:tblGrid>
      <w:tr w:rsidR="00C135B2" w:rsidTr="00C135B2">
        <w:trPr>
          <w:trHeight w:val="300"/>
        </w:trPr>
        <w:tc>
          <w:tcPr>
            <w:tcW w:w="1982" w:type="pct"/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Kategória syntetického ukazovateľa rizika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Pesimistický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-0,01%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-0,12%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Základný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0,85%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Optimistický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1,47%</w:t>
            </w:r>
          </w:p>
        </w:tc>
      </w:tr>
    </w:tbl>
    <w:p w:rsidR="00C135B2" w:rsidRDefault="00C135B2" w:rsidP="00C135B2">
      <w:pPr>
        <w:jc w:val="both"/>
      </w:pPr>
    </w:p>
    <w:p w:rsidR="00C135B2" w:rsidRDefault="00C135B2" w:rsidP="00C135B2">
      <w:pPr>
        <w:jc w:val="both"/>
      </w:pPr>
      <w:r>
        <w:t xml:space="preserve">Tabuľka č. 5: Mesačný výnos dôchodkového fondu pre zostávajúcu dĺžku </w:t>
      </w:r>
      <w:r w:rsidR="00821314">
        <w:t xml:space="preserve">starobného </w:t>
      </w:r>
      <w:r>
        <w:t>dôchodkového sporenia v rozsahu 121 až 600 mesiacov.*</w:t>
      </w:r>
    </w:p>
    <w:p w:rsidR="00C135B2" w:rsidRDefault="00C135B2" w:rsidP="00C135B2">
      <w:pPr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915"/>
        <w:gridCol w:w="915"/>
        <w:gridCol w:w="915"/>
        <w:gridCol w:w="914"/>
        <w:gridCol w:w="914"/>
        <w:gridCol w:w="914"/>
        <w:gridCol w:w="914"/>
      </w:tblGrid>
      <w:tr w:rsidR="00C135B2" w:rsidTr="00C135B2">
        <w:trPr>
          <w:trHeight w:val="300"/>
          <w:jc w:val="center"/>
        </w:trPr>
        <w:tc>
          <w:tcPr>
            <w:tcW w:w="1982" w:type="pct"/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Kategória syntetického ukazovateľa rizika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Pesimistický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0,41%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Základný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0,83%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Optimistický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1,16%</w:t>
            </w:r>
          </w:p>
        </w:tc>
      </w:tr>
    </w:tbl>
    <w:p w:rsidR="00C135B2" w:rsidRDefault="00C135B2" w:rsidP="00C135B2">
      <w:pPr>
        <w:jc w:val="both"/>
      </w:pPr>
    </w:p>
    <w:p w:rsidR="00C135B2" w:rsidRDefault="00C135B2" w:rsidP="00C135B2"/>
    <w:p w:rsidR="00143872" w:rsidRDefault="00143872" w:rsidP="00143872">
      <w:pPr>
        <w:pStyle w:val="Hlavika"/>
        <w:pageBreakBefore/>
        <w:jc w:val="right"/>
      </w:pPr>
      <w:r>
        <w:lastRenderedPageBreak/>
        <w:t xml:space="preserve">Príloha č. </w:t>
      </w:r>
      <w:r w:rsidR="00C135B2">
        <w:t>3</w:t>
      </w:r>
      <w:r>
        <w:t xml:space="preserve"> k opatreniu č. .../2019 Z. z.</w:t>
      </w:r>
    </w:p>
    <w:p w:rsidR="00143872" w:rsidRDefault="00143872" w:rsidP="00924CEE"/>
    <w:p w:rsidR="002164DD" w:rsidRPr="00143872" w:rsidRDefault="002164DD" w:rsidP="00143872">
      <w:pPr>
        <w:jc w:val="center"/>
        <w:rPr>
          <w:b/>
        </w:rPr>
      </w:pPr>
      <w:r w:rsidRPr="00143872">
        <w:rPr>
          <w:b/>
        </w:rPr>
        <w:t>PREDPOKLADANÝ VEK ÚČASTNÍKA POTREBNÝ NA SPLNENIE PODMIENOK VYPLÁCANIA DÔCHODKOVEJ DÁVKY NA ÚČELY PROGNÓZ DÔCHODKOVÝCH DÁVOK</w:t>
      </w:r>
    </w:p>
    <w:p w:rsidR="002164DD" w:rsidRDefault="002164DD" w:rsidP="00924CEE"/>
    <w:p w:rsidR="002164DD" w:rsidRDefault="002164DD" w:rsidP="00924CEE"/>
    <w:p w:rsidR="002164DD" w:rsidRDefault="002164DD" w:rsidP="00924CE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43872" w:rsidTr="00143872">
        <w:tc>
          <w:tcPr>
            <w:tcW w:w="5303" w:type="dxa"/>
          </w:tcPr>
          <w:p w:rsidR="00143872" w:rsidRDefault="00143872" w:rsidP="00924CEE">
            <w:r>
              <w:t>Rok narodenia</w:t>
            </w:r>
          </w:p>
        </w:tc>
        <w:tc>
          <w:tcPr>
            <w:tcW w:w="5303" w:type="dxa"/>
          </w:tcPr>
          <w:p w:rsidR="00143872" w:rsidRDefault="00143872" w:rsidP="00924CEE">
            <w:r>
              <w:t>Vek účastníka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143872">
            <w:r>
              <w:t xml:space="preserve">1954 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924CEE">
            <w:r>
              <w:t>1955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 2 mesiace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924CEE">
            <w:r>
              <w:t>1956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 5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924CEE">
            <w:r>
              <w:t>1957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 6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924CEE">
            <w:r>
              <w:t>1958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 8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924CEE">
            <w:r>
              <w:t>1959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 10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1960</w:t>
            </w:r>
          </w:p>
        </w:tc>
        <w:tc>
          <w:tcPr>
            <w:tcW w:w="5303" w:type="dxa"/>
          </w:tcPr>
          <w:p w:rsidR="00143872" w:rsidRDefault="00143872" w:rsidP="00C135B2">
            <w:r>
              <w:t>63 rokov 2 mesiace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1961</w:t>
            </w:r>
          </w:p>
        </w:tc>
        <w:tc>
          <w:tcPr>
            <w:tcW w:w="5303" w:type="dxa"/>
          </w:tcPr>
          <w:p w:rsidR="00143872" w:rsidRDefault="00143872" w:rsidP="00C135B2">
            <w:r>
              <w:t>63 rokov 4 mesiace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1962</w:t>
            </w:r>
          </w:p>
        </w:tc>
        <w:tc>
          <w:tcPr>
            <w:tcW w:w="5303" w:type="dxa"/>
          </w:tcPr>
          <w:p w:rsidR="00143872" w:rsidRDefault="00143872" w:rsidP="00C135B2">
            <w:r>
              <w:t>63 rokov 6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1963</w:t>
            </w:r>
          </w:p>
        </w:tc>
        <w:tc>
          <w:tcPr>
            <w:tcW w:w="5303" w:type="dxa"/>
          </w:tcPr>
          <w:p w:rsidR="00143872" w:rsidRDefault="00143872" w:rsidP="00C135B2">
            <w:r>
              <w:t>63 rokov 8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1964</w:t>
            </w:r>
          </w:p>
        </w:tc>
        <w:tc>
          <w:tcPr>
            <w:tcW w:w="5303" w:type="dxa"/>
          </w:tcPr>
          <w:p w:rsidR="00143872" w:rsidRDefault="00143872" w:rsidP="00C135B2">
            <w:r>
              <w:t>63 rokov 10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1965 a nasledujúce</w:t>
            </w:r>
          </w:p>
        </w:tc>
        <w:tc>
          <w:tcPr>
            <w:tcW w:w="5303" w:type="dxa"/>
          </w:tcPr>
          <w:p w:rsidR="00143872" w:rsidRDefault="00143872" w:rsidP="00C135B2">
            <w:r>
              <w:t>64 rokov</w:t>
            </w:r>
          </w:p>
        </w:tc>
      </w:tr>
    </w:tbl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143872" w:rsidP="00924CEE">
      <w:r>
        <w:t xml:space="preserve"> </w:t>
      </w:r>
    </w:p>
    <w:sectPr w:rsidR="002164DD" w:rsidSect="00143872"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26" w:rsidRDefault="00D85526" w:rsidP="00C7069D">
      <w:r>
        <w:separator/>
      </w:r>
    </w:p>
  </w:endnote>
  <w:endnote w:type="continuationSeparator" w:id="0">
    <w:p w:rsidR="00D85526" w:rsidRDefault="00D85526" w:rsidP="00C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801197"/>
      <w:docPartObj>
        <w:docPartGallery w:val="Page Numbers (Bottom of Page)"/>
        <w:docPartUnique/>
      </w:docPartObj>
    </w:sdtPr>
    <w:sdtEndPr/>
    <w:sdtContent>
      <w:p w:rsidR="0078677F" w:rsidRDefault="007867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337">
          <w:rPr>
            <w:noProof/>
          </w:rPr>
          <w:t>2</w:t>
        </w:r>
        <w:r>
          <w:fldChar w:fldCharType="end"/>
        </w:r>
      </w:p>
    </w:sdtContent>
  </w:sdt>
  <w:p w:rsidR="0078677F" w:rsidRDefault="0078677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34326"/>
      <w:docPartObj>
        <w:docPartGallery w:val="Page Numbers (Bottom of Page)"/>
        <w:docPartUnique/>
      </w:docPartObj>
    </w:sdtPr>
    <w:sdtEndPr/>
    <w:sdtContent>
      <w:p w:rsidR="0078677F" w:rsidRDefault="0078677F" w:rsidP="009C7A2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677F" w:rsidRDefault="007867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26" w:rsidRDefault="00D85526" w:rsidP="00C7069D">
      <w:r>
        <w:separator/>
      </w:r>
    </w:p>
  </w:footnote>
  <w:footnote w:type="continuationSeparator" w:id="0">
    <w:p w:rsidR="00D85526" w:rsidRDefault="00D85526" w:rsidP="00C7069D">
      <w:r>
        <w:continuationSeparator/>
      </w:r>
    </w:p>
  </w:footnote>
  <w:footnote w:id="1">
    <w:p w:rsidR="0078677F" w:rsidRDefault="0078677F" w:rsidP="00C3342C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§ 106 ods. 1 zákona č. 43/2004 Z. z. o starobnom dôchodkovom sporení a o zmene a doplnení niektorých zákonov v znení neskorších predpisov v znení zákona č. .../2019 Z. z.</w:t>
      </w:r>
    </w:p>
    <w:p w:rsidR="0078677F" w:rsidRDefault="0078677F" w:rsidP="00C3342C">
      <w:pPr>
        <w:pStyle w:val="Textpoznmkypodi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§ 1 ods. 2 opatrenia Ministerstva práce, sociálnych vecí a rodiny Slovenskej republiky č. .../2019 Z. z., ktorým sa ustanovuje obsah, štruktúra, forma, podmienky a spôsob priebežnej aktualizácie a lehoty na zverejnenie kľúčových informácií o dôchodkovom fonde.</w:t>
      </w:r>
    </w:p>
  </w:footnote>
  <w:footnote w:id="2">
    <w:p w:rsidR="0078677F" w:rsidRPr="001A1D9F" w:rsidRDefault="0078677F" w:rsidP="00C3342C">
      <w:pPr>
        <w:pStyle w:val="Textpoznmkypodiarou"/>
        <w:rPr>
          <w:rFonts w:ascii="Times New Roman" w:hAnsi="Times New Roman" w:cs="Times New Roman"/>
        </w:rPr>
      </w:pPr>
      <w:r w:rsidRPr="001A1D9F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1A1D9F">
        <w:rPr>
          <w:rFonts w:ascii="Times New Roman" w:hAnsi="Times New Roman" w:cs="Times New Roman"/>
        </w:rPr>
        <w:t xml:space="preserve"> § 65a ods. 2 písm. b) zákona č. 461/200</w:t>
      </w:r>
      <w:r>
        <w:rPr>
          <w:rFonts w:ascii="Times New Roman" w:hAnsi="Times New Roman" w:cs="Times New Roman"/>
        </w:rPr>
        <w:t>3</w:t>
      </w:r>
      <w:r w:rsidRPr="001A1D9F">
        <w:rPr>
          <w:rFonts w:ascii="Times New Roman" w:hAnsi="Times New Roman" w:cs="Times New Roman"/>
        </w:rPr>
        <w:t xml:space="preserve"> Z. z. o sociálnom poistení v znení zákona č. 252/2012 Z. z.</w:t>
      </w:r>
    </w:p>
  </w:footnote>
  <w:footnote w:id="3">
    <w:p w:rsidR="0078677F" w:rsidRDefault="0078677F" w:rsidP="00C3342C">
      <w:pPr>
        <w:pStyle w:val="Textpoznmkypodiarou"/>
      </w:pPr>
      <w:r w:rsidRPr="001A1D9F">
        <w:rPr>
          <w:rStyle w:val="Odkaznapoznmkupodiarou"/>
          <w:rFonts w:ascii="Times New Roman" w:hAnsi="Times New Roman" w:cs="Times New Roman"/>
        </w:rPr>
        <w:footnoteRef/>
      </w:r>
      <w:r w:rsidRPr="001A1D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§ 65a ods. 1 z</w:t>
      </w:r>
      <w:r w:rsidRPr="001A1D9F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a</w:t>
      </w:r>
      <w:r w:rsidRPr="001A1D9F">
        <w:rPr>
          <w:rFonts w:ascii="Times New Roman" w:hAnsi="Times New Roman" w:cs="Times New Roman"/>
        </w:rPr>
        <w:t xml:space="preserve"> č. 461/2003 Z. z. v znení </w:t>
      </w:r>
      <w:r>
        <w:rPr>
          <w:rFonts w:ascii="Times New Roman" w:hAnsi="Times New Roman" w:cs="Times New Roman"/>
        </w:rPr>
        <w:t>neskorších predpisov</w:t>
      </w:r>
      <w:r w:rsidRPr="001A1D9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F" w:rsidRDefault="0078677F" w:rsidP="00D262F8">
    <w:pPr>
      <w:pStyle w:val="Hlavika"/>
      <w:jc w:val="right"/>
    </w:pPr>
    <w:r>
      <w:t>Príloha č. 5 k opatreniu č. .../2018 Z. z.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F" w:rsidRDefault="0078677F" w:rsidP="00143872">
    <w:pPr>
      <w:pStyle w:val="Hlavika"/>
      <w:pageBreakBefore/>
      <w:jc w:val="right"/>
    </w:pPr>
  </w:p>
  <w:p w:rsidR="0078677F" w:rsidRDefault="0078677F" w:rsidP="002164DD">
    <w:pPr>
      <w:pStyle w:val="Hlavika"/>
      <w:pageBreakBefore/>
      <w:jc w:val="right"/>
    </w:pPr>
  </w:p>
  <w:p w:rsidR="0078677F" w:rsidRDefault="0078677F" w:rsidP="00724A3A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F" w:rsidRPr="003B7343" w:rsidRDefault="0078677F" w:rsidP="003B73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4B8"/>
    <w:multiLevelType w:val="hybridMultilevel"/>
    <w:tmpl w:val="E32006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60B3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0F">
      <w:start w:val="1"/>
      <w:numFmt w:val="decimal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3C72DB"/>
    <w:multiLevelType w:val="hybridMultilevel"/>
    <w:tmpl w:val="AC44527C"/>
    <w:lvl w:ilvl="0" w:tplc="F4B66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AB014B"/>
    <w:multiLevelType w:val="hybridMultilevel"/>
    <w:tmpl w:val="9CC6C74A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0F">
      <w:start w:val="1"/>
      <w:numFmt w:val="decimal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4F07073"/>
    <w:multiLevelType w:val="hybridMultilevel"/>
    <w:tmpl w:val="78F85630"/>
    <w:lvl w:ilvl="0" w:tplc="859AFB6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138CB"/>
    <w:multiLevelType w:val="hybridMultilevel"/>
    <w:tmpl w:val="CD90A8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52AA8"/>
    <w:multiLevelType w:val="hybridMultilevel"/>
    <w:tmpl w:val="7C44D29E"/>
    <w:lvl w:ilvl="0" w:tplc="92AA1BD8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4" w:hanging="360"/>
      </w:pPr>
    </w:lvl>
    <w:lvl w:ilvl="2" w:tplc="041B001B" w:tentative="1">
      <w:start w:val="1"/>
      <w:numFmt w:val="lowerRoman"/>
      <w:lvlText w:val="%3."/>
      <w:lvlJc w:val="right"/>
      <w:pPr>
        <w:ind w:left="1824" w:hanging="180"/>
      </w:pPr>
    </w:lvl>
    <w:lvl w:ilvl="3" w:tplc="041B000F" w:tentative="1">
      <w:start w:val="1"/>
      <w:numFmt w:val="decimal"/>
      <w:lvlText w:val="%4."/>
      <w:lvlJc w:val="left"/>
      <w:pPr>
        <w:ind w:left="2544" w:hanging="360"/>
      </w:pPr>
    </w:lvl>
    <w:lvl w:ilvl="4" w:tplc="041B0019" w:tentative="1">
      <w:start w:val="1"/>
      <w:numFmt w:val="lowerLetter"/>
      <w:lvlText w:val="%5."/>
      <w:lvlJc w:val="left"/>
      <w:pPr>
        <w:ind w:left="3264" w:hanging="360"/>
      </w:pPr>
    </w:lvl>
    <w:lvl w:ilvl="5" w:tplc="041B001B" w:tentative="1">
      <w:start w:val="1"/>
      <w:numFmt w:val="lowerRoman"/>
      <w:lvlText w:val="%6."/>
      <w:lvlJc w:val="right"/>
      <w:pPr>
        <w:ind w:left="3984" w:hanging="180"/>
      </w:pPr>
    </w:lvl>
    <w:lvl w:ilvl="6" w:tplc="041B000F" w:tentative="1">
      <w:start w:val="1"/>
      <w:numFmt w:val="decimal"/>
      <w:lvlText w:val="%7."/>
      <w:lvlJc w:val="left"/>
      <w:pPr>
        <w:ind w:left="4704" w:hanging="360"/>
      </w:pPr>
    </w:lvl>
    <w:lvl w:ilvl="7" w:tplc="041B0019" w:tentative="1">
      <w:start w:val="1"/>
      <w:numFmt w:val="lowerLetter"/>
      <w:lvlText w:val="%8."/>
      <w:lvlJc w:val="left"/>
      <w:pPr>
        <w:ind w:left="5424" w:hanging="360"/>
      </w:pPr>
    </w:lvl>
    <w:lvl w:ilvl="8" w:tplc="041B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198652C5"/>
    <w:multiLevelType w:val="hybridMultilevel"/>
    <w:tmpl w:val="E32006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90F1E"/>
    <w:multiLevelType w:val="hybridMultilevel"/>
    <w:tmpl w:val="6A441E46"/>
    <w:lvl w:ilvl="0" w:tplc="8A2A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C4743"/>
    <w:multiLevelType w:val="hybridMultilevel"/>
    <w:tmpl w:val="16E4A6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600ED1"/>
    <w:multiLevelType w:val="hybridMultilevel"/>
    <w:tmpl w:val="1B4EC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2D8B"/>
    <w:multiLevelType w:val="hybridMultilevel"/>
    <w:tmpl w:val="781A1248"/>
    <w:lvl w:ilvl="0" w:tplc="859AFB6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C25CBBA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277DEC"/>
    <w:multiLevelType w:val="hybridMultilevel"/>
    <w:tmpl w:val="17A8D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97078"/>
    <w:multiLevelType w:val="hybridMultilevel"/>
    <w:tmpl w:val="6A441E46"/>
    <w:lvl w:ilvl="0" w:tplc="8A2A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62E47"/>
    <w:multiLevelType w:val="hybridMultilevel"/>
    <w:tmpl w:val="42C4D3F0"/>
    <w:lvl w:ilvl="0" w:tplc="AF5837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DA352E"/>
    <w:multiLevelType w:val="hybridMultilevel"/>
    <w:tmpl w:val="DE340A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2A15"/>
    <w:multiLevelType w:val="hybridMultilevel"/>
    <w:tmpl w:val="781A1248"/>
    <w:lvl w:ilvl="0" w:tplc="859AFB6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C25CBBA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A13A8B"/>
    <w:multiLevelType w:val="hybridMultilevel"/>
    <w:tmpl w:val="BEDEC4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71714"/>
    <w:multiLevelType w:val="hybridMultilevel"/>
    <w:tmpl w:val="423A0CD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E60C63"/>
    <w:multiLevelType w:val="hybridMultilevel"/>
    <w:tmpl w:val="5E58D33C"/>
    <w:lvl w:ilvl="0" w:tplc="9258B63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E7D46"/>
    <w:multiLevelType w:val="hybridMultilevel"/>
    <w:tmpl w:val="A22297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F6BCC"/>
    <w:multiLevelType w:val="hybridMultilevel"/>
    <w:tmpl w:val="8CB0D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F4C36"/>
    <w:multiLevelType w:val="hybridMultilevel"/>
    <w:tmpl w:val="17A8D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B2526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A7219"/>
    <w:multiLevelType w:val="hybridMultilevel"/>
    <w:tmpl w:val="8E4A5110"/>
    <w:lvl w:ilvl="0" w:tplc="4808BABC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>
    <w:nsid w:val="43A60942"/>
    <w:multiLevelType w:val="hybridMultilevel"/>
    <w:tmpl w:val="CD90A8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06E37"/>
    <w:multiLevelType w:val="hybridMultilevel"/>
    <w:tmpl w:val="92AC7548"/>
    <w:lvl w:ilvl="0" w:tplc="3FB09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0C5468"/>
    <w:multiLevelType w:val="hybridMultilevel"/>
    <w:tmpl w:val="E5F20A8A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7">
      <w:start w:val="1"/>
      <w:numFmt w:val="lowerLetter"/>
      <w:lvlText w:val="%2)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49D7734B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0F">
      <w:start w:val="1"/>
      <w:numFmt w:val="decimal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9F33561"/>
    <w:multiLevelType w:val="hybridMultilevel"/>
    <w:tmpl w:val="F67A4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3502C"/>
    <w:multiLevelType w:val="hybridMultilevel"/>
    <w:tmpl w:val="7C44D29E"/>
    <w:lvl w:ilvl="0" w:tplc="92AA1BD8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4" w:hanging="360"/>
      </w:pPr>
    </w:lvl>
    <w:lvl w:ilvl="2" w:tplc="041B001B" w:tentative="1">
      <w:start w:val="1"/>
      <w:numFmt w:val="lowerRoman"/>
      <w:lvlText w:val="%3."/>
      <w:lvlJc w:val="right"/>
      <w:pPr>
        <w:ind w:left="1824" w:hanging="180"/>
      </w:pPr>
    </w:lvl>
    <w:lvl w:ilvl="3" w:tplc="041B000F" w:tentative="1">
      <w:start w:val="1"/>
      <w:numFmt w:val="decimal"/>
      <w:lvlText w:val="%4."/>
      <w:lvlJc w:val="left"/>
      <w:pPr>
        <w:ind w:left="2544" w:hanging="360"/>
      </w:pPr>
    </w:lvl>
    <w:lvl w:ilvl="4" w:tplc="041B0019" w:tentative="1">
      <w:start w:val="1"/>
      <w:numFmt w:val="lowerLetter"/>
      <w:lvlText w:val="%5."/>
      <w:lvlJc w:val="left"/>
      <w:pPr>
        <w:ind w:left="3264" w:hanging="360"/>
      </w:pPr>
    </w:lvl>
    <w:lvl w:ilvl="5" w:tplc="041B001B" w:tentative="1">
      <w:start w:val="1"/>
      <w:numFmt w:val="lowerRoman"/>
      <w:lvlText w:val="%6."/>
      <w:lvlJc w:val="right"/>
      <w:pPr>
        <w:ind w:left="3984" w:hanging="180"/>
      </w:pPr>
    </w:lvl>
    <w:lvl w:ilvl="6" w:tplc="041B000F" w:tentative="1">
      <w:start w:val="1"/>
      <w:numFmt w:val="decimal"/>
      <w:lvlText w:val="%7."/>
      <w:lvlJc w:val="left"/>
      <w:pPr>
        <w:ind w:left="4704" w:hanging="360"/>
      </w:pPr>
    </w:lvl>
    <w:lvl w:ilvl="7" w:tplc="041B0019" w:tentative="1">
      <w:start w:val="1"/>
      <w:numFmt w:val="lowerLetter"/>
      <w:lvlText w:val="%8."/>
      <w:lvlJc w:val="left"/>
      <w:pPr>
        <w:ind w:left="5424" w:hanging="360"/>
      </w:pPr>
    </w:lvl>
    <w:lvl w:ilvl="8" w:tplc="041B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1">
    <w:nsid w:val="55BA0A37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14631D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D75C1F"/>
    <w:multiLevelType w:val="hybridMultilevel"/>
    <w:tmpl w:val="6D26B0C2"/>
    <w:lvl w:ilvl="0" w:tplc="9574E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B487B"/>
    <w:multiLevelType w:val="hybridMultilevel"/>
    <w:tmpl w:val="6D247C9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0F">
      <w:start w:val="1"/>
      <w:numFmt w:val="decimal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6E3946"/>
    <w:multiLevelType w:val="hybridMultilevel"/>
    <w:tmpl w:val="78F85630"/>
    <w:lvl w:ilvl="0" w:tplc="859AFB6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852B4E"/>
    <w:multiLevelType w:val="hybridMultilevel"/>
    <w:tmpl w:val="3DB49090"/>
    <w:lvl w:ilvl="0" w:tplc="3AD6A21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3321F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0F">
      <w:start w:val="1"/>
      <w:numFmt w:val="decimal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AA359E"/>
    <w:multiLevelType w:val="hybridMultilevel"/>
    <w:tmpl w:val="6A441E46"/>
    <w:lvl w:ilvl="0" w:tplc="8A2A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74D33"/>
    <w:multiLevelType w:val="hybridMultilevel"/>
    <w:tmpl w:val="AC44527C"/>
    <w:lvl w:ilvl="0" w:tplc="F4B66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90054"/>
    <w:multiLevelType w:val="hybridMultilevel"/>
    <w:tmpl w:val="8F82F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24"/>
  </w:num>
  <w:num w:numId="4">
    <w:abstractNumId w:val="2"/>
  </w:num>
  <w:num w:numId="5">
    <w:abstractNumId w:val="33"/>
  </w:num>
  <w:num w:numId="6">
    <w:abstractNumId w:val="35"/>
  </w:num>
  <w:num w:numId="7">
    <w:abstractNumId w:val="36"/>
  </w:num>
  <w:num w:numId="8">
    <w:abstractNumId w:val="38"/>
  </w:num>
  <w:num w:numId="9">
    <w:abstractNumId w:val="4"/>
  </w:num>
  <w:num w:numId="10">
    <w:abstractNumId w:val="34"/>
  </w:num>
  <w:num w:numId="11">
    <w:abstractNumId w:val="14"/>
  </w:num>
  <w:num w:numId="12">
    <w:abstractNumId w:val="5"/>
  </w:num>
  <w:num w:numId="13">
    <w:abstractNumId w:val="15"/>
  </w:num>
  <w:num w:numId="14">
    <w:abstractNumId w:val="28"/>
  </w:num>
  <w:num w:numId="15">
    <w:abstractNumId w:val="1"/>
  </w:num>
  <w:num w:numId="16">
    <w:abstractNumId w:val="16"/>
  </w:num>
  <w:num w:numId="17">
    <w:abstractNumId w:val="25"/>
  </w:num>
  <w:num w:numId="18">
    <w:abstractNumId w:val="18"/>
  </w:num>
  <w:num w:numId="19">
    <w:abstractNumId w:val="30"/>
  </w:num>
  <w:num w:numId="20">
    <w:abstractNumId w:val="37"/>
  </w:num>
  <w:num w:numId="21">
    <w:abstractNumId w:val="3"/>
  </w:num>
  <w:num w:numId="22">
    <w:abstractNumId w:val="27"/>
  </w:num>
  <w:num w:numId="23">
    <w:abstractNumId w:val="20"/>
  </w:num>
  <w:num w:numId="24">
    <w:abstractNumId w:val="31"/>
  </w:num>
  <w:num w:numId="25">
    <w:abstractNumId w:val="32"/>
  </w:num>
  <w:num w:numId="26">
    <w:abstractNumId w:val="23"/>
  </w:num>
  <w:num w:numId="27">
    <w:abstractNumId w:val="6"/>
  </w:num>
  <w:num w:numId="28">
    <w:abstractNumId w:val="26"/>
  </w:num>
  <w:num w:numId="29">
    <w:abstractNumId w:val="4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3"/>
  </w:num>
  <w:num w:numId="42">
    <w:abstractNumId w:val="17"/>
  </w:num>
  <w:num w:numId="43">
    <w:abstractNumId w:val="29"/>
  </w:num>
  <w:num w:numId="44">
    <w:abstractNumId w:val="19"/>
  </w:num>
  <w:num w:numId="45">
    <w:abstractNumId w:val="0"/>
  </w:num>
  <w:num w:numId="46">
    <w:abstractNumId w:val="11"/>
  </w:num>
  <w:num w:numId="47">
    <w:abstractNumId w:val="10"/>
  </w:num>
  <w:num w:numId="48">
    <w:abstractNumId w:val="22"/>
  </w:num>
  <w:num w:numId="49">
    <w:abstractNumId w:val="12"/>
  </w:num>
  <w:num w:numId="50">
    <w:abstractNumId w:val="21"/>
  </w:num>
  <w:num w:numId="51">
    <w:abstractNumId w:val="9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D"/>
    <w:rsid w:val="000042C3"/>
    <w:rsid w:val="00005921"/>
    <w:rsid w:val="00010CDB"/>
    <w:rsid w:val="00013A4D"/>
    <w:rsid w:val="00014B59"/>
    <w:rsid w:val="00015B5A"/>
    <w:rsid w:val="00016F32"/>
    <w:rsid w:val="00017FDE"/>
    <w:rsid w:val="000205EB"/>
    <w:rsid w:val="00020880"/>
    <w:rsid w:val="00020B62"/>
    <w:rsid w:val="000306B9"/>
    <w:rsid w:val="00030F1D"/>
    <w:rsid w:val="00032F44"/>
    <w:rsid w:val="000330A9"/>
    <w:rsid w:val="00033575"/>
    <w:rsid w:val="000353EF"/>
    <w:rsid w:val="00041EC9"/>
    <w:rsid w:val="00042916"/>
    <w:rsid w:val="00046812"/>
    <w:rsid w:val="00050EBF"/>
    <w:rsid w:val="0005278E"/>
    <w:rsid w:val="00052D62"/>
    <w:rsid w:val="000530D4"/>
    <w:rsid w:val="00053753"/>
    <w:rsid w:val="0005687C"/>
    <w:rsid w:val="0006074E"/>
    <w:rsid w:val="00062AE9"/>
    <w:rsid w:val="00064C4D"/>
    <w:rsid w:val="00077DC3"/>
    <w:rsid w:val="0008121B"/>
    <w:rsid w:val="00081F1C"/>
    <w:rsid w:val="000835A5"/>
    <w:rsid w:val="00083FB9"/>
    <w:rsid w:val="000841EA"/>
    <w:rsid w:val="00091BD6"/>
    <w:rsid w:val="0009253C"/>
    <w:rsid w:val="00094446"/>
    <w:rsid w:val="00094CC9"/>
    <w:rsid w:val="000A05A7"/>
    <w:rsid w:val="000A2022"/>
    <w:rsid w:val="000A2AEC"/>
    <w:rsid w:val="000A2CA0"/>
    <w:rsid w:val="000A569A"/>
    <w:rsid w:val="000B08B3"/>
    <w:rsid w:val="000B7BC5"/>
    <w:rsid w:val="000C1CC2"/>
    <w:rsid w:val="000C2712"/>
    <w:rsid w:val="000C6BFE"/>
    <w:rsid w:val="000C7B69"/>
    <w:rsid w:val="000D21F3"/>
    <w:rsid w:val="000D3CAD"/>
    <w:rsid w:val="000D64EC"/>
    <w:rsid w:val="000E4F5C"/>
    <w:rsid w:val="000E64B0"/>
    <w:rsid w:val="000F0202"/>
    <w:rsid w:val="000F0753"/>
    <w:rsid w:val="00100595"/>
    <w:rsid w:val="00106A8B"/>
    <w:rsid w:val="001070E8"/>
    <w:rsid w:val="00107BEA"/>
    <w:rsid w:val="00112E06"/>
    <w:rsid w:val="001218C5"/>
    <w:rsid w:val="001246EA"/>
    <w:rsid w:val="00124D9B"/>
    <w:rsid w:val="00125394"/>
    <w:rsid w:val="001263A7"/>
    <w:rsid w:val="00127D2A"/>
    <w:rsid w:val="00133543"/>
    <w:rsid w:val="00140C5E"/>
    <w:rsid w:val="00143872"/>
    <w:rsid w:val="001460A0"/>
    <w:rsid w:val="00152E66"/>
    <w:rsid w:val="00160C26"/>
    <w:rsid w:val="00161E17"/>
    <w:rsid w:val="0016657E"/>
    <w:rsid w:val="00167224"/>
    <w:rsid w:val="0017104D"/>
    <w:rsid w:val="00171155"/>
    <w:rsid w:val="001725F7"/>
    <w:rsid w:val="0017304E"/>
    <w:rsid w:val="00173AE7"/>
    <w:rsid w:val="00180EEB"/>
    <w:rsid w:val="00181317"/>
    <w:rsid w:val="00193333"/>
    <w:rsid w:val="00195B8A"/>
    <w:rsid w:val="001A12FC"/>
    <w:rsid w:val="001A1D9F"/>
    <w:rsid w:val="001A2132"/>
    <w:rsid w:val="001A5F40"/>
    <w:rsid w:val="001A79A4"/>
    <w:rsid w:val="001B3922"/>
    <w:rsid w:val="001B5FD2"/>
    <w:rsid w:val="001C2854"/>
    <w:rsid w:val="001C4701"/>
    <w:rsid w:val="001C74A1"/>
    <w:rsid w:val="001D0939"/>
    <w:rsid w:val="001E041A"/>
    <w:rsid w:val="001E0EC7"/>
    <w:rsid w:val="001E276C"/>
    <w:rsid w:val="001E34D7"/>
    <w:rsid w:val="001E536F"/>
    <w:rsid w:val="00203BBA"/>
    <w:rsid w:val="00214AB2"/>
    <w:rsid w:val="002164DD"/>
    <w:rsid w:val="002213AF"/>
    <w:rsid w:val="00222742"/>
    <w:rsid w:val="002244A7"/>
    <w:rsid w:val="002246BD"/>
    <w:rsid w:val="00226807"/>
    <w:rsid w:val="00226C80"/>
    <w:rsid w:val="00227AA1"/>
    <w:rsid w:val="00231834"/>
    <w:rsid w:val="00236C28"/>
    <w:rsid w:val="00237BE2"/>
    <w:rsid w:val="002421F2"/>
    <w:rsid w:val="00243D12"/>
    <w:rsid w:val="0024465C"/>
    <w:rsid w:val="00244CB6"/>
    <w:rsid w:val="002457ED"/>
    <w:rsid w:val="00246792"/>
    <w:rsid w:val="00246992"/>
    <w:rsid w:val="00246C14"/>
    <w:rsid w:val="00251B41"/>
    <w:rsid w:val="002538E6"/>
    <w:rsid w:val="00256330"/>
    <w:rsid w:val="0025716D"/>
    <w:rsid w:val="00262CA0"/>
    <w:rsid w:val="002645BF"/>
    <w:rsid w:val="00265BFB"/>
    <w:rsid w:val="002672AE"/>
    <w:rsid w:val="00270AAD"/>
    <w:rsid w:val="00284277"/>
    <w:rsid w:val="00285811"/>
    <w:rsid w:val="00286849"/>
    <w:rsid w:val="00287557"/>
    <w:rsid w:val="00287B01"/>
    <w:rsid w:val="002921A3"/>
    <w:rsid w:val="002928DC"/>
    <w:rsid w:val="00292F36"/>
    <w:rsid w:val="0029558C"/>
    <w:rsid w:val="002A0E07"/>
    <w:rsid w:val="002A33CF"/>
    <w:rsid w:val="002A7A0F"/>
    <w:rsid w:val="002B389E"/>
    <w:rsid w:val="002B7884"/>
    <w:rsid w:val="002B7D99"/>
    <w:rsid w:val="002C0A5B"/>
    <w:rsid w:val="002C1FDF"/>
    <w:rsid w:val="002D3BF1"/>
    <w:rsid w:val="002E3DE9"/>
    <w:rsid w:val="002E3FB1"/>
    <w:rsid w:val="002E5973"/>
    <w:rsid w:val="002F14A9"/>
    <w:rsid w:val="003049ED"/>
    <w:rsid w:val="003074E7"/>
    <w:rsid w:val="00307B1C"/>
    <w:rsid w:val="00315399"/>
    <w:rsid w:val="00323D51"/>
    <w:rsid w:val="00325D1A"/>
    <w:rsid w:val="00325F07"/>
    <w:rsid w:val="00327F19"/>
    <w:rsid w:val="003340D2"/>
    <w:rsid w:val="00341C2B"/>
    <w:rsid w:val="0034480E"/>
    <w:rsid w:val="00344D11"/>
    <w:rsid w:val="0034774C"/>
    <w:rsid w:val="00350BED"/>
    <w:rsid w:val="00351FB5"/>
    <w:rsid w:val="0035791E"/>
    <w:rsid w:val="00366829"/>
    <w:rsid w:val="00366EC3"/>
    <w:rsid w:val="003725E8"/>
    <w:rsid w:val="00374F9B"/>
    <w:rsid w:val="00375A89"/>
    <w:rsid w:val="003776FD"/>
    <w:rsid w:val="00382347"/>
    <w:rsid w:val="00383BF0"/>
    <w:rsid w:val="00390B43"/>
    <w:rsid w:val="00393E5B"/>
    <w:rsid w:val="0039489B"/>
    <w:rsid w:val="00394AF4"/>
    <w:rsid w:val="00394C21"/>
    <w:rsid w:val="00397082"/>
    <w:rsid w:val="003A1D46"/>
    <w:rsid w:val="003A4EDF"/>
    <w:rsid w:val="003A5631"/>
    <w:rsid w:val="003A5BBD"/>
    <w:rsid w:val="003B1B3F"/>
    <w:rsid w:val="003B1EA8"/>
    <w:rsid w:val="003B5A96"/>
    <w:rsid w:val="003B7343"/>
    <w:rsid w:val="003B7D97"/>
    <w:rsid w:val="003C03FE"/>
    <w:rsid w:val="003C61AE"/>
    <w:rsid w:val="003D0DD7"/>
    <w:rsid w:val="003E5015"/>
    <w:rsid w:val="003E5F71"/>
    <w:rsid w:val="003F1D65"/>
    <w:rsid w:val="003F3F31"/>
    <w:rsid w:val="003F690B"/>
    <w:rsid w:val="00402AD1"/>
    <w:rsid w:val="00404484"/>
    <w:rsid w:val="00405FFD"/>
    <w:rsid w:val="00407B86"/>
    <w:rsid w:val="00415070"/>
    <w:rsid w:val="00417407"/>
    <w:rsid w:val="00420630"/>
    <w:rsid w:val="004224E3"/>
    <w:rsid w:val="00423ADE"/>
    <w:rsid w:val="00424EEB"/>
    <w:rsid w:val="00426BB5"/>
    <w:rsid w:val="00427751"/>
    <w:rsid w:val="00427BFC"/>
    <w:rsid w:val="004306A3"/>
    <w:rsid w:val="00431F2E"/>
    <w:rsid w:val="00440662"/>
    <w:rsid w:val="00440685"/>
    <w:rsid w:val="00440A86"/>
    <w:rsid w:val="004447C3"/>
    <w:rsid w:val="00450868"/>
    <w:rsid w:val="00450872"/>
    <w:rsid w:val="004607DE"/>
    <w:rsid w:val="0046164D"/>
    <w:rsid w:val="00470D04"/>
    <w:rsid w:val="00472407"/>
    <w:rsid w:val="0047496A"/>
    <w:rsid w:val="004760F6"/>
    <w:rsid w:val="00476621"/>
    <w:rsid w:val="00481D00"/>
    <w:rsid w:val="00481F88"/>
    <w:rsid w:val="004820B9"/>
    <w:rsid w:val="004821C6"/>
    <w:rsid w:val="0048462D"/>
    <w:rsid w:val="004861C7"/>
    <w:rsid w:val="0048675B"/>
    <w:rsid w:val="0049199F"/>
    <w:rsid w:val="00491A8C"/>
    <w:rsid w:val="004929E2"/>
    <w:rsid w:val="00494787"/>
    <w:rsid w:val="00494E9A"/>
    <w:rsid w:val="004A1F06"/>
    <w:rsid w:val="004A2E45"/>
    <w:rsid w:val="004A3815"/>
    <w:rsid w:val="004A4157"/>
    <w:rsid w:val="004A6E17"/>
    <w:rsid w:val="004B00CD"/>
    <w:rsid w:val="004C39BB"/>
    <w:rsid w:val="004D3376"/>
    <w:rsid w:val="004D424A"/>
    <w:rsid w:val="004D43AF"/>
    <w:rsid w:val="004D4D76"/>
    <w:rsid w:val="004D5A2E"/>
    <w:rsid w:val="004D6DE4"/>
    <w:rsid w:val="004E46AF"/>
    <w:rsid w:val="004E4FB8"/>
    <w:rsid w:val="004F003A"/>
    <w:rsid w:val="004F032C"/>
    <w:rsid w:val="004F1621"/>
    <w:rsid w:val="004F22F8"/>
    <w:rsid w:val="004F3BA7"/>
    <w:rsid w:val="004F5856"/>
    <w:rsid w:val="00500E57"/>
    <w:rsid w:val="005046B3"/>
    <w:rsid w:val="00504802"/>
    <w:rsid w:val="00504CC1"/>
    <w:rsid w:val="0050556E"/>
    <w:rsid w:val="00510D8E"/>
    <w:rsid w:val="00513FB2"/>
    <w:rsid w:val="005143FB"/>
    <w:rsid w:val="005170AA"/>
    <w:rsid w:val="00517EC2"/>
    <w:rsid w:val="00523211"/>
    <w:rsid w:val="005250F8"/>
    <w:rsid w:val="00526DAC"/>
    <w:rsid w:val="00530FE6"/>
    <w:rsid w:val="005332FC"/>
    <w:rsid w:val="00533EEB"/>
    <w:rsid w:val="0053478A"/>
    <w:rsid w:val="00540702"/>
    <w:rsid w:val="00545793"/>
    <w:rsid w:val="00547AED"/>
    <w:rsid w:val="00553A83"/>
    <w:rsid w:val="005553D3"/>
    <w:rsid w:val="00555995"/>
    <w:rsid w:val="00555E45"/>
    <w:rsid w:val="00556EDE"/>
    <w:rsid w:val="00561B7F"/>
    <w:rsid w:val="00562E3F"/>
    <w:rsid w:val="00571D39"/>
    <w:rsid w:val="005730E7"/>
    <w:rsid w:val="00585B80"/>
    <w:rsid w:val="00590055"/>
    <w:rsid w:val="005920E6"/>
    <w:rsid w:val="00594F8F"/>
    <w:rsid w:val="00597F18"/>
    <w:rsid w:val="005B066D"/>
    <w:rsid w:val="005B148A"/>
    <w:rsid w:val="005B3C58"/>
    <w:rsid w:val="005B7414"/>
    <w:rsid w:val="005B74A6"/>
    <w:rsid w:val="005C0F2A"/>
    <w:rsid w:val="005C1149"/>
    <w:rsid w:val="005C19B6"/>
    <w:rsid w:val="005C5B52"/>
    <w:rsid w:val="005C64B0"/>
    <w:rsid w:val="005E027D"/>
    <w:rsid w:val="005E54B3"/>
    <w:rsid w:val="005F01B6"/>
    <w:rsid w:val="005F3B54"/>
    <w:rsid w:val="005F7C5C"/>
    <w:rsid w:val="00601BBC"/>
    <w:rsid w:val="0060628A"/>
    <w:rsid w:val="006063A2"/>
    <w:rsid w:val="00610531"/>
    <w:rsid w:val="0061167E"/>
    <w:rsid w:val="0061436A"/>
    <w:rsid w:val="00614DE5"/>
    <w:rsid w:val="0061508C"/>
    <w:rsid w:val="00617AF4"/>
    <w:rsid w:val="00620067"/>
    <w:rsid w:val="00620997"/>
    <w:rsid w:val="00626B7F"/>
    <w:rsid w:val="00627A76"/>
    <w:rsid w:val="006329FE"/>
    <w:rsid w:val="00640768"/>
    <w:rsid w:val="006429C4"/>
    <w:rsid w:val="00645C2C"/>
    <w:rsid w:val="0064690C"/>
    <w:rsid w:val="00654CDD"/>
    <w:rsid w:val="00657036"/>
    <w:rsid w:val="0066329C"/>
    <w:rsid w:val="00667143"/>
    <w:rsid w:val="00667842"/>
    <w:rsid w:val="00671D4F"/>
    <w:rsid w:val="00672D72"/>
    <w:rsid w:val="0067446B"/>
    <w:rsid w:val="00674974"/>
    <w:rsid w:val="00680AEE"/>
    <w:rsid w:val="006827C7"/>
    <w:rsid w:val="00696A8D"/>
    <w:rsid w:val="00696DBD"/>
    <w:rsid w:val="006A4BAE"/>
    <w:rsid w:val="006A62BF"/>
    <w:rsid w:val="006A7A8D"/>
    <w:rsid w:val="006B1407"/>
    <w:rsid w:val="006B3806"/>
    <w:rsid w:val="006C2242"/>
    <w:rsid w:val="006C4A93"/>
    <w:rsid w:val="006D2B3E"/>
    <w:rsid w:val="006D300F"/>
    <w:rsid w:val="006E3C3A"/>
    <w:rsid w:val="006E77C8"/>
    <w:rsid w:val="006F0021"/>
    <w:rsid w:val="006F334E"/>
    <w:rsid w:val="006F3D5B"/>
    <w:rsid w:val="006F4B2D"/>
    <w:rsid w:val="00701101"/>
    <w:rsid w:val="00702915"/>
    <w:rsid w:val="007047F9"/>
    <w:rsid w:val="007066A2"/>
    <w:rsid w:val="007111C3"/>
    <w:rsid w:val="00717A41"/>
    <w:rsid w:val="007230C4"/>
    <w:rsid w:val="00724A3A"/>
    <w:rsid w:val="00725850"/>
    <w:rsid w:val="00730B76"/>
    <w:rsid w:val="0073269C"/>
    <w:rsid w:val="0073732D"/>
    <w:rsid w:val="00737E47"/>
    <w:rsid w:val="00740AA5"/>
    <w:rsid w:val="00753505"/>
    <w:rsid w:val="00753674"/>
    <w:rsid w:val="00753F66"/>
    <w:rsid w:val="00757CE9"/>
    <w:rsid w:val="007627A1"/>
    <w:rsid w:val="00763CCE"/>
    <w:rsid w:val="00764387"/>
    <w:rsid w:val="00764703"/>
    <w:rsid w:val="00773FD9"/>
    <w:rsid w:val="0077677F"/>
    <w:rsid w:val="00777D11"/>
    <w:rsid w:val="00780630"/>
    <w:rsid w:val="007830C6"/>
    <w:rsid w:val="007841BD"/>
    <w:rsid w:val="0078677F"/>
    <w:rsid w:val="00786D28"/>
    <w:rsid w:val="00787A42"/>
    <w:rsid w:val="00792D02"/>
    <w:rsid w:val="0079357B"/>
    <w:rsid w:val="0079367B"/>
    <w:rsid w:val="00793844"/>
    <w:rsid w:val="00793EC0"/>
    <w:rsid w:val="00794D96"/>
    <w:rsid w:val="007974C4"/>
    <w:rsid w:val="00797D87"/>
    <w:rsid w:val="007B2213"/>
    <w:rsid w:val="007B4265"/>
    <w:rsid w:val="007B4B4D"/>
    <w:rsid w:val="007C1223"/>
    <w:rsid w:val="007C2B85"/>
    <w:rsid w:val="007C3604"/>
    <w:rsid w:val="007C452A"/>
    <w:rsid w:val="007C5131"/>
    <w:rsid w:val="007C553B"/>
    <w:rsid w:val="007C6D71"/>
    <w:rsid w:val="007C7EAE"/>
    <w:rsid w:val="007D45C0"/>
    <w:rsid w:val="007D4DC5"/>
    <w:rsid w:val="007E132D"/>
    <w:rsid w:val="007E7DB5"/>
    <w:rsid w:val="007F0CB2"/>
    <w:rsid w:val="007F1751"/>
    <w:rsid w:val="00802BCE"/>
    <w:rsid w:val="008043E8"/>
    <w:rsid w:val="008103F7"/>
    <w:rsid w:val="008156A2"/>
    <w:rsid w:val="008164C1"/>
    <w:rsid w:val="00817FFE"/>
    <w:rsid w:val="0082118B"/>
    <w:rsid w:val="00821314"/>
    <w:rsid w:val="00821B8D"/>
    <w:rsid w:val="00827D67"/>
    <w:rsid w:val="00827D6C"/>
    <w:rsid w:val="0083025D"/>
    <w:rsid w:val="0083108A"/>
    <w:rsid w:val="008311FE"/>
    <w:rsid w:val="008316CC"/>
    <w:rsid w:val="00832600"/>
    <w:rsid w:val="00833396"/>
    <w:rsid w:val="00837C70"/>
    <w:rsid w:val="008422AD"/>
    <w:rsid w:val="00843E17"/>
    <w:rsid w:val="008440EF"/>
    <w:rsid w:val="008455D6"/>
    <w:rsid w:val="00845B1E"/>
    <w:rsid w:val="008531CC"/>
    <w:rsid w:val="00855602"/>
    <w:rsid w:val="00861A74"/>
    <w:rsid w:val="00862BEB"/>
    <w:rsid w:val="00866916"/>
    <w:rsid w:val="00866AC1"/>
    <w:rsid w:val="00867889"/>
    <w:rsid w:val="008708C1"/>
    <w:rsid w:val="008723AF"/>
    <w:rsid w:val="008748BC"/>
    <w:rsid w:val="00875467"/>
    <w:rsid w:val="0087640C"/>
    <w:rsid w:val="00880503"/>
    <w:rsid w:val="008815F5"/>
    <w:rsid w:val="008827C1"/>
    <w:rsid w:val="00882946"/>
    <w:rsid w:val="0088309B"/>
    <w:rsid w:val="00883EF0"/>
    <w:rsid w:val="008848FC"/>
    <w:rsid w:val="00895529"/>
    <w:rsid w:val="00895D2B"/>
    <w:rsid w:val="008A15BF"/>
    <w:rsid w:val="008A2CC2"/>
    <w:rsid w:val="008A7204"/>
    <w:rsid w:val="008A7748"/>
    <w:rsid w:val="008B37CF"/>
    <w:rsid w:val="008C035B"/>
    <w:rsid w:val="008C21FC"/>
    <w:rsid w:val="008C4284"/>
    <w:rsid w:val="008D1F69"/>
    <w:rsid w:val="008E02A7"/>
    <w:rsid w:val="008E0407"/>
    <w:rsid w:val="008E18B0"/>
    <w:rsid w:val="008E1994"/>
    <w:rsid w:val="008E7587"/>
    <w:rsid w:val="008F002B"/>
    <w:rsid w:val="008F21DA"/>
    <w:rsid w:val="008F2C2F"/>
    <w:rsid w:val="008F583D"/>
    <w:rsid w:val="008F6E69"/>
    <w:rsid w:val="008F7CE6"/>
    <w:rsid w:val="009061A2"/>
    <w:rsid w:val="00911AAD"/>
    <w:rsid w:val="0092382A"/>
    <w:rsid w:val="0092464A"/>
    <w:rsid w:val="00924CEE"/>
    <w:rsid w:val="00926C3A"/>
    <w:rsid w:val="00927308"/>
    <w:rsid w:val="009319CE"/>
    <w:rsid w:val="00933164"/>
    <w:rsid w:val="009420F1"/>
    <w:rsid w:val="00942B7E"/>
    <w:rsid w:val="00943620"/>
    <w:rsid w:val="00945201"/>
    <w:rsid w:val="00957C7A"/>
    <w:rsid w:val="009635B1"/>
    <w:rsid w:val="009709BC"/>
    <w:rsid w:val="009752B8"/>
    <w:rsid w:val="00983117"/>
    <w:rsid w:val="0099310E"/>
    <w:rsid w:val="00994A57"/>
    <w:rsid w:val="00996687"/>
    <w:rsid w:val="009A4BE1"/>
    <w:rsid w:val="009A6439"/>
    <w:rsid w:val="009B373F"/>
    <w:rsid w:val="009C1A21"/>
    <w:rsid w:val="009C25AF"/>
    <w:rsid w:val="009C2E05"/>
    <w:rsid w:val="009C4155"/>
    <w:rsid w:val="009C7A2C"/>
    <w:rsid w:val="009C7CC2"/>
    <w:rsid w:val="009D3E78"/>
    <w:rsid w:val="009D7517"/>
    <w:rsid w:val="009D7553"/>
    <w:rsid w:val="009E17C4"/>
    <w:rsid w:val="009E5D78"/>
    <w:rsid w:val="009F131A"/>
    <w:rsid w:val="009F396E"/>
    <w:rsid w:val="009F7D99"/>
    <w:rsid w:val="00A03841"/>
    <w:rsid w:val="00A03F91"/>
    <w:rsid w:val="00A076FD"/>
    <w:rsid w:val="00A1430E"/>
    <w:rsid w:val="00A16124"/>
    <w:rsid w:val="00A16619"/>
    <w:rsid w:val="00A213DC"/>
    <w:rsid w:val="00A23956"/>
    <w:rsid w:val="00A24107"/>
    <w:rsid w:val="00A2594B"/>
    <w:rsid w:val="00A30C96"/>
    <w:rsid w:val="00A31931"/>
    <w:rsid w:val="00A31A3E"/>
    <w:rsid w:val="00A41B2D"/>
    <w:rsid w:val="00A42F49"/>
    <w:rsid w:val="00A42FEF"/>
    <w:rsid w:val="00A45E64"/>
    <w:rsid w:val="00A53225"/>
    <w:rsid w:val="00A54F65"/>
    <w:rsid w:val="00A60B30"/>
    <w:rsid w:val="00A6117A"/>
    <w:rsid w:val="00A61D8E"/>
    <w:rsid w:val="00A64104"/>
    <w:rsid w:val="00A64413"/>
    <w:rsid w:val="00A7375A"/>
    <w:rsid w:val="00A746B2"/>
    <w:rsid w:val="00A74B53"/>
    <w:rsid w:val="00A820AB"/>
    <w:rsid w:val="00A86B78"/>
    <w:rsid w:val="00A92615"/>
    <w:rsid w:val="00A93ED3"/>
    <w:rsid w:val="00AA0057"/>
    <w:rsid w:val="00AA221E"/>
    <w:rsid w:val="00AA457A"/>
    <w:rsid w:val="00AB149E"/>
    <w:rsid w:val="00AB28E8"/>
    <w:rsid w:val="00AB3337"/>
    <w:rsid w:val="00AB5806"/>
    <w:rsid w:val="00AC0DD6"/>
    <w:rsid w:val="00AC4279"/>
    <w:rsid w:val="00AC614B"/>
    <w:rsid w:val="00AD1A77"/>
    <w:rsid w:val="00AD237D"/>
    <w:rsid w:val="00AD3172"/>
    <w:rsid w:val="00AE3044"/>
    <w:rsid w:val="00AE7128"/>
    <w:rsid w:val="00AF08F0"/>
    <w:rsid w:val="00AF6478"/>
    <w:rsid w:val="00AF688B"/>
    <w:rsid w:val="00AF6A41"/>
    <w:rsid w:val="00AF7740"/>
    <w:rsid w:val="00B01831"/>
    <w:rsid w:val="00B05BF3"/>
    <w:rsid w:val="00B0671B"/>
    <w:rsid w:val="00B234AF"/>
    <w:rsid w:val="00B27B7E"/>
    <w:rsid w:val="00B30207"/>
    <w:rsid w:val="00B34D21"/>
    <w:rsid w:val="00B3574F"/>
    <w:rsid w:val="00B368C0"/>
    <w:rsid w:val="00B40D1F"/>
    <w:rsid w:val="00B441D2"/>
    <w:rsid w:val="00B51CEB"/>
    <w:rsid w:val="00B5720E"/>
    <w:rsid w:val="00B65855"/>
    <w:rsid w:val="00B65C55"/>
    <w:rsid w:val="00B6622D"/>
    <w:rsid w:val="00B67201"/>
    <w:rsid w:val="00B71D96"/>
    <w:rsid w:val="00B73C13"/>
    <w:rsid w:val="00B7412F"/>
    <w:rsid w:val="00B77176"/>
    <w:rsid w:val="00B82C1A"/>
    <w:rsid w:val="00B87114"/>
    <w:rsid w:val="00B931DA"/>
    <w:rsid w:val="00B94623"/>
    <w:rsid w:val="00B94824"/>
    <w:rsid w:val="00BA0E09"/>
    <w:rsid w:val="00BA1065"/>
    <w:rsid w:val="00BA424F"/>
    <w:rsid w:val="00BB4D08"/>
    <w:rsid w:val="00BB5800"/>
    <w:rsid w:val="00BB7B98"/>
    <w:rsid w:val="00BC153B"/>
    <w:rsid w:val="00BC4539"/>
    <w:rsid w:val="00BC4933"/>
    <w:rsid w:val="00BD0647"/>
    <w:rsid w:val="00BD6147"/>
    <w:rsid w:val="00BD6E7A"/>
    <w:rsid w:val="00BE018C"/>
    <w:rsid w:val="00BE221A"/>
    <w:rsid w:val="00BE5B80"/>
    <w:rsid w:val="00BE6ABB"/>
    <w:rsid w:val="00BE7B04"/>
    <w:rsid w:val="00BF0744"/>
    <w:rsid w:val="00BF5221"/>
    <w:rsid w:val="00BF6F06"/>
    <w:rsid w:val="00BF7E6D"/>
    <w:rsid w:val="00C01F44"/>
    <w:rsid w:val="00C04668"/>
    <w:rsid w:val="00C10C6D"/>
    <w:rsid w:val="00C135B2"/>
    <w:rsid w:val="00C1360F"/>
    <w:rsid w:val="00C1441F"/>
    <w:rsid w:val="00C227C8"/>
    <w:rsid w:val="00C23615"/>
    <w:rsid w:val="00C30BD2"/>
    <w:rsid w:val="00C30FF3"/>
    <w:rsid w:val="00C31771"/>
    <w:rsid w:val="00C3342C"/>
    <w:rsid w:val="00C33F72"/>
    <w:rsid w:val="00C36245"/>
    <w:rsid w:val="00C37980"/>
    <w:rsid w:val="00C4004A"/>
    <w:rsid w:val="00C40F1A"/>
    <w:rsid w:val="00C41667"/>
    <w:rsid w:val="00C437E4"/>
    <w:rsid w:val="00C43FFC"/>
    <w:rsid w:val="00C445CD"/>
    <w:rsid w:val="00C56528"/>
    <w:rsid w:val="00C63D18"/>
    <w:rsid w:val="00C7069D"/>
    <w:rsid w:val="00C70947"/>
    <w:rsid w:val="00C73014"/>
    <w:rsid w:val="00C76C4C"/>
    <w:rsid w:val="00C772F8"/>
    <w:rsid w:val="00C77469"/>
    <w:rsid w:val="00C80B9A"/>
    <w:rsid w:val="00C80E19"/>
    <w:rsid w:val="00C816C9"/>
    <w:rsid w:val="00C82381"/>
    <w:rsid w:val="00C8490E"/>
    <w:rsid w:val="00C86F32"/>
    <w:rsid w:val="00C96CD1"/>
    <w:rsid w:val="00CA2D46"/>
    <w:rsid w:val="00CA2FD8"/>
    <w:rsid w:val="00CA591C"/>
    <w:rsid w:val="00CA7A4C"/>
    <w:rsid w:val="00CB0803"/>
    <w:rsid w:val="00CB32A2"/>
    <w:rsid w:val="00CB364C"/>
    <w:rsid w:val="00CB66AA"/>
    <w:rsid w:val="00CC03B4"/>
    <w:rsid w:val="00CC6BBB"/>
    <w:rsid w:val="00CD063C"/>
    <w:rsid w:val="00CD2656"/>
    <w:rsid w:val="00CD3EB9"/>
    <w:rsid w:val="00CD41E2"/>
    <w:rsid w:val="00CE0465"/>
    <w:rsid w:val="00CE5043"/>
    <w:rsid w:val="00CE6E37"/>
    <w:rsid w:val="00CF0EFF"/>
    <w:rsid w:val="00CF32BE"/>
    <w:rsid w:val="00CF492C"/>
    <w:rsid w:val="00CF5FAD"/>
    <w:rsid w:val="00D0044D"/>
    <w:rsid w:val="00D012EE"/>
    <w:rsid w:val="00D04A42"/>
    <w:rsid w:val="00D05B92"/>
    <w:rsid w:val="00D05E3B"/>
    <w:rsid w:val="00D262F8"/>
    <w:rsid w:val="00D30FFE"/>
    <w:rsid w:val="00D356CC"/>
    <w:rsid w:val="00D35F7C"/>
    <w:rsid w:val="00D453C9"/>
    <w:rsid w:val="00D457D4"/>
    <w:rsid w:val="00D543EF"/>
    <w:rsid w:val="00D5547A"/>
    <w:rsid w:val="00D62A3C"/>
    <w:rsid w:val="00D70B56"/>
    <w:rsid w:val="00D80E50"/>
    <w:rsid w:val="00D830EE"/>
    <w:rsid w:val="00D83297"/>
    <w:rsid w:val="00D83DC8"/>
    <w:rsid w:val="00D83E5F"/>
    <w:rsid w:val="00D85526"/>
    <w:rsid w:val="00D9377B"/>
    <w:rsid w:val="00DA0102"/>
    <w:rsid w:val="00DA0733"/>
    <w:rsid w:val="00DA201A"/>
    <w:rsid w:val="00DA266B"/>
    <w:rsid w:val="00DA478A"/>
    <w:rsid w:val="00DA4E55"/>
    <w:rsid w:val="00DA6308"/>
    <w:rsid w:val="00DA7D1F"/>
    <w:rsid w:val="00DB6685"/>
    <w:rsid w:val="00DC2C0B"/>
    <w:rsid w:val="00DC51DE"/>
    <w:rsid w:val="00DC65A1"/>
    <w:rsid w:val="00DD05F0"/>
    <w:rsid w:val="00DD1162"/>
    <w:rsid w:val="00DD21F6"/>
    <w:rsid w:val="00DD2242"/>
    <w:rsid w:val="00DD4E93"/>
    <w:rsid w:val="00DD6592"/>
    <w:rsid w:val="00DE12E6"/>
    <w:rsid w:val="00DE2818"/>
    <w:rsid w:val="00DE291D"/>
    <w:rsid w:val="00DF03EF"/>
    <w:rsid w:val="00DF3D9D"/>
    <w:rsid w:val="00DF7F33"/>
    <w:rsid w:val="00E00095"/>
    <w:rsid w:val="00E012FF"/>
    <w:rsid w:val="00E036B2"/>
    <w:rsid w:val="00E1187B"/>
    <w:rsid w:val="00E14E8A"/>
    <w:rsid w:val="00E16479"/>
    <w:rsid w:val="00E26F1D"/>
    <w:rsid w:val="00E27B72"/>
    <w:rsid w:val="00E31F1D"/>
    <w:rsid w:val="00E33714"/>
    <w:rsid w:val="00E36623"/>
    <w:rsid w:val="00E4078B"/>
    <w:rsid w:val="00E43D17"/>
    <w:rsid w:val="00E45332"/>
    <w:rsid w:val="00E456BF"/>
    <w:rsid w:val="00E5374A"/>
    <w:rsid w:val="00E53BE6"/>
    <w:rsid w:val="00E56AB0"/>
    <w:rsid w:val="00E5709F"/>
    <w:rsid w:val="00E61D00"/>
    <w:rsid w:val="00E6591B"/>
    <w:rsid w:val="00E662B0"/>
    <w:rsid w:val="00E66DB4"/>
    <w:rsid w:val="00E67135"/>
    <w:rsid w:val="00E70BA5"/>
    <w:rsid w:val="00E735FD"/>
    <w:rsid w:val="00E73C33"/>
    <w:rsid w:val="00E76BED"/>
    <w:rsid w:val="00E76D14"/>
    <w:rsid w:val="00E806D1"/>
    <w:rsid w:val="00E8205C"/>
    <w:rsid w:val="00E86806"/>
    <w:rsid w:val="00E87DFE"/>
    <w:rsid w:val="00E90B7D"/>
    <w:rsid w:val="00E938F5"/>
    <w:rsid w:val="00E94FFD"/>
    <w:rsid w:val="00EA18C2"/>
    <w:rsid w:val="00EB2B74"/>
    <w:rsid w:val="00EB411C"/>
    <w:rsid w:val="00EB7E9F"/>
    <w:rsid w:val="00EC5814"/>
    <w:rsid w:val="00EC6692"/>
    <w:rsid w:val="00ED20CB"/>
    <w:rsid w:val="00ED2A1A"/>
    <w:rsid w:val="00ED2AAC"/>
    <w:rsid w:val="00ED6D02"/>
    <w:rsid w:val="00EE02D4"/>
    <w:rsid w:val="00EE1166"/>
    <w:rsid w:val="00EE17D3"/>
    <w:rsid w:val="00EE6372"/>
    <w:rsid w:val="00EF2B05"/>
    <w:rsid w:val="00EF468F"/>
    <w:rsid w:val="00EF6FFC"/>
    <w:rsid w:val="00F0106C"/>
    <w:rsid w:val="00F01A54"/>
    <w:rsid w:val="00F03EED"/>
    <w:rsid w:val="00F07984"/>
    <w:rsid w:val="00F125E7"/>
    <w:rsid w:val="00F126DC"/>
    <w:rsid w:val="00F15AD6"/>
    <w:rsid w:val="00F16D2F"/>
    <w:rsid w:val="00F21AB0"/>
    <w:rsid w:val="00F220DD"/>
    <w:rsid w:val="00F23531"/>
    <w:rsid w:val="00F26AB6"/>
    <w:rsid w:val="00F301E0"/>
    <w:rsid w:val="00F34C50"/>
    <w:rsid w:val="00F35254"/>
    <w:rsid w:val="00F37C28"/>
    <w:rsid w:val="00F424DD"/>
    <w:rsid w:val="00F436CA"/>
    <w:rsid w:val="00F458FE"/>
    <w:rsid w:val="00F4645A"/>
    <w:rsid w:val="00F51D97"/>
    <w:rsid w:val="00F624E2"/>
    <w:rsid w:val="00F73690"/>
    <w:rsid w:val="00F74A79"/>
    <w:rsid w:val="00F82DDE"/>
    <w:rsid w:val="00F83B9A"/>
    <w:rsid w:val="00F83CCB"/>
    <w:rsid w:val="00F8479C"/>
    <w:rsid w:val="00F9601D"/>
    <w:rsid w:val="00F968D4"/>
    <w:rsid w:val="00FB032B"/>
    <w:rsid w:val="00FB3D20"/>
    <w:rsid w:val="00FC34D2"/>
    <w:rsid w:val="00FC4C2D"/>
    <w:rsid w:val="00FC6FA1"/>
    <w:rsid w:val="00FD0E76"/>
    <w:rsid w:val="00FD0F57"/>
    <w:rsid w:val="00FD449D"/>
    <w:rsid w:val="00FD50C1"/>
    <w:rsid w:val="00FE16A6"/>
    <w:rsid w:val="00FE17E6"/>
    <w:rsid w:val="00FE33B7"/>
    <w:rsid w:val="00FF26E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DFE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  <w:style w:type="paragraph" w:customStyle="1" w:styleId="DecimalAligned">
    <w:name w:val="Decimal Aligned"/>
    <w:basedOn w:val="Normlny"/>
    <w:uiPriority w:val="40"/>
    <w:qFormat/>
    <w:rsid w:val="00C7069D"/>
    <w:pPr>
      <w:tabs>
        <w:tab w:val="decimal" w:pos="360"/>
      </w:tabs>
      <w:spacing w:after="200" w:line="276" w:lineRule="auto"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rsid w:val="00C7069D"/>
    <w:rPr>
      <w:color w:val="5A5A5A" w:themeColor="text1" w:themeTint="A5"/>
    </w:rPr>
  </w:style>
  <w:style w:type="table" w:styleId="Mriekatabuky">
    <w:name w:val="Table Grid"/>
    <w:basedOn w:val="Normlnatabuka"/>
    <w:uiPriority w:val="59"/>
    <w:rsid w:val="00C7069D"/>
    <w:pPr>
      <w:spacing w:after="0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lny"/>
    <w:rsid w:val="00C7069D"/>
    <w:pPr>
      <w:spacing w:after="15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69D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69D"/>
  </w:style>
  <w:style w:type="character" w:styleId="Odkaznapoznmkupodiarou">
    <w:name w:val="footnote reference"/>
    <w:basedOn w:val="Predvolenpsmoodseku"/>
    <w:uiPriority w:val="99"/>
    <w:semiHidden/>
    <w:unhideWhenUsed/>
    <w:rsid w:val="00C7069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70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6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0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6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706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06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069D"/>
    <w:rPr>
      <w:rFonts w:ascii="Times New Roman" w:eastAsia="Times New Roman" w:hAnsi="Times New Roman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06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069D"/>
    <w:rPr>
      <w:rFonts w:ascii="Times New Roman" w:eastAsia="Times New Roman" w:hAnsi="Times New Roman" w:cs="Times New Roman"/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69D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83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DFE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  <w:style w:type="paragraph" w:customStyle="1" w:styleId="DecimalAligned">
    <w:name w:val="Decimal Aligned"/>
    <w:basedOn w:val="Normlny"/>
    <w:uiPriority w:val="40"/>
    <w:qFormat/>
    <w:rsid w:val="00C7069D"/>
    <w:pPr>
      <w:tabs>
        <w:tab w:val="decimal" w:pos="360"/>
      </w:tabs>
      <w:spacing w:after="200" w:line="276" w:lineRule="auto"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rsid w:val="00C7069D"/>
    <w:rPr>
      <w:color w:val="5A5A5A" w:themeColor="text1" w:themeTint="A5"/>
    </w:rPr>
  </w:style>
  <w:style w:type="table" w:styleId="Mriekatabuky">
    <w:name w:val="Table Grid"/>
    <w:basedOn w:val="Normlnatabuka"/>
    <w:uiPriority w:val="59"/>
    <w:rsid w:val="00C7069D"/>
    <w:pPr>
      <w:spacing w:after="0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lny"/>
    <w:rsid w:val="00C7069D"/>
    <w:pPr>
      <w:spacing w:after="15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69D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69D"/>
  </w:style>
  <w:style w:type="character" w:styleId="Odkaznapoznmkupodiarou">
    <w:name w:val="footnote reference"/>
    <w:basedOn w:val="Predvolenpsmoodseku"/>
    <w:uiPriority w:val="99"/>
    <w:semiHidden/>
    <w:unhideWhenUsed/>
    <w:rsid w:val="00C7069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70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6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0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6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706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06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069D"/>
    <w:rPr>
      <w:rFonts w:ascii="Times New Roman" w:eastAsia="Times New Roman" w:hAnsi="Times New Roman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06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069D"/>
    <w:rPr>
      <w:rFonts w:ascii="Times New Roman" w:eastAsia="Times New Roman" w:hAnsi="Times New Roman" w:cs="Times New Roman"/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69D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8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8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41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0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8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925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0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2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33C6-5245-41B4-82EB-F1B21862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Jaroslav.Hudcovsky@employment.gov.sk</dc:creator>
  <cp:lastModifiedBy>Cebulakova Monika</cp:lastModifiedBy>
  <cp:revision>2</cp:revision>
  <cp:lastPrinted>2018-09-14T12:45:00Z</cp:lastPrinted>
  <dcterms:created xsi:type="dcterms:W3CDTF">2019-04-04T05:26:00Z</dcterms:created>
  <dcterms:modified xsi:type="dcterms:W3CDTF">2019-04-04T05:26:00Z</dcterms:modified>
</cp:coreProperties>
</file>