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rsidP="00873C91">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873C91">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3B59A7">
      <w:pPr>
        <w:jc w:val="both"/>
        <w:rPr>
          <w:b/>
          <w:sz w:val="25"/>
          <w:szCs w:val="25"/>
        </w:rPr>
      </w:pPr>
    </w:p>
    <w:p w14:paraId="78F20C5B" w14:textId="77777777" w:rsidR="00DC377E" w:rsidRPr="00117A7E" w:rsidRDefault="00DC377E" w:rsidP="003B59A7">
      <w:pPr>
        <w:jc w:val="both"/>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3B59A7">
            <w:pPr>
              <w:tabs>
                <w:tab w:val="left" w:pos="360"/>
              </w:tabs>
              <w:jc w:val="both"/>
              <w:rPr>
                <w:b/>
                <w:sz w:val="25"/>
                <w:szCs w:val="25"/>
              </w:rPr>
            </w:pPr>
            <w:r w:rsidRPr="00117A7E">
              <w:rPr>
                <w:b/>
                <w:sz w:val="25"/>
                <w:szCs w:val="25"/>
              </w:rPr>
              <w:t>1.</w:t>
            </w:r>
          </w:p>
        </w:tc>
        <w:tc>
          <w:tcPr>
            <w:tcW w:w="9627" w:type="dxa"/>
          </w:tcPr>
          <w:p w14:paraId="09EDA613" w14:textId="046E36C8" w:rsidR="001F0AA3" w:rsidRPr="00117A7E" w:rsidRDefault="001F0AA3" w:rsidP="003B59A7">
            <w:pPr>
              <w:tabs>
                <w:tab w:val="left" w:pos="360"/>
              </w:tabs>
              <w:jc w:val="both"/>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C20963">
              <w:rPr>
                <w:sz w:val="25"/>
                <w:szCs w:val="25"/>
              </w:rPr>
              <w:t>Štatistický úrad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3B59A7">
            <w:pPr>
              <w:tabs>
                <w:tab w:val="left" w:pos="360"/>
              </w:tabs>
              <w:jc w:val="both"/>
              <w:rPr>
                <w:sz w:val="25"/>
                <w:szCs w:val="25"/>
              </w:rPr>
            </w:pPr>
          </w:p>
        </w:tc>
        <w:tc>
          <w:tcPr>
            <w:tcW w:w="9627" w:type="dxa"/>
          </w:tcPr>
          <w:p w14:paraId="3916B647" w14:textId="04E81E64" w:rsidR="006E1D9C" w:rsidRPr="00117A7E" w:rsidRDefault="006E1D9C" w:rsidP="003B59A7">
            <w:pPr>
              <w:tabs>
                <w:tab w:val="left" w:pos="360"/>
              </w:tabs>
              <w:jc w:val="both"/>
              <w:rPr>
                <w:sz w:val="25"/>
                <w:szCs w:val="25"/>
              </w:rPr>
            </w:pPr>
          </w:p>
        </w:tc>
      </w:tr>
      <w:tr w:rsidR="001F0AA3" w:rsidRPr="00117A7E" w14:paraId="3DF0B4FC" w14:textId="77777777" w:rsidTr="006F3E6F">
        <w:tc>
          <w:tcPr>
            <w:tcW w:w="404" w:type="dxa"/>
          </w:tcPr>
          <w:p w14:paraId="51209F81" w14:textId="0D91764A" w:rsidR="001F0AA3" w:rsidRPr="00117A7E" w:rsidRDefault="001F0AA3" w:rsidP="003B59A7">
            <w:pPr>
              <w:tabs>
                <w:tab w:val="left" w:pos="360"/>
              </w:tabs>
              <w:jc w:val="both"/>
              <w:rPr>
                <w:b/>
                <w:sz w:val="25"/>
                <w:szCs w:val="25"/>
              </w:rPr>
            </w:pPr>
            <w:r w:rsidRPr="00117A7E">
              <w:rPr>
                <w:b/>
                <w:sz w:val="25"/>
                <w:szCs w:val="25"/>
              </w:rPr>
              <w:t>2.</w:t>
            </w:r>
          </w:p>
        </w:tc>
        <w:tc>
          <w:tcPr>
            <w:tcW w:w="9627" w:type="dxa"/>
          </w:tcPr>
          <w:p w14:paraId="278F4256" w14:textId="7FBA522C" w:rsidR="001F0AA3" w:rsidRPr="00117A7E" w:rsidRDefault="001F0AA3" w:rsidP="00920552">
            <w:pPr>
              <w:tabs>
                <w:tab w:val="left" w:pos="360"/>
              </w:tabs>
              <w:jc w:val="both"/>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C20963">
              <w:rPr>
                <w:sz w:val="25"/>
                <w:szCs w:val="25"/>
              </w:rPr>
              <w:t xml:space="preserve"> Zákon o sčítaní obyvateľov, domov a bytov v roku 2021</w:t>
            </w:r>
            <w:r w:rsidR="00632C56" w:rsidRPr="00117A7E">
              <w:rPr>
                <w:sz w:val="25"/>
                <w:szCs w:val="25"/>
              </w:rPr>
              <w:fldChar w:fldCharType="end"/>
            </w:r>
            <w:r w:rsidR="00920552">
              <w:rPr>
                <w:sz w:val="25"/>
                <w:szCs w:val="25"/>
              </w:rPr>
              <w:t xml:space="preserve"> </w:t>
            </w:r>
            <w:r w:rsidR="00920552" w:rsidRPr="00920552">
              <w:rPr>
                <w:sz w:val="25"/>
                <w:szCs w:val="25"/>
              </w:rPr>
              <w:t>a ktorým sa mení zákon č. 595/2003 Z. z. o dani z príjmov v znení neskorších predpisov a</w:t>
            </w:r>
            <w:r w:rsidR="00920552">
              <w:rPr>
                <w:sz w:val="25"/>
                <w:szCs w:val="25"/>
              </w:rPr>
              <w:t> </w:t>
            </w:r>
            <w:bookmarkStart w:id="0" w:name="_GoBack"/>
            <w:bookmarkEnd w:id="0"/>
            <w:r w:rsidR="00920552" w:rsidRPr="00920552">
              <w:rPr>
                <w:sz w:val="25"/>
                <w:szCs w:val="25"/>
              </w:rPr>
              <w:t xml:space="preserve">ktorým sa dopĺňajú niektoré zákony </w:t>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3B59A7">
            <w:pPr>
              <w:tabs>
                <w:tab w:val="left" w:pos="360"/>
              </w:tabs>
              <w:jc w:val="both"/>
              <w:rPr>
                <w:sz w:val="25"/>
                <w:szCs w:val="25"/>
              </w:rPr>
            </w:pPr>
          </w:p>
        </w:tc>
        <w:tc>
          <w:tcPr>
            <w:tcW w:w="9627" w:type="dxa"/>
          </w:tcPr>
          <w:p w14:paraId="20DF7156" w14:textId="3173AA6D" w:rsidR="006E1D9C" w:rsidRPr="00117A7E" w:rsidRDefault="006E1D9C" w:rsidP="003B59A7">
            <w:pPr>
              <w:tabs>
                <w:tab w:val="left" w:pos="360"/>
              </w:tabs>
              <w:jc w:val="both"/>
              <w:rPr>
                <w:sz w:val="25"/>
                <w:szCs w:val="25"/>
              </w:rPr>
            </w:pPr>
          </w:p>
        </w:tc>
      </w:tr>
      <w:tr w:rsidR="001F0AA3" w:rsidRPr="00117A7E" w14:paraId="040B7E4C" w14:textId="77777777" w:rsidTr="006F3E6F">
        <w:tc>
          <w:tcPr>
            <w:tcW w:w="404" w:type="dxa"/>
          </w:tcPr>
          <w:p w14:paraId="55BF8E11" w14:textId="2073A5BB" w:rsidR="001F0AA3" w:rsidRPr="00117A7E" w:rsidRDefault="001F0AA3" w:rsidP="003B59A7">
            <w:pPr>
              <w:tabs>
                <w:tab w:val="left" w:pos="360"/>
              </w:tabs>
              <w:jc w:val="both"/>
              <w:rPr>
                <w:b/>
                <w:sz w:val="25"/>
                <w:szCs w:val="25"/>
              </w:rPr>
            </w:pPr>
            <w:r w:rsidRPr="00117A7E">
              <w:rPr>
                <w:b/>
                <w:sz w:val="25"/>
                <w:szCs w:val="25"/>
              </w:rPr>
              <w:t>3.</w:t>
            </w:r>
          </w:p>
        </w:tc>
        <w:tc>
          <w:tcPr>
            <w:tcW w:w="9627" w:type="dxa"/>
          </w:tcPr>
          <w:p w14:paraId="68F7C348" w14:textId="03DCD8E9" w:rsidR="003841E0" w:rsidRPr="00117A7E" w:rsidRDefault="001F0AA3" w:rsidP="003B59A7">
            <w:pPr>
              <w:tabs>
                <w:tab w:val="left" w:pos="360"/>
              </w:tabs>
              <w:jc w:val="both"/>
              <w:rPr>
                <w:sz w:val="25"/>
                <w:szCs w:val="25"/>
              </w:rPr>
            </w:pPr>
            <w:r w:rsidRPr="00117A7E">
              <w:rPr>
                <w:b/>
                <w:sz w:val="25"/>
                <w:szCs w:val="25"/>
              </w:rPr>
              <w:t>Problematika návrhu právneho predpisu</w:t>
            </w:r>
            <w:r w:rsidR="000C3F51">
              <w:rPr>
                <w:b/>
                <w:sz w:val="25"/>
                <w:szCs w:val="25"/>
              </w:rPr>
              <w:t xml:space="preserve"> je upraven</w:t>
            </w:r>
            <w:r w:rsidR="0070570F">
              <w:rPr>
                <w:b/>
                <w:sz w:val="25"/>
                <w:szCs w:val="25"/>
              </w:rPr>
              <w:t>á</w:t>
            </w:r>
            <w:r w:rsidR="000C3F51">
              <w:rPr>
                <w:b/>
                <w:sz w:val="25"/>
                <w:szCs w:val="25"/>
              </w:rPr>
              <w:t xml:space="preserve"> </w:t>
            </w:r>
            <w:r w:rsidR="000C3F51">
              <w:rPr>
                <w:b/>
              </w:rPr>
              <w:t>v práve Európskej únie</w:t>
            </w:r>
            <w:r w:rsidR="000C3F51" w:rsidRPr="00683D6A">
              <w:rPr>
                <w:b/>
              </w:rPr>
              <w:t>:</w:t>
            </w:r>
          </w:p>
        </w:tc>
      </w:tr>
      <w:tr w:rsidR="001F0AA3" w:rsidRPr="00117A7E" w14:paraId="7735561D" w14:textId="77777777" w:rsidTr="006F3E6F">
        <w:tc>
          <w:tcPr>
            <w:tcW w:w="404" w:type="dxa"/>
          </w:tcPr>
          <w:p w14:paraId="47F8D49E" w14:textId="77777777" w:rsidR="001F0AA3" w:rsidRPr="00117A7E" w:rsidRDefault="001F0AA3" w:rsidP="003B59A7">
            <w:pPr>
              <w:tabs>
                <w:tab w:val="left" w:pos="360"/>
              </w:tabs>
              <w:jc w:val="both"/>
            </w:pPr>
          </w:p>
        </w:tc>
        <w:tc>
          <w:tcPr>
            <w:tcW w:w="9627" w:type="dxa"/>
          </w:tcPr>
          <w:p w14:paraId="287130EC" w14:textId="77777777" w:rsidR="00873C91" w:rsidRDefault="004829C9" w:rsidP="003B59A7">
            <w:pPr>
              <w:pStyle w:val="Odsekzoznamu"/>
              <w:numPr>
                <w:ilvl w:val="0"/>
                <w:numId w:val="8"/>
              </w:numPr>
              <w:spacing w:before="240"/>
              <w:jc w:val="both"/>
              <w:divId w:val="338973085"/>
              <w:rPr>
                <w:rFonts w:ascii="Times" w:hAnsi="Times" w:cs="Times"/>
                <w:sz w:val="25"/>
                <w:szCs w:val="25"/>
              </w:rPr>
            </w:pPr>
            <w:r>
              <w:rPr>
                <w:rFonts w:ascii="Times" w:hAnsi="Times" w:cs="Times"/>
                <w:i/>
                <w:iCs/>
                <w:sz w:val="25"/>
                <w:szCs w:val="25"/>
              </w:rPr>
              <w:t>v </w:t>
            </w:r>
            <w:r w:rsidR="00826EF8" w:rsidRPr="00873C91">
              <w:rPr>
                <w:rFonts w:ascii="Times" w:hAnsi="Times" w:cs="Times"/>
                <w:i/>
                <w:iCs/>
                <w:sz w:val="25"/>
                <w:szCs w:val="25"/>
              </w:rPr>
              <w:t>primárnom</w:t>
            </w:r>
            <w:r>
              <w:rPr>
                <w:rFonts w:ascii="Times" w:hAnsi="Times" w:cs="Times"/>
                <w:i/>
                <w:iCs/>
                <w:sz w:val="25"/>
                <w:szCs w:val="25"/>
              </w:rPr>
              <w:t xml:space="preserve"> práve</w:t>
            </w:r>
            <w:r w:rsidR="00826EF8" w:rsidRPr="00873C91">
              <w:rPr>
                <w:rFonts w:ascii="Times" w:hAnsi="Times" w:cs="Times"/>
                <w:i/>
                <w:iCs/>
                <w:sz w:val="25"/>
                <w:szCs w:val="25"/>
              </w:rPr>
              <w:t xml:space="preserve"> </w:t>
            </w:r>
            <w:r w:rsidR="00826EF8" w:rsidRPr="00873C91">
              <w:rPr>
                <w:rFonts w:ascii="Times" w:hAnsi="Times" w:cs="Times"/>
                <w:sz w:val="25"/>
                <w:szCs w:val="25"/>
              </w:rPr>
              <w:br/>
            </w:r>
          </w:p>
          <w:p w14:paraId="5B2B5663" w14:textId="7B5FE215" w:rsidR="00826EF8" w:rsidRPr="00873C91" w:rsidRDefault="00826EF8" w:rsidP="003B59A7">
            <w:pPr>
              <w:pStyle w:val="Odsekzoznamu"/>
              <w:ind w:left="360"/>
              <w:jc w:val="both"/>
              <w:divId w:val="338973085"/>
              <w:rPr>
                <w:rFonts w:ascii="Times" w:hAnsi="Times" w:cs="Times"/>
                <w:sz w:val="25"/>
                <w:szCs w:val="25"/>
              </w:rPr>
            </w:pPr>
            <w:r w:rsidRPr="00873C91">
              <w:rPr>
                <w:rFonts w:ascii="Times" w:hAnsi="Times" w:cs="Times"/>
                <w:sz w:val="25"/>
                <w:szCs w:val="25"/>
              </w:rPr>
              <w:t>- čl. 159 a 175 Zmluvy o fungovaní Európskej únie.</w:t>
            </w:r>
          </w:p>
          <w:p w14:paraId="394454C0" w14:textId="1B9229E3" w:rsidR="00054456" w:rsidRPr="00117A7E" w:rsidRDefault="00054456" w:rsidP="00873C91">
            <w:pPr>
              <w:pStyle w:val="Odsekzoznamu"/>
              <w:tabs>
                <w:tab w:val="left" w:pos="360"/>
              </w:tabs>
              <w:ind w:left="360"/>
              <w:jc w:val="both"/>
            </w:pPr>
          </w:p>
          <w:p w14:paraId="430E9BDF" w14:textId="77777777" w:rsidR="00873C91" w:rsidRPr="003B59A7" w:rsidRDefault="00873C91" w:rsidP="00873C91">
            <w:pPr>
              <w:pStyle w:val="Odsekzoznamu"/>
              <w:numPr>
                <w:ilvl w:val="0"/>
                <w:numId w:val="8"/>
              </w:numPr>
              <w:jc w:val="both"/>
              <w:divId w:val="231043763"/>
              <w:rPr>
                <w:rFonts w:ascii="Times" w:hAnsi="Times" w:cs="Times"/>
                <w:sz w:val="25"/>
                <w:szCs w:val="25"/>
              </w:rPr>
            </w:pPr>
            <w:r w:rsidRPr="00873C91">
              <w:rPr>
                <w:rFonts w:ascii="Times" w:hAnsi="Times" w:cs="Times"/>
                <w:i/>
                <w:iCs/>
                <w:sz w:val="25"/>
                <w:szCs w:val="25"/>
              </w:rPr>
              <w:t xml:space="preserve">v sekundárnom práve </w:t>
            </w:r>
          </w:p>
          <w:p w14:paraId="69E318CB" w14:textId="4A7A1260" w:rsidR="00873C91" w:rsidRPr="003B59A7" w:rsidRDefault="00826EF8" w:rsidP="003B59A7">
            <w:pPr>
              <w:pStyle w:val="Odsekzoznamu"/>
              <w:numPr>
                <w:ilvl w:val="0"/>
                <w:numId w:val="11"/>
              </w:numPr>
              <w:spacing w:before="240"/>
              <w:ind w:left="357" w:hanging="357"/>
              <w:contextualSpacing w:val="0"/>
              <w:jc w:val="both"/>
              <w:divId w:val="231043763"/>
              <w:rPr>
                <w:rFonts w:ascii="Times" w:hAnsi="Times" w:cs="Times"/>
                <w:sz w:val="25"/>
                <w:szCs w:val="25"/>
              </w:rPr>
            </w:pPr>
            <w:r w:rsidRPr="003B59A7">
              <w:rPr>
                <w:rFonts w:ascii="Times" w:hAnsi="Times" w:cs="Times"/>
                <w:sz w:val="25"/>
                <w:szCs w:val="25"/>
              </w:rPr>
              <w:t xml:space="preserve">nariadenie Európskeho parlamentu a Rady (ES) č. 763/2008 z 9. júla 2008 o sčítaní obyvateľov, domov a bytov (Ú. v. EÚ L 218, 13.8.2008), gestori: ŠÚ SR, MF SR, MV SR, MŽP SR, ÚGKK SR, </w:t>
            </w:r>
          </w:p>
          <w:p w14:paraId="1D07B3AC" w14:textId="40D6BAF3" w:rsid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nariadenie Európskeho parlamentu a Rady (EÚ) č. 1260/2013 z 20. novembra 2013 o európskej demografickej štatistike (Ú. v. EÚ L 330, 10.12.2013), gestor: ŠÚ SR, </w:t>
            </w:r>
          </w:p>
          <w:p w14:paraId="48275176" w14:textId="08CED05A" w:rsidR="00873C91" w:rsidRP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w:t>
            </w:r>
          </w:p>
          <w:p w14:paraId="1A3D4D7A" w14:textId="011BB888" w:rsidR="00873C91" w:rsidRP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w:t>
            </w:r>
          </w:p>
          <w:p w14:paraId="5DD425D7" w14:textId="1F82F6DA" w:rsidR="00873C91" w:rsidRP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w:t>
            </w:r>
          </w:p>
          <w:p w14:paraId="132316A1" w14:textId="7E44BA92" w:rsidR="00873C91" w:rsidRP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w:t>
            </w:r>
          </w:p>
          <w:p w14:paraId="26921BFC" w14:textId="507B5F73" w:rsidR="00826EF8" w:rsidRPr="00873C91" w:rsidRDefault="00826EF8" w:rsidP="003B59A7">
            <w:pPr>
              <w:pStyle w:val="Odsekzoznamu"/>
              <w:numPr>
                <w:ilvl w:val="0"/>
                <w:numId w:val="11"/>
              </w:numPr>
              <w:jc w:val="both"/>
              <w:divId w:val="231043763"/>
              <w:rPr>
                <w:rFonts w:ascii="Times" w:hAnsi="Times" w:cs="Times"/>
                <w:sz w:val="25"/>
                <w:szCs w:val="25"/>
              </w:rPr>
            </w:pPr>
            <w:r w:rsidRPr="00873C91">
              <w:rPr>
                <w:rFonts w:ascii="Times" w:hAnsi="Times" w:cs="Times"/>
                <w:sz w:val="25"/>
                <w:szCs w:val="25"/>
              </w:rPr>
              <w:t xml:space="preserve">vykonávacie nariadenie Komisie (EÚ) č. </w:t>
            </w:r>
            <w:r w:rsidR="000C3F51" w:rsidRPr="00873C91">
              <w:rPr>
                <w:rFonts w:ascii="Times" w:hAnsi="Times" w:cs="Times"/>
                <w:sz w:val="25"/>
                <w:szCs w:val="25"/>
              </w:rPr>
              <w:t>2018/</w:t>
            </w:r>
            <w:r w:rsidRPr="00873C91">
              <w:rPr>
                <w:rFonts w:ascii="Times" w:hAnsi="Times" w:cs="Times"/>
                <w:sz w:val="25"/>
                <w:szCs w:val="25"/>
              </w:rPr>
              <w:t xml:space="preserve">1799 z 21. novembra 2018 o prechodnom priamom štatistickom opatrení zameranom na zverejňovanie vybraných tém sčítania obyvateľov, domov a bytov v roku 2021 </w:t>
            </w:r>
            <w:proofErr w:type="spellStart"/>
            <w:r w:rsidRPr="00873C91">
              <w:rPr>
                <w:rFonts w:ascii="Times" w:hAnsi="Times" w:cs="Times"/>
                <w:sz w:val="25"/>
                <w:szCs w:val="25"/>
              </w:rPr>
              <w:t>geokódovaných</w:t>
            </w:r>
            <w:proofErr w:type="spellEnd"/>
            <w:r w:rsidRPr="00873C91">
              <w:rPr>
                <w:rFonts w:ascii="Times" w:hAnsi="Times" w:cs="Times"/>
                <w:sz w:val="25"/>
                <w:szCs w:val="25"/>
              </w:rPr>
              <w:t xml:space="preserve"> na sieť s bunkami s rozlohou bunky 1 km</w:t>
            </w:r>
            <w:r w:rsidRPr="00873C91">
              <w:rPr>
                <w:rFonts w:ascii="Times" w:hAnsi="Times" w:cs="Times"/>
                <w:sz w:val="25"/>
                <w:szCs w:val="25"/>
                <w:vertAlign w:val="superscript"/>
              </w:rPr>
              <w:t>2</w:t>
            </w:r>
            <w:r w:rsidR="000C3F51" w:rsidRPr="00873C91">
              <w:rPr>
                <w:rFonts w:ascii="Times" w:hAnsi="Times" w:cs="Times"/>
                <w:sz w:val="25"/>
                <w:szCs w:val="25"/>
              </w:rPr>
              <w:t xml:space="preserve"> (Ú. v. EÚ L 296, 22.11.2018)</w:t>
            </w:r>
            <w:r w:rsidRPr="00873C91">
              <w:rPr>
                <w:rFonts w:ascii="Times" w:hAnsi="Times" w:cs="Times"/>
                <w:sz w:val="25"/>
                <w:szCs w:val="25"/>
              </w:rPr>
              <w:t>, gestor:</w:t>
            </w:r>
          </w:p>
          <w:p w14:paraId="5C41D9D3" w14:textId="1F606E7B" w:rsidR="006F3E6F" w:rsidRPr="00117A7E" w:rsidRDefault="006F3E6F" w:rsidP="003B59A7">
            <w:pPr>
              <w:pStyle w:val="Odsekzoznamu"/>
              <w:tabs>
                <w:tab w:val="left" w:pos="360"/>
              </w:tabs>
              <w:ind w:left="360"/>
              <w:jc w:val="both"/>
            </w:pPr>
          </w:p>
          <w:p w14:paraId="20F46682" w14:textId="481FBB66" w:rsidR="0023485C" w:rsidRPr="00873C91" w:rsidRDefault="000C3F51" w:rsidP="003B59A7">
            <w:pPr>
              <w:pStyle w:val="Odsekzoznamu"/>
              <w:numPr>
                <w:ilvl w:val="0"/>
                <w:numId w:val="8"/>
              </w:numPr>
              <w:tabs>
                <w:tab w:val="left" w:pos="360"/>
              </w:tabs>
              <w:jc w:val="both"/>
              <w:rPr>
                <w:rFonts w:ascii="Times" w:hAnsi="Times" w:cs="Times"/>
                <w:i/>
                <w:iCs/>
                <w:sz w:val="25"/>
                <w:szCs w:val="25"/>
              </w:rPr>
            </w:pPr>
            <w:r w:rsidRPr="000C3F51">
              <w:rPr>
                <w:rFonts w:ascii="Times" w:hAnsi="Times" w:cs="Times"/>
                <w:i/>
                <w:iCs/>
                <w:sz w:val="25"/>
                <w:szCs w:val="25"/>
              </w:rPr>
              <w:lastRenderedPageBreak/>
              <w:t xml:space="preserve">nie je upravený </w:t>
            </w:r>
            <w:r w:rsidR="00826EF8">
              <w:rPr>
                <w:rFonts w:ascii="Times" w:hAnsi="Times" w:cs="Times"/>
                <w:i/>
                <w:iCs/>
                <w:sz w:val="25"/>
                <w:szCs w:val="25"/>
              </w:rPr>
              <w:t>v judikatúre Súdneho dvora Európskej únie</w:t>
            </w:r>
          </w:p>
          <w:p w14:paraId="47C8A381" w14:textId="741D3E85" w:rsidR="0023485C" w:rsidRPr="00117A7E" w:rsidRDefault="0023485C" w:rsidP="003B59A7">
            <w:pPr>
              <w:pStyle w:val="Odsekzoznamu"/>
              <w:tabs>
                <w:tab w:val="left" w:pos="360"/>
              </w:tabs>
              <w:ind w:left="360"/>
              <w:jc w:val="both"/>
            </w:pPr>
          </w:p>
        </w:tc>
      </w:tr>
    </w:tbl>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826EF8" w14:paraId="56274E19" w14:textId="77777777">
        <w:trPr>
          <w:divId w:val="566385032"/>
          <w:jc w:val="center"/>
        </w:trPr>
        <w:tc>
          <w:tcPr>
            <w:tcW w:w="250" w:type="pct"/>
            <w:tcBorders>
              <w:top w:val="nil"/>
              <w:left w:val="nil"/>
              <w:bottom w:val="nil"/>
              <w:right w:val="nil"/>
            </w:tcBorders>
            <w:hideMark/>
          </w:tcPr>
          <w:p w14:paraId="39781D2F" w14:textId="77777777" w:rsidR="00826EF8" w:rsidRDefault="00826EF8" w:rsidP="003B59A7">
            <w:pPr>
              <w:jc w:val="both"/>
              <w:rPr>
                <w:rFonts w:ascii="Times" w:hAnsi="Times" w:cs="Times"/>
                <w:b/>
                <w:bCs/>
                <w:sz w:val="25"/>
                <w:szCs w:val="25"/>
              </w:rPr>
            </w:pPr>
            <w:r>
              <w:rPr>
                <w:rFonts w:ascii="Times" w:hAnsi="Times" w:cs="Times"/>
                <w:b/>
                <w:bCs/>
                <w:sz w:val="25"/>
                <w:szCs w:val="25"/>
              </w:rPr>
              <w:lastRenderedPageBreak/>
              <w:t>4.</w:t>
            </w:r>
          </w:p>
        </w:tc>
        <w:tc>
          <w:tcPr>
            <w:tcW w:w="4750" w:type="pct"/>
            <w:gridSpan w:val="2"/>
            <w:tcBorders>
              <w:top w:val="nil"/>
              <w:left w:val="nil"/>
              <w:bottom w:val="nil"/>
              <w:right w:val="nil"/>
            </w:tcBorders>
            <w:vAlign w:val="center"/>
            <w:hideMark/>
          </w:tcPr>
          <w:p w14:paraId="500475C8" w14:textId="77777777" w:rsidR="00826EF8" w:rsidRDefault="00826EF8" w:rsidP="003B59A7">
            <w:pPr>
              <w:spacing w:after="250"/>
              <w:jc w:val="both"/>
              <w:rPr>
                <w:rFonts w:ascii="Times" w:hAnsi="Times" w:cs="Times"/>
                <w:b/>
                <w:bCs/>
                <w:sz w:val="25"/>
                <w:szCs w:val="25"/>
              </w:rPr>
            </w:pPr>
            <w:r>
              <w:rPr>
                <w:rFonts w:ascii="Times" w:hAnsi="Times" w:cs="Times"/>
                <w:b/>
                <w:bCs/>
                <w:sz w:val="25"/>
                <w:szCs w:val="25"/>
              </w:rPr>
              <w:t>Záväzky Slovenskej republiky vo vzťahu k Európskej únii:</w:t>
            </w:r>
          </w:p>
        </w:tc>
      </w:tr>
      <w:tr w:rsidR="00826EF8" w14:paraId="032AFFD1" w14:textId="77777777">
        <w:trPr>
          <w:divId w:val="566385032"/>
          <w:jc w:val="center"/>
        </w:trPr>
        <w:tc>
          <w:tcPr>
            <w:tcW w:w="0" w:type="auto"/>
            <w:tcBorders>
              <w:top w:val="nil"/>
              <w:left w:val="nil"/>
              <w:bottom w:val="nil"/>
              <w:right w:val="nil"/>
            </w:tcBorders>
            <w:hideMark/>
          </w:tcPr>
          <w:p w14:paraId="3CEC0A1F" w14:textId="77777777" w:rsidR="00826EF8" w:rsidRDefault="00826EF8" w:rsidP="003B59A7">
            <w:pPr>
              <w:spacing w:after="250"/>
              <w:jc w:val="both"/>
              <w:rPr>
                <w:rFonts w:ascii="Times" w:hAnsi="Times" w:cs="Times"/>
                <w:b/>
                <w:bCs/>
                <w:sz w:val="25"/>
                <w:szCs w:val="25"/>
              </w:rPr>
            </w:pPr>
          </w:p>
        </w:tc>
        <w:tc>
          <w:tcPr>
            <w:tcW w:w="150" w:type="pct"/>
            <w:tcBorders>
              <w:top w:val="nil"/>
              <w:left w:val="nil"/>
              <w:bottom w:val="nil"/>
              <w:right w:val="nil"/>
            </w:tcBorders>
            <w:hideMark/>
          </w:tcPr>
          <w:p w14:paraId="464D1676" w14:textId="77777777" w:rsidR="00826EF8" w:rsidRDefault="00826EF8" w:rsidP="003B59A7">
            <w:pPr>
              <w:jc w:val="both"/>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1663867C" w14:textId="77777777" w:rsidR="00826EF8" w:rsidRDefault="00826EF8" w:rsidP="003B59A7">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tc>
      </w:tr>
      <w:tr w:rsidR="00826EF8" w14:paraId="5CB24626" w14:textId="77777777">
        <w:trPr>
          <w:divId w:val="566385032"/>
          <w:jc w:val="center"/>
        </w:trPr>
        <w:tc>
          <w:tcPr>
            <w:tcW w:w="0" w:type="auto"/>
            <w:tcBorders>
              <w:top w:val="nil"/>
              <w:left w:val="nil"/>
              <w:bottom w:val="nil"/>
              <w:right w:val="nil"/>
            </w:tcBorders>
            <w:hideMark/>
          </w:tcPr>
          <w:p w14:paraId="23A4B451" w14:textId="77777777" w:rsidR="00826EF8" w:rsidRDefault="00826EF8" w:rsidP="003B59A7">
            <w:pPr>
              <w:spacing w:after="250"/>
              <w:jc w:val="both"/>
              <w:rPr>
                <w:rFonts w:ascii="Times" w:hAnsi="Times" w:cs="Times"/>
                <w:sz w:val="25"/>
                <w:szCs w:val="25"/>
              </w:rPr>
            </w:pPr>
          </w:p>
        </w:tc>
        <w:tc>
          <w:tcPr>
            <w:tcW w:w="0" w:type="auto"/>
            <w:tcBorders>
              <w:top w:val="nil"/>
              <w:left w:val="nil"/>
              <w:bottom w:val="nil"/>
              <w:right w:val="nil"/>
            </w:tcBorders>
            <w:hideMark/>
          </w:tcPr>
          <w:p w14:paraId="00A65489" w14:textId="77777777" w:rsidR="00826EF8" w:rsidRDefault="00826EF8" w:rsidP="003B59A7">
            <w:pPr>
              <w:jc w:val="both"/>
              <w:rPr>
                <w:sz w:val="20"/>
                <w:szCs w:val="20"/>
              </w:rPr>
            </w:pPr>
          </w:p>
        </w:tc>
        <w:tc>
          <w:tcPr>
            <w:tcW w:w="0" w:type="auto"/>
            <w:tcBorders>
              <w:top w:val="nil"/>
              <w:left w:val="nil"/>
              <w:bottom w:val="nil"/>
              <w:right w:val="nil"/>
            </w:tcBorders>
            <w:vAlign w:val="center"/>
            <w:hideMark/>
          </w:tcPr>
          <w:p w14:paraId="6AD48413" w14:textId="1A1677D4" w:rsidR="004E35B3" w:rsidRDefault="00ED71EE" w:rsidP="003B59A7">
            <w:pPr>
              <w:spacing w:after="250"/>
              <w:jc w:val="both"/>
              <w:rPr>
                <w:rFonts w:ascii="Times" w:hAnsi="Times" w:cs="Times"/>
                <w:sz w:val="25"/>
                <w:szCs w:val="25"/>
              </w:rPr>
            </w:pPr>
            <w:r>
              <w:rPr>
                <w:rFonts w:ascii="Times" w:hAnsi="Times" w:cs="Times"/>
                <w:sz w:val="25"/>
                <w:szCs w:val="25"/>
              </w:rPr>
              <w:t xml:space="preserve">Lehota na implementáciu </w:t>
            </w:r>
            <w:r w:rsidR="004E35B3">
              <w:rPr>
                <w:rFonts w:ascii="Times" w:hAnsi="Times" w:cs="Times"/>
                <w:sz w:val="25"/>
                <w:szCs w:val="25"/>
              </w:rPr>
              <w:t xml:space="preserve">nariadenia (ES) č. 763/2008, nariadenia (EÚ) č. 1260/2013 a  nariadenia (EÚ) č. 2017/712 nebola </w:t>
            </w:r>
            <w:r w:rsidR="00574ECC">
              <w:rPr>
                <w:rFonts w:ascii="Times" w:hAnsi="Times" w:cs="Times"/>
                <w:sz w:val="25"/>
                <w:szCs w:val="25"/>
              </w:rPr>
              <w:t>určená</w:t>
            </w:r>
            <w:r w:rsidR="004E35B3">
              <w:rPr>
                <w:rFonts w:ascii="Times" w:hAnsi="Times" w:cs="Times"/>
                <w:sz w:val="25"/>
                <w:szCs w:val="25"/>
              </w:rPr>
              <w:t>.</w:t>
            </w:r>
          </w:p>
          <w:p w14:paraId="0F1FCA2B" w14:textId="77777777" w:rsidR="004E35B3" w:rsidRDefault="004E35B3" w:rsidP="003B59A7">
            <w:pPr>
              <w:spacing w:after="250"/>
              <w:jc w:val="both"/>
              <w:rPr>
                <w:rFonts w:ascii="Times" w:hAnsi="Times" w:cs="Times"/>
                <w:sz w:val="25"/>
                <w:szCs w:val="25"/>
              </w:rPr>
            </w:pPr>
            <w:r>
              <w:rPr>
                <w:rFonts w:ascii="Times" w:hAnsi="Times" w:cs="Times"/>
                <w:sz w:val="25"/>
                <w:szCs w:val="25"/>
              </w:rPr>
              <w:t>Lehota na implementáciu nariadenia (EÚ) č. 2016/679 uplynula 24. mája 2018.</w:t>
            </w:r>
          </w:p>
          <w:p w14:paraId="0805AC5E" w14:textId="40C9EDFD" w:rsidR="00826EF8" w:rsidRDefault="004E35B3" w:rsidP="003B59A7">
            <w:pPr>
              <w:spacing w:after="250"/>
              <w:jc w:val="both"/>
              <w:rPr>
                <w:rFonts w:ascii="Times" w:hAnsi="Times" w:cs="Times"/>
                <w:sz w:val="25"/>
                <w:szCs w:val="25"/>
              </w:rPr>
            </w:pPr>
            <w:r>
              <w:rPr>
                <w:rFonts w:ascii="Times" w:hAnsi="Times" w:cs="Times"/>
                <w:sz w:val="25"/>
                <w:szCs w:val="25"/>
              </w:rPr>
              <w:t>Lehot</w:t>
            </w:r>
            <w:r w:rsidR="00574ECC">
              <w:rPr>
                <w:rFonts w:ascii="Times" w:hAnsi="Times" w:cs="Times"/>
                <w:sz w:val="25"/>
                <w:szCs w:val="25"/>
              </w:rPr>
              <w:t>y</w:t>
            </w:r>
            <w:r>
              <w:rPr>
                <w:rFonts w:ascii="Times" w:hAnsi="Times" w:cs="Times"/>
                <w:sz w:val="25"/>
                <w:szCs w:val="25"/>
              </w:rPr>
              <w:t xml:space="preserve"> na implementáciu </w:t>
            </w:r>
            <w:r w:rsidR="00574ECC">
              <w:rPr>
                <w:rFonts w:ascii="Times" w:hAnsi="Times" w:cs="Times"/>
                <w:sz w:val="25"/>
                <w:szCs w:val="25"/>
              </w:rPr>
              <w:t xml:space="preserve">vykonávacích nariadení EÚ </w:t>
            </w:r>
            <w:r>
              <w:rPr>
                <w:rFonts w:ascii="Times" w:hAnsi="Times" w:cs="Times"/>
                <w:sz w:val="25"/>
                <w:szCs w:val="25"/>
              </w:rPr>
              <w:t>nebol</w:t>
            </w:r>
            <w:r w:rsidR="00574ECC">
              <w:rPr>
                <w:rFonts w:ascii="Times" w:hAnsi="Times" w:cs="Times"/>
                <w:sz w:val="25"/>
                <w:szCs w:val="25"/>
              </w:rPr>
              <w:t>i</w:t>
            </w:r>
            <w:r>
              <w:rPr>
                <w:rFonts w:ascii="Times" w:hAnsi="Times" w:cs="Times"/>
                <w:sz w:val="25"/>
                <w:szCs w:val="25"/>
              </w:rPr>
              <w:t xml:space="preserve"> </w:t>
            </w:r>
            <w:r w:rsidR="00574ECC">
              <w:rPr>
                <w:rFonts w:ascii="Times" w:hAnsi="Times" w:cs="Times"/>
                <w:sz w:val="25"/>
                <w:szCs w:val="25"/>
              </w:rPr>
              <w:t>urče</w:t>
            </w:r>
            <w:r>
              <w:rPr>
                <w:rFonts w:ascii="Times" w:hAnsi="Times" w:cs="Times"/>
                <w:sz w:val="25"/>
                <w:szCs w:val="25"/>
              </w:rPr>
              <w:t>n</w:t>
            </w:r>
            <w:r w:rsidR="00574ECC">
              <w:rPr>
                <w:rFonts w:ascii="Times" w:hAnsi="Times" w:cs="Times"/>
                <w:sz w:val="25"/>
                <w:szCs w:val="25"/>
              </w:rPr>
              <w:t>é</w:t>
            </w:r>
            <w:r>
              <w:rPr>
                <w:rFonts w:ascii="Times" w:hAnsi="Times" w:cs="Times"/>
                <w:sz w:val="25"/>
                <w:szCs w:val="25"/>
              </w:rPr>
              <w:t>.</w:t>
            </w:r>
          </w:p>
        </w:tc>
      </w:tr>
      <w:tr w:rsidR="00826EF8" w14:paraId="2BADB5FA" w14:textId="77777777">
        <w:trPr>
          <w:divId w:val="566385032"/>
          <w:jc w:val="center"/>
        </w:trPr>
        <w:tc>
          <w:tcPr>
            <w:tcW w:w="0" w:type="auto"/>
            <w:tcBorders>
              <w:top w:val="nil"/>
              <w:left w:val="nil"/>
              <w:bottom w:val="nil"/>
              <w:right w:val="nil"/>
            </w:tcBorders>
            <w:hideMark/>
          </w:tcPr>
          <w:p w14:paraId="3E3A0765" w14:textId="77777777" w:rsidR="00826EF8" w:rsidRDefault="00826EF8" w:rsidP="003B59A7">
            <w:pPr>
              <w:spacing w:after="250"/>
              <w:jc w:val="both"/>
              <w:rPr>
                <w:rFonts w:ascii="Times" w:hAnsi="Times" w:cs="Times"/>
                <w:sz w:val="25"/>
                <w:szCs w:val="25"/>
              </w:rPr>
            </w:pPr>
          </w:p>
        </w:tc>
        <w:tc>
          <w:tcPr>
            <w:tcW w:w="0" w:type="auto"/>
            <w:tcBorders>
              <w:top w:val="nil"/>
              <w:left w:val="nil"/>
              <w:bottom w:val="nil"/>
              <w:right w:val="nil"/>
            </w:tcBorders>
            <w:hideMark/>
          </w:tcPr>
          <w:p w14:paraId="533A78EB" w14:textId="77777777" w:rsidR="00826EF8" w:rsidRDefault="00826EF8" w:rsidP="003B59A7">
            <w:pPr>
              <w:jc w:val="both"/>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053DB74D" w14:textId="77777777" w:rsidR="00826EF8" w:rsidRDefault="00826EF8" w:rsidP="003B59A7">
            <w:pPr>
              <w:spacing w:after="250"/>
              <w:jc w:val="both"/>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826EF8" w14:paraId="63826668" w14:textId="77777777">
        <w:trPr>
          <w:divId w:val="566385032"/>
          <w:jc w:val="center"/>
        </w:trPr>
        <w:tc>
          <w:tcPr>
            <w:tcW w:w="0" w:type="auto"/>
            <w:tcBorders>
              <w:top w:val="nil"/>
              <w:left w:val="nil"/>
              <w:bottom w:val="nil"/>
              <w:right w:val="nil"/>
            </w:tcBorders>
            <w:hideMark/>
          </w:tcPr>
          <w:p w14:paraId="422B09B8" w14:textId="77777777" w:rsidR="00826EF8" w:rsidRDefault="00826EF8" w:rsidP="003B59A7">
            <w:pPr>
              <w:spacing w:after="250"/>
              <w:jc w:val="both"/>
              <w:rPr>
                <w:rFonts w:ascii="Times" w:hAnsi="Times" w:cs="Times"/>
                <w:sz w:val="25"/>
                <w:szCs w:val="25"/>
              </w:rPr>
            </w:pPr>
          </w:p>
        </w:tc>
        <w:tc>
          <w:tcPr>
            <w:tcW w:w="0" w:type="auto"/>
            <w:tcBorders>
              <w:top w:val="nil"/>
              <w:left w:val="nil"/>
              <w:bottom w:val="nil"/>
              <w:right w:val="nil"/>
            </w:tcBorders>
            <w:hideMark/>
          </w:tcPr>
          <w:p w14:paraId="08209FC7" w14:textId="77777777" w:rsidR="00826EF8" w:rsidRDefault="00826EF8" w:rsidP="003B59A7">
            <w:pPr>
              <w:jc w:val="both"/>
              <w:rPr>
                <w:sz w:val="20"/>
                <w:szCs w:val="20"/>
              </w:rPr>
            </w:pPr>
          </w:p>
        </w:tc>
        <w:tc>
          <w:tcPr>
            <w:tcW w:w="0" w:type="auto"/>
            <w:tcBorders>
              <w:top w:val="nil"/>
              <w:left w:val="nil"/>
              <w:bottom w:val="nil"/>
              <w:right w:val="nil"/>
            </w:tcBorders>
            <w:vAlign w:val="center"/>
            <w:hideMark/>
          </w:tcPr>
          <w:p w14:paraId="669E5727" w14:textId="77777777" w:rsidR="00826EF8" w:rsidRDefault="00826EF8" w:rsidP="003B59A7">
            <w:pPr>
              <w:spacing w:after="250"/>
              <w:jc w:val="both"/>
              <w:rPr>
                <w:rFonts w:ascii="Times" w:hAnsi="Times" w:cs="Times"/>
                <w:sz w:val="25"/>
                <w:szCs w:val="25"/>
              </w:rPr>
            </w:pPr>
            <w:r>
              <w:rPr>
                <w:rFonts w:ascii="Times" w:hAnsi="Times" w:cs="Times"/>
                <w:sz w:val="25"/>
                <w:szCs w:val="25"/>
              </w:rPr>
              <w:t>Proti Slovenskej republike nebolo začaté konanie v rámci „EÚ Pilot“, nebol začatý postup EK ani nebolo začaté konanie Súdneho dvora EÚ proti SR podľa čl. 258 až 260 Zmluvy o fungovaní Európskej únie.</w:t>
            </w:r>
            <w:r>
              <w:rPr>
                <w:rFonts w:ascii="Times" w:hAnsi="Times" w:cs="Times"/>
                <w:sz w:val="25"/>
                <w:szCs w:val="25"/>
              </w:rPr>
              <w:br/>
            </w:r>
          </w:p>
        </w:tc>
      </w:tr>
      <w:tr w:rsidR="00826EF8" w14:paraId="62EE2D6B" w14:textId="77777777">
        <w:trPr>
          <w:divId w:val="566385032"/>
          <w:jc w:val="center"/>
        </w:trPr>
        <w:tc>
          <w:tcPr>
            <w:tcW w:w="0" w:type="auto"/>
            <w:tcBorders>
              <w:top w:val="nil"/>
              <w:left w:val="nil"/>
              <w:bottom w:val="nil"/>
              <w:right w:val="nil"/>
            </w:tcBorders>
            <w:hideMark/>
          </w:tcPr>
          <w:p w14:paraId="1C9F8B8F" w14:textId="77777777" w:rsidR="00826EF8" w:rsidRDefault="00826EF8" w:rsidP="003B59A7">
            <w:pPr>
              <w:spacing w:after="250"/>
              <w:jc w:val="both"/>
              <w:rPr>
                <w:rFonts w:ascii="Times" w:hAnsi="Times" w:cs="Times"/>
                <w:sz w:val="25"/>
                <w:szCs w:val="25"/>
              </w:rPr>
            </w:pPr>
          </w:p>
        </w:tc>
        <w:tc>
          <w:tcPr>
            <w:tcW w:w="0" w:type="auto"/>
            <w:tcBorders>
              <w:top w:val="nil"/>
              <w:left w:val="nil"/>
              <w:bottom w:val="nil"/>
              <w:right w:val="nil"/>
            </w:tcBorders>
            <w:hideMark/>
          </w:tcPr>
          <w:p w14:paraId="2FB9B661" w14:textId="77777777" w:rsidR="00826EF8" w:rsidRDefault="00826EF8" w:rsidP="003B59A7">
            <w:pPr>
              <w:jc w:val="both"/>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02968162" w14:textId="77777777" w:rsidR="00826EF8" w:rsidRDefault="00826EF8" w:rsidP="003B59A7">
            <w:pPr>
              <w:spacing w:after="250"/>
              <w:jc w:val="both"/>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826EF8" w14:paraId="791E2C94" w14:textId="77777777">
        <w:trPr>
          <w:divId w:val="566385032"/>
          <w:jc w:val="center"/>
        </w:trPr>
        <w:tc>
          <w:tcPr>
            <w:tcW w:w="0" w:type="auto"/>
            <w:tcBorders>
              <w:top w:val="nil"/>
              <w:left w:val="nil"/>
              <w:bottom w:val="nil"/>
              <w:right w:val="nil"/>
            </w:tcBorders>
            <w:hideMark/>
          </w:tcPr>
          <w:p w14:paraId="66515124" w14:textId="77777777" w:rsidR="00826EF8" w:rsidRDefault="00826EF8" w:rsidP="003B59A7">
            <w:pPr>
              <w:spacing w:after="250"/>
              <w:jc w:val="both"/>
              <w:rPr>
                <w:rFonts w:ascii="Times" w:hAnsi="Times" w:cs="Times"/>
                <w:sz w:val="25"/>
                <w:szCs w:val="25"/>
              </w:rPr>
            </w:pPr>
          </w:p>
        </w:tc>
        <w:tc>
          <w:tcPr>
            <w:tcW w:w="0" w:type="auto"/>
            <w:tcBorders>
              <w:top w:val="nil"/>
              <w:left w:val="nil"/>
              <w:bottom w:val="nil"/>
              <w:right w:val="nil"/>
            </w:tcBorders>
            <w:hideMark/>
          </w:tcPr>
          <w:p w14:paraId="58A2B8CE" w14:textId="77777777" w:rsidR="00826EF8" w:rsidRDefault="00826EF8" w:rsidP="003B59A7">
            <w:pPr>
              <w:jc w:val="both"/>
              <w:rPr>
                <w:sz w:val="20"/>
                <w:szCs w:val="20"/>
              </w:rPr>
            </w:pPr>
          </w:p>
        </w:tc>
        <w:tc>
          <w:tcPr>
            <w:tcW w:w="0" w:type="auto"/>
            <w:tcBorders>
              <w:top w:val="nil"/>
              <w:left w:val="nil"/>
              <w:bottom w:val="nil"/>
              <w:right w:val="nil"/>
            </w:tcBorders>
            <w:vAlign w:val="center"/>
            <w:hideMark/>
          </w:tcPr>
          <w:p w14:paraId="759891CC" w14:textId="77777777" w:rsidR="00826EF8" w:rsidRDefault="00826EF8" w:rsidP="003B59A7">
            <w:pPr>
              <w:spacing w:after="250"/>
              <w:jc w:val="both"/>
              <w:rPr>
                <w:rFonts w:ascii="Times" w:hAnsi="Times" w:cs="Times"/>
                <w:sz w:val="25"/>
                <w:szCs w:val="25"/>
              </w:rPr>
            </w:pPr>
            <w:r>
              <w:rPr>
                <w:rFonts w:ascii="Times" w:hAnsi="Times" w:cs="Times"/>
                <w:sz w:val="25"/>
                <w:szCs w:val="25"/>
              </w:rPr>
              <w:t>Bezpredmetné. Nariadenia a vykonávacie nariadenia sú záväzné v celom rozsahu a priamo uplatniteľné vo všetkých členských štátoch.</w:t>
            </w:r>
            <w:r>
              <w:rPr>
                <w:rFonts w:ascii="Times" w:hAnsi="Times" w:cs="Times"/>
                <w:sz w:val="25"/>
                <w:szCs w:val="25"/>
              </w:rPr>
              <w:br/>
            </w:r>
          </w:p>
        </w:tc>
      </w:tr>
      <w:tr w:rsidR="00826EF8" w14:paraId="79EDEF3B" w14:textId="77777777">
        <w:trPr>
          <w:divId w:val="566385032"/>
          <w:jc w:val="center"/>
        </w:trPr>
        <w:tc>
          <w:tcPr>
            <w:tcW w:w="0" w:type="auto"/>
            <w:tcBorders>
              <w:top w:val="nil"/>
              <w:left w:val="nil"/>
              <w:bottom w:val="nil"/>
              <w:right w:val="nil"/>
            </w:tcBorders>
            <w:hideMark/>
          </w:tcPr>
          <w:p w14:paraId="15A11225" w14:textId="77777777" w:rsidR="00826EF8" w:rsidRDefault="00826EF8" w:rsidP="003B59A7">
            <w:pPr>
              <w:jc w:val="both"/>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5F41C9F7" w14:textId="77777777" w:rsidR="00826EF8" w:rsidRDefault="00826EF8" w:rsidP="003B59A7">
            <w:pPr>
              <w:spacing w:after="250"/>
              <w:jc w:val="both"/>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826EF8" w14:paraId="7B679D24" w14:textId="77777777">
        <w:trPr>
          <w:divId w:val="566385032"/>
          <w:jc w:val="center"/>
        </w:trPr>
        <w:tc>
          <w:tcPr>
            <w:tcW w:w="0" w:type="auto"/>
            <w:tcBorders>
              <w:top w:val="nil"/>
              <w:left w:val="nil"/>
              <w:bottom w:val="nil"/>
              <w:right w:val="nil"/>
            </w:tcBorders>
            <w:hideMark/>
          </w:tcPr>
          <w:p w14:paraId="37FF96DB" w14:textId="77777777" w:rsidR="00826EF8" w:rsidRDefault="00826EF8" w:rsidP="003B59A7">
            <w:pPr>
              <w:spacing w:after="250"/>
              <w:jc w:val="both"/>
              <w:rPr>
                <w:rFonts w:ascii="Times" w:hAnsi="Times" w:cs="Times"/>
                <w:b/>
                <w:bCs/>
                <w:sz w:val="25"/>
                <w:szCs w:val="25"/>
              </w:rPr>
            </w:pPr>
          </w:p>
        </w:tc>
        <w:tc>
          <w:tcPr>
            <w:tcW w:w="0" w:type="auto"/>
            <w:tcBorders>
              <w:top w:val="nil"/>
              <w:left w:val="nil"/>
              <w:bottom w:val="nil"/>
              <w:right w:val="nil"/>
            </w:tcBorders>
            <w:hideMark/>
          </w:tcPr>
          <w:p w14:paraId="634B231A" w14:textId="77777777" w:rsidR="00826EF8" w:rsidRDefault="00826EF8" w:rsidP="003B59A7">
            <w:pPr>
              <w:jc w:val="both"/>
              <w:rPr>
                <w:sz w:val="20"/>
                <w:szCs w:val="20"/>
              </w:rPr>
            </w:pPr>
          </w:p>
        </w:tc>
        <w:tc>
          <w:tcPr>
            <w:tcW w:w="0" w:type="auto"/>
            <w:tcBorders>
              <w:top w:val="nil"/>
              <w:left w:val="nil"/>
              <w:bottom w:val="nil"/>
              <w:right w:val="nil"/>
            </w:tcBorders>
            <w:vAlign w:val="center"/>
            <w:hideMark/>
          </w:tcPr>
          <w:p w14:paraId="548E8A97" w14:textId="77777777" w:rsidR="00826EF8" w:rsidRDefault="00826EF8" w:rsidP="003B59A7">
            <w:pPr>
              <w:spacing w:after="250"/>
              <w:jc w:val="both"/>
              <w:rPr>
                <w:rFonts w:ascii="Times" w:hAnsi="Times" w:cs="Times"/>
                <w:sz w:val="25"/>
                <w:szCs w:val="25"/>
              </w:rPr>
            </w:pPr>
            <w:r>
              <w:rPr>
                <w:rFonts w:ascii="Times" w:hAnsi="Times" w:cs="Times"/>
                <w:sz w:val="25"/>
                <w:szCs w:val="25"/>
              </w:rPr>
              <w:t>úplne</w:t>
            </w:r>
          </w:p>
        </w:tc>
      </w:tr>
    </w:tbl>
    <w:p w14:paraId="0FF88273" w14:textId="441E3C4B" w:rsidR="003D0DA4" w:rsidRPr="00117A7E" w:rsidRDefault="003D0DA4" w:rsidP="00873C91">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6C199F"/>
    <w:multiLevelType w:val="hybridMultilevel"/>
    <w:tmpl w:val="44FCD71E"/>
    <w:lvl w:ilvl="0" w:tplc="A1801AA4">
      <w:start w:val="2"/>
      <w:numFmt w:val="bullet"/>
      <w:lvlText w:val="-"/>
      <w:lvlJc w:val="left"/>
      <w:pPr>
        <w:ind w:left="360" w:hanging="360"/>
      </w:pPr>
      <w:rPr>
        <w:rFonts w:ascii="Times New Roman" w:eastAsia="Times New Roman"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D25648"/>
    <w:multiLevelType w:val="hybridMultilevel"/>
    <w:tmpl w:val="F7DE9A9C"/>
    <w:lvl w:ilvl="0" w:tplc="19BCC158">
      <w:numFmt w:val="bullet"/>
      <w:lvlText w:val="-"/>
      <w:lvlJc w:val="left"/>
      <w:pPr>
        <w:ind w:left="720" w:hanging="360"/>
      </w:pPr>
      <w:rPr>
        <w:rFonts w:ascii="Times" w:eastAsia="Times New Roman" w:hAnsi="Times" w:cs="Times"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A27DAB"/>
    <w:multiLevelType w:val="hybridMultilevel"/>
    <w:tmpl w:val="E8DA78D4"/>
    <w:lvl w:ilvl="0" w:tplc="00B473CA">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33507B"/>
    <w:multiLevelType w:val="hybridMultilevel"/>
    <w:tmpl w:val="8880F8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E8782B"/>
    <w:multiLevelType w:val="hybridMultilevel"/>
    <w:tmpl w:val="9106FB82"/>
    <w:lvl w:ilvl="0" w:tplc="DFF08BB2">
      <w:numFmt w:val="bullet"/>
      <w:lvlText w:val="-"/>
      <w:lvlJc w:val="left"/>
      <w:pPr>
        <w:ind w:left="720" w:hanging="360"/>
      </w:pPr>
      <w:rPr>
        <w:rFonts w:ascii="Times" w:eastAsia="Times New Roman" w:hAnsi="Times" w:cs="Times"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EEC7BFE"/>
    <w:multiLevelType w:val="hybridMultilevel"/>
    <w:tmpl w:val="924620A2"/>
    <w:lvl w:ilvl="0" w:tplc="36826260">
      <w:start w:val="1"/>
      <w:numFmt w:val="lowerLetter"/>
      <w:lvlText w:val="%1)"/>
      <w:lvlJc w:val="left"/>
      <w:pPr>
        <w:ind w:left="360" w:hanging="360"/>
      </w:pPr>
      <w:rPr>
        <w:i/>
      </w:rPr>
    </w:lvl>
    <w:lvl w:ilvl="1" w:tplc="041B0017">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5"/>
  </w:num>
  <w:num w:numId="5">
    <w:abstractNumId w:val="0"/>
  </w:num>
  <w:num w:numId="6">
    <w:abstractNumId w:val="8"/>
  </w:num>
  <w:num w:numId="7">
    <w:abstractNumId w:val="11"/>
  </w:num>
  <w:num w:numId="8">
    <w:abstractNumId w:val="12"/>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C03E4"/>
    <w:rsid w:val="000C3F51"/>
    <w:rsid w:val="000C5887"/>
    <w:rsid w:val="00117A7E"/>
    <w:rsid w:val="001D60ED"/>
    <w:rsid w:val="001F0AA3"/>
    <w:rsid w:val="001F21AE"/>
    <w:rsid w:val="0020025E"/>
    <w:rsid w:val="0023485C"/>
    <w:rsid w:val="002B14DD"/>
    <w:rsid w:val="002B3C5D"/>
    <w:rsid w:val="002E6AC0"/>
    <w:rsid w:val="003841E0"/>
    <w:rsid w:val="003B59A7"/>
    <w:rsid w:val="003D0DA4"/>
    <w:rsid w:val="00482868"/>
    <w:rsid w:val="004829C9"/>
    <w:rsid w:val="004A3CCB"/>
    <w:rsid w:val="004B1E6E"/>
    <w:rsid w:val="004E35B3"/>
    <w:rsid w:val="004E7F23"/>
    <w:rsid w:val="00574ECC"/>
    <w:rsid w:val="00596545"/>
    <w:rsid w:val="00632C56"/>
    <w:rsid w:val="006C0FA0"/>
    <w:rsid w:val="006E1D9C"/>
    <w:rsid w:val="006F3E6F"/>
    <w:rsid w:val="0070570F"/>
    <w:rsid w:val="00785F65"/>
    <w:rsid w:val="007F5B72"/>
    <w:rsid w:val="00814DF5"/>
    <w:rsid w:val="00824CCF"/>
    <w:rsid w:val="00826EF8"/>
    <w:rsid w:val="0084578D"/>
    <w:rsid w:val="00847169"/>
    <w:rsid w:val="008570D4"/>
    <w:rsid w:val="008655C8"/>
    <w:rsid w:val="00873C91"/>
    <w:rsid w:val="008E2891"/>
    <w:rsid w:val="00920552"/>
    <w:rsid w:val="00970F68"/>
    <w:rsid w:val="009C63EB"/>
    <w:rsid w:val="00A567ED"/>
    <w:rsid w:val="00AD53DC"/>
    <w:rsid w:val="00B128CD"/>
    <w:rsid w:val="00B326AA"/>
    <w:rsid w:val="00B527CF"/>
    <w:rsid w:val="00BE4FF3"/>
    <w:rsid w:val="00C12975"/>
    <w:rsid w:val="00C20963"/>
    <w:rsid w:val="00C90146"/>
    <w:rsid w:val="00CA5D08"/>
    <w:rsid w:val="00D14B99"/>
    <w:rsid w:val="00D465F6"/>
    <w:rsid w:val="00D5344B"/>
    <w:rsid w:val="00D7275F"/>
    <w:rsid w:val="00D75FDD"/>
    <w:rsid w:val="00DB3DB1"/>
    <w:rsid w:val="00DC377E"/>
    <w:rsid w:val="00DC3BFE"/>
    <w:rsid w:val="00E85F6B"/>
    <w:rsid w:val="00EC5BF8"/>
    <w:rsid w:val="00ED71EE"/>
    <w:rsid w:val="00F345F7"/>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BCA694D6-E194-4BAD-98C0-F00F4E14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0971">
      <w:bodyDiv w:val="1"/>
      <w:marLeft w:val="0"/>
      <w:marRight w:val="0"/>
      <w:marTop w:val="0"/>
      <w:marBottom w:val="0"/>
      <w:divBdr>
        <w:top w:val="none" w:sz="0" w:space="0" w:color="auto"/>
        <w:left w:val="none" w:sz="0" w:space="0" w:color="auto"/>
        <w:bottom w:val="none" w:sz="0" w:space="0" w:color="auto"/>
        <w:right w:val="none" w:sz="0" w:space="0" w:color="auto"/>
      </w:divBdr>
      <w:divsChild>
        <w:div w:id="338973085">
          <w:marLeft w:val="0"/>
          <w:marRight w:val="0"/>
          <w:marTop w:val="0"/>
          <w:marBottom w:val="0"/>
          <w:divBdr>
            <w:top w:val="none" w:sz="0" w:space="0" w:color="auto"/>
            <w:left w:val="none" w:sz="0" w:space="0" w:color="auto"/>
            <w:bottom w:val="none" w:sz="0" w:space="0" w:color="auto"/>
            <w:right w:val="none" w:sz="0" w:space="0" w:color="auto"/>
          </w:divBdr>
        </w:div>
      </w:divsChild>
    </w:div>
    <w:div w:id="566385032">
      <w:bodyDiv w:val="1"/>
      <w:marLeft w:val="0"/>
      <w:marRight w:val="0"/>
      <w:marTop w:val="0"/>
      <w:marBottom w:val="0"/>
      <w:divBdr>
        <w:top w:val="none" w:sz="0" w:space="0" w:color="auto"/>
        <w:left w:val="none" w:sz="0" w:space="0" w:color="auto"/>
        <w:bottom w:val="none" w:sz="0" w:space="0" w:color="auto"/>
        <w:right w:val="none" w:sz="0" w:space="0" w:color="auto"/>
      </w:divBdr>
    </w:div>
    <w:div w:id="715661806">
      <w:bodyDiv w:val="1"/>
      <w:marLeft w:val="0"/>
      <w:marRight w:val="0"/>
      <w:marTop w:val="0"/>
      <w:marBottom w:val="0"/>
      <w:divBdr>
        <w:top w:val="none" w:sz="0" w:space="0" w:color="auto"/>
        <w:left w:val="none" w:sz="0" w:space="0" w:color="auto"/>
        <w:bottom w:val="none" w:sz="0" w:space="0" w:color="auto"/>
        <w:right w:val="none" w:sz="0" w:space="0" w:color="auto"/>
      </w:divBdr>
      <w:divsChild>
        <w:div w:id="169561361">
          <w:marLeft w:val="0"/>
          <w:marRight w:val="0"/>
          <w:marTop w:val="0"/>
          <w:marBottom w:val="0"/>
          <w:divBdr>
            <w:top w:val="none" w:sz="0" w:space="0" w:color="auto"/>
            <w:left w:val="none" w:sz="0" w:space="0" w:color="auto"/>
            <w:bottom w:val="none" w:sz="0" w:space="0" w:color="auto"/>
            <w:right w:val="none" w:sz="0" w:space="0" w:color="auto"/>
          </w:divBdr>
        </w:div>
      </w:divsChild>
    </w:div>
    <w:div w:id="1008169371">
      <w:bodyDiv w:val="1"/>
      <w:marLeft w:val="0"/>
      <w:marRight w:val="0"/>
      <w:marTop w:val="0"/>
      <w:marBottom w:val="0"/>
      <w:divBdr>
        <w:top w:val="none" w:sz="0" w:space="0" w:color="auto"/>
        <w:left w:val="none" w:sz="0" w:space="0" w:color="auto"/>
        <w:bottom w:val="none" w:sz="0" w:space="0" w:color="auto"/>
        <w:right w:val="none" w:sz="0" w:space="0" w:color="auto"/>
      </w:divBdr>
      <w:divsChild>
        <w:div w:id="55319964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756975341">
      <w:bodyDiv w:val="1"/>
      <w:marLeft w:val="0"/>
      <w:marRight w:val="0"/>
      <w:marTop w:val="0"/>
      <w:marBottom w:val="0"/>
      <w:divBdr>
        <w:top w:val="none" w:sz="0" w:space="0" w:color="auto"/>
        <w:left w:val="none" w:sz="0" w:space="0" w:color="auto"/>
        <w:bottom w:val="none" w:sz="0" w:space="0" w:color="auto"/>
        <w:right w:val="none" w:sz="0" w:space="0" w:color="auto"/>
      </w:divBdr>
      <w:divsChild>
        <w:div w:id="231043763">
          <w:marLeft w:val="0"/>
          <w:marRight w:val="0"/>
          <w:marTop w:val="0"/>
          <w:marBottom w:val="0"/>
          <w:divBdr>
            <w:top w:val="none" w:sz="0" w:space="0" w:color="auto"/>
            <w:left w:val="none" w:sz="0" w:space="0" w:color="auto"/>
            <w:bottom w:val="none" w:sz="0" w:space="0" w:color="auto"/>
            <w:right w:val="none" w:sz="0" w:space="0" w:color="auto"/>
          </w:divBdr>
        </w:div>
      </w:divsChild>
    </w:div>
    <w:div w:id="1959674469">
      <w:bodyDiv w:val="1"/>
      <w:marLeft w:val="0"/>
      <w:marRight w:val="0"/>
      <w:marTop w:val="0"/>
      <w:marBottom w:val="0"/>
      <w:divBdr>
        <w:top w:val="none" w:sz="0" w:space="0" w:color="auto"/>
        <w:left w:val="none" w:sz="0" w:space="0" w:color="auto"/>
        <w:bottom w:val="none" w:sz="0" w:space="0" w:color="auto"/>
        <w:right w:val="none" w:sz="0" w:space="0" w:color="auto"/>
      </w:divBdr>
      <w:divsChild>
        <w:div w:id="192507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ODB2021_doložka-zlučiteľnosti"/>
    <f:field ref="objsubject" par="" edit="true" text=""/>
    <f:field ref="objcreatedby" par="" text="Bokol, Viliam, Mgr."/>
    <f:field ref="objcreatedat" par="" text="9.4.2019 14:26:51"/>
    <f:field ref="objchangedby" par="" text="Administrator, System"/>
    <f:field ref="objmodifiedat" par="" text="9.4.2019 14:26: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CD5977-1FB3-4DFD-89B2-EA55C581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648</Words>
  <Characters>3695</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Bokol Viliam</cp:lastModifiedBy>
  <cp:revision>5</cp:revision>
  <dcterms:created xsi:type="dcterms:W3CDTF">2019-04-07T21:22:00Z</dcterms:created>
  <dcterms:modified xsi:type="dcterms:W3CDTF">2019-04-08T16:29:00Z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COO.2145.1000.3.3296064</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Štatistiky_x000d__x000a_Ochrana osobných údajov_x000d__x000a_Miestna štátna správa_x000d__x000a_Správne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Ing. Alexander Ballek</vt:lpwstr>
  </property>
  <property name="FSC#SKEDITIONSLOVLEX@103.510:nazovpredpis" pid="12"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cislopredpis" pid="13" fmtid="{D5CDD505-2E9C-101B-9397-08002B2CF9AE}">
    <vt:lpwstr/>
  </property>
  <property name="FSC#SKEDITIONSLOVLEX@103.510:zodpinstitucia" pid="14" fmtid="{D5CDD505-2E9C-101B-9397-08002B2CF9AE}">
    <vt:lpwstr>Štatistický úrad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18"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rezortcislopredpis" pid="19" fmtid="{D5CDD505-2E9C-101B-9397-08002B2CF9AE}">
    <vt:lpwstr>10001-0029/2019</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LP/2019/139</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upravený v práve Európskej únie</vt:lpwstr>
  </property>
  <property name="FSC#SKEDITIONSLOVLEX@103.510:AttrStrListDocPropPrimarnePravoEU" pid="38" fmtid="{D5CDD505-2E9C-101B-9397-08002B2CF9AE}">
    <vt:lpwstr>-_x0009_čl. 159 a 175 Zmluvy o fungovaní Európskej únie.</vt:lpwstr>
  </property>
  <property name="FSC#SKEDITIONSLOVLEX@103.510:AttrStrListDocPropSekundarneLegPravoPO" pid="39"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c)_x0009_nie je upravený v judikatúre Súdneho dvora Európskej únie</vt:lpwstr>
  </property>
  <property name="FSC#SKEDITIONSLOVLEX@103.510:AttrStrListDocPropLehotaPrebratieSmernice" pid="44" fmtid="{D5CDD505-2E9C-101B-9397-08002B2CF9AE}">
    <vt:lpwstr>Bezpredmetné vzhľadom na druh právnych aktov Európskej únie.</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47"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5. 2. 2019</vt:lpwstr>
  </property>
  <property name="FSC#SKEDITIONSLOVLEX@103.510:AttrDateDocPropUkonceniePKK" pid="51" fmtid="{D5CDD505-2E9C-101B-9397-08002B2CF9AE}">
    <vt:lpwstr>19. 2. 2019</vt:lpwstr>
  </property>
  <property name="FSC#SKEDITIONSLOVLEX@103.510:AttrStrDocPropVplyvRozpocetVS" pid="52" fmtid="{D5CDD505-2E9C-101B-9397-08002B2CF9AE}">
    <vt:lpwstr>Pozitívne_x000d__x000a_Negatívne</vt:lpwstr>
  </property>
  <property name="FSC#SKEDITIONSLOVLEX@103.510:AttrStrDocPropVplyvPodnikatelskeProstr" pid="53" fmtid="{D5CDD505-2E9C-101B-9397-08002B2CF9AE}">
    <vt:lpwstr>Pozitívne_x000d__x000a_Negatívne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Pozitívne</vt:lpwstr>
  </property>
  <property name="FSC#SKEDITIONSLOVLEX@103.510:AttrStrListDocPropPoznamkaVplyv" pid="57"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58"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59"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29" fmtid="{D5CDD505-2E9C-101B-9397-08002B2CF9AE}">
    <vt:lpwstr>predseda Národnej rady SR</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dalsipredkladatel" pid="132" fmtid="{D5CDD505-2E9C-101B-9397-08002B2CF9AE}">
    <vt:lpwstr/>
  </property>
  <property name="FSC#SKEDITIONSLOVLEX@103.510:spravaucastverej" pid="133"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funkciaPred" pid="134" fmtid="{D5CDD505-2E9C-101B-9397-08002B2CF9AE}">
    <vt:lpwstr>legislatívec</vt:lpwstr>
  </property>
  <property name="FSC#SKEDITIONSLOVLEX@103.510:funkciaPredAkuzativ" pid="135" fmtid="{D5CDD505-2E9C-101B-9397-08002B2CF9AE}">
    <vt:lpwstr>legislatívca</vt:lpwstr>
  </property>
  <property name="FSC#SKEDITIONSLOVLEX@103.510:funkciaPredDativ" pid="136" fmtid="{D5CDD505-2E9C-101B-9397-08002B2CF9AE}">
    <vt:lpwstr>legislatívcovi</vt:lpwstr>
  </property>
  <property name="FSC#SKEDITIONSLOVLEX@103.510:funkciaZodpPred" pid="137" fmtid="{D5CDD505-2E9C-101B-9397-08002B2CF9AE}">
    <vt:lpwstr>Predseda</vt:lpwstr>
  </property>
  <property name="FSC#SKEDITIONSLOVLEX@103.510:funkciaZodpPredAkuzativ" pid="138" fmtid="{D5CDD505-2E9C-101B-9397-08002B2CF9AE}">
    <vt:lpwstr>Predsedu</vt:lpwstr>
  </property>
  <property name="FSC#SKEDITIONSLOVLEX@103.510:funkciaZodpPredDativ" pid="139" fmtid="{D5CDD505-2E9C-101B-9397-08002B2CF9AE}">
    <vt:lpwstr>Predsedovi</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Ing. Alexander Ballek_x000d__x000a_Predseda</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9. 4. 2019</vt:lpwstr>
  </property>
</Properties>
</file>