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15" w:rsidRDefault="008A5515" w:rsidP="008A5515">
      <w:pPr>
        <w:spacing w:before="100" w:beforeAutospacing="1" w:after="100" w:afterAutospacing="1" w:line="276" w:lineRule="auto"/>
        <w:jc w:val="center"/>
        <w:rPr>
          <w:rFonts w:ascii="Times New Roman" w:hAnsi="Times New Roman" w:cs="Times New Roman"/>
          <w:b/>
          <w:sz w:val="24"/>
          <w:szCs w:val="24"/>
        </w:rPr>
      </w:pPr>
      <w:r w:rsidRPr="0088003E">
        <w:rPr>
          <w:rFonts w:ascii="Times New Roman" w:hAnsi="Times New Roman" w:cs="Times New Roman"/>
          <w:b/>
          <w:sz w:val="24"/>
          <w:szCs w:val="24"/>
        </w:rPr>
        <w:t>TÉZY OPATRENIA ŠTATISTICKÉHO ÚRADU SLOVENSKEJ REPUBLKIKY</w:t>
      </w:r>
    </w:p>
    <w:p w:rsidR="008A5515" w:rsidRPr="0088003E" w:rsidRDefault="008A5515" w:rsidP="008A5515">
      <w:pPr>
        <w:spacing w:before="100" w:beforeAutospacing="1" w:after="100" w:afterAutospacing="1" w:line="276" w:lineRule="auto"/>
        <w:jc w:val="center"/>
        <w:rPr>
          <w:rFonts w:ascii="Times New Roman" w:hAnsi="Times New Roman" w:cs="Times New Roman"/>
          <w:b/>
          <w:sz w:val="24"/>
          <w:szCs w:val="24"/>
        </w:rPr>
      </w:pPr>
      <w:r w:rsidRPr="0088003E">
        <w:rPr>
          <w:rFonts w:ascii="Times New Roman" w:hAnsi="Times New Roman" w:cs="Times New Roman"/>
          <w:b/>
          <w:sz w:val="24"/>
          <w:szCs w:val="24"/>
        </w:rPr>
        <w:t xml:space="preserve">podľa § </w:t>
      </w:r>
      <w:r>
        <w:rPr>
          <w:rFonts w:ascii="Times New Roman" w:hAnsi="Times New Roman" w:cs="Times New Roman"/>
          <w:b/>
          <w:sz w:val="24"/>
          <w:szCs w:val="24"/>
        </w:rPr>
        <w:t>1</w:t>
      </w:r>
      <w:r w:rsidR="00AA658F">
        <w:rPr>
          <w:rFonts w:ascii="Times New Roman" w:hAnsi="Times New Roman" w:cs="Times New Roman"/>
          <w:b/>
          <w:sz w:val="24"/>
          <w:szCs w:val="24"/>
        </w:rPr>
        <w:t>5</w:t>
      </w:r>
      <w:r w:rsidRPr="0088003E">
        <w:rPr>
          <w:rFonts w:ascii="Times New Roman" w:hAnsi="Times New Roman" w:cs="Times New Roman"/>
          <w:b/>
          <w:sz w:val="24"/>
          <w:szCs w:val="24"/>
        </w:rPr>
        <w:t xml:space="preserve"> ods. </w:t>
      </w:r>
      <w:r w:rsidR="00AA658F">
        <w:rPr>
          <w:rFonts w:ascii="Times New Roman" w:hAnsi="Times New Roman" w:cs="Times New Roman"/>
          <w:b/>
          <w:sz w:val="24"/>
          <w:szCs w:val="24"/>
        </w:rPr>
        <w:t>3</w:t>
      </w:r>
      <w:r w:rsidRPr="0088003E">
        <w:rPr>
          <w:rFonts w:ascii="Times New Roman" w:hAnsi="Times New Roman" w:cs="Times New Roman"/>
          <w:b/>
          <w:sz w:val="24"/>
          <w:szCs w:val="24"/>
        </w:rPr>
        <w:t xml:space="preserve"> návrhu zákona o sčítaní obyvateľov, domov a bytov v roku 2021 a</w:t>
      </w:r>
      <w:r w:rsidR="00AA658F">
        <w:rPr>
          <w:rFonts w:ascii="Times New Roman" w:hAnsi="Times New Roman" w:cs="Times New Roman"/>
          <w:b/>
          <w:sz w:val="24"/>
          <w:szCs w:val="24"/>
        </w:rPr>
        <w:t> ktorým sa mení zákon č. 595/2003 Z. z. o dani z príjmov v znení neskorších predpisov a ktorým sa dopĺňajú niektoré zákony</w:t>
      </w:r>
    </w:p>
    <w:p w:rsidR="008A5515" w:rsidRDefault="008A5515" w:rsidP="008A5515">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Názov a úvodná veta opatrenia:</w:t>
      </w:r>
    </w:p>
    <w:p w:rsidR="008A5515" w:rsidRPr="0096714F" w:rsidRDefault="008A5515" w:rsidP="0096714F">
      <w:pPr>
        <w:spacing w:after="120" w:line="276" w:lineRule="auto"/>
        <w:jc w:val="center"/>
        <w:rPr>
          <w:rFonts w:ascii="Times New Roman" w:hAnsi="Times New Roman" w:cs="Times New Roman"/>
          <w:sz w:val="24"/>
          <w:szCs w:val="24"/>
        </w:rPr>
      </w:pPr>
      <w:r w:rsidRPr="0096714F">
        <w:rPr>
          <w:rFonts w:ascii="Times New Roman" w:hAnsi="Times New Roman" w:cs="Times New Roman"/>
          <w:sz w:val="24"/>
          <w:szCs w:val="24"/>
        </w:rPr>
        <w:t>OPATRENIE</w:t>
      </w:r>
    </w:p>
    <w:p w:rsidR="008A5515" w:rsidRPr="0096714F" w:rsidRDefault="008A5515" w:rsidP="0096714F">
      <w:pPr>
        <w:spacing w:after="120" w:line="276" w:lineRule="auto"/>
        <w:jc w:val="center"/>
        <w:rPr>
          <w:rFonts w:ascii="Times New Roman" w:hAnsi="Times New Roman" w:cs="Times New Roman"/>
          <w:sz w:val="24"/>
          <w:szCs w:val="24"/>
        </w:rPr>
      </w:pPr>
      <w:r w:rsidRPr="0096714F">
        <w:rPr>
          <w:rFonts w:ascii="Times New Roman" w:hAnsi="Times New Roman" w:cs="Times New Roman"/>
          <w:sz w:val="24"/>
          <w:szCs w:val="24"/>
        </w:rPr>
        <w:t>Štatistického úradu Slovenskej republiky</w:t>
      </w:r>
    </w:p>
    <w:p w:rsidR="008A5515" w:rsidRPr="0096714F" w:rsidRDefault="008A5515" w:rsidP="0096714F">
      <w:pPr>
        <w:spacing w:after="120" w:line="276" w:lineRule="auto"/>
        <w:jc w:val="center"/>
        <w:rPr>
          <w:rFonts w:ascii="Times New Roman" w:hAnsi="Times New Roman" w:cs="Times New Roman"/>
          <w:sz w:val="24"/>
          <w:szCs w:val="24"/>
        </w:rPr>
      </w:pPr>
      <w:r w:rsidRPr="0096714F">
        <w:rPr>
          <w:rFonts w:ascii="Times New Roman" w:hAnsi="Times New Roman" w:cs="Times New Roman"/>
          <w:sz w:val="24"/>
          <w:szCs w:val="24"/>
        </w:rPr>
        <w:t>z ...20</w:t>
      </w:r>
      <w:r w:rsidR="00265080">
        <w:rPr>
          <w:rFonts w:ascii="Times New Roman" w:hAnsi="Times New Roman" w:cs="Times New Roman"/>
          <w:sz w:val="24"/>
          <w:szCs w:val="24"/>
        </w:rPr>
        <w:t>20</w:t>
      </w:r>
      <w:r w:rsidRPr="0096714F">
        <w:rPr>
          <w:rFonts w:ascii="Times New Roman" w:hAnsi="Times New Roman" w:cs="Times New Roman"/>
          <w:sz w:val="24"/>
          <w:szCs w:val="24"/>
        </w:rPr>
        <w:t>,</w:t>
      </w:r>
    </w:p>
    <w:p w:rsidR="00EF6969" w:rsidRPr="0096714F" w:rsidRDefault="00D337FD" w:rsidP="0096714F">
      <w:pPr>
        <w:spacing w:after="360" w:line="276" w:lineRule="auto"/>
        <w:jc w:val="center"/>
        <w:rPr>
          <w:rFonts w:ascii="Times New Roman" w:hAnsi="Times New Roman" w:cs="Times New Roman"/>
          <w:sz w:val="24"/>
          <w:szCs w:val="24"/>
        </w:rPr>
      </w:pPr>
      <w:r w:rsidRPr="0096714F">
        <w:rPr>
          <w:rFonts w:ascii="Times New Roman" w:hAnsi="Times New Roman" w:cs="Times New Roman"/>
          <w:sz w:val="24"/>
          <w:szCs w:val="24"/>
        </w:rPr>
        <w:t xml:space="preserve">o </w:t>
      </w:r>
      <w:r w:rsidR="00F56F29">
        <w:rPr>
          <w:rFonts w:ascii="Times New Roman" w:hAnsi="Times New Roman" w:cs="Times New Roman"/>
          <w:sz w:val="24"/>
          <w:szCs w:val="24"/>
        </w:rPr>
        <w:t>preukaze</w:t>
      </w:r>
      <w:r w:rsidRPr="0096714F">
        <w:rPr>
          <w:rFonts w:ascii="Times New Roman" w:hAnsi="Times New Roman" w:cs="Times New Roman"/>
          <w:sz w:val="24"/>
          <w:szCs w:val="24"/>
        </w:rPr>
        <w:t xml:space="preserve"> </w:t>
      </w:r>
      <w:r w:rsidR="00C75319" w:rsidRPr="0096714F">
        <w:rPr>
          <w:rFonts w:ascii="Times New Roman" w:hAnsi="Times New Roman" w:cs="Times New Roman"/>
          <w:sz w:val="24"/>
          <w:szCs w:val="24"/>
        </w:rPr>
        <w:t xml:space="preserve">asistenta </w:t>
      </w:r>
      <w:r w:rsidRPr="0096714F">
        <w:rPr>
          <w:rFonts w:ascii="Times New Roman" w:hAnsi="Times New Roman" w:cs="Times New Roman"/>
          <w:sz w:val="24"/>
          <w:szCs w:val="24"/>
        </w:rPr>
        <w:t>sčítania</w:t>
      </w:r>
    </w:p>
    <w:p w:rsidR="00EF6969" w:rsidRPr="0096714F" w:rsidRDefault="00EF6969" w:rsidP="0096714F">
      <w:pPr>
        <w:spacing w:before="120" w:after="240" w:line="276" w:lineRule="auto"/>
        <w:jc w:val="both"/>
        <w:rPr>
          <w:rFonts w:ascii="Times New Roman" w:hAnsi="Times New Roman" w:cs="Times New Roman"/>
          <w:sz w:val="24"/>
          <w:szCs w:val="24"/>
        </w:rPr>
      </w:pPr>
      <w:r w:rsidRPr="0096714F">
        <w:rPr>
          <w:rFonts w:ascii="Times New Roman" w:hAnsi="Times New Roman" w:cs="Times New Roman"/>
          <w:sz w:val="24"/>
          <w:szCs w:val="24"/>
        </w:rPr>
        <w:t xml:space="preserve">Štatistický úrad Slovenskej republiky podľa </w:t>
      </w:r>
      <w:r w:rsidR="008A5515" w:rsidRPr="0096714F">
        <w:rPr>
          <w:rFonts w:ascii="Times New Roman" w:hAnsi="Times New Roman" w:cs="Times New Roman"/>
          <w:sz w:val="24"/>
          <w:szCs w:val="24"/>
        </w:rPr>
        <w:t>§ 1</w:t>
      </w:r>
      <w:r w:rsidR="00AA658F">
        <w:rPr>
          <w:rFonts w:ascii="Times New Roman" w:hAnsi="Times New Roman" w:cs="Times New Roman"/>
          <w:sz w:val="24"/>
          <w:szCs w:val="24"/>
        </w:rPr>
        <w:t>5</w:t>
      </w:r>
      <w:r w:rsidR="008A5515" w:rsidRPr="0096714F">
        <w:rPr>
          <w:rFonts w:ascii="Times New Roman" w:hAnsi="Times New Roman" w:cs="Times New Roman"/>
          <w:sz w:val="24"/>
          <w:szCs w:val="24"/>
        </w:rPr>
        <w:t xml:space="preserve"> ods. </w:t>
      </w:r>
      <w:r w:rsidR="00AA658F">
        <w:rPr>
          <w:rFonts w:ascii="Times New Roman" w:hAnsi="Times New Roman" w:cs="Times New Roman"/>
          <w:sz w:val="24"/>
          <w:szCs w:val="24"/>
        </w:rPr>
        <w:t>3</w:t>
      </w:r>
      <w:r w:rsidR="00C75319" w:rsidRPr="0096714F">
        <w:rPr>
          <w:rFonts w:ascii="Times New Roman" w:hAnsi="Times New Roman" w:cs="Times New Roman"/>
          <w:sz w:val="24"/>
          <w:szCs w:val="24"/>
        </w:rPr>
        <w:t xml:space="preserve"> </w:t>
      </w:r>
      <w:r w:rsidRPr="0096714F">
        <w:rPr>
          <w:rFonts w:ascii="Times New Roman" w:hAnsi="Times New Roman" w:cs="Times New Roman"/>
          <w:sz w:val="24"/>
          <w:szCs w:val="24"/>
        </w:rPr>
        <w:t xml:space="preserve">zákona č. .../2019 Z. z. o sčítaní obyvateľov, domov a bytov v roku 2021 </w:t>
      </w:r>
      <w:r w:rsidR="00AA658F" w:rsidRPr="00AA658F">
        <w:rPr>
          <w:rFonts w:ascii="Times New Roman" w:hAnsi="Times New Roman" w:cs="Times New Roman"/>
          <w:sz w:val="24"/>
          <w:szCs w:val="24"/>
        </w:rPr>
        <w:t>a ktorým sa mení zákon č. 595/2003 Z. z. o dani z</w:t>
      </w:r>
      <w:r w:rsidR="00BA45DD">
        <w:rPr>
          <w:rFonts w:ascii="Times New Roman" w:hAnsi="Times New Roman" w:cs="Times New Roman"/>
          <w:sz w:val="24"/>
          <w:szCs w:val="24"/>
        </w:rPr>
        <w:t> </w:t>
      </w:r>
      <w:r w:rsidR="00AA658F" w:rsidRPr="00AA658F">
        <w:rPr>
          <w:rFonts w:ascii="Times New Roman" w:hAnsi="Times New Roman" w:cs="Times New Roman"/>
          <w:sz w:val="24"/>
          <w:szCs w:val="24"/>
        </w:rPr>
        <w:t>príjmov v znení neskorších predpisov a ktorým sa dopĺňajú niektoré zákony</w:t>
      </w:r>
      <w:r w:rsidRPr="0096714F">
        <w:rPr>
          <w:rFonts w:ascii="Times New Roman" w:hAnsi="Times New Roman" w:cs="Times New Roman"/>
          <w:sz w:val="24"/>
          <w:szCs w:val="24"/>
        </w:rPr>
        <w:t xml:space="preserve"> (ďalej len „zákon“) ustanovuje:</w:t>
      </w:r>
    </w:p>
    <w:p w:rsidR="008A5515" w:rsidRPr="0096714F" w:rsidRDefault="00EF6969" w:rsidP="0096714F">
      <w:pPr>
        <w:shd w:val="clear" w:color="auto" w:fill="FFFFFF"/>
        <w:spacing w:before="120" w:after="120" w:line="276" w:lineRule="auto"/>
        <w:jc w:val="both"/>
        <w:rPr>
          <w:rFonts w:ascii="Times New Roman" w:hAnsi="Times New Roman" w:cs="Times New Roman"/>
          <w:sz w:val="24"/>
          <w:szCs w:val="24"/>
        </w:rPr>
      </w:pPr>
      <w:r w:rsidRPr="0096714F">
        <w:rPr>
          <w:rFonts w:ascii="Times New Roman" w:hAnsi="Times New Roman" w:cs="Times New Roman"/>
          <w:sz w:val="24"/>
          <w:szCs w:val="24"/>
        </w:rPr>
        <w:t>Predmet</w:t>
      </w:r>
      <w:r w:rsidR="008A5515" w:rsidRPr="0096714F">
        <w:rPr>
          <w:rFonts w:ascii="Times New Roman" w:hAnsi="Times New Roman" w:cs="Times New Roman"/>
          <w:sz w:val="24"/>
          <w:szCs w:val="24"/>
        </w:rPr>
        <w:t xml:space="preserve"> a obsah opatrenia:</w:t>
      </w:r>
    </w:p>
    <w:p w:rsidR="0086574D" w:rsidRDefault="00AA658F" w:rsidP="0096714F">
      <w:pPr>
        <w:shd w:val="clear" w:color="auto" w:fill="FFFFFF"/>
        <w:spacing w:before="12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Opatrenie ustanoví </w:t>
      </w:r>
      <w:bookmarkStart w:id="0" w:name="_GoBack"/>
      <w:r>
        <w:rPr>
          <w:rFonts w:ascii="Times New Roman" w:hAnsi="Times New Roman" w:cs="Times New Roman"/>
          <w:sz w:val="24"/>
          <w:szCs w:val="24"/>
        </w:rPr>
        <w:t>údaje a náležitosti, ktoré obsahuje preukaz asistenta sčítania</w:t>
      </w:r>
      <w:r w:rsidR="00BA45DD">
        <w:rPr>
          <w:rFonts w:ascii="Times New Roman" w:hAnsi="Times New Roman" w:cs="Times New Roman"/>
          <w:sz w:val="24"/>
          <w:szCs w:val="24"/>
        </w:rPr>
        <w:t>,</w:t>
      </w:r>
      <w:r>
        <w:rPr>
          <w:rFonts w:ascii="Times New Roman" w:hAnsi="Times New Roman" w:cs="Times New Roman"/>
          <w:sz w:val="24"/>
          <w:szCs w:val="24"/>
        </w:rPr>
        <w:t xml:space="preserve"> ako aj vzor preukazu asistenta sčítania</w:t>
      </w:r>
      <w:bookmarkEnd w:id="0"/>
      <w:r>
        <w:rPr>
          <w:rFonts w:ascii="Times New Roman" w:hAnsi="Times New Roman" w:cs="Times New Roman"/>
          <w:sz w:val="24"/>
          <w:szCs w:val="24"/>
        </w:rPr>
        <w:t>, ktorého grafické znázornenie a rozmery budú uvedené v prílohe opatrenia.</w:t>
      </w:r>
    </w:p>
    <w:p w:rsidR="00324452" w:rsidRDefault="00AA658F" w:rsidP="0096714F">
      <w:pPr>
        <w:shd w:val="clear" w:color="auto" w:fill="FFFFFF"/>
        <w:spacing w:before="12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Údaje a náležitosti preukazu asistenta </w:t>
      </w:r>
      <w:r w:rsidR="00324452">
        <w:rPr>
          <w:rFonts w:ascii="Times New Roman" w:hAnsi="Times New Roman" w:cs="Times New Roman"/>
          <w:sz w:val="24"/>
          <w:szCs w:val="24"/>
        </w:rPr>
        <w:t xml:space="preserve">sčítania </w:t>
      </w:r>
      <w:r>
        <w:rPr>
          <w:rFonts w:ascii="Times New Roman" w:hAnsi="Times New Roman" w:cs="Times New Roman"/>
          <w:sz w:val="24"/>
          <w:szCs w:val="24"/>
        </w:rPr>
        <w:t xml:space="preserve">sú najmä: </w:t>
      </w:r>
    </w:p>
    <w:p w:rsidR="00324452" w:rsidRPr="00324452" w:rsidRDefault="00AA658F" w:rsidP="00324452">
      <w:pPr>
        <w:pStyle w:val="Odsekzoznamu"/>
        <w:numPr>
          <w:ilvl w:val="0"/>
          <w:numId w:val="8"/>
        </w:numPr>
        <w:shd w:val="clear" w:color="auto" w:fill="FFFFFF"/>
        <w:spacing w:before="120" w:after="240" w:line="276" w:lineRule="auto"/>
        <w:jc w:val="both"/>
        <w:rPr>
          <w:rFonts w:ascii="Times New Roman" w:hAnsi="Times New Roman" w:cs="Times New Roman"/>
          <w:sz w:val="24"/>
          <w:szCs w:val="24"/>
        </w:rPr>
      </w:pPr>
      <w:r w:rsidRPr="00324452">
        <w:rPr>
          <w:rFonts w:ascii="Times New Roman" w:hAnsi="Times New Roman" w:cs="Times New Roman"/>
          <w:sz w:val="24"/>
          <w:szCs w:val="24"/>
        </w:rPr>
        <w:t>meno a priezvisko  asistenta</w:t>
      </w:r>
      <w:r w:rsidR="00324452" w:rsidRPr="00324452">
        <w:rPr>
          <w:rFonts w:ascii="Times New Roman" w:hAnsi="Times New Roman" w:cs="Times New Roman"/>
          <w:sz w:val="24"/>
          <w:szCs w:val="24"/>
        </w:rPr>
        <w:t xml:space="preserve"> sčítania</w:t>
      </w:r>
      <w:r w:rsidRPr="00324452">
        <w:rPr>
          <w:rFonts w:ascii="Times New Roman" w:hAnsi="Times New Roman" w:cs="Times New Roman"/>
          <w:sz w:val="24"/>
          <w:szCs w:val="24"/>
        </w:rPr>
        <w:t xml:space="preserve">, </w:t>
      </w:r>
    </w:p>
    <w:p w:rsidR="00324452" w:rsidRPr="00324452" w:rsidRDefault="00AA658F" w:rsidP="00324452">
      <w:pPr>
        <w:pStyle w:val="Odsekzoznamu"/>
        <w:numPr>
          <w:ilvl w:val="0"/>
          <w:numId w:val="8"/>
        </w:numPr>
        <w:shd w:val="clear" w:color="auto" w:fill="FFFFFF"/>
        <w:spacing w:before="120" w:after="240" w:line="276" w:lineRule="auto"/>
        <w:jc w:val="both"/>
        <w:rPr>
          <w:rFonts w:ascii="Times New Roman" w:hAnsi="Times New Roman" w:cs="Times New Roman"/>
          <w:sz w:val="24"/>
          <w:szCs w:val="24"/>
        </w:rPr>
      </w:pPr>
      <w:r w:rsidRPr="00324452">
        <w:rPr>
          <w:rFonts w:ascii="Times New Roman" w:hAnsi="Times New Roman" w:cs="Times New Roman"/>
          <w:sz w:val="24"/>
          <w:szCs w:val="24"/>
        </w:rPr>
        <w:t xml:space="preserve">evidenčné číslo </w:t>
      </w:r>
      <w:r w:rsidR="00324452" w:rsidRPr="00324452">
        <w:rPr>
          <w:rFonts w:ascii="Times New Roman" w:hAnsi="Times New Roman" w:cs="Times New Roman"/>
          <w:sz w:val="24"/>
          <w:szCs w:val="24"/>
        </w:rPr>
        <w:t xml:space="preserve">preukazu </w:t>
      </w:r>
      <w:r w:rsidRPr="00324452">
        <w:rPr>
          <w:rFonts w:ascii="Times New Roman" w:hAnsi="Times New Roman" w:cs="Times New Roman"/>
          <w:sz w:val="24"/>
          <w:szCs w:val="24"/>
        </w:rPr>
        <w:t>asistenta sčítania</w:t>
      </w:r>
      <w:r w:rsidR="00324452" w:rsidRPr="00324452">
        <w:rPr>
          <w:rFonts w:ascii="Times New Roman" w:hAnsi="Times New Roman" w:cs="Times New Roman"/>
          <w:sz w:val="24"/>
          <w:szCs w:val="24"/>
        </w:rPr>
        <w:t xml:space="preserve">, </w:t>
      </w:r>
    </w:p>
    <w:p w:rsidR="00324452" w:rsidRPr="00324452" w:rsidRDefault="00324452" w:rsidP="00324452">
      <w:pPr>
        <w:pStyle w:val="Odsekzoznamu"/>
        <w:numPr>
          <w:ilvl w:val="0"/>
          <w:numId w:val="8"/>
        </w:numPr>
        <w:shd w:val="clear" w:color="auto" w:fill="FFFFFF"/>
        <w:spacing w:before="120" w:after="240" w:line="276" w:lineRule="auto"/>
        <w:jc w:val="both"/>
        <w:rPr>
          <w:rFonts w:ascii="Times New Roman" w:hAnsi="Times New Roman" w:cs="Times New Roman"/>
          <w:sz w:val="24"/>
          <w:szCs w:val="24"/>
        </w:rPr>
      </w:pPr>
      <w:r w:rsidRPr="00324452">
        <w:rPr>
          <w:rFonts w:ascii="Times New Roman" w:hAnsi="Times New Roman" w:cs="Times New Roman"/>
          <w:sz w:val="24"/>
          <w:szCs w:val="24"/>
        </w:rPr>
        <w:t>identifikátor asistenta sčítania pridelený úradom</w:t>
      </w:r>
      <w:r w:rsidR="00AA658F" w:rsidRPr="00324452">
        <w:rPr>
          <w:rFonts w:ascii="Times New Roman" w:hAnsi="Times New Roman" w:cs="Times New Roman"/>
          <w:sz w:val="24"/>
          <w:szCs w:val="24"/>
        </w:rPr>
        <w:t xml:space="preserve"> podľa §</w:t>
      </w:r>
      <w:r w:rsidRPr="00324452">
        <w:rPr>
          <w:rFonts w:ascii="Times New Roman" w:hAnsi="Times New Roman" w:cs="Times New Roman"/>
          <w:sz w:val="24"/>
          <w:szCs w:val="24"/>
        </w:rPr>
        <w:t xml:space="preserve"> 14 ods. 2 písm. b) zákona, </w:t>
      </w:r>
    </w:p>
    <w:p w:rsidR="00AA658F" w:rsidRPr="00324452" w:rsidRDefault="00324452" w:rsidP="00324452">
      <w:pPr>
        <w:pStyle w:val="Odsekzoznamu"/>
        <w:numPr>
          <w:ilvl w:val="0"/>
          <w:numId w:val="8"/>
        </w:numPr>
        <w:shd w:val="clear" w:color="auto" w:fill="FFFFFF"/>
        <w:spacing w:before="120" w:after="240" w:line="276" w:lineRule="auto"/>
        <w:jc w:val="both"/>
        <w:rPr>
          <w:rFonts w:ascii="Times New Roman" w:hAnsi="Times New Roman" w:cs="Times New Roman"/>
          <w:sz w:val="24"/>
          <w:szCs w:val="24"/>
        </w:rPr>
      </w:pPr>
      <w:r w:rsidRPr="00324452">
        <w:rPr>
          <w:rFonts w:ascii="Times New Roman" w:hAnsi="Times New Roman" w:cs="Times New Roman"/>
          <w:sz w:val="24"/>
          <w:szCs w:val="24"/>
        </w:rPr>
        <w:t>meno, priezvisko, podpis, a označenie funkcie starostu obce, ktorý asistenta sčítania vymenoval</w:t>
      </w:r>
      <w:r>
        <w:rPr>
          <w:rFonts w:ascii="Times New Roman" w:hAnsi="Times New Roman" w:cs="Times New Roman"/>
          <w:sz w:val="24"/>
          <w:szCs w:val="24"/>
        </w:rPr>
        <w:t>,</w:t>
      </w:r>
    </w:p>
    <w:p w:rsidR="00324452" w:rsidRPr="00324452" w:rsidRDefault="00324452" w:rsidP="00324452">
      <w:pPr>
        <w:pStyle w:val="Odsekzoznamu"/>
        <w:numPr>
          <w:ilvl w:val="0"/>
          <w:numId w:val="8"/>
        </w:numPr>
        <w:shd w:val="clear" w:color="auto" w:fill="FFFFFF"/>
        <w:spacing w:before="120" w:after="240" w:line="276" w:lineRule="auto"/>
        <w:jc w:val="both"/>
        <w:rPr>
          <w:rFonts w:ascii="Times New Roman" w:eastAsia="Times New Roman" w:hAnsi="Times New Roman" w:cs="Times New Roman"/>
          <w:sz w:val="24"/>
          <w:szCs w:val="24"/>
          <w:lang w:eastAsia="sk-SK"/>
        </w:rPr>
      </w:pPr>
      <w:r w:rsidRPr="00324452">
        <w:rPr>
          <w:rFonts w:ascii="Times New Roman" w:hAnsi="Times New Roman" w:cs="Times New Roman"/>
          <w:sz w:val="24"/>
          <w:szCs w:val="24"/>
        </w:rPr>
        <w:t xml:space="preserve">grafické </w:t>
      </w:r>
      <w:r w:rsidR="00BA45DD">
        <w:rPr>
          <w:rFonts w:ascii="Times New Roman" w:hAnsi="Times New Roman" w:cs="Times New Roman"/>
          <w:sz w:val="24"/>
          <w:szCs w:val="24"/>
        </w:rPr>
        <w:t xml:space="preserve">a ochranné </w:t>
      </w:r>
      <w:r w:rsidRPr="00324452">
        <w:rPr>
          <w:rFonts w:ascii="Times New Roman" w:hAnsi="Times New Roman" w:cs="Times New Roman"/>
          <w:sz w:val="24"/>
          <w:szCs w:val="24"/>
        </w:rPr>
        <w:t xml:space="preserve">prvky: </w:t>
      </w:r>
      <w:r w:rsidR="00BA45DD">
        <w:rPr>
          <w:rFonts w:ascii="Times New Roman" w:hAnsi="Times New Roman" w:cs="Times New Roman"/>
          <w:sz w:val="24"/>
          <w:szCs w:val="24"/>
        </w:rPr>
        <w:t xml:space="preserve">najmä </w:t>
      </w:r>
      <w:r w:rsidRPr="00324452">
        <w:rPr>
          <w:rFonts w:ascii="Times New Roman" w:hAnsi="Times New Roman" w:cs="Times New Roman"/>
          <w:sz w:val="24"/>
          <w:szCs w:val="24"/>
        </w:rPr>
        <w:t>logo sčítania, označenie „ASISTENT SČÍTANIA“, odtlačok pečiatky obce</w:t>
      </w:r>
      <w:r w:rsidR="00BA45DD">
        <w:rPr>
          <w:rFonts w:ascii="Times New Roman" w:hAnsi="Times New Roman" w:cs="Times New Roman"/>
          <w:sz w:val="24"/>
          <w:szCs w:val="24"/>
        </w:rPr>
        <w:t>;</w:t>
      </w:r>
      <w:r w:rsidRPr="00324452">
        <w:rPr>
          <w:rFonts w:ascii="Times New Roman" w:hAnsi="Times New Roman" w:cs="Times New Roman"/>
          <w:sz w:val="24"/>
          <w:szCs w:val="24"/>
        </w:rPr>
        <w:t xml:space="preserve"> </w:t>
      </w:r>
      <w:r w:rsidR="00BA45DD">
        <w:rPr>
          <w:rFonts w:ascii="Times New Roman" w:hAnsi="Times New Roman" w:cs="Times New Roman"/>
          <w:sz w:val="24"/>
          <w:szCs w:val="24"/>
        </w:rPr>
        <w:t>súčasťou preukazu asistenta sčítania, ktorý je zamestnancom poštového podniku</w:t>
      </w:r>
      <w:r w:rsidRPr="00324452">
        <w:rPr>
          <w:rFonts w:ascii="Times New Roman" w:hAnsi="Times New Roman" w:cs="Times New Roman"/>
          <w:sz w:val="24"/>
          <w:szCs w:val="24"/>
        </w:rPr>
        <w:t>, ktorý p</w:t>
      </w:r>
      <w:r w:rsidR="00BA45DD">
        <w:rPr>
          <w:rFonts w:ascii="Times New Roman" w:hAnsi="Times New Roman" w:cs="Times New Roman"/>
          <w:sz w:val="24"/>
          <w:szCs w:val="24"/>
        </w:rPr>
        <w:t>revádzkuje</w:t>
      </w:r>
      <w:r w:rsidRPr="00324452">
        <w:rPr>
          <w:rFonts w:ascii="Times New Roman" w:hAnsi="Times New Roman" w:cs="Times New Roman"/>
          <w:sz w:val="24"/>
          <w:szCs w:val="24"/>
        </w:rPr>
        <w:t xml:space="preserve"> na základe dohody s</w:t>
      </w:r>
      <w:r w:rsidR="00BA45DD">
        <w:rPr>
          <w:rFonts w:ascii="Times New Roman" w:hAnsi="Times New Roman" w:cs="Times New Roman"/>
          <w:sz w:val="24"/>
          <w:szCs w:val="24"/>
        </w:rPr>
        <w:t>o</w:t>
      </w:r>
      <w:r w:rsidRPr="00324452">
        <w:rPr>
          <w:rFonts w:ascii="Times New Roman" w:hAnsi="Times New Roman" w:cs="Times New Roman"/>
          <w:sz w:val="24"/>
          <w:szCs w:val="24"/>
        </w:rPr>
        <w:t> Štatistickým úradom Slovenskej republiky kontaktné miesto</w:t>
      </w:r>
      <w:r w:rsidR="00BA45DD">
        <w:rPr>
          <w:rFonts w:ascii="Times New Roman" w:hAnsi="Times New Roman" w:cs="Times New Roman"/>
          <w:sz w:val="24"/>
          <w:szCs w:val="24"/>
        </w:rPr>
        <w:t>, môže byť aj označenie tohto poštového podniku.</w:t>
      </w:r>
    </w:p>
    <w:p w:rsidR="00860F07" w:rsidRPr="00EE6F1B" w:rsidRDefault="00860F07" w:rsidP="0096714F">
      <w:pPr>
        <w:spacing w:before="120" w:after="240" w:line="276" w:lineRule="auto"/>
        <w:jc w:val="both"/>
        <w:rPr>
          <w:rFonts w:ascii="Times New Roman" w:hAnsi="Times New Roman"/>
          <w:sz w:val="24"/>
        </w:rPr>
      </w:pPr>
      <w:r w:rsidRPr="00EE6F1B">
        <w:rPr>
          <w:rFonts w:ascii="Times New Roman" w:hAnsi="Times New Roman"/>
          <w:sz w:val="24"/>
        </w:rPr>
        <w:t xml:space="preserve">Navrhovaná účinnosť opatrenia je </w:t>
      </w:r>
      <w:r w:rsidR="008A5515">
        <w:rPr>
          <w:rFonts w:ascii="Times New Roman" w:hAnsi="Times New Roman"/>
          <w:sz w:val="24"/>
        </w:rPr>
        <w:t>od 1. januára 202</w:t>
      </w:r>
      <w:r w:rsidR="00AA658F">
        <w:rPr>
          <w:rFonts w:ascii="Times New Roman" w:hAnsi="Times New Roman"/>
          <w:sz w:val="24"/>
        </w:rPr>
        <w:t>0</w:t>
      </w:r>
      <w:r w:rsidR="008A5515">
        <w:rPr>
          <w:rFonts w:ascii="Times New Roman" w:hAnsi="Times New Roman"/>
          <w:sz w:val="24"/>
        </w:rPr>
        <w:t>.</w:t>
      </w:r>
    </w:p>
    <w:p w:rsidR="00EE6F1B" w:rsidRDefault="00860F07" w:rsidP="0096714F">
      <w:pPr>
        <w:spacing w:after="0" w:line="276" w:lineRule="auto"/>
        <w:jc w:val="both"/>
      </w:pPr>
      <w:r w:rsidRPr="00EE6F1B">
        <w:rPr>
          <w:rFonts w:ascii="Times New Roman" w:hAnsi="Times New Roman"/>
          <w:sz w:val="24"/>
        </w:rPr>
        <w:t>Opatrenie úradu sa vyhlási uverejnením jeho úplného znenia v Zbierke zákonov Slovenskej republiky. Návrh opatrenia bude predložený na samostatné medzirezortné pripomienkové konanie.</w:t>
      </w:r>
    </w:p>
    <w:sectPr w:rsidR="00EE6F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86" w:rsidRDefault="00743B86" w:rsidP="003B0A31">
      <w:pPr>
        <w:spacing w:after="0" w:line="240" w:lineRule="auto"/>
      </w:pPr>
      <w:r>
        <w:separator/>
      </w:r>
    </w:p>
  </w:endnote>
  <w:endnote w:type="continuationSeparator" w:id="0">
    <w:p w:rsidR="00743B86" w:rsidRDefault="00743B86" w:rsidP="003B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31" w:rsidRDefault="003B0A31" w:rsidP="003B0A31">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86" w:rsidRDefault="00743B86" w:rsidP="003B0A31">
      <w:pPr>
        <w:spacing w:after="0" w:line="240" w:lineRule="auto"/>
      </w:pPr>
      <w:r>
        <w:separator/>
      </w:r>
    </w:p>
  </w:footnote>
  <w:footnote w:type="continuationSeparator" w:id="0">
    <w:p w:rsidR="00743B86" w:rsidRDefault="00743B86" w:rsidP="003B0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ABC"/>
    <w:multiLevelType w:val="hybridMultilevel"/>
    <w:tmpl w:val="13449C42"/>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0E69"/>
    <w:multiLevelType w:val="hybridMultilevel"/>
    <w:tmpl w:val="F30EDF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D1A7665"/>
    <w:multiLevelType w:val="hybridMultilevel"/>
    <w:tmpl w:val="B5DEAD64"/>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27C6C"/>
    <w:multiLevelType w:val="hybridMultilevel"/>
    <w:tmpl w:val="FAE01E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2B1F00"/>
    <w:multiLevelType w:val="hybridMultilevel"/>
    <w:tmpl w:val="F4949A9C"/>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5" w15:restartNumberingAfterBreak="0">
    <w:nsid w:val="4B0B3344"/>
    <w:multiLevelType w:val="hybridMultilevel"/>
    <w:tmpl w:val="E1401202"/>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81FD4"/>
    <w:multiLevelType w:val="hybridMultilevel"/>
    <w:tmpl w:val="7FC07B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D5459CC"/>
    <w:multiLevelType w:val="hybridMultilevel"/>
    <w:tmpl w:val="16E821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69"/>
    <w:rsid w:val="00035AE8"/>
    <w:rsid w:val="002309EA"/>
    <w:rsid w:val="00265080"/>
    <w:rsid w:val="00290C37"/>
    <w:rsid w:val="00324452"/>
    <w:rsid w:val="003B0A31"/>
    <w:rsid w:val="00416163"/>
    <w:rsid w:val="004E7A1C"/>
    <w:rsid w:val="005D7601"/>
    <w:rsid w:val="0063132E"/>
    <w:rsid w:val="00743B86"/>
    <w:rsid w:val="00745A08"/>
    <w:rsid w:val="00860F07"/>
    <w:rsid w:val="0086574D"/>
    <w:rsid w:val="008A5515"/>
    <w:rsid w:val="008B2E6C"/>
    <w:rsid w:val="008F1189"/>
    <w:rsid w:val="0096714F"/>
    <w:rsid w:val="009B2706"/>
    <w:rsid w:val="00AA658F"/>
    <w:rsid w:val="00B16196"/>
    <w:rsid w:val="00B843BA"/>
    <w:rsid w:val="00BA45DD"/>
    <w:rsid w:val="00C731A9"/>
    <w:rsid w:val="00C75319"/>
    <w:rsid w:val="00D261D9"/>
    <w:rsid w:val="00D337FD"/>
    <w:rsid w:val="00E93CE1"/>
    <w:rsid w:val="00EE6F1B"/>
    <w:rsid w:val="00EF6969"/>
    <w:rsid w:val="00F56F29"/>
    <w:rsid w:val="00F76EA0"/>
    <w:rsid w:val="00F87BBE"/>
    <w:rsid w:val="00FB17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1A34F-51F3-49E7-A06A-F75831D3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69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6969"/>
    <w:pPr>
      <w:ind w:left="720"/>
      <w:contextualSpacing/>
    </w:pPr>
  </w:style>
  <w:style w:type="character" w:styleId="Odkaznakomentr">
    <w:name w:val="annotation reference"/>
    <w:basedOn w:val="Predvolenpsmoodseku"/>
    <w:uiPriority w:val="99"/>
    <w:semiHidden/>
    <w:unhideWhenUsed/>
    <w:rsid w:val="00EF6969"/>
    <w:rPr>
      <w:sz w:val="16"/>
      <w:szCs w:val="16"/>
    </w:rPr>
  </w:style>
  <w:style w:type="paragraph" w:styleId="Textkomentra">
    <w:name w:val="annotation text"/>
    <w:basedOn w:val="Normlny"/>
    <w:link w:val="TextkomentraChar"/>
    <w:uiPriority w:val="99"/>
    <w:semiHidden/>
    <w:unhideWhenUsed/>
    <w:rsid w:val="00EF6969"/>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EF6969"/>
    <w:rPr>
      <w:sz w:val="20"/>
      <w:szCs w:val="20"/>
    </w:rPr>
  </w:style>
  <w:style w:type="character" w:styleId="Zstupntext">
    <w:name w:val="Placeholder Text"/>
    <w:basedOn w:val="Predvolenpsmoodseku"/>
    <w:uiPriority w:val="99"/>
    <w:semiHidden/>
    <w:rsid w:val="00EF6969"/>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EF69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6969"/>
    <w:rPr>
      <w:rFonts w:ascii="Segoe UI" w:hAnsi="Segoe UI" w:cs="Segoe UI"/>
      <w:sz w:val="18"/>
      <w:szCs w:val="18"/>
    </w:rPr>
  </w:style>
  <w:style w:type="character" w:styleId="Hypertextovprepojenie">
    <w:name w:val="Hyperlink"/>
    <w:basedOn w:val="Predvolenpsmoodseku"/>
    <w:uiPriority w:val="99"/>
    <w:semiHidden/>
    <w:unhideWhenUsed/>
    <w:rsid w:val="00035AE8"/>
    <w:rPr>
      <w:color w:val="0000FF"/>
      <w:u w:val="single"/>
    </w:rPr>
  </w:style>
  <w:style w:type="paragraph" w:styleId="Hlavika">
    <w:name w:val="header"/>
    <w:basedOn w:val="Normlny"/>
    <w:link w:val="HlavikaChar"/>
    <w:uiPriority w:val="99"/>
    <w:unhideWhenUsed/>
    <w:rsid w:val="003B0A3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B0A31"/>
  </w:style>
  <w:style w:type="paragraph" w:styleId="Pta">
    <w:name w:val="footer"/>
    <w:basedOn w:val="Normlny"/>
    <w:link w:val="PtaChar"/>
    <w:uiPriority w:val="99"/>
    <w:unhideWhenUsed/>
    <w:rsid w:val="003B0A31"/>
    <w:pPr>
      <w:tabs>
        <w:tab w:val="center" w:pos="4536"/>
        <w:tab w:val="right" w:pos="9072"/>
      </w:tabs>
      <w:spacing w:after="0" w:line="240" w:lineRule="auto"/>
    </w:pPr>
  </w:style>
  <w:style w:type="character" w:customStyle="1" w:styleId="PtaChar">
    <w:name w:val="Päta Char"/>
    <w:basedOn w:val="Predvolenpsmoodseku"/>
    <w:link w:val="Pta"/>
    <w:uiPriority w:val="99"/>
    <w:rsid w:val="003B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footer" Target="foot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4" Type="http://schemas.openxmlformats.org/officeDocument/2006/relationships/webSettings" Target="webSettings.xml"></Relationship><Relationship Id="rId9" Type="http://schemas.openxmlformats.org/officeDocument/2006/relationships/theme" Target="theme/theme1.xml"></Relationship><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SODB2021_tézy-opatrenia-podľa-§-15-ods.-3"/>
    <f:field ref="objsubject" par="" edit="true" text=""/>
    <f:field ref="objcreatedby" par="" text="Bokol, Viliam, Mgr."/>
    <f:field ref="objcreatedat" par="" text="9.4.2019 14:41:45"/>
    <f:field ref="objchangedby" par="" text="Administrator, System"/>
    <f:field ref="objmodifiedat" par="" text="9.4.2019 14:41: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266</Words>
  <Characters>1517</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Podmanická Zuzana</dc:creator>
  <cp:keywords/>
  <dc:description/>
  <cp:lastModifiedBy>Bokol Viliam</cp:lastModifiedBy>
  <cp:revision>4</cp:revision>
  <dcterms:created xsi:type="dcterms:W3CDTF">2019-04-08T15:55:00Z</dcterms:created>
  <dcterms:modified xsi:type="dcterms:W3CDTF">2019-04-08T16:32:00Z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Návrh vykonávacích predpisov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9. 4. 2019</vt:lpwstr>
  </property>
  <property name="FSC#COOSYSTEM@1.1:Container" pid="151" fmtid="{D5CDD505-2E9C-101B-9397-08002B2CF9AE}">
    <vt:lpwstr>COO.2145.1000.3.3296139</vt:lpwstr>
  </property>
  <property name="FSC#FSCFOLIO@1.1001:docpropproject" pid="152" fmtid="{D5CDD505-2E9C-101B-9397-08002B2CF9AE}">
    <vt:lpwstr/>
  </property>
</Properties>
</file>