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3DC3" w:rsidRPr="00EE5624" w:rsidTr="00217903">
        <w:trPr>
          <w:trHeight w:val="567"/>
        </w:trPr>
        <w:tc>
          <w:tcPr>
            <w:tcW w:w="9212" w:type="dxa"/>
            <w:shd w:val="clear" w:color="auto" w:fill="D9D9D9"/>
          </w:tcPr>
          <w:p w:rsidR="00153DC3" w:rsidRPr="00EE5624" w:rsidRDefault="00153DC3" w:rsidP="00217903">
            <w:pPr>
              <w:jc w:val="center"/>
              <w:rPr>
                <w:b/>
                <w:sz w:val="24"/>
              </w:rPr>
            </w:pPr>
            <w:bookmarkStart w:id="0" w:name="_GoBack"/>
            <w:bookmarkEnd w:id="0"/>
            <w:r w:rsidRPr="00EE5624">
              <w:rPr>
                <w:b/>
                <w:sz w:val="28"/>
              </w:rPr>
              <w:t xml:space="preserve">Analýza vplyvov na podnikateľské prostredie </w:t>
            </w:r>
          </w:p>
          <w:p w:rsidR="00153DC3" w:rsidRPr="00EE5624" w:rsidRDefault="00153DC3" w:rsidP="00217903">
            <w:pPr>
              <w:jc w:val="center"/>
              <w:rPr>
                <w:b/>
              </w:rPr>
            </w:pPr>
            <w:r w:rsidRPr="00EE5624">
              <w:rPr>
                <w:b/>
                <w:sz w:val="24"/>
              </w:rPr>
              <w:t>(vrátane testu MSP)</w:t>
            </w:r>
          </w:p>
        </w:tc>
      </w:tr>
      <w:tr w:rsidR="00153DC3" w:rsidRPr="00EE5624" w:rsidTr="00217903">
        <w:trPr>
          <w:trHeight w:val="567"/>
        </w:trPr>
        <w:tc>
          <w:tcPr>
            <w:tcW w:w="9212" w:type="dxa"/>
            <w:shd w:val="clear" w:color="auto" w:fill="D9D9D9"/>
          </w:tcPr>
          <w:p w:rsidR="00153DC3" w:rsidRPr="00EE5624" w:rsidRDefault="00153DC3" w:rsidP="00217903">
            <w:pPr>
              <w:rPr>
                <w:b/>
                <w:sz w:val="24"/>
              </w:rPr>
            </w:pPr>
            <w:r w:rsidRPr="00EE5624">
              <w:rPr>
                <w:b/>
                <w:sz w:val="24"/>
              </w:rPr>
              <w:t>Materiál bude mať vplyv s ohľadom na veľkostnú kategóriu podnikov:</w:t>
            </w:r>
          </w:p>
        </w:tc>
      </w:tr>
      <w:tr w:rsidR="00153DC3" w:rsidRPr="00EE5624" w:rsidTr="00217903">
        <w:trPr>
          <w:trHeight w:val="567"/>
        </w:trPr>
        <w:tc>
          <w:tcPr>
            <w:tcW w:w="9212" w:type="dxa"/>
          </w:tcPr>
          <w:tbl>
            <w:tblPr>
              <w:tblW w:w="0" w:type="auto"/>
              <w:tblLook w:val="04A0" w:firstRow="1" w:lastRow="0" w:firstColumn="1" w:lastColumn="0" w:noHBand="0" w:noVBand="1"/>
            </w:tblPr>
            <w:tblGrid>
              <w:gridCol w:w="436"/>
              <w:gridCol w:w="8410"/>
            </w:tblGrid>
            <w:tr w:rsidR="00153DC3" w:rsidRPr="00EE5624" w:rsidTr="00217903">
              <w:tc>
                <w:tcPr>
                  <w:tcW w:w="436" w:type="dxa"/>
                  <w:tcBorders>
                    <w:top w:val="nil"/>
                    <w:left w:val="nil"/>
                    <w:bottom w:val="nil"/>
                    <w:right w:val="nil"/>
                  </w:tcBorders>
                </w:tcPr>
                <w:p w:rsidR="00153DC3" w:rsidRPr="00EE5624" w:rsidRDefault="00153DC3" w:rsidP="00217903">
                  <w:pPr>
                    <w:jc w:val="center"/>
                  </w:pPr>
                  <w:r w:rsidRPr="00EE5624">
                    <w:rPr>
                      <w:rFonts w:ascii="MS Mincho" w:eastAsia="MS Mincho" w:hAnsi="MS Mincho" w:cs="MS Mincho" w:hint="eastAsia"/>
                    </w:rPr>
                    <w:t>☐</w:t>
                  </w:r>
                </w:p>
              </w:tc>
              <w:tc>
                <w:tcPr>
                  <w:tcW w:w="8545" w:type="dxa"/>
                  <w:tcBorders>
                    <w:top w:val="nil"/>
                    <w:left w:val="nil"/>
                    <w:bottom w:val="nil"/>
                    <w:right w:val="nil"/>
                  </w:tcBorders>
                </w:tcPr>
                <w:p w:rsidR="00153DC3" w:rsidRPr="00EE5624" w:rsidRDefault="00153DC3" w:rsidP="00217903">
                  <w:pPr>
                    <w:rPr>
                      <w:b/>
                    </w:rPr>
                  </w:pPr>
                  <w:r w:rsidRPr="00EE5624">
                    <w:rPr>
                      <w:b/>
                    </w:rPr>
                    <w:t xml:space="preserve">iba na MSP (0 - 249 zamestnancov) </w:t>
                  </w:r>
                </w:p>
              </w:tc>
            </w:tr>
            <w:tr w:rsidR="00153DC3" w:rsidRPr="00EE5624" w:rsidTr="00217903">
              <w:tc>
                <w:tcPr>
                  <w:tcW w:w="436" w:type="dxa"/>
                  <w:tcBorders>
                    <w:top w:val="nil"/>
                    <w:left w:val="nil"/>
                    <w:bottom w:val="nil"/>
                    <w:right w:val="nil"/>
                  </w:tcBorders>
                </w:tcPr>
                <w:p w:rsidR="00153DC3" w:rsidRPr="00EE5624" w:rsidRDefault="00153DC3" w:rsidP="00217903">
                  <w:pPr>
                    <w:jc w:val="center"/>
                  </w:pPr>
                  <w:r w:rsidRPr="00EE5624">
                    <w:rPr>
                      <w:rFonts w:ascii="MS Mincho" w:eastAsia="MS Mincho" w:hAnsi="MS Mincho" w:cs="MS Mincho" w:hint="eastAsia"/>
                    </w:rPr>
                    <w:t>☐</w:t>
                  </w:r>
                </w:p>
              </w:tc>
              <w:tc>
                <w:tcPr>
                  <w:tcW w:w="8545" w:type="dxa"/>
                  <w:tcBorders>
                    <w:top w:val="nil"/>
                    <w:left w:val="nil"/>
                    <w:bottom w:val="nil"/>
                    <w:right w:val="nil"/>
                  </w:tcBorders>
                </w:tcPr>
                <w:p w:rsidR="00153DC3" w:rsidRPr="00EE5624" w:rsidRDefault="00153DC3" w:rsidP="00217903">
                  <w:pPr>
                    <w:rPr>
                      <w:b/>
                    </w:rPr>
                  </w:pPr>
                  <w:r w:rsidRPr="00EE5624">
                    <w:rPr>
                      <w:b/>
                    </w:rPr>
                    <w:t>iba na veľké podniky (250 a viac zamestnancov)</w:t>
                  </w:r>
                </w:p>
              </w:tc>
            </w:tr>
            <w:tr w:rsidR="00153DC3" w:rsidRPr="00EE5624" w:rsidTr="00217903">
              <w:tc>
                <w:tcPr>
                  <w:tcW w:w="436" w:type="dxa"/>
                  <w:tcBorders>
                    <w:top w:val="nil"/>
                    <w:left w:val="nil"/>
                    <w:bottom w:val="nil"/>
                    <w:right w:val="nil"/>
                  </w:tcBorders>
                </w:tcPr>
                <w:p w:rsidR="00153DC3" w:rsidRPr="00EE5624" w:rsidRDefault="00153DC3" w:rsidP="00217903">
                  <w:pPr>
                    <w:jc w:val="center"/>
                  </w:pPr>
                  <w:r w:rsidRPr="00EE5624">
                    <w:rPr>
                      <w:rFonts w:ascii="MS Gothic" w:eastAsia="MS Gothic" w:hAnsi="MS Gothic" w:hint="eastAsia"/>
                    </w:rPr>
                    <w:t>☒</w:t>
                  </w:r>
                </w:p>
              </w:tc>
              <w:tc>
                <w:tcPr>
                  <w:tcW w:w="8545" w:type="dxa"/>
                  <w:tcBorders>
                    <w:top w:val="nil"/>
                    <w:left w:val="nil"/>
                    <w:bottom w:val="nil"/>
                    <w:right w:val="nil"/>
                  </w:tcBorders>
                </w:tcPr>
                <w:p w:rsidR="00153DC3" w:rsidRPr="00EE5624" w:rsidRDefault="00153DC3" w:rsidP="00217903">
                  <w:r w:rsidRPr="00EE5624">
                    <w:rPr>
                      <w:b/>
                    </w:rPr>
                    <w:t>na všetky kategórie podnikov</w:t>
                  </w:r>
                </w:p>
              </w:tc>
            </w:tr>
          </w:tbl>
          <w:p w:rsidR="00153DC3" w:rsidRPr="00EE5624" w:rsidRDefault="00153DC3" w:rsidP="00217903">
            <w:pPr>
              <w:rPr>
                <w:b/>
              </w:rPr>
            </w:pPr>
          </w:p>
        </w:tc>
      </w:tr>
      <w:tr w:rsidR="00153DC3" w:rsidRPr="00EE5624" w:rsidTr="00217903">
        <w:tc>
          <w:tcPr>
            <w:tcW w:w="9212" w:type="dxa"/>
            <w:shd w:val="clear" w:color="auto" w:fill="D9D9D9"/>
          </w:tcPr>
          <w:p w:rsidR="00153DC3" w:rsidRPr="00EE5624" w:rsidRDefault="00153DC3" w:rsidP="00217903">
            <w:pPr>
              <w:rPr>
                <w:b/>
                <w:sz w:val="24"/>
              </w:rPr>
            </w:pPr>
            <w:r w:rsidRPr="00EE5624">
              <w:rPr>
                <w:b/>
                <w:sz w:val="24"/>
              </w:rPr>
              <w:t>3.1 Dotknuté podnikateľské subjekty</w:t>
            </w:r>
          </w:p>
          <w:p w:rsidR="00153DC3" w:rsidRPr="00EE5624" w:rsidRDefault="00153DC3" w:rsidP="00217903">
            <w:pPr>
              <w:ind w:left="284"/>
              <w:rPr>
                <w:b/>
              </w:rPr>
            </w:pPr>
            <w:r w:rsidRPr="00EE5624">
              <w:rPr>
                <w:sz w:val="24"/>
              </w:rPr>
              <w:t xml:space="preserve"> - </w:t>
            </w:r>
            <w:r w:rsidRPr="00EE5624">
              <w:rPr>
                <w:b/>
                <w:sz w:val="24"/>
              </w:rPr>
              <w:t>z toho MSP</w:t>
            </w:r>
          </w:p>
        </w:tc>
      </w:tr>
      <w:tr w:rsidR="00153DC3" w:rsidRPr="00EE5624" w:rsidTr="00217903">
        <w:tc>
          <w:tcPr>
            <w:tcW w:w="9212" w:type="dxa"/>
          </w:tcPr>
          <w:p w:rsidR="00153DC3" w:rsidRPr="00EE5624" w:rsidRDefault="00153DC3" w:rsidP="00217903">
            <w:pPr>
              <w:rPr>
                <w:i/>
              </w:rPr>
            </w:pPr>
            <w:r w:rsidRPr="00EE5624">
              <w:rPr>
                <w:i/>
              </w:rPr>
              <w:t>Uveďte, aké podnikateľské subjekty budú predkladaným návrhom ovplyvnené.</w:t>
            </w:r>
          </w:p>
          <w:p w:rsidR="00153DC3" w:rsidRPr="00EE5624" w:rsidRDefault="00153DC3" w:rsidP="00217903">
            <w:pPr>
              <w:rPr>
                <w:i/>
              </w:rPr>
            </w:pPr>
            <w:r w:rsidRPr="00EE5624">
              <w:rPr>
                <w:i/>
              </w:rPr>
              <w:t>Aký je ich počet?</w:t>
            </w:r>
          </w:p>
        </w:tc>
      </w:tr>
      <w:tr w:rsidR="00153DC3" w:rsidRPr="00EE5624" w:rsidTr="00217903">
        <w:trPr>
          <w:trHeight w:val="1440"/>
        </w:trPr>
        <w:tc>
          <w:tcPr>
            <w:tcW w:w="9212" w:type="dxa"/>
          </w:tcPr>
          <w:p w:rsidR="009D6827" w:rsidRDefault="00153DC3" w:rsidP="009D6827">
            <w:pPr>
              <w:jc w:val="both"/>
            </w:pPr>
            <w:r>
              <w:t xml:space="preserve">Dotknutými podnikateľskými subjektami budú najmä tie, ktoré </w:t>
            </w:r>
            <w:r w:rsidR="009D6827">
              <w:t>sú vlastníkmi verejných vodovodov a verejných kanalizácií</w:t>
            </w:r>
          </w:p>
          <w:p w:rsidR="00153DC3" w:rsidRPr="00EE5624" w:rsidRDefault="00153DC3" w:rsidP="00263D8E">
            <w:pPr>
              <w:jc w:val="both"/>
              <w:rPr>
                <w:i/>
                <w:u w:val="single"/>
              </w:rPr>
            </w:pPr>
            <w:r>
              <w:t>Tiež firmy</w:t>
            </w:r>
            <w:r w:rsidR="00263D8E">
              <w:t xml:space="preserve"> – právnické osoby a fyzické osoby - podnikatelia</w:t>
            </w:r>
            <w:r>
              <w:t>, ktor</w:t>
            </w:r>
            <w:r w:rsidR="00263D8E">
              <w:t>í</w:t>
            </w:r>
            <w:r>
              <w:t xml:space="preserve"> zavedením nových skutkových podstát správnych deliktov porušia zákon.</w:t>
            </w:r>
          </w:p>
        </w:tc>
      </w:tr>
      <w:tr w:rsidR="00153DC3" w:rsidRPr="00EE5624" w:rsidTr="00217903">
        <w:trPr>
          <w:trHeight w:val="339"/>
        </w:trPr>
        <w:tc>
          <w:tcPr>
            <w:tcW w:w="9212" w:type="dxa"/>
            <w:shd w:val="clear" w:color="auto" w:fill="D9D9D9"/>
          </w:tcPr>
          <w:p w:rsidR="00153DC3" w:rsidRPr="00EE5624" w:rsidRDefault="00153DC3" w:rsidP="00217903">
            <w:pPr>
              <w:rPr>
                <w:b/>
                <w:sz w:val="24"/>
              </w:rPr>
            </w:pPr>
            <w:r w:rsidRPr="00EE5624">
              <w:rPr>
                <w:b/>
                <w:sz w:val="24"/>
              </w:rPr>
              <w:t>3.2 Vyhodnotenie konzultácií</w:t>
            </w:r>
          </w:p>
          <w:p w:rsidR="00153DC3" w:rsidRPr="00EE5624" w:rsidRDefault="00153DC3" w:rsidP="00217903">
            <w:pPr>
              <w:rPr>
                <w:b/>
              </w:rPr>
            </w:pPr>
            <w:r w:rsidRPr="00EE5624">
              <w:rPr>
                <w:sz w:val="24"/>
              </w:rPr>
              <w:t xml:space="preserve">       - </w:t>
            </w:r>
            <w:r w:rsidRPr="00EE5624">
              <w:rPr>
                <w:b/>
                <w:sz w:val="24"/>
              </w:rPr>
              <w:t>z toho MSP</w:t>
            </w:r>
          </w:p>
        </w:tc>
      </w:tr>
      <w:tr w:rsidR="00153DC3" w:rsidRPr="00EE5624" w:rsidTr="00217903">
        <w:trPr>
          <w:trHeight w:val="779"/>
        </w:trPr>
        <w:tc>
          <w:tcPr>
            <w:tcW w:w="9212" w:type="dxa"/>
          </w:tcPr>
          <w:p w:rsidR="00153DC3" w:rsidRPr="00EE5624" w:rsidRDefault="00153DC3" w:rsidP="00217903">
            <w:pPr>
              <w:rPr>
                <w:i/>
              </w:rPr>
            </w:pPr>
            <w:r w:rsidRPr="00EE5624">
              <w:rPr>
                <w:i/>
              </w:rPr>
              <w:t>Uveďte, akou formou (verejné alebo cielené konzultácie a prečo) a s kým bol návrh konzultovaný.</w:t>
            </w:r>
          </w:p>
          <w:p w:rsidR="00153DC3" w:rsidRPr="00EE5624" w:rsidRDefault="00153DC3" w:rsidP="00217903">
            <w:pPr>
              <w:rPr>
                <w:i/>
              </w:rPr>
            </w:pPr>
            <w:r w:rsidRPr="00EE5624">
              <w:rPr>
                <w:i/>
              </w:rPr>
              <w:t>Ako dlho trvali konzultácie?</w:t>
            </w:r>
          </w:p>
          <w:p w:rsidR="00153DC3" w:rsidRPr="00EE5624" w:rsidRDefault="00153DC3" w:rsidP="00217903">
            <w:pPr>
              <w:rPr>
                <w:i/>
              </w:rPr>
            </w:pPr>
            <w:r w:rsidRPr="00EE5624">
              <w:rPr>
                <w:i/>
              </w:rPr>
              <w:t xml:space="preserve">Uveďte hlavné body konzultácií a výsledky konzultácií. </w:t>
            </w:r>
          </w:p>
        </w:tc>
      </w:tr>
      <w:tr w:rsidR="00153DC3" w:rsidRPr="00EE5624" w:rsidTr="00217903">
        <w:trPr>
          <w:trHeight w:val="558"/>
        </w:trPr>
        <w:tc>
          <w:tcPr>
            <w:tcW w:w="9212" w:type="dxa"/>
          </w:tcPr>
          <w:p w:rsidR="00153DC3" w:rsidRPr="00AF50B7" w:rsidRDefault="00153DC3" w:rsidP="00217903">
            <w:pPr>
              <w:pStyle w:val="Normlnywebov"/>
              <w:spacing w:before="0" w:beforeAutospacing="0" w:after="120" w:afterAutospacing="0"/>
              <w:ind w:firstLine="709"/>
              <w:jc w:val="both"/>
              <w:rPr>
                <w:sz w:val="20"/>
                <w:szCs w:val="20"/>
                <w:lang w:val="sk-SK"/>
              </w:rPr>
            </w:pPr>
            <w:r>
              <w:rPr>
                <w:sz w:val="20"/>
                <w:szCs w:val="20"/>
                <w:lang w:val="sk-SK"/>
              </w:rPr>
              <w:t>O</w:t>
            </w:r>
            <w:r w:rsidRPr="00AF50B7">
              <w:rPr>
                <w:sz w:val="20"/>
                <w:szCs w:val="20"/>
                <w:lang w:val="sk-SK"/>
              </w:rPr>
              <w:t xml:space="preserve"> príprave  návrhu zákona, ktorým sa mení a dopĺňa zákon </w:t>
            </w:r>
            <w:r w:rsidR="009D6827" w:rsidRPr="00AF50B7">
              <w:rPr>
                <w:sz w:val="20"/>
                <w:szCs w:val="20"/>
                <w:lang w:val="sk-SK"/>
              </w:rPr>
              <w:t>442/2002 Z. z. o verejných vodovodoch a verejných kanalizáciách a o zmene a doplnení zákona č. 276/2001 Z. z. o regulácii v sieťových odvetviach v znení neskorších predpisov a ktorým sa mení a dopĺňa zákon č.</w:t>
            </w:r>
            <w:r w:rsidRPr="00AF50B7">
              <w:rPr>
                <w:sz w:val="20"/>
                <w:szCs w:val="20"/>
                <w:lang w:val="sk-SK"/>
              </w:rPr>
              <w:t xml:space="preserve"> 364/2004 Z. z. o vodách a o zmene zákona Slovenskej národnej rady č. 372/1990 Zb. o priestupkoch v znení neskorších predpisov (vodný zákon) v znení neskorších predpisov </w:t>
            </w:r>
            <w:r>
              <w:rPr>
                <w:sz w:val="20"/>
                <w:szCs w:val="20"/>
                <w:lang w:val="sk-SK"/>
              </w:rPr>
              <w:t>bolo informované</w:t>
            </w:r>
            <w:r w:rsidRPr="00AF50B7">
              <w:rPr>
                <w:sz w:val="20"/>
                <w:szCs w:val="20"/>
                <w:lang w:val="sk-SK"/>
              </w:rPr>
              <w:t xml:space="preserve"> prostredníctvom portálu Slov-Lex formou Predbežnej informácie ( PI/2017/</w:t>
            </w:r>
            <w:r w:rsidR="0024656E">
              <w:rPr>
                <w:sz w:val="20"/>
                <w:szCs w:val="20"/>
                <w:lang w:val="sk-SK"/>
              </w:rPr>
              <w:t>316</w:t>
            </w:r>
            <w:r w:rsidRPr="00AF50B7">
              <w:rPr>
                <w:sz w:val="20"/>
                <w:szCs w:val="20"/>
                <w:lang w:val="sk-SK"/>
              </w:rPr>
              <w:t xml:space="preserve"> zo dňa </w:t>
            </w:r>
            <w:r w:rsidR="0024656E" w:rsidRPr="0024656E">
              <w:rPr>
                <w:sz w:val="20"/>
                <w:szCs w:val="20"/>
                <w:lang w:val="sk-SK"/>
              </w:rPr>
              <w:t>21</w:t>
            </w:r>
            <w:r w:rsidR="009D6827" w:rsidRPr="0024656E">
              <w:rPr>
                <w:sz w:val="20"/>
                <w:szCs w:val="20"/>
                <w:lang w:val="sk-SK"/>
              </w:rPr>
              <w:t>.12</w:t>
            </w:r>
            <w:r w:rsidRPr="00AF50B7">
              <w:rPr>
                <w:sz w:val="20"/>
                <w:szCs w:val="20"/>
                <w:lang w:val="sk-SK"/>
              </w:rPr>
              <w:t>. 2017)  s možnosťou zapojiť sa do jeho prípravy formou zasielania podnetov alebo návrhov v intenciách vecného zamerania navrhovaného právneho predpisu.</w:t>
            </w:r>
          </w:p>
          <w:p w:rsidR="00153DC3" w:rsidRPr="00AF50B7" w:rsidRDefault="00153DC3" w:rsidP="00217903">
            <w:pPr>
              <w:pStyle w:val="Odsekzoznamu"/>
              <w:spacing w:after="120" w:line="240" w:lineRule="auto"/>
              <w:ind w:left="0" w:firstLine="709"/>
              <w:jc w:val="both"/>
              <w:rPr>
                <w:rFonts w:ascii="Times New Roman" w:hAnsi="Times New Roman"/>
                <w:sz w:val="20"/>
                <w:szCs w:val="20"/>
              </w:rPr>
            </w:pPr>
            <w:r w:rsidRPr="00AF50B7">
              <w:rPr>
                <w:rFonts w:ascii="Times New Roman" w:hAnsi="Times New Roman"/>
                <w:sz w:val="20"/>
                <w:szCs w:val="20"/>
              </w:rPr>
              <w:t xml:space="preserve">Ministerstvo životného prostredia Slovenskej republiky v zmysle Jednotnej metodiky na posudzovanie vybraných vplyvov dňom uverejnenia predbežnej informácie začalo proces konzultácií s dotknutými podnikateľskými subjektmi v súvislosti s prípravou návrhu zákona, </w:t>
            </w:r>
            <w:r w:rsidR="009D6827" w:rsidRPr="00AF50B7">
              <w:rPr>
                <w:rFonts w:ascii="Times New Roman" w:hAnsi="Times New Roman"/>
                <w:sz w:val="20"/>
                <w:szCs w:val="20"/>
                <w:lang w:eastAsia="sk-SK"/>
              </w:rPr>
              <w:t xml:space="preserve">ktorým sa mení a dopĺňa zákon č. 442/2002 Z. z. </w:t>
            </w:r>
            <w:r w:rsidR="009D6827" w:rsidRPr="00AF50B7">
              <w:rPr>
                <w:rFonts w:ascii="Times New Roman" w:hAnsi="Times New Roman"/>
                <w:sz w:val="20"/>
                <w:szCs w:val="20"/>
              </w:rPr>
              <w:t xml:space="preserve"> </w:t>
            </w:r>
            <w:r w:rsidR="009D6827" w:rsidRPr="00AF50B7">
              <w:rPr>
                <w:rFonts w:ascii="Times New Roman" w:hAnsi="Times New Roman"/>
                <w:sz w:val="20"/>
                <w:szCs w:val="20"/>
                <w:lang w:eastAsia="sk-SK"/>
              </w:rPr>
              <w:t>o</w:t>
            </w:r>
            <w:r w:rsidR="009D6827">
              <w:rPr>
                <w:rFonts w:ascii="Times New Roman" w:hAnsi="Times New Roman"/>
                <w:sz w:val="20"/>
                <w:szCs w:val="20"/>
                <w:lang w:eastAsia="sk-SK"/>
              </w:rPr>
              <w:t> </w:t>
            </w:r>
            <w:r w:rsidR="009D6827" w:rsidRPr="00AF50B7">
              <w:rPr>
                <w:rFonts w:ascii="Times New Roman" w:hAnsi="Times New Roman"/>
                <w:sz w:val="20"/>
                <w:szCs w:val="20"/>
                <w:lang w:eastAsia="sk-SK"/>
              </w:rPr>
              <w:t>verejných vodovodoch a verejných kanalizáciách a o zmene a doplnení zákona č. 276/2001 Z. z. o regulácii v</w:t>
            </w:r>
            <w:r w:rsidR="009D6827">
              <w:rPr>
                <w:rFonts w:ascii="Times New Roman" w:hAnsi="Times New Roman"/>
                <w:sz w:val="20"/>
                <w:szCs w:val="20"/>
                <w:lang w:eastAsia="sk-SK"/>
              </w:rPr>
              <w:t> </w:t>
            </w:r>
            <w:r w:rsidR="009D6827" w:rsidRPr="00AF50B7">
              <w:rPr>
                <w:rFonts w:ascii="Times New Roman" w:hAnsi="Times New Roman"/>
                <w:sz w:val="20"/>
                <w:szCs w:val="20"/>
                <w:lang w:eastAsia="sk-SK"/>
              </w:rPr>
              <w:t>sieťových odvetviach v znení neskorších predpisov</w:t>
            </w:r>
            <w:r w:rsidR="009D6827">
              <w:rPr>
                <w:rFonts w:ascii="Times New Roman" w:hAnsi="Times New Roman"/>
                <w:sz w:val="20"/>
                <w:szCs w:val="20"/>
                <w:lang w:eastAsia="sk-SK"/>
              </w:rPr>
              <w:t xml:space="preserve"> a </w:t>
            </w:r>
            <w:r w:rsidRPr="00AF50B7">
              <w:rPr>
                <w:rFonts w:ascii="Times New Roman" w:hAnsi="Times New Roman"/>
                <w:sz w:val="20"/>
                <w:szCs w:val="20"/>
                <w:lang w:eastAsia="sk-SK"/>
              </w:rPr>
              <w:t>ktorým sa mení a dopĺňa zákon č. 364/2004 Z. z. o vodách a o zmene zákona Slovenskej národnej rady č. 372/1990 Zb. o priestupkoch v znení neskorších predpisov (vodný zákon) v znení neskorších predpisov.</w:t>
            </w:r>
          </w:p>
          <w:p w:rsidR="00153DC3" w:rsidRPr="00EE5624" w:rsidRDefault="00153DC3" w:rsidP="00BB75E1">
            <w:pPr>
              <w:jc w:val="both"/>
            </w:pPr>
            <w:r w:rsidRPr="0024656E">
              <w:t>Do konzultácií</w:t>
            </w:r>
            <w:r w:rsidRPr="00075E66">
              <w:t xml:space="preserve"> sa mohli zapojiť dotknuté subjekty zaslaním pripomienok, návrhov alebo vyjadrení k predmetnému materiálu. Termín ukončenia konzultácií bol </w:t>
            </w:r>
            <w:r w:rsidR="0024656E">
              <w:rPr>
                <w:bCs/>
              </w:rPr>
              <w:t>10</w:t>
            </w:r>
            <w:r w:rsidR="009D6827">
              <w:rPr>
                <w:bCs/>
              </w:rPr>
              <w:t>. januára</w:t>
            </w:r>
            <w:r w:rsidRPr="00075E66">
              <w:rPr>
                <w:bCs/>
              </w:rPr>
              <w:t> 201</w:t>
            </w:r>
            <w:r w:rsidR="009D6827">
              <w:rPr>
                <w:bCs/>
              </w:rPr>
              <w:t>8</w:t>
            </w:r>
            <w:r w:rsidRPr="00075E66">
              <w:t>.</w:t>
            </w:r>
            <w:r w:rsidR="009D6827">
              <w:t xml:space="preserve"> </w:t>
            </w:r>
            <w:r w:rsidR="00BB75E1">
              <w:t>S</w:t>
            </w:r>
            <w:r w:rsidR="00BB75E1" w:rsidRPr="00BB75E1">
              <w:t xml:space="preserve">voje návrhy a požiadavky </w:t>
            </w:r>
            <w:r w:rsidR="00BB75E1">
              <w:t xml:space="preserve">zaslali </w:t>
            </w:r>
            <w:r w:rsidR="00BB75E1" w:rsidRPr="00BB75E1">
              <w:t>Slovenský zväz bytových družstiev, Združenie spoločenstiev vlastníkov bytov na Slovensku, Združenie správcov a užívateľov nehnuteľností</w:t>
            </w:r>
            <w:r w:rsidR="00BB75E1">
              <w:t xml:space="preserve">. Do konzultácií sa aktívne zapojili </w:t>
            </w:r>
            <w:r w:rsidR="009D6827">
              <w:t xml:space="preserve">zástupcovia Asociácie vodárenských spoločností, ktorí sú vlastníci a prevádzkovatelia </w:t>
            </w:r>
            <w:r w:rsidR="002C39B5">
              <w:t xml:space="preserve">väčšiny </w:t>
            </w:r>
            <w:r w:rsidR="009D6827">
              <w:t>verejných vodovodov a verejných kanalizácií</w:t>
            </w:r>
            <w:r w:rsidR="002C39B5">
              <w:t xml:space="preserve"> </w:t>
            </w:r>
            <w:r w:rsidR="002C39B5" w:rsidRPr="00BB75E1">
              <w:t>na Slovensku</w:t>
            </w:r>
            <w:r w:rsidR="00773EBD">
              <w:t xml:space="preserve">, ktorí predložili svoje odborné návrhy a zmeny písomne a následne </w:t>
            </w:r>
            <w:r w:rsidR="00B827D9">
              <w:t>boli vysvetlené a upresnené v rámci viacerých pracovných konzultácií.</w:t>
            </w:r>
            <w:r w:rsidR="00100FF0">
              <w:t xml:space="preserve"> </w:t>
            </w:r>
          </w:p>
        </w:tc>
      </w:tr>
      <w:tr w:rsidR="00153DC3" w:rsidRPr="00EE5624" w:rsidTr="00217903">
        <w:tc>
          <w:tcPr>
            <w:tcW w:w="9212" w:type="dxa"/>
            <w:shd w:val="clear" w:color="auto" w:fill="D9D9D9"/>
          </w:tcPr>
          <w:p w:rsidR="00153DC3" w:rsidRPr="00EE5624" w:rsidRDefault="00153DC3" w:rsidP="00217903">
            <w:pPr>
              <w:rPr>
                <w:b/>
                <w:sz w:val="24"/>
              </w:rPr>
            </w:pPr>
            <w:r w:rsidRPr="00EE5624">
              <w:rPr>
                <w:b/>
                <w:sz w:val="24"/>
              </w:rPr>
              <w:t>3.3 Náklady regulácie</w:t>
            </w:r>
          </w:p>
          <w:p w:rsidR="00153DC3" w:rsidRPr="00EE5624" w:rsidRDefault="00153DC3" w:rsidP="00217903">
            <w:pPr>
              <w:rPr>
                <w:b/>
              </w:rPr>
            </w:pPr>
            <w:r w:rsidRPr="00EE5624">
              <w:rPr>
                <w:sz w:val="24"/>
              </w:rPr>
              <w:t xml:space="preserve">      - </w:t>
            </w:r>
            <w:r w:rsidRPr="00EE5624">
              <w:rPr>
                <w:b/>
                <w:sz w:val="24"/>
              </w:rPr>
              <w:t>z toho MSP</w:t>
            </w:r>
          </w:p>
        </w:tc>
      </w:tr>
      <w:tr w:rsidR="00153DC3" w:rsidRPr="00EE5624" w:rsidTr="00217903">
        <w:tc>
          <w:tcPr>
            <w:tcW w:w="9212" w:type="dxa"/>
          </w:tcPr>
          <w:p w:rsidR="00153DC3" w:rsidRPr="00EE5624" w:rsidRDefault="00153DC3" w:rsidP="00217903">
            <w:pPr>
              <w:rPr>
                <w:b/>
                <w:i/>
              </w:rPr>
            </w:pPr>
            <w:r w:rsidRPr="00EE5624">
              <w:rPr>
                <w:b/>
                <w:i/>
              </w:rPr>
              <w:t>3.3.1 Priame finančné náklady</w:t>
            </w:r>
          </w:p>
          <w:p w:rsidR="00153DC3" w:rsidRPr="00EE5624" w:rsidRDefault="00153DC3" w:rsidP="00217903">
            <w:pPr>
              <w:rPr>
                <w:i/>
              </w:rPr>
            </w:pPr>
            <w:r w:rsidRPr="00EE5624">
              <w:rPr>
                <w:i/>
              </w:rPr>
              <w:t xml:space="preserve">Dochádza k zvýšeniu/zníženiu priamych finančných nákladov (poplatky, odvody, dane clá...)? Ak áno, popíšte a vyčíslite ich. Uveďte tiež spôsob ich výpočtu. </w:t>
            </w:r>
          </w:p>
        </w:tc>
      </w:tr>
      <w:tr w:rsidR="00153DC3" w:rsidRPr="00EE5624" w:rsidTr="00217903">
        <w:tc>
          <w:tcPr>
            <w:tcW w:w="9212" w:type="dxa"/>
          </w:tcPr>
          <w:p w:rsidR="00153DC3" w:rsidRPr="00EE5624" w:rsidRDefault="00153DC3" w:rsidP="00BA65C3">
            <w:pPr>
              <w:jc w:val="both"/>
              <w:rPr>
                <w:b/>
                <w:i/>
              </w:rPr>
            </w:pPr>
            <w:r w:rsidRPr="00EE5624">
              <w:t xml:space="preserve">Rozsah tohto vplyvu </w:t>
            </w:r>
            <w:r w:rsidRPr="00EE5624">
              <w:rPr>
                <w:b/>
              </w:rPr>
              <w:t>nie je možné kvalifikovane ani odhadnúť</w:t>
            </w:r>
            <w:r w:rsidRPr="00EE5624">
              <w:t xml:space="preserve"> pre absenciu relevantných údajov</w:t>
            </w:r>
            <w:r w:rsidR="00100FF0">
              <w:t>, nakoľko nie je možné odhadnúť počet nových žiadateľov o</w:t>
            </w:r>
            <w:r w:rsidR="005E28DA">
              <w:t> pripojenie sa na verejnú kanalizáciu (noví budúci producenti odpadových vôd, ktorým sa budú realizovať zaústenia kanalizačnej prípojky do verejnej kanalizácie)</w:t>
            </w:r>
            <w:r w:rsidRPr="00EE5624">
              <w:t xml:space="preserve">.  </w:t>
            </w:r>
            <w:r w:rsidR="004353D5" w:rsidRPr="00E14810">
              <w:t xml:space="preserve">Náklady na zaústenie kanalizačnej prípojky na verejnú kanalizáciu kolíšu rôzne v závislosti od miesta realizácie (napr. pod cestou 2. triedy), geologických pomerov, uloženia iných inžinierskych sietí a ďalších faktorov od </w:t>
            </w:r>
            <w:r w:rsidR="00044944" w:rsidRPr="00E14810">
              <w:t xml:space="preserve">cca </w:t>
            </w:r>
            <w:r w:rsidR="004353D5" w:rsidRPr="00E14810">
              <w:t>1 </w:t>
            </w:r>
            <w:r w:rsidR="00334ACE">
              <w:t>3</w:t>
            </w:r>
            <w:r w:rsidR="004353D5" w:rsidRPr="00E14810">
              <w:t>00 € (v menšej obci) do cca 5 000 € (napr. v Bratislave).</w:t>
            </w:r>
            <w:r w:rsidR="001770A8" w:rsidRPr="00E14810">
              <w:t xml:space="preserve">Vlastníkmi verejných kanalizácií sú jednak regionálne vodárenské spoločnosti, akciové spoločnosti – 14 veľkých spoločností (ktoré spravujú verejné kanalizácie v 667 </w:t>
            </w:r>
            <w:r w:rsidR="001770A8" w:rsidRPr="00E14810">
              <w:lastRenderedPageBreak/>
              <w:t>obciach s počtom obyvateľov pripojených na verejnú kanalizáciu 3 206 582 )  a 444 obcí, ktoré majú v správe spravidla menšie verejné kanalizácie s počtom obyvateľov pripojených na verejnú kanalizáciu 396</w:t>
            </w:r>
            <w:r w:rsidR="00B50161" w:rsidRPr="00E14810">
              <w:t> </w:t>
            </w:r>
            <w:r w:rsidR="001770A8" w:rsidRPr="00E14810">
              <w:t>535</w:t>
            </w:r>
            <w:r w:rsidR="00B50161" w:rsidRPr="00E14810">
              <w:t xml:space="preserve">. </w:t>
            </w:r>
            <w:r w:rsidR="00BA65C3">
              <w:t xml:space="preserve"> Nakoľko len časť regionálnych vodárenských spoločností poskytla „odhadované“ počty potenciálnych zaústení ich je okolo 41 499, pričom územná pôsobnosť týchto  vodárenských  spoločností je veľmi rozdielna, aj počet potenciálnych zaústení je význačne rozdielny – odhad od cca 110 kusov po 11 200 kusov (na jednu spoločnosť). </w:t>
            </w:r>
            <w:r w:rsidR="00BA65C3" w:rsidRPr="00BD694A">
              <w:t>Náklady</w:t>
            </w:r>
            <w:r w:rsidR="00B02DBF" w:rsidRPr="00BD694A">
              <w:t xml:space="preserve"> na zaústenie  sa tiež výrazne líšia v závislosti od miesta realizácie zaústenia, či je to mesto alebo obec, od triedy komunikácie, zemných prác, súvisiacich prác s odvezením výkopu na skládku, projektu dopravného značenia, samotné dopravné značenie, spätnej úpravy povrchu vozovky, od miestnych poplatkov a pod.</w:t>
            </w:r>
            <w:r w:rsidR="00B02DBF">
              <w:rPr>
                <w:shd w:val="clear" w:color="auto" w:fill="FFFF00"/>
              </w:rPr>
              <w:t xml:space="preserve"> </w:t>
            </w:r>
            <w:r w:rsidR="00BA65C3">
              <w:t xml:space="preserve"> </w:t>
            </w:r>
            <w:r w:rsidR="00A13C33" w:rsidRPr="00E14810">
              <w:t xml:space="preserve">Miera pripojenia producentov na verejné kanalizácie je rôzna v rámci jednotlivých verejných kanalizácií. </w:t>
            </w:r>
            <w:r w:rsidR="00B50161" w:rsidRPr="00E14810">
              <w:t>Je predpoklad, že najmä v aglomeráciách pod 2 000 ekvivalentných obyvateľov sa prevažne budú realizovať zaústenia tam, kde to bude technicky možné a kapacita verejnej kanalizácie to umožní</w:t>
            </w:r>
            <w:r w:rsidR="00B02DBF">
              <w:t>, t. j. menšie obce</w:t>
            </w:r>
            <w:r w:rsidR="00B50161" w:rsidRPr="00E14810">
              <w:t>.</w:t>
            </w:r>
            <w:r w:rsidR="00044944" w:rsidRPr="00E14810">
              <w:t xml:space="preserve"> </w:t>
            </w:r>
            <w:r w:rsidR="00A13C33" w:rsidRPr="00E14810">
              <w:t>V aglomeráciách nad 2 000 ekvivalentných obyvateľov boli zaústenia (odbočenia) budované v rámci projektov spolufinancovaných z EÚ prostriedkov z operačných programov</w:t>
            </w:r>
            <w:r w:rsidR="00334ACE">
              <w:t>: OP Životné prostredie</w:t>
            </w:r>
            <w:r w:rsidR="00A13C33" w:rsidRPr="00E14810">
              <w:t xml:space="preserve"> v rokoch 2007 – 2013 a </w:t>
            </w:r>
            <w:r w:rsidR="00334ACE">
              <w:t>od</w:t>
            </w:r>
            <w:r w:rsidR="00A13C33" w:rsidRPr="00E14810">
              <w:t xml:space="preserve"> roku 2014</w:t>
            </w:r>
            <w:r w:rsidR="00334ACE">
              <w:t xml:space="preserve"> v rámci OP Kvalita životné prostredia </w:t>
            </w:r>
            <w:r w:rsidR="00A13C33" w:rsidRPr="00E14810">
              <w:t xml:space="preserve">. </w:t>
            </w:r>
            <w:r w:rsidR="00044944" w:rsidRPr="00E14810">
              <w:t>Pripojením nových producentov odpadových vôd na verejnú kanalizáciu sa dosiahne jej efektívne využitie a zvyčajne aj zlepšenie prevádzky na čistiarni odpadových vôd.</w:t>
            </w:r>
            <w:r w:rsidR="002C65D6">
              <w:t xml:space="preserve"> </w:t>
            </w:r>
            <w:r w:rsidR="00334ACE">
              <w:t>Má to významný pozitívny vplyv na kvalitu podzemných a povrchových vôd v danej obci, oblasti, ak budú odpadové vody odvádzané stokovou sieťou a následne čistené v čistiarni odpadových vôd. V opačnom prípade, ak sa budú i naďalej používať žumpy (často už netesné), bude ohrozovaná kvalita podzemných vôd, ktorú v menších obciach občania často využívajú na individuálne zásobovanie z vlastných domových studní.</w:t>
            </w:r>
            <w:r w:rsidR="00B02DBF">
              <w:t xml:space="preserve"> </w:t>
            </w:r>
          </w:p>
        </w:tc>
      </w:tr>
      <w:tr w:rsidR="00153DC3" w:rsidRPr="00EE5624" w:rsidTr="00217903">
        <w:tc>
          <w:tcPr>
            <w:tcW w:w="9212" w:type="dxa"/>
          </w:tcPr>
          <w:p w:rsidR="00153DC3" w:rsidRPr="00EE5624" w:rsidRDefault="00153DC3" w:rsidP="00217903">
            <w:pPr>
              <w:rPr>
                <w:b/>
                <w:i/>
              </w:rPr>
            </w:pPr>
            <w:r w:rsidRPr="00EE5624">
              <w:rPr>
                <w:b/>
                <w:i/>
              </w:rPr>
              <w:lastRenderedPageBreak/>
              <w:t>3.3.2 Nepriame finančné náklady</w:t>
            </w:r>
          </w:p>
          <w:p w:rsidR="00153DC3" w:rsidRPr="00EE5624" w:rsidRDefault="00153DC3" w:rsidP="00217903">
            <w:pPr>
              <w:rPr>
                <w:i/>
              </w:rPr>
            </w:pPr>
            <w:r w:rsidRPr="00EE5624">
              <w:rPr>
                <w:i/>
              </w:rPr>
              <w:t>Vyžaduje si predkladaný návrh dodatočné náklady na nákup tovarov alebo služieb? Zvyšuje predkladaný návrh náklady súvisiace so zamestnávaním? Ak áno, popíšte a vyčíslite ich. Uveďte tiež spôsob ich výpočtu.</w:t>
            </w:r>
          </w:p>
        </w:tc>
      </w:tr>
      <w:tr w:rsidR="00153DC3" w:rsidRPr="00EE5624" w:rsidTr="00217903">
        <w:tc>
          <w:tcPr>
            <w:tcW w:w="9212" w:type="dxa"/>
            <w:vAlign w:val="center"/>
          </w:tcPr>
          <w:p w:rsidR="00153DC3" w:rsidRPr="00EE5624" w:rsidRDefault="00153DC3" w:rsidP="00217903">
            <w:pPr>
              <w:rPr>
                <w:b/>
                <w:i/>
                <w:sz w:val="22"/>
              </w:rPr>
            </w:pPr>
            <w:r w:rsidRPr="00EE5624">
              <w:t>Návrh si nevyžaduje dodatočné náklady v súvislosti so zamestnávaním</w:t>
            </w:r>
            <w:r w:rsidRPr="00EE5624">
              <w:rPr>
                <w:sz w:val="22"/>
              </w:rPr>
              <w:t>.</w:t>
            </w:r>
          </w:p>
          <w:p w:rsidR="00153DC3" w:rsidRPr="00EE5624" w:rsidRDefault="00153DC3" w:rsidP="00217903">
            <w:pPr>
              <w:rPr>
                <w:b/>
                <w:i/>
                <w:sz w:val="22"/>
              </w:rPr>
            </w:pPr>
          </w:p>
        </w:tc>
      </w:tr>
      <w:tr w:rsidR="00153DC3" w:rsidRPr="00EE5624" w:rsidTr="00217903">
        <w:tc>
          <w:tcPr>
            <w:tcW w:w="9212" w:type="dxa"/>
          </w:tcPr>
          <w:p w:rsidR="00153DC3" w:rsidRPr="00EE5624" w:rsidRDefault="00153DC3" w:rsidP="00217903">
            <w:pPr>
              <w:rPr>
                <w:b/>
                <w:i/>
              </w:rPr>
            </w:pPr>
            <w:r w:rsidRPr="00EE5624">
              <w:rPr>
                <w:b/>
                <w:i/>
              </w:rPr>
              <w:t>3.3.3 Administratívne náklady</w:t>
            </w:r>
          </w:p>
          <w:p w:rsidR="00153DC3" w:rsidRPr="00EE5624" w:rsidRDefault="00153DC3" w:rsidP="00217903">
            <w:pPr>
              <w:rPr>
                <w:i/>
              </w:rPr>
            </w:pPr>
            <w:r w:rsidRPr="00EE5624">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153DC3" w:rsidRPr="00EE5624" w:rsidTr="00217903">
        <w:trPr>
          <w:trHeight w:val="703"/>
        </w:trPr>
        <w:tc>
          <w:tcPr>
            <w:tcW w:w="9212" w:type="dxa"/>
            <w:vAlign w:val="center"/>
          </w:tcPr>
          <w:p w:rsidR="00153DC3" w:rsidRPr="00EE5624" w:rsidRDefault="00153DC3" w:rsidP="007F0FF9">
            <w:pPr>
              <w:jc w:val="both"/>
              <w:rPr>
                <w:b/>
                <w:i/>
              </w:rPr>
            </w:pPr>
            <w:r w:rsidRPr="00EE5624">
              <w:t xml:space="preserve">Návrh nevyvoláva </w:t>
            </w:r>
            <w:r w:rsidR="007577CC" w:rsidRPr="00E14810">
              <w:t xml:space="preserve">priame významné </w:t>
            </w:r>
            <w:r w:rsidRPr="00E14810">
              <w:t>zvýšenie administratívnych nákladov zamestnávateľov</w:t>
            </w:r>
            <w:r w:rsidR="007577CC" w:rsidRPr="00E14810">
              <w:t xml:space="preserve"> (vlastníkov verejných vodovodov alebo verejných kanalizácií)</w:t>
            </w:r>
            <w:r w:rsidR="007577CC" w:rsidRPr="00E14810">
              <w:rPr>
                <w:sz w:val="22"/>
              </w:rPr>
              <w:t xml:space="preserve"> v súvislosti s obnovou verejného vodovodu alebo verejnej kanalizácie. Vlastníci týchto inžinierskych sietí už majú vypracovaný plán obnovy existujúceho majetku, ktorý priebežne aktualizujú a teraz sa im ukladá povinnosť na požiadanie napr. </w:t>
            </w:r>
            <w:r w:rsidR="00BD694A">
              <w:rPr>
                <w:sz w:val="22"/>
              </w:rPr>
              <w:t>ministerstvu, alebo okresnému úradu</w:t>
            </w:r>
            <w:r w:rsidR="007577CC" w:rsidRPr="00E14810">
              <w:rPr>
                <w:sz w:val="22"/>
              </w:rPr>
              <w:t xml:space="preserve"> preukazovanie použitia rezervy finančných prostriedkov z osobitného účtu  použitého na obnovu.</w:t>
            </w:r>
            <w:r w:rsidR="007577CC">
              <w:rPr>
                <w:sz w:val="22"/>
              </w:rPr>
              <w:t xml:space="preserve"> </w:t>
            </w:r>
            <w:r w:rsidR="00BD694A">
              <w:rPr>
                <w:sz w:val="22"/>
              </w:rPr>
              <w:t xml:space="preserve">Tieto údaje už aj dnes sledujú a vyhodnocujú ich v rámci svojich </w:t>
            </w:r>
            <w:r w:rsidR="007F0FF9">
              <w:rPr>
                <w:sz w:val="22"/>
              </w:rPr>
              <w:t xml:space="preserve">vodárenských </w:t>
            </w:r>
            <w:r w:rsidR="00BD694A">
              <w:rPr>
                <w:sz w:val="22"/>
              </w:rPr>
              <w:t>spoločností</w:t>
            </w:r>
            <w:r w:rsidR="007F0FF9">
              <w:rPr>
                <w:sz w:val="22"/>
              </w:rPr>
              <w:t xml:space="preserve"> – najmä jednak v investičných plánoch aj pre Úrad pre reguláciu sieťových odvetví, kde hlásia opravy a rekonštrukcie existujúcich objektov verejných vodovodov a verejných kanalizácií (pri návrhu regulovanej ceny)</w:t>
            </w:r>
            <w:r w:rsidR="00BD694A">
              <w:rPr>
                <w:sz w:val="22"/>
              </w:rPr>
              <w:t xml:space="preserve">. </w:t>
            </w:r>
            <w:r w:rsidR="007F0FF9">
              <w:rPr>
                <w:sz w:val="22"/>
              </w:rPr>
              <w:t>Presne nie je možné vyčísliť tieto administratívne náklady, ktoré budú minimálne, podľa vyššie uvedeného, už sledovania finančných výdavkov na obnovu („opravy“ – napríklad výmena vodovodného potrubia alebo kanalizačného potrubia alebo iných objektov na sieti alebo ich rekonštrukcie</w:t>
            </w:r>
            <w:r w:rsidR="00B91DF5">
              <w:rPr>
                <w:sz w:val="22"/>
              </w:rPr>
              <w:t>)</w:t>
            </w:r>
            <w:r w:rsidR="00C037A8">
              <w:rPr>
                <w:sz w:val="22"/>
              </w:rPr>
              <w:t xml:space="preserve"> vodárenskými spoločnosťami</w:t>
            </w:r>
            <w:r w:rsidR="007F0FF9">
              <w:rPr>
                <w:sz w:val="22"/>
              </w:rPr>
              <w:t>.</w:t>
            </w:r>
          </w:p>
        </w:tc>
      </w:tr>
      <w:tr w:rsidR="00153DC3" w:rsidRPr="00EE5624" w:rsidTr="00217903">
        <w:trPr>
          <w:trHeight w:val="2318"/>
        </w:trPr>
        <w:tc>
          <w:tcPr>
            <w:tcW w:w="9212" w:type="dxa"/>
          </w:tcPr>
          <w:p w:rsidR="00153DC3" w:rsidRPr="00EE5624" w:rsidRDefault="00153DC3" w:rsidP="00217903">
            <w:pPr>
              <w:rPr>
                <w:i/>
              </w:rPr>
            </w:pPr>
            <w:r w:rsidRPr="00EE5624">
              <w:rPr>
                <w:b/>
                <w:i/>
              </w:rPr>
              <w:t>3.3.4 Súhrnná tabuľka nákladov regulácie</w:t>
            </w:r>
          </w:p>
          <w:p w:rsidR="00153DC3" w:rsidRPr="00EE5624" w:rsidRDefault="00153DC3" w:rsidP="0021790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2942"/>
              <w:gridCol w:w="2945"/>
            </w:tblGrid>
            <w:tr w:rsidR="00153DC3" w:rsidRPr="00EE5624" w:rsidTr="00217903">
              <w:tc>
                <w:tcPr>
                  <w:tcW w:w="2993"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rPr>
                      <w:i/>
                      <w:sz w:val="22"/>
                    </w:rPr>
                  </w:pPr>
                </w:p>
              </w:tc>
              <w:tc>
                <w:tcPr>
                  <w:tcW w:w="2994"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jc w:val="center"/>
                    <w:rPr>
                      <w:i/>
                      <w:sz w:val="22"/>
                    </w:rPr>
                  </w:pPr>
                  <w:r w:rsidRPr="00EE5624">
                    <w:rPr>
                      <w:i/>
                      <w:sz w:val="22"/>
                    </w:rPr>
                    <w:t>Náklady na 1 podnikateľa v eurách ročne</w:t>
                  </w:r>
                </w:p>
              </w:tc>
              <w:tc>
                <w:tcPr>
                  <w:tcW w:w="2994"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jc w:val="center"/>
                    <w:rPr>
                      <w:i/>
                      <w:sz w:val="22"/>
                    </w:rPr>
                  </w:pPr>
                  <w:r w:rsidRPr="00EE5624">
                    <w:rPr>
                      <w:i/>
                      <w:sz w:val="22"/>
                    </w:rPr>
                    <w:t>Náklady na celé podnikateľské prostredie v eurách</w:t>
                  </w:r>
                </w:p>
              </w:tc>
            </w:tr>
            <w:tr w:rsidR="00153DC3" w:rsidRPr="00EE5624" w:rsidTr="00217903">
              <w:tc>
                <w:tcPr>
                  <w:tcW w:w="2993"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rPr>
                      <w:i/>
                      <w:sz w:val="22"/>
                    </w:rPr>
                  </w:pPr>
                  <w:r w:rsidRPr="00EE5624">
                    <w:rPr>
                      <w:i/>
                      <w:sz w:val="22"/>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153DC3" w:rsidRPr="00EE5624" w:rsidRDefault="00537467" w:rsidP="00537467">
                  <w:pPr>
                    <w:jc w:val="center"/>
                    <w:rPr>
                      <w:i/>
                      <w:sz w:val="22"/>
                    </w:rPr>
                  </w:pPr>
                  <w:r>
                    <w:rPr>
                      <w:i/>
                      <w:sz w:val="22"/>
                    </w:rPr>
                    <w:t>Nie je možné kvantifikovať na jednotlivé vodárenské spoločnosti</w:t>
                  </w:r>
                </w:p>
              </w:tc>
              <w:tc>
                <w:tcPr>
                  <w:tcW w:w="2994" w:type="dxa"/>
                  <w:tcBorders>
                    <w:top w:val="single" w:sz="4" w:space="0" w:color="auto"/>
                    <w:left w:val="single" w:sz="4" w:space="0" w:color="auto"/>
                    <w:bottom w:val="single" w:sz="4" w:space="0" w:color="auto"/>
                    <w:right w:val="single" w:sz="4" w:space="0" w:color="auto"/>
                  </w:tcBorders>
                </w:tcPr>
                <w:p w:rsidR="00153DC3" w:rsidRPr="00EE5624" w:rsidRDefault="00AF1A18" w:rsidP="00217903">
                  <w:pPr>
                    <w:jc w:val="center"/>
                    <w:rPr>
                      <w:i/>
                      <w:sz w:val="22"/>
                    </w:rPr>
                  </w:pPr>
                  <w:r>
                    <w:rPr>
                      <w:i/>
                      <w:sz w:val="22"/>
                    </w:rPr>
                    <w:t>Nie je možné kvantifikovať</w:t>
                  </w:r>
                </w:p>
              </w:tc>
            </w:tr>
            <w:tr w:rsidR="00153DC3" w:rsidRPr="00EE5624" w:rsidTr="00217903">
              <w:tc>
                <w:tcPr>
                  <w:tcW w:w="2993"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rPr>
                      <w:i/>
                      <w:sz w:val="22"/>
                    </w:rPr>
                  </w:pPr>
                  <w:r w:rsidRPr="00EE5624">
                    <w:rPr>
                      <w:i/>
                      <w:sz w:val="22"/>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jc w:val="center"/>
                    <w:rPr>
                      <w:i/>
                      <w:sz w:val="22"/>
                    </w:rPr>
                  </w:pPr>
                </w:p>
              </w:tc>
              <w:tc>
                <w:tcPr>
                  <w:tcW w:w="2994"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jc w:val="center"/>
                    <w:rPr>
                      <w:i/>
                      <w:sz w:val="22"/>
                    </w:rPr>
                  </w:pPr>
                </w:p>
              </w:tc>
            </w:tr>
            <w:tr w:rsidR="00153DC3" w:rsidRPr="00EE5624" w:rsidTr="00217903">
              <w:tc>
                <w:tcPr>
                  <w:tcW w:w="2993"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rPr>
                      <w:i/>
                      <w:sz w:val="22"/>
                    </w:rPr>
                  </w:pPr>
                  <w:r w:rsidRPr="00EE5624">
                    <w:rPr>
                      <w:i/>
                      <w:sz w:val="22"/>
                    </w:rPr>
                    <w:t>Administratívne náklad</w:t>
                  </w:r>
                </w:p>
              </w:tc>
              <w:tc>
                <w:tcPr>
                  <w:tcW w:w="2994" w:type="dxa"/>
                  <w:tcBorders>
                    <w:top w:val="single" w:sz="4" w:space="0" w:color="auto"/>
                    <w:left w:val="single" w:sz="4" w:space="0" w:color="auto"/>
                    <w:bottom w:val="single" w:sz="4" w:space="0" w:color="auto"/>
                    <w:right w:val="single" w:sz="4" w:space="0" w:color="auto"/>
                  </w:tcBorders>
                </w:tcPr>
                <w:p w:rsidR="00153DC3" w:rsidRPr="00EE5624" w:rsidRDefault="00537467" w:rsidP="00537467">
                  <w:pPr>
                    <w:jc w:val="center"/>
                    <w:rPr>
                      <w:i/>
                      <w:sz w:val="22"/>
                    </w:rPr>
                  </w:pPr>
                  <w:r>
                    <w:rPr>
                      <w:i/>
                      <w:sz w:val="22"/>
                    </w:rPr>
                    <w:t>Nie je možné kvantifikovať na jednotlivé vodárenské spoločnosti</w:t>
                  </w:r>
                </w:p>
              </w:tc>
              <w:tc>
                <w:tcPr>
                  <w:tcW w:w="2994" w:type="dxa"/>
                  <w:tcBorders>
                    <w:top w:val="single" w:sz="4" w:space="0" w:color="auto"/>
                    <w:left w:val="single" w:sz="4" w:space="0" w:color="auto"/>
                    <w:bottom w:val="single" w:sz="4" w:space="0" w:color="auto"/>
                    <w:right w:val="single" w:sz="4" w:space="0" w:color="auto"/>
                  </w:tcBorders>
                </w:tcPr>
                <w:p w:rsidR="00153DC3" w:rsidRPr="00EE5624" w:rsidRDefault="00AF1A18" w:rsidP="00217903">
                  <w:pPr>
                    <w:jc w:val="center"/>
                    <w:rPr>
                      <w:i/>
                      <w:sz w:val="22"/>
                    </w:rPr>
                  </w:pPr>
                  <w:r>
                    <w:rPr>
                      <w:i/>
                      <w:sz w:val="22"/>
                    </w:rPr>
                    <w:t>Nie je možné kvantifikovať</w:t>
                  </w:r>
                </w:p>
              </w:tc>
            </w:tr>
            <w:tr w:rsidR="00153DC3" w:rsidRPr="00EE5624" w:rsidTr="00217903">
              <w:tc>
                <w:tcPr>
                  <w:tcW w:w="2993"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rPr>
                      <w:b/>
                      <w:i/>
                      <w:sz w:val="22"/>
                    </w:rPr>
                  </w:pPr>
                  <w:r w:rsidRPr="00EE5624">
                    <w:rPr>
                      <w:b/>
                      <w:i/>
                      <w:sz w:val="22"/>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jc w:val="center"/>
                    <w:rPr>
                      <w:b/>
                      <w:i/>
                      <w:sz w:val="22"/>
                    </w:rPr>
                  </w:pPr>
                </w:p>
              </w:tc>
              <w:tc>
                <w:tcPr>
                  <w:tcW w:w="2994" w:type="dxa"/>
                  <w:tcBorders>
                    <w:top w:val="single" w:sz="4" w:space="0" w:color="auto"/>
                    <w:left w:val="single" w:sz="4" w:space="0" w:color="auto"/>
                    <w:bottom w:val="single" w:sz="4" w:space="0" w:color="auto"/>
                    <w:right w:val="single" w:sz="4" w:space="0" w:color="auto"/>
                  </w:tcBorders>
                </w:tcPr>
                <w:p w:rsidR="00153DC3" w:rsidRPr="00EE5624" w:rsidRDefault="00153DC3" w:rsidP="00217903">
                  <w:pPr>
                    <w:jc w:val="center"/>
                    <w:rPr>
                      <w:b/>
                      <w:i/>
                      <w:sz w:val="22"/>
                    </w:rPr>
                  </w:pPr>
                </w:p>
              </w:tc>
            </w:tr>
          </w:tbl>
          <w:p w:rsidR="00153DC3" w:rsidRPr="00EE5624" w:rsidRDefault="00153DC3" w:rsidP="00217903">
            <w:pPr>
              <w:rPr>
                <w:i/>
              </w:rPr>
            </w:pPr>
          </w:p>
          <w:p w:rsidR="00153DC3" w:rsidRPr="00EE5624" w:rsidRDefault="00153DC3" w:rsidP="00217903">
            <w:pPr>
              <w:rPr>
                <w:i/>
              </w:rPr>
            </w:pPr>
            <w:r w:rsidRPr="00EE5624">
              <w:rPr>
                <w:b/>
              </w:rPr>
              <w:t>nie je možné kvantifikovať</w:t>
            </w:r>
          </w:p>
        </w:tc>
      </w:tr>
      <w:tr w:rsidR="00153DC3" w:rsidRPr="00EE5624" w:rsidTr="00217903">
        <w:tc>
          <w:tcPr>
            <w:tcW w:w="9212" w:type="dxa"/>
            <w:shd w:val="clear" w:color="auto" w:fill="D9D9D9"/>
          </w:tcPr>
          <w:p w:rsidR="00153DC3" w:rsidRPr="00EE5624" w:rsidRDefault="00153DC3" w:rsidP="00217903">
            <w:pPr>
              <w:rPr>
                <w:b/>
                <w:sz w:val="24"/>
              </w:rPr>
            </w:pPr>
            <w:r w:rsidRPr="00EE5624">
              <w:rPr>
                <w:b/>
                <w:sz w:val="24"/>
              </w:rPr>
              <w:t>3.4 Konkurencieschopnosť a správanie sa podnikov na trhu</w:t>
            </w:r>
          </w:p>
          <w:p w:rsidR="00153DC3" w:rsidRPr="00EE5624" w:rsidRDefault="00153DC3" w:rsidP="00217903">
            <w:r w:rsidRPr="00EE5624">
              <w:rPr>
                <w:b/>
                <w:sz w:val="24"/>
              </w:rPr>
              <w:t xml:space="preserve">       </w:t>
            </w:r>
            <w:r w:rsidRPr="00EE5624">
              <w:rPr>
                <w:sz w:val="24"/>
              </w:rPr>
              <w:t xml:space="preserve">- </w:t>
            </w:r>
            <w:r w:rsidRPr="00EE5624">
              <w:rPr>
                <w:b/>
                <w:sz w:val="24"/>
              </w:rPr>
              <w:t>z toho MSP</w:t>
            </w:r>
          </w:p>
        </w:tc>
      </w:tr>
      <w:tr w:rsidR="00153DC3" w:rsidRPr="00EE5624" w:rsidTr="00217903">
        <w:tc>
          <w:tcPr>
            <w:tcW w:w="9212" w:type="dxa"/>
          </w:tcPr>
          <w:p w:rsidR="00153DC3" w:rsidRPr="00EE5624" w:rsidRDefault="00153DC3" w:rsidP="00217903">
            <w:pPr>
              <w:rPr>
                <w:i/>
              </w:rPr>
            </w:pPr>
            <w:r w:rsidRPr="00EE5624">
              <w:rPr>
                <w:i/>
              </w:rPr>
              <w:lastRenderedPageBreak/>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153DC3" w:rsidRPr="00EE5624" w:rsidRDefault="00153DC3" w:rsidP="00217903">
            <w:pPr>
              <w:rPr>
                <w:i/>
              </w:rPr>
            </w:pPr>
            <w:r w:rsidRPr="00EE5624">
              <w:rPr>
                <w:i/>
              </w:rPr>
              <w:t>Aký vplyv bude mať navrhovaná zmena na obchodné bariéry? Bude mať vplyv na vyvolanie cezhraničných investícií (príliv /odliv zahraničných investícií resp. uplatnenie slovenských podnikov na zahraničných trhoch)? Ak áno, popíšte.</w:t>
            </w:r>
          </w:p>
          <w:p w:rsidR="00153DC3" w:rsidRPr="00EE5624" w:rsidRDefault="00153DC3" w:rsidP="00217903">
            <w:pPr>
              <w:rPr>
                <w:i/>
              </w:rPr>
            </w:pPr>
            <w:r w:rsidRPr="00EE5624">
              <w:rPr>
                <w:i/>
              </w:rPr>
              <w:t>Ako ovplyvní cenu alebo dostupnosť základných zdrojov (suroviny, mechanizmy, pracovná sila, energie atď.)?</w:t>
            </w:r>
          </w:p>
          <w:p w:rsidR="00153DC3" w:rsidRPr="00EE5624" w:rsidRDefault="00153DC3" w:rsidP="00217903">
            <w:pPr>
              <w:rPr>
                <w:i/>
              </w:rPr>
            </w:pPr>
            <w:r w:rsidRPr="00EE5624">
              <w:rPr>
                <w:i/>
              </w:rPr>
              <w:t>Ovplyvňuje prístup k financiám? Ak áno, ako?</w:t>
            </w:r>
          </w:p>
        </w:tc>
      </w:tr>
      <w:tr w:rsidR="00153DC3" w:rsidRPr="00EE5624" w:rsidTr="00217903">
        <w:trPr>
          <w:trHeight w:val="562"/>
        </w:trPr>
        <w:tc>
          <w:tcPr>
            <w:tcW w:w="9212" w:type="dxa"/>
            <w:vAlign w:val="center"/>
          </w:tcPr>
          <w:p w:rsidR="00153DC3" w:rsidRPr="00EE5624" w:rsidRDefault="00153DC3" w:rsidP="00217903">
            <w:r w:rsidRPr="00EE5624">
              <w:t>Bez priameho vplyvu na vytváranie obchodných bariér</w:t>
            </w:r>
            <w:r w:rsidRPr="00EE5624">
              <w:rPr>
                <w:sz w:val="22"/>
              </w:rPr>
              <w:t>.</w:t>
            </w:r>
          </w:p>
        </w:tc>
      </w:tr>
      <w:tr w:rsidR="00153DC3" w:rsidRPr="00EE5624" w:rsidTr="00217903">
        <w:tc>
          <w:tcPr>
            <w:tcW w:w="9212" w:type="dxa"/>
            <w:shd w:val="clear" w:color="auto" w:fill="D9D9D9"/>
          </w:tcPr>
          <w:p w:rsidR="00153DC3" w:rsidRPr="00EE5624" w:rsidRDefault="00153DC3" w:rsidP="00217903">
            <w:pPr>
              <w:rPr>
                <w:b/>
                <w:sz w:val="24"/>
              </w:rPr>
            </w:pPr>
            <w:r w:rsidRPr="00EE5624">
              <w:rPr>
                <w:b/>
                <w:sz w:val="24"/>
              </w:rPr>
              <w:t xml:space="preserve">3.5 Inovácie </w:t>
            </w:r>
          </w:p>
          <w:p w:rsidR="00153DC3" w:rsidRPr="00EE5624" w:rsidRDefault="00153DC3" w:rsidP="00217903">
            <w:pPr>
              <w:rPr>
                <w:b/>
              </w:rPr>
            </w:pPr>
            <w:r w:rsidRPr="00EE5624">
              <w:rPr>
                <w:sz w:val="24"/>
              </w:rPr>
              <w:t xml:space="preserve">       - </w:t>
            </w:r>
            <w:r w:rsidRPr="00EE5624">
              <w:rPr>
                <w:b/>
                <w:sz w:val="24"/>
              </w:rPr>
              <w:t>z toho MSP</w:t>
            </w:r>
          </w:p>
        </w:tc>
      </w:tr>
      <w:tr w:rsidR="00153DC3" w:rsidRPr="00EE5624" w:rsidTr="00217903">
        <w:tc>
          <w:tcPr>
            <w:tcW w:w="9212" w:type="dxa"/>
          </w:tcPr>
          <w:p w:rsidR="00153DC3" w:rsidRPr="00EE5624" w:rsidRDefault="00153DC3" w:rsidP="00217903">
            <w:pPr>
              <w:rPr>
                <w:i/>
              </w:rPr>
            </w:pPr>
            <w:r w:rsidRPr="00EE5624">
              <w:rPr>
                <w:i/>
              </w:rPr>
              <w:t>Uveďte, ako podporuje navrhovaná zmena inovácie.</w:t>
            </w:r>
          </w:p>
          <w:p w:rsidR="00153DC3" w:rsidRPr="00EE5624" w:rsidRDefault="00153DC3" w:rsidP="00217903">
            <w:pPr>
              <w:rPr>
                <w:i/>
              </w:rPr>
            </w:pPr>
            <w:r w:rsidRPr="00EE5624">
              <w:rPr>
                <w:i/>
              </w:rPr>
              <w:t>Zjednodušuje uvedenie alebo rozšírenie nových výrobných metód, technológií a výrobkov na trh?</w:t>
            </w:r>
          </w:p>
          <w:p w:rsidR="00153DC3" w:rsidRPr="00EE5624" w:rsidRDefault="00153DC3" w:rsidP="00217903">
            <w:pPr>
              <w:rPr>
                <w:i/>
              </w:rPr>
            </w:pPr>
            <w:r w:rsidRPr="00EE5624">
              <w:rPr>
                <w:i/>
              </w:rPr>
              <w:t>Uveďte, ako vplýva navrhovaná zmena na jednotlivé práva duševného vlastníctva (napr. patenty, ochranné známky, autorské práva, vlastníctvo know-how).</w:t>
            </w:r>
          </w:p>
          <w:p w:rsidR="00153DC3" w:rsidRPr="00EE5624" w:rsidRDefault="00153DC3" w:rsidP="00217903">
            <w:pPr>
              <w:rPr>
                <w:i/>
              </w:rPr>
            </w:pPr>
            <w:r w:rsidRPr="00EE5624">
              <w:rPr>
                <w:i/>
              </w:rPr>
              <w:t>Podporuje vyššiu efektivitu výroby/využívania zdrojov? Ak áno, ako?</w:t>
            </w:r>
          </w:p>
          <w:p w:rsidR="00153DC3" w:rsidRPr="00EE5624" w:rsidRDefault="00153DC3" w:rsidP="00217903">
            <w:r w:rsidRPr="00EE5624">
              <w:rPr>
                <w:i/>
              </w:rPr>
              <w:t>Vytvorí zmena nové pracovné miesta pre zamestnancov výskumu a vývoja v SR?</w:t>
            </w:r>
          </w:p>
        </w:tc>
      </w:tr>
      <w:tr w:rsidR="00153DC3" w:rsidRPr="00EE5624" w:rsidTr="00217903">
        <w:trPr>
          <w:trHeight w:val="441"/>
        </w:trPr>
        <w:tc>
          <w:tcPr>
            <w:tcW w:w="9212" w:type="dxa"/>
            <w:vAlign w:val="center"/>
          </w:tcPr>
          <w:p w:rsidR="00153DC3" w:rsidRPr="00EE5624" w:rsidRDefault="00153DC3" w:rsidP="00217903">
            <w:r w:rsidRPr="00EE5624">
              <w:t>Bez vplyvu na inovácie.</w:t>
            </w:r>
          </w:p>
        </w:tc>
      </w:tr>
    </w:tbl>
    <w:p w:rsidR="00153DC3" w:rsidRPr="0051020D" w:rsidRDefault="00153DC3" w:rsidP="00153DC3">
      <w:pPr>
        <w:jc w:val="both"/>
        <w:outlineLvl w:val="0"/>
        <w:rPr>
          <w:bCs/>
          <w:sz w:val="24"/>
          <w:szCs w:val="24"/>
        </w:rPr>
      </w:pPr>
    </w:p>
    <w:p w:rsidR="00B23754" w:rsidRDefault="00B23754"/>
    <w:sectPr w:rsidR="00B23754" w:rsidSect="00E47296">
      <w:headerReference w:type="default" r:id="rId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58" w:rsidRDefault="00B30158">
      <w:r>
        <w:separator/>
      </w:r>
    </w:p>
  </w:endnote>
  <w:endnote w:type="continuationSeparator" w:id="0">
    <w:p w:rsidR="00B30158" w:rsidRDefault="00B3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96" w:rsidRDefault="00120799">
    <w:pPr>
      <w:pStyle w:val="Pta"/>
      <w:jc w:val="center"/>
    </w:pPr>
    <w:r>
      <w:fldChar w:fldCharType="begin"/>
    </w:r>
    <w:r>
      <w:instrText>PAGE   \* MERGEFORMAT</w:instrText>
    </w:r>
    <w:r>
      <w:fldChar w:fldCharType="separate"/>
    </w:r>
    <w:r w:rsidR="00F767D8">
      <w:rPr>
        <w:noProof/>
      </w:rPr>
      <w:t>3</w:t>
    </w:r>
    <w:r>
      <w:fldChar w:fldCharType="end"/>
    </w:r>
  </w:p>
  <w:p w:rsidR="00204886" w:rsidRDefault="00B301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58" w:rsidRDefault="00B30158">
      <w:r>
        <w:separator/>
      </w:r>
    </w:p>
  </w:footnote>
  <w:footnote w:type="continuationSeparator" w:id="0">
    <w:p w:rsidR="00B30158" w:rsidRDefault="00B30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296" w:rsidRDefault="00120799">
    <w:pPr>
      <w:pStyle w:val="Hlavika"/>
      <w:jc w:val="center"/>
    </w:pPr>
    <w:r>
      <w:fldChar w:fldCharType="begin"/>
    </w:r>
    <w:r>
      <w:instrText>PAGE   \* MERGEFORMAT</w:instrText>
    </w:r>
    <w:r>
      <w:fldChar w:fldCharType="separate"/>
    </w:r>
    <w:r w:rsidR="00F767D8">
      <w:rPr>
        <w:noProof/>
      </w:rPr>
      <w:t>3</w:t>
    </w:r>
    <w:r>
      <w:fldChar w:fldCharType="end"/>
    </w:r>
  </w:p>
  <w:p w:rsidR="00204886" w:rsidRDefault="00B301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C3"/>
    <w:rsid w:val="00044944"/>
    <w:rsid w:val="00100FF0"/>
    <w:rsid w:val="00120799"/>
    <w:rsid w:val="00131490"/>
    <w:rsid w:val="00153DC3"/>
    <w:rsid w:val="001770A8"/>
    <w:rsid w:val="00232F2E"/>
    <w:rsid w:val="0024656E"/>
    <w:rsid w:val="00263D8E"/>
    <w:rsid w:val="002C39B5"/>
    <w:rsid w:val="002C65D6"/>
    <w:rsid w:val="003211D9"/>
    <w:rsid w:val="003311D2"/>
    <w:rsid w:val="00334ACE"/>
    <w:rsid w:val="003B20C8"/>
    <w:rsid w:val="004353D5"/>
    <w:rsid w:val="004A17C3"/>
    <w:rsid w:val="004D7B89"/>
    <w:rsid w:val="00537467"/>
    <w:rsid w:val="00573D27"/>
    <w:rsid w:val="005E28DA"/>
    <w:rsid w:val="006072E8"/>
    <w:rsid w:val="007577CC"/>
    <w:rsid w:val="00773EBD"/>
    <w:rsid w:val="007F0FF9"/>
    <w:rsid w:val="009D6827"/>
    <w:rsid w:val="00A13C33"/>
    <w:rsid w:val="00A41586"/>
    <w:rsid w:val="00A70B82"/>
    <w:rsid w:val="00AA740D"/>
    <w:rsid w:val="00AF1A18"/>
    <w:rsid w:val="00B02DBF"/>
    <w:rsid w:val="00B23754"/>
    <w:rsid w:val="00B30158"/>
    <w:rsid w:val="00B50161"/>
    <w:rsid w:val="00B827D9"/>
    <w:rsid w:val="00B91DF5"/>
    <w:rsid w:val="00BA65C3"/>
    <w:rsid w:val="00BB2A71"/>
    <w:rsid w:val="00BB75E1"/>
    <w:rsid w:val="00BD694A"/>
    <w:rsid w:val="00C037A8"/>
    <w:rsid w:val="00DE6758"/>
    <w:rsid w:val="00E14810"/>
    <w:rsid w:val="00F76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2314C-8C55-4E6C-91FE-EFAB6AD6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3DC3"/>
    <w:pPr>
      <w:spacing w:after="0" w:line="240" w:lineRule="auto"/>
    </w:pPr>
    <w:rPr>
      <w:rFonts w:eastAsia="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53DC3"/>
    <w:pPr>
      <w:spacing w:after="200" w:line="276" w:lineRule="auto"/>
      <w:ind w:left="720"/>
      <w:contextualSpacing/>
    </w:pPr>
    <w:rPr>
      <w:rFonts w:ascii="Calibri" w:hAnsi="Calibri"/>
      <w:sz w:val="22"/>
      <w:szCs w:val="22"/>
      <w:lang w:eastAsia="en-US"/>
    </w:rPr>
  </w:style>
  <w:style w:type="paragraph" w:styleId="Normlnywebov">
    <w:name w:val="Normal (Web)"/>
    <w:basedOn w:val="Normlny"/>
    <w:uiPriority w:val="99"/>
    <w:unhideWhenUsed/>
    <w:rsid w:val="00153DC3"/>
    <w:pPr>
      <w:spacing w:before="100" w:beforeAutospacing="1" w:after="100" w:afterAutospacing="1"/>
    </w:pPr>
    <w:rPr>
      <w:sz w:val="24"/>
      <w:szCs w:val="24"/>
      <w:lang w:val="en-US" w:eastAsia="en-US"/>
    </w:rPr>
  </w:style>
  <w:style w:type="paragraph" w:styleId="Hlavika">
    <w:name w:val="header"/>
    <w:basedOn w:val="Normlny"/>
    <w:link w:val="HlavikaChar"/>
    <w:uiPriority w:val="99"/>
    <w:unhideWhenUsed/>
    <w:rsid w:val="00153DC3"/>
    <w:pPr>
      <w:tabs>
        <w:tab w:val="center" w:pos="4536"/>
        <w:tab w:val="right" w:pos="9072"/>
      </w:tabs>
    </w:pPr>
  </w:style>
  <w:style w:type="character" w:customStyle="1" w:styleId="HlavikaChar">
    <w:name w:val="Hlavička Char"/>
    <w:basedOn w:val="Predvolenpsmoodseku"/>
    <w:link w:val="Hlavika"/>
    <w:uiPriority w:val="99"/>
    <w:rsid w:val="00153DC3"/>
    <w:rPr>
      <w:rFonts w:eastAsia="Times New Roman"/>
      <w:sz w:val="20"/>
      <w:szCs w:val="20"/>
      <w:lang w:eastAsia="sk-SK"/>
    </w:rPr>
  </w:style>
  <w:style w:type="paragraph" w:styleId="Pta">
    <w:name w:val="footer"/>
    <w:basedOn w:val="Normlny"/>
    <w:link w:val="PtaChar"/>
    <w:uiPriority w:val="99"/>
    <w:unhideWhenUsed/>
    <w:rsid w:val="00153DC3"/>
    <w:pPr>
      <w:tabs>
        <w:tab w:val="center" w:pos="4536"/>
        <w:tab w:val="right" w:pos="9072"/>
      </w:tabs>
    </w:pPr>
  </w:style>
  <w:style w:type="character" w:customStyle="1" w:styleId="PtaChar">
    <w:name w:val="Päta Char"/>
    <w:basedOn w:val="Predvolenpsmoodseku"/>
    <w:link w:val="Pta"/>
    <w:uiPriority w:val="99"/>
    <w:rsid w:val="00153DC3"/>
    <w:rPr>
      <w:rFonts w:eastAsia="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8106</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Bekerová Lýdia</dc:creator>
  <cp:keywords/>
  <dc:description/>
  <cp:lastModifiedBy>Široký Vladimír</cp:lastModifiedBy>
  <cp:revision>2</cp:revision>
  <dcterms:created xsi:type="dcterms:W3CDTF">2019-04-11T11:02:00Z</dcterms:created>
  <dcterms:modified xsi:type="dcterms:W3CDTF">2019-04-11T11:02:00Z</dcterms:modified>
</cp:coreProperties>
</file>