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15</w:t>
      </w:r>
      <w:r>
        <w:rPr>
          <w:b w:val="0"/>
          <w:szCs w:val="24"/>
        </w:rPr>
        <w:t>.</w:t>
      </w:r>
      <w:r w:rsidR="00B743C3">
        <w:rPr>
          <w:b w:val="0"/>
          <w:szCs w:val="24"/>
        </w:rPr>
        <w:t>4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593C5A">
        <w:rPr>
          <w:b w:val="0"/>
          <w:szCs w:val="24"/>
        </w:rPr>
        <w:t>b</w:t>
      </w:r>
      <w:bookmarkStart w:id="0" w:name="_GoBack"/>
      <w:bookmarkEnd w:id="0"/>
      <w:r w:rsidR="00A745D5" w:rsidRPr="00FF32C7">
        <w:rPr>
          <w:b w:val="0"/>
          <w:szCs w:val="24"/>
        </w:rPr>
        <w:t>od</w:t>
      </w:r>
      <w:r w:rsidR="00C727BD">
        <w:rPr>
          <w:b w:val="0"/>
          <w:szCs w:val="24"/>
        </w:rPr>
        <w:t xml:space="preserve"> 16</w:t>
      </w:r>
      <w:r w:rsidR="006F06B2">
        <w:rPr>
          <w:b w:val="0"/>
          <w:szCs w:val="24"/>
        </w:rPr>
        <w:t xml:space="preserve"> </w:t>
      </w:r>
      <w:r w:rsidR="00D53BB1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B743C3" w:rsidRDefault="00A73E7C" w:rsidP="00B743C3">
      <w:pPr>
        <w:pStyle w:val="Nzov"/>
        <w:spacing w:before="0" w:line="276" w:lineRule="auto"/>
        <w:rPr>
          <w:szCs w:val="24"/>
        </w:rPr>
      </w:pPr>
      <w:r w:rsidRPr="00352C5E">
        <w:rPr>
          <w:szCs w:val="24"/>
        </w:rPr>
        <w:t>k</w:t>
      </w:r>
      <w:r w:rsidR="00822E45" w:rsidRPr="00352C5E">
        <w:rPr>
          <w:iCs/>
          <w:szCs w:val="24"/>
        </w:rPr>
        <w:t xml:space="preserve"> návrhu </w:t>
      </w:r>
      <w:r w:rsidR="00566019" w:rsidRPr="00352C5E">
        <w:rPr>
          <w:iCs/>
          <w:szCs w:val="24"/>
        </w:rPr>
        <w:t>zákona</w:t>
      </w:r>
      <w:r w:rsidR="00CE3CEF" w:rsidRPr="00352C5E">
        <w:rPr>
          <w:szCs w:val="24"/>
        </w:rPr>
        <w:t xml:space="preserve">, </w:t>
      </w:r>
      <w:bookmarkStart w:id="1" w:name="_Hlk514400747"/>
      <w:r w:rsidR="00CE3CEF" w:rsidRPr="00352C5E">
        <w:rPr>
          <w:szCs w:val="24"/>
        </w:rPr>
        <w:t>ktorým sa men</w:t>
      </w:r>
      <w:r w:rsidR="00957AE6" w:rsidRPr="00352C5E">
        <w:rPr>
          <w:szCs w:val="24"/>
        </w:rPr>
        <w:t xml:space="preserve">í </w:t>
      </w:r>
      <w:r w:rsidR="00CE3CEF" w:rsidRPr="00352C5E">
        <w:rPr>
          <w:szCs w:val="24"/>
        </w:rPr>
        <w:t>a dopĺňa zákon č.</w:t>
      </w:r>
      <w:r w:rsidR="00D02C36" w:rsidRPr="00352C5E">
        <w:rPr>
          <w:szCs w:val="24"/>
        </w:rPr>
        <w:t xml:space="preserve"> </w:t>
      </w:r>
      <w:bookmarkStart w:id="2" w:name="_Hlk1129136"/>
      <w:r w:rsidR="00B743C3">
        <w:rPr>
          <w:szCs w:val="24"/>
        </w:rPr>
        <w:t>592/2006 Z. z. o poskytovaní vianočného príspevku niektorým poberateľom dôchodku a o doplnení niektorých zákonov v znení neskorších predpisov</w:t>
      </w:r>
    </w:p>
    <w:p w:rsidR="00B743C3" w:rsidRDefault="00B743C3" w:rsidP="002F6CBC">
      <w:pPr>
        <w:jc w:val="center"/>
        <w:rPr>
          <w:b/>
          <w:sz w:val="24"/>
          <w:szCs w:val="24"/>
        </w:rPr>
      </w:pPr>
    </w:p>
    <w:bookmarkEnd w:id="1"/>
    <w:bookmarkEnd w:id="2"/>
    <w:p w:rsidR="00EE54B2" w:rsidRPr="00352C5E" w:rsidRDefault="00EE54B2" w:rsidP="002F6CBC">
      <w:pPr>
        <w:tabs>
          <w:tab w:val="center" w:pos="4536"/>
          <w:tab w:val="left" w:pos="5895"/>
        </w:tabs>
        <w:jc w:val="center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B743C3" w:rsidRDefault="00B743C3" w:rsidP="00B743C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B743C3" w:rsidRDefault="00B743C3" w:rsidP="00B743C3">
      <w:pPr>
        <w:pStyle w:val="Nzov"/>
        <w:spacing w:before="0" w:line="276" w:lineRule="auto"/>
        <w:ind w:firstLine="580"/>
        <w:jc w:val="both"/>
        <w:rPr>
          <w:b w:val="0"/>
          <w:szCs w:val="24"/>
        </w:rPr>
      </w:pPr>
      <w:r w:rsidRPr="00D67B45">
        <w:rPr>
          <w:b w:val="0"/>
          <w:szCs w:val="24"/>
        </w:rPr>
        <w:t xml:space="preserve">Ministerstvo práce, sociálnych vecí a rodiny Slovenskej republiky (ďalej len „predkladateľ“) </w:t>
      </w:r>
      <w:r w:rsidRPr="00B743C3">
        <w:rPr>
          <w:b w:val="0"/>
          <w:szCs w:val="24"/>
        </w:rPr>
        <w:t>predkladá na plenárne zasadnutie Hospodárskej a sociálnej rady Slovenskej republiky (ďalej len „HSR SR“)</w:t>
      </w:r>
      <w:r>
        <w:rPr>
          <w:b w:val="0"/>
          <w:szCs w:val="24"/>
        </w:rPr>
        <w:t xml:space="preserve"> </w:t>
      </w:r>
      <w:r w:rsidRPr="00D67B45">
        <w:rPr>
          <w:b w:val="0"/>
          <w:szCs w:val="24"/>
        </w:rPr>
        <w:t xml:space="preserve">návrh zákona, ktorým sa </w:t>
      </w:r>
      <w:r>
        <w:rPr>
          <w:b w:val="0"/>
          <w:szCs w:val="24"/>
        </w:rPr>
        <w:t xml:space="preserve"> </w:t>
      </w:r>
      <w:r w:rsidRPr="00D67B45">
        <w:rPr>
          <w:b w:val="0"/>
          <w:szCs w:val="24"/>
        </w:rPr>
        <w:t xml:space="preserve">mení </w:t>
      </w:r>
      <w:r>
        <w:rPr>
          <w:b w:val="0"/>
          <w:szCs w:val="24"/>
        </w:rPr>
        <w:t xml:space="preserve"> </w:t>
      </w:r>
      <w:r w:rsidRPr="00D67B45">
        <w:rPr>
          <w:b w:val="0"/>
          <w:szCs w:val="24"/>
        </w:rPr>
        <w:t xml:space="preserve">a dopĺňa </w:t>
      </w:r>
      <w:r>
        <w:rPr>
          <w:b w:val="0"/>
          <w:szCs w:val="24"/>
        </w:rPr>
        <w:t xml:space="preserve"> </w:t>
      </w:r>
      <w:r w:rsidRPr="00D67B45">
        <w:rPr>
          <w:b w:val="0"/>
          <w:szCs w:val="24"/>
        </w:rPr>
        <w:t xml:space="preserve">zákon č. </w:t>
      </w:r>
      <w:bookmarkStart w:id="3" w:name="_Hlk3380851"/>
      <w:r w:rsidRPr="00D67B45">
        <w:rPr>
          <w:b w:val="0"/>
          <w:szCs w:val="24"/>
        </w:rPr>
        <w:t>592/2006 Z. z. o poskytovaní vianočného príspevku niektorým poberateľom dôchodku a o doplnení niektorých zákonov v znení neskorších predpisov</w:t>
      </w:r>
      <w:r>
        <w:rPr>
          <w:b w:val="0"/>
          <w:szCs w:val="24"/>
        </w:rPr>
        <w:t xml:space="preserve"> </w:t>
      </w:r>
      <w:bookmarkEnd w:id="3"/>
      <w:r>
        <w:rPr>
          <w:b w:val="0"/>
          <w:szCs w:val="24"/>
        </w:rPr>
        <w:t>(ďalej len „návrh novely zákona“).</w:t>
      </w:r>
    </w:p>
    <w:p w:rsidR="00B743C3" w:rsidRDefault="00B743C3" w:rsidP="00B743C3">
      <w:pPr>
        <w:jc w:val="both"/>
        <w:rPr>
          <w:sz w:val="24"/>
          <w:szCs w:val="24"/>
        </w:rPr>
      </w:pPr>
    </w:p>
    <w:p w:rsidR="00B743C3" w:rsidRDefault="00B743C3" w:rsidP="00B743C3">
      <w:pPr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Predkladateľ n</w:t>
      </w:r>
      <w:r w:rsidRPr="00274639">
        <w:rPr>
          <w:sz w:val="24"/>
          <w:szCs w:val="24"/>
        </w:rPr>
        <w:t>avrhuje</w:t>
      </w:r>
      <w:r>
        <w:rPr>
          <w:sz w:val="24"/>
          <w:szCs w:val="24"/>
        </w:rPr>
        <w:t xml:space="preserve"> s účinnosťou od 1. septembra 2019 </w:t>
      </w:r>
      <w:r w:rsidRPr="00274639">
        <w:rPr>
          <w:sz w:val="24"/>
          <w:szCs w:val="24"/>
        </w:rPr>
        <w:t>zvýšenie vianočného príspevku</w:t>
      </w:r>
      <w:r>
        <w:rPr>
          <w:sz w:val="24"/>
          <w:szCs w:val="24"/>
        </w:rPr>
        <w:t xml:space="preserve"> </w:t>
      </w:r>
      <w:r w:rsidRPr="00274639">
        <w:rPr>
          <w:sz w:val="24"/>
          <w:szCs w:val="24"/>
        </w:rPr>
        <w:t>na dvojnásobok jeho súčasnej úrovne.</w:t>
      </w:r>
      <w:r>
        <w:t xml:space="preserve"> U </w:t>
      </w:r>
      <w:r>
        <w:rPr>
          <w:sz w:val="24"/>
          <w:szCs w:val="24"/>
        </w:rPr>
        <w:t xml:space="preserve">poberateľov dôchodkových dávok, ktorých dôchodkový príjem nepresahuje dvojnásobok sumy životného minima pre jednu plnoletú fyzickú osobu, sa suma vianočného príspevku navrhuje zvýšiť aj o sumu rovnajúcu sa dvojnásobku doterajšieho jednorazového zvýšenia. </w:t>
      </w:r>
    </w:p>
    <w:p w:rsidR="00B743C3" w:rsidRDefault="00B743C3" w:rsidP="00B743C3">
      <w:pPr>
        <w:ind w:firstLine="708"/>
        <w:jc w:val="both"/>
        <w:rPr>
          <w:sz w:val="24"/>
          <w:szCs w:val="24"/>
        </w:rPr>
      </w:pPr>
    </w:p>
    <w:p w:rsidR="00B743C3" w:rsidRDefault="00B743C3" w:rsidP="00B743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Svoj návrh predkladateľ odôvod</w:t>
      </w:r>
      <w:r w:rsidR="00890F63">
        <w:rPr>
          <w:sz w:val="24"/>
          <w:szCs w:val="24"/>
        </w:rPr>
        <w:t xml:space="preserve">ňuje </w:t>
      </w:r>
      <w:r>
        <w:rPr>
          <w:sz w:val="24"/>
          <w:szCs w:val="24"/>
        </w:rPr>
        <w:t>skutočnosťou pomôcť väčšiemu počtu ľudí vo vianočnom období, ktoré so sebou prináša vyššiu finančnú záťaž a preto n</w:t>
      </w:r>
      <w:r w:rsidRPr="006A3C75">
        <w:rPr>
          <w:sz w:val="24"/>
          <w:szCs w:val="24"/>
        </w:rPr>
        <w:t xml:space="preserve">avrhuje </w:t>
      </w:r>
      <w:r>
        <w:rPr>
          <w:sz w:val="24"/>
          <w:szCs w:val="24"/>
        </w:rPr>
        <w:t xml:space="preserve">zvýšenie hornej hranice nároku na výplatu vianočného príspevku zo 60 % na 65 % </w:t>
      </w:r>
      <w:r w:rsidRPr="006A3C75">
        <w:rPr>
          <w:sz w:val="24"/>
          <w:szCs w:val="24"/>
        </w:rPr>
        <w:t xml:space="preserve">priemernej mesačnej mzdy v hospodárstve Slovenskej republiky </w:t>
      </w:r>
      <w:bookmarkStart w:id="4" w:name="_Hlk1392464"/>
      <w:r w:rsidRPr="006A3C75">
        <w:rPr>
          <w:sz w:val="24"/>
          <w:szCs w:val="24"/>
        </w:rPr>
        <w:t>vykázanej Štatistickým úradom Slovenskej republiky za kalendárny rok predchádzajúci kalendárnemu roku, v ktorom sa vianočný príspevok</w:t>
      </w:r>
      <w:r w:rsidRPr="00FA2D05">
        <w:rPr>
          <w:sz w:val="24"/>
          <w:szCs w:val="24"/>
        </w:rPr>
        <w:t xml:space="preserve"> </w:t>
      </w:r>
      <w:r w:rsidRPr="006A3C75">
        <w:rPr>
          <w:sz w:val="24"/>
          <w:szCs w:val="24"/>
        </w:rPr>
        <w:t>vypláca.</w:t>
      </w:r>
      <w:bookmarkEnd w:id="4"/>
      <w:r>
        <w:rPr>
          <w:sz w:val="24"/>
          <w:szCs w:val="24"/>
        </w:rPr>
        <w:t xml:space="preserve"> Navrhuje sa taktiež zaokrúhľovať sumu rovnajúcu sa tejto hranici rovnako ako sa zaokrúhľujú dôchodky, a to na desať eurocentov nahor. </w:t>
      </w:r>
    </w:p>
    <w:p w:rsidR="00B743C3" w:rsidRDefault="00B743C3" w:rsidP="00B743C3">
      <w:pPr>
        <w:jc w:val="both"/>
        <w:rPr>
          <w:sz w:val="24"/>
          <w:szCs w:val="24"/>
        </w:rPr>
      </w:pPr>
    </w:p>
    <w:p w:rsidR="00B743C3" w:rsidRDefault="00B743C3" w:rsidP="00B743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Navrhuje sa, aby maximálna suma vianočného príspevku bola 200 eur. Nárok na maximálnu sumu vianočného príspevku b</w:t>
      </w:r>
      <w:r w:rsidR="00890F63">
        <w:rPr>
          <w:sz w:val="24"/>
          <w:szCs w:val="24"/>
        </w:rPr>
        <w:t xml:space="preserve">udú </w:t>
      </w:r>
      <w:r>
        <w:rPr>
          <w:sz w:val="24"/>
          <w:szCs w:val="24"/>
        </w:rPr>
        <w:t>mať</w:t>
      </w:r>
      <w:r w:rsidR="00890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aj naďalej tí poberatelia dôchodkových dávok, ktorých suma dôchodku alebo úhrn súm dôchodkov je najviac v sume životného minima pre jednu plnoletú fyzickú osobu. </w:t>
      </w:r>
    </w:p>
    <w:p w:rsidR="00B743C3" w:rsidRPr="00AE495F" w:rsidRDefault="00B743C3" w:rsidP="00B743C3">
      <w:pPr>
        <w:ind w:firstLine="708"/>
        <w:jc w:val="both"/>
      </w:pPr>
    </w:p>
    <w:p w:rsidR="00B743C3" w:rsidRDefault="00B743C3" w:rsidP="00B743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suma dôchodku alebo úhrn súm dôchodkov bude vyššia ako suma životného minima pre jednu plnoletú fyzickú osobu, suma vianočného príspevku sa primerane zníži a určí podľa vzorca nachádzajúceho sa v Prílohe č. 1 návrhu novely zákona. Ak suma dôchodku alebo úhrn súm dôchodkov bude presahovať sumu dvojnásobku sumy životného minima pre jednu </w:t>
      </w:r>
      <w:r>
        <w:rPr>
          <w:sz w:val="24"/>
          <w:szCs w:val="24"/>
        </w:rPr>
        <w:lastRenderedPageBreak/>
        <w:t xml:space="preserve">plnoletú fyzickú osobu, suma vianočného príspevku sa primerane zníži a určí podľa vzorca nachádzajúceho sa v Prílohe č. 2 návrhu novely zákona. </w:t>
      </w:r>
    </w:p>
    <w:p w:rsidR="00B743C3" w:rsidRDefault="00B743C3" w:rsidP="00B743C3">
      <w:pPr>
        <w:jc w:val="both"/>
        <w:rPr>
          <w:sz w:val="24"/>
          <w:szCs w:val="24"/>
        </w:rPr>
      </w:pPr>
    </w:p>
    <w:p w:rsidR="00B743C3" w:rsidRDefault="00B743C3" w:rsidP="00B743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„Analýzy vplyvov na rozpočet verejnej správy, na zamestnanosť vo verejnej správe a financovanie návrhu“ predloženej k návrhu novely zákona vyplýva skutočnosť, že výdavky verejnej správy na takto prijaté opatrenie budú v období rokov 2019 až 2022 v rozsahu 15</w:t>
      </w:r>
      <w:r w:rsidR="00E015E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E015E2">
        <w:rPr>
          <w:sz w:val="24"/>
          <w:szCs w:val="24"/>
        </w:rPr>
        <w:t>318</w:t>
      </w:r>
      <w:r>
        <w:rPr>
          <w:sz w:val="24"/>
          <w:szCs w:val="24"/>
        </w:rPr>
        <w:t> </w:t>
      </w:r>
      <w:r w:rsidR="00E015E2">
        <w:rPr>
          <w:sz w:val="24"/>
          <w:szCs w:val="24"/>
        </w:rPr>
        <w:t>573</w:t>
      </w:r>
      <w:r>
        <w:rPr>
          <w:sz w:val="24"/>
          <w:szCs w:val="24"/>
        </w:rPr>
        <w:t xml:space="preserve"> – 15</w:t>
      </w:r>
      <w:r w:rsidR="00E015E2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E015E2">
        <w:rPr>
          <w:sz w:val="24"/>
          <w:szCs w:val="24"/>
        </w:rPr>
        <w:t>037</w:t>
      </w:r>
      <w:r>
        <w:rPr>
          <w:sz w:val="24"/>
          <w:szCs w:val="24"/>
        </w:rPr>
        <w:t> </w:t>
      </w:r>
      <w:r w:rsidR="00E015E2">
        <w:rPr>
          <w:sz w:val="24"/>
          <w:szCs w:val="24"/>
        </w:rPr>
        <w:t>652</w:t>
      </w:r>
      <w:r>
        <w:rPr>
          <w:sz w:val="24"/>
          <w:szCs w:val="24"/>
        </w:rPr>
        <w:t xml:space="preserve"> eur. Nakoľko vianočný príspevok je štátnou sociálnou dávkou jeho financovanie bude zabezpečené prostredníctvom Sociálnej poisťovne zo štátneho rozpočtu SR.  </w:t>
      </w:r>
    </w:p>
    <w:p w:rsidR="00B743C3" w:rsidRDefault="00B743C3" w:rsidP="00B743C3">
      <w:pPr>
        <w:ind w:firstLine="708"/>
        <w:jc w:val="both"/>
        <w:rPr>
          <w:sz w:val="24"/>
          <w:szCs w:val="24"/>
        </w:rPr>
      </w:pPr>
    </w:p>
    <w:p w:rsidR="00B743C3" w:rsidRPr="001776D2" w:rsidRDefault="00B743C3" w:rsidP="00B743C3">
      <w:pPr>
        <w:pStyle w:val="Nzov"/>
        <w:spacing w:before="0" w:line="276" w:lineRule="auto"/>
        <w:ind w:firstLine="708"/>
        <w:jc w:val="both"/>
        <w:rPr>
          <w:b w:val="0"/>
          <w:szCs w:val="24"/>
        </w:rPr>
      </w:pPr>
      <w:r w:rsidRPr="001776D2">
        <w:rPr>
          <w:b w:val="0"/>
          <w:szCs w:val="24"/>
        </w:rPr>
        <w:t>V rámci medzirezortného pripomienkového konania Konfederácia odborových zväzov Slovenskej republiky</w:t>
      </w:r>
      <w:r w:rsidR="001776D2" w:rsidRPr="001776D2">
        <w:rPr>
          <w:b w:val="0"/>
          <w:szCs w:val="24"/>
        </w:rPr>
        <w:t xml:space="preserve"> </w:t>
      </w:r>
      <w:r w:rsidRPr="001776D2">
        <w:rPr>
          <w:b w:val="0"/>
          <w:szCs w:val="24"/>
        </w:rPr>
        <w:t>predložený návrh novely zákona</w:t>
      </w:r>
      <w:r w:rsidR="00E015E2">
        <w:rPr>
          <w:b w:val="0"/>
          <w:szCs w:val="24"/>
        </w:rPr>
        <w:t xml:space="preserve"> z</w:t>
      </w:r>
      <w:r w:rsidRPr="001776D2">
        <w:rPr>
          <w:b w:val="0"/>
          <w:szCs w:val="24"/>
        </w:rPr>
        <w:t>hodnotila pozitívne</w:t>
      </w:r>
      <w:r w:rsidR="00E015E2">
        <w:rPr>
          <w:b w:val="0"/>
          <w:szCs w:val="24"/>
        </w:rPr>
        <w:t xml:space="preserve"> </w:t>
      </w:r>
      <w:r w:rsidRPr="001776D2">
        <w:rPr>
          <w:b w:val="0"/>
          <w:szCs w:val="24"/>
        </w:rPr>
        <w:t>s poukázaním na skutočnosť, že víta každé opatrenie, na základe ktorého sa zvýši poberateľom dôchodkových dávok ich príjem a zlepší sa tak ich finančná situácia hoci len jednorazovo</w:t>
      </w:r>
      <w:r w:rsidR="00E015E2">
        <w:rPr>
          <w:b w:val="0"/>
          <w:szCs w:val="24"/>
        </w:rPr>
        <w:t xml:space="preserve">, a to </w:t>
      </w:r>
      <w:r w:rsidRPr="001776D2">
        <w:rPr>
          <w:b w:val="0"/>
          <w:szCs w:val="24"/>
        </w:rPr>
        <w:t>vo vianočnom období</w:t>
      </w:r>
      <w:r w:rsidR="00E015E2">
        <w:rPr>
          <w:b w:val="0"/>
          <w:szCs w:val="24"/>
        </w:rPr>
        <w:t xml:space="preserve">. </w:t>
      </w:r>
    </w:p>
    <w:p w:rsidR="003C04D2" w:rsidRPr="005A1ADC" w:rsidRDefault="003C04D2" w:rsidP="005B20F7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A1ADC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855AE6" w:rsidRPr="005A1ADC">
        <w:rPr>
          <w:b/>
        </w:rPr>
        <w:t xml:space="preserve">novely </w:t>
      </w:r>
      <w:r w:rsidRPr="005A1ADC">
        <w:rPr>
          <w:b/>
        </w:rPr>
        <w:t xml:space="preserve">zákona predloženého na </w:t>
      </w:r>
      <w:r w:rsidR="009B0B36">
        <w:rPr>
          <w:b/>
        </w:rPr>
        <w:t xml:space="preserve">plenárne </w:t>
      </w:r>
      <w:r w:rsidRPr="005A1ADC">
        <w:rPr>
          <w:b/>
        </w:rPr>
        <w:t xml:space="preserve">rokovanie HSR SR </w:t>
      </w:r>
      <w:r w:rsidRPr="005A1ADC">
        <w:rPr>
          <w:b/>
          <w:color w:val="000000"/>
          <w:lang w:eastAsia="cs-CZ"/>
        </w:rPr>
        <w:t>K</w:t>
      </w:r>
      <w:r w:rsidR="00BF4A90" w:rsidRPr="005A1ADC">
        <w:rPr>
          <w:b/>
          <w:color w:val="000000"/>
          <w:lang w:eastAsia="cs-CZ"/>
        </w:rPr>
        <w:t xml:space="preserve">onfederácia odborových zväzov </w:t>
      </w:r>
      <w:r w:rsidRPr="005A1ADC">
        <w:rPr>
          <w:b/>
          <w:color w:val="000000"/>
          <w:lang w:eastAsia="cs-CZ"/>
        </w:rPr>
        <w:t xml:space="preserve">SR nemá </w:t>
      </w:r>
      <w:r w:rsidRPr="005A1ADC">
        <w:rPr>
          <w:b/>
          <w:bCs/>
        </w:rPr>
        <w:t>pripomienky</w:t>
      </w:r>
      <w:r w:rsidRPr="005A1ADC">
        <w:rPr>
          <w:bCs/>
        </w:rPr>
        <w:t>.</w:t>
      </w:r>
    </w:p>
    <w:p w:rsidR="00591FF6" w:rsidRPr="005A1ADC" w:rsidRDefault="00591FF6" w:rsidP="0064710F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Pr="005A1ADC">
        <w:rPr>
          <w:b/>
        </w:rPr>
        <w:t>návrh zákona</w:t>
      </w:r>
      <w:r w:rsidRPr="005A1ADC">
        <w:t xml:space="preserve">, ktorým sa mení a dopĺňa zákon </w:t>
      </w:r>
      <w:r w:rsidR="005B20F7" w:rsidRPr="005A1ADC">
        <w:t xml:space="preserve">č. </w:t>
      </w:r>
      <w:r w:rsidR="001776D2" w:rsidRPr="001776D2">
        <w:t xml:space="preserve">592/2006 Z. z. o poskytovaní vianočného príspevku niektorým poberateľom dôchodku a o doplnení niektorých zákonov v znení neskorších predpisov </w:t>
      </w:r>
      <w:r w:rsidRPr="0064710F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5A" w:rsidRDefault="0055135A">
      <w:r>
        <w:separator/>
      </w:r>
    </w:p>
  </w:endnote>
  <w:endnote w:type="continuationSeparator" w:id="0">
    <w:p w:rsidR="0055135A" w:rsidRDefault="005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5A" w:rsidRDefault="0055135A">
      <w:r>
        <w:separator/>
      </w:r>
    </w:p>
  </w:footnote>
  <w:footnote w:type="continuationSeparator" w:id="0">
    <w:p w:rsidR="0055135A" w:rsidRDefault="0055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949FC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135A"/>
    <w:rsid w:val="0055500E"/>
    <w:rsid w:val="00566019"/>
    <w:rsid w:val="00572A4C"/>
    <w:rsid w:val="0058235B"/>
    <w:rsid w:val="00583240"/>
    <w:rsid w:val="00587243"/>
    <w:rsid w:val="0059033E"/>
    <w:rsid w:val="00591FF6"/>
    <w:rsid w:val="00593C5A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027E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27BD"/>
    <w:rsid w:val="00C7369B"/>
    <w:rsid w:val="00C80928"/>
    <w:rsid w:val="00C8355E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E7E7D"/>
    <w:rsid w:val="00DF05DE"/>
    <w:rsid w:val="00DF0F7D"/>
    <w:rsid w:val="00DF602D"/>
    <w:rsid w:val="00E015E2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2FA4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83E97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D952-1D26-4F25-9B4F-8D9127A2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10</cp:revision>
  <cp:lastPrinted>2019-02-18T08:16:00Z</cp:lastPrinted>
  <dcterms:created xsi:type="dcterms:W3CDTF">2019-03-13T13:34:00Z</dcterms:created>
  <dcterms:modified xsi:type="dcterms:W3CDTF">2019-04-11T08:50:00Z</dcterms:modified>
</cp:coreProperties>
</file>