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60" w:rsidRDefault="00FE2560" w:rsidP="00FE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FE2560" w:rsidRDefault="00FE2560" w:rsidP="00FE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FE2560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Tabuľka č. 1 </w:t>
      </w: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520"/>
        <w:gridCol w:w="1520"/>
        <w:gridCol w:w="1640"/>
        <w:gridCol w:w="1640"/>
      </w:tblGrid>
      <w:tr w:rsidR="00FE2560" w:rsidTr="00FE2560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FE2560" w:rsidTr="00FE256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11 Ministerstvo obrany Slovenskej republiky / program 096 Obrana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6 905 184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49 839 633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58 178 883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66 518 133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6 905 184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49 839 633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58 178 883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66 518 133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11 Ministerstvo obrany Slovenskej republiky / program 096 Obrana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11 146 106,29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89 067 589,54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2560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FE2560" w:rsidRDefault="00FE2560" w:rsidP="00FE2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Dosah na rozpočet verejnej správy bude v plnom rozsahu zabezpečený v rámci limitov rozpočtových prostriedkov pridelených kapitole štátneho rozpočtu Ministerstva obrany Slovenskej republiky na rok 2019 a roky nasledujúce.</w:t>
      </w:r>
    </w:p>
    <w:p w:rsidR="00FE2560" w:rsidRDefault="00FE2560" w:rsidP="00FE2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E2560" w:rsidRDefault="00FE2560" w:rsidP="00FE256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Návrh </w:t>
      </w:r>
      <w:r>
        <w:rPr>
          <w:rFonts w:ascii="Times New Roman" w:eastAsia="Calibri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ákona bol spracovaný v súlade s koncepciou manažmentu vojenského personálu ozbrojených síl Slovenskej republiky (ďalej len „koncepcia“), ktorá predstavuje smerovanie implementácie bezpečnostnej, obrannej a vojenskej stratégie, Bielej knihy o obrane Slovenskej republiky a Dlhodobého plánu rozvoja obrany s dôrazom na výstavbu a rozvoj ozbrojených síl Slovenskej republiky s výhľadom do roku 2030 v oblasti ľudských zdrojov, predovšetkým  vojenského personálu.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Koncepcia v oblasti motivácie a stimulácie poukázala na deformáciu súčasného systému odmeňovania. V záujme nastavenia kvalitného systému odmeňovania, ktorý bude na strane jednej naplňovať jednu zo základných podmienok odmeňovania, ktorou je spravodlivosť v odmeňovaní a na strane druhej konkurencieschopnosť na trhu práce, bolo preto nevyhnutné  pristúpiť k transformácii systému odmeňovania, založenom na</w:t>
      </w:r>
      <w:r>
        <w:rPr>
          <w:rFonts w:ascii="Times New Roman" w:hAnsi="Times New Roman" w:cs="Times New Roman"/>
          <w:sz w:val="20"/>
          <w:szCs w:val="20"/>
        </w:rPr>
        <w:t xml:space="preserve"> zmene filozofie systému odmeňovania spočívajúcom v prechode zo systému odmeňovania založenom na hodnostnom plate na systém odmeňovania založenom na odmeňovaní za výkon funkcie.</w:t>
      </w:r>
    </w:p>
    <w:p w:rsidR="00FE2560" w:rsidRDefault="00FE2560" w:rsidP="00FE2560">
      <w:pPr>
        <w:pStyle w:val="Odsekzoznamu"/>
        <w:spacing w:line="276" w:lineRule="auto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Cieľom návrhu zákona je preto úprava systému odmeňovania spojená so zvýšením platových náležitostí profesionálnych vojakov, odrážajúcich náročnosť vojenského povolania v nadväznosti na vykonávanú funkciu, a vytvárajúcich predpoklady ich konkurencieschopnosti na trhu práce. Návrh zákona zachováva síce inštitút hodnostného platu, ale s tým, že bude dvojzložkový. Hodnostný plat bude pozostávať z hodnostnej tarify a funkčnej tarify. P</w:t>
      </w:r>
      <w:r>
        <w:rPr>
          <w:bCs/>
          <w:sz w:val="20"/>
          <w:szCs w:val="20"/>
        </w:rPr>
        <w:t>odiel</w:t>
      </w:r>
      <w:r>
        <w:rPr>
          <w:sz w:val="20"/>
          <w:szCs w:val="20"/>
        </w:rPr>
        <w:t xml:space="preserve"> na hodnostnom plate bude tvoriť približne 1/3 hodnostná tarifa a 2/3 funkčná tarifa. </w:t>
      </w:r>
      <w:r>
        <w:rPr>
          <w:rFonts w:eastAsia="Times New Roman"/>
          <w:sz w:val="20"/>
          <w:szCs w:val="20"/>
        </w:rPr>
        <w:t>Výška hodnostného platu vojaka 2. stupňa je určená tak, aby jej hodnota bola nielen v roku 2019, ale aj v roku 2020 približne na úrovni priemernej</w:t>
      </w:r>
      <w:r>
        <w:t xml:space="preserve"> </w:t>
      </w:r>
      <w:r>
        <w:rPr>
          <w:rFonts w:eastAsia="Times New Roman"/>
          <w:sz w:val="20"/>
          <w:szCs w:val="20"/>
        </w:rPr>
        <w:t>nominálnej mesačnej mzdy zamestnanca v hospodárstve SR so zohľadnením deklarovanej valorizácie platov 10 %.</w:t>
      </w:r>
    </w:p>
    <w:p w:rsidR="00FE2560" w:rsidRDefault="00FE2560" w:rsidP="00FE25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Návrhom zákona sa zavádza inštitút zvyšovania hodnostného platu o 1 % za každý rok výkonu štátnej služby. Ďalej, funkčná tarifa, vo vzťahu k vykonávanej funkcii v jednotlivých vojenských hodnostiach, môže byť zvýšená až do výšky 20 %, pričom jedným z rozhodujúcich prvkov bude charakter vykonávanej funkcie.</w:t>
      </w:r>
    </w:p>
    <w:p w:rsidR="00FE2560" w:rsidRDefault="00FE2560" w:rsidP="00FE2560">
      <w:pPr>
        <w:pStyle w:val="Textpoznmkypodiarou"/>
        <w:spacing w:line="276" w:lineRule="auto"/>
        <w:ind w:left="0" w:firstLine="644"/>
        <w:jc w:val="both"/>
      </w:pPr>
      <w:r>
        <w:t xml:space="preserve">Úprava platových náležitostí profesionálnych vojakov v rámci transformácie systému odmeňovania vytvára reálne predpoklady smerujúce k postupnej eliminácii a zastaveniu poklesu záujmu o vojenské povolanie, k zvýšeniu atraktivity a konkurencieschopnosti vojenského povolania na trhu práce, k stabilizácii skúsených, vzdelaných, vycvičených a jazykovo pripravených profesionálnych vojakov. </w:t>
      </w:r>
    </w:p>
    <w:p w:rsidR="00FE2560" w:rsidRDefault="00FE2560" w:rsidP="00FE2560">
      <w:pPr>
        <w:pStyle w:val="Textpoznmkypodiarou"/>
        <w:spacing w:line="276" w:lineRule="auto"/>
        <w:ind w:left="0" w:firstLine="709"/>
        <w:jc w:val="both"/>
        <w:rPr>
          <w:rFonts w:eastAsia="Times New Roman"/>
        </w:rPr>
      </w:pPr>
      <w:r>
        <w:t xml:space="preserve">Návrh zákona, ktorým Ministerstva obrany Slovenskej republiky (ďalej len „ministerstvo obrany“) pristupuje k naplňovaniu svojich cieľov v oblasti skvalitňovania štátnej služby profesionálnych vojakov transponovaných do právnej úpravy platových náležitostí profesionálnych vojakov spojenej so zvýšením ich platov je tiež o zhodnocovaní investícií, ktoré ministerstvo obrany na vojenský personál vynakladá. Potreba investícií do vojenského personálu je v priamej úmere s plnením úloh, ktoré pre profesionálnych vojakov vyplývajú zo všeobecne záväzných právnych predpisov a kladú vysoké nároky na ich psychickú odolnosť, fyzickú zdatnosť, profesionálnu odbornosť, bezúhonnosť a pripravenosť plniť povinnosti ustanovené príslušnými zákonmi pri obrane štátu tak v čase bezpečnosti, ako aj krízových situáciách vojenského i nevojenského charakteru. Návrhom zákona ministerstvo obrany dodržuje a rozvíja princíp hodnoty za peniaze, nakoľko si je vedomé, že prostriedky, ktoré investuje do vojenského personálu, nie sú prostriedky „len“ ministerstva obrany, ale sú to prostriedky čerpané z verejných zdrojov. Ministerstvo obrany naplňuje celospoločensky prospešné úlohy na úseku obrany a bezpečnosti, ktoré mu štát zveril do pôsobnosti. Štát je ten, ktorý určuje hodnotu zabezpečenia obrany a bezpečnosti štátu nielen z hľadiska vyčlenených prostriedkov, ktoré môže ministerstvo vynaložiť na </w:t>
      </w:r>
      <w:r>
        <w:lastRenderedPageBreak/>
        <w:t>modernizačné projekty, ale tiež z hľadiska prostriedkov, ktoré môže vynaložiť na vojenský personál. Hodnota vynaložených prostriedkov sa v konečnom dôsledku odzrkadlí v naplnenosti ozbrojených síl Slovenskej republiky (ďalej len „ozbrojené sily“) vojenským personálom v potrebnej kvantite a kvalite, v pripravenosti a vycvičenosti vojenského personálu s dopadom na rozvoj a udržanie potrebných spôsobilostí ozbrojených síl.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E2560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FE2560" w:rsidTr="00FE256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FE2560" w:rsidTr="00FE256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Tabuľka č. 3 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1018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418"/>
        <w:gridCol w:w="1134"/>
        <w:gridCol w:w="2126"/>
      </w:tblGrid>
      <w:tr w:rsidR="00FE2560" w:rsidTr="00FE2560">
        <w:trPr>
          <w:cantSplit/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E2560" w:rsidTr="00FE25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FE2560" w:rsidRDefault="00FE2560" w:rsidP="00FE25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45F83" w:rsidRDefault="00545F83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2560" w:rsidRPr="00545F83" w:rsidRDefault="00545F83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</w:t>
      </w:r>
      <w:r w:rsidR="00FE25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</w:t>
      </w:r>
      <w:r w:rsidR="00FE256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Tabuľka č. 4</w:t>
      </w:r>
    </w:p>
    <w:tbl>
      <w:tblPr>
        <w:tblpPr w:leftFromText="141" w:rightFromText="141" w:vertAnchor="text" w:horzAnchor="margin" w:tblpXSpec="center" w:tblpY="8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418"/>
      </w:tblGrid>
      <w:tr w:rsidR="00FE2560" w:rsidTr="00FE2560">
        <w:trPr>
          <w:cantSplit/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E2560" w:rsidTr="00FE25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11 146 106,29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89 067 589,54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103 652 414,54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118 278 476,54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6 905 184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49 839 633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tabs>
                <w:tab w:val="center" w:pos="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  <w:t>58 178 883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66 518 133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2 532 203,12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18 786 463,21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22 016 251,71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25 248 603,21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RP 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1 141 117,17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11 393 547,33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12 299 533,83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13 218 564,33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RP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567 602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9 047 946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11 157 746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13 293 176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11 146 106,29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89 067 589,54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103 652 414,54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118 278 476,54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                                                                                            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Komentár k údajom uvedeným v tabuľke č. 4: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kategórii 610 – Mzdy, platy, služobné platy s OOV sú uvedené údaje vyplývajúce z nárastu služobného platu (hodnostný plat + príplatky priznávané v percentuálnej výške z hodnostného platu) vypočítané zo skutočných počtov profesionálnych vojakov so stavom k 31.12.2018 a prepočítané na každého profesionálneho vojaka osobitne.  Jedným zo základných cieľov návrhu zákona je zvýšenie regrutácie, preto v roku 2020 predpokladáme nárast priemerných evidenčných počtov profesionálnych vojakov o 250 osôb, na čo predpokladáme z limitov kapitoly MO SR vyčleniť prostriedky vo výške 4 169 625 € a v nasledujúcich rokoch o 500 osôb oproti predchádzajúcemu roku, na čo predpokladáme z limitov kapitoly MO SR vyčleniť prostriedky v roku 2021 vo výške 12 508 875 € a v roku 2022 vo výške 20 848 125 €. 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Predpoklad regrutácie v štyroch nástupných termínoch ročne: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FE2560" w:rsidTr="00FE2560">
        <w:trPr>
          <w:trHeight w:val="44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január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</w:t>
            </w: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február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apríl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máj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545F83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jún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545F83">
        <w:trPr>
          <w:trHeight w:val="444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júl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545F83">
        <w:trPr>
          <w:trHeight w:val="444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august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september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október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november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december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53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545F83">
        <w:trPr>
          <w:trHeight w:val="86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priemerný evidenčný počet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FE2560">
        <w:trPr>
          <w:trHeight w:val="46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2020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2021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2022</w:t>
            </w:r>
          </w:p>
        </w:tc>
      </w:tr>
    </w:tbl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tomto prípade ide o doplnenie vojenského personálu v rámci schválenej systemizácie 14 100 profesionálnych vojakov. Zároveň je vo výpočtoch zohľadnená deklarovaná valorizácia platov od 1.1.2020 o 10%. Vo výpočte na roky 2021 a 2022 nie je zohľadnená žiadna valorizácia platov, nakoľko v súčasnosti nie je známy žiadny návrh na valorizáciu v rokoch 2021 a 2022.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620 – Poistné a príspevok do poisťovní je vypočítané poistné na výsluhové zabezpečenie a verejné zdravotné poistenie za služobné úrady vypočítané zo služobných platov a poistné na verejné zdravotné poistenie platené zamestnávateľom zo stabilizačného príspevku a z osobitného stabilizačného príspevku (kategória 640).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630 – Tovary a služby sú do výdavkov zahrnuté príspevok do sociálneho fondu vypočítaný zo služobných platov profesionálnych vojakov a celkový dosah na rozpočet Vojenského spravodajstva súvisiaci s návrhom zákona.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640 – Bežné transfery sú do výdavkov zahrnuté výdavky súvisiace so zmenou stabilizačného príspevku a osobitného stabilizačného príspevku.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:rsidR="00FE2560" w:rsidRPr="00545F83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Tabuľka č. 5</w:t>
      </w:r>
    </w:p>
    <w:tbl>
      <w:tblPr>
        <w:tblpPr w:leftFromText="141" w:rightFromText="141" w:vertAnchor="text" w:horzAnchor="margin" w:tblpXSpec="center" w:tblpY="32"/>
        <w:tblW w:w="10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559"/>
        <w:gridCol w:w="1417"/>
        <w:gridCol w:w="411"/>
        <w:gridCol w:w="1007"/>
        <w:gridCol w:w="160"/>
        <w:gridCol w:w="160"/>
      </w:tblGrid>
      <w:tr w:rsidR="00FE2560" w:rsidTr="00FE2560">
        <w:trPr>
          <w:gridAfter w:val="2"/>
          <w:wAfter w:w="320" w:type="dxa"/>
          <w:cantSplit/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E2560" w:rsidTr="00FE2560">
        <w:trPr>
          <w:gridAfter w:val="2"/>
          <w:wAfter w:w="320" w:type="dxa"/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5F83" w:rsidRDefault="0054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5F83" w:rsidRDefault="0054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5F83" w:rsidRDefault="0054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Poznámky:</w:t>
            </w:r>
          </w:p>
        </w:tc>
        <w:tc>
          <w:tcPr>
            <w:tcW w:w="1275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9067" w:type="dxa"/>
            <w:gridSpan w:val="5"/>
            <w:noWrap/>
            <w:hideMark/>
          </w:tcPr>
          <w:p w:rsidR="00FE2560" w:rsidRDefault="00FE2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9478" w:type="dxa"/>
            <w:gridSpan w:val="6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82ABB" w:rsidRPr="00FE2560" w:rsidRDefault="00482ABB" w:rsidP="00FE2560"/>
    <w:sectPr w:rsidR="00482ABB" w:rsidRPr="00FE2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DE" w:rsidRDefault="00106ADE" w:rsidP="00FE2560">
      <w:pPr>
        <w:spacing w:after="0" w:line="240" w:lineRule="auto"/>
      </w:pPr>
      <w:r>
        <w:separator/>
      </w:r>
    </w:p>
  </w:endnote>
  <w:endnote w:type="continuationSeparator" w:id="0">
    <w:p w:rsidR="00106ADE" w:rsidRDefault="00106ADE" w:rsidP="00FE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823"/>
      <w:docPartObj>
        <w:docPartGallery w:val="Page Numbers (Bottom of Page)"/>
        <w:docPartUnique/>
      </w:docPartObj>
    </w:sdtPr>
    <w:sdtEndPr/>
    <w:sdtContent>
      <w:p w:rsidR="00FE2560" w:rsidRDefault="00FE25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1B">
          <w:rPr>
            <w:noProof/>
          </w:rPr>
          <w:t>4</w:t>
        </w:r>
        <w:r>
          <w:fldChar w:fldCharType="end"/>
        </w:r>
      </w:p>
    </w:sdtContent>
  </w:sdt>
  <w:p w:rsidR="00FE2560" w:rsidRDefault="00FE25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DE" w:rsidRDefault="00106ADE" w:rsidP="00FE2560">
      <w:pPr>
        <w:spacing w:after="0" w:line="240" w:lineRule="auto"/>
      </w:pPr>
      <w:r>
        <w:separator/>
      </w:r>
    </w:p>
  </w:footnote>
  <w:footnote w:type="continuationSeparator" w:id="0">
    <w:p w:rsidR="00106ADE" w:rsidRDefault="00106ADE" w:rsidP="00FE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1"/>
    <w:rsid w:val="000949DA"/>
    <w:rsid w:val="00106ADE"/>
    <w:rsid w:val="001E3F1B"/>
    <w:rsid w:val="00482ABB"/>
    <w:rsid w:val="004F4467"/>
    <w:rsid w:val="00545F83"/>
    <w:rsid w:val="005603D2"/>
    <w:rsid w:val="00741E23"/>
    <w:rsid w:val="00ED0971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3273-5807-48A7-8401-D02DC3C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97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ED0971"/>
    <w:rPr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ED0971"/>
    <w:pPr>
      <w:spacing w:after="0" w:line="240" w:lineRule="auto"/>
      <w:ind w:left="720" w:hanging="437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ED0971"/>
    <w:rPr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ED0971"/>
    <w:pPr>
      <w:spacing w:after="0" w:line="240" w:lineRule="auto"/>
      <w:ind w:left="721" w:hanging="437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D0971"/>
    <w:rPr>
      <w:rFonts w:asciiTheme="minorHAnsi" w:hAnsiTheme="minorHAnsi" w:cstheme="minorBidi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E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560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E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5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2</cp:revision>
  <dcterms:created xsi:type="dcterms:W3CDTF">2019-05-06T06:47:00Z</dcterms:created>
  <dcterms:modified xsi:type="dcterms:W3CDTF">2019-05-06T06:47:00Z</dcterms:modified>
</cp:coreProperties>
</file>