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010DE6" w:rsidRDefault="00010DE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10DE6">
        <w:trPr>
          <w:divId w:val="168821361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CA3CD1">
            <w:pPr>
              <w:rPr>
                <w:rFonts w:ascii="Times" w:hAnsi="Times" w:cs="Times"/>
                <w:sz w:val="20"/>
                <w:szCs w:val="20"/>
              </w:rPr>
            </w:pPr>
            <w:r w:rsidRPr="006D1202">
              <w:t xml:space="preserve">Návrh zákona </w:t>
            </w:r>
            <w:r w:rsidRPr="00A6626E">
              <w:t>o dohľade a pomoci pri riešení neodôvodnenej geografickej diskriminácie zákazníka na v</w:t>
            </w:r>
            <w:bookmarkStart w:id="0" w:name="_GoBack"/>
            <w:bookmarkEnd w:id="0"/>
            <w:r w:rsidRPr="00A6626E">
              <w:t>nútornom trhu a o zmene a doplnení zákona č. 128/2002 Z. z. o štátnej kontrole vnútorného trhu vo veciach ochrany spotrebiteľa a o zmene a doplnení niektorých zákonov v znení neskorších predpisov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010DE6">
        <w:trPr>
          <w:divId w:val="168821361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10DE6">
        <w:trPr>
          <w:divId w:val="168821361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10DE6">
        <w:trPr>
          <w:divId w:val="168821361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10DE6">
        <w:trPr>
          <w:divId w:val="168821361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1.3.2019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14.3.2019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1.4.2019</w:t>
            </w:r>
          </w:p>
        </w:tc>
      </w:tr>
      <w:tr w:rsidR="00010DE6">
        <w:trPr>
          <w:divId w:val="168821361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10DE6" w:rsidRDefault="00010DE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má prispieť k riadnemu fungovaniu vnútorného trhu EÚ a odstrániť niektoré podmienky, ktoré sú prekážkami jeho fungovania, zlepšiť prístup k tovarom a službám v celej Únii v rámci voľného pohybu tovaru a služieb a predchádzať diskriminácii, ktorú uplatňuje obchodník pri predaji tovaru alebo služby, vrátane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predaja, vo vzťahu k zákazníkovi z dôvodu jeho inej štátnej príslušnosti, miesta bydliska, či sídla (tzv. geografické blokovanie).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nariadenia je odstrániť diskriminačné praktiky obchodníka pri cezhraničnom obchodovaní a zabezpečiť rovnaké zaobchádzanie so zákazníkmi z EÚ, v rovnakej situácii, pokiaľ možno rovnakým spôsobom pri predaji tovaru a služby cezhranične a zabrániť priamej a nepriamej diskriminácii zákazníkov obchodníkom z dôvodu inej štátnej príslušnosti, miesta bydliska, či sídla zákazníka.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Cieľom návrhu zákona je zabezpečiť presadzovanie uplatňovania nariadenia v SR.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Výsledkom uplatňovania nariadenia je prístup zákazníka k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rozhraniu obchodníka (webové sídla, aplikácie) pri elektronickom obchodovaní v Únii, širšia ponuka výrobkov a služieb pre zákazníkov, uplatňovanie rovnakých všeobecných podmienok obchodníka vo vzťahu k zákazníkom, rovnaký prístup z hľadiska výberu spôsobu vykonania platobnej transakcie zákazníkmi ako úhrady za tovar alebo služby, bez ohľadu na ich štátnu príslušnosť, bydlisko, či sídlo.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Podnikatelia ako obchodníci ponúkajúci tovar alebo služby a zákazníci ako spotrebitelia, ale aj ako podniky, ktorí nakupujú tovar a služby v Únii na účely konečného použitia, mimo svojho predmetu podnikania.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O príprave návrhu zákona boli informované aj podnikateľské subjekty prostredníctvom podnikateľských zväzov, združení alebo firiem, v ktorých majú svoje zastúpenie ako napr. RÚZ, AZZZ, SOPK, Klub 500, Slovenská asociácia cestovných kancelárií, Slovenská asociácia elektronického obchodu, O2. Týmto subjektom bola ministerstvom hospodárstva zaslaná informácia o príprave návrhu predmetného zákona, ktorá bola zverejnená aj na webovej stránke ministerstva hospodárstva SR.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Súčasný právny rámec problematiky neodôvodnenej geografickej diskriminácie je riešený článkom 20 smernice č. 2006/123/ES o službách na vnútornom trhu (prebratá v SR zákonom č. 136/2010 Z. z.), avšak zasahuje najmä do oblasti služieb, vzťahuje sa teda na príjemcu služby (§ 10 zákona 136/2010 Z. z.). To však nie je z hľadiska naplnenia cieľov tejto problematiky (snaha o rovnaké zaobchádzanie so zákazníkmi v rovnakej situácii v rámci EÚ) postačujúce. Na základe toho bolo prijaté Nariadenie (EÚ) 2018/302, ktoré precizuje článok 20 a dopĺňa ho vymedzením určitých konkrétnych situácií, keď rozdielne zaobchádzanie z dôvodu štátnej príslušnosti, miesta bydliska alebo sídla zákazníka nemôže byť odôvodnené podľa článku 20. Vzhľadom na nové požiadavky a postupy v predmetnej problematike stanovené nariadením bolo potrebné prijať v SR nový právny predpis, ktorým je predkladaný návrh zákona, ktorý napĺňa požiadavky vyplývajúce z nariadenia pre členské štáty EÚ.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10DE6" w:rsidRDefault="00010DE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10DE6">
        <w:trPr>
          <w:divId w:val="21292730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D73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D736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10DE6" w:rsidRDefault="00010DE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10DE6">
        <w:trPr>
          <w:divId w:val="18578150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Z návrhu zákona dotknutým subjektom (obchodníkom – podnikateľom) nevyplynú žiadne povinnosti, tie vyplývajú len z nariadenia Európskeho parlamentu a Rady (EÚ) 2018/302 o riešení neodôvodneného geografického blokovania a iných foriem diskriminácie z dôvodu štátnej príslušnosti, miesta bydliska alebo sídla zákazníkov na vnútornom trhu.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Povinnosti obchodníkov vymedzujú články 3 – 5 nariadenia vo forme zákazov, a to: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Obchodníkovi sa zakazuje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1. obmedzovať prístup zákazníka k svojmu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rozhraniu (webové sídla, aplikácie),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2. presmerovať zákazníka bez jeho výslovného súhlasu na inú verziu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rozhrania,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ktorá je odlišná od tej, ku ktorej chcel pôvodne získať prístup,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3. stanoviť rozdielne všeobecné podmienky obchodu v neprospech zákazníka,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4. určiť rozdielne podmienky na vykonanie platobnej transakcie za kúpený tovar, či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poskytnutú službu.</w:t>
            </w:r>
          </w:p>
          <w:p w:rsidR="00211C1D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lastRenderedPageBreak/>
              <w:t>Predmetný legislatívny návrh bude mať marginálny potenciálne negatívny vplyv na podnikateľov – obchodníkov.</w:t>
            </w:r>
          </w:p>
          <w:p w:rsidR="00211C1D" w:rsidRDefault="00211C1D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Vo väzbe na problematiku nariadenia bude SOI plniť aj úlohy vyplývajúce z iných právnych aktov EÚ týkajúce sa vzájomnej spolupráce orgánov v Únii, čo jej vyplýva z nariadení č. 2006/2004/ES, 2017/2397/EÚ a smernice č. 2009/22/ES. Z uvedeného je zrejmé, že rozsah kompetencií SOI sa opäť rozšíri. Na základe opätovného rozšírenia už aj tak značného rozsahu kompetencií SOI treba počítať od roku 2020 s personálnym dobudovaním a navýšením o desať zamestnancov a doplnením technického vybavenia, čo bude mať dopad na štátny rozpočet (kapitolu MH SR). Čiastočnou kompenzáciou zvýšených nákladov by mohli byť príjmy z pokút uložených za porušovanie nariadenia o geografickej diskriminácii, ktorých výšku však v súčasnosti nie je možné vyčísliť.</w:t>
            </w:r>
          </w:p>
        </w:tc>
      </w:tr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010DE6">
        <w:trPr>
          <w:divId w:val="18578150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richard.paule@mhsr.sk</w:t>
            </w:r>
          </w:p>
          <w:p w:rsidR="00010DE6" w:rsidRPr="005A128E" w:rsidRDefault="00CA3CD1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010DE6" w:rsidRPr="005A128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iveta.letkova@mhsr.sk</w:t>
              </w:r>
            </w:hyperlink>
          </w:p>
        </w:tc>
      </w:tr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10DE6">
        <w:trPr>
          <w:divId w:val="18578150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Problematika bola prekonzultovaná so zástupcami Slovenskej obchodnej inšpekcie  (poverenej vykonávaním nariadenia (EÚ) 2018/302)  a  tiež s Odborom ochrany spotrebiteľa MH SR. Pripomienky oboch subjektov boli prevažne akceptované a zapracované do návrhu zákona. S predmetnou problematikou boli oboznámené aj dotknuté podnikateľské subjekty prostredníctvom informácie o príprave materiálu (návrhu zákona), ktorú im zaslalo v januári 2019 Centrum pre hospodárske otázky MH SR. Centrum pre hospodárske otázky zverejnilo informáciu aj na webovej stránke MH SR v zmysle Jednotnej metodiky na posudzovanie vybraných vplyvov. Zo strany podnikateľských subjektov neboli vznesené žiadne pripomienky.</w:t>
            </w:r>
          </w:p>
          <w:p w:rsidR="00010DE6" w:rsidRPr="005A128E" w:rsidRDefault="00010DE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Širšia laická a odborná verejnosť bola oboznámená s predmetnou problematikou prostredníctvom zverejnenia informácie o príprave materiálu na právnom a informačnom portáli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Slov-lex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>. Verejnosť bude môcť vzniesť svoje pripomienky následne i v rámci medzirezortného pripomienkového konania.</w:t>
            </w:r>
          </w:p>
        </w:tc>
      </w:tr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10DE6">
        <w:trPr>
          <w:divId w:val="185781502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Komisia </w:t>
            </w:r>
            <w:r w:rsidR="00AE59DF">
              <w:rPr>
                <w:rFonts w:ascii="Times" w:hAnsi="Times" w:cs="Times"/>
                <w:sz w:val="20"/>
                <w:szCs w:val="20"/>
              </w:rPr>
              <w:t xml:space="preserve">15. 3 2019 </w:t>
            </w:r>
            <w:r w:rsidRPr="005A128E">
              <w:rPr>
                <w:rFonts w:ascii="Times" w:hAnsi="Times" w:cs="Times"/>
                <w:sz w:val="20"/>
                <w:szCs w:val="20"/>
              </w:rPr>
              <w:t>vyjadrila nesúhlasné stanovisko s predloženým materiálom a predložila nasledujúce pripomienky: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292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K doložke vybraných vplyvov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Komisia odporúča v Doložke vplyvov v časti 10. Poznámky vyňať uvedený text a nahradiť ho časťou textu z Predkladacej správy: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„Povinnosti obchodníkov vymedzujú články 3 – 5 nariadenia vo forme zákazov, a to: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Obchodníkovi sa zakazuje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1. obmedzovať prístup k svojmu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rozhraniu (webové sídla, aplikácie) zákazníkovi,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2. presmerovať zákazníka bez jeho výslovného súhlasu na inú verziu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rozhrania,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ktorá je odlišná od tej, ku ktorej chcel pôvodne získať prístup,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3. stanoviť rozdielne všeobecné podmienky obchodu v neprospech zákazníka,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4. určiť rozdielne podmienky na vykonanie platobnej transakcie za kúpený tovar, či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poskytnutú službu.</w:t>
            </w:r>
            <w:r w:rsidR="006A7688">
              <w:rPr>
                <w:rFonts w:ascii="Times" w:hAnsi="Times" w:cs="Times"/>
                <w:sz w:val="20"/>
                <w:szCs w:val="20"/>
              </w:rPr>
              <w:t>“</w:t>
            </w:r>
            <w:r w:rsidRPr="005A128E">
              <w:rPr>
                <w:rFonts w:ascii="Times" w:hAnsi="Times" w:cs="Times"/>
                <w:sz w:val="20"/>
                <w:szCs w:val="20"/>
              </w:rPr>
              <w:t xml:space="preserve"> A na základe uvedeného napísať, že predmetný legislatívny návrh prinesie následne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potencionálne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(marginálne) vplyvy na podnikateľov – obchodníkov.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Posledný odsek v Doložke vplyvov v časti 10. Poznámky, ktoré predkladateľ uvádza v znení: „O príprave návrhu zákona boli informované aj podnikateľské subjekty prostredníctvom podnikateľských zväzov, združení alebo firiem, v ktorých majú svoje zastúpenie ako napr. RÚZ, AZZZ, SOPK, Klub 500, Slovenská asociácia cestovných kancelárií, Slovenská asociácia elektronického obchodu, O2. Týmto subjektom bola ministerstvom hospodárstva zaslaná informácia o príprave návrhu predmetného zákona, ktorá bola zverejnená aj na webovej stránke ministerstva“ Komisia odporúča uviesť do časti 4. Dotknuté subjekty.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292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V doložke vybraných vplyvov je uvedené, že predmetný materiál bude mať pozitívny aj negatívny vplyv na rozpočet verejnej správy, ktorý nie je rozpočtovo zabezpečený. V analýze vplyvov na rozpočet verejnej správy sú kvantifikované výdavky na roky 2019 až 2022 v celkovej výške 217 700 eur každoročne, v rámci ktorej sú vyčíslené aj mzdové výdavky v objeme 142 000 eur.</w:t>
            </w:r>
          </w:p>
          <w:p w:rsidR="006A7688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Analýza vplyvov na rozpočet verejnej správy nie je vypracovaná korektne, v tabuľke č. 1 nie sú vyplnené údaje v riadkoch „Financovanie zabezpečené v rozpočte“, resp. „Rozpočtovo nekrytý vplyv“ a chýbajú aj </w:t>
            </w:r>
            <w:r w:rsidRPr="005A128E">
              <w:rPr>
                <w:rFonts w:ascii="Times" w:hAnsi="Times" w:cs="Times"/>
                <w:sz w:val="20"/>
                <w:szCs w:val="20"/>
              </w:rPr>
              <w:lastRenderedPageBreak/>
              <w:t xml:space="preserve">sumárne údaje za jednotlivé časti. V časti „vplyv na počet zamestnancov“ sa majú uvádzať konkrétne počty osôb, nie finančná čiastka. Zároveň Komisia upozorňuje, že v tabuľke č. 5 analýzy vplyvov sa uvádza počet zamestnancov 10, čo nekorešponduje s doložkou vybraných vplyvov, kde sa v časti 10. Poznámky uvádza, že na personálne dobudovanie SOI bude potrebné navýšenie minimálne o 2 zamestnancov. Uvedené Komisia žiada zosúladiť. 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Vzhľadom na to, že účinnosť návrhu zákona je od 1. 6. 2019, Komisia žiada úmerne upraviť aj kvantifikácie na rok 2019. V nadväznosti na uvedené Komisia žiada prepracovať analýzu vplyvov na rozpočet verejnej správy a zosúladiť s doložkou vybraných vplyvov. Finančné prostriedky, potrebné na personálne a technické dobudovanie SOI Komisia žiada zásadne zabezpečiť v rámci schválených limitov počtu zamestnancov a limitov výdavkov MH SR bez dodatočných požiadaviek na štátny rozpočet a zvýšenie limitu počtu zamestnancov.</w:t>
            </w:r>
          </w:p>
          <w:p w:rsidR="00010DE6" w:rsidRPr="005A128E" w:rsidRDefault="00010DE6" w:rsidP="00AE59DF">
            <w:pPr>
              <w:pStyle w:val="Normlnywebov"/>
              <w:spacing w:before="0" w:beforeAutospacing="0" w:after="0" w:afterAutospacing="0"/>
              <w:ind w:left="575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Z formálneho hľadiska je potrebné vo všetkých tabuľkách analýzy uviesť konkrétne roky 2019 až 2022.</w:t>
            </w:r>
          </w:p>
          <w:p w:rsidR="006A7688" w:rsidRDefault="006A7688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</w:p>
          <w:p w:rsidR="00AE59DF" w:rsidRPr="005A128E" w:rsidRDefault="00AE59DF" w:rsidP="00AE59DF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Pripomienky uvedené v Stanovisku Komisie sú do analýzy vplyvov zapracované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AE59DF" w:rsidRDefault="00AE59DF" w:rsidP="00AE59DF">
            <w:pPr>
              <w:rPr>
                <w:rFonts w:ascii="Times" w:hAnsi="Times" w:cs="Times"/>
                <w:sz w:val="20"/>
                <w:szCs w:val="20"/>
              </w:rPr>
            </w:pPr>
          </w:p>
          <w:p w:rsidR="00AE59DF" w:rsidRDefault="00AE59DF" w:rsidP="00AE59D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 úprave jednotlivých častí materiálu predkladateľ opätovne predložil Komisii doložku a súvisiace podklady na posúdenie. Komisia k nim 2. 4. 2019 vyjadrila súhlasné stanovisko. Následne však MF SR zaslalo svoje stanovisko s niekoľkými pripomienkami: </w:t>
            </w:r>
          </w:p>
          <w:p w:rsidR="00AE59DF" w:rsidRDefault="00AE59DF" w:rsidP="00AE59DF">
            <w:pPr>
              <w:rPr>
                <w:rFonts w:ascii="Times" w:hAnsi="Times" w:cs="Times"/>
                <w:sz w:val="20"/>
                <w:szCs w:val="20"/>
              </w:rPr>
            </w:pPr>
          </w:p>
          <w:p w:rsidR="00AE59DF" w:rsidRPr="00AE59DF" w:rsidRDefault="00AE59DF" w:rsidP="00AE59DF">
            <w:pPr>
              <w:ind w:left="292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AE59DF">
              <w:rPr>
                <w:rFonts w:ascii="Times" w:hAnsi="Times" w:cs="Times"/>
                <w:sz w:val="20"/>
                <w:szCs w:val="20"/>
              </w:rPr>
              <w:t xml:space="preserve">Upozorňujeme, že analýza vplyvov na rozpočet verejnej správy musí byť vypracovaná na roky 2019 až 2022. Nakoľko účinnosť zákona sa navrhuje od 1. 6. 2019, dopad na rok 2019 žiadame kvantifikovať na 7 mesiacov a uviesť, že financovanie je zabezpečené v rozpočte MH SR. V tabuľke č. 1 analýzy vplyvov nie sú vyplnené údaje v riadkoch „financovanie zabezpečené v rozpočte“, resp. „rozpočtovo nekrytý vplyv“, uvedené žiadame doplniť za všetky roky a zosúladiť  s doložkou vybraných vplyvov, kde sa uvádza rozpočtovo nezabezpečený vplyv.  Zároveň je potrebné vyplniť časť 2. 1. 1. analýzy vplyvov.  </w:t>
            </w:r>
          </w:p>
          <w:p w:rsidR="00AE59DF" w:rsidRPr="00AE59DF" w:rsidRDefault="00AE59DF" w:rsidP="00AE59DF">
            <w:pPr>
              <w:ind w:firstLine="8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AE59DF" w:rsidRPr="00C5157C" w:rsidRDefault="00AE59DF" w:rsidP="00AE59DF">
            <w:pPr>
              <w:ind w:left="292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59DF">
              <w:rPr>
                <w:rFonts w:ascii="Times" w:hAnsi="Times" w:cs="Times"/>
                <w:sz w:val="20"/>
                <w:szCs w:val="20"/>
              </w:rPr>
              <w:t>Zásadne žiadame finančné prostriedky, potrebné na personálne a technické dobudovanie SOI v rokoch 2019 až 2022 zabezpečiť v rámci schválených limitov počtu zamestnancov a limitov výdavkov MH SR bez dodatočných požiadaviek na štátny rozpočet a zvýšenie limitu počtu zamestnancov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:rsidR="00AE59DF" w:rsidRDefault="00AE59DF" w:rsidP="00AE59DF">
            <w:pPr>
              <w:ind w:firstLine="8"/>
              <w:jc w:val="both"/>
              <w:rPr>
                <w:rFonts w:ascii="Arial Narrow" w:hAnsi="Arial Narrow" w:cs="Helv"/>
                <w:color w:val="000000"/>
                <w:sz w:val="22"/>
                <w:szCs w:val="16"/>
              </w:rPr>
            </w:pPr>
          </w:p>
          <w:p w:rsidR="00AE59DF" w:rsidRPr="005A128E" w:rsidRDefault="00AE59DF" w:rsidP="00AE59DF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Pr</w:t>
            </w:r>
            <w:r>
              <w:rPr>
                <w:rFonts w:ascii="Times" w:hAnsi="Times" w:cs="Times"/>
                <w:sz w:val="20"/>
                <w:szCs w:val="20"/>
              </w:rPr>
              <w:t>v</w:t>
            </w:r>
            <w:r w:rsidR="00CC3D8D">
              <w:rPr>
                <w:rFonts w:ascii="Times" w:hAnsi="Times" w:cs="Times"/>
                <w:sz w:val="20"/>
                <w:szCs w:val="20"/>
              </w:rPr>
              <w:t>á</w:t>
            </w:r>
            <w:r>
              <w:rPr>
                <w:rFonts w:ascii="Times" w:hAnsi="Times" w:cs="Times"/>
                <w:sz w:val="20"/>
                <w:szCs w:val="20"/>
              </w:rPr>
              <w:t xml:space="preserve"> pripo</w:t>
            </w:r>
            <w:r w:rsidRPr="005A128E">
              <w:rPr>
                <w:rFonts w:ascii="Times" w:hAnsi="Times" w:cs="Times"/>
                <w:sz w:val="20"/>
                <w:szCs w:val="20"/>
              </w:rPr>
              <w:t>mienk</w:t>
            </w:r>
            <w:r w:rsidR="00CC3D8D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C3D8D">
              <w:rPr>
                <w:rFonts w:ascii="Times" w:hAnsi="Times" w:cs="Times"/>
                <w:sz w:val="20"/>
                <w:szCs w:val="20"/>
              </w:rPr>
              <w:t xml:space="preserve">bola </w:t>
            </w:r>
            <w:r>
              <w:rPr>
                <w:rFonts w:ascii="Times" w:hAnsi="Times" w:cs="Times"/>
                <w:sz w:val="20"/>
                <w:szCs w:val="20"/>
              </w:rPr>
              <w:t>zapracova</w:t>
            </w:r>
            <w:r w:rsidR="00CC3D8D">
              <w:rPr>
                <w:rFonts w:ascii="Times" w:hAnsi="Times" w:cs="Times"/>
                <w:sz w:val="20"/>
                <w:szCs w:val="20"/>
              </w:rPr>
              <w:t>ná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CC3D8D">
              <w:rPr>
                <w:rFonts w:ascii="Times" w:hAnsi="Times" w:cs="Times"/>
                <w:sz w:val="20"/>
                <w:szCs w:val="20"/>
              </w:rPr>
              <w:t>druh</w:t>
            </w:r>
            <w:r w:rsidR="00CC3D8D" w:rsidRPr="00CC3D8D">
              <w:rPr>
                <w:rFonts w:ascii="Times" w:hAnsi="Times" w:cs="Times"/>
                <w:sz w:val="20"/>
                <w:szCs w:val="20"/>
              </w:rPr>
              <w:t>á</w:t>
            </w:r>
            <w:r w:rsidRPr="00CC3D8D">
              <w:rPr>
                <w:rFonts w:ascii="Times" w:hAnsi="Times" w:cs="Times"/>
                <w:sz w:val="20"/>
                <w:szCs w:val="20"/>
              </w:rPr>
              <w:t xml:space="preserve"> ne</w:t>
            </w:r>
            <w:r w:rsidR="00CC3D8D" w:rsidRPr="00CC3D8D">
              <w:rPr>
                <w:rFonts w:ascii="Times" w:hAnsi="Times" w:cs="Times"/>
                <w:sz w:val="20"/>
                <w:szCs w:val="20"/>
              </w:rPr>
              <w:t xml:space="preserve">bola </w:t>
            </w:r>
            <w:r w:rsidRPr="00CC3D8D">
              <w:rPr>
                <w:rFonts w:ascii="Times" w:hAnsi="Times" w:cs="Times"/>
                <w:sz w:val="20"/>
                <w:szCs w:val="20"/>
              </w:rPr>
              <w:t>akceptova</w:t>
            </w:r>
            <w:r w:rsidR="00CC3D8D" w:rsidRPr="00CC3D8D">
              <w:rPr>
                <w:rFonts w:ascii="Times" w:hAnsi="Times" w:cs="Times"/>
                <w:sz w:val="20"/>
                <w:szCs w:val="20"/>
              </w:rPr>
              <w:t>ná</w:t>
            </w:r>
            <w:r w:rsidRPr="00CC3D8D">
              <w:rPr>
                <w:rFonts w:ascii="Times" w:hAnsi="Times" w:cs="Times"/>
                <w:sz w:val="20"/>
                <w:szCs w:val="20"/>
              </w:rPr>
              <w:t xml:space="preserve"> a pretrváva k nej rozpor, ktorý </w:t>
            </w:r>
            <w:r w:rsidR="00CC3D8D" w:rsidRPr="00CC3D8D">
              <w:rPr>
                <w:rFonts w:ascii="Times" w:hAnsi="Times" w:cs="Times"/>
                <w:sz w:val="20"/>
                <w:szCs w:val="20"/>
              </w:rPr>
              <w:t xml:space="preserve">sa </w:t>
            </w:r>
            <w:r w:rsidRPr="00CC3D8D">
              <w:rPr>
                <w:rFonts w:ascii="Times" w:hAnsi="Times" w:cs="Times"/>
                <w:sz w:val="20"/>
                <w:szCs w:val="20"/>
              </w:rPr>
              <w:t>bude riešiť v </w:t>
            </w:r>
            <w:proofErr w:type="spellStart"/>
            <w:r w:rsidRPr="00CC3D8D">
              <w:rPr>
                <w:rFonts w:ascii="Times" w:hAnsi="Times" w:cs="Times"/>
                <w:sz w:val="20"/>
                <w:szCs w:val="20"/>
              </w:rPr>
              <w:t>rozporovom</w:t>
            </w:r>
            <w:proofErr w:type="spellEnd"/>
            <w:r w:rsidRPr="00CC3D8D">
              <w:rPr>
                <w:rFonts w:ascii="Times" w:hAnsi="Times" w:cs="Times"/>
                <w:sz w:val="20"/>
                <w:szCs w:val="20"/>
              </w:rPr>
              <w:t xml:space="preserve"> konaní.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AE59DF" w:rsidRDefault="00AE59DF" w:rsidP="00AE59D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DA" w:rsidRDefault="009D25DA">
      <w:r>
        <w:separator/>
      </w:r>
    </w:p>
  </w:endnote>
  <w:endnote w:type="continuationSeparator" w:id="0">
    <w:p w:rsidR="009D25DA" w:rsidRDefault="009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DA" w:rsidRDefault="009D25DA">
      <w:r>
        <w:separator/>
      </w:r>
    </w:p>
  </w:footnote>
  <w:footnote w:type="continuationSeparator" w:id="0">
    <w:p w:rsidR="009D25DA" w:rsidRDefault="009D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0DE6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1C1D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D736E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7C4"/>
    <w:rsid w:val="005E20EA"/>
    <w:rsid w:val="005E3070"/>
    <w:rsid w:val="005E5741"/>
    <w:rsid w:val="005E6685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A7688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57D88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25DA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1ADE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9DF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2FC4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CD1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3D8D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10DE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10DE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letkova@mh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4.2019 9:38:50"/>
    <f:field ref="objchangedby" par="" text="Administrator, System"/>
    <f:field ref="objmodifiedat" par="" text="1.4.2019 9:38:5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10970</Characters>
  <Application>Microsoft Office Word</Application>
  <DocSecurity>4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Hajdu Ladislav</cp:lastModifiedBy>
  <cp:revision>2</cp:revision>
  <dcterms:created xsi:type="dcterms:W3CDTF">2019-05-16T05:33:00Z</dcterms:created>
  <dcterms:modified xsi:type="dcterms:W3CDTF">2019-05-16T05:33:00Z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 Ladislav Hajdu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zákona o dohľade a pomoci pri riešení neodôvodnenej geografickej diskriminácie zákazníka na vnútornom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>Ministerstvo hospodárstva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 Návrh zákona o dohľade a pomoci pri riešení neodôvodnenej geografickej diskriminácie zákazníka na vnútornom trhu</vt:lpwstr>
  </property>
  <property fmtid="{D5CDD505-2E9C-101B-9397-08002B2CF9AE}" pid="17" name="FSC#SKEDITIONSLOVLEX@103.510:rezortcislopredpis">
    <vt:lpwstr>15461/2019-3120-21363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LP/2019/226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– článok 114._x000d_
Nariadenie Európskeho parlamentu a Rady 2018/302/EÚ o riešení neodôvodneného geografického blokovania a iných foriem diskriminácie z dôvodu štátnej príslušnosti, miesta bydliska alebo sídla zákazníkov na vn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1. 3. 2019</vt:lpwstr>
  </property>
  <property fmtid="{D5CDD505-2E9C-101B-9397-08002B2CF9AE}" pid="49" name="FSC#SKEDITIONSLOVLEX@103.510:AttrDateDocPropUkonceniePKK">
    <vt:lpwstr>14. 3. 2019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&lt;p&gt;Z návrhu zákona dotknutým subjektom (obchodníkom – podnikateľom) nevyplynú žiadne povinnosti, tie vyplývajú len z&amp;nbsp;nariadenia Európskeho parlamentu a&amp;nbsp;Rady (EÚ) 2018/302 o riešení neodôvodneného geografického blokovania a iných foriem diskrimin</vt:lpwstr>
  </property>
  <property fmtid="{D5CDD505-2E9C-101B-9397-08002B2CF9AE}" pid="56" name="FSC#SKEDITIONSLOVLEX@103.510:AttrStrListDocPropAltRiesenia">
    <vt:lpwstr>Súčasný právny rámec problematiky neodôvodnenej geografickej diskriminácie je riešený článkom 20 smernice č. 2006/123/ES o službách na vnútornom trhu (prebratá v SR zákonom č. 136/2010 Z. z.), avšak zasahuje najmä do oblasti služieb, vzťahuje sa teda na p</vt:lpwstr>
  </property>
  <property fmtid="{D5CDD505-2E9C-101B-9397-08002B2CF9AE}" pid="57" name="FSC#SKEDITIONSLOVLEX@103.510:AttrStrListDocPropStanoviskoGest">
    <vt:lpwstr>&lt;p&gt;Komisia vyjadrila nesúhlasné stanovisko s&amp;nbsp;predloženým materiálom a&amp;nbsp;predložila nasledujúce pripomienky:&lt;/p&gt;&lt;p&gt;K&amp;nbsp;doložke vybraných vplyvov&lt;/p&gt;&lt;p&gt;Komisia odporúča v Doložke vplyvov v časti 10. Poznámky vyňať uvedený text a nahradiť ho časťo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&lt;p&gt;Predkladacia správa&lt;/p&gt;&lt;p&gt;&amp;nbsp;&amp;nbsp; Ministerstvo hospodárstva predkladá na rokovanie vlády materiál „Návrh zákona o&amp;nbsp;dohľade a&amp;nbsp;pomoci pri riešení neodôvodnenej geografickej diskriminácie zákazníkov na vnútornom trhu“. Podnetom na jeho predl</vt:lpwstr>
  </property>
  <property fmtid="{D5CDD505-2E9C-101B-9397-08002B2CF9AE}" pid="130" name="FSC#COOSYSTEM@1.1:Container">
    <vt:lpwstr>COO.2145.1000.3.3279353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&lt;strong&gt;právnych predpisov&lt;/strong&gt;&lt;/strong&gt;&lt;/p&gt;&lt;p style="text-align: justify;"&gt;V záujme informovania verejnosti a orgánov verejnej správy Ministerstvo hospodárstva SR zverejnilo dňa 21.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ministerovi hospodárstva Slovenskej republiky</vt:lpwstr>
  </property>
  <property fmtid="{D5CDD505-2E9C-101B-9397-08002B2CF9AE}" pid="146" name="FSC#SKEDITIONSLOVLEX@103.510:funkciaZodpPredDativ">
    <vt:lpwstr>ministera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1. 4. 2019</vt:lpwstr>
  </property>
</Properties>
</file>