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75287E" w:rsidRDefault="00E96290" w:rsidP="007B71A4">
            <w:pPr>
              <w:rPr>
                <w:rFonts w:ascii="Times" w:hAnsi="Times" w:cs="Times"/>
              </w:rPr>
            </w:pPr>
            <w:r w:rsidRPr="0075287E">
              <w:rPr>
                <w:rFonts w:ascii="Times" w:hAnsi="Times" w:cs="Times"/>
              </w:rPr>
              <w:t>Návrh zákona, ktorým sa mení a dopĺňa zákon č. 555/2005 Z. z. o energetickej hospodárnosti budov a o zmene a doplnení niektorých zákonov v 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5F6332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6332" w:rsidRDefault="0075287E" w:rsidP="005F633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Ministerstvo dopravy a výstavby Slovenskej republiky</w:t>
            </w:r>
          </w:p>
          <w:p w:rsidR="00EE28BF" w:rsidRDefault="00EE28BF" w:rsidP="005F6332"/>
        </w:tc>
      </w:tr>
      <w:tr w:rsidR="003501A1" w:rsidRPr="00A179AE" w:rsidTr="00706FBD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1A1" w:rsidRPr="00A179AE" w:rsidRDefault="003501A1" w:rsidP="00706FBD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5378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5378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75287E" w:rsidRDefault="00355834" w:rsidP="00220598">
            <w:pPr>
              <w:jc w:val="both"/>
              <w:rPr>
                <w:rFonts w:ascii="Times" w:hAnsi="Times" w:cs="Times"/>
              </w:rPr>
            </w:pPr>
            <w:r>
              <w:rPr>
                <w:bCs/>
                <w:lang w:eastAsia="cs-CZ"/>
              </w:rPr>
              <w:t>S</w:t>
            </w:r>
            <w:r w:rsidRPr="003671E4">
              <w:rPr>
                <w:bCs/>
                <w:lang w:eastAsia="cs-CZ"/>
              </w:rPr>
              <w:t>mernic</w:t>
            </w:r>
            <w:r>
              <w:rPr>
                <w:bCs/>
                <w:lang w:eastAsia="cs-CZ"/>
              </w:rPr>
              <w:t>a</w:t>
            </w:r>
            <w:r w:rsidRPr="003671E4">
              <w:rPr>
                <w:bCs/>
                <w:lang w:eastAsia="cs-CZ"/>
              </w:rPr>
              <w:t xml:space="preserve"> </w:t>
            </w:r>
            <w:r w:rsidRPr="003671E4">
              <w:t xml:space="preserve">Európskeho parlamentu a Rady (EÚ) 2018/844 z 30. mája 2018, ktorou sa mení smernica 2010/31/EÚ o energetickej hospodárnosti budov </w:t>
            </w:r>
            <w:r w:rsidRPr="003671E4">
              <w:rPr>
                <w:lang w:eastAsia="cs-CZ"/>
              </w:rPr>
              <w:t>a smernica 2012/27/EÚ o energetickej efektívnosti</w:t>
            </w:r>
            <w:r w:rsidRPr="003671E4">
              <w:rPr>
                <w:rFonts w:eastAsia="TeXGyreBonumRegular"/>
              </w:rPr>
              <w:t xml:space="preserve"> </w:t>
            </w:r>
            <w:r w:rsidRPr="003671E4">
              <w:rPr>
                <w:bCs/>
              </w:rPr>
              <w:t>(</w:t>
            </w:r>
            <w:r w:rsidRPr="003671E4">
              <w:rPr>
                <w:rFonts w:eastAsia="TeXGyreBonumRegular"/>
              </w:rPr>
              <w:t>Ú. v. EÚ L 156/75, 19. 06. 2018</w:t>
            </w:r>
            <w:r w:rsidR="0075287E">
              <w:rPr>
                <w:rFonts w:eastAsia="TeXGyreBonumRegular"/>
              </w:rPr>
              <w:t>)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4152C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 xml:space="preserve">01. – 15. </w:t>
            </w:r>
            <w:r w:rsidR="00355834" w:rsidRPr="00C32C50">
              <w:rPr>
                <w:rFonts w:ascii="Times" w:hAnsi="Times" w:cs="Times"/>
              </w:rPr>
              <w:t>apríl</w:t>
            </w:r>
            <w:r>
              <w:rPr>
                <w:rFonts w:ascii="Times" w:hAnsi="Times" w:cs="Times"/>
              </w:rPr>
              <w:t>a</w:t>
            </w:r>
            <w:r w:rsidR="00355834" w:rsidRPr="00C32C50">
              <w:rPr>
                <w:rFonts w:ascii="Times" w:hAnsi="Times" w:cs="Times"/>
              </w:rPr>
              <w:t xml:space="preserve"> 2019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55834" w:rsidRDefault="00355834" w:rsidP="007B71A4">
            <w:r w:rsidRPr="00C32C50">
              <w:rPr>
                <w:rFonts w:ascii="Times" w:hAnsi="Times" w:cs="Times"/>
              </w:rPr>
              <w:t>apríl 2019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753786" w:rsidP="00220598">
            <w:pPr>
              <w:jc w:val="both"/>
              <w:rPr>
                <w:b/>
              </w:rPr>
            </w:pPr>
            <w:r w:rsidRPr="003671E4">
              <w:t>Dôvodom na vypracovanie návrhu zákona je transpozícia s</w:t>
            </w:r>
            <w:r w:rsidRPr="003671E4">
              <w:rPr>
                <w:bCs/>
                <w:lang w:eastAsia="cs-CZ"/>
              </w:rPr>
              <w:t xml:space="preserve">mernice </w:t>
            </w:r>
            <w:r w:rsidRPr="003671E4">
              <w:t xml:space="preserve">Európskeho parlamentu a Rady (EÚ) 2018/844 z 30. mája 2018, ktorou sa mení smernica 2010/31/EÚ o energetickej hospodárnosti budov </w:t>
            </w:r>
            <w:r w:rsidRPr="003671E4">
              <w:rPr>
                <w:lang w:eastAsia="cs-CZ"/>
              </w:rPr>
              <w:t>a smernica 2012/27/EÚ o energetickej efektívnosti</w:t>
            </w:r>
            <w:r w:rsidRPr="003671E4">
              <w:rPr>
                <w:rFonts w:eastAsia="TeXGyreBonumRegular"/>
              </w:rPr>
              <w:t xml:space="preserve"> do </w:t>
            </w:r>
            <w:r>
              <w:rPr>
                <w:rFonts w:eastAsia="TeXGyreBonumRegular"/>
              </w:rPr>
              <w:t>právneho poriadku</w:t>
            </w:r>
            <w:r w:rsidRPr="003671E4">
              <w:rPr>
                <w:rFonts w:eastAsia="TeXGyreBonumRegular"/>
              </w:rPr>
              <w:t xml:space="preserve"> Slovenskej republiky</w:t>
            </w:r>
            <w:r w:rsidRPr="003D0541">
              <w:rPr>
                <w:rFonts w:eastAsia="TeXGyreBonumRegular"/>
              </w:rPr>
              <w:t>.</w:t>
            </w:r>
            <w:r w:rsidRPr="003D0541">
              <w:t xml:space="preserve"> </w:t>
            </w:r>
            <w:r w:rsidRPr="006246CC">
              <w:rPr>
                <w:color w:val="222222"/>
              </w:rPr>
              <w:t xml:space="preserve">Návrh zákona zohľadňuje zmeny smernice </w:t>
            </w:r>
            <w:r>
              <w:rPr>
                <w:color w:val="222222"/>
              </w:rPr>
              <w:t>v oblasti jej lepšieho uplatňovania</w:t>
            </w:r>
            <w:r w:rsidR="00B95F7A">
              <w:rPr>
                <w:color w:val="222222"/>
              </w:rPr>
              <w:t xml:space="preserve"> a dosahovania stanovených cieľov.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Default="007D267C" w:rsidP="00220598">
            <w:pPr>
              <w:jc w:val="both"/>
            </w:pPr>
            <w:r w:rsidRPr="006246CC">
              <w:t xml:space="preserve">Cieľom právnej úpravy je podporiť energetickú hospodárnosť budov a nákladovo efektívnu obnovu </w:t>
            </w:r>
            <w:r w:rsidRPr="00C32C50">
              <w:t>súčasného (existujúceho) fondu</w:t>
            </w:r>
            <w:r w:rsidRPr="006246CC">
              <w:t xml:space="preserve"> budov vzhľadom na dlhodobý cieľ v oblasti dekarbonizácie (</w:t>
            </w:r>
            <w:r w:rsidRPr="006246CC">
              <w:rPr>
                <w:color w:val="222222"/>
              </w:rPr>
              <w:t xml:space="preserve">zníženie emisií </w:t>
            </w:r>
            <w:r w:rsidRPr="006246CC">
              <w:t>skleníkových plynov</w:t>
            </w:r>
            <w:r w:rsidRPr="007E6E8A">
              <w:rPr>
                <w:color w:val="222222"/>
              </w:rPr>
              <w:t xml:space="preserve">) </w:t>
            </w:r>
            <w:r w:rsidRPr="00F63633">
              <w:t>a</w:t>
            </w:r>
            <w:r w:rsidR="00220598">
              <w:t xml:space="preserve"> </w:t>
            </w:r>
            <w:r>
              <w:t xml:space="preserve">zavádzanie </w:t>
            </w:r>
            <w:r w:rsidRPr="00F63633">
              <w:t>inteligentn</w:t>
            </w:r>
            <w:r>
              <w:t>ých</w:t>
            </w:r>
            <w:r w:rsidRPr="00F63633">
              <w:t xml:space="preserve"> technick</w:t>
            </w:r>
            <w:r>
              <w:t>ých systémov</w:t>
            </w:r>
            <w:r w:rsidRPr="00F63633">
              <w:t xml:space="preserve"> budov, ako aj </w:t>
            </w:r>
            <w:r w:rsidRPr="00F63633">
              <w:rPr>
                <w:color w:val="222222"/>
              </w:rPr>
              <w:t>automatizáci</w:t>
            </w:r>
            <w:r>
              <w:rPr>
                <w:color w:val="222222"/>
              </w:rPr>
              <w:t>e</w:t>
            </w:r>
            <w:r w:rsidR="00220598">
              <w:rPr>
                <w:color w:val="222222"/>
              </w:rPr>
              <w:t xml:space="preserve"> a </w:t>
            </w:r>
            <w:r w:rsidRPr="00F63633">
              <w:rPr>
                <w:color w:val="222222"/>
              </w:rPr>
              <w:t>riadeni</w:t>
            </w:r>
            <w:r>
              <w:rPr>
                <w:color w:val="222222"/>
              </w:rPr>
              <w:t>a</w:t>
            </w:r>
            <w:r w:rsidRPr="00F63633">
              <w:rPr>
                <w:color w:val="222222"/>
              </w:rPr>
              <w:t xml:space="preserve"> budov</w:t>
            </w:r>
            <w:r w:rsidR="00B95F7A">
              <w:rPr>
                <w:color w:val="222222"/>
              </w:rPr>
              <w:t>. Taktiež</w:t>
            </w:r>
            <w:r w:rsidRPr="00F63633">
              <w:t xml:space="preserve"> podporiť </w:t>
            </w:r>
            <w:proofErr w:type="spellStart"/>
            <w:r w:rsidRPr="00F63633">
              <w:t>elektromobilitu</w:t>
            </w:r>
            <w:proofErr w:type="spellEnd"/>
            <w:r w:rsidRPr="00F63633">
              <w:t xml:space="preserve"> zavedením požiadavky inštalácie nabíjacích staníc a infraštruktúry vedenia s cieľom umožniť neskoršiu inštaláciu nabíjacích staníc</w:t>
            </w:r>
            <w:r>
              <w:t xml:space="preserve"> pri výstavbe nových budov alebo obnove existujúcich budov.</w:t>
            </w:r>
            <w:r w:rsidR="00B95F7A">
              <w:t xml:space="preserve"> Navrhovaná právna úprava</w:t>
            </w:r>
            <w:r w:rsidR="00B57019">
              <w:t xml:space="preserve"> spresňuje</w:t>
            </w:r>
            <w:r w:rsidR="00220598">
              <w:t>:</w:t>
            </w:r>
          </w:p>
          <w:p w:rsidR="007D267C" w:rsidRPr="007D267C" w:rsidRDefault="007D267C" w:rsidP="0022059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3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2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niektor</w:t>
            </w:r>
            <w:r w:rsidR="00B9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7D2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definíci</w:t>
            </w:r>
            <w:r w:rsidR="00B9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zav</w:t>
            </w:r>
            <w:r w:rsidR="00C133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ádza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</w:t>
            </w:r>
            <w:r w:rsidR="00C133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 (napr. systém automatizácie a riadenia budovy)</w:t>
            </w:r>
            <w:r w:rsidR="002205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7D267C" w:rsidRPr="007D267C" w:rsidRDefault="00DC64B6" w:rsidP="0022059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3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obsah</w:t>
            </w:r>
            <w:r w:rsidR="007D267C" w:rsidRPr="007D2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Dlhodobej stratégie obnovy budov</w:t>
            </w:r>
            <w:r w:rsidR="00C133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oproti doterajšej úprave s ohľadom na d</w:t>
            </w:r>
            <w:r w:rsidR="002205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osiahnutie cieľov do </w:t>
            </w:r>
            <w:r w:rsidR="00C133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roku 2050</w:t>
            </w:r>
            <w:r w:rsidR="002205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7D267C" w:rsidRPr="00B670E7" w:rsidRDefault="00220598" w:rsidP="0022059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3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7D267C" w:rsidRPr="007D2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odpor</w:t>
            </w:r>
            <w:r w:rsidR="00DC64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uje</w:t>
            </w:r>
            <w:r w:rsidR="007D267C" w:rsidRPr="007D26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C64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elektromobilitu</w:t>
            </w:r>
            <w:proofErr w:type="spellEnd"/>
            <w:r w:rsidR="00DC64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novou požiadavkou na </w:t>
            </w:r>
            <w:r w:rsidR="00C133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prípravu infraštruktúry </w:t>
            </w:r>
            <w:r w:rsidR="00DC64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vedenia (v bytových budovách) </w:t>
            </w:r>
            <w:r w:rsidR="00C133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DC64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inštalácie nabíjacej stanice v nebytových budovách</w:t>
            </w:r>
            <w:r w:rsidR="00B570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7D267C" w:rsidP="00825139">
            <w:pPr>
              <w:jc w:val="both"/>
              <w:rPr>
                <w:i/>
              </w:rPr>
            </w:pPr>
            <w:r w:rsidRPr="00C32C50">
              <w:rPr>
                <w:rFonts w:ascii="Times" w:hAnsi="Times" w:cs="Times"/>
              </w:rPr>
              <w:t xml:space="preserve">Návrh zákona </w:t>
            </w:r>
            <w:r w:rsidR="00AE4BFC">
              <w:rPr>
                <w:rFonts w:ascii="Times" w:hAnsi="Times" w:cs="Times"/>
              </w:rPr>
              <w:t>sa priamo týka</w:t>
            </w:r>
            <w:r w:rsidRPr="00C32C50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vlastníkov budov</w:t>
            </w:r>
            <w:r w:rsidR="00174ECF">
              <w:rPr>
                <w:rFonts w:ascii="Times" w:hAnsi="Times" w:cs="Times"/>
              </w:rPr>
              <w:t>, ktoré sú</w:t>
            </w:r>
            <w:r>
              <w:rPr>
                <w:rFonts w:ascii="Times" w:hAnsi="Times" w:cs="Times"/>
              </w:rPr>
              <w:t xml:space="preserve"> </w:t>
            </w:r>
            <w:r w:rsidR="001139A2">
              <w:rPr>
                <w:rFonts w:ascii="Times" w:hAnsi="Times" w:cs="Times"/>
              </w:rPr>
              <w:t xml:space="preserve">vo </w:t>
            </w:r>
            <w:r w:rsidR="001139A2" w:rsidRPr="00EE28BF">
              <w:rPr>
                <w:rFonts w:ascii="Times" w:hAnsi="Times" w:cs="Times"/>
              </w:rPr>
              <w:t>vlastníctve</w:t>
            </w:r>
            <w:r w:rsidR="009A0B12" w:rsidRPr="00EE28BF">
              <w:rPr>
                <w:rFonts w:ascii="Times" w:hAnsi="Times" w:cs="Times"/>
              </w:rPr>
              <w:t xml:space="preserve"> </w:t>
            </w:r>
            <w:r w:rsidR="00EE28BF" w:rsidRPr="00EE28BF">
              <w:t>štátnej správy a</w:t>
            </w:r>
            <w:r w:rsidR="00AE4BFC">
              <w:t> </w:t>
            </w:r>
            <w:r w:rsidR="00EE28BF" w:rsidRPr="00EE28BF">
              <w:t>samosprávy</w:t>
            </w:r>
            <w:r w:rsidR="00AE4BFC">
              <w:rPr>
                <w:rFonts w:ascii="Times" w:hAnsi="Times" w:cs="Times"/>
              </w:rPr>
              <w:t>, ako </w:t>
            </w:r>
            <w:r w:rsidR="00273980">
              <w:rPr>
                <w:rFonts w:ascii="Times" w:hAnsi="Times" w:cs="Times"/>
              </w:rPr>
              <w:t>aj </w:t>
            </w:r>
            <w:r w:rsidR="001139A2">
              <w:rPr>
                <w:rFonts w:ascii="Times" w:hAnsi="Times" w:cs="Times"/>
              </w:rPr>
              <w:t>súkromného</w:t>
            </w:r>
            <w:r>
              <w:rPr>
                <w:rFonts w:ascii="Times" w:hAnsi="Times" w:cs="Times"/>
              </w:rPr>
              <w:t xml:space="preserve"> sektor</w:t>
            </w:r>
            <w:r w:rsidR="001139A2">
              <w:rPr>
                <w:rFonts w:ascii="Times" w:hAnsi="Times" w:cs="Times"/>
              </w:rPr>
              <w:t xml:space="preserve">a. 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E96290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</w:t>
            </w:r>
            <w:r w:rsidR="00E96290">
              <w:rPr>
                <w:i/>
              </w:rPr>
              <w:t> </w:t>
            </w:r>
            <w:r w:rsidRPr="00A179AE">
              <w:rPr>
                <w:i/>
              </w:rPr>
              <w:t>posudzované</w:t>
            </w:r>
          </w:p>
          <w:p w:rsidR="003501A1" w:rsidRPr="00A179AE" w:rsidRDefault="00E96290" w:rsidP="00B57019">
            <w:pPr>
              <w:rPr>
                <w:i/>
              </w:rPr>
            </w:pPr>
            <w:r>
              <w:t>Neb</w:t>
            </w:r>
            <w:r w:rsidRPr="00C81744">
              <w:t>oli zvažované alternatívne riešenia</w:t>
            </w:r>
            <w:r>
              <w:t>, nakoľko právna úprav</w:t>
            </w:r>
            <w:r w:rsidR="00B57019">
              <w:t>a</w:t>
            </w:r>
            <w:r>
              <w:t xml:space="preserve"> je transpozíciou práva EÚ</w:t>
            </w:r>
            <w:r w:rsidR="003501A1" w:rsidRPr="00A179AE"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857A73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57A73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E4BFC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</w:tbl>
    <w:p w:rsidR="00765B0B" w:rsidRDefault="00765B0B" w:rsidP="00765B0B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65B0B" w:rsidTr="00EB120F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65B0B" w:rsidRDefault="00765B0B" w:rsidP="00EB120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A14D51">
              <w:rPr>
                <w:rFonts w:ascii="Times" w:hAnsi="Times" w:cs="Times"/>
              </w:rPr>
              <w:t xml:space="preserve"> </w:t>
            </w:r>
            <w:r w:rsidR="00E92F8F"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92F8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E92F8F">
              <w:rPr>
                <w:rFonts w:ascii="Times" w:hAnsi="Times" w:cs="Times"/>
              </w:rPr>
              <w:t xml:space="preserve"> </w:t>
            </w:r>
            <w:r w:rsidR="00E92F8F"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92F8F" w:rsidRPr="004016DE">
              <w:rPr>
                <w:rFonts w:ascii="Times" w:hAnsi="Times" w:cs="Times"/>
              </w:rPr>
              <w:t xml:space="preserve"> </w:t>
            </w:r>
            <w:r w:rsidRPr="004016DE">
              <w:rPr>
                <w:rFonts w:ascii="Times" w:hAnsi="Times" w:cs="Times"/>
              </w:rPr>
              <w:t>  Čiastočne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65B0B" w:rsidRPr="002E1D63" w:rsidRDefault="00765B0B" w:rsidP="00EB120F">
            <w:pPr>
              <w:ind w:left="134"/>
              <w:rPr>
                <w:b/>
              </w:rPr>
            </w:pPr>
            <w:r>
              <w:rPr>
                <w:b/>
              </w:rPr>
              <w:t>V</w:t>
            </w:r>
            <w:r w:rsidRPr="002E1D63">
              <w:rPr>
                <w:b/>
              </w:rPr>
              <w:t>ply</w:t>
            </w:r>
            <w:r>
              <w:rPr>
                <w:b/>
              </w:rPr>
              <w:t>vy na manželstvo, rodičovstvo a </w:t>
            </w:r>
            <w:r w:rsidRPr="002E1D63">
              <w:rPr>
                <w:b/>
              </w:rPr>
              <w:t>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4D056D">
              <w:rPr>
                <w:rFonts w:ascii="Times" w:hAnsi="Times" w:cs="Times"/>
              </w:rPr>
              <w:t xml:space="preserve"> </w:t>
            </w:r>
            <w:r w:rsidR="004D056D"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120F5B">
              <w:rPr>
                <w:rFonts w:ascii="Times" w:hAnsi="Times" w:cs="Times"/>
              </w:rPr>
              <w:t xml:space="preserve"> </w:t>
            </w:r>
            <w:r w:rsidR="00120F5B"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120F5B">
              <w:rPr>
                <w:rFonts w:ascii="Times" w:hAnsi="Times" w:cs="Times"/>
              </w:rPr>
              <w:t xml:space="preserve"> </w:t>
            </w:r>
            <w:r w:rsidR="00120F5B"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4D056D">
              <w:rPr>
                <w:rFonts w:ascii="Times" w:hAnsi="Times" w:cs="Times"/>
              </w:rPr>
              <w:t xml:space="preserve"> </w:t>
            </w:r>
            <w:r w:rsidR="004D056D"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120F5B">
              <w:rPr>
                <w:rFonts w:ascii="Times" w:hAnsi="Times" w:cs="Times"/>
              </w:rPr>
              <w:t xml:space="preserve"> </w:t>
            </w:r>
            <w:r w:rsidR="00120F5B"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>  Negatívne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5F6332">
              <w:rPr>
                <w:rFonts w:ascii="Times" w:hAnsi="Times" w:cs="Times"/>
              </w:rPr>
              <w:t xml:space="preserve"> </w:t>
            </w:r>
            <w:r w:rsidR="005F6332" w:rsidRPr="004016DE">
              <w:rPr>
                <w:rFonts w:ascii="Wingdings 2" w:hAnsi="Wingdings 2" w:cs="Times"/>
              </w:rPr>
              <w:t></w:t>
            </w:r>
            <w:r w:rsidR="005F6332"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5F6332" w:rsidRPr="004016DE">
              <w:rPr>
                <w:rFonts w:ascii="Times" w:hAnsi="Times" w:cs="Times"/>
              </w:rPr>
              <w:t xml:space="preserve"> </w:t>
            </w:r>
            <w:r w:rsidR="005F6332"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5F6332" w:rsidRPr="004016DE">
              <w:rPr>
                <w:rFonts w:ascii="Times" w:hAnsi="Times" w:cs="Times"/>
              </w:rPr>
              <w:t xml:space="preserve">     </w:t>
            </w:r>
            <w:r w:rsidRPr="004016DE">
              <w:rPr>
                <w:rFonts w:ascii="Times" w:hAnsi="Times" w:cs="Times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5F6332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> </w:t>
            </w:r>
            <w:r w:rsidR="005F6332">
              <w:rPr>
                <w:rFonts w:ascii="Times" w:hAnsi="Times" w:cs="Times"/>
              </w:rPr>
              <w:t xml:space="preserve"> </w:t>
            </w:r>
            <w:r w:rsidR="005F6332" w:rsidRPr="004016DE">
              <w:rPr>
                <w:rFonts w:ascii="Wingdings 2" w:hAnsi="Wingdings 2" w:cs="Times"/>
              </w:rPr>
              <w:t></w:t>
            </w:r>
            <w:r w:rsidR="005F6332"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5F6332" w:rsidP="00EB120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</w:t>
            </w:r>
            <w:r w:rsidR="00765B0B" w:rsidRPr="004016DE">
              <w:rPr>
                <w:rFonts w:ascii="Times" w:hAnsi="Times" w:cs="Times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br/>
              <w:t> </w:t>
            </w:r>
            <w:r w:rsidR="00B57019">
              <w:rPr>
                <w:rFonts w:ascii="Times" w:hAnsi="Times" w:cs="Times"/>
              </w:rPr>
              <w:t xml:space="preserve"> </w:t>
            </w:r>
            <w:r w:rsidR="005F6332"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br/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  <w:tr w:rsidR="00765B0B" w:rsidTr="00EB120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Default="00765B0B" w:rsidP="00EB120F">
            <w:pPr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</w:rPr>
              <w:t></w:t>
            </w:r>
            <w:r w:rsidRPr="004016DE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5B0B" w:rsidRPr="004016DE" w:rsidRDefault="00765B0B" w:rsidP="00EB120F">
            <w:pPr>
              <w:rPr>
                <w:rFonts w:ascii="Times" w:hAnsi="Times" w:cs="Times"/>
              </w:rPr>
            </w:pPr>
            <w:r w:rsidRPr="004016DE">
              <w:rPr>
                <w:rFonts w:ascii="Times" w:hAnsi="Times" w:cs="Times"/>
              </w:rPr>
              <w:t xml:space="preserve">  </w:t>
            </w:r>
            <w:r w:rsidRPr="004016D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016DE"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765B0B" w:rsidRDefault="00765B0B" w:rsidP="00765B0B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816859" w:rsidRPr="00816859" w:rsidRDefault="00486A2A" w:rsidP="00AE4BF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Dlhodobá stratégia obnovy, bola zavedená zákonom </w:t>
            </w:r>
            <w:r w:rsidR="00AE4B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</w:t>
            </w:r>
            <w:r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321/2014 Z. z. o energetickej efektívnosti a o zmene a doplnení niektorých zákonov, nie je novou požiadavkou</w:t>
            </w:r>
            <w:r w:rsidR="00AE4B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816859"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preto nie je predmetom vyhodnotenia.</w:t>
            </w:r>
          </w:p>
          <w:p w:rsidR="002B49DA" w:rsidRPr="00816859" w:rsidRDefault="00414B58" w:rsidP="00AE4BFC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Nová povinnosť, súvisiaca s podporou </w:t>
            </w:r>
            <w:proofErr w:type="spellStart"/>
            <w:r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elektromobility</w:t>
            </w:r>
            <w:proofErr w:type="spellEnd"/>
            <w:r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2B49DA"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týka</w:t>
            </w:r>
            <w:r w:rsidR="00486A2A" w:rsidRPr="008168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požiadavky</w:t>
            </w:r>
          </w:p>
          <w:p w:rsidR="00414B58" w:rsidRDefault="002B49DA" w:rsidP="00AE4BFC">
            <w:pPr>
              <w:ind w:left="360" w:right="130"/>
              <w:jc w:val="both"/>
            </w:pPr>
            <w:r>
              <w:t xml:space="preserve">a) </w:t>
            </w:r>
            <w:r w:rsidR="00414B58" w:rsidRPr="00F63633">
              <w:t xml:space="preserve">inštalácie </w:t>
            </w:r>
            <w:r w:rsidR="00950272">
              <w:t xml:space="preserve">jednej </w:t>
            </w:r>
            <w:r>
              <w:t>nabíjacej stanice</w:t>
            </w:r>
            <w:r w:rsidR="00AE4BFC">
              <w:t>:</w:t>
            </w:r>
          </w:p>
          <w:p w:rsidR="00414B58" w:rsidRPr="002B49DA" w:rsidRDefault="002B49DA" w:rsidP="00AE4BF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80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každej </w:t>
            </w:r>
            <w:r w:rsidR="00414B58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nebytov</w:t>
            </w: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="00414B58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budov</w:t>
            </w: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="00414B58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viac ako 20 parkovacími miestami</w:t>
            </w: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roku 2025</w:t>
            </w:r>
            <w:r w:rsidR="00AE4B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414B58" w:rsidRPr="002B49DA" w:rsidRDefault="00414B58" w:rsidP="00AE4BF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80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nebytov</w:t>
            </w:r>
            <w:r w:rsidR="002B49DA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budov</w:t>
            </w:r>
            <w:r w:rsidR="002B49DA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viac </w:t>
            </w:r>
            <w:r w:rsidR="002B49DA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1</w:t>
            </w:r>
            <w:r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2B49DA" w:rsidRPr="002B49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parkovacími miestami pri výstavbe novej budovy alebo obnove existujúcej budovy</w:t>
            </w:r>
            <w:r w:rsidR="00AE4B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</w:t>
            </w:r>
          </w:p>
          <w:p w:rsidR="002B49DA" w:rsidRPr="00414B58" w:rsidRDefault="002B49DA" w:rsidP="00AE4BFC">
            <w:pPr>
              <w:ind w:left="360" w:right="130"/>
              <w:jc w:val="both"/>
            </w:pPr>
            <w:r>
              <w:t>b)</w:t>
            </w:r>
            <w:r w:rsidRPr="00F63633">
              <w:t xml:space="preserve"> </w:t>
            </w:r>
            <w:r w:rsidR="00486A2A">
              <w:t xml:space="preserve">prípravy </w:t>
            </w:r>
            <w:r w:rsidR="00816859">
              <w:t>i</w:t>
            </w:r>
            <w:r w:rsidRPr="00F63633">
              <w:t>nfraštruktúry vedenia s cieľom umožniť neskoršiu inštaláciu nabíjacích staníc</w:t>
            </w:r>
            <w:r>
              <w:t xml:space="preserve"> pri výstavbe nových budov alebo obnove existujúcich budov</w:t>
            </w:r>
            <w:r w:rsidR="00486A2A" w:rsidRPr="002B49DA">
              <w:t xml:space="preserve"> s viac ako 10 parkovacími miestami</w:t>
            </w:r>
            <w:r w:rsidR="00486A2A">
              <w:t xml:space="preserve"> pri</w:t>
            </w:r>
            <w:r w:rsidR="00AE4BFC">
              <w:t>:</w:t>
            </w:r>
          </w:p>
          <w:p w:rsidR="002B49DA" w:rsidRPr="00486A2A" w:rsidRDefault="00486A2A" w:rsidP="00AE4BF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880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nebytovej budove na každom piatom parkovacom mieste</w:t>
            </w:r>
            <w:r w:rsidR="00AE4B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414B58" w:rsidRPr="00486A2A" w:rsidRDefault="00414B58" w:rsidP="00AE4BF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880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bytov</w:t>
            </w:r>
            <w:r w:rsidR="00486A2A"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ej </w:t>
            </w:r>
            <w:r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budov</w:t>
            </w:r>
            <w:r w:rsidR="00486A2A"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B49DA"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86A2A" w:rsidRPr="00486A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každom parkovacom mieste</w:t>
            </w:r>
            <w:r w:rsidR="00AE4B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816859" w:rsidRDefault="001414D0" w:rsidP="00AE4BFC">
            <w:pPr>
              <w:spacing w:before="120"/>
              <w:ind w:right="130"/>
              <w:jc w:val="both"/>
            </w:pPr>
            <w:r w:rsidRPr="00EE28BF">
              <w:rPr>
                <w:b/>
              </w:rPr>
              <w:t>Vplyv na rozpočet verejnej správy</w:t>
            </w:r>
            <w:r w:rsidRPr="00EE28BF">
              <w:t xml:space="preserve"> </w:t>
            </w:r>
          </w:p>
          <w:p w:rsidR="007D4334" w:rsidRDefault="008C71BB" w:rsidP="00EE28BF">
            <w:pPr>
              <w:ind w:right="133"/>
              <w:jc w:val="both"/>
            </w:pPr>
            <w:r>
              <w:t>Výška</w:t>
            </w:r>
            <w:r w:rsidR="00816859">
              <w:t xml:space="preserve"> odhadovaného </w:t>
            </w:r>
            <w:r w:rsidR="007D4334">
              <w:t xml:space="preserve">negatívneho </w:t>
            </w:r>
            <w:r w:rsidR="00816859">
              <w:t>vplyvu na výdavky za jednotlivé subjekty verejnej správy</w:t>
            </w:r>
            <w:r w:rsidR="007D4334">
              <w:t xml:space="preserve"> sa nedá vyčísliť.</w:t>
            </w:r>
            <w:r w:rsidR="00614A04">
              <w:t xml:space="preserve"> Predpokladáme, že výdavky budú zabezpečené v rozpočte jednotlivých subjektov v príslušnom roku inštalácie nabíjacej stanice, najneskôr do roku 2025.</w:t>
            </w:r>
          </w:p>
          <w:p w:rsidR="009F75E0" w:rsidRDefault="003E1EF6" w:rsidP="00EE28BF">
            <w:pPr>
              <w:ind w:right="133"/>
              <w:jc w:val="both"/>
            </w:pPr>
            <w:r>
              <w:t>Pri</w:t>
            </w:r>
            <w:r w:rsidRPr="002B49DA">
              <w:t xml:space="preserve"> nebytovej budov</w:t>
            </w:r>
            <w:r>
              <w:t xml:space="preserve">e predpokladáme </w:t>
            </w:r>
            <w:r w:rsidR="001414D0" w:rsidRPr="00EE28BF">
              <w:t xml:space="preserve">investičné náklady </w:t>
            </w:r>
            <w:r>
              <w:t>cca 4 000 eur</w:t>
            </w:r>
            <w:r w:rsidRPr="00EE28BF">
              <w:t xml:space="preserve"> </w:t>
            </w:r>
            <w:r w:rsidR="001414D0" w:rsidRPr="00EE28BF">
              <w:t>spojené s</w:t>
            </w:r>
            <w:r w:rsidR="007D4334">
              <w:t xml:space="preserve"> inštaláciou </w:t>
            </w:r>
            <w:r w:rsidR="00950272">
              <w:t>jednej</w:t>
            </w:r>
            <w:r w:rsidR="007D4334">
              <w:t xml:space="preserve"> nabíjacej stanice </w:t>
            </w:r>
            <w:r w:rsidR="005378A1">
              <w:t xml:space="preserve">(s výkonom od 3,5 – 22 kW, s počtom </w:t>
            </w:r>
            <w:r w:rsidR="00950272">
              <w:t>dvoch konektorov</w:t>
            </w:r>
            <w:r w:rsidR="005378A1">
              <w:t>).</w:t>
            </w:r>
            <w:r w:rsidR="005B0B31">
              <w:t xml:space="preserve"> Inštalácia nabíjacej stanice s vyšším výkonom a časom nabíjania kratším ako jedna hodina sa v budovách nepredpokladá. </w:t>
            </w:r>
            <w:r w:rsidR="005378A1">
              <w:t xml:space="preserve"> </w:t>
            </w:r>
            <w:r w:rsidR="005B0B31">
              <w:t xml:space="preserve"> </w:t>
            </w:r>
          </w:p>
          <w:p w:rsidR="007D4334" w:rsidRDefault="002125AA" w:rsidP="00EE28BF">
            <w:pPr>
              <w:ind w:right="133"/>
              <w:jc w:val="both"/>
            </w:pPr>
            <w:r w:rsidRPr="002125AA">
              <w:t>Elektromobil je možné pripojiť aj na bežnú zásuvku, 230V alebo 400V, prostredníctvom špecifického adaptéra, ktorý je dodávaný spolu s</w:t>
            </w:r>
            <w:r>
              <w:t> </w:t>
            </w:r>
            <w:r w:rsidRPr="002125AA">
              <w:t>vozidlom</w:t>
            </w:r>
            <w:r>
              <w:t xml:space="preserve">, čo </w:t>
            </w:r>
            <w:r w:rsidR="009F75E0">
              <w:t>by sa mohlo tiež považovať za splnenie povinnosti súvisiacej s </w:t>
            </w:r>
            <w:proofErr w:type="spellStart"/>
            <w:r w:rsidR="009F75E0">
              <w:t>elektromobilitou</w:t>
            </w:r>
            <w:proofErr w:type="spellEnd"/>
            <w:r w:rsidR="009F75E0">
              <w:t xml:space="preserve"> v budovách</w:t>
            </w:r>
            <w:r w:rsidRPr="002125AA">
              <w:t>.</w:t>
            </w:r>
            <w:r w:rsidR="009F75E0">
              <w:t xml:space="preserve"> </w:t>
            </w:r>
            <w:r w:rsidR="005378A1">
              <w:t>Výška investičných nákladov spojených s prípr</w:t>
            </w:r>
            <w:r w:rsidR="00AE4BFC">
              <w:t>avou infraštruktúry vedenia pre </w:t>
            </w:r>
            <w:r w:rsidR="005378A1">
              <w:t>neskoršiu inštaláciu nabíjacej stanice je zanedbateľná v porovnaní s nákladmi na výstavbu novej budovy alebo významnej obnovy</w:t>
            </w:r>
            <w:r w:rsidR="000E2663">
              <w:t xml:space="preserve"> existujúcej budovy. </w:t>
            </w:r>
          </w:p>
          <w:p w:rsidR="00AE4BFC" w:rsidRDefault="00AE4BFC" w:rsidP="00AE4BFC">
            <w:pPr>
              <w:spacing w:before="120"/>
              <w:ind w:right="130"/>
              <w:jc w:val="both"/>
              <w:rPr>
                <w:b/>
              </w:rPr>
            </w:pPr>
          </w:p>
          <w:p w:rsidR="002125AA" w:rsidRDefault="001414D0" w:rsidP="00AE4BFC">
            <w:pPr>
              <w:spacing w:before="120"/>
              <w:ind w:right="130"/>
              <w:jc w:val="both"/>
            </w:pPr>
            <w:r w:rsidRPr="00EE28BF">
              <w:rPr>
                <w:b/>
              </w:rPr>
              <w:lastRenderedPageBreak/>
              <w:t>Sociálne vplyvy</w:t>
            </w:r>
          </w:p>
          <w:p w:rsidR="001414D0" w:rsidRPr="00AE4BFC" w:rsidRDefault="001414D0" w:rsidP="00EE28BF">
            <w:pPr>
              <w:ind w:right="133"/>
              <w:jc w:val="both"/>
            </w:pPr>
            <w:r w:rsidRPr="00EE28BF">
              <w:t>Návrh nemá pozitívne ani negatívne vplyvy na hospodárenie domácností, prístup k zdrojom, právam, tovarom a službám, sociálnu inklúziu, rovnosť príležitostí a rodovú rovnosť a vplyvy na zamestnanosť. Navrhované zmeny nepovedú k zhoršeniu životnej úrovne obyvateľstva, k zvýšeniu nezamestnanosti či sociálnych nerovností</w:t>
            </w:r>
            <w:r w:rsidRPr="00AE4BFC">
              <w:t>.</w:t>
            </w:r>
          </w:p>
          <w:p w:rsidR="001414D0" w:rsidRPr="00AE4BFC" w:rsidRDefault="001414D0" w:rsidP="00EE28BF">
            <w:pPr>
              <w:ind w:right="133"/>
              <w:jc w:val="both"/>
            </w:pPr>
            <w:r w:rsidRPr="00AE4BFC">
              <w:t xml:space="preserve">Pri novej povinnosti, týkajúcej sa zavádzania káblových rozvodov </w:t>
            </w:r>
            <w:r w:rsidR="007713A6" w:rsidRPr="00AE4BFC">
              <w:t xml:space="preserve">s cieľom umožniť neskoršiu inštaláciu nabíjacích staníc </w:t>
            </w:r>
            <w:r w:rsidRPr="00AE4BFC">
              <w:t xml:space="preserve">pre elektrické vozidlá, </w:t>
            </w:r>
            <w:r w:rsidR="007713A6" w:rsidRPr="00AE4BFC">
              <w:t xml:space="preserve">sa predpokladá zanedbateľný vplyv v porovnaní s investičnými nákladmi </w:t>
            </w:r>
            <w:r w:rsidRPr="00AE4BFC">
              <w:t xml:space="preserve">pri </w:t>
            </w:r>
            <w:r w:rsidR="007713A6" w:rsidRPr="00AE4BFC">
              <w:t xml:space="preserve">výstavbe </w:t>
            </w:r>
            <w:r w:rsidRPr="00AE4BFC">
              <w:t xml:space="preserve">nových alebo významne obnovovaných bytových budovách s viac ako </w:t>
            </w:r>
            <w:r w:rsidR="00AE4BFC" w:rsidRPr="00AE4BFC">
              <w:t>10</w:t>
            </w:r>
            <w:r w:rsidRPr="00AE4BFC">
              <w:t xml:space="preserve"> parkovacími mies</w:t>
            </w:r>
            <w:r w:rsidR="007713A6" w:rsidRPr="00AE4BFC">
              <w:t>tami. V</w:t>
            </w:r>
            <w:r w:rsidRPr="00AE4BFC">
              <w:t>zhľadom na fakt, že bytový fond je tvorený bytovými domami postavenými h</w:t>
            </w:r>
            <w:r w:rsidR="007713A6" w:rsidRPr="00AE4BFC">
              <w:t>romadnou</w:t>
            </w:r>
            <w:r w:rsidRPr="00AE4BFC">
              <w:t xml:space="preserve"> form</w:t>
            </w:r>
            <w:r w:rsidR="007713A6" w:rsidRPr="00AE4BFC">
              <w:t>ou</w:t>
            </w:r>
            <w:r w:rsidRPr="00AE4BFC">
              <w:t xml:space="preserve"> výstavby bez</w:t>
            </w:r>
            <w:r w:rsidR="007713A6" w:rsidRPr="00AE4BFC">
              <w:t xml:space="preserve"> vybavenia parkovacími miestami je p</w:t>
            </w:r>
            <w:r w:rsidRPr="00AE4BFC">
              <w:t>očet existuj</w:t>
            </w:r>
            <w:r w:rsidR="00AE4BFC">
              <w:t>úcich bytových domov s viac ako </w:t>
            </w:r>
            <w:r w:rsidR="00AE4BFC" w:rsidRPr="00AE4BFC">
              <w:t>10 </w:t>
            </w:r>
            <w:r w:rsidRPr="00AE4BFC">
              <w:t xml:space="preserve">parkovacími miestami veľmi nízky. </w:t>
            </w:r>
          </w:p>
          <w:p w:rsidR="009F75E0" w:rsidRPr="00AE4BFC" w:rsidRDefault="009F75E0" w:rsidP="00AE4BFC">
            <w:pPr>
              <w:autoSpaceDE w:val="0"/>
              <w:autoSpaceDN w:val="0"/>
              <w:adjustRightInd w:val="0"/>
              <w:spacing w:before="120"/>
              <w:ind w:right="130"/>
              <w:jc w:val="both"/>
              <w:rPr>
                <w:b/>
                <w:bCs/>
              </w:rPr>
            </w:pPr>
            <w:r w:rsidRPr="00AE4BFC">
              <w:rPr>
                <w:b/>
                <w:bCs/>
              </w:rPr>
              <w:t xml:space="preserve">Vplyvy na podnikateľské prostredie </w:t>
            </w:r>
          </w:p>
          <w:p w:rsidR="00675D64" w:rsidRDefault="00120F5B" w:rsidP="00675D64">
            <w:pPr>
              <w:autoSpaceDE w:val="0"/>
              <w:autoSpaceDN w:val="0"/>
              <w:adjustRightInd w:val="0"/>
              <w:ind w:right="130"/>
              <w:jc w:val="both"/>
              <w:rPr>
                <w:bCs/>
              </w:rPr>
            </w:pPr>
            <w:r w:rsidRPr="004E16E3">
              <w:t>Ne</w:t>
            </w:r>
            <w:r w:rsidR="00446E64">
              <w:t>gatívne vplyvy môžu vyplynúť zo </w:t>
            </w:r>
            <w:r w:rsidRPr="004E16E3">
              <w:t>zavedenia povinnost</w:t>
            </w:r>
            <w:r>
              <w:t>i zabezpečiť infraštruktúru pre </w:t>
            </w:r>
            <w:proofErr w:type="spellStart"/>
            <w:r w:rsidRPr="004E16E3">
              <w:t>elektromobilitu</w:t>
            </w:r>
            <w:proofErr w:type="spellEnd"/>
            <w:r w:rsidRPr="004E16E3">
              <w:t xml:space="preserve"> v dôsledku vzniku priamych finančných náklado</w:t>
            </w:r>
            <w:r>
              <w:t xml:space="preserve">v spojených s touto povinnosťou. </w:t>
            </w:r>
            <w:r w:rsidR="004E3851" w:rsidRPr="004E3851">
              <w:rPr>
                <w:bCs/>
              </w:rPr>
              <w:t xml:space="preserve">Predkladaný návrh </w:t>
            </w:r>
            <w:r w:rsidR="00223A7B">
              <w:rPr>
                <w:bCs/>
              </w:rPr>
              <w:t>jednorazovo</w:t>
            </w:r>
            <w:r w:rsidR="00E16F83">
              <w:rPr>
                <w:bCs/>
              </w:rPr>
              <w:t xml:space="preserve"> </w:t>
            </w:r>
            <w:r w:rsidR="004E3851" w:rsidRPr="004E3851">
              <w:rPr>
                <w:bCs/>
              </w:rPr>
              <w:t>zakladá zvýšenie výdavkov v rámci</w:t>
            </w:r>
            <w:r w:rsidR="004E3851" w:rsidRPr="004E3851">
              <w:t> </w:t>
            </w:r>
            <w:r w:rsidR="004E3851" w:rsidRPr="004E3851">
              <w:rPr>
                <w:lang w:eastAsia="cs-CZ"/>
              </w:rPr>
              <w:t xml:space="preserve">podpory </w:t>
            </w:r>
            <w:proofErr w:type="spellStart"/>
            <w:r w:rsidR="004E3851" w:rsidRPr="004E3851">
              <w:rPr>
                <w:lang w:eastAsia="cs-CZ"/>
              </w:rPr>
              <w:t>elektromobility</w:t>
            </w:r>
            <w:proofErr w:type="spellEnd"/>
            <w:r w:rsidR="004E3851" w:rsidRPr="004E3851">
              <w:rPr>
                <w:lang w:eastAsia="cs-CZ"/>
              </w:rPr>
              <w:t xml:space="preserve"> </w:t>
            </w:r>
            <w:r w:rsidR="004D056D">
              <w:rPr>
                <w:lang w:eastAsia="cs-CZ"/>
              </w:rPr>
              <w:t>požiadavkou</w:t>
            </w:r>
            <w:r w:rsidR="004E3851" w:rsidRPr="004E3851">
              <w:rPr>
                <w:lang w:eastAsia="cs-CZ"/>
              </w:rPr>
              <w:t xml:space="preserve"> na inštaláciu </w:t>
            </w:r>
            <w:r w:rsidR="004D056D" w:rsidRPr="004E3851">
              <w:rPr>
                <w:lang w:eastAsia="cs-CZ"/>
              </w:rPr>
              <w:t>aspoň jed</w:t>
            </w:r>
            <w:r w:rsidR="004D056D">
              <w:rPr>
                <w:lang w:eastAsia="cs-CZ"/>
              </w:rPr>
              <w:t>nej nabíjacej stanice</w:t>
            </w:r>
            <w:r w:rsidR="004D056D" w:rsidRPr="004E3851">
              <w:rPr>
                <w:lang w:eastAsia="cs-CZ"/>
              </w:rPr>
              <w:t xml:space="preserve"> pre elektrické vozidl</w:t>
            </w:r>
            <w:r w:rsidR="004D056D">
              <w:rPr>
                <w:lang w:eastAsia="cs-CZ"/>
              </w:rPr>
              <w:t>á</w:t>
            </w:r>
            <w:r w:rsidR="004E3851" w:rsidRPr="004E3851">
              <w:rPr>
                <w:lang w:eastAsia="cs-CZ"/>
              </w:rPr>
              <w:t xml:space="preserve"> pre všetky nebytové budovy s via</w:t>
            </w:r>
            <w:r w:rsidR="004D056D">
              <w:rPr>
                <w:lang w:eastAsia="cs-CZ"/>
              </w:rPr>
              <w:t>c ako 20 parkovacími miestami</w:t>
            </w:r>
            <w:r w:rsidR="004E3851" w:rsidRPr="004E3851">
              <w:rPr>
                <w:lang w:eastAsia="cs-CZ"/>
              </w:rPr>
              <w:t>.</w:t>
            </w:r>
            <w:r w:rsidR="004E3851" w:rsidRPr="004E3851">
              <w:rPr>
                <w:b/>
                <w:bCs/>
              </w:rPr>
              <w:t xml:space="preserve"> </w:t>
            </w:r>
            <w:r w:rsidR="004D056D" w:rsidRPr="004D056D">
              <w:rPr>
                <w:bCs/>
              </w:rPr>
              <w:t xml:space="preserve">Táto požiadavka sa bude týkať len niektorých podnikateľských subjektov a to tých, ktorí sú vlastníkmi nebytových budov s parkoviskom s viac ako 20 parkovacími miestami. </w:t>
            </w:r>
            <w:r w:rsidR="00675D64" w:rsidRPr="004E3851">
              <w:rPr>
                <w:bCs/>
              </w:rPr>
              <w:t>V súčasnosti sa nedá presne kon</w:t>
            </w:r>
            <w:r w:rsidR="00675D64">
              <w:rPr>
                <w:bCs/>
              </w:rPr>
              <w:t xml:space="preserve">kretizovať dopad na výdavky, </w:t>
            </w:r>
            <w:r w:rsidR="00675D64">
              <w:t xml:space="preserve">predpokladané náklady na </w:t>
            </w:r>
            <w:r w:rsidR="00675D64">
              <w:rPr>
                <w:color w:val="000000"/>
                <w:lang w:eastAsia="cs-CZ"/>
              </w:rPr>
              <w:t xml:space="preserve">elektrickú infraštruktúru parkoviska </w:t>
            </w:r>
            <w:r w:rsidR="00675D64">
              <w:rPr>
                <w:bCs/>
              </w:rPr>
              <w:t>ani počet dotknutých subjektov.</w:t>
            </w:r>
          </w:p>
          <w:p w:rsidR="00CB6629" w:rsidRPr="00AE4BFC" w:rsidRDefault="001414D0" w:rsidP="00AE4BFC">
            <w:pPr>
              <w:autoSpaceDE w:val="0"/>
              <w:autoSpaceDN w:val="0"/>
              <w:adjustRightInd w:val="0"/>
              <w:spacing w:before="120"/>
              <w:ind w:right="130"/>
              <w:jc w:val="both"/>
            </w:pPr>
            <w:r w:rsidRPr="00AE4BFC">
              <w:rPr>
                <w:b/>
                <w:bCs/>
              </w:rPr>
              <w:t>Vplyvy na životné prostredie</w:t>
            </w:r>
            <w:r w:rsidRPr="00AE4BFC">
              <w:t xml:space="preserve"> </w:t>
            </w:r>
          </w:p>
          <w:p w:rsidR="00CB6629" w:rsidRPr="00AE4BFC" w:rsidRDefault="001414D0" w:rsidP="00EE28BF">
            <w:pPr>
              <w:autoSpaceDE w:val="0"/>
              <w:autoSpaceDN w:val="0"/>
              <w:adjustRightInd w:val="0"/>
              <w:ind w:right="133"/>
              <w:jc w:val="both"/>
            </w:pPr>
            <w:r w:rsidRPr="00AE4BFC">
              <w:t xml:space="preserve">Zavádzanie infraštruktúry </w:t>
            </w:r>
            <w:r w:rsidR="00CB6629" w:rsidRPr="00AE4BFC">
              <w:t>a inštalácia</w:t>
            </w:r>
            <w:r w:rsidRPr="00AE4BFC">
              <w:t xml:space="preserve"> nabíjacích staníc pre elektrické vozidlá </w:t>
            </w:r>
            <w:r w:rsidR="00CB6629" w:rsidRPr="00AE4BFC">
              <w:t xml:space="preserve">v budovách nemá priamy </w:t>
            </w:r>
            <w:r w:rsidR="000501D0" w:rsidRPr="00AE4BFC">
              <w:t>environmentálny vplyv</w:t>
            </w:r>
            <w:r w:rsidR="00CB6629" w:rsidRPr="00AE4BFC">
              <w:t xml:space="preserve">. Vplyv podpory zavádzania elektrických vozidiel na životné prostredie, predpokladá sa pozitívny vplyv na ovzdušie, bol predmetom </w:t>
            </w:r>
            <w:r w:rsidR="002125AA" w:rsidRPr="00AE4BFC">
              <w:t xml:space="preserve">hodnotenia </w:t>
            </w:r>
            <w:r w:rsidR="00CB6629" w:rsidRPr="00AE4BFC">
              <w:t xml:space="preserve">doložky </w:t>
            </w:r>
            <w:r w:rsidR="002125AA" w:rsidRPr="00AE4BFC">
              <w:t xml:space="preserve">vybraných </w:t>
            </w:r>
            <w:r w:rsidR="00CB6629" w:rsidRPr="00AE4BFC">
              <w:t>vplyvov napr. k </w:t>
            </w:r>
            <w:r w:rsidR="00AE4BFC" w:rsidRPr="00AE4BFC">
              <w:t>„</w:t>
            </w:r>
            <w:r w:rsidR="00CB6629" w:rsidRPr="00AE4BFC">
              <w:t xml:space="preserve">Stratégii rozvoja </w:t>
            </w:r>
            <w:proofErr w:type="spellStart"/>
            <w:r w:rsidR="00CB6629" w:rsidRPr="00AE4BFC">
              <w:t>elektromobilty</w:t>
            </w:r>
            <w:proofErr w:type="spellEnd"/>
            <w:r w:rsidR="00CB6629" w:rsidRPr="00AE4BFC">
              <w:t xml:space="preserve"> v Slovenskej republike</w:t>
            </w:r>
            <w:r w:rsidR="00AE4BFC" w:rsidRPr="00AE4BFC">
              <w:t>“</w:t>
            </w:r>
            <w:r w:rsidR="00CB6629" w:rsidRPr="00AE4BFC">
              <w:t xml:space="preserve"> a k </w:t>
            </w:r>
            <w:r w:rsidR="00AE4BFC" w:rsidRPr="00AE4BFC">
              <w:t>„</w:t>
            </w:r>
            <w:r w:rsidR="00CB6629" w:rsidRPr="00AE4BFC">
              <w:t xml:space="preserve">Akčnému plánu rozvoja </w:t>
            </w:r>
            <w:proofErr w:type="spellStart"/>
            <w:r w:rsidR="00CB6629" w:rsidRPr="00AE4BFC">
              <w:t>elektromobilty</w:t>
            </w:r>
            <w:proofErr w:type="spellEnd"/>
            <w:r w:rsidR="00CB6629" w:rsidRPr="00AE4BFC">
              <w:t xml:space="preserve"> v Slovenskej republike</w:t>
            </w:r>
            <w:r w:rsidR="00AE4BFC" w:rsidRPr="00AE4BFC">
              <w:t>“</w:t>
            </w:r>
            <w:r w:rsidR="00CB6629" w:rsidRPr="00AE4BFC">
              <w:t>.</w:t>
            </w:r>
          </w:p>
          <w:p w:rsidR="00AE4BFC" w:rsidRPr="00AE4BFC" w:rsidRDefault="001414D0" w:rsidP="00AE4BFC">
            <w:pPr>
              <w:spacing w:before="120"/>
              <w:ind w:right="130"/>
              <w:jc w:val="both"/>
            </w:pPr>
            <w:r w:rsidRPr="00AE4BFC">
              <w:rPr>
                <w:b/>
                <w:bCs/>
              </w:rPr>
              <w:t>Vplyvy na informatizáciu</w:t>
            </w:r>
          </w:p>
          <w:p w:rsidR="001414D0" w:rsidRDefault="001414D0" w:rsidP="00EE28BF">
            <w:pPr>
              <w:ind w:right="133"/>
              <w:jc w:val="both"/>
            </w:pPr>
            <w:r w:rsidRPr="00AE4BFC">
              <w:t>Návrh nepredpokladá</w:t>
            </w:r>
            <w:r w:rsidRPr="00EE28BF">
              <w:t xml:space="preserve"> zmenu existujúcich elektronických služieb verejnej správy alebo vytvorenie nových služieb.</w:t>
            </w:r>
          </w:p>
          <w:p w:rsidR="001414D0" w:rsidRPr="00CF67D7" w:rsidRDefault="001414D0" w:rsidP="00AE4BFC">
            <w:pPr>
              <w:spacing w:before="120"/>
              <w:ind w:right="130"/>
              <w:jc w:val="both"/>
              <w:rPr>
                <w:b/>
                <w:i/>
                <w:color w:val="FF0000"/>
              </w:rPr>
            </w:pPr>
            <w:r w:rsidRPr="00CF67D7">
              <w:rPr>
                <w:b/>
              </w:rPr>
              <w:t>Konzultácie</w:t>
            </w:r>
            <w:r>
              <w:rPr>
                <w:b/>
              </w:rPr>
              <w:t xml:space="preserve"> k návrhu zákona </w:t>
            </w:r>
            <w:r w:rsidRPr="00CF67D7">
              <w:rPr>
                <w:b/>
              </w:rPr>
              <w:t>sa uskutočnili s nasledovnými subjektmi:</w:t>
            </w:r>
            <w:r w:rsidRPr="00CF67D7">
              <w:rPr>
                <w:b/>
                <w:i/>
                <w:color w:val="FF0000"/>
              </w:rPr>
              <w:t xml:space="preserve"> </w:t>
            </w:r>
          </w:p>
          <w:p w:rsidR="001414D0" w:rsidRDefault="001414D0" w:rsidP="00AE4BFC">
            <w:pPr>
              <w:pStyle w:val="Pta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right="133"/>
              <w:jc w:val="both"/>
              <w:textAlignment w:val="baseline"/>
            </w:pPr>
            <w:r w:rsidRPr="00CF67D7">
              <w:t>Ministerstvo hospodárstva SR, Zväz stavebných podnikateľov Slovenska, Integrovaný odborový zväz, Únia d</w:t>
            </w:r>
            <w:r>
              <w:t xml:space="preserve">opravy, pôšt a telekomunikácií a </w:t>
            </w:r>
            <w:r w:rsidRPr="00583511">
              <w:rPr>
                <w:color w:val="222222"/>
              </w:rPr>
              <w:t xml:space="preserve">Slovenská asociácia pre </w:t>
            </w:r>
            <w:proofErr w:type="spellStart"/>
            <w:r w:rsidRPr="00583511">
              <w:rPr>
                <w:color w:val="222222"/>
              </w:rPr>
              <w:t>elektromobilitu</w:t>
            </w:r>
            <w:proofErr w:type="spellEnd"/>
            <w:r w:rsidRPr="00CF67D7">
              <w:t>.</w:t>
            </w:r>
          </w:p>
          <w:p w:rsidR="001414D0" w:rsidRPr="001414D0" w:rsidRDefault="001414D0" w:rsidP="001414D0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414D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1139A2" w:rsidRPr="00D13B6F" w:rsidRDefault="001139A2">
            <w:pPr>
              <w:rPr>
                <w:i/>
              </w:rPr>
            </w:pPr>
            <w:r>
              <w:rPr>
                <w:rFonts w:ascii="Times" w:hAnsi="Times" w:cs="Times"/>
              </w:rPr>
              <w:t xml:space="preserve">JUDr. Ing. Anna Bäuml, odbor stavebníctva, 02 5949 4372, </w:t>
            </w:r>
            <w:hyperlink r:id="rId8" w:history="1">
              <w:r w:rsidRPr="00AD3D79">
                <w:rPr>
                  <w:rStyle w:val="Hypertextovprepojenie"/>
                  <w:rFonts w:ascii="Times" w:hAnsi="Times" w:cs="Times"/>
                </w:rPr>
                <w:t>anna.bauml@mindop.sk</w:t>
              </w:r>
            </w:hyperlink>
            <w:r>
              <w:rPr>
                <w:rFonts w:ascii="Times" w:hAnsi="Times" w:cs="Times"/>
              </w:rPr>
              <w:t>,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414D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1414D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BFC" w:rsidRDefault="003501A1" w:rsidP="007B71A4">
            <w:pPr>
              <w:rPr>
                <w:b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7814AE" w:rsidRPr="007814AE" w:rsidRDefault="007814AE" w:rsidP="007814AE">
            <w:pPr>
              <w:spacing w:before="120" w:after="120"/>
              <w:rPr>
                <w:b/>
                <w:bCs/>
              </w:rPr>
            </w:pPr>
            <w:r w:rsidRPr="007814AE">
              <w:rPr>
                <w:b/>
                <w:bCs/>
              </w:rPr>
              <w:t>Aktualizované stanovisko č.080/2019 zo dňa 13. 05. 2019</w:t>
            </w:r>
            <w:r>
              <w:rPr>
                <w:b/>
                <w:bCs/>
              </w:rPr>
              <w:t>:</w:t>
            </w:r>
          </w:p>
          <w:p w:rsidR="007814AE" w:rsidRPr="007814AE" w:rsidRDefault="007814AE" w:rsidP="007814AE">
            <w:pPr>
              <w:jc w:val="both"/>
              <w:rPr>
                <w:iCs/>
              </w:rPr>
            </w:pPr>
            <w:r w:rsidRPr="007814AE">
              <w:rPr>
                <w:b/>
                <w:bCs/>
              </w:rPr>
              <w:t xml:space="preserve">I. Úvod: </w:t>
            </w:r>
            <w:r w:rsidRPr="007814AE">
              <w:rPr>
                <w:bCs/>
              </w:rPr>
              <w:t>Ministerstvo dopravy a výstavby Slovenskej republiky Slovenskej republiky dňa 1. apríla 2019 predložilo Stálej pracovnej komisii na posudzovanie vybr</w:t>
            </w:r>
            <w:r w:rsidRPr="007814AE">
              <w:rPr>
                <w:iCs/>
              </w:rPr>
              <w:t>aných vplyvov (ďalej len „Komisia“) na predbežné pripomienkové konanie materiál:</w:t>
            </w:r>
            <w:r w:rsidRPr="007814AE">
              <w:rPr>
                <w:i/>
                <w:iCs/>
              </w:rPr>
              <w:t xml:space="preserve"> „Návrh zákona, ktorým sa mení a dopĺňa zákon č. 555/2005 Z. z. o energetickej hospodárnosti budov a o zmene a doplnení niektorých zákonov v znení neskorších predpisov“</w:t>
            </w:r>
            <w:r w:rsidRPr="007814AE">
              <w:rPr>
                <w:iCs/>
              </w:rPr>
              <w:t>. Materiál predpokladá negatívne vplyvy na rozpočet verejnej správy, ktoré sú rozpočtovo zabezpečené.</w:t>
            </w:r>
          </w:p>
          <w:p w:rsidR="007814AE" w:rsidRPr="007814AE" w:rsidRDefault="007814AE" w:rsidP="007814AE">
            <w:pPr>
              <w:spacing w:before="120" w:after="120"/>
              <w:jc w:val="both"/>
              <w:rPr>
                <w:bCs/>
              </w:rPr>
            </w:pPr>
            <w:r w:rsidRPr="007814AE">
              <w:rPr>
                <w:b/>
                <w:bCs/>
              </w:rPr>
              <w:t>II. P</w:t>
            </w:r>
            <w:r w:rsidRPr="007814AE">
              <w:rPr>
                <w:b/>
              </w:rPr>
              <w:t>r</w:t>
            </w:r>
            <w:r w:rsidRPr="007814AE">
              <w:rPr>
                <w:b/>
                <w:bCs/>
              </w:rPr>
              <w:t>ipomienky a návrhy zm</w:t>
            </w:r>
            <w:r w:rsidRPr="007814AE">
              <w:rPr>
                <w:b/>
              </w:rPr>
              <w:t>ie</w:t>
            </w:r>
            <w:r w:rsidRPr="007814AE">
              <w:rPr>
                <w:b/>
                <w:bCs/>
              </w:rPr>
              <w:t xml:space="preserve">n: </w:t>
            </w:r>
            <w:r w:rsidRPr="007814AE">
              <w:rPr>
                <w:bCs/>
              </w:rPr>
              <w:t>Komisia neuplatňuje k materiálu žiadne pripomienky ani odporúčania.</w:t>
            </w:r>
          </w:p>
          <w:p w:rsidR="00675D64" w:rsidRPr="007814AE" w:rsidRDefault="007814AE" w:rsidP="007814AE">
            <w:pPr>
              <w:jc w:val="both"/>
              <w:rPr>
                <w:bCs/>
              </w:rPr>
            </w:pPr>
            <w:r w:rsidRPr="007814AE">
              <w:rPr>
                <w:b/>
                <w:bCs/>
              </w:rPr>
              <w:t xml:space="preserve">III. Záver: </w:t>
            </w:r>
            <w:r w:rsidRPr="007814AE">
              <w:rPr>
                <w:bCs/>
              </w:rPr>
              <w:t xml:space="preserve">Stála pracovná komisia na posudzovanie vybraných vplyvov vyjadruje </w:t>
            </w:r>
            <w:r w:rsidRPr="00600EBA">
              <w:rPr>
                <w:b/>
                <w:bCs/>
              </w:rPr>
              <w:t>súhlasné stanovisko</w:t>
            </w:r>
            <w:r>
              <w:rPr>
                <w:bCs/>
              </w:rPr>
              <w:t xml:space="preserve"> </w:t>
            </w:r>
            <w:r w:rsidRPr="007814AE">
              <w:rPr>
                <w:bCs/>
              </w:rPr>
              <w:t>s materiálom predloženým na predbežné pripomienkové konanie.</w:t>
            </w:r>
          </w:p>
          <w:p w:rsidR="007814AE" w:rsidRPr="007814AE" w:rsidRDefault="007814AE" w:rsidP="007814AE">
            <w:pPr>
              <w:tabs>
                <w:tab w:val="center" w:pos="6379"/>
              </w:tabs>
              <w:jc w:val="both"/>
              <w:rPr>
                <w:b/>
                <w:bCs/>
              </w:rPr>
            </w:pPr>
          </w:p>
        </w:tc>
      </w:tr>
    </w:tbl>
    <w:p w:rsidR="003501A1" w:rsidRDefault="003501A1" w:rsidP="003501A1">
      <w:pPr>
        <w:rPr>
          <w:b/>
        </w:rPr>
      </w:pPr>
    </w:p>
    <w:sectPr w:rsidR="003501A1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73" w:rsidRDefault="00857A73" w:rsidP="003501A1">
      <w:r>
        <w:separator/>
      </w:r>
    </w:p>
  </w:endnote>
  <w:endnote w:type="continuationSeparator" w:id="0">
    <w:p w:rsidR="00857A73" w:rsidRDefault="00857A7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GyreBonum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153984"/>
      <w:docPartObj>
        <w:docPartGallery w:val="Page Numbers (Bottom of Page)"/>
        <w:docPartUnique/>
      </w:docPartObj>
    </w:sdtPr>
    <w:sdtEndPr/>
    <w:sdtContent>
      <w:p w:rsidR="00AE4BFC" w:rsidRDefault="00AE4BFC">
        <w:pPr>
          <w:pStyle w:val="Pta"/>
          <w:jc w:val="right"/>
        </w:pPr>
        <w:r w:rsidRPr="00AE4BFC">
          <w:rPr>
            <w:sz w:val="22"/>
            <w:szCs w:val="22"/>
          </w:rPr>
          <w:fldChar w:fldCharType="begin"/>
        </w:r>
        <w:r w:rsidRPr="00AE4BFC">
          <w:rPr>
            <w:sz w:val="22"/>
            <w:szCs w:val="22"/>
          </w:rPr>
          <w:instrText>PAGE   \* MERGEFORMAT</w:instrText>
        </w:r>
        <w:r w:rsidRPr="00AE4BFC">
          <w:rPr>
            <w:sz w:val="22"/>
            <w:szCs w:val="22"/>
          </w:rPr>
          <w:fldChar w:fldCharType="separate"/>
        </w:r>
        <w:r w:rsidR="00375EB5">
          <w:rPr>
            <w:noProof/>
            <w:sz w:val="22"/>
            <w:szCs w:val="22"/>
          </w:rPr>
          <w:t>3</w:t>
        </w:r>
        <w:r w:rsidRPr="00AE4BFC">
          <w:rPr>
            <w:sz w:val="22"/>
            <w:szCs w:val="22"/>
          </w:rPr>
          <w:fldChar w:fldCharType="end"/>
        </w:r>
        <w:r w:rsidR="007814AE">
          <w:rPr>
            <w:sz w:val="22"/>
            <w:szCs w:val="22"/>
          </w:rPr>
          <w:t>/3</w:t>
        </w:r>
      </w:p>
    </w:sdtContent>
  </w:sdt>
  <w:p w:rsidR="00AE4BFC" w:rsidRDefault="00AE4B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73" w:rsidRDefault="00857A73" w:rsidP="003501A1">
      <w:r>
        <w:separator/>
      </w:r>
    </w:p>
  </w:footnote>
  <w:footnote w:type="continuationSeparator" w:id="0">
    <w:p w:rsidR="00857A73" w:rsidRDefault="00857A7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BA163C"/>
    <w:multiLevelType w:val="hybridMultilevel"/>
    <w:tmpl w:val="4D201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010A"/>
    <w:multiLevelType w:val="hybridMultilevel"/>
    <w:tmpl w:val="0D70D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6E8"/>
    <w:multiLevelType w:val="hybridMultilevel"/>
    <w:tmpl w:val="2D125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1525"/>
    <w:multiLevelType w:val="hybridMultilevel"/>
    <w:tmpl w:val="C9ECD7E6"/>
    <w:lvl w:ilvl="0" w:tplc="5450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97E2648"/>
    <w:multiLevelType w:val="hybridMultilevel"/>
    <w:tmpl w:val="8AE4C8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E54EF"/>
    <w:multiLevelType w:val="hybridMultilevel"/>
    <w:tmpl w:val="6C988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BFD5DF1"/>
    <w:multiLevelType w:val="hybridMultilevel"/>
    <w:tmpl w:val="75A22F34"/>
    <w:lvl w:ilvl="0" w:tplc="3FF2A9C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1535"/>
    <w:multiLevelType w:val="hybridMultilevel"/>
    <w:tmpl w:val="9E1C1DC2"/>
    <w:lvl w:ilvl="0" w:tplc="0BE002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45EE"/>
    <w:rsid w:val="00036A60"/>
    <w:rsid w:val="000501D0"/>
    <w:rsid w:val="000E2663"/>
    <w:rsid w:val="001139A2"/>
    <w:rsid w:val="00120F5B"/>
    <w:rsid w:val="001414D0"/>
    <w:rsid w:val="0014152C"/>
    <w:rsid w:val="00174ECF"/>
    <w:rsid w:val="00175FD8"/>
    <w:rsid w:val="001A1559"/>
    <w:rsid w:val="001B65E4"/>
    <w:rsid w:val="001C4764"/>
    <w:rsid w:val="001E2C27"/>
    <w:rsid w:val="002125AA"/>
    <w:rsid w:val="00212EC8"/>
    <w:rsid w:val="00220598"/>
    <w:rsid w:val="00223A7B"/>
    <w:rsid w:val="00273980"/>
    <w:rsid w:val="002964E5"/>
    <w:rsid w:val="002B49DA"/>
    <w:rsid w:val="003501A1"/>
    <w:rsid w:val="00355834"/>
    <w:rsid w:val="00375EB5"/>
    <w:rsid w:val="00381323"/>
    <w:rsid w:val="00395098"/>
    <w:rsid w:val="003E1EF6"/>
    <w:rsid w:val="00414B58"/>
    <w:rsid w:val="00446E64"/>
    <w:rsid w:val="0045465B"/>
    <w:rsid w:val="0047359F"/>
    <w:rsid w:val="00486A2A"/>
    <w:rsid w:val="004A25F8"/>
    <w:rsid w:val="004C60B8"/>
    <w:rsid w:val="004C794A"/>
    <w:rsid w:val="004D056D"/>
    <w:rsid w:val="004D3F02"/>
    <w:rsid w:val="004E3851"/>
    <w:rsid w:val="004F6F1F"/>
    <w:rsid w:val="004F7D6F"/>
    <w:rsid w:val="00515845"/>
    <w:rsid w:val="005378A1"/>
    <w:rsid w:val="00570B48"/>
    <w:rsid w:val="005B0B31"/>
    <w:rsid w:val="005B7A8D"/>
    <w:rsid w:val="005F6332"/>
    <w:rsid w:val="00600EBA"/>
    <w:rsid w:val="00614321"/>
    <w:rsid w:val="00614A04"/>
    <w:rsid w:val="00624C56"/>
    <w:rsid w:val="00675D64"/>
    <w:rsid w:val="00686C1C"/>
    <w:rsid w:val="006C3B7D"/>
    <w:rsid w:val="00706FBD"/>
    <w:rsid w:val="0075287E"/>
    <w:rsid w:val="00753786"/>
    <w:rsid w:val="00765B0B"/>
    <w:rsid w:val="007713A6"/>
    <w:rsid w:val="007814AE"/>
    <w:rsid w:val="007D267C"/>
    <w:rsid w:val="007D4334"/>
    <w:rsid w:val="007D5FAE"/>
    <w:rsid w:val="00816859"/>
    <w:rsid w:val="00825139"/>
    <w:rsid w:val="00857A73"/>
    <w:rsid w:val="008C29B9"/>
    <w:rsid w:val="008C71BB"/>
    <w:rsid w:val="00950272"/>
    <w:rsid w:val="0098133A"/>
    <w:rsid w:val="009A0B12"/>
    <w:rsid w:val="009F75E0"/>
    <w:rsid w:val="00A14D51"/>
    <w:rsid w:val="00A376CC"/>
    <w:rsid w:val="00AC2477"/>
    <w:rsid w:val="00AE4BFC"/>
    <w:rsid w:val="00B57019"/>
    <w:rsid w:val="00B65A86"/>
    <w:rsid w:val="00B670E7"/>
    <w:rsid w:val="00B92BFD"/>
    <w:rsid w:val="00B932C4"/>
    <w:rsid w:val="00B95F7A"/>
    <w:rsid w:val="00BA4D89"/>
    <w:rsid w:val="00C13375"/>
    <w:rsid w:val="00CB3623"/>
    <w:rsid w:val="00CB6629"/>
    <w:rsid w:val="00CC2230"/>
    <w:rsid w:val="00CE10EC"/>
    <w:rsid w:val="00D13B6F"/>
    <w:rsid w:val="00D23B90"/>
    <w:rsid w:val="00D44908"/>
    <w:rsid w:val="00D6117A"/>
    <w:rsid w:val="00D73D8D"/>
    <w:rsid w:val="00D75D35"/>
    <w:rsid w:val="00D9546C"/>
    <w:rsid w:val="00DC64B6"/>
    <w:rsid w:val="00DE2A12"/>
    <w:rsid w:val="00E16F83"/>
    <w:rsid w:val="00E92F8F"/>
    <w:rsid w:val="00E96290"/>
    <w:rsid w:val="00EB59E3"/>
    <w:rsid w:val="00ED1453"/>
    <w:rsid w:val="00EE28BF"/>
    <w:rsid w:val="00EE376E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DC12"/>
  <w15:docId w15:val="{3200C5B5-9C9B-4CA4-8E85-173FC7A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7814AE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9A2"/>
    <w:rPr>
      <w:color w:val="0000FF" w:themeColor="hyperlink"/>
      <w:u w:val="single"/>
    </w:rPr>
  </w:style>
  <w:style w:type="paragraph" w:customStyle="1" w:styleId="Default">
    <w:name w:val="Default"/>
    <w:rsid w:val="00113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765B0B"/>
    <w:pPr>
      <w:spacing w:before="100" w:beforeAutospacing="1" w:after="100" w:afterAutospacing="1"/>
    </w:pPr>
    <w:rPr>
      <w:sz w:val="24"/>
      <w:szCs w:val="24"/>
    </w:rPr>
  </w:style>
  <w:style w:type="character" w:customStyle="1" w:styleId="super">
    <w:name w:val="super"/>
    <w:rsid w:val="00446E64"/>
    <w:rPr>
      <w:sz w:val="17"/>
      <w:vertAlign w:val="superscript"/>
    </w:rPr>
  </w:style>
  <w:style w:type="paragraph" w:styleId="Zkladntext">
    <w:name w:val="Body Text"/>
    <w:basedOn w:val="Normlny"/>
    <w:link w:val="ZkladntextChar"/>
    <w:rsid w:val="00D23B90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D23B9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rsid w:val="007814AE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auml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05EC-D1E0-444A-841A-95F6CFE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Bäuml, Anna</cp:lastModifiedBy>
  <cp:revision>19</cp:revision>
  <cp:lastPrinted>2019-05-20T11:15:00Z</cp:lastPrinted>
  <dcterms:created xsi:type="dcterms:W3CDTF">2019-03-26T08:24:00Z</dcterms:created>
  <dcterms:modified xsi:type="dcterms:W3CDTF">2019-05-20T11:16:00Z</dcterms:modified>
</cp:coreProperties>
</file>