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27639B" w:rsidRPr="00A179AE" w:rsidRDefault="0027639B" w:rsidP="003501A1">
      <w:pPr>
        <w:jc w:val="center"/>
        <w:rPr>
          <w:b/>
          <w:bCs/>
          <w:sz w:val="28"/>
          <w:szCs w:val="28"/>
        </w:rPr>
      </w:pP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7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7639B" w:rsidRDefault="0027639B" w:rsidP="00B6076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</w:p>
          <w:p w:rsidR="00CD7809" w:rsidRPr="00B60768" w:rsidRDefault="003501A1" w:rsidP="00B6076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B60768" w:rsidP="001E2CAB">
            <w:pPr>
              <w:pStyle w:val="Zarkazkladnhotextu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Návrh zákona, ktorým sa mení a dopĺňa </w:t>
            </w:r>
            <w:r>
              <w:rPr>
                <w:b/>
              </w:rPr>
              <w:t>zákon č. 80/1997 Z. z. o Exportno-importnej banke Slovenskej republiky v znení neskorších predpisov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a ktorým sa men</w:t>
            </w:r>
            <w:r w:rsidR="000C0059">
              <w:rPr>
                <w:b/>
              </w:rPr>
              <w:t>ia a do</w:t>
            </w:r>
            <w:r>
              <w:rPr>
                <w:b/>
              </w:rPr>
              <w:t>pĺňa</w:t>
            </w:r>
            <w:r w:rsidR="000C0059">
              <w:rPr>
                <w:b/>
              </w:rPr>
              <w:t xml:space="preserve">jú niektoré </w:t>
            </w:r>
            <w:r>
              <w:rPr>
                <w:b/>
                <w:bCs/>
              </w:rPr>
              <w:t>z</w:t>
            </w:r>
            <w:r>
              <w:rPr>
                <w:b/>
              </w:rPr>
              <w:t>ákon</w:t>
            </w:r>
            <w:r w:rsidR="000C0059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  <w:p w:rsidR="003501A1" w:rsidRPr="00A179AE" w:rsidRDefault="003501A1" w:rsidP="006A65E6"/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6A65E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059D1" w:rsidRDefault="00CD7809" w:rsidP="006A65E6">
            <w:pPr>
              <w:rPr>
                <w:sz w:val="24"/>
                <w:szCs w:val="24"/>
              </w:rPr>
            </w:pPr>
            <w:r w:rsidRPr="00B60768">
              <w:rPr>
                <w:sz w:val="24"/>
                <w:szCs w:val="24"/>
              </w:rPr>
              <w:t>Ministerstvo financií SR</w:t>
            </w:r>
          </w:p>
        </w:tc>
      </w:tr>
      <w:tr w:rsidR="003501A1" w:rsidRPr="00A179AE" w:rsidTr="00864C57">
        <w:tc>
          <w:tcPr>
            <w:tcW w:w="4217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6A65E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6A65E6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6A65E6">
            <w:r w:rsidRPr="00A179AE">
              <w:t>Materiál nelegislatívnej povahy</w:t>
            </w:r>
          </w:p>
        </w:tc>
      </w:tr>
      <w:tr w:rsidR="003501A1" w:rsidRPr="00A179AE" w:rsidTr="00864C57">
        <w:tc>
          <w:tcPr>
            <w:tcW w:w="4217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6A65E6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7809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6A65E6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864C57">
        <w:tc>
          <w:tcPr>
            <w:tcW w:w="4217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6A65E6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6A65E6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6A65E6">
            <w:r w:rsidRPr="00A179AE">
              <w:t>Transpozícia práva EÚ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6A65E6"/>
          <w:p w:rsidR="003501A1" w:rsidRPr="00A179AE" w:rsidRDefault="003501A1" w:rsidP="006A65E6"/>
        </w:tc>
      </w:tr>
      <w:tr w:rsidR="003501A1" w:rsidRPr="00A179AE" w:rsidTr="00864C57">
        <w:tc>
          <w:tcPr>
            <w:tcW w:w="5639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6A65E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248C8" w:rsidRDefault="00DE0A9A" w:rsidP="00DE0A9A">
            <w:pPr>
              <w:rPr>
                <w:i/>
              </w:rPr>
            </w:pPr>
            <w:r>
              <w:rPr>
                <w:i/>
              </w:rPr>
              <w:t xml:space="preserve">25. </w:t>
            </w:r>
            <w:r w:rsidR="00A248C8">
              <w:rPr>
                <w:i/>
              </w:rPr>
              <w:t>marec 2019</w:t>
            </w:r>
            <w:r>
              <w:rPr>
                <w:i/>
              </w:rPr>
              <w:t xml:space="preserve"> - 5. apríl 2019 </w:t>
            </w:r>
          </w:p>
        </w:tc>
      </w:tr>
      <w:tr w:rsidR="003501A1" w:rsidRPr="00A179AE" w:rsidTr="00864C57">
        <w:tc>
          <w:tcPr>
            <w:tcW w:w="5639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6A65E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A248C8" w:rsidP="006A65E6">
            <w:pPr>
              <w:rPr>
                <w:i/>
              </w:rPr>
            </w:pPr>
            <w:r>
              <w:rPr>
                <w:i/>
              </w:rPr>
              <w:t>apríl 2019</w:t>
            </w:r>
          </w:p>
        </w:tc>
      </w:tr>
      <w:tr w:rsidR="003501A1" w:rsidRPr="00A179AE" w:rsidTr="00864C57">
        <w:tc>
          <w:tcPr>
            <w:tcW w:w="5639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6A65E6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A248C8" w:rsidP="006A65E6">
            <w:pPr>
              <w:rPr>
                <w:i/>
              </w:rPr>
            </w:pPr>
            <w:r>
              <w:rPr>
                <w:i/>
              </w:rPr>
              <w:t>máj 2019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6A65E6"/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864C57">
        <w:trPr>
          <w:trHeight w:val="718"/>
        </w:trPr>
        <w:tc>
          <w:tcPr>
            <w:tcW w:w="9185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925788" w:rsidRDefault="00EF729A" w:rsidP="00034110">
            <w:pPr>
              <w:pStyle w:val="Zarkazkladnhotextu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rámci zefektívnenia </w:t>
            </w:r>
            <w:r w:rsidR="00034110">
              <w:rPr>
                <w:sz w:val="20"/>
                <w:szCs w:val="20"/>
              </w:rPr>
              <w:t>činností Eximbanky n</w:t>
            </w:r>
            <w:r w:rsidR="00B60768" w:rsidRPr="009B11B1">
              <w:rPr>
                <w:sz w:val="20"/>
                <w:szCs w:val="20"/>
              </w:rPr>
              <w:t xml:space="preserve">avrhovaná právna úprava v súlade s medzinárodnými záväzkami Slovenskej republiky v oblasti rozvojovej spolupráce a napĺňania cieľov udržateľného rozvoja reaguje na </w:t>
            </w:r>
            <w:r w:rsidR="006D1205">
              <w:rPr>
                <w:sz w:val="20"/>
                <w:szCs w:val="20"/>
              </w:rPr>
              <w:t xml:space="preserve">potrebu </w:t>
            </w:r>
            <w:r w:rsidR="00034110">
              <w:rPr>
                <w:sz w:val="20"/>
                <w:szCs w:val="20"/>
              </w:rPr>
              <w:t>udeleni</w:t>
            </w:r>
            <w:r w:rsidR="006D1205">
              <w:rPr>
                <w:sz w:val="20"/>
                <w:szCs w:val="20"/>
              </w:rPr>
              <w:t>a</w:t>
            </w:r>
            <w:r w:rsidR="00034110">
              <w:rPr>
                <w:sz w:val="20"/>
                <w:szCs w:val="20"/>
              </w:rPr>
              <w:t xml:space="preserve"> rozvojového mandátu pre Eximbanku</w:t>
            </w:r>
            <w:r w:rsidR="006D1205">
              <w:rPr>
                <w:sz w:val="20"/>
                <w:szCs w:val="20"/>
              </w:rPr>
              <w:t xml:space="preserve"> a na potrebu umožniť Eximbanke priamo financovať a spolufinancovať zvýhodnené vývozné úvery. Súvisiaca právna úprava rozvojovej spolupráce si preto vyžaduje </w:t>
            </w:r>
            <w:r w:rsidR="005B3E1E">
              <w:rPr>
                <w:sz w:val="20"/>
                <w:szCs w:val="20"/>
              </w:rPr>
              <w:t>rozšíreni</w:t>
            </w:r>
            <w:r w:rsidR="006D1205">
              <w:rPr>
                <w:sz w:val="20"/>
                <w:szCs w:val="20"/>
              </w:rPr>
              <w:t>e</w:t>
            </w:r>
            <w:r w:rsidR="005B3E1E">
              <w:rPr>
                <w:sz w:val="20"/>
                <w:szCs w:val="20"/>
              </w:rPr>
              <w:t xml:space="preserve"> nástrojov rozvojovej spolupráce </w:t>
            </w:r>
            <w:r w:rsidR="00DE0A9A">
              <w:rPr>
                <w:sz w:val="20"/>
                <w:szCs w:val="20"/>
              </w:rPr>
              <w:t xml:space="preserve">vrátane využívania zdrojov EÚ určených na tento účel, </w:t>
            </w:r>
            <w:r w:rsidR="006D1205">
              <w:rPr>
                <w:sz w:val="20"/>
                <w:szCs w:val="20"/>
              </w:rPr>
              <w:t xml:space="preserve">čim reaguje </w:t>
            </w:r>
            <w:r w:rsidR="005B3E1E">
              <w:rPr>
                <w:sz w:val="20"/>
                <w:szCs w:val="20"/>
              </w:rPr>
              <w:t xml:space="preserve">aj na potrebu </w:t>
            </w:r>
            <w:r w:rsidR="00B60768" w:rsidRPr="009B11B1">
              <w:rPr>
                <w:sz w:val="20"/>
                <w:szCs w:val="20"/>
              </w:rPr>
              <w:t>výraznejšieho zapájania slovenského súkromného sektora do rozvojovej spolupráce</w:t>
            </w:r>
            <w:r w:rsidR="004C557D">
              <w:rPr>
                <w:sz w:val="20"/>
                <w:szCs w:val="20"/>
              </w:rPr>
              <w:t xml:space="preserve">. Významnou </w:t>
            </w:r>
            <w:r w:rsidR="00DE0A9A">
              <w:rPr>
                <w:sz w:val="20"/>
                <w:szCs w:val="20"/>
              </w:rPr>
              <w:t xml:space="preserve">príležitosťou </w:t>
            </w:r>
            <w:r w:rsidR="004C557D">
              <w:rPr>
                <w:sz w:val="20"/>
                <w:szCs w:val="20"/>
              </w:rPr>
              <w:t xml:space="preserve">je </w:t>
            </w:r>
            <w:r w:rsidR="005B3E1E">
              <w:rPr>
                <w:sz w:val="20"/>
                <w:szCs w:val="20"/>
              </w:rPr>
              <w:t xml:space="preserve">práve </w:t>
            </w:r>
            <w:r w:rsidR="004C557D" w:rsidRPr="009B11B1">
              <w:rPr>
                <w:sz w:val="20"/>
                <w:szCs w:val="20"/>
              </w:rPr>
              <w:t>realizáci</w:t>
            </w:r>
            <w:r w:rsidR="004C557D">
              <w:rPr>
                <w:sz w:val="20"/>
                <w:szCs w:val="20"/>
              </w:rPr>
              <w:t>a</w:t>
            </w:r>
            <w:r w:rsidR="004C557D" w:rsidRPr="009B11B1">
              <w:rPr>
                <w:sz w:val="20"/>
                <w:szCs w:val="20"/>
              </w:rPr>
              <w:t xml:space="preserve"> </w:t>
            </w:r>
            <w:r w:rsidR="00B60768" w:rsidRPr="009B11B1">
              <w:rPr>
                <w:sz w:val="20"/>
                <w:szCs w:val="20"/>
              </w:rPr>
              <w:t xml:space="preserve">väčších investičných projektov v rozvojových </w:t>
            </w:r>
            <w:r w:rsidR="00B60768" w:rsidRPr="00F44364">
              <w:rPr>
                <w:sz w:val="20"/>
                <w:szCs w:val="20"/>
              </w:rPr>
              <w:t>krajinách</w:t>
            </w:r>
            <w:r w:rsidR="004C557D" w:rsidRPr="00F44364">
              <w:rPr>
                <w:sz w:val="20"/>
                <w:szCs w:val="20"/>
              </w:rPr>
              <w:t xml:space="preserve">. </w:t>
            </w:r>
            <w:r w:rsidR="005B3E1E" w:rsidRPr="00F44364">
              <w:rPr>
                <w:sz w:val="20"/>
                <w:szCs w:val="20"/>
              </w:rPr>
              <w:t xml:space="preserve">Tieto </w:t>
            </w:r>
            <w:r w:rsidR="004C557D" w:rsidRPr="00F44364">
              <w:rPr>
                <w:sz w:val="20"/>
                <w:szCs w:val="20"/>
              </w:rPr>
              <w:t xml:space="preserve">projekty sú však finančne náročné a obvykle vyžadujú uplatnenie tzv. blendingu (kombinovaného financovania). Európska komisia na tento účel alokovala zdroje do tzv. </w:t>
            </w:r>
            <w:r w:rsidR="00B60768" w:rsidRPr="00F44364">
              <w:rPr>
                <w:sz w:val="20"/>
                <w:szCs w:val="20"/>
              </w:rPr>
              <w:t>Externého investičného plánu</w:t>
            </w:r>
            <w:r w:rsidR="004C557D" w:rsidRPr="00F44364">
              <w:rPr>
                <w:sz w:val="20"/>
                <w:szCs w:val="20"/>
              </w:rPr>
              <w:t>,</w:t>
            </w:r>
            <w:r w:rsidR="00B60768" w:rsidRPr="00F44364">
              <w:rPr>
                <w:sz w:val="20"/>
                <w:szCs w:val="20"/>
              </w:rPr>
              <w:t xml:space="preserve"> Slovenská republika </w:t>
            </w:r>
            <w:r w:rsidR="004C557D" w:rsidRPr="00F44364">
              <w:rPr>
                <w:sz w:val="20"/>
                <w:szCs w:val="20"/>
              </w:rPr>
              <w:t xml:space="preserve">však aktuálne </w:t>
            </w:r>
            <w:r w:rsidR="00B60768" w:rsidRPr="00F44364">
              <w:rPr>
                <w:sz w:val="20"/>
                <w:szCs w:val="20"/>
              </w:rPr>
              <w:t xml:space="preserve">nedisponuje inštitúciou, ktorá by mohla prijímať </w:t>
            </w:r>
            <w:r w:rsidR="004C557D" w:rsidRPr="00F44364">
              <w:rPr>
                <w:sz w:val="20"/>
                <w:szCs w:val="20"/>
              </w:rPr>
              <w:t xml:space="preserve">tieto </w:t>
            </w:r>
            <w:r w:rsidR="00B60768" w:rsidRPr="00F44364">
              <w:rPr>
                <w:sz w:val="20"/>
                <w:szCs w:val="20"/>
              </w:rPr>
              <w:t>zdroje EÚ určené na rozvojovú</w:t>
            </w:r>
            <w:r w:rsidR="008061DD" w:rsidRPr="00F44364">
              <w:rPr>
                <w:sz w:val="20"/>
                <w:szCs w:val="20"/>
              </w:rPr>
              <w:t xml:space="preserve"> spoluprácu</w:t>
            </w:r>
            <w:r w:rsidR="004C557D" w:rsidRPr="00F44364">
              <w:rPr>
                <w:sz w:val="20"/>
                <w:szCs w:val="20"/>
              </w:rPr>
              <w:t>. P</w:t>
            </w:r>
            <w:r w:rsidR="008061DD" w:rsidRPr="00F44364">
              <w:rPr>
                <w:sz w:val="20"/>
                <w:szCs w:val="20"/>
              </w:rPr>
              <w:t xml:space="preserve">redkladaný návrh zákona legislatívne </w:t>
            </w:r>
            <w:r w:rsidR="004C557D" w:rsidRPr="00F44364">
              <w:rPr>
                <w:sz w:val="20"/>
                <w:szCs w:val="20"/>
              </w:rPr>
              <w:t xml:space="preserve">tento nedostatok odstráni a </w:t>
            </w:r>
            <w:r w:rsidR="008061DD" w:rsidRPr="00F44364">
              <w:rPr>
                <w:sz w:val="20"/>
                <w:szCs w:val="20"/>
              </w:rPr>
              <w:t>umožní E</w:t>
            </w:r>
            <w:r w:rsidR="00034110">
              <w:rPr>
                <w:sz w:val="20"/>
                <w:szCs w:val="20"/>
              </w:rPr>
              <w:t xml:space="preserve">ximbanke </w:t>
            </w:r>
            <w:r w:rsidR="00F44364">
              <w:rPr>
                <w:sz w:val="20"/>
                <w:szCs w:val="20"/>
              </w:rPr>
              <w:t>v</w:t>
            </w:r>
            <w:r w:rsidR="00F44364" w:rsidRPr="00F44364">
              <w:rPr>
                <w:sz w:val="20"/>
                <w:szCs w:val="20"/>
              </w:rPr>
              <w:t>ykonávať finančn</w:t>
            </w:r>
            <w:r w:rsidR="00F44364">
              <w:rPr>
                <w:sz w:val="20"/>
                <w:szCs w:val="20"/>
              </w:rPr>
              <w:t xml:space="preserve">é </w:t>
            </w:r>
            <w:r w:rsidR="00F44364" w:rsidRPr="00F44364">
              <w:rPr>
                <w:sz w:val="20"/>
                <w:szCs w:val="20"/>
              </w:rPr>
              <w:t>nástroj</w:t>
            </w:r>
            <w:r w:rsidR="00F44364">
              <w:rPr>
                <w:sz w:val="20"/>
                <w:szCs w:val="20"/>
              </w:rPr>
              <w:t xml:space="preserve">e </w:t>
            </w:r>
            <w:r w:rsidR="00F44364" w:rsidRPr="00F44364">
              <w:rPr>
                <w:sz w:val="20"/>
                <w:szCs w:val="20"/>
              </w:rPr>
              <w:t>EÚ určen</w:t>
            </w:r>
            <w:r w:rsidR="003C61FB">
              <w:rPr>
                <w:sz w:val="20"/>
                <w:szCs w:val="20"/>
              </w:rPr>
              <w:t xml:space="preserve">é </w:t>
            </w:r>
            <w:r w:rsidR="00F44364" w:rsidRPr="00F44364">
              <w:rPr>
                <w:sz w:val="20"/>
                <w:szCs w:val="20"/>
              </w:rPr>
              <w:t xml:space="preserve">na rozvojovú spoluprácu </w:t>
            </w:r>
            <w:r w:rsidR="00842CFD">
              <w:rPr>
                <w:sz w:val="20"/>
                <w:szCs w:val="20"/>
              </w:rPr>
              <w:t xml:space="preserve">so zámerom </w:t>
            </w:r>
            <w:r w:rsidR="00F44364">
              <w:rPr>
                <w:sz w:val="20"/>
                <w:szCs w:val="20"/>
              </w:rPr>
              <w:t xml:space="preserve">financovania </w:t>
            </w:r>
            <w:r w:rsidR="008061DD" w:rsidRPr="00F44364">
              <w:rPr>
                <w:sz w:val="20"/>
                <w:szCs w:val="20"/>
              </w:rPr>
              <w:t>projektov</w:t>
            </w:r>
            <w:r w:rsidR="00E3015A" w:rsidRPr="00F44364">
              <w:rPr>
                <w:sz w:val="20"/>
                <w:szCs w:val="20"/>
              </w:rPr>
              <w:t xml:space="preserve"> rozvojovej spolupráce </w:t>
            </w:r>
            <w:r w:rsidR="004C557D" w:rsidRPr="00F44364">
              <w:rPr>
                <w:sz w:val="20"/>
                <w:szCs w:val="20"/>
              </w:rPr>
              <w:t>v</w:t>
            </w:r>
            <w:r w:rsidR="003C61FB">
              <w:rPr>
                <w:sz w:val="20"/>
                <w:szCs w:val="20"/>
              </w:rPr>
              <w:t> partnerských k</w:t>
            </w:r>
            <w:r w:rsidR="004C557D" w:rsidRPr="00F44364">
              <w:rPr>
                <w:sz w:val="20"/>
                <w:szCs w:val="20"/>
              </w:rPr>
              <w:t>rajinách s využitím prostriedkov Európskeho fondu pre udržateľný rozvoj (EFSD)</w:t>
            </w:r>
            <w:r w:rsidR="00371BEE" w:rsidRPr="00F44364">
              <w:rPr>
                <w:sz w:val="20"/>
                <w:szCs w:val="20"/>
              </w:rPr>
              <w:t xml:space="preserve"> </w:t>
            </w:r>
            <w:r w:rsidR="00137A37" w:rsidRPr="00F44364">
              <w:rPr>
                <w:sz w:val="20"/>
                <w:szCs w:val="20"/>
              </w:rPr>
              <w:t>a iných zdrojov EÚ</w:t>
            </w:r>
            <w:r w:rsidR="004C557D" w:rsidRPr="00F44364">
              <w:rPr>
                <w:sz w:val="20"/>
                <w:szCs w:val="20"/>
              </w:rPr>
              <w:t>.</w:t>
            </w:r>
          </w:p>
          <w:p w:rsidR="00034110" w:rsidRDefault="00691A85" w:rsidP="00034110">
            <w:pPr>
              <w:pStyle w:val="Zarkazkladnhotextu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Skúsenost</w:t>
            </w:r>
            <w:r w:rsidR="00842C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 doterajšej aplikácie právnej úpravy poskytovania zvýhodnených vývozných úverov </w:t>
            </w:r>
            <w:r w:rsidR="00842CFD">
              <w:rPr>
                <w:sz w:val="20"/>
                <w:szCs w:val="20"/>
              </w:rPr>
              <w:t xml:space="preserve">ako ďalšieho nástroja rozvojovej spolupráce </w:t>
            </w:r>
            <w:r>
              <w:rPr>
                <w:sz w:val="20"/>
                <w:szCs w:val="20"/>
              </w:rPr>
              <w:t>indikovali</w:t>
            </w:r>
            <w:r w:rsidR="00925788">
              <w:rPr>
                <w:sz w:val="20"/>
                <w:szCs w:val="20"/>
              </w:rPr>
              <w:t xml:space="preserve"> aj </w:t>
            </w:r>
            <w:r>
              <w:rPr>
                <w:sz w:val="20"/>
                <w:szCs w:val="20"/>
              </w:rPr>
              <w:t xml:space="preserve">nevyhnutnosť </w:t>
            </w:r>
            <w:r w:rsidR="007E4939" w:rsidRPr="00F44364">
              <w:rPr>
                <w:sz w:val="20"/>
                <w:szCs w:val="20"/>
              </w:rPr>
              <w:t>zlepš</w:t>
            </w:r>
            <w:r w:rsidR="00842CFD">
              <w:rPr>
                <w:sz w:val="20"/>
                <w:szCs w:val="20"/>
              </w:rPr>
              <w:t>enia</w:t>
            </w:r>
            <w:r w:rsidR="007E4939" w:rsidRPr="00F44364">
              <w:rPr>
                <w:sz w:val="20"/>
                <w:szCs w:val="20"/>
              </w:rPr>
              <w:t xml:space="preserve"> podmien</w:t>
            </w:r>
            <w:r w:rsidR="00842CFD">
              <w:rPr>
                <w:sz w:val="20"/>
                <w:szCs w:val="20"/>
              </w:rPr>
              <w:t xml:space="preserve">ok ich </w:t>
            </w:r>
            <w:r w:rsidR="007E4939" w:rsidRPr="00F44364">
              <w:rPr>
                <w:sz w:val="20"/>
                <w:szCs w:val="20"/>
              </w:rPr>
              <w:t>poskytovani</w:t>
            </w:r>
            <w:r w:rsidR="00842CFD">
              <w:rPr>
                <w:sz w:val="20"/>
                <w:szCs w:val="20"/>
              </w:rPr>
              <w:t>a v prospech subjektov v partnerských krajinách</w:t>
            </w:r>
            <w:r w:rsidR="00842CFD" w:rsidRPr="00EA0AE3">
              <w:rPr>
                <w:sz w:val="20"/>
                <w:szCs w:val="20"/>
              </w:rPr>
              <w:t xml:space="preserve">. </w:t>
            </w:r>
            <w:r w:rsidR="005B3E1E" w:rsidRPr="00EA0AE3">
              <w:rPr>
                <w:sz w:val="20"/>
                <w:szCs w:val="20"/>
              </w:rPr>
              <w:t xml:space="preserve">Požiadavky z rozvojových krajín zadefinovali </w:t>
            </w:r>
            <w:r w:rsidR="00F44364" w:rsidRPr="00EA0AE3">
              <w:rPr>
                <w:sz w:val="20"/>
                <w:szCs w:val="20"/>
              </w:rPr>
              <w:t xml:space="preserve">aj potrebu zavedenia nového nástroja rozvojovej spolupráce, ktorým je poskytovanie vedomostí a skúseností </w:t>
            </w:r>
            <w:r w:rsidR="003C61FB" w:rsidRPr="00EA0AE3">
              <w:rPr>
                <w:sz w:val="20"/>
                <w:szCs w:val="20"/>
              </w:rPr>
              <w:t>týmto k</w:t>
            </w:r>
            <w:r w:rsidR="00F44364" w:rsidRPr="00EA0AE3">
              <w:rPr>
                <w:sz w:val="20"/>
                <w:szCs w:val="20"/>
              </w:rPr>
              <w:t xml:space="preserve">rajinám. </w:t>
            </w:r>
            <w:r w:rsidR="007E4939" w:rsidRPr="00EA0AE3">
              <w:rPr>
                <w:sz w:val="20"/>
                <w:szCs w:val="20"/>
              </w:rPr>
              <w:t>Aplikačná prax si vyž</w:t>
            </w:r>
            <w:r w:rsidR="00F44364" w:rsidRPr="00EA0AE3">
              <w:rPr>
                <w:sz w:val="20"/>
                <w:szCs w:val="20"/>
              </w:rPr>
              <w:t>i</w:t>
            </w:r>
            <w:r w:rsidR="007E4939" w:rsidRPr="00EA0AE3">
              <w:rPr>
                <w:sz w:val="20"/>
                <w:szCs w:val="20"/>
              </w:rPr>
              <w:t>ad</w:t>
            </w:r>
            <w:r w:rsidR="00F44364" w:rsidRPr="00EA0AE3">
              <w:rPr>
                <w:sz w:val="20"/>
                <w:szCs w:val="20"/>
              </w:rPr>
              <w:t xml:space="preserve">ala </w:t>
            </w:r>
            <w:r w:rsidR="007E4939" w:rsidRPr="00EA0AE3">
              <w:rPr>
                <w:sz w:val="20"/>
                <w:szCs w:val="20"/>
              </w:rPr>
              <w:t xml:space="preserve">aj procesnú úpravu </w:t>
            </w:r>
            <w:r w:rsidR="005B3E1E" w:rsidRPr="00EA0AE3">
              <w:rPr>
                <w:sz w:val="20"/>
                <w:szCs w:val="20"/>
              </w:rPr>
              <w:t>iných</w:t>
            </w:r>
            <w:r w:rsidR="00F44364" w:rsidRPr="00EA0AE3">
              <w:rPr>
                <w:sz w:val="20"/>
                <w:szCs w:val="20"/>
              </w:rPr>
              <w:t xml:space="preserve">, už existujúcich </w:t>
            </w:r>
            <w:r w:rsidR="005B3E1E" w:rsidRPr="00EA0AE3">
              <w:rPr>
                <w:sz w:val="20"/>
                <w:szCs w:val="20"/>
              </w:rPr>
              <w:t>nást</w:t>
            </w:r>
            <w:r w:rsidR="00F44364" w:rsidRPr="00EA0AE3">
              <w:rPr>
                <w:sz w:val="20"/>
                <w:szCs w:val="20"/>
              </w:rPr>
              <w:t>r</w:t>
            </w:r>
            <w:r w:rsidR="005B3E1E" w:rsidRPr="00EA0AE3">
              <w:rPr>
                <w:sz w:val="20"/>
                <w:szCs w:val="20"/>
              </w:rPr>
              <w:t>o</w:t>
            </w:r>
            <w:r w:rsidR="00F44364" w:rsidRPr="00EA0AE3">
              <w:rPr>
                <w:sz w:val="20"/>
                <w:szCs w:val="20"/>
              </w:rPr>
              <w:t>j</w:t>
            </w:r>
            <w:r w:rsidR="005B3E1E" w:rsidRPr="00EA0AE3">
              <w:rPr>
                <w:sz w:val="20"/>
                <w:szCs w:val="20"/>
              </w:rPr>
              <w:t>ov</w:t>
            </w:r>
            <w:r w:rsidR="00F44364" w:rsidRPr="00EA0AE3">
              <w:rPr>
                <w:sz w:val="20"/>
                <w:szCs w:val="20"/>
              </w:rPr>
              <w:t xml:space="preserve"> rozvojovej spolupráce, ktorými sú poskytovanie finančného príspevku a poskytovanie vládneho štipendia.</w:t>
            </w:r>
          </w:p>
          <w:p w:rsidR="00080A31" w:rsidRDefault="00034110" w:rsidP="00080A31">
            <w:pPr>
              <w:jc w:val="both"/>
            </w:pPr>
            <w:r>
              <w:t xml:space="preserve">V rámci zefektívnenia činností Fondu ochrany vkladov a Národného fondu pre riešenie krízových situácií na finančnom trhu (ďalej len „Národný fond“) predkladaná právna úprava reaguje na </w:t>
            </w:r>
            <w:r w:rsidRPr="00771325">
              <w:t>nové usmerneni</w:t>
            </w:r>
            <w:r>
              <w:t>e</w:t>
            </w:r>
            <w:r w:rsidRPr="00771325">
              <w:t xml:space="preserve"> E</w:t>
            </w:r>
            <w:r>
              <w:t>urópskej centrálnej ba</w:t>
            </w:r>
            <w:r w:rsidR="005C4956">
              <w:t>n</w:t>
            </w:r>
            <w:r>
              <w:t xml:space="preserve">ky </w:t>
            </w:r>
            <w:r w:rsidRPr="00771325">
              <w:t>(EÚ) 2019/671 (ECB/2019/7) o domácich operáciách riadenia aktív a pasív zo strany národných centrálnych bánk (Ú. v. EÚ L 113, 29.4.2019)</w:t>
            </w:r>
            <w:r>
              <w:t>, podľa ktorého a</w:t>
            </w:r>
            <w:r w:rsidRPr="00771325">
              <w:t xml:space="preserve">j peňažné prostriedky </w:t>
            </w:r>
            <w:r>
              <w:t>uložené v </w:t>
            </w:r>
            <w:r w:rsidRPr="00771325">
              <w:t xml:space="preserve">národných centrálnych bankách </w:t>
            </w:r>
            <w:r>
              <w:t xml:space="preserve">budú od 1. októbra 2019 </w:t>
            </w:r>
            <w:r w:rsidRPr="00771325">
              <w:t xml:space="preserve">podliehať zápornej úrokovej sadzbe. </w:t>
            </w:r>
            <w:r>
              <w:t>Preto je potrebné zaviesť alternatívu pre takéto nepriaznivé prechodné obdobia, aby nedochádzalo k znižovaniu objemu resp. hodnoty finančných prostriedkov Fondu ochrany vkladov ako aj Národného fondu uložených na účtoch v Národnej banke Sloven</w:t>
            </w:r>
            <w:r w:rsidR="006D1205">
              <w:t>s</w:t>
            </w:r>
            <w:r>
              <w:t xml:space="preserve">ka.      </w:t>
            </w:r>
          </w:p>
          <w:p w:rsidR="00034110" w:rsidRPr="00C059D1" w:rsidRDefault="00F44364" w:rsidP="00080A31">
            <w:pPr>
              <w:jc w:val="both"/>
            </w:pPr>
            <w:r>
              <w:t xml:space="preserve"> 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864C57">
        <w:trPr>
          <w:trHeight w:val="741"/>
        </w:trPr>
        <w:tc>
          <w:tcPr>
            <w:tcW w:w="9185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6328A8" w:rsidP="00137A37">
            <w:pPr>
              <w:jc w:val="both"/>
            </w:pPr>
            <w:r w:rsidRPr="006328A8">
              <w:t>Rozšírenie predmetu činností E</w:t>
            </w:r>
            <w:r w:rsidR="00080A31">
              <w:t>ximbanky o</w:t>
            </w:r>
            <w:r w:rsidR="005B3E1E">
              <w:t> vykonávanie finančných nástrojov EÚ určených na rozvojovú spoluprácu a o p</w:t>
            </w:r>
            <w:r w:rsidRPr="006328A8">
              <w:t xml:space="preserve">rijímanie zdrojov EÚ </w:t>
            </w:r>
            <w:r w:rsidR="005B3E1E">
              <w:t xml:space="preserve">na tieto účely </w:t>
            </w:r>
            <w:r w:rsidRPr="006328A8">
              <w:t xml:space="preserve">umožní </w:t>
            </w:r>
            <w:r>
              <w:t>E</w:t>
            </w:r>
            <w:r w:rsidR="00080A31">
              <w:t xml:space="preserve">ximbanke </w:t>
            </w:r>
            <w:r w:rsidR="00313DA6">
              <w:t>získavať ďalšie zdroje financovania projektov, nad rámec vlastných zdrojov/zdrojov štátneho rozpočtu. Rozvojový mandát vytvára pre E</w:t>
            </w:r>
            <w:r w:rsidR="00080A31">
              <w:t xml:space="preserve">ximbanku na jednej strane podmienky pre zefektívnenie jej činností, na strane druhej </w:t>
            </w:r>
            <w:r w:rsidR="00313DA6">
              <w:t xml:space="preserve">priestor na </w:t>
            </w:r>
            <w:r w:rsidR="00313DA6" w:rsidRPr="006328A8">
              <w:t>pôsob</w:t>
            </w:r>
            <w:r w:rsidR="00313DA6">
              <w:t>enie</w:t>
            </w:r>
            <w:r w:rsidR="00313DA6" w:rsidRPr="006328A8">
              <w:t xml:space="preserve"> </w:t>
            </w:r>
            <w:r w:rsidRPr="006328A8">
              <w:t>v oblasti rozvojového financovania v</w:t>
            </w:r>
            <w:r w:rsidR="003C61FB">
              <w:t> partnerských k</w:t>
            </w:r>
            <w:r w:rsidRPr="006328A8">
              <w:t>rajinách</w:t>
            </w:r>
            <w:r w:rsidR="00313DA6">
              <w:t>. Synergicky so schémou zvýhodnených vývozných úverov dokáže E</w:t>
            </w:r>
            <w:r w:rsidR="00080A31">
              <w:t>ximbanka p</w:t>
            </w:r>
            <w:r w:rsidR="00313DA6">
              <w:t xml:space="preserve">odporiť slovenské podnikateľské subjekty pri ich prieniku na trhy rozvojových krajín </w:t>
            </w:r>
            <w:r w:rsidR="00313DA6" w:rsidRPr="00313DA6">
              <w:t>či v obstarávacích procesoch EÚ</w:t>
            </w:r>
            <w:r w:rsidR="006D6BFE">
              <w:t>. Vytvorením porovnateľných</w:t>
            </w:r>
            <w:r w:rsidRPr="006328A8">
              <w:t xml:space="preserve"> podmienok</w:t>
            </w:r>
            <w:r w:rsidR="006D6BFE">
              <w:t>, za akých</w:t>
            </w:r>
            <w:r w:rsidRPr="006328A8">
              <w:t xml:space="preserve"> vedia podporiť svojich exportérov rozvojové inštitúcie z okolitých krajín</w:t>
            </w:r>
            <w:r w:rsidR="00313DA6">
              <w:t xml:space="preserve">, sa významne </w:t>
            </w:r>
            <w:r w:rsidRPr="006328A8">
              <w:t>zvýši konkurencieschopnosť slovenských firiem</w:t>
            </w:r>
            <w:r w:rsidR="00DE1701">
              <w:t>, ktoré v rámci subdodávok môžu zapojiť do realizácie rozvojových projektov aj malé a stredné podniky (MSP), pričom menšie</w:t>
            </w:r>
            <w:r w:rsidR="00C059D1">
              <w:t xml:space="preserve"> projekty</w:t>
            </w:r>
            <w:r w:rsidR="00DE1701">
              <w:t xml:space="preserve"> môžu realizovať samotné MSP.</w:t>
            </w:r>
            <w:r w:rsidR="006D6BFE">
              <w:t xml:space="preserve"> Slovensko</w:t>
            </w:r>
            <w:r w:rsidR="00313DA6">
              <w:t xml:space="preserve"> </w:t>
            </w:r>
            <w:r w:rsidR="006D6BFE">
              <w:t xml:space="preserve">bude podporovať </w:t>
            </w:r>
            <w:r w:rsidR="006D6BFE" w:rsidRPr="006D6BFE">
              <w:t xml:space="preserve">projekty s pozitívnymi ekonomickými a sociálnymi </w:t>
            </w:r>
            <w:r w:rsidR="006D6BFE" w:rsidRPr="00EA0AE3">
              <w:t>dopadmi v rozvojových krajinách, pričom zároveň zabezpečí čiastočnú</w:t>
            </w:r>
            <w:r w:rsidR="00313DA6" w:rsidRPr="00EA0AE3">
              <w:t xml:space="preserve"> návratnosť zdrojov alokovaných v</w:t>
            </w:r>
            <w:r w:rsidR="006D6BFE" w:rsidRPr="00EA0AE3">
              <w:t> </w:t>
            </w:r>
            <w:r w:rsidR="00313DA6" w:rsidRPr="00EA0AE3">
              <w:t>EFSD.</w:t>
            </w:r>
            <w:r w:rsidR="00137A37" w:rsidRPr="00EA0AE3">
              <w:t xml:space="preserve"> Do využívania zdrojov EÚ na rozvojovú spoluprácu sa navrhuje zapojiť aj S</w:t>
            </w:r>
            <w:r w:rsidR="002777D2" w:rsidRPr="00EA0AE3">
              <w:t>lovenskú</w:t>
            </w:r>
            <w:r w:rsidR="00137A37" w:rsidRPr="00EA0AE3">
              <w:t xml:space="preserve"> agentúr</w:t>
            </w:r>
            <w:r w:rsidR="003C61FB" w:rsidRPr="00EA0AE3">
              <w:t>u</w:t>
            </w:r>
            <w:r w:rsidR="00137A37" w:rsidRPr="00EA0AE3">
              <w:t xml:space="preserve"> pre medzinárodnú rozvojovú spoluprácu</w:t>
            </w:r>
            <w:r w:rsidR="003C61FB" w:rsidRPr="00EA0AE3">
              <w:t>, ktorá bude môcť tiež vykonávať finančné nástroje EÚ určené na rozvojovú spoluprácu</w:t>
            </w:r>
            <w:r w:rsidR="00137A37" w:rsidRPr="00EA0AE3">
              <w:t>.</w:t>
            </w:r>
          </w:p>
          <w:p w:rsidR="006D1205" w:rsidRPr="006D1205" w:rsidRDefault="006D1205" w:rsidP="006D1205">
            <w:pPr>
              <w:jc w:val="both"/>
            </w:pPr>
            <w:r w:rsidRPr="006D1205">
              <w:t>Umožnenie viesť peňažné prostriedky Fondu ochrany vkladov a Národného fondu nielen na účtoch Národnej banky Slovenska, ale aj na účtoch Štátnej pokladnice</w:t>
            </w:r>
            <w:r>
              <w:t xml:space="preserve"> vytvorí bezpečnú alternatívu </w:t>
            </w:r>
            <w:r w:rsidR="00080A31">
              <w:t xml:space="preserve">pre zhodnocovanie týchto prostriedkov. </w:t>
            </w:r>
            <w:r>
              <w:t xml:space="preserve"> </w:t>
            </w:r>
            <w:r w:rsidRPr="006D1205">
              <w:t xml:space="preserve">    </w:t>
            </w:r>
          </w:p>
          <w:p w:rsidR="00137A37" w:rsidRPr="006328A8" w:rsidRDefault="00137A37" w:rsidP="00137A37">
            <w:pPr>
              <w:jc w:val="both"/>
            </w:pP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9E179B" w:rsidRDefault="006328A8" w:rsidP="006328A8">
            <w:r>
              <w:t>Podnikatelia</w:t>
            </w:r>
            <w:r w:rsidR="00137A37">
              <w:t>,</w:t>
            </w:r>
            <w:r>
              <w:t xml:space="preserve"> vývozcovia</w:t>
            </w:r>
            <w:r w:rsidR="00137A37">
              <w:t>.</w:t>
            </w:r>
          </w:p>
          <w:p w:rsidR="00C059D1" w:rsidRPr="006328A8" w:rsidRDefault="00C059D1" w:rsidP="006328A8"/>
        </w:tc>
      </w:tr>
      <w:tr w:rsidR="003501A1" w:rsidRPr="00A179AE" w:rsidTr="00864C57">
        <w:tc>
          <w:tcPr>
            <w:tcW w:w="9185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864C57">
        <w:trPr>
          <w:trHeight w:val="422"/>
        </w:trPr>
        <w:tc>
          <w:tcPr>
            <w:tcW w:w="9185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864C57" w:rsidRPr="009E179B" w:rsidRDefault="009E179B" w:rsidP="006A65E6">
            <w:r>
              <w:t>Iné alternatívne riešenia neboli posudzované.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864C57">
        <w:trPr>
          <w:trHeight w:val="440"/>
        </w:trPr>
        <w:tc>
          <w:tcPr>
            <w:tcW w:w="6208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9E179B" w:rsidRDefault="003501A1" w:rsidP="006A65E6">
            <w:r w:rsidRPr="009E179B"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Default="009E179B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  <w:p w:rsidR="00864C57" w:rsidRPr="00A179AE" w:rsidRDefault="00864C57" w:rsidP="006A65E6">
            <w:pPr>
              <w:jc w:val="center"/>
            </w:pPr>
          </w:p>
        </w:tc>
      </w:tr>
      <w:tr w:rsidR="003501A1" w:rsidRPr="00A179AE" w:rsidTr="00864C57">
        <w:trPr>
          <w:trHeight w:val="80"/>
        </w:trPr>
        <w:tc>
          <w:tcPr>
            <w:tcW w:w="9185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9E179B"/>
        </w:tc>
      </w:tr>
      <w:tr w:rsidR="003501A1" w:rsidRPr="00A179AE" w:rsidTr="00864C57">
        <w:trPr>
          <w:trHeight w:val="463"/>
        </w:trPr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864C57">
        <w:trPr>
          <w:trHeight w:val="157"/>
        </w:trPr>
        <w:tc>
          <w:tcPr>
            <w:tcW w:w="9185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9E179B" w:rsidRDefault="009E179B" w:rsidP="006A65E6">
            <w:r w:rsidRPr="009E179B">
              <w:t>Nie je.</w:t>
            </w:r>
          </w:p>
        </w:tc>
      </w:tr>
      <w:tr w:rsidR="003501A1" w:rsidRPr="00A179AE" w:rsidTr="00864C57">
        <w:trPr>
          <w:trHeight w:val="248"/>
        </w:trPr>
        <w:tc>
          <w:tcPr>
            <w:tcW w:w="9185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6A65E6">
            <w:pPr>
              <w:jc w:val="center"/>
            </w:pP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E73BD2" w:rsidRDefault="00864C57" w:rsidP="00864C57">
            <w:r w:rsidRPr="00E73BD2">
              <w:t>Nie je.</w:t>
            </w:r>
          </w:p>
          <w:p w:rsidR="00864C57" w:rsidRPr="00A179AE" w:rsidRDefault="00864C57" w:rsidP="00864C57">
            <w:pPr>
              <w:rPr>
                <w:i/>
              </w:rPr>
            </w:pPr>
          </w:p>
        </w:tc>
      </w:tr>
      <w:tr w:rsidR="003501A1" w:rsidRPr="00A179AE" w:rsidTr="00864C57">
        <w:trPr>
          <w:trHeight w:val="715"/>
        </w:trPr>
        <w:tc>
          <w:tcPr>
            <w:tcW w:w="9185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864C57">
        <w:tc>
          <w:tcPr>
            <w:tcW w:w="91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864C57">
        <w:trPr>
          <w:trHeight w:val="577"/>
        </w:trPr>
        <w:tc>
          <w:tcPr>
            <w:tcW w:w="9185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864C57">
        <w:tc>
          <w:tcPr>
            <w:tcW w:w="3817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6A65E6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864C57" w:rsidRDefault="00137A37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864C57" w:rsidRDefault="003501A1" w:rsidP="006A65E6"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864C57" w:rsidRDefault="00E23781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864C57" w:rsidRDefault="003501A1" w:rsidP="006A65E6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864C57" w:rsidRDefault="00C0459C" w:rsidP="006A65E6">
            <w:pPr>
              <w:ind w:left="-107" w:right="-108"/>
              <w:jc w:val="center"/>
            </w:pPr>
            <w:r>
              <w:rPr>
                <w:rFonts w:ascii="MS Gothic" w:eastAsia="MS Gothic" w:hAnsi="MS Gothic" w:cs="MS Mincho" w:hint="eastAsia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864C57" w:rsidRDefault="003501A1" w:rsidP="006A65E6">
            <w:pPr>
              <w:ind w:left="34"/>
            </w:pPr>
            <w:r w:rsidRPr="00864C57">
              <w:t>Negatívne</w:t>
            </w:r>
          </w:p>
        </w:tc>
      </w:tr>
      <w:tr w:rsidR="003501A1" w:rsidRPr="00A179AE" w:rsidTr="00864C57">
        <w:tc>
          <w:tcPr>
            <w:tcW w:w="3817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6A65E6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864C57" w:rsidRDefault="00E23781" w:rsidP="006A65E6">
            <w:pPr>
              <w:jc w:val="center"/>
            </w:pPr>
            <w:r>
              <w:rPr>
                <w:rFonts w:ascii="MS Gothic" w:eastAsia="MS Gothic" w:hAnsi="MS Gothic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864C57" w:rsidRDefault="003501A1" w:rsidP="006A65E6">
            <w:r w:rsidRPr="00864C57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864C57" w:rsidRDefault="00864C57" w:rsidP="006A65E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864C57" w:rsidRDefault="003501A1" w:rsidP="006A65E6">
            <w:r w:rsidRPr="00864C57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864C57" w:rsidRDefault="003501A1" w:rsidP="006A65E6">
            <w:pPr>
              <w:ind w:left="-107" w:right="-108"/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864C57" w:rsidRDefault="003501A1" w:rsidP="006A65E6">
            <w:pPr>
              <w:ind w:left="34"/>
            </w:pPr>
            <w:r w:rsidRPr="00864C57">
              <w:t>Čiastočne</w:t>
            </w:r>
          </w:p>
        </w:tc>
      </w:tr>
      <w:tr w:rsidR="0027639B" w:rsidRPr="00A179AE" w:rsidTr="00864C57">
        <w:tc>
          <w:tcPr>
            <w:tcW w:w="3817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27639B" w:rsidRPr="0027639B" w:rsidRDefault="0027639B" w:rsidP="0027639B">
            <w:pPr>
              <w:rPr>
                <w:b/>
              </w:rPr>
            </w:pPr>
            <w:r w:rsidRPr="0027639B">
              <w:rPr>
                <w:b/>
              </w:rPr>
              <w:t>Vplyvy na manželstvo, rodičovstvo a</w:t>
            </w:r>
            <w:r w:rsidR="00DE0A9A">
              <w:rPr>
                <w:b/>
              </w:rPr>
              <w:t> </w:t>
            </w:r>
            <w:r w:rsidRPr="0027639B">
              <w:rPr>
                <w:b/>
              </w:rPr>
              <w:t>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7E4939" w:rsidP="0027639B">
            <w:pPr>
              <w:ind w:left="-107" w:right="-108"/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34"/>
            </w:pPr>
            <w:r w:rsidRPr="00864C57">
              <w:t>Negatívne</w:t>
            </w:r>
          </w:p>
        </w:tc>
      </w:tr>
      <w:tr w:rsidR="0027639B" w:rsidRPr="00A179AE" w:rsidTr="00864C57">
        <w:tc>
          <w:tcPr>
            <w:tcW w:w="3817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27639B" w:rsidRPr="00A179AE" w:rsidRDefault="0027639B" w:rsidP="0027639B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ind w:right="-108"/>
            </w:pPr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54"/>
            </w:pPr>
            <w:r w:rsidRPr="00864C57">
              <w:t>Negatívne</w:t>
            </w:r>
          </w:p>
        </w:tc>
      </w:tr>
      <w:tr w:rsidR="0027639B" w:rsidRPr="00A179AE" w:rsidTr="00864C57">
        <w:tc>
          <w:tcPr>
            <w:tcW w:w="3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27639B" w:rsidRPr="00A179AE" w:rsidRDefault="0027639B" w:rsidP="0027639B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ind w:right="-108"/>
            </w:pPr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54"/>
            </w:pPr>
            <w:r w:rsidRPr="00864C57">
              <w:t>Negatívne</w:t>
            </w:r>
          </w:p>
        </w:tc>
      </w:tr>
      <w:tr w:rsidR="0027639B" w:rsidRPr="00A179AE" w:rsidTr="00864C57">
        <w:tc>
          <w:tcPr>
            <w:tcW w:w="3817" w:type="dxa"/>
            <w:tcBorders>
              <w:top w:val="single" w:sz="4" w:space="0" w:color="000000" w:themeColor="text1"/>
            </w:tcBorders>
            <w:shd w:val="clear" w:color="auto" w:fill="E2E2E2"/>
          </w:tcPr>
          <w:p w:rsidR="0027639B" w:rsidRPr="00A179AE" w:rsidRDefault="0027639B" w:rsidP="0027639B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ind w:right="-108"/>
            </w:pPr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54"/>
            </w:pPr>
            <w:r w:rsidRPr="00864C57">
              <w:t>Negatívne</w:t>
            </w:r>
          </w:p>
        </w:tc>
      </w:tr>
      <w:tr w:rsidR="0027639B" w:rsidRPr="00A179AE" w:rsidTr="00864C57">
        <w:tc>
          <w:tcPr>
            <w:tcW w:w="3817" w:type="dxa"/>
            <w:shd w:val="clear" w:color="auto" w:fill="E2E2E2"/>
          </w:tcPr>
          <w:p w:rsidR="0027639B" w:rsidRPr="00A179AE" w:rsidRDefault="0027639B" w:rsidP="0027639B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ind w:right="-108"/>
            </w:pPr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54"/>
            </w:pPr>
            <w:r w:rsidRPr="00864C57">
              <w:t>Negatívne</w:t>
            </w:r>
          </w:p>
        </w:tc>
      </w:tr>
      <w:tr w:rsidR="0027639B" w:rsidRPr="00A179AE" w:rsidTr="00864C57">
        <w:tc>
          <w:tcPr>
            <w:tcW w:w="3817" w:type="dxa"/>
            <w:shd w:val="clear" w:color="auto" w:fill="E2E2E2"/>
          </w:tcPr>
          <w:p w:rsidR="0027639B" w:rsidRPr="00A179AE" w:rsidRDefault="0027639B" w:rsidP="0027639B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ind w:right="-108"/>
            </w:pPr>
            <w:r w:rsidRPr="00864C57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27639B" w:rsidRPr="00864C57" w:rsidRDefault="0027639B" w:rsidP="0027639B">
            <w:r w:rsidRPr="00864C57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27639B" w:rsidRPr="00864C57" w:rsidRDefault="0027639B" w:rsidP="0027639B">
            <w:pPr>
              <w:jc w:val="center"/>
            </w:pPr>
            <w:r w:rsidRPr="00864C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27639B" w:rsidRPr="00864C57" w:rsidRDefault="0027639B" w:rsidP="0027639B">
            <w:pPr>
              <w:ind w:left="54"/>
            </w:pPr>
            <w:r w:rsidRPr="00864C57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C059D1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6A65E6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</w:t>
            </w:r>
            <w:r w:rsidR="00DE0A9A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6A65E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6A65E6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6A65E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6A65E6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6A65E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6A65E6">
            <w:pPr>
              <w:ind w:left="54"/>
              <w:rPr>
                <w:b/>
              </w:rPr>
            </w:pPr>
          </w:p>
        </w:tc>
      </w:tr>
      <w:tr w:rsidR="00864C57" w:rsidRPr="009634B3" w:rsidTr="006A65E6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864C57" w:rsidRPr="00C059D1" w:rsidRDefault="00864C57" w:rsidP="00864C57">
            <w:pPr>
              <w:ind w:left="196" w:hanging="196"/>
              <w:rPr>
                <w:b/>
                <w:lang w:eastAsia="en-US"/>
              </w:rPr>
            </w:pPr>
            <w:r w:rsidRPr="00C059D1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864C57" w:rsidRPr="00864C57" w:rsidRDefault="00864C57" w:rsidP="00864C57">
            <w:pPr>
              <w:jc w:val="center"/>
              <w:rPr>
                <w:rFonts w:ascii="MS Mincho" w:eastAsia="MS Mincho" w:hAnsi="MS Mincho" w:cs="MS Mincho"/>
                <w:lang w:eastAsia="en-US"/>
              </w:rPr>
            </w:pPr>
            <w:r w:rsidRPr="00864C57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64C57" w:rsidRPr="00864C57" w:rsidRDefault="00864C57" w:rsidP="00864C57">
            <w:pPr>
              <w:ind w:right="-108"/>
              <w:rPr>
                <w:lang w:eastAsia="en-US"/>
              </w:rPr>
            </w:pPr>
            <w:r w:rsidRPr="00864C57">
              <w:rPr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64C57" w:rsidRPr="00864C57" w:rsidRDefault="00D07F17" w:rsidP="00864C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64C57" w:rsidRPr="00864C57" w:rsidRDefault="00864C57" w:rsidP="00864C57">
            <w:pPr>
              <w:rPr>
                <w:lang w:eastAsia="en-US"/>
              </w:rPr>
            </w:pPr>
            <w:r w:rsidRPr="00864C57">
              <w:rPr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64C57" w:rsidRPr="00864C57" w:rsidRDefault="00864C57" w:rsidP="00864C57">
            <w:pPr>
              <w:jc w:val="center"/>
              <w:rPr>
                <w:rFonts w:ascii="MS Mincho" w:eastAsia="MS Mincho" w:hAnsi="MS Mincho" w:cs="MS Mincho"/>
                <w:lang w:eastAsia="en-US"/>
              </w:rPr>
            </w:pPr>
            <w:r w:rsidRPr="00864C57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864C57" w:rsidRPr="00864C57" w:rsidRDefault="00864C57" w:rsidP="00864C57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Negatívne</w:t>
            </w:r>
          </w:p>
        </w:tc>
      </w:tr>
      <w:tr w:rsidR="00864C57" w:rsidRPr="009634B3" w:rsidTr="006A65E6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864C57" w:rsidRPr="00C059D1" w:rsidRDefault="00864C57" w:rsidP="00864C57">
            <w:pPr>
              <w:ind w:left="168" w:hanging="168"/>
              <w:rPr>
                <w:b/>
                <w:lang w:eastAsia="en-US"/>
              </w:rPr>
            </w:pPr>
            <w:r w:rsidRPr="00C059D1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864C57" w:rsidRPr="00864C57" w:rsidRDefault="00864C57" w:rsidP="00864C57">
            <w:pPr>
              <w:jc w:val="center"/>
              <w:rPr>
                <w:rFonts w:eastAsia="MS Mincho"/>
                <w:lang w:eastAsia="en-US"/>
              </w:rPr>
            </w:pPr>
            <w:r w:rsidRPr="00864C57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864C57" w:rsidRPr="00864C57" w:rsidRDefault="00864C57" w:rsidP="00864C57">
            <w:pPr>
              <w:ind w:right="-108"/>
              <w:rPr>
                <w:lang w:eastAsia="en-US"/>
              </w:rPr>
            </w:pPr>
            <w:r w:rsidRPr="00864C57">
              <w:rPr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864C57" w:rsidRPr="00864C57" w:rsidRDefault="00D07F17" w:rsidP="00864C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64C57" w:rsidRPr="00864C57" w:rsidRDefault="00864C57" w:rsidP="00864C57">
            <w:pPr>
              <w:rPr>
                <w:lang w:eastAsia="en-US"/>
              </w:rPr>
            </w:pPr>
            <w:r w:rsidRPr="00864C57">
              <w:rPr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864C57" w:rsidRPr="00864C57" w:rsidRDefault="00864C57" w:rsidP="00864C57">
            <w:pPr>
              <w:jc w:val="center"/>
              <w:rPr>
                <w:rFonts w:eastAsia="MS Mincho"/>
                <w:lang w:eastAsia="en-US"/>
              </w:rPr>
            </w:pPr>
            <w:r w:rsidRPr="00864C57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864C57" w:rsidRPr="00864C57" w:rsidRDefault="00864C57" w:rsidP="00864C57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C059D1" w:rsidRDefault="00DC0447" w:rsidP="00080A31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DC0447">
              <w:t>Od roku</w:t>
            </w:r>
            <w:r w:rsidR="00F40B7A">
              <w:t xml:space="preserve"> 2016</w:t>
            </w:r>
            <w:r w:rsidR="009604FF" w:rsidRPr="000A219D">
              <w:t xml:space="preserve"> </w:t>
            </w:r>
            <w:r w:rsidR="000A219D">
              <w:t>MF SR aktívne participuje</w:t>
            </w:r>
            <w:r w:rsidR="009604FF" w:rsidRPr="000A219D">
              <w:t xml:space="preserve"> v spolupráci s MZVaEZ SR a s</w:t>
            </w:r>
            <w:r w:rsidR="00080A31">
              <w:t> </w:t>
            </w:r>
            <w:r w:rsidR="009604FF" w:rsidRPr="000A219D">
              <w:t>E</w:t>
            </w:r>
            <w:r w:rsidR="00080A31">
              <w:t xml:space="preserve">ximbankou </w:t>
            </w:r>
            <w:r w:rsidR="009604FF" w:rsidRPr="000A219D">
              <w:t>na </w:t>
            </w:r>
            <w:r w:rsidR="007E4939">
              <w:t xml:space="preserve">aplikácii </w:t>
            </w:r>
            <w:r w:rsidR="009604FF" w:rsidRPr="000A219D">
              <w:t xml:space="preserve">nového nástroja, ktorým sú </w:t>
            </w:r>
            <w:r w:rsidR="009604FF" w:rsidRPr="000A219D">
              <w:rPr>
                <w:bCs/>
              </w:rPr>
              <w:t>zvýhodnené vývozné úvery.</w:t>
            </w:r>
            <w:r w:rsidR="009604FF" w:rsidRPr="000A219D">
              <w:t xml:space="preserve"> Ide o financovanie grantovej zložky </w:t>
            </w:r>
            <w:r w:rsidR="007E4939">
              <w:t xml:space="preserve">vývozných </w:t>
            </w:r>
            <w:r w:rsidR="009604FF" w:rsidRPr="000A219D">
              <w:t xml:space="preserve">úverov poskytnutých verejným dlžníkom z krajín s nízkymi príjmami. Grantovú zložku, ktorá sa pohybuje v minimálnej výške 35 %, je možné vykázať ako ODA. Uvedený nástroj predstavuje </w:t>
            </w:r>
            <w:r w:rsidR="007E4939">
              <w:t xml:space="preserve">aj </w:t>
            </w:r>
            <w:r w:rsidR="009604FF" w:rsidRPr="000A219D">
              <w:t>jednu z mála príležitostí pre slovenský súkromný sektor preniknúť a uplatniť sa na rozvojových trhoch. Z tohto dôvodu sú zvýhodnené vývozné úvery súčasťou programového vyhlásenia vlády SR. Na túto činnosť sú zabezpečené v kapitole Vše</w:t>
            </w:r>
            <w:r w:rsidR="007E476C" w:rsidRPr="000A219D">
              <w:t>obecné pokladničná správa pre E</w:t>
            </w:r>
            <w:r w:rsidR="00080A31">
              <w:t xml:space="preserve">ximbanku </w:t>
            </w:r>
            <w:r w:rsidR="007E476C" w:rsidRPr="000A219D">
              <w:t xml:space="preserve">na podporu exportu (zvýhodnené vývozné úvery) </w:t>
            </w:r>
            <w:r w:rsidR="00C0459C" w:rsidRPr="000A219D">
              <w:t xml:space="preserve"> v rámci výdavkového titulu Zahraničná </w:t>
            </w:r>
            <w:r w:rsidR="00C0459C" w:rsidRPr="00235370">
              <w:t xml:space="preserve">ekonomická pomoc </w:t>
            </w:r>
            <w:r w:rsidR="007E476C" w:rsidRPr="00235370">
              <w:t xml:space="preserve">finančné prostriedky na rok 2019 </w:t>
            </w:r>
            <w:r w:rsidR="003C61FB" w:rsidRPr="00235370">
              <w:t xml:space="preserve">vo výške </w:t>
            </w:r>
            <w:r w:rsidR="007E476C" w:rsidRPr="00235370">
              <w:t xml:space="preserve">1 mil. EUR, na rok 2020 </w:t>
            </w:r>
            <w:r w:rsidR="003C61FB" w:rsidRPr="00235370">
              <w:t xml:space="preserve">vo výške </w:t>
            </w:r>
            <w:r w:rsidR="007E476C" w:rsidRPr="00235370">
              <w:t xml:space="preserve">1 mil. EUR a na rok 2021 </w:t>
            </w:r>
            <w:r w:rsidR="003C61FB" w:rsidRPr="00235370">
              <w:t xml:space="preserve">vo výške </w:t>
            </w:r>
            <w:r w:rsidR="007E476C" w:rsidRPr="00235370">
              <w:t>1,5 mil. EUR</w:t>
            </w:r>
            <w:r w:rsidR="003C61FB" w:rsidRPr="00235370">
              <w:t>;</w:t>
            </w:r>
            <w:r w:rsidRPr="00235370">
              <w:t xml:space="preserve"> pre rok 2022 sa uvažuje so sumou 2,0 mil. EUR</w:t>
            </w:r>
            <w:r w:rsidR="007E476C" w:rsidRPr="00235370">
              <w:t xml:space="preserve"> (</w:t>
            </w:r>
            <w:r w:rsidR="007E476C" w:rsidRPr="00235370">
              <w:rPr>
                <w:i/>
                <w:iCs/>
              </w:rPr>
              <w:t>FK: 01.2.1, EK</w:t>
            </w:r>
            <w:r w:rsidR="007E476C" w:rsidRPr="00EA0AE3">
              <w:rPr>
                <w:i/>
                <w:iCs/>
              </w:rPr>
              <w:t>: 649003</w:t>
            </w:r>
            <w:r w:rsidR="007E476C" w:rsidRPr="00EA0AE3">
              <w:rPr>
                <w:iCs/>
              </w:rPr>
              <w:t>).</w:t>
            </w:r>
            <w:r w:rsidR="003C61FB" w:rsidRPr="00EA0AE3">
              <w:rPr>
                <w:iCs/>
              </w:rPr>
              <w:t xml:space="preserve"> </w:t>
            </w:r>
            <w:r w:rsidR="00CA2D7E" w:rsidRPr="00EA0AE3">
              <w:rPr>
                <w:bCs/>
              </w:rPr>
              <w:t xml:space="preserve">Zdrojové krytie výdavkov agentúry SAMRS na realizáciu nástroja rozvojovej spolupráce, ktorým je poskytovanie vedomostí a skúseností, je na roky 2019 až 2021 zabezpečené v kapitole Ministerstva zahraničných vecí a európskych záležitostí SR v rámci programu </w:t>
            </w:r>
            <w:r w:rsidR="00CA2D7E" w:rsidRPr="00EA0AE3">
              <w:rPr>
                <w:bCs/>
                <w:i/>
              </w:rPr>
              <w:t>05T0A</w:t>
            </w:r>
            <w:r w:rsidR="00CA2D7E" w:rsidRPr="00EA0AE3">
              <w:rPr>
                <w:bCs/>
              </w:rPr>
              <w:t xml:space="preserve"> – Rozvojová spolupráca – MZVaEZ SR, ktorého financovanie bolo schválené v materiáli „</w:t>
            </w:r>
            <w:r w:rsidR="00CA2D7E" w:rsidRPr="00EA0AE3">
              <w:rPr>
                <w:bCs/>
                <w:i/>
              </w:rPr>
              <w:t>Strednodobá stratégia rozvojovej spolupráce na roky 2019 až 2023</w:t>
            </w:r>
            <w:r w:rsidR="00CA2D7E" w:rsidRPr="00EA0AE3">
              <w:rPr>
                <w:bCs/>
              </w:rPr>
              <w:t xml:space="preserve">“ (uznesenie vlády SR č. 40 z 30. januára 2019). </w:t>
            </w:r>
            <w:r w:rsidR="00235370" w:rsidRPr="00EA0AE3">
              <w:rPr>
                <w:bCs/>
              </w:rPr>
              <w:t>Zdrojové krytie výdavkov pre verejné vysoké školy na personálne a materiálne zabezpečenie vzdelávania študentov z partnerských krajín v rámci jazykovej prípravy alebo vysokoškolského štúdia (štipendi</w:t>
            </w:r>
            <w:r w:rsidR="00080A31">
              <w:rPr>
                <w:bCs/>
              </w:rPr>
              <w:t>stov</w:t>
            </w:r>
            <w:r w:rsidR="00235370" w:rsidRPr="00EA0AE3">
              <w:rPr>
                <w:bCs/>
              </w:rPr>
              <w:t xml:space="preserve">) na roky 2019 až 2021 je zabezpečené v kapitole Ministerstva školstva, vedy, výskumu a športu SR v rámci programu </w:t>
            </w:r>
            <w:r w:rsidR="00235370" w:rsidRPr="00EA0AE3">
              <w:rPr>
                <w:bCs/>
                <w:i/>
              </w:rPr>
              <w:t>05T08</w:t>
            </w:r>
            <w:r w:rsidR="00235370" w:rsidRPr="00EA0AE3">
              <w:rPr>
                <w:bCs/>
              </w:rPr>
              <w:t xml:space="preserve"> – Oficiálna rozvojová pomoc – MŠVVaŠ SR, ktorého financovanie bolo tiež schválené v predmetnom vládnom materiáli. Zdrojové krytie vykonávania finančných nástrojov EÚ určených na rozvojovú spoluprácu ako aj podpory vykonávania týchto nástrojov je zabezpečené v rámci príslušných fondov EÚ určených na tejto účel.</w:t>
            </w:r>
          </w:p>
          <w:p w:rsidR="0021466E" w:rsidRPr="00C059D1" w:rsidRDefault="0021466E" w:rsidP="00080A31">
            <w:pPr>
              <w:autoSpaceDE w:val="0"/>
              <w:autoSpaceDN w:val="0"/>
              <w:spacing w:line="240" w:lineRule="atLeast"/>
              <w:jc w:val="both"/>
              <w:rPr>
                <w:i/>
                <w:iCs/>
              </w:rPr>
            </w:pPr>
          </w:p>
        </w:tc>
      </w:tr>
      <w:tr w:rsidR="003501A1" w:rsidRPr="00A179AE" w:rsidTr="006A65E6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864C57">
            <w:r w:rsidRPr="00864C57">
              <w:t>Ministerstvo financií SR</w:t>
            </w:r>
          </w:p>
          <w:p w:rsidR="003C61FB" w:rsidRPr="00864C57" w:rsidRDefault="003C61FB" w:rsidP="003C61FB">
            <w:r w:rsidRPr="00864C57">
              <w:t xml:space="preserve">Ing. </w:t>
            </w:r>
            <w:r>
              <w:t>Marián Podolák</w:t>
            </w:r>
            <w:r w:rsidRPr="00864C57">
              <w:t xml:space="preserve">, sekcia </w:t>
            </w:r>
            <w:r>
              <w:t>finančného trhu</w:t>
            </w:r>
            <w:r w:rsidRPr="00864C57">
              <w:t>, tel. č. 02/5958</w:t>
            </w:r>
            <w:r>
              <w:t>2527</w:t>
            </w:r>
            <w:r w:rsidRPr="00864C57">
              <w:t xml:space="preserve">, e-mail: </w:t>
            </w:r>
            <w:hyperlink r:id="rId8" w:history="1">
              <w:r w:rsidR="00235370" w:rsidRPr="0089609A">
                <w:rPr>
                  <w:rStyle w:val="Hypertextovprepojenie"/>
                </w:rPr>
                <w:t>marian.podolak@mfsr.sk</w:t>
              </w:r>
            </w:hyperlink>
          </w:p>
          <w:p w:rsidR="00864C57" w:rsidRPr="00864C57" w:rsidRDefault="00864C57">
            <w:r w:rsidRPr="00864C57">
              <w:t xml:space="preserve">Ing. Soňa Gabčová, sekcia medzinárodných vzťahov, tel. č. 02/59583416, e-mail: </w:t>
            </w:r>
            <w:hyperlink r:id="rId9" w:history="1">
              <w:r w:rsidRPr="00864C57">
                <w:rPr>
                  <w:rStyle w:val="Hypertextovprepojenie"/>
                </w:rPr>
                <w:t>sona.gabcova@mfsr.sk</w:t>
              </w:r>
            </w:hyperlink>
          </w:p>
          <w:p w:rsidR="00C059D1" w:rsidRPr="00137A37" w:rsidRDefault="00864C57" w:rsidP="00760CDE">
            <w:r w:rsidRPr="00864C57">
              <w:t xml:space="preserve">Ing. Jana Horvátová, sekcia finančného trhu, tel. č. 02/59582509, e-mail: </w:t>
            </w:r>
            <w:hyperlink r:id="rId10" w:history="1">
              <w:r w:rsidRPr="00864C57">
                <w:rPr>
                  <w:rStyle w:val="Hypertextovprepojenie"/>
                </w:rPr>
                <w:t>jana.horvatova@mfsr.sk</w:t>
              </w:r>
            </w:hyperlink>
            <w:r w:rsidRPr="00864C57">
              <w:t xml:space="preserve"> </w:t>
            </w:r>
          </w:p>
        </w:tc>
      </w:tr>
      <w:tr w:rsidR="003501A1" w:rsidRPr="00A179AE" w:rsidTr="006A65E6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6A65E6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710B9" w:rsidRDefault="003501A1" w:rsidP="006A65E6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2710B9" w:rsidP="00C059D1">
            <w:pPr>
              <w:jc w:val="both"/>
            </w:pPr>
            <w:r w:rsidRPr="00547B08">
              <w:t xml:space="preserve">Konzultácie s Európskou úniou, diskusie s Exportno-importnou bankou Slovenskej republiky o nerealizovateľných projektoch z dôvodu </w:t>
            </w:r>
            <w:r w:rsidR="00CA2D7E">
              <w:t>ha</w:t>
            </w:r>
            <w:r w:rsidR="00760CDE">
              <w:t xml:space="preserve">ndicapu </w:t>
            </w:r>
            <w:r w:rsidRPr="00547B08">
              <w:t>financovania.</w:t>
            </w:r>
          </w:p>
          <w:p w:rsidR="00C059D1" w:rsidRPr="00C059D1" w:rsidRDefault="00C059D1" w:rsidP="00C059D1">
            <w:pPr>
              <w:jc w:val="both"/>
            </w:pPr>
          </w:p>
        </w:tc>
      </w:tr>
      <w:tr w:rsidR="003501A1" w:rsidRPr="00A179AE" w:rsidTr="006A65E6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6A65E6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1466E" w:rsidRPr="0021466E" w:rsidRDefault="0021466E" w:rsidP="006A65E6">
            <w:r>
              <w:t>Stála pracovná komisia Legislatívnej rady vlády Slovenskej republiky na posudzovanie vybraných vplyvov vo svojom stanovisku zo dňa 5.4.2019 č. 066/2019 neuplatnila k materiálu žiadne pripomienky ani odporúčania a vyjadrila súhlasné stanovisko s materiálom predloženým na predbežné pripomienkové konanie.</w:t>
            </w:r>
          </w:p>
        </w:tc>
      </w:tr>
    </w:tbl>
    <w:p w:rsidR="00CB3623" w:rsidRDefault="00CB3623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p w:rsidR="00CA2D7E" w:rsidRDefault="00CA2D7E" w:rsidP="00137A37"/>
    <w:sectPr w:rsidR="00CA2D7E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87" w:rsidRDefault="00D46C87" w:rsidP="003501A1">
      <w:r>
        <w:separator/>
      </w:r>
    </w:p>
  </w:endnote>
  <w:endnote w:type="continuationSeparator" w:id="0">
    <w:p w:rsidR="00D46C87" w:rsidRDefault="00D46C8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87" w:rsidRDefault="00D46C87" w:rsidP="003501A1">
      <w:r>
        <w:separator/>
      </w:r>
    </w:p>
  </w:footnote>
  <w:footnote w:type="continuationSeparator" w:id="0">
    <w:p w:rsidR="00D46C87" w:rsidRDefault="00D46C8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251D0"/>
    <w:rsid w:val="00032EBE"/>
    <w:rsid w:val="00034110"/>
    <w:rsid w:val="00036A60"/>
    <w:rsid w:val="00047C24"/>
    <w:rsid w:val="00080A31"/>
    <w:rsid w:val="000A219D"/>
    <w:rsid w:val="000C0059"/>
    <w:rsid w:val="000F44C7"/>
    <w:rsid w:val="00127DAC"/>
    <w:rsid w:val="00137A37"/>
    <w:rsid w:val="00175FD8"/>
    <w:rsid w:val="001E2CAB"/>
    <w:rsid w:val="0021466E"/>
    <w:rsid w:val="00235370"/>
    <w:rsid w:val="002710B9"/>
    <w:rsid w:val="0027639B"/>
    <w:rsid w:val="002777D2"/>
    <w:rsid w:val="002B5414"/>
    <w:rsid w:val="002E7525"/>
    <w:rsid w:val="00313DA6"/>
    <w:rsid w:val="003501A1"/>
    <w:rsid w:val="00371BEE"/>
    <w:rsid w:val="00395098"/>
    <w:rsid w:val="003A2427"/>
    <w:rsid w:val="003A55B8"/>
    <w:rsid w:val="003C61FB"/>
    <w:rsid w:val="00423433"/>
    <w:rsid w:val="0045465B"/>
    <w:rsid w:val="00466B0A"/>
    <w:rsid w:val="00475ACE"/>
    <w:rsid w:val="00497C9E"/>
    <w:rsid w:val="004C557D"/>
    <w:rsid w:val="004C60B8"/>
    <w:rsid w:val="004C794A"/>
    <w:rsid w:val="004D2FA5"/>
    <w:rsid w:val="004D485B"/>
    <w:rsid w:val="004F6F1F"/>
    <w:rsid w:val="004F7D6F"/>
    <w:rsid w:val="00547B08"/>
    <w:rsid w:val="00570B48"/>
    <w:rsid w:val="005B3E1E"/>
    <w:rsid w:val="005B7A8D"/>
    <w:rsid w:val="005C05C0"/>
    <w:rsid w:val="005C4956"/>
    <w:rsid w:val="005F0FA0"/>
    <w:rsid w:val="005F5E0B"/>
    <w:rsid w:val="006328A8"/>
    <w:rsid w:val="00650B76"/>
    <w:rsid w:val="00653ADA"/>
    <w:rsid w:val="00691A85"/>
    <w:rsid w:val="006A65E6"/>
    <w:rsid w:val="006C3B7D"/>
    <w:rsid w:val="006C7F54"/>
    <w:rsid w:val="006D1205"/>
    <w:rsid w:val="006D6BFE"/>
    <w:rsid w:val="006E2DF3"/>
    <w:rsid w:val="007216CE"/>
    <w:rsid w:val="00722EE8"/>
    <w:rsid w:val="00753885"/>
    <w:rsid w:val="00760CDE"/>
    <w:rsid w:val="00771325"/>
    <w:rsid w:val="007E2187"/>
    <w:rsid w:val="007E476C"/>
    <w:rsid w:val="007E4939"/>
    <w:rsid w:val="008061DD"/>
    <w:rsid w:val="00835BCB"/>
    <w:rsid w:val="00842CFD"/>
    <w:rsid w:val="00864C57"/>
    <w:rsid w:val="00867DE5"/>
    <w:rsid w:val="0089609A"/>
    <w:rsid w:val="008B5280"/>
    <w:rsid w:val="008D299C"/>
    <w:rsid w:val="008F1C3B"/>
    <w:rsid w:val="00907346"/>
    <w:rsid w:val="00925788"/>
    <w:rsid w:val="009604FF"/>
    <w:rsid w:val="009634B3"/>
    <w:rsid w:val="00990DA0"/>
    <w:rsid w:val="009B0F93"/>
    <w:rsid w:val="009B11B1"/>
    <w:rsid w:val="009C4A33"/>
    <w:rsid w:val="009E179B"/>
    <w:rsid w:val="00A179AE"/>
    <w:rsid w:val="00A179CC"/>
    <w:rsid w:val="00A248C8"/>
    <w:rsid w:val="00A263D2"/>
    <w:rsid w:val="00A500C3"/>
    <w:rsid w:val="00A83DC1"/>
    <w:rsid w:val="00AC2477"/>
    <w:rsid w:val="00B60768"/>
    <w:rsid w:val="00B65A86"/>
    <w:rsid w:val="00B96AEF"/>
    <w:rsid w:val="00BA1D57"/>
    <w:rsid w:val="00BE12D3"/>
    <w:rsid w:val="00BE45E4"/>
    <w:rsid w:val="00BF3078"/>
    <w:rsid w:val="00BF62B5"/>
    <w:rsid w:val="00C01511"/>
    <w:rsid w:val="00C0459C"/>
    <w:rsid w:val="00C059D1"/>
    <w:rsid w:val="00CA2D7E"/>
    <w:rsid w:val="00CB3623"/>
    <w:rsid w:val="00CD7809"/>
    <w:rsid w:val="00D07F17"/>
    <w:rsid w:val="00D13B6F"/>
    <w:rsid w:val="00D16871"/>
    <w:rsid w:val="00D43E58"/>
    <w:rsid w:val="00D469C6"/>
    <w:rsid w:val="00D46C87"/>
    <w:rsid w:val="00D75D35"/>
    <w:rsid w:val="00DC0447"/>
    <w:rsid w:val="00DC4DFF"/>
    <w:rsid w:val="00DE0A9A"/>
    <w:rsid w:val="00DE1701"/>
    <w:rsid w:val="00DE2A12"/>
    <w:rsid w:val="00E23781"/>
    <w:rsid w:val="00E3015A"/>
    <w:rsid w:val="00E41672"/>
    <w:rsid w:val="00E73BD2"/>
    <w:rsid w:val="00EA0AE3"/>
    <w:rsid w:val="00EA54EF"/>
    <w:rsid w:val="00EB59E3"/>
    <w:rsid w:val="00EC1C08"/>
    <w:rsid w:val="00EC2B45"/>
    <w:rsid w:val="00ED0B96"/>
    <w:rsid w:val="00EF729A"/>
    <w:rsid w:val="00F22831"/>
    <w:rsid w:val="00F40B7A"/>
    <w:rsid w:val="00F44364"/>
    <w:rsid w:val="00F62771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E62B9E-7222-4D1C-B09E-93A3CB89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D7809"/>
    <w:pPr>
      <w:spacing w:after="120" w:line="480" w:lineRule="auto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D7809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864C57"/>
    <w:rPr>
      <w:rFonts w:cs="Times New Roman"/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EC1C08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960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podolak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horvatova@mf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gabcova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2D6A-E295-4356-817B-B736A0AB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Horvatova Jana</cp:lastModifiedBy>
  <cp:revision>2</cp:revision>
  <cp:lastPrinted>2019-05-21T07:43:00Z</cp:lastPrinted>
  <dcterms:created xsi:type="dcterms:W3CDTF">2019-05-21T09:17:00Z</dcterms:created>
  <dcterms:modified xsi:type="dcterms:W3CDTF">2019-05-21T09:17:00Z</dcterms:modified>
</cp:coreProperties>
</file>