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D73" w:rsidRPr="00C014FF" w:rsidRDefault="00694D73" w:rsidP="00694D73">
      <w:pPr>
        <w:jc w:val="center"/>
        <w:rPr>
          <w:rFonts w:ascii="Arial Narrow" w:hAnsi="Arial Narrow"/>
          <w:b/>
          <w:bCs/>
        </w:rPr>
      </w:pPr>
      <w:bookmarkStart w:id="0" w:name="_GoBack"/>
      <w:bookmarkEnd w:id="0"/>
      <w:r w:rsidRPr="00C014FF">
        <w:rPr>
          <w:rFonts w:ascii="Arial Narrow" w:hAnsi="Arial Narrow"/>
          <w:b/>
          <w:bCs/>
        </w:rPr>
        <w:t>DOLOŽKA ZLUČITEĽNOSTI</w:t>
      </w:r>
    </w:p>
    <w:p w:rsidR="00694D73" w:rsidRPr="000C516E" w:rsidRDefault="00A81B0F" w:rsidP="00694D73">
      <w:pPr>
        <w:pBdr>
          <w:bottom w:val="single" w:sz="6" w:space="1" w:color="auto"/>
        </w:pBdr>
        <w:jc w:val="center"/>
        <w:rPr>
          <w:rFonts w:ascii="Arial Narrow" w:hAnsi="Arial Narrow"/>
          <w:b/>
          <w:bCs/>
        </w:rPr>
      </w:pPr>
      <w:r w:rsidRPr="00E422E9">
        <w:rPr>
          <w:rFonts w:ascii="Arial Narrow" w:hAnsi="Arial Narrow"/>
          <w:b/>
          <w:bCs/>
        </w:rPr>
        <w:t xml:space="preserve">návrhu zákona, </w:t>
      </w:r>
      <w:r w:rsidR="002208A5" w:rsidRPr="00E422E9">
        <w:rPr>
          <w:rFonts w:ascii="Arial Narrow" w:hAnsi="Arial Narrow"/>
          <w:b/>
          <w:bCs/>
        </w:rPr>
        <w:t xml:space="preserve">ktorým sa mení a dopĺňa zákon č. 595/2003 Z. z. o dani z príjmov v znení neskorších predpisov </w:t>
      </w:r>
      <w:r w:rsidR="00694D73" w:rsidRPr="00E422E9">
        <w:rPr>
          <w:rFonts w:ascii="Arial Narrow" w:hAnsi="Arial Narrow"/>
          <w:b/>
          <w:bCs/>
        </w:rPr>
        <w:t>s právom Európskej únie</w:t>
      </w:r>
    </w:p>
    <w:p w:rsidR="00694D73" w:rsidRPr="00C014FF" w:rsidRDefault="00694D73" w:rsidP="00694D73">
      <w:pPr>
        <w:rPr>
          <w:rFonts w:ascii="Arial Narrow" w:hAnsi="Arial Narrow"/>
          <w:b/>
          <w:bCs/>
        </w:rPr>
      </w:pPr>
    </w:p>
    <w:p w:rsidR="00694D73" w:rsidRPr="00C27B22" w:rsidRDefault="003A25D7" w:rsidP="00694D73">
      <w:pPr>
        <w:numPr>
          <w:ilvl w:val="0"/>
          <w:numId w:val="1"/>
        </w:numPr>
        <w:spacing w:after="120"/>
        <w:jc w:val="both"/>
        <w:rPr>
          <w:rFonts w:ascii="Arial Narrow" w:hAnsi="Arial Narrow"/>
        </w:rPr>
      </w:pPr>
      <w:r w:rsidRPr="00C27B22">
        <w:rPr>
          <w:rFonts w:ascii="Arial Narrow" w:hAnsi="Arial Narrow"/>
          <w:b/>
          <w:bCs/>
        </w:rPr>
        <w:t>Navrhovateľ</w:t>
      </w:r>
      <w:r w:rsidR="004E69E3" w:rsidRPr="00C27B22">
        <w:rPr>
          <w:rFonts w:ascii="Arial Narrow" w:hAnsi="Arial Narrow"/>
          <w:b/>
          <w:bCs/>
        </w:rPr>
        <w:t xml:space="preserve"> </w:t>
      </w:r>
      <w:r w:rsidR="00694D73" w:rsidRPr="00C27B22">
        <w:rPr>
          <w:rFonts w:ascii="Arial Narrow" w:hAnsi="Arial Narrow"/>
          <w:b/>
          <w:bCs/>
        </w:rPr>
        <w:t>zákona:</w:t>
      </w:r>
    </w:p>
    <w:p w:rsidR="00694D73" w:rsidRPr="00C014FF" w:rsidRDefault="00694D73" w:rsidP="00694D73">
      <w:pPr>
        <w:ind w:firstLine="425"/>
        <w:jc w:val="both"/>
        <w:rPr>
          <w:rFonts w:ascii="Arial Narrow" w:hAnsi="Arial Narrow"/>
        </w:rPr>
      </w:pPr>
      <w:r w:rsidRPr="00C014FF">
        <w:rPr>
          <w:rFonts w:ascii="Arial Narrow" w:hAnsi="Arial Narrow"/>
        </w:rPr>
        <w:t xml:space="preserve">Vláda Slovenskej republiky. </w:t>
      </w:r>
    </w:p>
    <w:p w:rsidR="00694D73" w:rsidRPr="00C014FF" w:rsidRDefault="00694D73" w:rsidP="00694D73">
      <w:pPr>
        <w:jc w:val="both"/>
        <w:rPr>
          <w:rFonts w:ascii="Arial Narrow" w:hAnsi="Arial Narrow"/>
          <w:b/>
          <w:bCs/>
        </w:rPr>
      </w:pPr>
    </w:p>
    <w:p w:rsidR="00694D73" w:rsidRPr="00C014FF" w:rsidRDefault="00694D73" w:rsidP="00694D73">
      <w:pPr>
        <w:numPr>
          <w:ilvl w:val="0"/>
          <w:numId w:val="1"/>
        </w:numPr>
        <w:spacing w:after="120"/>
        <w:jc w:val="both"/>
        <w:rPr>
          <w:rFonts w:ascii="Arial Narrow" w:hAnsi="Arial Narrow"/>
          <w:b/>
          <w:bCs/>
        </w:rPr>
      </w:pPr>
      <w:r w:rsidRPr="00C014FF">
        <w:rPr>
          <w:rFonts w:ascii="Arial Narrow" w:hAnsi="Arial Narrow"/>
          <w:b/>
          <w:bCs/>
        </w:rPr>
        <w:t>Názov návrhu zákona:</w:t>
      </w:r>
    </w:p>
    <w:p w:rsidR="00694D73" w:rsidRPr="000C516E" w:rsidRDefault="00694D73" w:rsidP="00694D73">
      <w:pPr>
        <w:ind w:left="425"/>
        <w:jc w:val="both"/>
        <w:rPr>
          <w:rFonts w:ascii="Arial Narrow" w:hAnsi="Arial Narrow"/>
          <w:bCs/>
        </w:rPr>
      </w:pPr>
      <w:r w:rsidRPr="00E422E9">
        <w:rPr>
          <w:rFonts w:ascii="Arial Narrow" w:hAnsi="Arial Narrow"/>
        </w:rPr>
        <w:t xml:space="preserve">Návrh zákona, </w:t>
      </w:r>
      <w:r w:rsidR="002208A5" w:rsidRPr="00E422E9">
        <w:rPr>
          <w:rFonts w:ascii="Arial Narrow" w:hAnsi="Arial Narrow"/>
        </w:rPr>
        <w:t>ktorým sa mení a dopĺňa zákon č. 595/2003 Z. z. o dani z príjmov v znení neskorších predpisov</w:t>
      </w:r>
      <w:r w:rsidR="00E422E9" w:rsidRPr="00E422E9">
        <w:rPr>
          <w:rFonts w:ascii="Arial Narrow" w:hAnsi="Arial Narrow"/>
        </w:rPr>
        <w:t>.</w:t>
      </w:r>
      <w:r w:rsidR="002208A5" w:rsidRPr="00E422E9">
        <w:rPr>
          <w:rFonts w:ascii="Arial Narrow" w:hAnsi="Arial Narrow"/>
        </w:rPr>
        <w:t xml:space="preserve"> </w:t>
      </w:r>
    </w:p>
    <w:p w:rsidR="00694D73" w:rsidRPr="00C014FF" w:rsidRDefault="00694D73" w:rsidP="00694D73">
      <w:pPr>
        <w:jc w:val="both"/>
        <w:rPr>
          <w:rFonts w:ascii="Arial Narrow" w:hAnsi="Arial Narrow"/>
          <w:b/>
          <w:bCs/>
        </w:rPr>
      </w:pPr>
    </w:p>
    <w:p w:rsidR="00694D73" w:rsidRPr="00C27B22" w:rsidRDefault="00694D73" w:rsidP="00694D73">
      <w:pPr>
        <w:numPr>
          <w:ilvl w:val="0"/>
          <w:numId w:val="1"/>
        </w:numPr>
        <w:spacing w:after="120"/>
        <w:jc w:val="both"/>
        <w:rPr>
          <w:rFonts w:ascii="Arial Narrow" w:hAnsi="Arial Narrow"/>
          <w:b/>
          <w:bCs/>
        </w:rPr>
      </w:pPr>
      <w:r w:rsidRPr="00C27B22">
        <w:rPr>
          <w:rFonts w:ascii="Arial Narrow" w:hAnsi="Arial Narrow"/>
          <w:b/>
          <w:bCs/>
        </w:rPr>
        <w:t>Pr</w:t>
      </w:r>
      <w:r w:rsidR="006829DB" w:rsidRPr="00C27B22">
        <w:rPr>
          <w:rFonts w:ascii="Arial Narrow" w:hAnsi="Arial Narrow"/>
          <w:b/>
          <w:bCs/>
        </w:rPr>
        <w:t xml:space="preserve">edmet </w:t>
      </w:r>
      <w:r w:rsidRPr="00C27B22">
        <w:rPr>
          <w:rFonts w:ascii="Arial Narrow" w:hAnsi="Arial Narrow"/>
          <w:b/>
          <w:bCs/>
        </w:rPr>
        <w:t>návrhu zákona</w:t>
      </w:r>
      <w:r w:rsidR="006829DB" w:rsidRPr="00C27B22">
        <w:rPr>
          <w:rFonts w:ascii="Arial Narrow" w:hAnsi="Arial Narrow"/>
          <w:b/>
          <w:bCs/>
        </w:rPr>
        <w:t xml:space="preserve"> </w:t>
      </w:r>
      <w:r w:rsidR="006829DB" w:rsidRPr="00C27B22">
        <w:rPr>
          <w:rFonts w:ascii="Arial Narrow" w:hAnsi="Arial Narrow"/>
          <w:b/>
          <w:lang w:eastAsia="cs-CZ"/>
        </w:rPr>
        <w:t>je upravený v práve Európskej únie:</w:t>
      </w:r>
    </w:p>
    <w:p w:rsidR="00694D73" w:rsidRPr="00C27B22" w:rsidRDefault="00694D73" w:rsidP="006829DB">
      <w:pPr>
        <w:numPr>
          <w:ilvl w:val="1"/>
          <w:numId w:val="1"/>
        </w:numPr>
        <w:spacing w:after="120"/>
        <w:rPr>
          <w:rFonts w:ascii="Arial Narrow" w:hAnsi="Arial Narrow"/>
          <w:lang w:eastAsia="cs-CZ"/>
        </w:rPr>
      </w:pPr>
      <w:r w:rsidRPr="00C27B22">
        <w:rPr>
          <w:rFonts w:ascii="Arial Narrow" w:hAnsi="Arial Narrow"/>
          <w:b/>
          <w:bCs/>
          <w:iCs/>
          <w:lang w:eastAsia="cs-CZ"/>
        </w:rPr>
        <w:t>Primárne právo:</w:t>
      </w:r>
    </w:p>
    <w:p w:rsidR="006829DB" w:rsidRPr="00C27B22" w:rsidRDefault="006829DB" w:rsidP="006829DB">
      <w:pPr>
        <w:pStyle w:val="Odsekzoznamu"/>
        <w:numPr>
          <w:ilvl w:val="0"/>
          <w:numId w:val="19"/>
        </w:numPr>
        <w:spacing w:after="120"/>
        <w:jc w:val="both"/>
        <w:rPr>
          <w:rFonts w:ascii="Arial Narrow" w:hAnsi="Arial Narrow"/>
          <w:lang w:eastAsia="cs-CZ"/>
        </w:rPr>
      </w:pPr>
      <w:r w:rsidRPr="00C27B22">
        <w:rPr>
          <w:rFonts w:ascii="Arial Narrow" w:hAnsi="Arial Narrow"/>
          <w:lang w:eastAsia="cs-CZ"/>
        </w:rPr>
        <w:t>čl. 110 až 112 a čl. 115 Zmluvy o fungovaní Európskej únie.</w:t>
      </w:r>
    </w:p>
    <w:p w:rsidR="006829DB" w:rsidRPr="00C27B22" w:rsidRDefault="006829DB" w:rsidP="006829DB">
      <w:pPr>
        <w:numPr>
          <w:ilvl w:val="1"/>
          <w:numId w:val="1"/>
        </w:numPr>
        <w:spacing w:after="120"/>
        <w:rPr>
          <w:rFonts w:ascii="Arial Narrow" w:hAnsi="Arial Narrow"/>
          <w:lang w:eastAsia="cs-CZ"/>
        </w:rPr>
      </w:pPr>
      <w:r w:rsidRPr="00C27B22">
        <w:rPr>
          <w:rFonts w:ascii="Arial Narrow" w:hAnsi="Arial Narrow"/>
          <w:b/>
          <w:bCs/>
          <w:iCs/>
        </w:rPr>
        <w:t>Sekundárne právo:</w:t>
      </w:r>
    </w:p>
    <w:p w:rsidR="00221A53" w:rsidRPr="00C27B22" w:rsidRDefault="00221A53" w:rsidP="00221A53">
      <w:pPr>
        <w:pStyle w:val="Odsekzoznamu"/>
        <w:numPr>
          <w:ilvl w:val="0"/>
          <w:numId w:val="2"/>
        </w:numPr>
        <w:autoSpaceDE w:val="0"/>
        <w:autoSpaceDN w:val="0"/>
        <w:adjustRightInd w:val="0"/>
        <w:spacing w:before="120" w:after="240" w:line="240" w:lineRule="auto"/>
        <w:ind w:left="901" w:hanging="391"/>
        <w:jc w:val="both"/>
        <w:rPr>
          <w:rFonts w:ascii="Arial Narrow" w:hAnsi="Arial Narrow"/>
          <w:bCs/>
          <w:iCs/>
          <w:sz w:val="24"/>
          <w:szCs w:val="24"/>
          <w:u w:val="single"/>
        </w:rPr>
      </w:pPr>
      <w:r w:rsidRPr="00221A53">
        <w:rPr>
          <w:rFonts w:ascii="Arial Narrow" w:hAnsi="Arial Narrow"/>
          <w:bCs/>
          <w:iCs/>
          <w:sz w:val="24"/>
          <w:szCs w:val="24"/>
        </w:rPr>
        <w:t>smernica Rady (EÚ)</w:t>
      </w:r>
      <w:r w:rsidRPr="00221A53">
        <w:rPr>
          <w:rFonts w:ascii="Arial Narrow" w:hAnsi="Arial Narrow"/>
          <w:bCs/>
          <w:iCs/>
          <w:sz w:val="24"/>
          <w:szCs w:val="24"/>
          <w:u w:val="single"/>
        </w:rPr>
        <w:t xml:space="preserve"> 2017/952</w:t>
      </w:r>
      <w:r w:rsidRPr="00221A53">
        <w:rPr>
          <w:rFonts w:ascii="Arial Narrow" w:hAnsi="Arial Narrow"/>
          <w:bCs/>
          <w:iCs/>
          <w:sz w:val="24"/>
          <w:szCs w:val="24"/>
        </w:rPr>
        <w:t xml:space="preserve"> z 29. mája </w:t>
      </w:r>
      <w:r>
        <w:rPr>
          <w:rFonts w:ascii="Arial Narrow" w:hAnsi="Arial Narrow"/>
          <w:bCs/>
          <w:iCs/>
          <w:sz w:val="24"/>
          <w:szCs w:val="24"/>
        </w:rPr>
        <w:t>2017, ktorou sa mení smernica (E</w:t>
      </w:r>
      <w:r w:rsidRPr="00221A53">
        <w:rPr>
          <w:rFonts w:ascii="Arial Narrow" w:hAnsi="Arial Narrow"/>
          <w:bCs/>
          <w:iCs/>
          <w:sz w:val="24"/>
          <w:szCs w:val="24"/>
        </w:rPr>
        <w:t>Ú) 2016/1164, pokiaľ ide o hybridné nesúlady s tretími krajinami</w:t>
      </w:r>
      <w:r w:rsidR="006829DB">
        <w:rPr>
          <w:rFonts w:ascii="Arial Narrow" w:hAnsi="Arial Narrow"/>
          <w:bCs/>
          <w:iCs/>
          <w:sz w:val="24"/>
          <w:szCs w:val="24"/>
        </w:rPr>
        <w:t xml:space="preserve"> (Ú</w:t>
      </w:r>
      <w:r w:rsidR="006829DB" w:rsidRPr="00C27B22">
        <w:rPr>
          <w:rFonts w:ascii="Arial Narrow" w:hAnsi="Arial Narrow"/>
          <w:bCs/>
          <w:iCs/>
          <w:sz w:val="24"/>
          <w:szCs w:val="24"/>
        </w:rPr>
        <w:t>. v</w:t>
      </w:r>
      <w:r w:rsidRPr="00C27B22">
        <w:rPr>
          <w:rFonts w:ascii="Arial Narrow" w:hAnsi="Arial Narrow"/>
          <w:bCs/>
          <w:iCs/>
          <w:sz w:val="24"/>
          <w:szCs w:val="24"/>
        </w:rPr>
        <w:t>. EÚ L 144, 7.6.2017),</w:t>
      </w:r>
      <w:r w:rsidR="006829DB" w:rsidRPr="00C27B22">
        <w:rPr>
          <w:rFonts w:ascii="Arial Narrow" w:hAnsi="Arial Narrow"/>
          <w:bCs/>
          <w:iCs/>
          <w:sz w:val="24"/>
          <w:szCs w:val="24"/>
        </w:rPr>
        <w:t xml:space="preserve"> gestor: MF SR,</w:t>
      </w:r>
    </w:p>
    <w:p w:rsidR="00E75801" w:rsidRPr="00C27B22" w:rsidRDefault="00EA6F3F" w:rsidP="00EA6F3F">
      <w:pPr>
        <w:numPr>
          <w:ilvl w:val="0"/>
          <w:numId w:val="2"/>
        </w:numPr>
        <w:autoSpaceDE w:val="0"/>
        <w:autoSpaceDN w:val="0"/>
        <w:adjustRightInd w:val="0"/>
        <w:spacing w:before="120"/>
        <w:ind w:left="901" w:hanging="391"/>
        <w:jc w:val="both"/>
        <w:rPr>
          <w:rFonts w:ascii="Arial Narrow" w:hAnsi="Arial Narrow"/>
          <w:bCs/>
        </w:rPr>
      </w:pPr>
      <w:r w:rsidRPr="00C27B22">
        <w:rPr>
          <w:rFonts w:ascii="Arial Narrow" w:hAnsi="Arial Narrow" w:cs="Lucida Sans Unicode"/>
          <w:bCs/>
          <w:bdr w:val="none" w:sz="0" w:space="0" w:color="auto" w:frame="1"/>
          <w:shd w:val="clear" w:color="auto" w:fill="FFFFFF"/>
        </w:rPr>
        <w:t>s</w:t>
      </w:r>
      <w:r w:rsidR="00E75801" w:rsidRPr="00C27B22">
        <w:rPr>
          <w:rFonts w:ascii="Arial Narrow" w:hAnsi="Arial Narrow" w:cs="Lucida Sans Unicode"/>
          <w:bCs/>
          <w:bdr w:val="none" w:sz="0" w:space="0" w:color="auto" w:frame="1"/>
          <w:shd w:val="clear" w:color="auto" w:fill="FFFFFF"/>
        </w:rPr>
        <w:t xml:space="preserve">mernica Rady (EÚ) </w:t>
      </w:r>
      <w:r w:rsidR="00E75801" w:rsidRPr="00C27B22">
        <w:rPr>
          <w:rFonts w:ascii="Arial Narrow" w:hAnsi="Arial Narrow" w:cs="Lucida Sans Unicode"/>
          <w:bCs/>
          <w:u w:val="single"/>
          <w:bdr w:val="none" w:sz="0" w:space="0" w:color="auto" w:frame="1"/>
          <w:shd w:val="clear" w:color="auto" w:fill="FFFFFF"/>
        </w:rPr>
        <w:t>2016/1164</w:t>
      </w:r>
      <w:r w:rsidR="00E75801" w:rsidRPr="00C27B22">
        <w:rPr>
          <w:rFonts w:ascii="Arial Narrow" w:hAnsi="Arial Narrow" w:cs="Lucida Sans Unicode"/>
          <w:bCs/>
          <w:bdr w:val="none" w:sz="0" w:space="0" w:color="auto" w:frame="1"/>
          <w:shd w:val="clear" w:color="auto" w:fill="FFFFFF"/>
        </w:rPr>
        <w:t xml:space="preserve"> z 12. júla 2016, ktorou sa stanovujú pravidlá proti praktikám vyhýbania sa daňovým povinnostiam, ktoré majú priamy vplyv na fungovanie vnútorného trhu</w:t>
      </w:r>
      <w:r w:rsidR="002A17E8" w:rsidRPr="00C27B22">
        <w:rPr>
          <w:rFonts w:ascii="Arial Narrow" w:hAnsi="Arial Narrow" w:cs="Lucida Sans Unicode"/>
          <w:bCs/>
          <w:bdr w:val="none" w:sz="0" w:space="0" w:color="auto" w:frame="1"/>
          <w:shd w:val="clear" w:color="auto" w:fill="FFFFFF"/>
        </w:rPr>
        <w:t xml:space="preserve"> (</w:t>
      </w:r>
      <w:r w:rsidR="002A17E8" w:rsidRPr="00C27B22">
        <w:rPr>
          <w:rFonts w:ascii="Arial Narrow" w:hAnsi="Arial Narrow" w:cs="Lucida Sans Unicode"/>
          <w:iCs/>
        </w:rPr>
        <w:t>Ú. v. EÚ L 193, 19.7.2016),</w:t>
      </w:r>
      <w:r w:rsidR="006829DB" w:rsidRPr="00C27B22">
        <w:rPr>
          <w:rFonts w:ascii="Arial Narrow" w:hAnsi="Arial Narrow" w:cs="Lucida Sans Unicode"/>
          <w:iCs/>
        </w:rPr>
        <w:t xml:space="preserve"> </w:t>
      </w:r>
      <w:r w:rsidR="0072658C" w:rsidRPr="00C27B22">
        <w:rPr>
          <w:rFonts w:ascii="Arial Narrow" w:hAnsi="Arial Narrow"/>
        </w:rPr>
        <w:t>v platnom znení</w:t>
      </w:r>
      <w:r w:rsidR="0072658C" w:rsidRPr="00C27B22">
        <w:rPr>
          <w:rFonts w:ascii="Arial Narrow" w:hAnsi="Arial Narrow"/>
          <w:bCs/>
          <w:iCs/>
        </w:rPr>
        <w:t xml:space="preserve">, </w:t>
      </w:r>
      <w:r w:rsidR="006829DB" w:rsidRPr="00C27B22">
        <w:rPr>
          <w:rFonts w:ascii="Arial Narrow" w:hAnsi="Arial Narrow"/>
          <w:bCs/>
          <w:iCs/>
        </w:rPr>
        <w:t>gestor: MF SR,</w:t>
      </w:r>
    </w:p>
    <w:p w:rsidR="0072658C" w:rsidRPr="00C27B22" w:rsidRDefault="00021B3E" w:rsidP="0072658C">
      <w:pPr>
        <w:numPr>
          <w:ilvl w:val="0"/>
          <w:numId w:val="2"/>
        </w:numPr>
        <w:autoSpaceDE w:val="0"/>
        <w:autoSpaceDN w:val="0"/>
        <w:adjustRightInd w:val="0"/>
        <w:spacing w:before="120"/>
        <w:ind w:left="901" w:hanging="391"/>
        <w:jc w:val="both"/>
        <w:rPr>
          <w:rFonts w:ascii="Arial Narrow" w:hAnsi="Arial Narrow"/>
          <w:bCs/>
        </w:rPr>
      </w:pPr>
      <w:r w:rsidRPr="00C27B22">
        <w:rPr>
          <w:rFonts w:ascii="Arial Narrow" w:hAnsi="Arial Narrow"/>
          <w:bCs/>
        </w:rPr>
        <w:t>smernica Rady</w:t>
      </w:r>
      <w:r w:rsidRPr="00C27B22">
        <w:rPr>
          <w:rFonts w:ascii="Arial Narrow" w:hAnsi="Arial Narrow"/>
          <w:b/>
          <w:bCs/>
        </w:rPr>
        <w:t xml:space="preserve"> </w:t>
      </w:r>
      <w:r w:rsidR="00A32171" w:rsidRPr="00C27B22">
        <w:rPr>
          <w:rStyle w:val="Siln"/>
          <w:rFonts w:ascii="Arial Narrow" w:hAnsi="Arial Narrow" w:cs="Lucida Sans Unicode"/>
          <w:b w:val="0"/>
          <w:bdr w:val="none" w:sz="0" w:space="0" w:color="auto" w:frame="1"/>
          <w:shd w:val="clear" w:color="auto" w:fill="FFFFFF"/>
        </w:rPr>
        <w:t xml:space="preserve">(EÚ) </w:t>
      </w:r>
      <w:r w:rsidR="00A32171" w:rsidRPr="00C27B22">
        <w:rPr>
          <w:rStyle w:val="Siln"/>
          <w:rFonts w:ascii="Arial Narrow" w:hAnsi="Arial Narrow" w:cs="Lucida Sans Unicode"/>
          <w:b w:val="0"/>
          <w:u w:val="single"/>
          <w:bdr w:val="none" w:sz="0" w:space="0" w:color="auto" w:frame="1"/>
          <w:shd w:val="clear" w:color="auto" w:fill="FFFFFF"/>
        </w:rPr>
        <w:t>2015/2060</w:t>
      </w:r>
      <w:r w:rsidR="00A32171" w:rsidRPr="00C27B22">
        <w:rPr>
          <w:rStyle w:val="Siln"/>
          <w:rFonts w:ascii="Arial Narrow" w:hAnsi="Arial Narrow" w:cs="Lucida Sans Unicode"/>
          <w:b w:val="0"/>
          <w:bdr w:val="none" w:sz="0" w:space="0" w:color="auto" w:frame="1"/>
          <w:shd w:val="clear" w:color="auto" w:fill="FFFFFF"/>
        </w:rPr>
        <w:t xml:space="preserve"> z 10. novembra 2015, ktorou sa zrušuje smernica 2003/48/ES o zdaňovaní príjmu z úspor v podobe výplaty úrokov</w:t>
      </w:r>
      <w:r w:rsidR="00A32171" w:rsidRPr="00C27B22">
        <w:rPr>
          <w:rFonts w:ascii="Arial Narrow" w:hAnsi="Arial Narrow"/>
          <w:b/>
          <w:bCs/>
        </w:rPr>
        <w:t xml:space="preserve"> </w:t>
      </w:r>
      <w:r w:rsidRPr="00C27B22">
        <w:rPr>
          <w:rFonts w:ascii="Arial Narrow" w:hAnsi="Arial Narrow"/>
          <w:bCs/>
        </w:rPr>
        <w:t>(</w:t>
      </w:r>
      <w:r w:rsidRPr="00C27B22">
        <w:rPr>
          <w:rFonts w:ascii="Arial Narrow" w:hAnsi="Arial Narrow"/>
          <w:bCs/>
          <w:iCs/>
        </w:rPr>
        <w:t xml:space="preserve">Ú. v. EÚ L </w:t>
      </w:r>
      <w:r w:rsidR="00A32171" w:rsidRPr="00C27B22">
        <w:rPr>
          <w:rFonts w:ascii="Arial Narrow" w:hAnsi="Arial Narrow"/>
          <w:bCs/>
          <w:iCs/>
        </w:rPr>
        <w:t>30</w:t>
      </w:r>
      <w:r w:rsidRPr="00C27B22">
        <w:rPr>
          <w:rFonts w:ascii="Arial Narrow" w:hAnsi="Arial Narrow"/>
          <w:bCs/>
          <w:iCs/>
        </w:rPr>
        <w:t xml:space="preserve">1, </w:t>
      </w:r>
      <w:r w:rsidR="00A32171" w:rsidRPr="00C27B22">
        <w:rPr>
          <w:rFonts w:ascii="Arial Narrow" w:hAnsi="Arial Narrow"/>
          <w:bCs/>
          <w:iCs/>
        </w:rPr>
        <w:t>1</w:t>
      </w:r>
      <w:r w:rsidRPr="00C27B22">
        <w:rPr>
          <w:rFonts w:ascii="Arial Narrow" w:hAnsi="Arial Narrow"/>
          <w:bCs/>
          <w:iCs/>
        </w:rPr>
        <w:t>8.</w:t>
      </w:r>
      <w:r w:rsidR="00A32171" w:rsidRPr="00C27B22">
        <w:rPr>
          <w:rFonts w:ascii="Arial Narrow" w:hAnsi="Arial Narrow"/>
          <w:bCs/>
          <w:iCs/>
        </w:rPr>
        <w:t>1</w:t>
      </w:r>
      <w:r w:rsidRPr="00C27B22">
        <w:rPr>
          <w:rFonts w:ascii="Arial Narrow" w:hAnsi="Arial Narrow"/>
          <w:bCs/>
          <w:iCs/>
        </w:rPr>
        <w:t>1.2015),</w:t>
      </w:r>
      <w:r w:rsidR="0072658C" w:rsidRPr="00C27B22">
        <w:rPr>
          <w:rFonts w:ascii="Arial Narrow" w:hAnsi="Arial Narrow"/>
          <w:bCs/>
          <w:iCs/>
        </w:rPr>
        <w:t xml:space="preserve"> gestor: MF SR,</w:t>
      </w:r>
    </w:p>
    <w:p w:rsidR="0072658C" w:rsidRPr="00C27B22" w:rsidRDefault="00694D73" w:rsidP="0072658C">
      <w:pPr>
        <w:numPr>
          <w:ilvl w:val="0"/>
          <w:numId w:val="2"/>
        </w:numPr>
        <w:autoSpaceDE w:val="0"/>
        <w:autoSpaceDN w:val="0"/>
        <w:adjustRightInd w:val="0"/>
        <w:spacing w:before="120" w:after="120"/>
        <w:ind w:left="901" w:hanging="391"/>
        <w:jc w:val="both"/>
        <w:rPr>
          <w:rFonts w:ascii="Arial Narrow" w:hAnsi="Arial Narrow"/>
          <w:bCs/>
        </w:rPr>
      </w:pPr>
      <w:r w:rsidRPr="00C014FF">
        <w:rPr>
          <w:rFonts w:ascii="Arial Narrow" w:hAnsi="Arial Narrow"/>
          <w:bCs/>
          <w:iCs/>
        </w:rPr>
        <w:t xml:space="preserve">smernica </w:t>
      </w:r>
      <w:r w:rsidRPr="00C014FF">
        <w:rPr>
          <w:rFonts w:ascii="Arial Narrow" w:hAnsi="Arial Narrow"/>
          <w:bCs/>
        </w:rPr>
        <w:t xml:space="preserve">Rady </w:t>
      </w:r>
      <w:r w:rsidRPr="00C014FF">
        <w:rPr>
          <w:rFonts w:ascii="Arial Narrow" w:hAnsi="Arial Narrow"/>
          <w:bCs/>
          <w:u w:val="single"/>
        </w:rPr>
        <w:t>2011/96/EÚ</w:t>
      </w:r>
      <w:r w:rsidRPr="00C014FF">
        <w:rPr>
          <w:rFonts w:ascii="Arial Narrow" w:hAnsi="Arial Narrow"/>
          <w:bCs/>
        </w:rPr>
        <w:t xml:space="preserve"> z 30. novembra 2011 o spoločnom systéme zdaňovania uplatňovanom v prípade materských spoločností a dcérskych spoločností</w:t>
      </w:r>
      <w:r w:rsidR="00505243" w:rsidRPr="00C014FF">
        <w:rPr>
          <w:rFonts w:ascii="Arial Narrow" w:hAnsi="Arial Narrow"/>
          <w:bCs/>
        </w:rPr>
        <w:t xml:space="preserve"> v rozličných členských štátoch </w:t>
      </w:r>
      <w:r w:rsidRPr="00C014FF">
        <w:rPr>
          <w:rFonts w:ascii="Arial Narrow" w:hAnsi="Arial Narrow"/>
          <w:bCs/>
        </w:rPr>
        <w:t>(prepracované znenie) (</w:t>
      </w:r>
      <w:r w:rsidRPr="00C014FF">
        <w:rPr>
          <w:rStyle w:val="Zvraznenie"/>
          <w:rFonts w:ascii="Arial Narrow" w:hAnsi="Arial Narrow"/>
          <w:i w:val="0"/>
        </w:rPr>
        <w:t>Ú. v. EÚ L 345, 29.12.2011)</w:t>
      </w:r>
      <w:r w:rsidRPr="00C014FF">
        <w:rPr>
          <w:rFonts w:ascii="Arial Narrow" w:hAnsi="Arial Narrow"/>
        </w:rPr>
        <w:t xml:space="preserve"> v platnom znení</w:t>
      </w:r>
      <w:r w:rsidR="0072658C">
        <w:rPr>
          <w:rFonts w:ascii="Arial Narrow" w:hAnsi="Arial Narrow"/>
        </w:rPr>
        <w:t xml:space="preserve">, </w:t>
      </w:r>
      <w:r w:rsidR="0072658C" w:rsidRPr="00C27B22">
        <w:rPr>
          <w:rFonts w:ascii="Arial Narrow" w:hAnsi="Arial Narrow"/>
          <w:bCs/>
          <w:iCs/>
        </w:rPr>
        <w:t>gestor: MF SR,</w:t>
      </w:r>
    </w:p>
    <w:p w:rsidR="00C43377" w:rsidRPr="00C27B22" w:rsidRDefault="00C43377" w:rsidP="00C43377">
      <w:pPr>
        <w:numPr>
          <w:ilvl w:val="0"/>
          <w:numId w:val="2"/>
        </w:numPr>
        <w:autoSpaceDE w:val="0"/>
        <w:autoSpaceDN w:val="0"/>
        <w:adjustRightInd w:val="0"/>
        <w:spacing w:before="120"/>
        <w:ind w:left="901" w:hanging="391"/>
        <w:jc w:val="both"/>
        <w:rPr>
          <w:rFonts w:ascii="Arial Narrow" w:hAnsi="Arial Narrow"/>
          <w:bCs/>
        </w:rPr>
      </w:pPr>
      <w:r w:rsidRPr="00C27B22">
        <w:rPr>
          <w:rFonts w:ascii="Arial Narrow" w:hAnsi="Arial Narrow"/>
        </w:rPr>
        <w:t xml:space="preserve">smernica Rady </w:t>
      </w:r>
      <w:r w:rsidRPr="00C27B22">
        <w:rPr>
          <w:rFonts w:ascii="Arial Narrow" w:hAnsi="Arial Narrow"/>
          <w:u w:val="single"/>
        </w:rPr>
        <w:t>2009/133/ES</w:t>
      </w:r>
      <w:r w:rsidRPr="00C27B22">
        <w:rPr>
          <w:rFonts w:ascii="Arial Narrow" w:hAnsi="Arial Narrow"/>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(kodifikované znenie) (Ú. v. EÚ L 310, 25.11. 2009) v platnom znení, </w:t>
      </w:r>
      <w:r w:rsidRPr="00C27B22">
        <w:rPr>
          <w:rFonts w:ascii="Arial Narrow" w:hAnsi="Arial Narrow"/>
          <w:bCs/>
          <w:iCs/>
        </w:rPr>
        <w:t>gestor: MF SR,</w:t>
      </w:r>
    </w:p>
    <w:p w:rsidR="00C43377" w:rsidRPr="001F6356" w:rsidRDefault="00C43377" w:rsidP="001F6356">
      <w:pPr>
        <w:numPr>
          <w:ilvl w:val="0"/>
          <w:numId w:val="2"/>
        </w:numPr>
        <w:autoSpaceDE w:val="0"/>
        <w:autoSpaceDN w:val="0"/>
        <w:adjustRightInd w:val="0"/>
        <w:spacing w:before="120" w:after="120"/>
        <w:ind w:left="901" w:hanging="391"/>
        <w:jc w:val="both"/>
        <w:rPr>
          <w:rFonts w:ascii="Arial Narrow" w:hAnsi="Arial Narrow"/>
          <w:bCs/>
        </w:rPr>
      </w:pPr>
      <w:r w:rsidRPr="00C014FF">
        <w:rPr>
          <w:rFonts w:ascii="Arial Narrow" w:hAnsi="Arial Narrow"/>
        </w:rPr>
        <w:t xml:space="preserve">smernica Rady </w:t>
      </w:r>
      <w:r w:rsidRPr="00C014FF">
        <w:rPr>
          <w:rFonts w:ascii="Arial Narrow" w:hAnsi="Arial Narrow"/>
          <w:u w:val="single"/>
        </w:rPr>
        <w:t>2008/7/ES</w:t>
      </w:r>
      <w:r w:rsidRPr="00C014FF">
        <w:rPr>
          <w:rFonts w:ascii="Arial Narrow" w:hAnsi="Arial Narrow"/>
        </w:rPr>
        <w:t xml:space="preserve"> z 12. februára 2008 o nepriamych d</w:t>
      </w:r>
      <w:r>
        <w:rPr>
          <w:rFonts w:ascii="Arial Narrow" w:hAnsi="Arial Narrow"/>
        </w:rPr>
        <w:t>aniach z navyšovania kapitálu (</w:t>
      </w:r>
      <w:r w:rsidRPr="00C014FF">
        <w:rPr>
          <w:rFonts w:ascii="Arial Narrow" w:hAnsi="Arial Narrow"/>
        </w:rPr>
        <w:t>Ú. v. EÚ L 46, 21.2. 2008) v platnom znení</w:t>
      </w:r>
      <w:r w:rsidR="001F6356" w:rsidRPr="00C27B22">
        <w:rPr>
          <w:rFonts w:ascii="Arial Narrow" w:hAnsi="Arial Narrow"/>
        </w:rPr>
        <w:t xml:space="preserve">, </w:t>
      </w:r>
      <w:r w:rsidR="001F6356" w:rsidRPr="00C27B22">
        <w:rPr>
          <w:rFonts w:ascii="Arial Narrow" w:hAnsi="Arial Narrow"/>
          <w:bCs/>
          <w:iCs/>
        </w:rPr>
        <w:t>gestor: MF SR,</w:t>
      </w:r>
    </w:p>
    <w:p w:rsidR="00694D73" w:rsidRPr="00C014FF" w:rsidRDefault="00694D73" w:rsidP="00694D73">
      <w:pPr>
        <w:numPr>
          <w:ilvl w:val="0"/>
          <w:numId w:val="4"/>
        </w:numPr>
        <w:adjustRightInd w:val="0"/>
        <w:spacing w:after="120"/>
        <w:jc w:val="both"/>
        <w:rPr>
          <w:rFonts w:ascii="Arial Narrow" w:hAnsi="Arial Narrow"/>
        </w:rPr>
      </w:pPr>
      <w:r w:rsidRPr="00C014FF">
        <w:rPr>
          <w:rFonts w:ascii="Arial Narrow" w:hAnsi="Arial Narrow"/>
          <w:bCs/>
        </w:rPr>
        <w:t xml:space="preserve">smernica Rady </w:t>
      </w:r>
      <w:r w:rsidRPr="00C014FF">
        <w:rPr>
          <w:rFonts w:ascii="Arial Narrow" w:hAnsi="Arial Narrow"/>
          <w:bCs/>
          <w:u w:val="single"/>
        </w:rPr>
        <w:t>2003/49/ES</w:t>
      </w:r>
      <w:r w:rsidRPr="00C014FF">
        <w:rPr>
          <w:rFonts w:ascii="Arial Narrow" w:hAnsi="Arial Narrow"/>
          <w:bCs/>
        </w:rPr>
        <w:t xml:space="preserve"> z 3. júna 2003 o spoločnom systéme zdaňovania uplatňovanom na výplaty úrokov a licenčných poplatkov medzi združenými spoločnosťami rôznych členských štátov  </w:t>
      </w:r>
      <w:r w:rsidRPr="00C014FF">
        <w:rPr>
          <w:rFonts w:ascii="Arial Narrow" w:hAnsi="Arial Narrow"/>
          <w:snapToGrid w:val="0"/>
          <w:color w:val="000000"/>
        </w:rPr>
        <w:t>(</w:t>
      </w:r>
      <w:r w:rsidRPr="00C014FF">
        <w:rPr>
          <w:rFonts w:ascii="Arial Narrow" w:hAnsi="Arial Narrow"/>
        </w:rPr>
        <w:t xml:space="preserve">Mimoriadne vydanie </w:t>
      </w:r>
      <w:r w:rsidRPr="00C014FF">
        <w:rPr>
          <w:rFonts w:ascii="Arial Narrow" w:hAnsi="Arial Narrow"/>
          <w:snapToGrid w:val="0"/>
          <w:color w:val="000000"/>
        </w:rPr>
        <w:t>Ú.</w:t>
      </w:r>
      <w:r w:rsidR="001C57B2">
        <w:rPr>
          <w:rFonts w:ascii="Arial Narrow" w:hAnsi="Arial Narrow"/>
          <w:snapToGrid w:val="0"/>
          <w:color w:val="000000"/>
        </w:rPr>
        <w:t xml:space="preserve"> </w:t>
      </w:r>
      <w:r w:rsidRPr="00C014FF">
        <w:rPr>
          <w:rFonts w:ascii="Arial Narrow" w:hAnsi="Arial Narrow"/>
          <w:snapToGrid w:val="0"/>
          <w:color w:val="000000"/>
        </w:rPr>
        <w:t>v.</w:t>
      </w:r>
      <w:r w:rsidRPr="00C014FF">
        <w:rPr>
          <w:rFonts w:ascii="Arial Narrow" w:hAnsi="Arial Narrow"/>
          <w:i/>
          <w:iCs/>
          <w:snapToGrid w:val="0"/>
          <w:color w:val="000000"/>
        </w:rPr>
        <w:t xml:space="preserve"> </w:t>
      </w:r>
      <w:r w:rsidRPr="00C014FF">
        <w:rPr>
          <w:rFonts w:ascii="Arial Narrow" w:hAnsi="Arial Narrow"/>
        </w:rPr>
        <w:t>EÚ, kap. 9/ zv. 1</w:t>
      </w:r>
      <w:r w:rsidR="004054ED">
        <w:rPr>
          <w:rFonts w:ascii="Arial Narrow" w:hAnsi="Arial Narrow"/>
        </w:rPr>
        <w:t xml:space="preserve">, </w:t>
      </w:r>
      <w:r w:rsidR="004054ED" w:rsidRPr="004054ED">
        <w:rPr>
          <w:rFonts w:ascii="Arial Narrow" w:hAnsi="Arial Narrow" w:cs="Lucida Sans Unicode"/>
          <w:iCs/>
        </w:rPr>
        <w:t>Ú. v. EÚ L 157, 26.6.2003</w:t>
      </w:r>
      <w:r w:rsidR="00ED7A2C">
        <w:rPr>
          <w:rFonts w:ascii="Arial Narrow" w:hAnsi="Arial Narrow"/>
        </w:rPr>
        <w:t>) v platnom znení</w:t>
      </w:r>
      <w:r w:rsidR="00C27B22">
        <w:rPr>
          <w:rFonts w:ascii="Arial Narrow" w:hAnsi="Arial Narrow"/>
        </w:rPr>
        <w:t>,</w:t>
      </w:r>
      <w:r w:rsidR="00C27B22" w:rsidRPr="00C27B22">
        <w:rPr>
          <w:rFonts w:ascii="Arial Narrow" w:hAnsi="Arial Narrow"/>
          <w:bCs/>
          <w:iCs/>
        </w:rPr>
        <w:t xml:space="preserve"> gestor: MF SR</w:t>
      </w:r>
      <w:r w:rsidR="00ED7A2C">
        <w:rPr>
          <w:rFonts w:ascii="Arial Narrow" w:hAnsi="Arial Narrow"/>
        </w:rPr>
        <w:t>.</w:t>
      </w:r>
    </w:p>
    <w:p w:rsidR="00694D73" w:rsidRPr="00C014FF" w:rsidRDefault="00694D73" w:rsidP="00C43377">
      <w:pPr>
        <w:spacing w:before="150" w:after="150"/>
        <w:jc w:val="both"/>
        <w:rPr>
          <w:rFonts w:ascii="Arial Narrow" w:hAnsi="Arial Narrow"/>
        </w:rPr>
      </w:pPr>
    </w:p>
    <w:p w:rsidR="00694D73" w:rsidRPr="00C014FF" w:rsidRDefault="00694D73" w:rsidP="00694D73">
      <w:pPr>
        <w:numPr>
          <w:ilvl w:val="1"/>
          <w:numId w:val="1"/>
        </w:numPr>
        <w:spacing w:after="120"/>
        <w:rPr>
          <w:rFonts w:ascii="Arial Narrow" w:hAnsi="Arial Narrow"/>
          <w:lang w:eastAsia="cs-CZ"/>
        </w:rPr>
      </w:pPr>
      <w:r w:rsidRPr="00C014FF">
        <w:rPr>
          <w:rFonts w:ascii="Arial Narrow" w:hAnsi="Arial Narrow"/>
          <w:lang w:eastAsia="cs-CZ"/>
        </w:rPr>
        <w:t>je obsiahnutá v judikatúre Súdneho dvora Európskej únie:</w:t>
      </w:r>
    </w:p>
    <w:p w:rsidR="00C014FF" w:rsidRPr="00144C89" w:rsidRDefault="00C014FF" w:rsidP="00C014FF">
      <w:pPr>
        <w:numPr>
          <w:ilvl w:val="0"/>
          <w:numId w:val="8"/>
        </w:numPr>
        <w:spacing w:after="120"/>
        <w:jc w:val="both"/>
        <w:rPr>
          <w:rFonts w:ascii="Arial Narrow" w:hAnsi="Arial Narrow"/>
          <w:lang w:eastAsia="cs-CZ"/>
        </w:rPr>
      </w:pPr>
      <w:r w:rsidRPr="00144C89">
        <w:rPr>
          <w:rFonts w:ascii="Arial Narrow" w:hAnsi="Arial Narrow"/>
        </w:rPr>
        <w:t>rozhodnutie Súdneho dvora v s</w:t>
      </w:r>
      <w:r w:rsidRPr="00144C89">
        <w:rPr>
          <w:rFonts w:ascii="Arial Narrow" w:hAnsi="Arial Narrow"/>
          <w:bCs/>
        </w:rPr>
        <w:t>pojených veciach C</w:t>
      </w:r>
      <w:r w:rsidR="008148A4">
        <w:rPr>
          <w:rFonts w:ascii="Arial Narrow" w:hAnsi="Arial Narrow"/>
          <w:bCs/>
        </w:rPr>
        <w:t xml:space="preserve"> </w:t>
      </w:r>
      <w:r w:rsidRPr="00144C89">
        <w:rPr>
          <w:rFonts w:ascii="Arial Narrow" w:hAnsi="Arial Narrow"/>
          <w:bCs/>
        </w:rPr>
        <w:t>-</w:t>
      </w:r>
      <w:r w:rsidR="008148A4">
        <w:rPr>
          <w:rFonts w:ascii="Arial Narrow" w:hAnsi="Arial Narrow"/>
          <w:bCs/>
        </w:rPr>
        <w:t xml:space="preserve"> </w:t>
      </w:r>
      <w:r w:rsidRPr="00144C89">
        <w:rPr>
          <w:rFonts w:ascii="Arial Narrow" w:hAnsi="Arial Narrow"/>
          <w:bCs/>
        </w:rPr>
        <w:t>53/13 a</w:t>
      </w:r>
      <w:r w:rsidR="008148A4">
        <w:rPr>
          <w:rFonts w:ascii="Arial Narrow" w:hAnsi="Arial Narrow"/>
          <w:bCs/>
        </w:rPr>
        <w:t> </w:t>
      </w:r>
      <w:r w:rsidRPr="00144C89">
        <w:rPr>
          <w:rFonts w:ascii="Arial Narrow" w:hAnsi="Arial Narrow"/>
          <w:bCs/>
        </w:rPr>
        <w:t>C</w:t>
      </w:r>
      <w:r w:rsidR="008148A4">
        <w:rPr>
          <w:rFonts w:ascii="Arial Narrow" w:hAnsi="Arial Narrow"/>
          <w:bCs/>
        </w:rPr>
        <w:t xml:space="preserve"> </w:t>
      </w:r>
      <w:r w:rsidRPr="00144C89">
        <w:rPr>
          <w:rFonts w:ascii="Arial Narrow" w:hAnsi="Arial Narrow"/>
          <w:bCs/>
        </w:rPr>
        <w:t>-</w:t>
      </w:r>
      <w:r w:rsidR="008148A4">
        <w:rPr>
          <w:rFonts w:ascii="Arial Narrow" w:hAnsi="Arial Narrow"/>
          <w:bCs/>
        </w:rPr>
        <w:t xml:space="preserve"> </w:t>
      </w:r>
      <w:r w:rsidRPr="00144C89">
        <w:rPr>
          <w:rFonts w:ascii="Arial Narrow" w:hAnsi="Arial Narrow"/>
          <w:bCs/>
        </w:rPr>
        <w:t>80/13</w:t>
      </w:r>
      <w:r w:rsidRPr="00144C89">
        <w:rPr>
          <w:rFonts w:ascii="Arial Narrow" w:hAnsi="Arial Narrow"/>
        </w:rPr>
        <w:t xml:space="preserve">, </w:t>
      </w:r>
      <w:r w:rsidRPr="00144C89">
        <w:rPr>
          <w:rFonts w:ascii="Arial Narrow" w:hAnsi="Arial Narrow"/>
          <w:bCs/>
        </w:rPr>
        <w:t>Strojírny Prostějov a.s., ACO Industries Tábor proti Odvolacímu finančnímu ředitelství, [</w:t>
      </w:r>
      <w:r w:rsidR="00B95C3B" w:rsidRPr="00144C89">
        <w:rPr>
          <w:rFonts w:ascii="Arial Narrow" w:hAnsi="Arial Narrow"/>
          <w:bCs/>
        </w:rPr>
        <w:t>2014</w:t>
      </w:r>
      <w:r w:rsidRPr="00144C89">
        <w:rPr>
          <w:rFonts w:ascii="Arial Narrow" w:hAnsi="Arial Narrow"/>
          <w:bCs/>
        </w:rPr>
        <w:t>].</w:t>
      </w:r>
    </w:p>
    <w:p w:rsidR="00FF716E" w:rsidRPr="00972AFF" w:rsidRDefault="00FF716E" w:rsidP="00FF716E">
      <w:pPr>
        <w:spacing w:after="120"/>
        <w:ind w:left="870"/>
        <w:jc w:val="both"/>
        <w:rPr>
          <w:rFonts w:ascii="Arial Narrow" w:hAnsi="Arial Narrow"/>
          <w:bCs/>
        </w:rPr>
      </w:pPr>
      <w:r w:rsidRPr="00972AFF">
        <w:rPr>
          <w:rFonts w:ascii="Arial Narrow" w:hAnsi="Arial Narrow"/>
          <w:bCs/>
        </w:rPr>
        <w:t>Výrok rozhodnutia:</w:t>
      </w:r>
    </w:p>
    <w:p w:rsidR="00FF716E" w:rsidRPr="00972AFF" w:rsidRDefault="00FF716E" w:rsidP="00FF716E">
      <w:pPr>
        <w:spacing w:after="120"/>
        <w:ind w:left="870"/>
        <w:jc w:val="both"/>
        <w:rPr>
          <w:rFonts w:ascii="Arial Narrow" w:hAnsi="Arial Narrow"/>
          <w:bCs/>
        </w:rPr>
      </w:pPr>
      <w:r w:rsidRPr="00972AFF">
        <w:rPr>
          <w:rFonts w:ascii="Arial Narrow" w:hAnsi="Arial Narrow"/>
          <w:bCs/>
        </w:rPr>
        <w:lastRenderedPageBreak/>
        <w:t>Článok 56 ZFEÚ bráni právnej úprave, o akú ide vo veci samej, podľa ktorej spoločnosti usadené v prvom členskom štáte, ktoré využívajú pracovníkov zamestnaných a pridelených agentúrami dočasného zamestnávania usadenými v druhom členskom štáte, ale podnikajú v prvom členskom štáte prostredníctvom pobočky, sú povinné vykonať zrážku preddavku na daň z príjmov splatnú uvedenými pracovníkmi a uhradiť ju prvému uvedenému členskému štátu, hoci tú istú povinnosť nemajú spoločnosti usadené v prvom členskom štáte, ktoré využívajú služby agentúr dočasného zamestnávania, ktoré sú usadené v tom istom členskom štáte.</w:t>
      </w:r>
    </w:p>
    <w:p w:rsidR="00144C89" w:rsidRPr="00972AFF" w:rsidRDefault="00144C89" w:rsidP="00FF716E">
      <w:pPr>
        <w:spacing w:after="120"/>
        <w:ind w:left="870"/>
        <w:jc w:val="both"/>
        <w:rPr>
          <w:rFonts w:ascii="Arial Narrow" w:hAnsi="Arial Narrow"/>
          <w:lang w:eastAsia="cs-CZ"/>
        </w:rPr>
      </w:pPr>
    </w:p>
    <w:p w:rsidR="00FF716E" w:rsidRPr="00972AFF" w:rsidRDefault="00FF716E" w:rsidP="00FF716E">
      <w:pPr>
        <w:numPr>
          <w:ilvl w:val="0"/>
          <w:numId w:val="8"/>
        </w:numPr>
        <w:spacing w:after="120"/>
        <w:jc w:val="both"/>
        <w:rPr>
          <w:rFonts w:ascii="Arial Narrow" w:hAnsi="Arial Narrow"/>
          <w:lang w:eastAsia="cs-CZ"/>
        </w:rPr>
      </w:pPr>
      <w:r w:rsidRPr="00972AFF">
        <w:rPr>
          <w:rFonts w:ascii="Arial Narrow" w:hAnsi="Arial Narrow"/>
        </w:rPr>
        <w:t xml:space="preserve">rozhodnutie Súdneho dvora vo veci </w:t>
      </w:r>
      <w:r w:rsidRPr="00972AFF">
        <w:rPr>
          <w:rFonts w:ascii="Arial Narrow" w:hAnsi="Arial Narrow"/>
          <w:bCs/>
        </w:rPr>
        <w:t>C - 650/16, A/S Bevola, Jens W. Trock ApS proti Skatteministeriet</w:t>
      </w:r>
      <w:r w:rsidR="00144C89" w:rsidRPr="00972AFF">
        <w:rPr>
          <w:rFonts w:ascii="Arial Narrow" w:hAnsi="Arial Narrow"/>
          <w:bCs/>
        </w:rPr>
        <w:t>,</w:t>
      </w:r>
      <w:r w:rsidRPr="00972AFF">
        <w:rPr>
          <w:rFonts w:ascii="Arial Narrow" w:hAnsi="Arial Narrow"/>
          <w:bCs/>
        </w:rPr>
        <w:t xml:space="preserve"> [2018].</w:t>
      </w:r>
    </w:p>
    <w:p w:rsidR="00FF716E" w:rsidRPr="00972AFF" w:rsidRDefault="00FF716E" w:rsidP="00FF716E">
      <w:pPr>
        <w:pStyle w:val="Odsekzoznamu"/>
        <w:spacing w:after="120"/>
        <w:ind w:left="870"/>
        <w:jc w:val="both"/>
        <w:rPr>
          <w:rFonts w:ascii="Arial Narrow" w:hAnsi="Arial Narrow"/>
          <w:bCs/>
          <w:sz w:val="24"/>
          <w:szCs w:val="24"/>
        </w:rPr>
      </w:pPr>
      <w:r w:rsidRPr="00972AFF">
        <w:rPr>
          <w:rFonts w:ascii="Arial Narrow" w:hAnsi="Arial Narrow"/>
          <w:bCs/>
          <w:sz w:val="24"/>
          <w:szCs w:val="24"/>
        </w:rPr>
        <w:t>Výrok rozhodnutia:</w:t>
      </w:r>
    </w:p>
    <w:p w:rsidR="00FF716E" w:rsidRPr="00972AFF" w:rsidRDefault="00FF716E" w:rsidP="00FF716E">
      <w:pPr>
        <w:spacing w:after="120"/>
        <w:ind w:left="870"/>
        <w:jc w:val="both"/>
        <w:rPr>
          <w:rFonts w:ascii="Arial Narrow" w:hAnsi="Arial Narrow"/>
          <w:bCs/>
        </w:rPr>
      </w:pPr>
      <w:r w:rsidRPr="00972AFF">
        <w:rPr>
          <w:rFonts w:ascii="Arial Narrow" w:hAnsi="Arial Narrow"/>
          <w:bCs/>
        </w:rPr>
        <w:t>Článok 49 ZFEÚ sa má vykladať v tom zmysle, že bráni právnej úprave členského štátu, ktorá vylučuje možnosť spoločnosti rezidenta, ktorá si nezvolila režim medzinárodného spoločného zdaňovania, ako je ten vo veci samej, odpočítať straty, ktoré vznikli jej stálej prevádzkarni nachádzajúcej sa v inom členskom štáte, od svojho zdaniteľného príjmu, napriek tomu, že jednak táto spoločnosť vyčerpala všetky možnosti odpočítania týchto strát, ktoré jej poskytuje právo členského štátu, v ktorom sa daná prevádzkareň nachádza, a jednak prestala dostávať od tejto prevádzkarne akýkoľvek príjem, takže už neexistuje žiadna možnosť, aby dané straty mohli byť zohľadnené v členskom štáte sídla prevádzkarne, čo prináleží overiť vnútroštátnemu súdu.</w:t>
      </w:r>
    </w:p>
    <w:p w:rsidR="00144C89" w:rsidRPr="00972AFF" w:rsidRDefault="00144C89" w:rsidP="00FF716E">
      <w:pPr>
        <w:spacing w:after="120"/>
        <w:ind w:left="870"/>
        <w:jc w:val="both"/>
        <w:rPr>
          <w:rFonts w:ascii="Arial Narrow" w:hAnsi="Arial Narrow"/>
          <w:bCs/>
        </w:rPr>
      </w:pPr>
    </w:p>
    <w:p w:rsidR="00144C89" w:rsidRPr="00972AFF" w:rsidRDefault="00144C89" w:rsidP="00144C89">
      <w:pPr>
        <w:numPr>
          <w:ilvl w:val="0"/>
          <w:numId w:val="8"/>
        </w:numPr>
        <w:spacing w:after="120"/>
        <w:jc w:val="both"/>
        <w:rPr>
          <w:rFonts w:ascii="Arial Narrow" w:hAnsi="Arial Narrow"/>
          <w:lang w:eastAsia="cs-CZ"/>
        </w:rPr>
      </w:pPr>
      <w:r w:rsidRPr="00972AFF">
        <w:rPr>
          <w:rFonts w:ascii="Arial Narrow" w:hAnsi="Arial Narrow"/>
        </w:rPr>
        <w:t>rozhodnutie Súdneho dvora v s</w:t>
      </w:r>
      <w:r w:rsidRPr="00972AFF">
        <w:rPr>
          <w:rFonts w:ascii="Arial Narrow" w:hAnsi="Arial Narrow"/>
          <w:bCs/>
        </w:rPr>
        <w:t xml:space="preserve">pojených veciach </w:t>
      </w:r>
      <w:r w:rsidRPr="00972AFF">
        <w:rPr>
          <w:rFonts w:ascii="Arial Narrow" w:hAnsi="Arial Narrow"/>
        </w:rPr>
        <w:t>C</w:t>
      </w:r>
      <w:r w:rsidR="00F916FE" w:rsidRPr="00972AFF">
        <w:rPr>
          <w:rFonts w:ascii="Arial Narrow" w:hAnsi="Arial Narrow"/>
        </w:rPr>
        <w:t xml:space="preserve"> </w:t>
      </w:r>
      <w:r w:rsidRPr="00972AFF">
        <w:rPr>
          <w:rFonts w:ascii="Arial Narrow" w:hAnsi="Arial Narrow"/>
        </w:rPr>
        <w:noBreakHyphen/>
      </w:r>
      <w:r w:rsidR="00F916FE" w:rsidRPr="00972AFF">
        <w:rPr>
          <w:rFonts w:ascii="Arial Narrow" w:hAnsi="Arial Narrow"/>
        </w:rPr>
        <w:t xml:space="preserve"> </w:t>
      </w:r>
      <w:r w:rsidRPr="00972AFF">
        <w:rPr>
          <w:rFonts w:ascii="Arial Narrow" w:hAnsi="Arial Narrow"/>
        </w:rPr>
        <w:t>398/16 a</w:t>
      </w:r>
      <w:r w:rsidR="00F916FE" w:rsidRPr="00972AFF">
        <w:rPr>
          <w:rFonts w:ascii="Arial Narrow" w:hAnsi="Arial Narrow"/>
        </w:rPr>
        <w:t> </w:t>
      </w:r>
      <w:r w:rsidRPr="00972AFF">
        <w:rPr>
          <w:rFonts w:ascii="Arial Narrow" w:hAnsi="Arial Narrow"/>
        </w:rPr>
        <w:t>C</w:t>
      </w:r>
      <w:r w:rsidR="00F916FE" w:rsidRPr="00972AFF">
        <w:rPr>
          <w:rFonts w:ascii="Arial Narrow" w:hAnsi="Arial Narrow"/>
        </w:rPr>
        <w:t xml:space="preserve"> </w:t>
      </w:r>
      <w:r w:rsidRPr="00972AFF">
        <w:rPr>
          <w:rFonts w:ascii="Arial Narrow" w:hAnsi="Arial Narrow"/>
        </w:rPr>
        <w:noBreakHyphen/>
      </w:r>
      <w:r w:rsidR="00F916FE" w:rsidRPr="00972AFF">
        <w:rPr>
          <w:rFonts w:ascii="Arial Narrow" w:hAnsi="Arial Narrow"/>
        </w:rPr>
        <w:t xml:space="preserve"> </w:t>
      </w:r>
      <w:r w:rsidRPr="00972AFF">
        <w:rPr>
          <w:rFonts w:ascii="Arial Narrow" w:hAnsi="Arial Narrow"/>
        </w:rPr>
        <w:t xml:space="preserve">399/16, </w:t>
      </w:r>
      <w:r w:rsidRPr="00972AFF">
        <w:rPr>
          <w:rFonts w:ascii="Arial Narrow" w:hAnsi="Arial Narrow"/>
          <w:bCs/>
        </w:rPr>
        <w:t>X BV, X NV proti Staatssecretaris van Financiën, [2018].</w:t>
      </w:r>
    </w:p>
    <w:p w:rsidR="00144C89" w:rsidRPr="00972AFF" w:rsidRDefault="00144C89" w:rsidP="00144C89">
      <w:pPr>
        <w:pStyle w:val="Odsekzoznamu"/>
        <w:spacing w:after="120"/>
        <w:ind w:left="870"/>
        <w:jc w:val="both"/>
        <w:rPr>
          <w:rFonts w:ascii="Arial Narrow" w:hAnsi="Arial Narrow"/>
          <w:bCs/>
          <w:sz w:val="24"/>
          <w:szCs w:val="24"/>
        </w:rPr>
      </w:pPr>
      <w:r w:rsidRPr="00972AFF">
        <w:rPr>
          <w:rFonts w:ascii="Arial Narrow" w:hAnsi="Arial Narrow"/>
          <w:bCs/>
          <w:sz w:val="24"/>
          <w:szCs w:val="24"/>
        </w:rPr>
        <w:t>Výrok rozhodnutia:</w:t>
      </w:r>
    </w:p>
    <w:p w:rsidR="00144C89" w:rsidRPr="00972AFF" w:rsidRDefault="00144C89" w:rsidP="00144C89">
      <w:pPr>
        <w:pStyle w:val="c08dispositif"/>
        <w:ind w:left="851" w:firstLine="0"/>
        <w:rPr>
          <w:rFonts w:ascii="Arial Narrow" w:hAnsi="Arial Narrow"/>
          <w:b w:val="0"/>
        </w:rPr>
      </w:pPr>
      <w:r w:rsidRPr="00972AFF">
        <w:rPr>
          <w:rFonts w:ascii="Arial Narrow" w:hAnsi="Arial Narrow"/>
          <w:b w:val="0"/>
        </w:rPr>
        <w:t>1.Články 49 a 54 ZFEÚ sa majú vykladať v tom zmysle, že bránia takej vnútroštátnej právnej úprave, o akú ide vo veci samej, podľa ktorej materská spoločnosť usadená v členskom štáte nemôže odpočítať úroky z úveru poskytnutého spriaznenou spoločnosťou s cieľom financovania kapitálového vkladu do dcérskej spoločnosti usadenej v inom členskom štáte, hoci, keby bola dcérska spoločnosť usadená v tom istom členskom štáte, materská spoločnosť by mohla mať nárok na toto odpočítanie tak, že by s ňou vytvorila integrovanú daňovú jednotku.</w:t>
      </w:r>
    </w:p>
    <w:p w:rsidR="00144C89" w:rsidRPr="00972AFF" w:rsidRDefault="00144C89" w:rsidP="00144C89">
      <w:pPr>
        <w:pStyle w:val="c08dispositif"/>
        <w:ind w:left="851" w:firstLine="0"/>
        <w:rPr>
          <w:rFonts w:ascii="Arial Narrow" w:hAnsi="Arial Narrow"/>
          <w:b w:val="0"/>
        </w:rPr>
      </w:pPr>
      <w:r w:rsidRPr="00972AFF">
        <w:rPr>
          <w:rFonts w:ascii="Arial Narrow" w:hAnsi="Arial Narrow"/>
          <w:b w:val="0"/>
        </w:rPr>
        <w:t>2.Články 49 a 54 ZFEÚ sa majú vykladať v tom zmysle, že nebránia takej vnútroštátnej právnej úprave, o akú ide vo veci samej, podľa ktorej materská spoločnosť usadená v členskom štáte nie je oprávnená odpočítať od svojho celkového zisku stratu vyplývajúcu zo zmeny výmenného kurzu, v súvislosti s hodnotou jej podielov v dcérskej spoločnosti usadenej v inom členskom štáte, keď podľa tejto istej právnej úpravy nepodlieha dani symetricky zisk vyplývajúci z týchto zmien.</w:t>
      </w:r>
    </w:p>
    <w:p w:rsidR="00144C89" w:rsidRPr="00972AFF" w:rsidRDefault="00144C89" w:rsidP="00144C89">
      <w:pPr>
        <w:pStyle w:val="Odsekzoznamu"/>
        <w:spacing w:after="120"/>
        <w:ind w:left="870"/>
        <w:jc w:val="both"/>
        <w:rPr>
          <w:rFonts w:ascii="Arial Narrow" w:hAnsi="Arial Narrow"/>
          <w:bCs/>
          <w:sz w:val="24"/>
          <w:szCs w:val="24"/>
        </w:rPr>
      </w:pPr>
    </w:p>
    <w:p w:rsidR="00694D73" w:rsidRPr="00C014FF" w:rsidRDefault="00694D73" w:rsidP="00694D73">
      <w:pPr>
        <w:numPr>
          <w:ilvl w:val="0"/>
          <w:numId w:val="1"/>
        </w:numPr>
        <w:spacing w:after="120"/>
        <w:jc w:val="both"/>
        <w:rPr>
          <w:rFonts w:ascii="Arial Narrow" w:hAnsi="Arial Narrow"/>
          <w:b/>
          <w:bCs/>
        </w:rPr>
      </w:pPr>
      <w:r w:rsidRPr="00C014FF">
        <w:rPr>
          <w:rFonts w:ascii="Arial Narrow" w:hAnsi="Arial Narrow"/>
          <w:b/>
          <w:bCs/>
        </w:rPr>
        <w:t>Záväzky Slovenskej republiky vo vzťahu k Európskej únii:</w:t>
      </w:r>
    </w:p>
    <w:p w:rsidR="00221A53" w:rsidRPr="00972AFF" w:rsidRDefault="00221A53" w:rsidP="00221A53">
      <w:pPr>
        <w:numPr>
          <w:ilvl w:val="0"/>
          <w:numId w:val="9"/>
        </w:numPr>
        <w:tabs>
          <w:tab w:val="clear" w:pos="720"/>
          <w:tab w:val="left" w:pos="425"/>
        </w:tabs>
        <w:spacing w:after="120"/>
        <w:ind w:left="425" w:hanging="425"/>
        <w:jc w:val="both"/>
        <w:rPr>
          <w:rFonts w:ascii="Arial Narrow" w:hAnsi="Arial Narrow"/>
          <w:lang w:eastAsia="cs-CZ"/>
        </w:rPr>
      </w:pPr>
      <w:r w:rsidRPr="0072658C">
        <w:rPr>
          <w:rFonts w:ascii="Arial Narrow" w:hAnsi="Arial Narrow"/>
          <w:lang w:eastAsia="cs-CZ"/>
        </w:rPr>
        <w:t xml:space="preserve">Lehota na prebratie smernice (EÚ) 2017/952 bola stanovená do 31.12.2019 okrem </w:t>
      </w:r>
      <w:r w:rsidRPr="00972AFF">
        <w:rPr>
          <w:rFonts w:ascii="Arial Narrow" w:hAnsi="Arial Narrow"/>
          <w:lang w:eastAsia="cs-CZ"/>
        </w:rPr>
        <w:t xml:space="preserve">čl. </w:t>
      </w:r>
      <w:r w:rsidR="001334BD" w:rsidRPr="00972AFF">
        <w:rPr>
          <w:rFonts w:ascii="Arial Narrow" w:hAnsi="Arial Narrow"/>
          <w:lang w:eastAsia="cs-CZ"/>
        </w:rPr>
        <w:t>2 ods. 3</w:t>
      </w:r>
      <w:r w:rsidRPr="00972AFF">
        <w:rPr>
          <w:rFonts w:ascii="Arial Narrow" w:hAnsi="Arial Narrow"/>
          <w:lang w:eastAsia="cs-CZ"/>
        </w:rPr>
        <w:t xml:space="preserve">, u ktorého je lehota na prebratie stanovená do 31.12.2021. </w:t>
      </w:r>
      <w:r w:rsidR="004F68DB" w:rsidRPr="00972AFF">
        <w:rPr>
          <w:rFonts w:ascii="Arial Narrow" w:hAnsi="Arial Narrow"/>
          <w:lang w:eastAsia="cs-CZ"/>
        </w:rPr>
        <w:t xml:space="preserve">Lehota na prebratie smernice </w:t>
      </w:r>
      <w:r w:rsidR="004F68DB" w:rsidRPr="00972AFF">
        <w:rPr>
          <w:rFonts w:ascii="Arial Narrow" w:hAnsi="Arial Narrow"/>
          <w:bCs/>
        </w:rPr>
        <w:t>2009/133/ES ne</w:t>
      </w:r>
      <w:r w:rsidR="004F68DB" w:rsidRPr="00972AFF">
        <w:rPr>
          <w:rFonts w:ascii="Arial Narrow" w:hAnsi="Arial Narrow"/>
          <w:lang w:eastAsia="cs-CZ"/>
        </w:rPr>
        <w:t>bola stanovená</w:t>
      </w:r>
      <w:r w:rsidR="00092075" w:rsidRPr="00972AFF">
        <w:rPr>
          <w:rFonts w:ascii="Arial Narrow" w:hAnsi="Arial Narrow"/>
          <w:lang w:eastAsia="cs-CZ"/>
        </w:rPr>
        <w:t>, vzhľadom na to, že sa jedná o konsolidované znenie</w:t>
      </w:r>
      <w:r w:rsidR="004F68DB" w:rsidRPr="00972AFF">
        <w:rPr>
          <w:rFonts w:ascii="Arial Narrow" w:hAnsi="Arial Narrow"/>
          <w:lang w:eastAsia="cs-CZ"/>
        </w:rPr>
        <w:t xml:space="preserve">. </w:t>
      </w:r>
    </w:p>
    <w:p w:rsidR="00694D73" w:rsidRDefault="00694D73" w:rsidP="00DA5EC5">
      <w:pPr>
        <w:numPr>
          <w:ilvl w:val="0"/>
          <w:numId w:val="9"/>
        </w:numPr>
        <w:tabs>
          <w:tab w:val="clear" w:pos="720"/>
          <w:tab w:val="left" w:pos="425"/>
        </w:tabs>
        <w:spacing w:after="120"/>
        <w:ind w:left="425" w:hanging="425"/>
        <w:jc w:val="both"/>
        <w:rPr>
          <w:rFonts w:ascii="Arial Narrow" w:hAnsi="Arial Narrow"/>
          <w:lang w:eastAsia="cs-CZ"/>
        </w:rPr>
      </w:pPr>
      <w:r w:rsidRPr="00DA5EC5">
        <w:rPr>
          <w:rFonts w:ascii="Arial Narrow" w:hAnsi="Arial Narrow"/>
          <w:lang w:eastAsia="cs-CZ"/>
        </w:rPr>
        <w:t xml:space="preserve">Proti SR </w:t>
      </w:r>
      <w:r w:rsidRPr="00972AFF">
        <w:rPr>
          <w:rFonts w:ascii="Arial Narrow" w:hAnsi="Arial Narrow"/>
          <w:lang w:eastAsia="cs-CZ"/>
        </w:rPr>
        <w:t xml:space="preserve">nebolo </w:t>
      </w:r>
      <w:r w:rsidR="0072658C" w:rsidRPr="00972AFF">
        <w:rPr>
          <w:rFonts w:ascii="Arial Narrow" w:hAnsi="Arial Narrow"/>
        </w:rPr>
        <w:t>začaté konanie v rámci „EÚ Pilot“, ani nebol začatý postup EK ako aj nebolo</w:t>
      </w:r>
      <w:r w:rsidR="0072658C" w:rsidRPr="0072658C">
        <w:t xml:space="preserve"> </w:t>
      </w:r>
      <w:r w:rsidRPr="0072658C">
        <w:rPr>
          <w:rFonts w:ascii="Arial Narrow" w:hAnsi="Arial Narrow"/>
          <w:lang w:eastAsia="cs-CZ"/>
        </w:rPr>
        <w:t>začaté konanie o porušení Zmluvy</w:t>
      </w:r>
      <w:r w:rsidRPr="00DA5EC5">
        <w:rPr>
          <w:rFonts w:ascii="Arial Narrow" w:hAnsi="Arial Narrow"/>
          <w:lang w:eastAsia="cs-CZ"/>
        </w:rPr>
        <w:t xml:space="preserve"> o fungovaní Európskej únie podľa čl. 258 až 260.</w:t>
      </w:r>
    </w:p>
    <w:p w:rsidR="00730D76" w:rsidRDefault="00730D76" w:rsidP="00730D76">
      <w:pPr>
        <w:numPr>
          <w:ilvl w:val="0"/>
          <w:numId w:val="9"/>
        </w:numPr>
        <w:tabs>
          <w:tab w:val="clear" w:pos="720"/>
          <w:tab w:val="left" w:pos="425"/>
        </w:tabs>
        <w:spacing w:after="120"/>
        <w:ind w:left="425" w:hanging="425"/>
        <w:jc w:val="both"/>
        <w:rPr>
          <w:rFonts w:ascii="Arial Narrow" w:hAnsi="Arial Narrow"/>
          <w:lang w:eastAsia="cs-CZ"/>
        </w:rPr>
      </w:pPr>
      <w:r w:rsidRPr="00972AFF">
        <w:rPr>
          <w:rFonts w:ascii="Arial Narrow" w:hAnsi="Arial Narrow"/>
          <w:lang w:eastAsia="cs-CZ"/>
        </w:rPr>
        <w:t xml:space="preserve">Smernica </w:t>
      </w:r>
      <w:r w:rsidR="004F68DB" w:rsidRPr="00972AFF">
        <w:rPr>
          <w:rFonts w:ascii="Arial Narrow" w:hAnsi="Arial Narrow"/>
        </w:rPr>
        <w:t>2009/133/ES</w:t>
      </w:r>
      <w:r w:rsidR="004F68DB" w:rsidRPr="00972AFF">
        <w:rPr>
          <w:rFonts w:ascii="Arial Narrow" w:hAnsi="Arial Narrow"/>
          <w:lang w:eastAsia="cs-CZ"/>
        </w:rPr>
        <w:t xml:space="preserve"> </w:t>
      </w:r>
      <w:r w:rsidRPr="00972AFF">
        <w:rPr>
          <w:rFonts w:ascii="Arial Narrow" w:hAnsi="Arial Narrow"/>
          <w:lang w:eastAsia="cs-CZ"/>
        </w:rPr>
        <w:t xml:space="preserve">bola prebratá do zákona č. </w:t>
      </w:r>
      <w:r w:rsidRPr="00972AFF">
        <w:rPr>
          <w:rFonts w:ascii="Arial Narrow" w:hAnsi="Arial Narrow"/>
        </w:rPr>
        <w:t>595/2003 Z. z. o dani z príjmov v znení neskorších predpisov.</w:t>
      </w:r>
    </w:p>
    <w:p w:rsidR="008B4F9C" w:rsidRPr="00972AFF" w:rsidRDefault="008B4F9C" w:rsidP="00A71699">
      <w:pPr>
        <w:tabs>
          <w:tab w:val="left" w:pos="425"/>
        </w:tabs>
        <w:spacing w:after="120"/>
        <w:ind w:left="425"/>
        <w:jc w:val="both"/>
        <w:rPr>
          <w:rFonts w:ascii="Arial Narrow" w:hAnsi="Arial Narrow"/>
          <w:lang w:eastAsia="cs-CZ"/>
        </w:rPr>
      </w:pPr>
      <w:r>
        <w:rPr>
          <w:rFonts w:ascii="Arial Narrow" w:hAnsi="Arial Narrow"/>
          <w:lang w:eastAsia="cs-CZ"/>
        </w:rPr>
        <w:t>S</w:t>
      </w:r>
      <w:r w:rsidRPr="008B4F9C">
        <w:rPr>
          <w:rFonts w:ascii="Arial Narrow" w:hAnsi="Arial Narrow"/>
          <w:lang w:eastAsia="cs-CZ"/>
        </w:rPr>
        <w:t xml:space="preserve">mernica Rady 2003/49/ES </w:t>
      </w:r>
      <w:r>
        <w:rPr>
          <w:rFonts w:ascii="Arial Narrow" w:hAnsi="Arial Narrow"/>
          <w:lang w:eastAsia="cs-CZ"/>
        </w:rPr>
        <w:t>bola prebratá do zákona č. 595/2003 Z. z. o dani z príjmov v znení neskorších predpisov.</w:t>
      </w:r>
    </w:p>
    <w:p w:rsidR="00694D73" w:rsidRDefault="00A71699" w:rsidP="00A71699">
      <w:pPr>
        <w:tabs>
          <w:tab w:val="left" w:pos="425"/>
        </w:tabs>
        <w:ind w:left="426"/>
        <w:jc w:val="both"/>
        <w:rPr>
          <w:rFonts w:ascii="Arial Narrow" w:hAnsi="Arial Narrow"/>
          <w:lang w:eastAsia="cs-CZ"/>
        </w:rPr>
      </w:pPr>
      <w:r>
        <w:rPr>
          <w:rFonts w:ascii="Arial Narrow" w:hAnsi="Arial Narrow"/>
          <w:lang w:eastAsia="cs-CZ"/>
        </w:rPr>
        <w:t>S</w:t>
      </w:r>
      <w:r w:rsidRPr="00A71699">
        <w:rPr>
          <w:rFonts w:ascii="Arial Narrow" w:hAnsi="Arial Narrow"/>
          <w:lang w:eastAsia="cs-CZ"/>
        </w:rPr>
        <w:t xml:space="preserve">mernica Rady 2011/96/EÚ </w:t>
      </w:r>
      <w:r>
        <w:rPr>
          <w:rFonts w:ascii="Arial Narrow" w:hAnsi="Arial Narrow"/>
          <w:lang w:eastAsia="cs-CZ"/>
        </w:rPr>
        <w:t>bola prebratá do zákona č. 595/2003 Z. z. o dani z príjmov  v znení neskorších predpisov.</w:t>
      </w:r>
    </w:p>
    <w:p w:rsidR="00A71699" w:rsidRPr="00C014FF" w:rsidRDefault="00A71699" w:rsidP="00A71699">
      <w:pPr>
        <w:tabs>
          <w:tab w:val="left" w:pos="425"/>
        </w:tabs>
        <w:ind w:left="426"/>
        <w:jc w:val="both"/>
        <w:rPr>
          <w:rFonts w:ascii="Arial Narrow" w:hAnsi="Arial Narrow"/>
          <w:lang w:eastAsia="cs-CZ"/>
        </w:rPr>
      </w:pPr>
    </w:p>
    <w:p w:rsidR="00694D73" w:rsidRPr="00972AFF" w:rsidRDefault="008148A4" w:rsidP="00694D73">
      <w:pPr>
        <w:numPr>
          <w:ilvl w:val="0"/>
          <w:numId w:val="1"/>
        </w:numPr>
        <w:spacing w:after="120"/>
        <w:jc w:val="both"/>
        <w:rPr>
          <w:rFonts w:ascii="Arial Narrow" w:hAnsi="Arial Narrow"/>
          <w:b/>
          <w:bCs/>
        </w:rPr>
      </w:pPr>
      <w:r w:rsidRPr="00972AFF">
        <w:rPr>
          <w:rFonts w:ascii="Arial Narrow" w:hAnsi="Arial Narrow"/>
          <w:b/>
          <w:bCs/>
        </w:rPr>
        <w:t xml:space="preserve">Návrh zákona je </w:t>
      </w:r>
      <w:r w:rsidR="00694D73" w:rsidRPr="00972AFF">
        <w:rPr>
          <w:rFonts w:ascii="Arial Narrow" w:hAnsi="Arial Narrow"/>
          <w:b/>
          <w:bCs/>
        </w:rPr>
        <w:t>zlučiteľn</w:t>
      </w:r>
      <w:r w:rsidRPr="00972AFF">
        <w:rPr>
          <w:rFonts w:ascii="Arial Narrow" w:hAnsi="Arial Narrow"/>
          <w:b/>
          <w:bCs/>
        </w:rPr>
        <w:t>ý</w:t>
      </w:r>
      <w:r w:rsidR="00694D73" w:rsidRPr="00972AFF">
        <w:rPr>
          <w:rFonts w:ascii="Arial Narrow" w:hAnsi="Arial Narrow"/>
          <w:b/>
          <w:bCs/>
        </w:rPr>
        <w:t xml:space="preserve"> s právom Európskej únie:</w:t>
      </w:r>
    </w:p>
    <w:p w:rsidR="00694D73" w:rsidRPr="00C014FF" w:rsidRDefault="00292E05" w:rsidP="00292E05">
      <w:pPr>
        <w:spacing w:after="120"/>
        <w:ind w:left="425"/>
        <w:jc w:val="both"/>
        <w:rPr>
          <w:rFonts w:ascii="Arial Narrow" w:hAnsi="Arial Narrow"/>
        </w:rPr>
      </w:pPr>
      <w:r w:rsidRPr="00972AFF">
        <w:rPr>
          <w:rFonts w:ascii="Arial Narrow" w:hAnsi="Arial Narrow"/>
        </w:rPr>
        <w:t>Úpln</w:t>
      </w:r>
      <w:r w:rsidR="008148A4" w:rsidRPr="00972AFF">
        <w:rPr>
          <w:rFonts w:ascii="Arial Narrow" w:hAnsi="Arial Narrow"/>
        </w:rPr>
        <w:t>e</w:t>
      </w:r>
      <w:r w:rsidRPr="00972AFF">
        <w:rPr>
          <w:rFonts w:ascii="Arial Narrow" w:hAnsi="Arial Narrow"/>
        </w:rPr>
        <w:t>.</w:t>
      </w:r>
    </w:p>
    <w:sectPr w:rsidR="00694D73" w:rsidRPr="00C014FF"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532" w:rsidRDefault="00171532" w:rsidP="001D1B41">
      <w:r>
        <w:separator/>
      </w:r>
    </w:p>
  </w:endnote>
  <w:endnote w:type="continuationSeparator" w:id="0">
    <w:p w:rsidR="00171532" w:rsidRDefault="00171532" w:rsidP="001D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Segoe UI">
    <w:altName w:val="Arial"/>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41" w:rsidRDefault="001D1B41">
    <w:pPr>
      <w:pStyle w:val="Pta"/>
      <w:jc w:val="center"/>
    </w:pPr>
    <w:r>
      <w:fldChar w:fldCharType="begin"/>
    </w:r>
    <w:r>
      <w:instrText>PAGE   \* MERGEFORMAT</w:instrText>
    </w:r>
    <w:r>
      <w:fldChar w:fldCharType="separate"/>
    </w:r>
    <w:r w:rsidR="00B74D88">
      <w:rPr>
        <w:noProof/>
      </w:rPr>
      <w:t>1</w:t>
    </w:r>
    <w:r>
      <w:fldChar w:fldCharType="end"/>
    </w:r>
  </w:p>
  <w:p w:rsidR="001D1B41" w:rsidRDefault="001D1B4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532" w:rsidRDefault="00171532" w:rsidP="001D1B41">
      <w:r>
        <w:separator/>
      </w:r>
    </w:p>
  </w:footnote>
  <w:footnote w:type="continuationSeparator" w:id="0">
    <w:p w:rsidR="00171532" w:rsidRDefault="00171532" w:rsidP="001D1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abstractNum w:abstractNumId="0" w15:restartNumberingAfterBreak="0">
    <w:nsid w:val="01A40FCF"/>
    <w:multiLevelType w:val="hybridMultilevel"/>
    <w:tmpl w:val="78608D7E"/>
    <w:lvl w:ilvl="0" w:tplc="590A2B94">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4777D3C"/>
    <w:multiLevelType w:val="hybridMultilevel"/>
    <w:tmpl w:val="7ACA33B0"/>
    <w:lvl w:ilvl="0" w:tplc="AE6C0D66">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2E701E"/>
    <w:multiLevelType w:val="hybridMultilevel"/>
    <w:tmpl w:val="D7E27D60"/>
    <w:lvl w:ilvl="0" w:tplc="B240BA3A">
      <w:start w:val="6"/>
      <w:numFmt w:val="bullet"/>
      <w:lvlText w:val="-"/>
      <w:lvlJc w:val="left"/>
      <w:pPr>
        <w:ind w:left="1506" w:hanging="360"/>
      </w:pPr>
      <w:rPr>
        <w:rFonts w:ascii="Times New Roman" w:eastAsia="Times New Roman" w:hAnsi="Times New Roman"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 w15:restartNumberingAfterBreak="0">
    <w:nsid w:val="171359D3"/>
    <w:multiLevelType w:val="hybridMultilevel"/>
    <w:tmpl w:val="EF64801E"/>
    <w:lvl w:ilvl="0" w:tplc="8C3683F0">
      <w:start w:val="1"/>
      <w:numFmt w:val="lowerLetter"/>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6D4C49"/>
    <w:multiLevelType w:val="hybridMultilevel"/>
    <w:tmpl w:val="8658866E"/>
    <w:lvl w:ilvl="0" w:tplc="402A0E40">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F850B32"/>
    <w:multiLevelType w:val="hybridMultilevel"/>
    <w:tmpl w:val="586A431C"/>
    <w:lvl w:ilvl="0" w:tplc="559C96E6">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4437644"/>
    <w:multiLevelType w:val="hybridMultilevel"/>
    <w:tmpl w:val="B4BC25C6"/>
    <w:lvl w:ilvl="0" w:tplc="85EACA9E">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ADE45D2"/>
    <w:multiLevelType w:val="hybridMultilevel"/>
    <w:tmpl w:val="B0789A54"/>
    <w:lvl w:ilvl="0" w:tplc="2126106C">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C9B77D4"/>
    <w:multiLevelType w:val="multilevel"/>
    <w:tmpl w:val="B9268C54"/>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9"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EC612B4"/>
    <w:multiLevelType w:val="hybridMultilevel"/>
    <w:tmpl w:val="62ACBE8A"/>
    <w:lvl w:ilvl="0" w:tplc="93468D40">
      <w:start w:val="1"/>
      <w:numFmt w:val="decimal"/>
      <w:lvlText w:val="%1."/>
      <w:lvlJc w:val="left"/>
      <w:pPr>
        <w:ind w:left="786" w:hanging="360"/>
      </w:pPr>
      <w:rPr>
        <w:rFonts w:cs="Arial Narrow"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1" w15:restartNumberingAfterBreak="0">
    <w:nsid w:val="63DC34B7"/>
    <w:multiLevelType w:val="hybridMultilevel"/>
    <w:tmpl w:val="2C80850C"/>
    <w:lvl w:ilvl="0" w:tplc="0CF68C0C">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1"/>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C1F1209"/>
    <w:multiLevelType w:val="hybridMultilevel"/>
    <w:tmpl w:val="5DBC93BC"/>
    <w:lvl w:ilvl="0" w:tplc="1CD211DA">
      <w:numFmt w:val="bullet"/>
      <w:lvlText w:val="-"/>
      <w:lvlJc w:val="left"/>
      <w:pPr>
        <w:ind w:left="785" w:hanging="360"/>
      </w:pPr>
      <w:rPr>
        <w:rFonts w:ascii="Arial Narrow" w:eastAsia="Times New Roman" w:hAnsi="Arial Narrow" w:hint="default"/>
      </w:rPr>
    </w:lvl>
    <w:lvl w:ilvl="1" w:tplc="041B0003" w:tentative="1">
      <w:start w:val="1"/>
      <w:numFmt w:val="bullet"/>
      <w:lvlText w:val="o"/>
      <w:lvlJc w:val="left"/>
      <w:pPr>
        <w:ind w:left="1505" w:hanging="360"/>
      </w:pPr>
      <w:rPr>
        <w:rFonts w:ascii="Courier New" w:hAnsi="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5" w15:restartNumberingAfterBreak="0">
    <w:nsid w:val="7E6C4485"/>
    <w:multiLevelType w:val="hybridMultilevel"/>
    <w:tmpl w:val="45ECE314"/>
    <w:lvl w:ilvl="0" w:tplc="CCCEB200">
      <w:start w:val="6"/>
      <w:numFmt w:val="bullet"/>
      <w:lvlText w:val="-"/>
      <w:lvlJc w:val="left"/>
      <w:pPr>
        <w:ind w:left="1292" w:hanging="360"/>
      </w:pPr>
      <w:rPr>
        <w:rFonts w:ascii="Times New Roman" w:eastAsia="Times New Roman" w:hAnsi="Times New Roman" w:hint="default"/>
      </w:rPr>
    </w:lvl>
    <w:lvl w:ilvl="1" w:tplc="041B0003" w:tentative="1">
      <w:start w:val="1"/>
      <w:numFmt w:val="bullet"/>
      <w:lvlText w:val="o"/>
      <w:lvlJc w:val="left"/>
      <w:pPr>
        <w:ind w:left="2012" w:hanging="360"/>
      </w:pPr>
      <w:rPr>
        <w:rFonts w:ascii="Courier New" w:hAnsi="Courier New" w:hint="default"/>
      </w:rPr>
    </w:lvl>
    <w:lvl w:ilvl="2" w:tplc="041B0005" w:tentative="1">
      <w:start w:val="1"/>
      <w:numFmt w:val="bullet"/>
      <w:lvlText w:val=""/>
      <w:lvlJc w:val="left"/>
      <w:pPr>
        <w:ind w:left="2732" w:hanging="360"/>
      </w:pPr>
      <w:rPr>
        <w:rFonts w:ascii="Wingdings" w:hAnsi="Wingdings" w:hint="default"/>
      </w:rPr>
    </w:lvl>
    <w:lvl w:ilvl="3" w:tplc="041B0001" w:tentative="1">
      <w:start w:val="1"/>
      <w:numFmt w:val="bullet"/>
      <w:lvlText w:val=""/>
      <w:lvlJc w:val="left"/>
      <w:pPr>
        <w:ind w:left="3452" w:hanging="360"/>
      </w:pPr>
      <w:rPr>
        <w:rFonts w:ascii="Symbol" w:hAnsi="Symbol" w:hint="default"/>
      </w:rPr>
    </w:lvl>
    <w:lvl w:ilvl="4" w:tplc="041B0003" w:tentative="1">
      <w:start w:val="1"/>
      <w:numFmt w:val="bullet"/>
      <w:lvlText w:val="o"/>
      <w:lvlJc w:val="left"/>
      <w:pPr>
        <w:ind w:left="4172" w:hanging="360"/>
      </w:pPr>
      <w:rPr>
        <w:rFonts w:ascii="Courier New" w:hAnsi="Courier New" w:hint="default"/>
      </w:rPr>
    </w:lvl>
    <w:lvl w:ilvl="5" w:tplc="041B0005" w:tentative="1">
      <w:start w:val="1"/>
      <w:numFmt w:val="bullet"/>
      <w:lvlText w:val=""/>
      <w:lvlJc w:val="left"/>
      <w:pPr>
        <w:ind w:left="4892" w:hanging="360"/>
      </w:pPr>
      <w:rPr>
        <w:rFonts w:ascii="Wingdings" w:hAnsi="Wingdings" w:hint="default"/>
      </w:rPr>
    </w:lvl>
    <w:lvl w:ilvl="6" w:tplc="041B0001" w:tentative="1">
      <w:start w:val="1"/>
      <w:numFmt w:val="bullet"/>
      <w:lvlText w:val=""/>
      <w:lvlJc w:val="left"/>
      <w:pPr>
        <w:ind w:left="5612" w:hanging="360"/>
      </w:pPr>
      <w:rPr>
        <w:rFonts w:ascii="Symbol" w:hAnsi="Symbol" w:hint="default"/>
      </w:rPr>
    </w:lvl>
    <w:lvl w:ilvl="7" w:tplc="041B0003" w:tentative="1">
      <w:start w:val="1"/>
      <w:numFmt w:val="bullet"/>
      <w:lvlText w:val="o"/>
      <w:lvlJc w:val="left"/>
      <w:pPr>
        <w:ind w:left="6332" w:hanging="360"/>
      </w:pPr>
      <w:rPr>
        <w:rFonts w:ascii="Courier New" w:hAnsi="Courier New" w:hint="default"/>
      </w:rPr>
    </w:lvl>
    <w:lvl w:ilvl="8" w:tplc="041B0005" w:tentative="1">
      <w:start w:val="1"/>
      <w:numFmt w:val="bullet"/>
      <w:lvlText w:val=""/>
      <w:lvlJc w:val="left"/>
      <w:pPr>
        <w:ind w:left="7052" w:hanging="360"/>
      </w:pPr>
      <w:rPr>
        <w:rFonts w:ascii="Wingdings" w:hAnsi="Wingdings" w:hint="default"/>
      </w:rPr>
    </w:lvl>
  </w:abstractNum>
  <w:num w:numId="1">
    <w:abstractNumId w:val="8"/>
  </w:num>
  <w:num w:numId="2">
    <w:abstractNumId w:val="12"/>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9"/>
  </w:num>
  <w:num w:numId="10">
    <w:abstractNumId w:val="13"/>
  </w:num>
  <w:num w:numId="11">
    <w:abstractNumId w:val="10"/>
  </w:num>
  <w:num w:numId="12">
    <w:abstractNumId w:val="15"/>
  </w:num>
  <w:num w:numId="13">
    <w:abstractNumId w:val="1"/>
  </w:num>
  <w:num w:numId="14">
    <w:abstractNumId w:val="3"/>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D73"/>
    <w:rsid w:val="00021B3E"/>
    <w:rsid w:val="00092075"/>
    <w:rsid w:val="00097D68"/>
    <w:rsid w:val="000A70B6"/>
    <w:rsid w:val="000B2423"/>
    <w:rsid w:val="000C03E2"/>
    <w:rsid w:val="000C516E"/>
    <w:rsid w:val="000D27C6"/>
    <w:rsid w:val="000D3AAE"/>
    <w:rsid w:val="000E3604"/>
    <w:rsid w:val="0010580A"/>
    <w:rsid w:val="001334BD"/>
    <w:rsid w:val="00144C89"/>
    <w:rsid w:val="00146758"/>
    <w:rsid w:val="001601B2"/>
    <w:rsid w:val="00165B39"/>
    <w:rsid w:val="00171532"/>
    <w:rsid w:val="001735E0"/>
    <w:rsid w:val="0019118F"/>
    <w:rsid w:val="001A6940"/>
    <w:rsid w:val="001B10A0"/>
    <w:rsid w:val="001C57B2"/>
    <w:rsid w:val="001C78C6"/>
    <w:rsid w:val="001D1B41"/>
    <w:rsid w:val="001F2143"/>
    <w:rsid w:val="001F6356"/>
    <w:rsid w:val="002208A5"/>
    <w:rsid w:val="00221A53"/>
    <w:rsid w:val="00235664"/>
    <w:rsid w:val="0023672A"/>
    <w:rsid w:val="00280ABA"/>
    <w:rsid w:val="002812AE"/>
    <w:rsid w:val="0029164C"/>
    <w:rsid w:val="00292E05"/>
    <w:rsid w:val="002A17E8"/>
    <w:rsid w:val="002A78A1"/>
    <w:rsid w:val="002B038C"/>
    <w:rsid w:val="002F6CCA"/>
    <w:rsid w:val="003336DA"/>
    <w:rsid w:val="003A25D7"/>
    <w:rsid w:val="003E626D"/>
    <w:rsid w:val="003E642E"/>
    <w:rsid w:val="004054ED"/>
    <w:rsid w:val="0042415D"/>
    <w:rsid w:val="00443037"/>
    <w:rsid w:val="00446586"/>
    <w:rsid w:val="00463ED8"/>
    <w:rsid w:val="0047006F"/>
    <w:rsid w:val="004E69E3"/>
    <w:rsid w:val="004F68DB"/>
    <w:rsid w:val="004F6C08"/>
    <w:rsid w:val="00505243"/>
    <w:rsid w:val="005700F4"/>
    <w:rsid w:val="005705E5"/>
    <w:rsid w:val="00583AD8"/>
    <w:rsid w:val="00591562"/>
    <w:rsid w:val="005E27DF"/>
    <w:rsid w:val="006149A3"/>
    <w:rsid w:val="00625479"/>
    <w:rsid w:val="006667AD"/>
    <w:rsid w:val="006829DB"/>
    <w:rsid w:val="00683898"/>
    <w:rsid w:val="00694D73"/>
    <w:rsid w:val="006A19E6"/>
    <w:rsid w:val="0072658C"/>
    <w:rsid w:val="00730D76"/>
    <w:rsid w:val="00775010"/>
    <w:rsid w:val="007821E3"/>
    <w:rsid w:val="007B5712"/>
    <w:rsid w:val="007D2CF1"/>
    <w:rsid w:val="00805AED"/>
    <w:rsid w:val="008148A4"/>
    <w:rsid w:val="0083692F"/>
    <w:rsid w:val="00842403"/>
    <w:rsid w:val="00855FD0"/>
    <w:rsid w:val="008853EA"/>
    <w:rsid w:val="008932E4"/>
    <w:rsid w:val="008A3100"/>
    <w:rsid w:val="008A74C0"/>
    <w:rsid w:val="008B4F9C"/>
    <w:rsid w:val="008C1617"/>
    <w:rsid w:val="008D3DC1"/>
    <w:rsid w:val="008E5550"/>
    <w:rsid w:val="0090192A"/>
    <w:rsid w:val="00905DA9"/>
    <w:rsid w:val="0094607B"/>
    <w:rsid w:val="009566B5"/>
    <w:rsid w:val="00972AFF"/>
    <w:rsid w:val="009D6FB3"/>
    <w:rsid w:val="009F3A3D"/>
    <w:rsid w:val="00A27D34"/>
    <w:rsid w:val="00A32171"/>
    <w:rsid w:val="00A43743"/>
    <w:rsid w:val="00A460CC"/>
    <w:rsid w:val="00A71699"/>
    <w:rsid w:val="00A8025E"/>
    <w:rsid w:val="00A81B0F"/>
    <w:rsid w:val="00A867F4"/>
    <w:rsid w:val="00A87DCC"/>
    <w:rsid w:val="00A953BF"/>
    <w:rsid w:val="00AA3429"/>
    <w:rsid w:val="00AE3787"/>
    <w:rsid w:val="00B008CC"/>
    <w:rsid w:val="00B052E3"/>
    <w:rsid w:val="00B42142"/>
    <w:rsid w:val="00B53E7E"/>
    <w:rsid w:val="00B6421F"/>
    <w:rsid w:val="00B673A4"/>
    <w:rsid w:val="00B74D88"/>
    <w:rsid w:val="00B95C3B"/>
    <w:rsid w:val="00C014FF"/>
    <w:rsid w:val="00C27B22"/>
    <w:rsid w:val="00C43377"/>
    <w:rsid w:val="00CE0B9B"/>
    <w:rsid w:val="00D23C43"/>
    <w:rsid w:val="00D3362A"/>
    <w:rsid w:val="00D542A9"/>
    <w:rsid w:val="00D734A4"/>
    <w:rsid w:val="00D80451"/>
    <w:rsid w:val="00D8056B"/>
    <w:rsid w:val="00D8580A"/>
    <w:rsid w:val="00D85A6B"/>
    <w:rsid w:val="00DA5EC5"/>
    <w:rsid w:val="00DC1955"/>
    <w:rsid w:val="00DE00C3"/>
    <w:rsid w:val="00DE2BEC"/>
    <w:rsid w:val="00DE6D63"/>
    <w:rsid w:val="00E302F8"/>
    <w:rsid w:val="00E422E9"/>
    <w:rsid w:val="00E70D9F"/>
    <w:rsid w:val="00E71495"/>
    <w:rsid w:val="00E75801"/>
    <w:rsid w:val="00E93A58"/>
    <w:rsid w:val="00E96FD5"/>
    <w:rsid w:val="00EA6F3F"/>
    <w:rsid w:val="00EC4CFB"/>
    <w:rsid w:val="00ED7A2C"/>
    <w:rsid w:val="00F07AFA"/>
    <w:rsid w:val="00F318F7"/>
    <w:rsid w:val="00F35CCC"/>
    <w:rsid w:val="00F67148"/>
    <w:rsid w:val="00F7762E"/>
    <w:rsid w:val="00F916FE"/>
    <w:rsid w:val="00FB0A8C"/>
    <w:rsid w:val="00FF4DFB"/>
    <w:rsid w:val="00FF71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835DE6-F569-4CDB-BA30-83246604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4D73"/>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99"/>
    <w:qFormat/>
    <w:rsid w:val="00694D73"/>
    <w:pPr>
      <w:spacing w:after="200" w:line="276" w:lineRule="auto"/>
      <w:ind w:left="720"/>
      <w:contextualSpacing/>
    </w:pPr>
    <w:rPr>
      <w:rFonts w:ascii="Calibri" w:hAnsi="Calibri"/>
      <w:sz w:val="22"/>
      <w:szCs w:val="22"/>
      <w:lang w:eastAsia="en-US"/>
    </w:rPr>
  </w:style>
  <w:style w:type="paragraph" w:styleId="Zkladntext2">
    <w:name w:val="Body Text 2"/>
    <w:basedOn w:val="Normlny"/>
    <w:link w:val="Zkladntext2Char"/>
    <w:uiPriority w:val="99"/>
    <w:rsid w:val="00694D73"/>
    <w:pPr>
      <w:spacing w:after="120" w:line="480" w:lineRule="auto"/>
    </w:pPr>
  </w:style>
  <w:style w:type="character" w:customStyle="1" w:styleId="Zkladntext2Char">
    <w:name w:val="Základný text 2 Char"/>
    <w:basedOn w:val="Predvolenpsmoodseku"/>
    <w:link w:val="Zkladntext2"/>
    <w:uiPriority w:val="99"/>
    <w:locked/>
    <w:rsid w:val="00694D73"/>
    <w:rPr>
      <w:rFonts w:ascii="Times New Roman" w:hAnsi="Times New Roman" w:cs="Times New Roman"/>
      <w:sz w:val="24"/>
      <w:szCs w:val="24"/>
      <w:lang w:val="x-none" w:eastAsia="sk-SK"/>
    </w:rPr>
  </w:style>
  <w:style w:type="paragraph" w:styleId="Zarkazkladnhotextu">
    <w:name w:val="Body Text Indent"/>
    <w:basedOn w:val="Normlny"/>
    <w:link w:val="ZarkazkladnhotextuChar"/>
    <w:uiPriority w:val="99"/>
    <w:rsid w:val="00694D73"/>
    <w:pPr>
      <w:spacing w:after="120"/>
      <w:ind w:left="283"/>
    </w:pPr>
  </w:style>
  <w:style w:type="character" w:customStyle="1" w:styleId="ZarkazkladnhotextuChar">
    <w:name w:val="Zarážka základného textu Char"/>
    <w:basedOn w:val="Predvolenpsmoodseku"/>
    <w:link w:val="Zarkazkladnhotextu"/>
    <w:uiPriority w:val="99"/>
    <w:locked/>
    <w:rsid w:val="00694D73"/>
    <w:rPr>
      <w:rFonts w:ascii="Times New Roman" w:hAnsi="Times New Roman" w:cs="Times New Roman"/>
      <w:sz w:val="24"/>
      <w:szCs w:val="24"/>
      <w:lang w:val="x-none" w:eastAsia="sk-SK"/>
    </w:rPr>
  </w:style>
  <w:style w:type="character" w:styleId="Zvraznenie">
    <w:name w:val="Emphasis"/>
    <w:basedOn w:val="Predvolenpsmoodseku"/>
    <w:uiPriority w:val="20"/>
    <w:qFormat/>
    <w:rsid w:val="00694D73"/>
    <w:rPr>
      <w:rFonts w:cs="Times New Roman"/>
      <w:i/>
    </w:rPr>
  </w:style>
  <w:style w:type="character" w:customStyle="1" w:styleId="OdsekzoznamuChar">
    <w:name w:val="Odsek zoznamu Char"/>
    <w:link w:val="Odsekzoznamu"/>
    <w:uiPriority w:val="99"/>
    <w:locked/>
    <w:rsid w:val="00694D73"/>
    <w:rPr>
      <w:rFonts w:ascii="Calibri" w:hAnsi="Calibri"/>
      <w:sz w:val="22"/>
    </w:rPr>
  </w:style>
  <w:style w:type="paragraph" w:customStyle="1" w:styleId="Default">
    <w:name w:val="Default"/>
    <w:basedOn w:val="Normlny"/>
    <w:rsid w:val="00694D73"/>
    <w:pPr>
      <w:autoSpaceDE w:val="0"/>
      <w:autoSpaceDN w:val="0"/>
    </w:pPr>
    <w:rPr>
      <w:rFonts w:ascii="Arial" w:hAnsi="Arial" w:cs="Arial"/>
      <w:color w:val="000000"/>
    </w:rPr>
  </w:style>
  <w:style w:type="character" w:styleId="Siln">
    <w:name w:val="Strong"/>
    <w:basedOn w:val="Predvolenpsmoodseku"/>
    <w:uiPriority w:val="22"/>
    <w:qFormat/>
    <w:rsid w:val="00A32171"/>
    <w:rPr>
      <w:rFonts w:cs="Times New Roman"/>
      <w:b/>
      <w:bCs/>
    </w:rPr>
  </w:style>
  <w:style w:type="paragraph" w:styleId="Hlavika">
    <w:name w:val="header"/>
    <w:basedOn w:val="Normlny"/>
    <w:link w:val="HlavikaChar"/>
    <w:uiPriority w:val="99"/>
    <w:rsid w:val="001D1B41"/>
    <w:pPr>
      <w:tabs>
        <w:tab w:val="center" w:pos="4536"/>
        <w:tab w:val="right" w:pos="9072"/>
      </w:tabs>
    </w:pPr>
  </w:style>
  <w:style w:type="character" w:customStyle="1" w:styleId="HlavikaChar">
    <w:name w:val="Hlavička Char"/>
    <w:basedOn w:val="Predvolenpsmoodseku"/>
    <w:link w:val="Hlavika"/>
    <w:uiPriority w:val="99"/>
    <w:locked/>
    <w:rsid w:val="001D1B41"/>
    <w:rPr>
      <w:rFonts w:ascii="Times New Roman" w:hAnsi="Times New Roman" w:cs="Times New Roman"/>
      <w:sz w:val="24"/>
      <w:szCs w:val="24"/>
      <w:lang w:val="x-none" w:eastAsia="sk-SK"/>
    </w:rPr>
  </w:style>
  <w:style w:type="paragraph" w:styleId="Pta">
    <w:name w:val="footer"/>
    <w:basedOn w:val="Normlny"/>
    <w:link w:val="PtaChar"/>
    <w:uiPriority w:val="99"/>
    <w:rsid w:val="001D1B41"/>
    <w:pPr>
      <w:tabs>
        <w:tab w:val="center" w:pos="4536"/>
        <w:tab w:val="right" w:pos="9072"/>
      </w:tabs>
    </w:pPr>
  </w:style>
  <w:style w:type="character" w:customStyle="1" w:styleId="PtaChar">
    <w:name w:val="Päta Char"/>
    <w:basedOn w:val="Predvolenpsmoodseku"/>
    <w:link w:val="Pta"/>
    <w:uiPriority w:val="99"/>
    <w:locked/>
    <w:rsid w:val="001D1B41"/>
    <w:rPr>
      <w:rFonts w:ascii="Times New Roman" w:hAnsi="Times New Roman" w:cs="Times New Roman"/>
      <w:sz w:val="24"/>
      <w:szCs w:val="24"/>
      <w:lang w:val="x-none" w:eastAsia="sk-SK"/>
    </w:rPr>
  </w:style>
  <w:style w:type="paragraph" w:styleId="Textbubliny">
    <w:name w:val="Balloon Text"/>
    <w:basedOn w:val="Normlny"/>
    <w:link w:val="TextbublinyChar"/>
    <w:uiPriority w:val="99"/>
    <w:rsid w:val="00E75801"/>
    <w:rPr>
      <w:rFonts w:ascii="Segoe UI" w:hAnsi="Segoe UI" w:cs="Segoe UI"/>
      <w:sz w:val="18"/>
      <w:szCs w:val="18"/>
    </w:rPr>
  </w:style>
  <w:style w:type="character" w:customStyle="1" w:styleId="TextbublinyChar">
    <w:name w:val="Text bubliny Char"/>
    <w:basedOn w:val="Predvolenpsmoodseku"/>
    <w:link w:val="Textbubliny"/>
    <w:uiPriority w:val="99"/>
    <w:locked/>
    <w:rsid w:val="00E75801"/>
    <w:rPr>
      <w:rFonts w:ascii="Segoe UI" w:hAnsi="Segoe UI" w:cs="Segoe UI"/>
      <w:sz w:val="18"/>
      <w:szCs w:val="18"/>
      <w:lang w:val="x-none" w:eastAsia="sk-SK"/>
    </w:rPr>
  </w:style>
  <w:style w:type="paragraph" w:customStyle="1" w:styleId="c08dispositif">
    <w:name w:val="c08dispositif"/>
    <w:basedOn w:val="Normlny"/>
    <w:rsid w:val="00144C89"/>
    <w:pPr>
      <w:spacing w:before="100" w:beforeAutospacing="1" w:after="240"/>
      <w:ind w:left="1134" w:hanging="567"/>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34491">
      <w:marLeft w:val="0"/>
      <w:marRight w:val="0"/>
      <w:marTop w:val="0"/>
      <w:marBottom w:val="0"/>
      <w:divBdr>
        <w:top w:val="none" w:sz="0" w:space="0" w:color="auto"/>
        <w:left w:val="none" w:sz="0" w:space="0" w:color="auto"/>
        <w:bottom w:val="none" w:sz="0" w:space="0" w:color="auto"/>
        <w:right w:val="none" w:sz="0" w:space="0" w:color="auto"/>
      </w:divBdr>
      <w:divsChild>
        <w:div w:id="649134490">
          <w:marLeft w:val="0"/>
          <w:marRight w:val="0"/>
          <w:marTop w:val="0"/>
          <w:marBottom w:val="0"/>
          <w:divBdr>
            <w:top w:val="none" w:sz="0" w:space="0" w:color="auto"/>
            <w:left w:val="none" w:sz="0" w:space="0" w:color="auto"/>
            <w:bottom w:val="none" w:sz="0" w:space="0" w:color="auto"/>
            <w:right w:val="none" w:sz="0" w:space="0" w:color="auto"/>
          </w:divBdr>
          <w:divsChild>
            <w:div w:id="649134492">
              <w:marLeft w:val="0"/>
              <w:marRight w:val="0"/>
              <w:marTop w:val="0"/>
              <w:marBottom w:val="0"/>
              <w:divBdr>
                <w:top w:val="none" w:sz="0" w:space="0" w:color="auto"/>
                <w:left w:val="none" w:sz="0" w:space="0" w:color="auto"/>
                <w:bottom w:val="none" w:sz="0" w:space="0" w:color="auto"/>
                <w:right w:val="none" w:sz="0" w:space="0" w:color="auto"/>
              </w:divBdr>
              <w:divsChild>
                <w:div w:id="649134494">
                  <w:marLeft w:val="0"/>
                  <w:marRight w:val="0"/>
                  <w:marTop w:val="0"/>
                  <w:marBottom w:val="0"/>
                  <w:divBdr>
                    <w:top w:val="none" w:sz="0" w:space="0" w:color="auto"/>
                    <w:left w:val="none" w:sz="0" w:space="0" w:color="auto"/>
                    <w:bottom w:val="none" w:sz="0" w:space="0" w:color="auto"/>
                    <w:right w:val="none" w:sz="0" w:space="0" w:color="auto"/>
                  </w:divBdr>
                  <w:divsChild>
                    <w:div w:id="6491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4986</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dc:description/>
  <cp:lastModifiedBy>Murinova Maria</cp:lastModifiedBy>
  <cp:revision>2</cp:revision>
  <cp:lastPrinted>2019-04-25T06:42:00Z</cp:lastPrinted>
  <dcterms:created xsi:type="dcterms:W3CDTF">2019-05-21T14:07:00Z</dcterms:created>
  <dcterms:modified xsi:type="dcterms:W3CDTF">2019-05-21T14:07:00Z</dcterms:modified>
</cp:coreProperties>
</file>