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938"/>
        <w:gridCol w:w="5299"/>
        <w:gridCol w:w="709"/>
        <w:gridCol w:w="850"/>
        <w:gridCol w:w="702"/>
        <w:gridCol w:w="5110"/>
        <w:gridCol w:w="709"/>
        <w:gridCol w:w="1201"/>
      </w:tblGrid>
      <w:tr w:rsidR="005A57B9" w:rsidRPr="005A57B9" w:rsidTr="005A57B9">
        <w:tc>
          <w:tcPr>
            <w:tcW w:w="16200" w:type="dxa"/>
            <w:gridSpan w:val="9"/>
            <w:tcBorders>
              <w:top w:val="single" w:sz="12" w:space="0" w:color="auto"/>
              <w:left w:val="single" w:sz="12" w:space="0" w:color="auto"/>
              <w:bottom w:val="single" w:sz="4" w:space="0" w:color="auto"/>
              <w:right w:val="single" w:sz="12" w:space="0" w:color="auto"/>
            </w:tcBorders>
          </w:tcPr>
          <w:p w:rsidR="005A57B9" w:rsidRPr="005A57B9" w:rsidRDefault="005A57B9" w:rsidP="005A57B9">
            <w:pPr>
              <w:keepNext/>
              <w:jc w:val="center"/>
              <w:outlineLvl w:val="0"/>
              <w:rPr>
                <w:b/>
                <w:bCs/>
              </w:rPr>
            </w:pPr>
            <w:r w:rsidRPr="005A57B9">
              <w:rPr>
                <w:b/>
                <w:bCs/>
              </w:rPr>
              <w:t>TABUĽKA  ZHODY</w:t>
            </w:r>
          </w:p>
          <w:p w:rsidR="007B2D8E" w:rsidRDefault="005A57B9" w:rsidP="005A57B9">
            <w:pPr>
              <w:keepNext/>
              <w:spacing w:after="120"/>
              <w:jc w:val="center"/>
              <w:outlineLvl w:val="0"/>
              <w:rPr>
                <w:b/>
                <w:bCs/>
              </w:rPr>
            </w:pPr>
            <w:r w:rsidRPr="005A57B9">
              <w:rPr>
                <w:b/>
                <w:bCs/>
              </w:rPr>
              <w:t xml:space="preserve">k návrhu zákona, ktorým sa mení a dopĺňa zákon č. 595/2003 Z. z. o dani z príjmov v znení neskorších </w:t>
            </w:r>
            <w:r w:rsidR="007B2D8E">
              <w:rPr>
                <w:b/>
                <w:bCs/>
              </w:rPr>
              <w:t>predpisov</w:t>
            </w:r>
          </w:p>
          <w:p w:rsidR="005A57B9" w:rsidRPr="005A57B9" w:rsidRDefault="005A57B9" w:rsidP="005A57B9">
            <w:pPr>
              <w:keepNext/>
              <w:spacing w:after="120"/>
              <w:jc w:val="center"/>
              <w:outlineLvl w:val="0"/>
              <w:rPr>
                <w:b/>
                <w:bCs/>
              </w:rPr>
            </w:pPr>
            <w:r w:rsidRPr="005A57B9">
              <w:rPr>
                <w:b/>
                <w:bCs/>
              </w:rPr>
              <w:t>s právom Európskej únie</w:t>
            </w:r>
          </w:p>
          <w:p w:rsidR="005A57B9" w:rsidRPr="005A57B9" w:rsidRDefault="005A57B9">
            <w:pPr>
              <w:pStyle w:val="Nadpis1"/>
            </w:pPr>
          </w:p>
        </w:tc>
      </w:tr>
      <w:tr w:rsidR="008C54C3" w:rsidRPr="005A57B9">
        <w:trPr>
          <w:cantSplit/>
          <w:trHeight w:val="567"/>
        </w:trPr>
        <w:tc>
          <w:tcPr>
            <w:tcW w:w="1620" w:type="dxa"/>
            <w:gridSpan w:val="2"/>
            <w:tcBorders>
              <w:top w:val="single" w:sz="4" w:space="0" w:color="auto"/>
              <w:left w:val="single" w:sz="12" w:space="0" w:color="auto"/>
              <w:bottom w:val="single" w:sz="4" w:space="0" w:color="auto"/>
              <w:right w:val="nil"/>
            </w:tcBorders>
          </w:tcPr>
          <w:p w:rsidR="008C54C3" w:rsidRPr="005A57B9" w:rsidRDefault="008C54C3">
            <w:pPr>
              <w:pStyle w:val="Nadpis4"/>
              <w:jc w:val="both"/>
              <w:rPr>
                <w:sz w:val="24"/>
                <w:szCs w:val="24"/>
              </w:rPr>
            </w:pPr>
            <w:r w:rsidRPr="005A57B9">
              <w:rPr>
                <w:sz w:val="24"/>
                <w:szCs w:val="24"/>
              </w:rPr>
              <w:t>Názov smernice:</w:t>
            </w:r>
          </w:p>
        </w:tc>
        <w:tc>
          <w:tcPr>
            <w:tcW w:w="14580" w:type="dxa"/>
            <w:gridSpan w:val="7"/>
            <w:tcBorders>
              <w:top w:val="single" w:sz="4" w:space="0" w:color="auto"/>
              <w:left w:val="nil"/>
              <w:bottom w:val="single" w:sz="4" w:space="0" w:color="auto"/>
              <w:right w:val="single" w:sz="12" w:space="0" w:color="auto"/>
            </w:tcBorders>
          </w:tcPr>
          <w:p w:rsidR="008C54C3" w:rsidRPr="005A57B9" w:rsidRDefault="002375DC" w:rsidP="002375DC">
            <w:pPr>
              <w:pStyle w:val="CM1"/>
              <w:spacing w:before="200" w:after="102"/>
              <w:rPr>
                <w:rFonts w:ascii="Times New Roman" w:hAnsi="Times New Roman"/>
                <w:b/>
                <w:bCs/>
              </w:rPr>
            </w:pPr>
            <w:r w:rsidRPr="005A57B9">
              <w:rPr>
                <w:rFonts w:ascii="Times New Roman" w:hAnsi="Times New Roman"/>
              </w:rPr>
              <w:t xml:space="preserve"> </w:t>
            </w:r>
            <w:r w:rsidR="008A2E47" w:rsidRPr="008A2E47">
              <w:rPr>
                <w:rFonts w:ascii="Times New Roman" w:hAnsi="Times New Roman"/>
                <w:b/>
                <w:bCs/>
                <w:color w:val="000000"/>
              </w:rPr>
              <w:t>SMERNICA RADY 2011/96/EÚ z 30. novembra 2011 o spoločnom systéme zdaňovania uplatňovanom v prípade materských spoločností a dcérskych spoločností v rozličných členských štátoch (prepracované znenie)</w:t>
            </w:r>
          </w:p>
        </w:tc>
      </w:tr>
      <w:tr w:rsidR="008C54C3" w:rsidRPr="00D203E0" w:rsidTr="002375DC">
        <w:trPr>
          <w:trHeight w:val="567"/>
        </w:trPr>
        <w:tc>
          <w:tcPr>
            <w:tcW w:w="7628" w:type="dxa"/>
            <w:gridSpan w:val="4"/>
            <w:tcBorders>
              <w:top w:val="single" w:sz="4" w:space="0" w:color="auto"/>
              <w:left w:val="single" w:sz="12" w:space="0" w:color="auto"/>
              <w:bottom w:val="single" w:sz="4" w:space="0" w:color="auto"/>
              <w:right w:val="single" w:sz="12" w:space="0" w:color="auto"/>
            </w:tcBorders>
          </w:tcPr>
          <w:p w:rsidR="008C54C3" w:rsidRPr="00FD6741" w:rsidRDefault="00DE0F85">
            <w:pPr>
              <w:pStyle w:val="Nadpis4"/>
              <w:spacing w:before="120"/>
              <w:rPr>
                <w:sz w:val="24"/>
                <w:szCs w:val="24"/>
              </w:rPr>
            </w:pPr>
            <w:r w:rsidRPr="00FD6741">
              <w:rPr>
                <w:sz w:val="24"/>
                <w:szCs w:val="24"/>
              </w:rPr>
              <w:t>Smernica EÚ</w:t>
            </w:r>
          </w:p>
          <w:p w:rsidR="008C54C3" w:rsidRPr="00FD6741" w:rsidRDefault="008A2E47">
            <w:pPr>
              <w:pStyle w:val="Zkladntext3"/>
              <w:spacing w:line="240" w:lineRule="exact"/>
            </w:pPr>
            <w:r w:rsidRPr="008A2E47">
              <w:rPr>
                <w:b/>
                <w:bCs/>
                <w:color w:val="000000"/>
              </w:rPr>
              <w:t xml:space="preserve">SMERNICA RADY </w:t>
            </w:r>
            <w:r w:rsidRPr="008A2E47">
              <w:rPr>
                <w:b/>
                <w:bCs/>
                <w:color w:val="000000"/>
                <w:u w:val="single"/>
              </w:rPr>
              <w:t>2011/96/EÚ</w:t>
            </w:r>
            <w:r w:rsidRPr="008A2E47">
              <w:rPr>
                <w:b/>
                <w:bCs/>
                <w:color w:val="000000"/>
              </w:rPr>
              <w:t xml:space="preserve"> z 30. novembra 2011 o spoločnom systéme zdaňovania uplatňovanom v prípade materských spoločností a dcérskych spoločností v rozličných členských štátoch (prepracované znenie)</w:t>
            </w:r>
          </w:p>
        </w:tc>
        <w:tc>
          <w:tcPr>
            <w:tcW w:w="8572" w:type="dxa"/>
            <w:gridSpan w:val="5"/>
            <w:tcBorders>
              <w:top w:val="single" w:sz="4" w:space="0" w:color="auto"/>
              <w:left w:val="nil"/>
              <w:bottom w:val="single" w:sz="4" w:space="0" w:color="auto"/>
              <w:right w:val="single" w:sz="12" w:space="0" w:color="auto"/>
            </w:tcBorders>
          </w:tcPr>
          <w:p w:rsidR="008C54C3" w:rsidRDefault="008C54C3" w:rsidP="005A57B9">
            <w:pPr>
              <w:pStyle w:val="Nadpis4"/>
              <w:spacing w:before="120"/>
              <w:rPr>
                <w:sz w:val="24"/>
                <w:szCs w:val="24"/>
              </w:rPr>
            </w:pPr>
            <w:r w:rsidRPr="00FD6741">
              <w:rPr>
                <w:sz w:val="24"/>
                <w:szCs w:val="24"/>
              </w:rPr>
              <w:t>Všeobecne záväzné právne predpisy Slovenskej republiky</w:t>
            </w:r>
          </w:p>
          <w:p w:rsidR="00787ECF" w:rsidRPr="00787ECF" w:rsidRDefault="00787ECF" w:rsidP="005A57B9">
            <w:pPr>
              <w:rPr>
                <w:b/>
              </w:rPr>
            </w:pPr>
            <w:r w:rsidRPr="00787ECF">
              <w:rPr>
                <w:b/>
              </w:rPr>
              <w:t xml:space="preserve">Návrh zákona, </w:t>
            </w:r>
            <w:r w:rsidR="00A459C7" w:rsidRPr="00A459C7">
              <w:rPr>
                <w:b/>
              </w:rPr>
              <w:t xml:space="preserve">ktorým sa mení a dopĺňa zákon č. 595/2003 Z. z. o dani z príjmov v znení neskorších predpisov </w:t>
            </w:r>
            <w:r w:rsidRPr="00787ECF">
              <w:rPr>
                <w:b/>
              </w:rPr>
              <w:t>(ďalej len „návrh zákona“)</w:t>
            </w:r>
          </w:p>
          <w:p w:rsidR="008D46FD" w:rsidRPr="008D46FD" w:rsidRDefault="008D46FD" w:rsidP="008D46FD"/>
          <w:p w:rsidR="00FD6741" w:rsidRDefault="002375DC" w:rsidP="003D7EC4">
            <w:pPr>
              <w:jc w:val="both"/>
            </w:pPr>
            <w:r w:rsidRPr="00FD6741">
              <w:t>Zákon č. 595/2003 Z. z. o dani z príjmov v znení neskorších p</w:t>
            </w:r>
            <w:r w:rsidR="003D7EC4">
              <w:t>redpisov</w:t>
            </w:r>
            <w:r w:rsidR="008A2E47">
              <w:t xml:space="preserve"> </w:t>
            </w:r>
            <w:r w:rsidR="003D7EC4">
              <w:t>(</w:t>
            </w:r>
            <w:r w:rsidRPr="00FD6741">
              <w:t>ďalej len „ 595/2003</w:t>
            </w:r>
            <w:r w:rsidR="00725774" w:rsidRPr="00FD6741">
              <w:t>“</w:t>
            </w:r>
            <w:r w:rsidRPr="00FD6741">
              <w:t xml:space="preserve">) </w:t>
            </w:r>
          </w:p>
          <w:p w:rsidR="008A2E47" w:rsidRDefault="008A2E47" w:rsidP="003D7EC4">
            <w:pPr>
              <w:jc w:val="both"/>
            </w:pPr>
          </w:p>
          <w:p w:rsidR="008A2E47" w:rsidRPr="00FD6741" w:rsidRDefault="008A2E47" w:rsidP="003D7EC4">
            <w:pPr>
              <w:jc w:val="both"/>
            </w:pPr>
            <w:r w:rsidRPr="008A2E47">
              <w:t>Zákon č. 513/1991 Zb. Obchodný zákonník v znení neskorších predpisov (ďalej len „513/1991“</w:t>
            </w:r>
          </w:p>
        </w:tc>
      </w:tr>
      <w:tr w:rsidR="00A9063F" w:rsidRPr="00D203E0" w:rsidTr="002375DC">
        <w:tc>
          <w:tcPr>
            <w:tcW w:w="682" w:type="dxa"/>
            <w:tcBorders>
              <w:top w:val="single" w:sz="4" w:space="0" w:color="auto"/>
              <w:left w:val="single" w:sz="12" w:space="0" w:color="auto"/>
              <w:bottom w:val="single" w:sz="4" w:space="0" w:color="auto"/>
              <w:right w:val="single" w:sz="4" w:space="0" w:color="auto"/>
            </w:tcBorders>
          </w:tcPr>
          <w:p w:rsidR="00A9063F" w:rsidRPr="00FD6741" w:rsidRDefault="00A9063F">
            <w:pPr>
              <w:jc w:val="center"/>
            </w:pPr>
            <w:r w:rsidRPr="00FD6741">
              <w:t>1</w:t>
            </w:r>
          </w:p>
        </w:tc>
        <w:tc>
          <w:tcPr>
            <w:tcW w:w="6237" w:type="dxa"/>
            <w:gridSpan w:val="2"/>
            <w:tcBorders>
              <w:top w:val="single" w:sz="4" w:space="0" w:color="auto"/>
              <w:left w:val="single" w:sz="4" w:space="0" w:color="auto"/>
              <w:bottom w:val="single" w:sz="4" w:space="0" w:color="auto"/>
              <w:right w:val="single" w:sz="4" w:space="0" w:color="auto"/>
            </w:tcBorders>
          </w:tcPr>
          <w:p w:rsidR="00A9063F" w:rsidRPr="00FD6741" w:rsidRDefault="00A9063F">
            <w:pPr>
              <w:jc w:val="center"/>
            </w:pPr>
            <w:r w:rsidRPr="00FD6741">
              <w:t>2</w:t>
            </w:r>
          </w:p>
        </w:tc>
        <w:tc>
          <w:tcPr>
            <w:tcW w:w="709" w:type="dxa"/>
            <w:tcBorders>
              <w:top w:val="single" w:sz="4" w:space="0" w:color="auto"/>
              <w:left w:val="single" w:sz="4" w:space="0" w:color="auto"/>
              <w:bottom w:val="single" w:sz="4" w:space="0" w:color="auto"/>
              <w:right w:val="single" w:sz="12" w:space="0" w:color="auto"/>
            </w:tcBorders>
          </w:tcPr>
          <w:p w:rsidR="00A9063F" w:rsidRPr="00FD6741" w:rsidRDefault="00A9063F">
            <w:pPr>
              <w:jc w:val="center"/>
            </w:pPr>
            <w:r w:rsidRPr="00FD6741">
              <w:t>3</w:t>
            </w:r>
          </w:p>
        </w:tc>
        <w:tc>
          <w:tcPr>
            <w:tcW w:w="850" w:type="dxa"/>
            <w:tcBorders>
              <w:top w:val="single" w:sz="4" w:space="0" w:color="auto"/>
              <w:left w:val="nil"/>
              <w:bottom w:val="single" w:sz="4" w:space="0" w:color="auto"/>
              <w:right w:val="single" w:sz="4" w:space="0" w:color="auto"/>
            </w:tcBorders>
          </w:tcPr>
          <w:p w:rsidR="00A9063F" w:rsidRPr="00FD6741" w:rsidRDefault="00A9063F">
            <w:pPr>
              <w:jc w:val="center"/>
            </w:pPr>
            <w:r w:rsidRPr="00FD6741">
              <w:t>4</w:t>
            </w:r>
          </w:p>
        </w:tc>
        <w:tc>
          <w:tcPr>
            <w:tcW w:w="702" w:type="dxa"/>
            <w:tcBorders>
              <w:top w:val="single" w:sz="4" w:space="0" w:color="auto"/>
              <w:left w:val="single" w:sz="4" w:space="0" w:color="auto"/>
              <w:bottom w:val="single" w:sz="4" w:space="0" w:color="auto"/>
              <w:right w:val="single" w:sz="4" w:space="0" w:color="auto"/>
            </w:tcBorders>
          </w:tcPr>
          <w:p w:rsidR="00A9063F" w:rsidRPr="00FD6741" w:rsidRDefault="00A9063F">
            <w:pPr>
              <w:pStyle w:val="Zkladntext2"/>
              <w:spacing w:line="240" w:lineRule="exact"/>
              <w:rPr>
                <w:sz w:val="24"/>
                <w:szCs w:val="24"/>
              </w:rPr>
            </w:pPr>
            <w:r w:rsidRPr="00FD6741">
              <w:rPr>
                <w:sz w:val="24"/>
                <w:szCs w:val="24"/>
              </w:rPr>
              <w:t>5</w:t>
            </w:r>
          </w:p>
        </w:tc>
        <w:tc>
          <w:tcPr>
            <w:tcW w:w="5110" w:type="dxa"/>
            <w:tcBorders>
              <w:top w:val="single" w:sz="4" w:space="0" w:color="auto"/>
              <w:left w:val="single" w:sz="4" w:space="0" w:color="auto"/>
              <w:bottom w:val="single" w:sz="4" w:space="0" w:color="auto"/>
              <w:right w:val="single" w:sz="4" w:space="0" w:color="auto"/>
            </w:tcBorders>
          </w:tcPr>
          <w:p w:rsidR="00A9063F" w:rsidRPr="00FD6741" w:rsidRDefault="00A9063F">
            <w:pPr>
              <w:pStyle w:val="Zkladntext2"/>
              <w:spacing w:line="240" w:lineRule="exact"/>
              <w:rPr>
                <w:sz w:val="24"/>
                <w:szCs w:val="24"/>
              </w:rPr>
            </w:pPr>
            <w:r w:rsidRPr="00FD6741">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A9063F">
            <w:pPr>
              <w:jc w:val="center"/>
            </w:pPr>
            <w:r w:rsidRPr="00FD6741">
              <w:t>7</w:t>
            </w:r>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5170A9">
            <w:pPr>
              <w:jc w:val="center"/>
            </w:pPr>
            <w:r w:rsidRPr="00FD6741">
              <w:t>8</w:t>
            </w:r>
          </w:p>
        </w:tc>
      </w:tr>
      <w:tr w:rsidR="00A9063F" w:rsidRPr="00D203E0" w:rsidTr="002375DC">
        <w:tc>
          <w:tcPr>
            <w:tcW w:w="682" w:type="dxa"/>
            <w:tcBorders>
              <w:top w:val="single" w:sz="4" w:space="0" w:color="auto"/>
              <w:left w:val="single" w:sz="12"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Článok</w:t>
            </w:r>
          </w:p>
          <w:p w:rsidR="00A9063F" w:rsidRPr="00FD6741" w:rsidRDefault="00A9063F">
            <w:pPr>
              <w:pStyle w:val="Normlny0"/>
              <w:jc w:val="center"/>
              <w:rPr>
                <w:sz w:val="24"/>
                <w:szCs w:val="24"/>
              </w:rPr>
            </w:pPr>
            <w:r w:rsidRPr="00FD6741">
              <w:rPr>
                <w:sz w:val="24"/>
                <w:szCs w:val="24"/>
              </w:rPr>
              <w:t>(Č, O,</w:t>
            </w:r>
          </w:p>
          <w:p w:rsidR="00A9063F" w:rsidRPr="00FD6741" w:rsidRDefault="00A9063F">
            <w:pPr>
              <w:pStyle w:val="Normlny0"/>
              <w:jc w:val="center"/>
              <w:rPr>
                <w:sz w:val="24"/>
                <w:szCs w:val="24"/>
              </w:rPr>
            </w:pPr>
            <w:r w:rsidRPr="00FD6741">
              <w:rPr>
                <w:sz w:val="24"/>
                <w:szCs w:val="24"/>
              </w:rPr>
              <w:t>V, P)</w:t>
            </w:r>
          </w:p>
        </w:tc>
        <w:tc>
          <w:tcPr>
            <w:tcW w:w="6237" w:type="dxa"/>
            <w:gridSpan w:val="2"/>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Text</w:t>
            </w:r>
          </w:p>
        </w:tc>
        <w:tc>
          <w:tcPr>
            <w:tcW w:w="709"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ormlny0"/>
              <w:jc w:val="center"/>
              <w:rPr>
                <w:sz w:val="24"/>
                <w:szCs w:val="24"/>
              </w:rPr>
            </w:pPr>
            <w:r w:rsidRPr="00FD6741">
              <w:rPr>
                <w:sz w:val="24"/>
                <w:szCs w:val="24"/>
              </w:rPr>
              <w:t>Spôsob transp.</w:t>
            </w:r>
          </w:p>
          <w:p w:rsidR="00A9063F" w:rsidRPr="00FD6741" w:rsidRDefault="00A9063F">
            <w:pPr>
              <w:pStyle w:val="Normlny0"/>
              <w:jc w:val="center"/>
              <w:rPr>
                <w:sz w:val="24"/>
                <w:szCs w:val="24"/>
              </w:rPr>
            </w:pPr>
            <w:r w:rsidRPr="00FD6741">
              <w:rPr>
                <w:sz w:val="24"/>
                <w:szCs w:val="24"/>
              </w:rPr>
              <w:t>(N, O, D, n.a.)</w:t>
            </w:r>
          </w:p>
        </w:tc>
        <w:tc>
          <w:tcPr>
            <w:tcW w:w="850" w:type="dxa"/>
            <w:tcBorders>
              <w:top w:val="single" w:sz="4" w:space="0" w:color="auto"/>
              <w:left w:val="nil"/>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Číslo</w:t>
            </w:r>
          </w:p>
          <w:p w:rsidR="00A9063F" w:rsidRPr="00FD6741" w:rsidRDefault="00A9063F">
            <w:pPr>
              <w:pStyle w:val="Normlny0"/>
              <w:jc w:val="center"/>
              <w:rPr>
                <w:sz w:val="24"/>
                <w:szCs w:val="24"/>
              </w:rPr>
            </w:pPr>
            <w:r w:rsidRPr="00FD6741">
              <w:rPr>
                <w:sz w:val="24"/>
                <w:szCs w:val="24"/>
              </w:rPr>
              <w:t>predpisu</w:t>
            </w:r>
          </w:p>
        </w:tc>
        <w:tc>
          <w:tcPr>
            <w:tcW w:w="702"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Článok (Č, §, O, V, P)</w:t>
            </w:r>
          </w:p>
        </w:tc>
        <w:tc>
          <w:tcPr>
            <w:tcW w:w="5110"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Text</w:t>
            </w: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Zhoda</w:t>
            </w:r>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ormlny0"/>
              <w:jc w:val="center"/>
              <w:rPr>
                <w:sz w:val="24"/>
                <w:szCs w:val="24"/>
              </w:rPr>
            </w:pPr>
            <w:r w:rsidRPr="00FD6741">
              <w:rPr>
                <w:sz w:val="24"/>
                <w:szCs w:val="24"/>
              </w:rPr>
              <w:t>Poznámky</w:t>
            </w:r>
          </w:p>
        </w:tc>
      </w:tr>
      <w:tr w:rsidR="00A9063F" w:rsidRPr="00D203E0" w:rsidTr="002375DC">
        <w:tc>
          <w:tcPr>
            <w:tcW w:w="682" w:type="dxa"/>
            <w:tcBorders>
              <w:top w:val="single" w:sz="4" w:space="0" w:color="auto"/>
              <w:left w:val="single" w:sz="12" w:space="0" w:color="auto"/>
              <w:bottom w:val="single" w:sz="4" w:space="0" w:color="auto"/>
              <w:right w:val="single" w:sz="4" w:space="0" w:color="auto"/>
            </w:tcBorders>
          </w:tcPr>
          <w:p w:rsidR="00A9063F" w:rsidRPr="00FD6741" w:rsidRDefault="00153B33" w:rsidP="008B41FE">
            <w:pPr>
              <w:jc w:val="center"/>
            </w:pPr>
            <w:r w:rsidRPr="00FD6741">
              <w:t>Čl.</w:t>
            </w:r>
            <w:r w:rsidR="0051023B">
              <w:t>4</w:t>
            </w:r>
            <w:r w:rsidR="00FE461F">
              <w:t xml:space="preserve"> </w:t>
            </w:r>
            <w:r w:rsidR="008B41FE">
              <w:t>ods.</w:t>
            </w:r>
            <w:r w:rsidR="00FE461F">
              <w:t xml:space="preserve"> 1</w:t>
            </w:r>
          </w:p>
        </w:tc>
        <w:tc>
          <w:tcPr>
            <w:tcW w:w="6237" w:type="dxa"/>
            <w:gridSpan w:val="2"/>
            <w:tcBorders>
              <w:top w:val="single" w:sz="4" w:space="0" w:color="auto"/>
              <w:left w:val="single" w:sz="4" w:space="0" w:color="auto"/>
              <w:bottom w:val="single" w:sz="4" w:space="0" w:color="auto"/>
              <w:right w:val="single" w:sz="4" w:space="0" w:color="auto"/>
            </w:tcBorders>
          </w:tcPr>
          <w:p w:rsidR="0051023B" w:rsidRDefault="0051023B" w:rsidP="0051023B">
            <w:pPr>
              <w:pStyle w:val="CM4"/>
              <w:spacing w:before="60" w:after="60"/>
              <w:jc w:val="both"/>
            </w:pPr>
            <w:r>
              <w:t xml:space="preserve">1. Keď materská spoločnosť alebo jej stála prevádzkareň na základe združenia materskej spoločnosti s jej dcérskou spoločnosťou dostáva prerozdelené zisky, štát materskej spoločnosti a členský štát jej stálej prevádzkarne, okrem prípadu likvidácie dcérskej spoločnosti buď: </w:t>
            </w:r>
          </w:p>
          <w:p w:rsidR="0051023B" w:rsidRDefault="0051023B" w:rsidP="0051023B">
            <w:pPr>
              <w:pStyle w:val="CM4"/>
              <w:spacing w:before="60" w:after="60"/>
              <w:jc w:val="both"/>
            </w:pPr>
            <w:r>
              <w:t xml:space="preserve">a) upustí od zdanenia takýchto ziskov, alebo </w:t>
            </w:r>
          </w:p>
          <w:p w:rsidR="0051023B" w:rsidRDefault="0051023B" w:rsidP="0051023B">
            <w:pPr>
              <w:pStyle w:val="CM4"/>
              <w:spacing w:before="60" w:after="60"/>
              <w:jc w:val="both"/>
            </w:pPr>
            <w:r>
              <w:t xml:space="preserve">b) zdaní tieto zisky, pričom oprávni materskú spoločnosť a stálu prevádzkareň odrátať si od dane zlomok dane z príjmu právnických osôb spojenú s týmito ziskami a platenú dcérskymi spoločnosťami a všetkými úrovňami, ktoré sú pod nimi, za podmienky, že všetky úrovne spadajú pod definície stanovené v článku 2 a že sa na všetkých úrovniach splnia požiadavky stanovené v článku 3, do výšky limitu zodpovedajúcej dane. </w:t>
            </w:r>
          </w:p>
          <w:p w:rsidR="00A9063F" w:rsidRPr="00FD6741" w:rsidRDefault="00A9063F" w:rsidP="0051023B">
            <w:pPr>
              <w:pStyle w:val="CM4"/>
              <w:spacing w:before="60" w:after="60"/>
              <w:jc w:val="both"/>
            </w:pPr>
          </w:p>
        </w:tc>
        <w:tc>
          <w:tcPr>
            <w:tcW w:w="709" w:type="dxa"/>
            <w:tcBorders>
              <w:top w:val="single" w:sz="4" w:space="0" w:color="auto"/>
              <w:left w:val="single" w:sz="4" w:space="0" w:color="auto"/>
              <w:bottom w:val="single" w:sz="4" w:space="0" w:color="auto"/>
              <w:right w:val="single" w:sz="12" w:space="0" w:color="auto"/>
            </w:tcBorders>
          </w:tcPr>
          <w:p w:rsidR="00A9063F" w:rsidRPr="00FD6741" w:rsidRDefault="0051023B">
            <w:pPr>
              <w:jc w:val="center"/>
            </w:pPr>
            <w:r>
              <w:t>O</w:t>
            </w:r>
            <w:r w:rsidR="000C668D" w:rsidRPr="00FD6741">
              <w:t xml:space="preserve"> </w:t>
            </w:r>
          </w:p>
        </w:tc>
        <w:tc>
          <w:tcPr>
            <w:tcW w:w="850" w:type="dxa"/>
            <w:tcBorders>
              <w:top w:val="single" w:sz="4" w:space="0" w:color="auto"/>
              <w:left w:val="nil"/>
              <w:bottom w:val="single" w:sz="4" w:space="0" w:color="auto"/>
              <w:right w:val="single" w:sz="4" w:space="0" w:color="auto"/>
            </w:tcBorders>
          </w:tcPr>
          <w:p w:rsidR="00A9063F" w:rsidRDefault="000C668D">
            <w:pPr>
              <w:jc w:val="center"/>
            </w:pPr>
            <w:r w:rsidRPr="00FD6741">
              <w:t>595</w:t>
            </w:r>
            <w:r w:rsidR="00196055">
              <w:t xml:space="preserve">/ </w:t>
            </w:r>
            <w:r w:rsidRPr="00FD6741">
              <w:t>2003</w:t>
            </w:r>
          </w:p>
          <w:p w:rsidR="0051023B" w:rsidRPr="0051023B" w:rsidRDefault="0051023B">
            <w:pPr>
              <w:jc w:val="center"/>
              <w:rPr>
                <w:b/>
              </w:rPr>
            </w:pPr>
            <w:r w:rsidRPr="0051023B">
              <w:rPr>
                <w:b/>
              </w:rPr>
              <w:t>a návrh zákona Čl. I</w:t>
            </w: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r>
              <w:t>595/2003</w:t>
            </w: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rPr>
                <w:b/>
              </w:rPr>
            </w:pPr>
          </w:p>
          <w:p w:rsidR="008D46FD" w:rsidRDefault="008D46FD">
            <w:pPr>
              <w:jc w:val="center"/>
              <w:rPr>
                <w:b/>
              </w:rPr>
            </w:pPr>
          </w:p>
          <w:p w:rsidR="008D46FD" w:rsidRDefault="008D46FD">
            <w:pPr>
              <w:jc w:val="center"/>
              <w:rPr>
                <w:b/>
              </w:rPr>
            </w:pPr>
          </w:p>
          <w:p w:rsidR="008D46FD" w:rsidRDefault="008D46FD">
            <w:pPr>
              <w:jc w:val="center"/>
              <w:rPr>
                <w:b/>
              </w:rPr>
            </w:pPr>
          </w:p>
          <w:p w:rsidR="00463DF1" w:rsidRDefault="00463DF1">
            <w:pPr>
              <w:jc w:val="center"/>
              <w:rPr>
                <w:b/>
              </w:rPr>
            </w:pPr>
          </w:p>
          <w:p w:rsidR="008D46FD" w:rsidRDefault="008D46FD">
            <w:pPr>
              <w:jc w:val="center"/>
              <w:rPr>
                <w:b/>
              </w:rPr>
            </w:pPr>
          </w:p>
          <w:p w:rsidR="00463DF1" w:rsidRPr="007022C6" w:rsidRDefault="00196055">
            <w:pPr>
              <w:jc w:val="center"/>
            </w:pPr>
            <w:r w:rsidRPr="007022C6">
              <w:t>595/</w:t>
            </w:r>
          </w:p>
          <w:p w:rsidR="008D46FD" w:rsidRPr="008D46FD" w:rsidRDefault="00196055" w:rsidP="00FE461F">
            <w:pPr>
              <w:jc w:val="center"/>
              <w:rPr>
                <w:b/>
              </w:rPr>
            </w:pPr>
            <w:r w:rsidRPr="007022C6">
              <w:t xml:space="preserve">2003 </w:t>
            </w:r>
            <w:r w:rsidRPr="007022C6">
              <w:rPr>
                <w:b/>
              </w:rPr>
              <w:t xml:space="preserve"> </w:t>
            </w:r>
          </w:p>
        </w:tc>
        <w:tc>
          <w:tcPr>
            <w:tcW w:w="702" w:type="dxa"/>
            <w:tcBorders>
              <w:top w:val="single" w:sz="4" w:space="0" w:color="auto"/>
              <w:left w:val="single" w:sz="4" w:space="0" w:color="auto"/>
              <w:bottom w:val="single" w:sz="4" w:space="0" w:color="auto"/>
              <w:right w:val="single" w:sz="4" w:space="0" w:color="auto"/>
            </w:tcBorders>
          </w:tcPr>
          <w:p w:rsidR="000C668D" w:rsidRPr="0051023B" w:rsidRDefault="0051023B">
            <w:pPr>
              <w:pStyle w:val="Normlny0"/>
              <w:jc w:val="center"/>
              <w:rPr>
                <w:b/>
                <w:sz w:val="24"/>
                <w:szCs w:val="24"/>
              </w:rPr>
            </w:pPr>
            <w:r w:rsidRPr="0051023B">
              <w:rPr>
                <w:b/>
                <w:sz w:val="24"/>
                <w:szCs w:val="24"/>
              </w:rPr>
              <w:lastRenderedPageBreak/>
              <w:t>§ 3 ods.1</w:t>
            </w:r>
            <w:r w:rsidR="00250F0E" w:rsidRPr="0051023B">
              <w:rPr>
                <w:b/>
                <w:sz w:val="24"/>
                <w:szCs w:val="24"/>
              </w:rPr>
              <w:t xml:space="preserve"> pís</w:t>
            </w:r>
            <w:r w:rsidR="00EF6398" w:rsidRPr="0051023B">
              <w:rPr>
                <w:b/>
                <w:sz w:val="24"/>
                <w:szCs w:val="24"/>
              </w:rPr>
              <w:t>m</w:t>
            </w:r>
            <w:r w:rsidR="00250F0E" w:rsidRPr="0051023B">
              <w:rPr>
                <w:b/>
                <w:sz w:val="24"/>
                <w:szCs w:val="24"/>
              </w:rPr>
              <w:t>.</w:t>
            </w:r>
            <w:r w:rsidR="00EF6398" w:rsidRPr="0051023B">
              <w:rPr>
                <w:b/>
                <w:sz w:val="24"/>
                <w:szCs w:val="24"/>
              </w:rPr>
              <w:t xml:space="preserve"> </w:t>
            </w:r>
            <w:r w:rsidRPr="0051023B">
              <w:rPr>
                <w:b/>
                <w:sz w:val="24"/>
                <w:szCs w:val="24"/>
              </w:rPr>
              <w:t>e</w:t>
            </w:r>
            <w:r w:rsidR="000C668D" w:rsidRPr="0051023B">
              <w:rPr>
                <w:b/>
                <w:sz w:val="24"/>
                <w:szCs w:val="24"/>
              </w:rPr>
              <w:t xml:space="preserve">)    </w:t>
            </w:r>
          </w:p>
          <w:p w:rsidR="000C668D" w:rsidRPr="00FD6741" w:rsidRDefault="000C668D">
            <w:pPr>
              <w:pStyle w:val="Normlny0"/>
              <w:jc w:val="center"/>
              <w:rPr>
                <w:sz w:val="24"/>
                <w:szCs w:val="24"/>
              </w:rPr>
            </w:pPr>
          </w:p>
          <w:p w:rsidR="000C668D" w:rsidRPr="00FD6741" w:rsidRDefault="000C668D">
            <w:pPr>
              <w:pStyle w:val="Normlny0"/>
              <w:jc w:val="center"/>
              <w:rPr>
                <w:sz w:val="24"/>
                <w:szCs w:val="24"/>
              </w:rPr>
            </w:pPr>
          </w:p>
          <w:p w:rsidR="000C668D" w:rsidRPr="00FD6741" w:rsidRDefault="000C668D">
            <w:pPr>
              <w:pStyle w:val="Normlny0"/>
              <w:jc w:val="center"/>
              <w:rPr>
                <w:sz w:val="24"/>
                <w:szCs w:val="24"/>
              </w:rPr>
            </w:pPr>
          </w:p>
          <w:p w:rsidR="000C668D" w:rsidRPr="00FD6741" w:rsidRDefault="000C668D">
            <w:pPr>
              <w:pStyle w:val="Normlny0"/>
              <w:jc w:val="center"/>
              <w:rPr>
                <w:sz w:val="24"/>
                <w:szCs w:val="24"/>
              </w:rPr>
            </w:pPr>
          </w:p>
          <w:p w:rsidR="000C668D" w:rsidRDefault="000C668D">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FE461F" w:rsidRDefault="00FE461F">
            <w:pPr>
              <w:pStyle w:val="Normlny0"/>
              <w:jc w:val="center"/>
              <w:rPr>
                <w:sz w:val="24"/>
                <w:szCs w:val="24"/>
              </w:rPr>
            </w:pPr>
          </w:p>
          <w:p w:rsidR="008D46FD" w:rsidRDefault="00FE461F">
            <w:pPr>
              <w:pStyle w:val="Normlny0"/>
              <w:jc w:val="center"/>
              <w:rPr>
                <w:sz w:val="24"/>
                <w:szCs w:val="24"/>
              </w:rPr>
            </w:pPr>
            <w:r>
              <w:rPr>
                <w:sz w:val="24"/>
                <w:szCs w:val="24"/>
              </w:rPr>
              <w:t>§ 3 ods. 1 písm. f)</w:t>
            </w: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FE461F" w:rsidRDefault="00FE461F">
            <w:pPr>
              <w:pStyle w:val="Normlny0"/>
              <w:jc w:val="center"/>
              <w:rPr>
                <w:sz w:val="24"/>
                <w:szCs w:val="24"/>
              </w:rPr>
            </w:pPr>
          </w:p>
          <w:p w:rsidR="00FE461F" w:rsidRDefault="00FE461F">
            <w:pPr>
              <w:pStyle w:val="Normlny0"/>
              <w:jc w:val="center"/>
              <w:rPr>
                <w:sz w:val="24"/>
                <w:szCs w:val="24"/>
              </w:rPr>
            </w:pPr>
          </w:p>
          <w:p w:rsidR="00FE461F" w:rsidRDefault="00FE461F">
            <w:pPr>
              <w:pStyle w:val="Normlny0"/>
              <w:jc w:val="center"/>
              <w:rPr>
                <w:sz w:val="24"/>
                <w:szCs w:val="24"/>
              </w:rPr>
            </w:pPr>
          </w:p>
          <w:p w:rsidR="00FE461F" w:rsidRDefault="00FE461F">
            <w:pPr>
              <w:pStyle w:val="Normlny0"/>
              <w:jc w:val="center"/>
              <w:rPr>
                <w:sz w:val="24"/>
                <w:szCs w:val="24"/>
              </w:rPr>
            </w:pPr>
          </w:p>
          <w:p w:rsidR="00FE461F" w:rsidRDefault="00FE461F">
            <w:pPr>
              <w:pStyle w:val="Normlny0"/>
              <w:jc w:val="center"/>
              <w:rPr>
                <w:sz w:val="24"/>
                <w:szCs w:val="24"/>
              </w:rPr>
            </w:pPr>
          </w:p>
          <w:p w:rsidR="00FE461F" w:rsidRDefault="00FE461F" w:rsidP="00FE461F">
            <w:pPr>
              <w:pStyle w:val="Normlny0"/>
              <w:jc w:val="center"/>
              <w:rPr>
                <w:sz w:val="24"/>
                <w:szCs w:val="24"/>
              </w:rPr>
            </w:pPr>
            <w:r>
              <w:rPr>
                <w:sz w:val="24"/>
                <w:szCs w:val="24"/>
              </w:rPr>
              <w:t>§ 3 ods. 1 písm. g)</w:t>
            </w:r>
          </w:p>
          <w:p w:rsidR="00FE461F" w:rsidRDefault="00FE461F" w:rsidP="00FE461F">
            <w:pPr>
              <w:pStyle w:val="Normlny0"/>
              <w:jc w:val="center"/>
              <w:rPr>
                <w:sz w:val="24"/>
                <w:szCs w:val="24"/>
              </w:rPr>
            </w:pPr>
          </w:p>
          <w:p w:rsidR="00FE461F" w:rsidRDefault="00FE461F" w:rsidP="00FE461F">
            <w:pPr>
              <w:pStyle w:val="Normlny0"/>
              <w:jc w:val="center"/>
              <w:rPr>
                <w:sz w:val="24"/>
                <w:szCs w:val="24"/>
              </w:rPr>
            </w:pPr>
          </w:p>
          <w:p w:rsidR="00FE461F" w:rsidRDefault="00FE461F" w:rsidP="00FE461F">
            <w:pPr>
              <w:pStyle w:val="Normlny0"/>
              <w:jc w:val="center"/>
              <w:rPr>
                <w:sz w:val="24"/>
                <w:szCs w:val="24"/>
              </w:rPr>
            </w:pPr>
            <w:bookmarkStart w:id="0" w:name="_GoBack"/>
            <w:bookmarkEnd w:id="0"/>
          </w:p>
          <w:p w:rsidR="00FE461F" w:rsidRDefault="00FE461F" w:rsidP="00FE461F">
            <w:pPr>
              <w:pStyle w:val="Normlny0"/>
              <w:jc w:val="center"/>
              <w:rPr>
                <w:sz w:val="24"/>
                <w:szCs w:val="24"/>
              </w:rPr>
            </w:pPr>
          </w:p>
          <w:p w:rsidR="00FE461F" w:rsidRDefault="00FE461F" w:rsidP="00FE461F">
            <w:pPr>
              <w:pStyle w:val="Normlny0"/>
              <w:jc w:val="center"/>
              <w:rPr>
                <w:sz w:val="24"/>
                <w:szCs w:val="24"/>
              </w:rPr>
            </w:pPr>
          </w:p>
          <w:p w:rsidR="00FE461F" w:rsidRDefault="00FE461F" w:rsidP="00FE461F">
            <w:pPr>
              <w:pStyle w:val="Normlny0"/>
              <w:jc w:val="center"/>
              <w:rPr>
                <w:sz w:val="24"/>
                <w:szCs w:val="24"/>
              </w:rPr>
            </w:pPr>
          </w:p>
          <w:p w:rsidR="00FE461F" w:rsidRDefault="00FE461F" w:rsidP="00FE461F">
            <w:pPr>
              <w:pStyle w:val="Normlny0"/>
              <w:jc w:val="center"/>
              <w:rPr>
                <w:sz w:val="24"/>
                <w:szCs w:val="24"/>
              </w:rPr>
            </w:pPr>
          </w:p>
          <w:p w:rsidR="00FE461F" w:rsidRDefault="00FE461F" w:rsidP="00FE461F">
            <w:pPr>
              <w:pStyle w:val="Normlny0"/>
              <w:jc w:val="center"/>
              <w:rPr>
                <w:sz w:val="24"/>
                <w:szCs w:val="24"/>
              </w:rPr>
            </w:pPr>
            <w:r>
              <w:rPr>
                <w:sz w:val="24"/>
                <w:szCs w:val="24"/>
              </w:rPr>
              <w:t>§ 12 ods. 7 písm. c)</w:t>
            </w:r>
          </w:p>
          <w:p w:rsidR="008D46FD" w:rsidRPr="008D46FD" w:rsidRDefault="008D46FD" w:rsidP="00463DF1">
            <w:pPr>
              <w:pStyle w:val="Normlny0"/>
              <w:jc w:val="center"/>
              <w:rPr>
                <w:b/>
                <w:sz w:val="24"/>
                <w:szCs w:val="24"/>
              </w:rPr>
            </w:pPr>
          </w:p>
        </w:tc>
        <w:tc>
          <w:tcPr>
            <w:tcW w:w="5110" w:type="dxa"/>
            <w:tcBorders>
              <w:top w:val="single" w:sz="4" w:space="0" w:color="auto"/>
              <w:left w:val="single" w:sz="4" w:space="0" w:color="auto"/>
              <w:bottom w:val="single" w:sz="4" w:space="0" w:color="auto"/>
              <w:right w:val="single" w:sz="4" w:space="0" w:color="auto"/>
            </w:tcBorders>
          </w:tcPr>
          <w:p w:rsidR="0051023B" w:rsidRDefault="0051023B" w:rsidP="0051023B">
            <w:pPr>
              <w:jc w:val="both"/>
              <w:rPr>
                <w:rFonts w:ascii="EUAlbertina" w:hAnsi="EUAlbertina"/>
              </w:rPr>
            </w:pPr>
            <w:r>
              <w:rPr>
                <w:rFonts w:ascii="EUAlbertina" w:hAnsi="EUAlbertina"/>
              </w:rPr>
              <w:lastRenderedPageBreak/>
              <w:t>(1) Predmetom dane sú</w:t>
            </w:r>
          </w:p>
          <w:p w:rsidR="0051023B" w:rsidRDefault="0051023B" w:rsidP="0051023B">
            <w:pPr>
              <w:jc w:val="both"/>
              <w:rPr>
                <w:rFonts w:ascii="Arial Narrow" w:hAnsi="Arial Narrow"/>
                <w:b/>
                <w:bCs/>
                <w:sz w:val="22"/>
                <w:szCs w:val="22"/>
              </w:rPr>
            </w:pPr>
            <w:r w:rsidRPr="0051023B">
              <w:rPr>
                <w:rFonts w:ascii="EUAlbertina" w:hAnsi="EUAlbertina"/>
              </w:rPr>
              <w:t xml:space="preserve">e) podiel na zisku (dividenda) vyplácaný zo zisku obchodnej spoločnosti alebo družstva určeného na rozdelenie osobám, ktoré sa podieľajú na ich základnom imaní, alebo členom štatutárneho orgánu, alebo členom dozorného orgánu tejto obchodnej spoločnosti alebo družstva, pričom za podiel na zisku (dividendu) sa považuje aj príjem plynúci zo zníženia základného </w:t>
            </w:r>
            <w:r w:rsidRPr="0051023B">
              <w:rPr>
                <w:rFonts w:ascii="EUAlbertina" w:hAnsi="EUAlbertina"/>
                <w:b/>
              </w:rPr>
              <w:t>imania obchodnej spoločnosti alebo družstva, alebo rezervného fondu obchodnej spoločnosti v časti, v akej boli predtým zvýšené zo zisku po zdanení, ako aj použitie nerozdeleného zisku po zdanení na splatenie príspevkov do kapitálového fondu z príspevkov</w:t>
            </w:r>
            <w:r w:rsidRPr="0051023B">
              <w:rPr>
                <w:rFonts w:ascii="EUAlbertina" w:hAnsi="EUAlbertina"/>
              </w:rPr>
              <w:t xml:space="preserve">, podiel na likvidačnom zostatku obchodnej spoločnosti alebo družstva, vyrovnací podiel, podiel na výsledku podnikania vyplácaný tichému spoločníkovi, ak nejde o plnenia uvedené v písmene f); za obchodnú spoločnosť alebo </w:t>
            </w:r>
            <w:r w:rsidRPr="0051023B">
              <w:rPr>
                <w:rFonts w:ascii="EUAlbertina" w:hAnsi="EUAlbertina"/>
              </w:rPr>
              <w:lastRenderedPageBreak/>
              <w:t>družstvo sa považuje aj zahraničná osoba vyplácajúca obdobný príjem,</w:t>
            </w:r>
          </w:p>
          <w:p w:rsidR="008D46FD" w:rsidRDefault="008D46FD" w:rsidP="00851356">
            <w:pPr>
              <w:pStyle w:val="Normlny0"/>
              <w:rPr>
                <w:sz w:val="24"/>
                <w:szCs w:val="24"/>
              </w:rPr>
            </w:pPr>
          </w:p>
          <w:p w:rsidR="008D46FD" w:rsidRDefault="008D46FD" w:rsidP="00851356">
            <w:pPr>
              <w:pStyle w:val="Normlny0"/>
              <w:rPr>
                <w:sz w:val="24"/>
                <w:szCs w:val="24"/>
              </w:rPr>
            </w:pPr>
          </w:p>
          <w:p w:rsidR="00FE461F" w:rsidRDefault="00FE461F" w:rsidP="00851356">
            <w:pPr>
              <w:pStyle w:val="Normlny0"/>
              <w:rPr>
                <w:sz w:val="24"/>
                <w:szCs w:val="24"/>
              </w:rPr>
            </w:pPr>
            <w:r>
              <w:rPr>
                <w:sz w:val="24"/>
                <w:szCs w:val="24"/>
              </w:rPr>
              <w:t>Predmetom dane sú</w:t>
            </w:r>
          </w:p>
          <w:p w:rsidR="008D46FD" w:rsidRDefault="00FE461F" w:rsidP="00FE461F">
            <w:pPr>
              <w:pStyle w:val="Normlny0"/>
              <w:jc w:val="both"/>
              <w:rPr>
                <w:sz w:val="24"/>
                <w:szCs w:val="24"/>
              </w:rPr>
            </w:pPr>
            <w:r>
              <w:rPr>
                <w:sz w:val="24"/>
                <w:szCs w:val="24"/>
              </w:rPr>
              <w:t xml:space="preserve">f) </w:t>
            </w:r>
            <w:r w:rsidRPr="00FE461F">
              <w:rPr>
                <w:sz w:val="24"/>
                <w:szCs w:val="24"/>
              </w:rPr>
              <w:t>podiel na výsledku podnikania vyplácaný tichému spoločníkovi verejnej obchodnej spoločnosti, podiel na zisku spoločníka verejnej obchodnej spoločnosti a komplementára komanditnej spoločnosti a podiel spoločníka verejnej obchodnej spoločnosti a komplementára komanditnej spoločnosti na likvidačnom zostatku pri likvidácii spoločnosti a vyrovnací podiel pri zániku účasti spoločníka vo verejnej obchodnej spoločnosti alebo pri zániku účasti komplementára v komanditnej spoločnosti; za verejnú obchodnú spoločnosť alebo komanditnú spoločnosť sa považuje aj zahraničná osoba vyplácajúca obdobný príjem</w:t>
            </w:r>
          </w:p>
          <w:p w:rsidR="008D46FD" w:rsidRDefault="008D46FD" w:rsidP="00851356">
            <w:pPr>
              <w:pStyle w:val="Normlny0"/>
              <w:rPr>
                <w:sz w:val="24"/>
                <w:szCs w:val="24"/>
              </w:rPr>
            </w:pPr>
          </w:p>
          <w:p w:rsidR="00463DF1" w:rsidRDefault="00463DF1" w:rsidP="00851356">
            <w:pPr>
              <w:pStyle w:val="Normlny0"/>
              <w:rPr>
                <w:sz w:val="24"/>
                <w:szCs w:val="24"/>
              </w:rPr>
            </w:pPr>
          </w:p>
          <w:p w:rsidR="008D46FD" w:rsidRDefault="008D46FD" w:rsidP="00851356">
            <w:pPr>
              <w:pStyle w:val="Normlny0"/>
              <w:rPr>
                <w:sz w:val="24"/>
                <w:szCs w:val="24"/>
              </w:rPr>
            </w:pPr>
          </w:p>
          <w:p w:rsidR="00FE461F" w:rsidRDefault="00FE461F" w:rsidP="00FE461F">
            <w:pPr>
              <w:pStyle w:val="Normlny0"/>
              <w:rPr>
                <w:sz w:val="24"/>
                <w:szCs w:val="24"/>
              </w:rPr>
            </w:pPr>
            <w:r>
              <w:rPr>
                <w:sz w:val="24"/>
                <w:szCs w:val="24"/>
              </w:rPr>
              <w:t>Predmetom dane sú</w:t>
            </w:r>
          </w:p>
          <w:p w:rsidR="008D46FD" w:rsidRDefault="00FE461F" w:rsidP="00FE461F">
            <w:pPr>
              <w:pStyle w:val="Normlny0"/>
              <w:jc w:val="both"/>
              <w:rPr>
                <w:sz w:val="24"/>
                <w:szCs w:val="24"/>
              </w:rPr>
            </w:pPr>
            <w:r>
              <w:rPr>
                <w:sz w:val="24"/>
                <w:szCs w:val="24"/>
              </w:rPr>
              <w:t xml:space="preserve">g) </w:t>
            </w:r>
            <w:r w:rsidRPr="00FE461F">
              <w:rPr>
                <w:sz w:val="24"/>
                <w:szCs w:val="24"/>
              </w:rPr>
              <w:t>podiel člena pozemkového spoločenstva s právnou subjektivitou na zisku a na majetku určenom na rozdelenie členom pozemkového spoločenstva s právnou subjektivitou alebo podiel na likvidačnom zostatku pozemkového spoločenstva s právnou subjektivitou; za pozemkové spoločenstvo s právnou subjektivitou sa považuje aj zahraničná osoba vyplácajúca obdobný príjem</w:t>
            </w:r>
          </w:p>
          <w:p w:rsidR="008D46FD" w:rsidRDefault="008D46FD" w:rsidP="008D46FD">
            <w:pPr>
              <w:pStyle w:val="Normlny0"/>
              <w:jc w:val="both"/>
              <w:rPr>
                <w:sz w:val="24"/>
                <w:szCs w:val="24"/>
              </w:rPr>
            </w:pPr>
          </w:p>
          <w:p w:rsidR="00FE461F" w:rsidRDefault="00FE461F" w:rsidP="008D46FD">
            <w:pPr>
              <w:pStyle w:val="Normlny0"/>
              <w:jc w:val="both"/>
              <w:rPr>
                <w:sz w:val="24"/>
                <w:szCs w:val="24"/>
              </w:rPr>
            </w:pPr>
          </w:p>
          <w:p w:rsidR="00FE461F" w:rsidRPr="00FE461F" w:rsidRDefault="00FE461F" w:rsidP="00FE461F">
            <w:pPr>
              <w:pStyle w:val="Normlny0"/>
              <w:jc w:val="both"/>
              <w:rPr>
                <w:sz w:val="24"/>
                <w:szCs w:val="24"/>
              </w:rPr>
            </w:pPr>
            <w:r>
              <w:rPr>
                <w:sz w:val="24"/>
                <w:szCs w:val="24"/>
              </w:rPr>
              <w:t>(7) Predmetom dane nie je</w:t>
            </w:r>
          </w:p>
          <w:p w:rsidR="00FE461F" w:rsidRPr="00FE461F" w:rsidRDefault="00FE461F" w:rsidP="00FE461F">
            <w:pPr>
              <w:pStyle w:val="Normlny0"/>
              <w:jc w:val="both"/>
              <w:rPr>
                <w:sz w:val="24"/>
                <w:szCs w:val="24"/>
              </w:rPr>
            </w:pPr>
            <w:r>
              <w:rPr>
                <w:sz w:val="24"/>
                <w:szCs w:val="24"/>
              </w:rPr>
              <w:t>c)</w:t>
            </w:r>
            <w:r w:rsidRPr="00FE461F">
              <w:rPr>
                <w:sz w:val="24"/>
                <w:szCs w:val="24"/>
              </w:rPr>
              <w:t>podiel na zisku (dividenda) vyplácaný zo zisku obchodnej spoločnosti alebo družstva [§ 3 ods. 1 písm. e)] v rozsahu, v akom nie je daňovým výdavkom u daňovníka vyplácajúceho tento podiel na zisku, vyrovnací podiel, podiel na likvidačnom zostatku, podiel na výsledku podnikania vyplácaný tichému spoločníkovi alebo podiel na zisku a na majetku pozemkového spoločenstva s právnou subjektivitou [§ 3 ods. 1 písm. g)], okrem</w:t>
            </w:r>
          </w:p>
          <w:p w:rsidR="00FE461F" w:rsidRPr="00FE461F" w:rsidRDefault="00FE461F" w:rsidP="00FE461F">
            <w:pPr>
              <w:pStyle w:val="Normlny0"/>
              <w:jc w:val="both"/>
              <w:rPr>
                <w:sz w:val="24"/>
                <w:szCs w:val="24"/>
              </w:rPr>
            </w:pPr>
            <w:r w:rsidRPr="00FE461F">
              <w:rPr>
                <w:sz w:val="24"/>
                <w:szCs w:val="24"/>
              </w:rPr>
              <w:lastRenderedPageBreak/>
              <w:t xml:space="preserve"> 1. príjmu (výnosu) podľa § 3 ods. 1 písm. e) a g) vyplácaného právnickej osobe, ak tento príjem plynie daňovníkovi podľa § 2 písm. d) druhého bodu od právnickej osoby, ktorá je daňovníkom nezmluvného štátu podľa § 2 písm. x), alebo je vyplácaný daňovníkom podľa § 2 písm. d) druhého bodu právnickej osobe, ktorá je daňovníkom nezmluvného štátu podľa § 2 písm. x),</w:t>
            </w:r>
          </w:p>
          <w:p w:rsidR="00FE461F" w:rsidRPr="00FE461F" w:rsidRDefault="00FE461F" w:rsidP="00FE461F">
            <w:pPr>
              <w:pStyle w:val="Normlny0"/>
              <w:jc w:val="both"/>
              <w:rPr>
                <w:sz w:val="24"/>
                <w:szCs w:val="24"/>
              </w:rPr>
            </w:pPr>
            <w:r w:rsidRPr="00FE461F">
              <w:rPr>
                <w:sz w:val="24"/>
                <w:szCs w:val="24"/>
              </w:rPr>
              <w:t xml:space="preserve"> 2. príjmu (výnosu) podľa § 3 ods. 1 písm. f) vyplácaného právnickej osobe,</w:t>
            </w:r>
          </w:p>
          <w:p w:rsidR="00FE461F" w:rsidRPr="00FD6741" w:rsidRDefault="00FE461F" w:rsidP="008D46FD">
            <w:pPr>
              <w:pStyle w:val="Normlny0"/>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0C668D">
            <w:pPr>
              <w:jc w:val="center"/>
            </w:pPr>
            <w:r w:rsidRPr="00FD6741">
              <w:lastRenderedPageBreak/>
              <w:t>Ú</w:t>
            </w:r>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adpis1"/>
              <w:rPr>
                <w:b w:val="0"/>
                <w:bCs w:val="0"/>
              </w:rPr>
            </w:pPr>
          </w:p>
        </w:tc>
      </w:tr>
      <w:tr w:rsidR="00FE461F" w:rsidRPr="00D203E0" w:rsidTr="002375DC">
        <w:tc>
          <w:tcPr>
            <w:tcW w:w="682" w:type="dxa"/>
            <w:tcBorders>
              <w:top w:val="single" w:sz="4" w:space="0" w:color="auto"/>
              <w:left w:val="single" w:sz="12" w:space="0" w:color="auto"/>
              <w:bottom w:val="single" w:sz="4" w:space="0" w:color="auto"/>
              <w:right w:val="single" w:sz="4" w:space="0" w:color="auto"/>
            </w:tcBorders>
          </w:tcPr>
          <w:p w:rsidR="00FE461F" w:rsidRPr="00FD6741" w:rsidRDefault="00FE461F" w:rsidP="0051023B">
            <w:pPr>
              <w:jc w:val="center"/>
            </w:pPr>
            <w:r>
              <w:lastRenderedPageBreak/>
              <w:t>Čl. 5</w:t>
            </w:r>
          </w:p>
        </w:tc>
        <w:tc>
          <w:tcPr>
            <w:tcW w:w="6237" w:type="dxa"/>
            <w:gridSpan w:val="2"/>
            <w:tcBorders>
              <w:top w:val="single" w:sz="4" w:space="0" w:color="auto"/>
              <w:left w:val="single" w:sz="4" w:space="0" w:color="auto"/>
              <w:bottom w:val="single" w:sz="4" w:space="0" w:color="auto"/>
              <w:right w:val="single" w:sz="4" w:space="0" w:color="auto"/>
            </w:tcBorders>
          </w:tcPr>
          <w:p w:rsidR="00FE461F" w:rsidRDefault="00FE461F" w:rsidP="0051023B">
            <w:pPr>
              <w:pStyle w:val="CM4"/>
              <w:spacing w:before="60" w:after="60"/>
              <w:jc w:val="both"/>
            </w:pPr>
            <w:r w:rsidRPr="00FE461F">
              <w:t>Zisky, ktoré dcérska spoločnosť rozdeľuje svojej materskej spoločnosti, sa oslobodzujú od zrážkovej dane.</w:t>
            </w:r>
          </w:p>
        </w:tc>
        <w:tc>
          <w:tcPr>
            <w:tcW w:w="709" w:type="dxa"/>
            <w:tcBorders>
              <w:top w:val="single" w:sz="4" w:space="0" w:color="auto"/>
              <w:left w:val="single" w:sz="4" w:space="0" w:color="auto"/>
              <w:bottom w:val="single" w:sz="4" w:space="0" w:color="auto"/>
              <w:right w:val="single" w:sz="12" w:space="0" w:color="auto"/>
            </w:tcBorders>
          </w:tcPr>
          <w:p w:rsidR="00FE461F" w:rsidRDefault="00FE461F">
            <w:pPr>
              <w:jc w:val="center"/>
            </w:pPr>
            <w:r>
              <w:t>N</w:t>
            </w:r>
          </w:p>
        </w:tc>
        <w:tc>
          <w:tcPr>
            <w:tcW w:w="850" w:type="dxa"/>
            <w:tcBorders>
              <w:top w:val="single" w:sz="4" w:space="0" w:color="auto"/>
              <w:left w:val="nil"/>
              <w:bottom w:val="single" w:sz="4" w:space="0" w:color="auto"/>
              <w:right w:val="single" w:sz="4" w:space="0" w:color="auto"/>
            </w:tcBorders>
          </w:tcPr>
          <w:p w:rsidR="00FE461F" w:rsidRPr="00FD6741" w:rsidRDefault="00FE461F">
            <w:pPr>
              <w:jc w:val="center"/>
            </w:pPr>
            <w:r>
              <w:t>595/2003</w:t>
            </w:r>
          </w:p>
        </w:tc>
        <w:tc>
          <w:tcPr>
            <w:tcW w:w="702" w:type="dxa"/>
            <w:tcBorders>
              <w:top w:val="single" w:sz="4" w:space="0" w:color="auto"/>
              <w:left w:val="single" w:sz="4" w:space="0" w:color="auto"/>
              <w:bottom w:val="single" w:sz="4" w:space="0" w:color="auto"/>
              <w:right w:val="single" w:sz="4" w:space="0" w:color="auto"/>
            </w:tcBorders>
          </w:tcPr>
          <w:p w:rsidR="00FE461F" w:rsidRPr="00FE461F" w:rsidRDefault="00FE461F">
            <w:pPr>
              <w:pStyle w:val="Normlny0"/>
              <w:jc w:val="center"/>
              <w:rPr>
                <w:sz w:val="24"/>
                <w:szCs w:val="24"/>
              </w:rPr>
            </w:pPr>
            <w:r w:rsidRPr="00FE461F">
              <w:rPr>
                <w:sz w:val="24"/>
                <w:szCs w:val="24"/>
              </w:rPr>
              <w:t>§ 12 ods. 7 písm. c)</w:t>
            </w:r>
          </w:p>
        </w:tc>
        <w:tc>
          <w:tcPr>
            <w:tcW w:w="5110" w:type="dxa"/>
            <w:tcBorders>
              <w:top w:val="single" w:sz="4" w:space="0" w:color="auto"/>
              <w:left w:val="single" w:sz="4" w:space="0" w:color="auto"/>
              <w:bottom w:val="single" w:sz="4" w:space="0" w:color="auto"/>
              <w:right w:val="single" w:sz="4" w:space="0" w:color="auto"/>
            </w:tcBorders>
          </w:tcPr>
          <w:p w:rsidR="00FE461F" w:rsidRPr="00FE461F" w:rsidRDefault="00FE461F" w:rsidP="00FE461F">
            <w:pPr>
              <w:pStyle w:val="Normlny0"/>
              <w:jc w:val="both"/>
              <w:rPr>
                <w:sz w:val="24"/>
                <w:szCs w:val="24"/>
              </w:rPr>
            </w:pPr>
            <w:r>
              <w:rPr>
                <w:sz w:val="24"/>
                <w:szCs w:val="24"/>
              </w:rPr>
              <w:t>(7) Predmetom dane nie je</w:t>
            </w:r>
          </w:p>
          <w:p w:rsidR="00FE461F" w:rsidRPr="00FE461F" w:rsidRDefault="00FE461F" w:rsidP="00FE461F">
            <w:pPr>
              <w:pStyle w:val="Normlny0"/>
              <w:jc w:val="both"/>
              <w:rPr>
                <w:sz w:val="24"/>
                <w:szCs w:val="24"/>
              </w:rPr>
            </w:pPr>
            <w:r>
              <w:rPr>
                <w:sz w:val="24"/>
                <w:szCs w:val="24"/>
              </w:rPr>
              <w:t>c)</w:t>
            </w:r>
            <w:r w:rsidRPr="00FE461F">
              <w:rPr>
                <w:sz w:val="24"/>
                <w:szCs w:val="24"/>
              </w:rPr>
              <w:t>podiel na zisku (dividenda) vyplácaný zo zisku obchodnej spoločnosti alebo družstva [§ 3 ods. 1 písm. e)] v rozsahu, v akom nie je daňovým výdavkom u daňovníka vyplácajúceho tento podiel na zisku, vyrovnací podiel, podiel na likvidačnom zostatku, podiel na výsledku podnikania vyplácaný tichému spoločníkovi alebo podiel na zisku a na majetku pozemkového spoločenstva s právnou subjektivitou [§ 3 ods. 1 písm. g)], okrem</w:t>
            </w:r>
          </w:p>
          <w:p w:rsidR="00FE461F" w:rsidRPr="00FE461F" w:rsidRDefault="00FE461F" w:rsidP="00FE461F">
            <w:pPr>
              <w:pStyle w:val="Normlny0"/>
              <w:jc w:val="both"/>
              <w:rPr>
                <w:sz w:val="24"/>
                <w:szCs w:val="24"/>
              </w:rPr>
            </w:pPr>
            <w:r w:rsidRPr="00FE461F">
              <w:rPr>
                <w:sz w:val="24"/>
                <w:szCs w:val="24"/>
              </w:rPr>
              <w:t xml:space="preserve"> 1. príjmu (výnosu) podľa § 3 ods. 1 písm. e) a g) vyplácaného právnickej osobe, ak tento príjem plynie daňovníkovi podľa § 2 písm. d) druhého bodu od právnickej osoby, ktorá je daňovníkom nezmluvného štátu podľa § 2 písm. x), alebo je vyplácaný daňovníkom podľa § 2 písm. d) druhého bodu právnickej osobe, ktorá je daňovníkom nezmluvného štátu podľa § 2 písm. x),</w:t>
            </w:r>
          </w:p>
          <w:p w:rsidR="00FE461F" w:rsidRPr="00FE461F" w:rsidRDefault="00FE461F" w:rsidP="00FE461F">
            <w:pPr>
              <w:pStyle w:val="Normlny0"/>
              <w:jc w:val="both"/>
              <w:rPr>
                <w:sz w:val="24"/>
                <w:szCs w:val="24"/>
              </w:rPr>
            </w:pPr>
            <w:r w:rsidRPr="00FE461F">
              <w:rPr>
                <w:sz w:val="24"/>
                <w:szCs w:val="24"/>
              </w:rPr>
              <w:t xml:space="preserve"> 2. príjmu (výnosu) podľa § 3 ods. 1 písm. f) vyplácaného právnickej osobe,</w:t>
            </w:r>
          </w:p>
          <w:p w:rsidR="00FE461F" w:rsidRDefault="00FE461F" w:rsidP="0051023B">
            <w:pPr>
              <w:jc w:val="both"/>
              <w:rPr>
                <w:rFonts w:ascii="EUAlbertina" w:hAnsi="EUAlbertina"/>
              </w:rPr>
            </w:pPr>
          </w:p>
        </w:tc>
        <w:tc>
          <w:tcPr>
            <w:tcW w:w="709" w:type="dxa"/>
            <w:tcBorders>
              <w:top w:val="single" w:sz="4" w:space="0" w:color="auto"/>
              <w:left w:val="single" w:sz="4" w:space="0" w:color="auto"/>
              <w:bottom w:val="single" w:sz="4" w:space="0" w:color="auto"/>
              <w:right w:val="single" w:sz="4" w:space="0" w:color="auto"/>
            </w:tcBorders>
          </w:tcPr>
          <w:p w:rsidR="00FE461F" w:rsidRPr="00FD6741" w:rsidRDefault="00FE461F">
            <w:pPr>
              <w:jc w:val="center"/>
            </w:pPr>
            <w:r>
              <w:t>Ú</w:t>
            </w:r>
          </w:p>
        </w:tc>
        <w:tc>
          <w:tcPr>
            <w:tcW w:w="1201" w:type="dxa"/>
            <w:tcBorders>
              <w:top w:val="single" w:sz="4" w:space="0" w:color="auto"/>
              <w:left w:val="single" w:sz="4" w:space="0" w:color="auto"/>
              <w:bottom w:val="single" w:sz="4" w:space="0" w:color="auto"/>
              <w:right w:val="single" w:sz="12" w:space="0" w:color="auto"/>
            </w:tcBorders>
          </w:tcPr>
          <w:p w:rsidR="00FE461F" w:rsidRPr="00FD6741" w:rsidRDefault="00FE461F">
            <w:pPr>
              <w:pStyle w:val="Nadpis1"/>
              <w:rPr>
                <w:b w:val="0"/>
                <w:bCs w:val="0"/>
              </w:rPr>
            </w:pPr>
          </w:p>
        </w:tc>
      </w:tr>
      <w:tr w:rsidR="00FE461F" w:rsidRPr="00D203E0" w:rsidTr="002375DC">
        <w:tc>
          <w:tcPr>
            <w:tcW w:w="682" w:type="dxa"/>
            <w:tcBorders>
              <w:top w:val="single" w:sz="4" w:space="0" w:color="auto"/>
              <w:left w:val="single" w:sz="12" w:space="0" w:color="auto"/>
              <w:bottom w:val="single" w:sz="4" w:space="0" w:color="auto"/>
              <w:right w:val="single" w:sz="4" w:space="0" w:color="auto"/>
            </w:tcBorders>
          </w:tcPr>
          <w:p w:rsidR="00FE461F" w:rsidRDefault="00FE461F" w:rsidP="0051023B">
            <w:pPr>
              <w:jc w:val="center"/>
            </w:pPr>
            <w:r>
              <w:t>Čl. 6</w:t>
            </w:r>
          </w:p>
        </w:tc>
        <w:tc>
          <w:tcPr>
            <w:tcW w:w="6237" w:type="dxa"/>
            <w:gridSpan w:val="2"/>
            <w:tcBorders>
              <w:top w:val="single" w:sz="4" w:space="0" w:color="auto"/>
              <w:left w:val="single" w:sz="4" w:space="0" w:color="auto"/>
              <w:bottom w:val="single" w:sz="4" w:space="0" w:color="auto"/>
              <w:right w:val="single" w:sz="4" w:space="0" w:color="auto"/>
            </w:tcBorders>
          </w:tcPr>
          <w:p w:rsidR="00FE461F" w:rsidRDefault="00FE461F" w:rsidP="0051023B">
            <w:pPr>
              <w:pStyle w:val="CM4"/>
              <w:spacing w:before="60" w:after="60"/>
              <w:jc w:val="both"/>
            </w:pPr>
            <w:r w:rsidRPr="00FE461F">
              <w:t>Členský štát materskej spoločnosti nemôže vybrať zrážkovú daň zo zisku, ktorý takáto spoločnosť prijme od svojej dcérskej spoločnosti.</w:t>
            </w:r>
          </w:p>
        </w:tc>
        <w:tc>
          <w:tcPr>
            <w:tcW w:w="709" w:type="dxa"/>
            <w:tcBorders>
              <w:top w:val="single" w:sz="4" w:space="0" w:color="auto"/>
              <w:left w:val="single" w:sz="4" w:space="0" w:color="auto"/>
              <w:bottom w:val="single" w:sz="4" w:space="0" w:color="auto"/>
              <w:right w:val="single" w:sz="12" w:space="0" w:color="auto"/>
            </w:tcBorders>
          </w:tcPr>
          <w:p w:rsidR="00FE461F" w:rsidRDefault="00FE461F">
            <w:pPr>
              <w:jc w:val="center"/>
            </w:pPr>
            <w:r>
              <w:t>N</w:t>
            </w:r>
          </w:p>
        </w:tc>
        <w:tc>
          <w:tcPr>
            <w:tcW w:w="850" w:type="dxa"/>
            <w:tcBorders>
              <w:top w:val="single" w:sz="4" w:space="0" w:color="auto"/>
              <w:left w:val="nil"/>
              <w:bottom w:val="single" w:sz="4" w:space="0" w:color="auto"/>
              <w:right w:val="single" w:sz="4" w:space="0" w:color="auto"/>
            </w:tcBorders>
          </w:tcPr>
          <w:p w:rsidR="00FE461F" w:rsidRPr="00FD6741" w:rsidRDefault="00FE461F">
            <w:pPr>
              <w:jc w:val="center"/>
            </w:pPr>
            <w:r>
              <w:t>595/2003</w:t>
            </w:r>
          </w:p>
        </w:tc>
        <w:tc>
          <w:tcPr>
            <w:tcW w:w="702" w:type="dxa"/>
            <w:tcBorders>
              <w:top w:val="single" w:sz="4" w:space="0" w:color="auto"/>
              <w:left w:val="single" w:sz="4" w:space="0" w:color="auto"/>
              <w:bottom w:val="single" w:sz="4" w:space="0" w:color="auto"/>
              <w:right w:val="single" w:sz="4" w:space="0" w:color="auto"/>
            </w:tcBorders>
          </w:tcPr>
          <w:p w:rsidR="00FE461F" w:rsidRPr="0051023B" w:rsidRDefault="00FE461F">
            <w:pPr>
              <w:pStyle w:val="Normlny0"/>
              <w:jc w:val="center"/>
              <w:rPr>
                <w:b/>
                <w:sz w:val="24"/>
                <w:szCs w:val="24"/>
              </w:rPr>
            </w:pPr>
            <w:r w:rsidRPr="00FE461F">
              <w:rPr>
                <w:sz w:val="24"/>
                <w:szCs w:val="24"/>
              </w:rPr>
              <w:t>§ 12 ods. 7 písm. c)</w:t>
            </w:r>
          </w:p>
        </w:tc>
        <w:tc>
          <w:tcPr>
            <w:tcW w:w="5110" w:type="dxa"/>
            <w:tcBorders>
              <w:top w:val="single" w:sz="4" w:space="0" w:color="auto"/>
              <w:left w:val="single" w:sz="4" w:space="0" w:color="auto"/>
              <w:bottom w:val="single" w:sz="4" w:space="0" w:color="auto"/>
              <w:right w:val="single" w:sz="4" w:space="0" w:color="auto"/>
            </w:tcBorders>
          </w:tcPr>
          <w:p w:rsidR="00FE461F" w:rsidRPr="00FE461F" w:rsidRDefault="00FE461F" w:rsidP="00FE461F">
            <w:pPr>
              <w:pStyle w:val="Normlny0"/>
              <w:jc w:val="both"/>
              <w:rPr>
                <w:sz w:val="24"/>
                <w:szCs w:val="24"/>
              </w:rPr>
            </w:pPr>
            <w:r>
              <w:rPr>
                <w:sz w:val="24"/>
                <w:szCs w:val="24"/>
              </w:rPr>
              <w:t>(7) Predmetom dane nie je</w:t>
            </w:r>
          </w:p>
          <w:p w:rsidR="00FE461F" w:rsidRPr="00FE461F" w:rsidRDefault="00FE461F" w:rsidP="00FE461F">
            <w:pPr>
              <w:pStyle w:val="Normlny0"/>
              <w:jc w:val="both"/>
              <w:rPr>
                <w:sz w:val="24"/>
                <w:szCs w:val="24"/>
              </w:rPr>
            </w:pPr>
            <w:r>
              <w:rPr>
                <w:sz w:val="24"/>
                <w:szCs w:val="24"/>
              </w:rPr>
              <w:t>c)</w:t>
            </w:r>
            <w:r w:rsidRPr="00FE461F">
              <w:rPr>
                <w:sz w:val="24"/>
                <w:szCs w:val="24"/>
              </w:rPr>
              <w:t xml:space="preserve">podiel na zisku (dividenda) vyplácaný zo zisku obchodnej spoločnosti alebo družstva [§ 3 ods. 1 písm. e)] v rozsahu, v akom nie je daňovým výdavkom u daňovníka vyplácajúceho tento podiel na zisku, vyrovnací podiel, podiel na likvidačnom zostatku, podiel na výsledku podnikania vyplácaný tichému spoločníkovi alebo podiel na zisku a na majetku pozemkového </w:t>
            </w:r>
            <w:r w:rsidRPr="00FE461F">
              <w:rPr>
                <w:sz w:val="24"/>
                <w:szCs w:val="24"/>
              </w:rPr>
              <w:lastRenderedPageBreak/>
              <w:t>spoločenstva s právnou subjektivitou [§ 3 ods. 1 písm. g)], okrem</w:t>
            </w:r>
          </w:p>
          <w:p w:rsidR="00FE461F" w:rsidRPr="00FE461F" w:rsidRDefault="00FE461F" w:rsidP="00FE461F">
            <w:pPr>
              <w:pStyle w:val="Normlny0"/>
              <w:jc w:val="both"/>
              <w:rPr>
                <w:sz w:val="24"/>
                <w:szCs w:val="24"/>
              </w:rPr>
            </w:pPr>
            <w:r w:rsidRPr="00FE461F">
              <w:rPr>
                <w:sz w:val="24"/>
                <w:szCs w:val="24"/>
              </w:rPr>
              <w:t xml:space="preserve"> 1. príjmu (výnosu) podľa § 3 ods. 1 písm. e) a g) vyplácaného právnickej osobe, ak tento príjem plynie daňovníkovi podľa § 2 písm. d) druhého bodu od právnickej osoby, ktorá je daňovníkom nezmluvného štátu podľa § 2 písm. x), alebo je vyplácaný daňovníkom podľa § 2 písm. d) druhého bodu právnickej osobe, ktorá je daňovníkom nezmluvného štátu podľa § 2 písm. x),</w:t>
            </w:r>
          </w:p>
          <w:p w:rsidR="00FE461F" w:rsidRPr="00FE461F" w:rsidRDefault="00FE461F" w:rsidP="00FE461F">
            <w:pPr>
              <w:pStyle w:val="Normlny0"/>
              <w:jc w:val="both"/>
              <w:rPr>
                <w:sz w:val="24"/>
                <w:szCs w:val="24"/>
              </w:rPr>
            </w:pPr>
            <w:r w:rsidRPr="00FE461F">
              <w:rPr>
                <w:sz w:val="24"/>
                <w:szCs w:val="24"/>
              </w:rPr>
              <w:t xml:space="preserve"> 2. príjmu (výnosu) podľa § 3 ods. 1 písm. f) vyplácaného právnickej osobe,</w:t>
            </w:r>
          </w:p>
          <w:p w:rsidR="00FE461F" w:rsidRDefault="00FE461F" w:rsidP="0051023B">
            <w:pPr>
              <w:jc w:val="both"/>
              <w:rPr>
                <w:rFonts w:ascii="EUAlbertina" w:hAnsi="EUAlbertina"/>
              </w:rPr>
            </w:pPr>
          </w:p>
        </w:tc>
        <w:tc>
          <w:tcPr>
            <w:tcW w:w="709" w:type="dxa"/>
            <w:tcBorders>
              <w:top w:val="single" w:sz="4" w:space="0" w:color="auto"/>
              <w:left w:val="single" w:sz="4" w:space="0" w:color="auto"/>
              <w:bottom w:val="single" w:sz="4" w:space="0" w:color="auto"/>
              <w:right w:val="single" w:sz="4" w:space="0" w:color="auto"/>
            </w:tcBorders>
          </w:tcPr>
          <w:p w:rsidR="00FE461F" w:rsidRPr="00FD6741" w:rsidRDefault="00FE461F">
            <w:pPr>
              <w:jc w:val="center"/>
            </w:pPr>
            <w:r>
              <w:lastRenderedPageBreak/>
              <w:t>Ú</w:t>
            </w:r>
          </w:p>
        </w:tc>
        <w:tc>
          <w:tcPr>
            <w:tcW w:w="1201" w:type="dxa"/>
            <w:tcBorders>
              <w:top w:val="single" w:sz="4" w:space="0" w:color="auto"/>
              <w:left w:val="single" w:sz="4" w:space="0" w:color="auto"/>
              <w:bottom w:val="single" w:sz="4" w:space="0" w:color="auto"/>
              <w:right w:val="single" w:sz="12" w:space="0" w:color="auto"/>
            </w:tcBorders>
          </w:tcPr>
          <w:p w:rsidR="00FE461F" w:rsidRPr="00FD6741" w:rsidRDefault="00FE461F">
            <w:pPr>
              <w:pStyle w:val="Nadpis1"/>
              <w:rPr>
                <w:b w:val="0"/>
                <w:bCs w:val="0"/>
              </w:rPr>
            </w:pPr>
          </w:p>
        </w:tc>
      </w:tr>
    </w:tbl>
    <w:p w:rsidR="008C54C3" w:rsidRPr="00D203E0" w:rsidRDefault="008C54C3">
      <w:pPr>
        <w:autoSpaceDE/>
        <w:autoSpaceDN/>
        <w:ind w:left="360"/>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D203E0">
        <w:tc>
          <w:tcPr>
            <w:tcW w:w="241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(1):</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článok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odsek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V – veta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 xml:space="preserve">P – </w:t>
            </w:r>
            <w:r w:rsidR="00DA0F6C" w:rsidRPr="00D203E0">
              <w:rPr>
                <w:rFonts w:ascii="Arial Narrow" w:hAnsi="Arial Narrow"/>
                <w:sz w:val="20"/>
                <w:szCs w:val="20"/>
              </w:rPr>
              <w:t>číslo</w:t>
            </w:r>
            <w:r w:rsidRPr="00D203E0">
              <w:rPr>
                <w:rFonts w:ascii="Arial Narrow" w:hAnsi="Arial Narrow"/>
                <w:sz w:val="20"/>
                <w:szCs w:val="20"/>
              </w:rPr>
              <w:t xml:space="preserve"> (</w:t>
            </w:r>
            <w:r w:rsidR="00DA0F6C" w:rsidRPr="00D203E0">
              <w:rPr>
                <w:rFonts w:ascii="Arial Narrow" w:hAnsi="Arial Narrow"/>
                <w:sz w:val="20"/>
                <w:szCs w:val="20"/>
              </w:rPr>
              <w:t>písmeno</w:t>
            </w:r>
            <w:r w:rsidRPr="00D203E0">
              <w:rPr>
                <w:rFonts w:ascii="Arial Narrow" w:hAnsi="Arial Narrow"/>
                <w:sz w:val="20"/>
                <w:szCs w:val="20"/>
              </w:rPr>
              <w:t>)</w:t>
            </w:r>
          </w:p>
          <w:p w:rsidR="008C54C3" w:rsidRPr="00D203E0" w:rsidRDefault="008C54C3">
            <w:pPr>
              <w:autoSpaceDE/>
              <w:autoSpaceDN/>
              <w:rPr>
                <w:rFonts w:ascii="Arial Narrow" w:hAnsi="Arial Narrow"/>
                <w:sz w:val="20"/>
                <w:szCs w:val="20"/>
              </w:rPr>
            </w:pPr>
          </w:p>
        </w:tc>
        <w:tc>
          <w:tcPr>
            <w:tcW w:w="378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(3):</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N – bežná transpozícia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transpozícia s možnosťou voľby</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D – transpozícia podľa úvahy (dobrovoľná)</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n.a. – transpozícia sa neuskutočňuje</w:t>
            </w:r>
          </w:p>
        </w:tc>
        <w:tc>
          <w:tcPr>
            <w:tcW w:w="234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(5):</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článok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 – paragraf</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odsek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V – veta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P – písmeno (číslo)</w:t>
            </w:r>
          </w:p>
        </w:tc>
        <w:tc>
          <w:tcPr>
            <w:tcW w:w="720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(7):</w:t>
            </w:r>
          </w:p>
          <w:p w:rsidR="008C54C3" w:rsidRPr="00D203E0" w:rsidRDefault="008C54C3" w:rsidP="008C54C3">
            <w:pPr>
              <w:autoSpaceDE/>
              <w:autoSpaceDN/>
              <w:ind w:left="290" w:hanging="290"/>
              <w:rPr>
                <w:rFonts w:ascii="Arial Narrow" w:hAnsi="Arial Narrow"/>
                <w:sz w:val="20"/>
                <w:szCs w:val="20"/>
              </w:rPr>
            </w:pPr>
            <w:r w:rsidRPr="00D203E0">
              <w:rPr>
                <w:rFonts w:ascii="Arial Narrow" w:hAnsi="Arial Narrow"/>
                <w:sz w:val="20"/>
                <w:szCs w:val="20"/>
              </w:rPr>
              <w:t>Ú – úplná zhoda (ak bolo ustanovenie smernice prebraté v celom rozsahu, správne, v príslušnej form</w:t>
            </w:r>
            <w:r w:rsidR="00391DC5" w:rsidRPr="00D203E0">
              <w:rPr>
                <w:rFonts w:ascii="Arial Narrow" w:hAnsi="Arial Narrow"/>
                <w:sz w:val="20"/>
                <w:szCs w:val="20"/>
              </w:rPr>
              <w:t>e</w:t>
            </w:r>
            <w:r w:rsidRPr="00D203E0">
              <w:rPr>
                <w:rFonts w:ascii="Arial Narrow" w:hAnsi="Arial Narrow"/>
                <w:sz w:val="20"/>
                <w:szCs w:val="20"/>
              </w:rPr>
              <w:t>, so zabezpečenou inštitucionálnou nfraštruktúrou, s príslušnými sankciami a vo vzájomnej súvislosti)</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čiastočná zhoda (ak minimálne jedna z podmienok úplnej zhody nie je splnená)</w:t>
            </w:r>
          </w:p>
          <w:p w:rsidR="008C54C3" w:rsidRPr="00D203E0" w:rsidRDefault="008C54C3">
            <w:pPr>
              <w:pStyle w:val="Zarkazkladnhotextu2"/>
              <w:rPr>
                <w:rFonts w:ascii="Arial Narrow" w:hAnsi="Arial Narrow"/>
              </w:rPr>
            </w:pPr>
            <w:r w:rsidRPr="00D203E0">
              <w:rPr>
                <w:rFonts w:ascii="Arial Narrow" w:hAnsi="Arial Narrow"/>
              </w:rPr>
              <w:t>Ž – žiadna zhoda (ak nebola dosiahnutá ani úplná ani čiast. zhoda alebo k prebratiu dôjde v budúcnosti)</w:t>
            </w:r>
          </w:p>
          <w:p w:rsidR="008C54C3" w:rsidRPr="00D203E0" w:rsidRDefault="008C54C3">
            <w:pPr>
              <w:autoSpaceDE/>
              <w:autoSpaceDN/>
              <w:ind w:left="290" w:hanging="290"/>
              <w:rPr>
                <w:rFonts w:ascii="Arial Narrow" w:hAnsi="Arial Narrow"/>
                <w:sz w:val="20"/>
                <w:szCs w:val="20"/>
              </w:rPr>
            </w:pPr>
            <w:r w:rsidRPr="00D203E0">
              <w:rPr>
                <w:rFonts w:ascii="Arial Narrow" w:hAnsi="Arial Narrow"/>
                <w:sz w:val="20"/>
                <w:szCs w:val="20"/>
              </w:rPr>
              <w:t>n.a. – neaplikovateľnosť (ak sa ustanovenie smernice netýka SR alebo nie je potrebné ho prebrať)</w:t>
            </w:r>
          </w:p>
        </w:tc>
      </w:tr>
    </w:tbl>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pStyle w:val="Hlavika"/>
        <w:tabs>
          <w:tab w:val="clear" w:pos="4536"/>
          <w:tab w:val="clear" w:pos="9072"/>
        </w:tabs>
        <w:autoSpaceDE/>
        <w:autoSpaceDN/>
        <w:rPr>
          <w:rFonts w:ascii="Arial Narrow" w:hAnsi="Arial Narrow"/>
          <w:sz w:val="20"/>
          <w:szCs w:val="20"/>
        </w:rPr>
      </w:pPr>
    </w:p>
    <w:sectPr w:rsidR="008C54C3" w:rsidRPr="00D203E0">
      <w:footerReference w:type="default" r:id="rId7"/>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974" w:rsidRDefault="00486974">
      <w:r>
        <w:separator/>
      </w:r>
    </w:p>
  </w:endnote>
  <w:endnote w:type="continuationSeparator" w:id="0">
    <w:p w:rsidR="00486974" w:rsidRDefault="0048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2FF" w:usb1="400004FF" w:usb2="00000000" w:usb3="00000000" w:csb0="0000019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C3" w:rsidRDefault="008C54C3">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B41FE">
      <w:rPr>
        <w:rStyle w:val="slostrany"/>
        <w:noProof/>
      </w:rPr>
      <w:t>5</w:t>
    </w:r>
    <w:r>
      <w:rPr>
        <w:rStyle w:val="slostrany"/>
      </w:rPr>
      <w:fldChar w:fldCharType="end"/>
    </w:r>
  </w:p>
  <w:p w:rsidR="008C54C3" w:rsidRDefault="008C54C3">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974" w:rsidRDefault="00486974">
      <w:r>
        <w:separator/>
      </w:r>
    </w:p>
  </w:footnote>
  <w:footnote w:type="continuationSeparator" w:id="0">
    <w:p w:rsidR="00486974" w:rsidRDefault="00486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A132FF9"/>
    <w:multiLevelType w:val="hybridMultilevel"/>
    <w:tmpl w:val="5C242D56"/>
    <w:lvl w:ilvl="0" w:tplc="0A90A45E">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5"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6" w15:restartNumberingAfterBreak="0">
    <w:nsid w:val="1D127C22"/>
    <w:multiLevelType w:val="hybridMultilevel"/>
    <w:tmpl w:val="1E46A5B6"/>
    <w:lvl w:ilvl="0" w:tplc="A0D497C8">
      <w:start w:val="1"/>
      <w:numFmt w:val="decimal"/>
      <w:lvlText w:val="(%1)"/>
      <w:lvlJc w:val="left"/>
      <w:pPr>
        <w:ind w:left="36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9"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626796"/>
    <w:multiLevelType w:val="hybridMultilevel"/>
    <w:tmpl w:val="DE6C70DC"/>
    <w:lvl w:ilvl="0" w:tplc="38AA26B8">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2"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FF00F5"/>
    <w:multiLevelType w:val="hybridMultilevel"/>
    <w:tmpl w:val="3860313C"/>
    <w:lvl w:ilvl="0" w:tplc="41DE52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4"/>
    <w:lvlOverride w:ilvl="0">
      <w:startOverride w:val="3"/>
    </w:lvlOverride>
  </w:num>
  <w:num w:numId="3">
    <w:abstractNumId w:val="8"/>
  </w:num>
  <w:num w:numId="4">
    <w:abstractNumId w:val="8"/>
    <w:lvlOverride w:ilvl="0">
      <w:startOverride w:val="2"/>
    </w:lvlOverride>
  </w:num>
  <w:num w:numId="5">
    <w:abstractNumId w:val="5"/>
  </w:num>
  <w:num w:numId="6">
    <w:abstractNumId w:val="5"/>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2"/>
  </w:num>
  <w:num w:numId="12">
    <w:abstractNumId w:val="3"/>
  </w:num>
  <w:num w:numId="13">
    <w:abstractNumId w:val="10"/>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0CA2"/>
    <w:rsid w:val="00016221"/>
    <w:rsid w:val="000A38AD"/>
    <w:rsid w:val="000C1284"/>
    <w:rsid w:val="000C668D"/>
    <w:rsid w:val="000D4F5C"/>
    <w:rsid w:val="000E18BF"/>
    <w:rsid w:val="00127033"/>
    <w:rsid w:val="00133310"/>
    <w:rsid w:val="00144A2B"/>
    <w:rsid w:val="00153B33"/>
    <w:rsid w:val="00171F5E"/>
    <w:rsid w:val="00177C9B"/>
    <w:rsid w:val="00196055"/>
    <w:rsid w:val="001A7425"/>
    <w:rsid w:val="001D4FBE"/>
    <w:rsid w:val="001F3426"/>
    <w:rsid w:val="001F435A"/>
    <w:rsid w:val="002375DC"/>
    <w:rsid w:val="002503C3"/>
    <w:rsid w:val="00250F0E"/>
    <w:rsid w:val="002622F8"/>
    <w:rsid w:val="00323C76"/>
    <w:rsid w:val="003444EA"/>
    <w:rsid w:val="00391DC5"/>
    <w:rsid w:val="003D7EC4"/>
    <w:rsid w:val="00463DF1"/>
    <w:rsid w:val="00465C94"/>
    <w:rsid w:val="00486974"/>
    <w:rsid w:val="0051023B"/>
    <w:rsid w:val="005170A9"/>
    <w:rsid w:val="0052784C"/>
    <w:rsid w:val="00527D90"/>
    <w:rsid w:val="00556D20"/>
    <w:rsid w:val="005875CD"/>
    <w:rsid w:val="005A57B9"/>
    <w:rsid w:val="005D052C"/>
    <w:rsid w:val="006516A2"/>
    <w:rsid w:val="0068090C"/>
    <w:rsid w:val="006B35CB"/>
    <w:rsid w:val="00700360"/>
    <w:rsid w:val="007022C6"/>
    <w:rsid w:val="00725774"/>
    <w:rsid w:val="00784999"/>
    <w:rsid w:val="00787ECF"/>
    <w:rsid w:val="007B2D8E"/>
    <w:rsid w:val="00850C59"/>
    <w:rsid w:val="00851356"/>
    <w:rsid w:val="008A1D0F"/>
    <w:rsid w:val="008A2E47"/>
    <w:rsid w:val="008B41FE"/>
    <w:rsid w:val="008C2B65"/>
    <w:rsid w:val="008C54C3"/>
    <w:rsid w:val="008D46FD"/>
    <w:rsid w:val="008E2810"/>
    <w:rsid w:val="009050FB"/>
    <w:rsid w:val="00912D47"/>
    <w:rsid w:val="00925073"/>
    <w:rsid w:val="00977BAF"/>
    <w:rsid w:val="00994392"/>
    <w:rsid w:val="009A347B"/>
    <w:rsid w:val="009C0B2B"/>
    <w:rsid w:val="009F70A1"/>
    <w:rsid w:val="00A10B79"/>
    <w:rsid w:val="00A21BCB"/>
    <w:rsid w:val="00A3063A"/>
    <w:rsid w:val="00A351F3"/>
    <w:rsid w:val="00A36D3D"/>
    <w:rsid w:val="00A459C7"/>
    <w:rsid w:val="00A9063F"/>
    <w:rsid w:val="00AC309B"/>
    <w:rsid w:val="00AC3670"/>
    <w:rsid w:val="00B45003"/>
    <w:rsid w:val="00BA7E55"/>
    <w:rsid w:val="00C45035"/>
    <w:rsid w:val="00D203E0"/>
    <w:rsid w:val="00D60B99"/>
    <w:rsid w:val="00DA0F6C"/>
    <w:rsid w:val="00DA763F"/>
    <w:rsid w:val="00DE0F85"/>
    <w:rsid w:val="00E16480"/>
    <w:rsid w:val="00E86373"/>
    <w:rsid w:val="00EF5CBC"/>
    <w:rsid w:val="00EF6398"/>
    <w:rsid w:val="00F03F8B"/>
    <w:rsid w:val="00F63902"/>
    <w:rsid w:val="00F7729E"/>
    <w:rsid w:val="00FA65FC"/>
    <w:rsid w:val="00FD6741"/>
    <w:rsid w:val="00FE1BFF"/>
    <w:rsid w:val="00FE461F"/>
    <w:rsid w:val="00FF79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B09B56-8A48-4D4F-AC92-AFA2A25C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57B9"/>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CharCharCharCharCharCharChar1">
    <w:name w:val="Char Char Char Char Char Char Char1"/>
    <w:basedOn w:val="Normlny"/>
    <w:rsid w:val="001F3426"/>
    <w:pPr>
      <w:autoSpaceDE/>
      <w:autoSpaceDN/>
      <w:spacing w:after="160" w:line="240" w:lineRule="exact"/>
    </w:pPr>
    <w:rPr>
      <w:rFonts w:ascii="Tahoma" w:hAnsi="Tahoma" w:cs="Tahoma"/>
      <w:sz w:val="20"/>
      <w:szCs w:val="20"/>
      <w:lang w:val="en-US" w:eastAsia="en-US"/>
    </w:rPr>
  </w:style>
  <w:style w:type="paragraph" w:customStyle="1" w:styleId="Default">
    <w:name w:val="Default"/>
    <w:rsid w:val="002375DC"/>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2375DC"/>
    <w:rPr>
      <w:rFonts w:cs="Times New Roman"/>
      <w:color w:val="auto"/>
    </w:rPr>
  </w:style>
  <w:style w:type="paragraph" w:customStyle="1" w:styleId="CM4">
    <w:name w:val="CM4"/>
    <w:basedOn w:val="Default"/>
    <w:next w:val="Default"/>
    <w:uiPriority w:val="99"/>
    <w:rsid w:val="002375DC"/>
    <w:rPr>
      <w:rFonts w:cs="Times New Roman"/>
      <w:color w:val="auto"/>
    </w:rPr>
  </w:style>
  <w:style w:type="paragraph" w:styleId="Odsekzoznamu">
    <w:name w:val="List Paragraph"/>
    <w:aliases w:val="body,Odsek zoznamu2"/>
    <w:basedOn w:val="Normlny"/>
    <w:link w:val="OdsekzoznamuChar"/>
    <w:uiPriority w:val="34"/>
    <w:qFormat/>
    <w:rsid w:val="006516A2"/>
    <w:pPr>
      <w:autoSpaceDE/>
      <w:autoSpaceDN/>
      <w:spacing w:after="160" w:line="259" w:lineRule="auto"/>
      <w:ind w:left="720"/>
      <w:contextualSpacing/>
    </w:pPr>
    <w:rPr>
      <w:rFonts w:ascii="Calibri" w:hAnsi="Calibri"/>
      <w:sz w:val="22"/>
      <w:szCs w:val="22"/>
      <w:lang w:eastAsia="en-US"/>
    </w:rPr>
  </w:style>
  <w:style w:type="character" w:customStyle="1" w:styleId="OdsekzoznamuChar">
    <w:name w:val="Odsek zoznamu Char"/>
    <w:aliases w:val="body Char,Odsek zoznamu2 Char"/>
    <w:link w:val="Odsekzoznamu"/>
    <w:uiPriority w:val="34"/>
    <w:locked/>
    <w:rsid w:val="006516A2"/>
    <w:rPr>
      <w:rFonts w:ascii="Calibri" w:hAnsi="Calibri"/>
      <w:lang w:val="x-none" w:eastAsia="en-US"/>
    </w:rPr>
  </w:style>
  <w:style w:type="character" w:styleId="Hypertextovprepojenie">
    <w:name w:val="Hyperlink"/>
    <w:basedOn w:val="Predvolenpsmoodseku"/>
    <w:uiPriority w:val="99"/>
    <w:unhideWhenUsed/>
    <w:rsid w:val="00323C76"/>
    <w:rPr>
      <w:rFonts w:cs="Times New Roman"/>
      <w:color w:val="05507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7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1177</Words>
  <Characters>6613</Characters>
  <Application>Microsoft Office Word</Application>
  <DocSecurity>4</DocSecurity>
  <Lines>55</Lines>
  <Paragraphs>15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Herkova Jana</cp:lastModifiedBy>
  <cp:revision>2</cp:revision>
  <cp:lastPrinted>2006-12-14T13:09:00Z</cp:lastPrinted>
  <dcterms:created xsi:type="dcterms:W3CDTF">2019-05-22T06:45:00Z</dcterms:created>
  <dcterms:modified xsi:type="dcterms:W3CDTF">2019-05-22T06:45:00Z</dcterms:modified>
</cp:coreProperties>
</file>