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748" w:rsidRPr="007D5748" w:rsidRDefault="007D5748" w:rsidP="007D5748">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Analýza vplyvov na rozpočet verejnej správy,</w:t>
      </w:r>
    </w:p>
    <w:p w:rsidR="007D5748" w:rsidRPr="007D5748" w:rsidRDefault="007D5748" w:rsidP="007D5748">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p>
    <w:p w:rsidR="00E963A3" w:rsidRPr="00212894" w:rsidRDefault="00E963A3" w:rsidP="007D5748">
      <w:pPr>
        <w:spacing w:after="0" w:line="240" w:lineRule="auto"/>
        <w:jc w:val="right"/>
        <w:rPr>
          <w:rFonts w:ascii="Times New Roman" w:eastAsia="Times New Roman" w:hAnsi="Times New Roman" w:cs="Times New Roman"/>
          <w:b/>
          <w:bCs/>
          <w:sz w:val="24"/>
          <w:szCs w:val="24"/>
          <w:lang w:eastAsia="sk-SK"/>
        </w:rPr>
      </w:pPr>
    </w:p>
    <w:p w:rsidR="00E963A3" w:rsidRPr="00212894" w:rsidRDefault="00E963A3" w:rsidP="00212894">
      <w:pPr>
        <w:spacing w:after="0" w:line="240" w:lineRule="auto"/>
        <w:rPr>
          <w:rFonts w:ascii="Times New Roman" w:eastAsia="Times New Roman" w:hAnsi="Times New Roman" w:cs="Times New Roman"/>
          <w:b/>
          <w:bCs/>
          <w:sz w:val="24"/>
          <w:szCs w:val="24"/>
          <w:lang w:eastAsia="sk-SK"/>
        </w:rPr>
      </w:pPr>
      <w:r w:rsidRPr="00212894">
        <w:rPr>
          <w:rFonts w:ascii="Times New Roman" w:eastAsia="Times New Roman" w:hAnsi="Times New Roman" w:cs="Times New Roman"/>
          <w:b/>
          <w:bCs/>
          <w:sz w:val="24"/>
          <w:szCs w:val="24"/>
          <w:lang w:eastAsia="sk-SK"/>
        </w:rPr>
        <w:t>2.1 Zhrnutie vplyvov na rozpočet verejnej správy v návrhu</w:t>
      </w:r>
    </w:p>
    <w:p w:rsidR="00E963A3" w:rsidRDefault="00E963A3" w:rsidP="007D5748">
      <w:pPr>
        <w:spacing w:after="0" w:line="240" w:lineRule="auto"/>
        <w:jc w:val="right"/>
        <w:rPr>
          <w:rFonts w:ascii="Times New Roman" w:eastAsia="Times New Roman" w:hAnsi="Times New Roman" w:cs="Times New Roman"/>
          <w:sz w:val="20"/>
          <w:szCs w:val="20"/>
          <w:lang w:eastAsia="sk-SK"/>
        </w:rPr>
      </w:pPr>
    </w:p>
    <w:p w:rsidR="007D5748" w:rsidRPr="007D5748" w:rsidRDefault="007D5748" w:rsidP="007D5748">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4"/>
        <w:gridCol w:w="1276"/>
        <w:gridCol w:w="1559"/>
        <w:gridCol w:w="1418"/>
        <w:gridCol w:w="1512"/>
      </w:tblGrid>
      <w:tr w:rsidR="007D5748" w:rsidRPr="007D5748" w:rsidTr="000E1143">
        <w:trPr>
          <w:cantSplit/>
          <w:trHeight w:val="194"/>
          <w:jc w:val="center"/>
        </w:trPr>
        <w:tc>
          <w:tcPr>
            <w:tcW w:w="3964" w:type="dxa"/>
            <w:vMerge w:val="restart"/>
            <w:shd w:val="clear" w:color="auto" w:fill="BFBFBF" w:themeFill="background1" w:themeFillShade="BF"/>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bookmarkStart w:id="0" w:name="OLE_LINK1"/>
            <w:r w:rsidRPr="007D5748">
              <w:rPr>
                <w:rFonts w:ascii="Times New Roman" w:eastAsia="Times New Roman" w:hAnsi="Times New Roman" w:cs="Times New Roman"/>
                <w:b/>
                <w:bCs/>
                <w:sz w:val="24"/>
                <w:szCs w:val="24"/>
                <w:lang w:eastAsia="sk-SK"/>
              </w:rPr>
              <w:t>Vplyvy na rozpočet verejnej správy</w:t>
            </w:r>
          </w:p>
        </w:tc>
        <w:tc>
          <w:tcPr>
            <w:tcW w:w="5765" w:type="dxa"/>
            <w:gridSpan w:val="4"/>
            <w:shd w:val="clear" w:color="auto" w:fill="BFBFBF" w:themeFill="background1" w:themeFillShade="BF"/>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Vplyv na rozpočet verejnej správy (v </w:t>
            </w:r>
            <w:r w:rsidR="003C3C19">
              <w:rPr>
                <w:rFonts w:ascii="Times New Roman" w:eastAsia="Times New Roman" w:hAnsi="Times New Roman" w:cs="Times New Roman"/>
                <w:b/>
                <w:bCs/>
                <w:sz w:val="24"/>
                <w:szCs w:val="24"/>
                <w:lang w:eastAsia="sk-SK"/>
              </w:rPr>
              <w:t xml:space="preserve">tis. </w:t>
            </w:r>
            <w:r w:rsidRPr="007D5748">
              <w:rPr>
                <w:rFonts w:ascii="Times New Roman" w:eastAsia="Times New Roman" w:hAnsi="Times New Roman" w:cs="Times New Roman"/>
                <w:b/>
                <w:bCs/>
                <w:sz w:val="24"/>
                <w:szCs w:val="24"/>
                <w:lang w:eastAsia="sk-SK"/>
              </w:rPr>
              <w:t>eurách)</w:t>
            </w:r>
          </w:p>
        </w:tc>
      </w:tr>
      <w:tr w:rsidR="002D5815" w:rsidRPr="007D5748" w:rsidTr="000E1143">
        <w:trPr>
          <w:cantSplit/>
          <w:trHeight w:val="70"/>
          <w:jc w:val="center"/>
        </w:trPr>
        <w:tc>
          <w:tcPr>
            <w:tcW w:w="3964" w:type="dxa"/>
            <w:vMerge/>
            <w:shd w:val="clear" w:color="auto" w:fill="BFBFBF" w:themeFill="background1" w:themeFillShade="BF"/>
            <w:vAlign w:val="center"/>
          </w:tcPr>
          <w:p w:rsidR="002D5815" w:rsidRPr="007D5748" w:rsidRDefault="002D5815" w:rsidP="002D5815">
            <w:pPr>
              <w:spacing w:after="0" w:line="240" w:lineRule="auto"/>
              <w:jc w:val="center"/>
              <w:rPr>
                <w:rFonts w:ascii="Times New Roman" w:eastAsia="Times New Roman" w:hAnsi="Times New Roman" w:cs="Times New Roman"/>
                <w:b/>
                <w:bCs/>
                <w:sz w:val="24"/>
                <w:szCs w:val="24"/>
                <w:lang w:eastAsia="sk-SK"/>
              </w:rPr>
            </w:pPr>
          </w:p>
        </w:tc>
        <w:tc>
          <w:tcPr>
            <w:tcW w:w="1276" w:type="dxa"/>
            <w:shd w:val="clear" w:color="auto" w:fill="BFBFBF" w:themeFill="background1" w:themeFillShade="BF"/>
            <w:vAlign w:val="center"/>
          </w:tcPr>
          <w:p w:rsidR="002D5815" w:rsidRPr="007D5748" w:rsidRDefault="003C3C19" w:rsidP="002D581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2019</w:t>
            </w:r>
          </w:p>
        </w:tc>
        <w:tc>
          <w:tcPr>
            <w:tcW w:w="1559" w:type="dxa"/>
            <w:shd w:val="clear" w:color="auto" w:fill="BFBFBF" w:themeFill="background1" w:themeFillShade="BF"/>
            <w:vAlign w:val="center"/>
          </w:tcPr>
          <w:p w:rsidR="002D5815" w:rsidRPr="007D5748" w:rsidRDefault="002D5815" w:rsidP="003C3C1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w:t>
            </w:r>
            <w:r w:rsidR="003C3C19">
              <w:rPr>
                <w:rFonts w:ascii="Times New Roman" w:eastAsia="Times New Roman" w:hAnsi="Times New Roman" w:cs="Times New Roman"/>
                <w:b/>
                <w:bCs/>
                <w:sz w:val="24"/>
                <w:szCs w:val="24"/>
                <w:lang w:eastAsia="sk-SK"/>
              </w:rPr>
              <w:t>20</w:t>
            </w:r>
          </w:p>
        </w:tc>
        <w:tc>
          <w:tcPr>
            <w:tcW w:w="1418" w:type="dxa"/>
            <w:shd w:val="clear" w:color="auto" w:fill="BFBFBF" w:themeFill="background1" w:themeFillShade="BF"/>
            <w:vAlign w:val="center"/>
          </w:tcPr>
          <w:p w:rsidR="002D5815" w:rsidRPr="007D5748" w:rsidRDefault="002D5815" w:rsidP="003C3C1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w:t>
            </w:r>
            <w:r w:rsidR="003C3C19">
              <w:rPr>
                <w:rFonts w:ascii="Times New Roman" w:eastAsia="Times New Roman" w:hAnsi="Times New Roman" w:cs="Times New Roman"/>
                <w:b/>
                <w:bCs/>
                <w:sz w:val="24"/>
                <w:szCs w:val="24"/>
                <w:lang w:eastAsia="sk-SK"/>
              </w:rPr>
              <w:t>21</w:t>
            </w:r>
          </w:p>
        </w:tc>
        <w:tc>
          <w:tcPr>
            <w:tcW w:w="1512" w:type="dxa"/>
            <w:shd w:val="clear" w:color="auto" w:fill="BFBFBF" w:themeFill="background1" w:themeFillShade="BF"/>
            <w:vAlign w:val="center"/>
          </w:tcPr>
          <w:p w:rsidR="002D5815" w:rsidRPr="007D5748" w:rsidRDefault="002D5815" w:rsidP="003C3C1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w:t>
            </w:r>
            <w:r w:rsidR="003C3C19">
              <w:rPr>
                <w:rFonts w:ascii="Times New Roman" w:eastAsia="Times New Roman" w:hAnsi="Times New Roman" w:cs="Times New Roman"/>
                <w:b/>
                <w:bCs/>
                <w:sz w:val="24"/>
                <w:szCs w:val="24"/>
                <w:lang w:eastAsia="sk-SK"/>
              </w:rPr>
              <w:t>2</w:t>
            </w:r>
          </w:p>
        </w:tc>
      </w:tr>
      <w:tr w:rsidR="006F1FD4" w:rsidRPr="007D5748" w:rsidTr="006F1FD4">
        <w:trPr>
          <w:trHeight w:val="70"/>
          <w:jc w:val="center"/>
        </w:trPr>
        <w:tc>
          <w:tcPr>
            <w:tcW w:w="3964" w:type="dxa"/>
            <w:shd w:val="clear" w:color="auto" w:fill="C0C0C0"/>
            <w:noWrap/>
            <w:vAlign w:val="center"/>
          </w:tcPr>
          <w:p w:rsidR="006F1FD4" w:rsidRPr="007D5748" w:rsidRDefault="006F1FD4" w:rsidP="006F1FD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Príjmy verejnej správy celkom</w:t>
            </w:r>
          </w:p>
        </w:tc>
        <w:tc>
          <w:tcPr>
            <w:tcW w:w="1276" w:type="dxa"/>
            <w:shd w:val="clear" w:color="auto" w:fill="C0C0C0"/>
          </w:tcPr>
          <w:p w:rsidR="006F1FD4" w:rsidRPr="006F1FD4" w:rsidRDefault="006F1FD4" w:rsidP="006F1FD4">
            <w:pPr>
              <w:spacing w:after="0" w:line="240" w:lineRule="auto"/>
              <w:jc w:val="right"/>
              <w:rPr>
                <w:rFonts w:ascii="Times New Roman" w:hAnsi="Times New Roman" w:cs="Times New Roman"/>
                <w:b/>
              </w:rPr>
            </w:pPr>
            <w:r w:rsidRPr="006F1FD4">
              <w:rPr>
                <w:rFonts w:ascii="Times New Roman" w:hAnsi="Times New Roman" w:cs="Times New Roman"/>
                <w:b/>
              </w:rPr>
              <w:t>-12 372</w:t>
            </w:r>
          </w:p>
        </w:tc>
        <w:tc>
          <w:tcPr>
            <w:tcW w:w="1559" w:type="dxa"/>
            <w:shd w:val="clear" w:color="auto" w:fill="C0C0C0"/>
          </w:tcPr>
          <w:p w:rsidR="006F1FD4" w:rsidRPr="006F1FD4" w:rsidRDefault="006F1FD4" w:rsidP="006F1FD4">
            <w:pPr>
              <w:spacing w:after="0" w:line="240" w:lineRule="auto"/>
              <w:jc w:val="right"/>
              <w:rPr>
                <w:rFonts w:ascii="Times New Roman" w:hAnsi="Times New Roman" w:cs="Times New Roman"/>
                <w:b/>
              </w:rPr>
            </w:pPr>
            <w:r w:rsidRPr="006F1FD4">
              <w:rPr>
                <w:rFonts w:ascii="Times New Roman" w:hAnsi="Times New Roman" w:cs="Times New Roman"/>
                <w:b/>
              </w:rPr>
              <w:t>-36 264</w:t>
            </w:r>
          </w:p>
        </w:tc>
        <w:tc>
          <w:tcPr>
            <w:tcW w:w="1418" w:type="dxa"/>
            <w:shd w:val="clear" w:color="auto" w:fill="C0C0C0"/>
          </w:tcPr>
          <w:p w:rsidR="006F1FD4" w:rsidRPr="006F1FD4" w:rsidRDefault="006F1FD4" w:rsidP="006F1FD4">
            <w:pPr>
              <w:spacing w:after="0" w:line="240" w:lineRule="auto"/>
              <w:jc w:val="right"/>
              <w:rPr>
                <w:rFonts w:ascii="Times New Roman" w:hAnsi="Times New Roman" w:cs="Times New Roman"/>
                <w:b/>
              </w:rPr>
            </w:pPr>
            <w:r w:rsidRPr="006F1FD4">
              <w:rPr>
                <w:rFonts w:ascii="Times New Roman" w:hAnsi="Times New Roman" w:cs="Times New Roman"/>
                <w:b/>
              </w:rPr>
              <w:t>-40 589</w:t>
            </w:r>
          </w:p>
        </w:tc>
        <w:tc>
          <w:tcPr>
            <w:tcW w:w="1512" w:type="dxa"/>
            <w:shd w:val="clear" w:color="auto" w:fill="C0C0C0"/>
          </w:tcPr>
          <w:p w:rsidR="006F1FD4" w:rsidRPr="006F1FD4" w:rsidRDefault="006F1FD4" w:rsidP="006F1FD4">
            <w:pPr>
              <w:spacing w:after="0" w:line="240" w:lineRule="auto"/>
              <w:jc w:val="right"/>
              <w:rPr>
                <w:rFonts w:ascii="Times New Roman" w:hAnsi="Times New Roman" w:cs="Times New Roman"/>
                <w:b/>
              </w:rPr>
            </w:pPr>
            <w:r w:rsidRPr="006F1FD4">
              <w:rPr>
                <w:rFonts w:ascii="Times New Roman" w:hAnsi="Times New Roman" w:cs="Times New Roman"/>
                <w:b/>
              </w:rPr>
              <w:t>-36 501</w:t>
            </w:r>
          </w:p>
        </w:tc>
      </w:tr>
      <w:tr w:rsidR="006F1FD4" w:rsidRPr="007D5748" w:rsidTr="006F1FD4">
        <w:trPr>
          <w:trHeight w:val="132"/>
          <w:jc w:val="center"/>
        </w:trPr>
        <w:tc>
          <w:tcPr>
            <w:tcW w:w="3964" w:type="dxa"/>
            <w:noWrap/>
            <w:vAlign w:val="center"/>
          </w:tcPr>
          <w:p w:rsidR="006F1FD4" w:rsidRPr="007D5748" w:rsidRDefault="006F1FD4" w:rsidP="006F1FD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 za každý subjekt verejnej správy zvlášť</w:t>
            </w:r>
          </w:p>
        </w:tc>
        <w:tc>
          <w:tcPr>
            <w:tcW w:w="1276"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0</w:t>
            </w:r>
          </w:p>
        </w:tc>
        <w:tc>
          <w:tcPr>
            <w:tcW w:w="1559"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0</w:t>
            </w:r>
          </w:p>
        </w:tc>
        <w:tc>
          <w:tcPr>
            <w:tcW w:w="1418"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0</w:t>
            </w:r>
          </w:p>
        </w:tc>
        <w:tc>
          <w:tcPr>
            <w:tcW w:w="1512"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0</w:t>
            </w:r>
          </w:p>
        </w:tc>
      </w:tr>
      <w:tr w:rsidR="006F1FD4" w:rsidRPr="007D5748" w:rsidTr="006F1FD4">
        <w:trPr>
          <w:trHeight w:val="70"/>
          <w:jc w:val="center"/>
        </w:trPr>
        <w:tc>
          <w:tcPr>
            <w:tcW w:w="3964" w:type="dxa"/>
            <w:noWrap/>
            <w:vAlign w:val="center"/>
          </w:tcPr>
          <w:p w:rsidR="006F1FD4" w:rsidRPr="007D5748" w:rsidRDefault="006F1FD4" w:rsidP="006F1FD4">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76" w:type="dxa"/>
            <w:noWrap/>
          </w:tcPr>
          <w:p w:rsidR="006F1FD4" w:rsidRPr="006F1FD4" w:rsidRDefault="006F1FD4" w:rsidP="006F1FD4">
            <w:pPr>
              <w:spacing w:after="0" w:line="240" w:lineRule="auto"/>
              <w:jc w:val="right"/>
              <w:rPr>
                <w:rFonts w:ascii="Times New Roman" w:hAnsi="Times New Roman" w:cs="Times New Roman"/>
              </w:rPr>
            </w:pPr>
          </w:p>
        </w:tc>
        <w:tc>
          <w:tcPr>
            <w:tcW w:w="1559" w:type="dxa"/>
            <w:noWrap/>
          </w:tcPr>
          <w:p w:rsidR="006F1FD4" w:rsidRPr="006F1FD4" w:rsidRDefault="006F1FD4" w:rsidP="006F1FD4">
            <w:pPr>
              <w:spacing w:after="0" w:line="240" w:lineRule="auto"/>
              <w:jc w:val="right"/>
              <w:rPr>
                <w:rFonts w:ascii="Times New Roman" w:hAnsi="Times New Roman" w:cs="Times New Roman"/>
              </w:rPr>
            </w:pPr>
          </w:p>
        </w:tc>
        <w:tc>
          <w:tcPr>
            <w:tcW w:w="1418" w:type="dxa"/>
            <w:noWrap/>
          </w:tcPr>
          <w:p w:rsidR="006F1FD4" w:rsidRPr="006F1FD4" w:rsidRDefault="006F1FD4" w:rsidP="006F1FD4">
            <w:pPr>
              <w:spacing w:after="0" w:line="240" w:lineRule="auto"/>
              <w:jc w:val="right"/>
              <w:rPr>
                <w:rFonts w:ascii="Times New Roman" w:hAnsi="Times New Roman" w:cs="Times New Roman"/>
              </w:rPr>
            </w:pPr>
          </w:p>
        </w:tc>
        <w:tc>
          <w:tcPr>
            <w:tcW w:w="1512" w:type="dxa"/>
            <w:noWrap/>
          </w:tcPr>
          <w:p w:rsidR="006F1FD4" w:rsidRPr="006F1FD4" w:rsidRDefault="006F1FD4" w:rsidP="006F1FD4">
            <w:pPr>
              <w:spacing w:after="0" w:line="240" w:lineRule="auto"/>
              <w:jc w:val="right"/>
              <w:rPr>
                <w:rFonts w:ascii="Times New Roman" w:hAnsi="Times New Roman" w:cs="Times New Roman"/>
              </w:rPr>
            </w:pPr>
          </w:p>
        </w:tc>
      </w:tr>
      <w:tr w:rsidR="006F1FD4" w:rsidRPr="007D5748" w:rsidTr="006F1FD4">
        <w:trPr>
          <w:trHeight w:val="125"/>
          <w:jc w:val="center"/>
        </w:trPr>
        <w:tc>
          <w:tcPr>
            <w:tcW w:w="3964" w:type="dxa"/>
            <w:noWrap/>
            <w:vAlign w:val="center"/>
          </w:tcPr>
          <w:p w:rsidR="006F1FD4" w:rsidRPr="007D5748" w:rsidRDefault="006F1FD4" w:rsidP="006F1FD4">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76"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-12 372</w:t>
            </w:r>
          </w:p>
        </w:tc>
        <w:tc>
          <w:tcPr>
            <w:tcW w:w="1559"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-30 322</w:t>
            </w:r>
          </w:p>
        </w:tc>
        <w:tc>
          <w:tcPr>
            <w:tcW w:w="1418"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-19 175</w:t>
            </w:r>
          </w:p>
        </w:tc>
        <w:tc>
          <w:tcPr>
            <w:tcW w:w="1512"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-17 815</w:t>
            </w:r>
          </w:p>
        </w:tc>
      </w:tr>
      <w:tr w:rsidR="006F1FD4" w:rsidRPr="007D5748" w:rsidTr="006F1FD4">
        <w:trPr>
          <w:trHeight w:val="125"/>
          <w:jc w:val="center"/>
        </w:trPr>
        <w:tc>
          <w:tcPr>
            <w:tcW w:w="3964" w:type="dxa"/>
            <w:noWrap/>
            <w:vAlign w:val="center"/>
          </w:tcPr>
          <w:p w:rsidR="006F1FD4" w:rsidRPr="007D5748" w:rsidRDefault="006F1FD4" w:rsidP="006F1FD4">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Všeobecná pokladničná správa</w:t>
            </w:r>
          </w:p>
        </w:tc>
        <w:tc>
          <w:tcPr>
            <w:tcW w:w="1276"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-12 372</w:t>
            </w:r>
          </w:p>
        </w:tc>
        <w:tc>
          <w:tcPr>
            <w:tcW w:w="1559"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-30 322</w:t>
            </w:r>
          </w:p>
        </w:tc>
        <w:tc>
          <w:tcPr>
            <w:tcW w:w="1418"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-19 175</w:t>
            </w:r>
          </w:p>
        </w:tc>
        <w:tc>
          <w:tcPr>
            <w:tcW w:w="1512"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-17 815</w:t>
            </w:r>
          </w:p>
        </w:tc>
      </w:tr>
      <w:tr w:rsidR="006F1FD4" w:rsidRPr="007D5748" w:rsidTr="006F1FD4">
        <w:trPr>
          <w:trHeight w:val="125"/>
          <w:jc w:val="center"/>
        </w:trPr>
        <w:tc>
          <w:tcPr>
            <w:tcW w:w="3964" w:type="dxa"/>
            <w:noWrap/>
            <w:vAlign w:val="center"/>
          </w:tcPr>
          <w:p w:rsidR="006F1FD4" w:rsidDel="00713461" w:rsidRDefault="006F1FD4" w:rsidP="006F1FD4">
            <w:pPr>
              <w:spacing w:after="0" w:line="240" w:lineRule="auto"/>
              <w:ind w:left="259"/>
              <w:rPr>
                <w:rFonts w:ascii="Times New Roman" w:eastAsia="Times New Roman" w:hAnsi="Times New Roman" w:cs="Times New Roman"/>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276"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0</w:t>
            </w:r>
          </w:p>
        </w:tc>
        <w:tc>
          <w:tcPr>
            <w:tcW w:w="1559"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0</w:t>
            </w:r>
          </w:p>
        </w:tc>
        <w:tc>
          <w:tcPr>
            <w:tcW w:w="1418"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0</w:t>
            </w:r>
          </w:p>
        </w:tc>
        <w:tc>
          <w:tcPr>
            <w:tcW w:w="1512"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0</w:t>
            </w:r>
          </w:p>
        </w:tc>
      </w:tr>
      <w:tr w:rsidR="006F1FD4" w:rsidRPr="007D5748" w:rsidTr="006F1FD4">
        <w:trPr>
          <w:trHeight w:val="125"/>
          <w:jc w:val="center"/>
        </w:trPr>
        <w:tc>
          <w:tcPr>
            <w:tcW w:w="3964" w:type="dxa"/>
            <w:noWrap/>
            <w:vAlign w:val="center"/>
          </w:tcPr>
          <w:p w:rsidR="006F1FD4" w:rsidRPr="007D5748" w:rsidRDefault="006F1FD4" w:rsidP="006F1FD4">
            <w:pPr>
              <w:spacing w:after="0" w:line="240" w:lineRule="auto"/>
              <w:ind w:left="259"/>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EÚ zdroje</w:t>
            </w:r>
          </w:p>
        </w:tc>
        <w:tc>
          <w:tcPr>
            <w:tcW w:w="1276"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0</w:t>
            </w:r>
          </w:p>
        </w:tc>
        <w:tc>
          <w:tcPr>
            <w:tcW w:w="1559"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0</w:t>
            </w:r>
          </w:p>
        </w:tc>
        <w:tc>
          <w:tcPr>
            <w:tcW w:w="1418"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0</w:t>
            </w:r>
          </w:p>
        </w:tc>
        <w:tc>
          <w:tcPr>
            <w:tcW w:w="1512"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0</w:t>
            </w:r>
          </w:p>
        </w:tc>
      </w:tr>
      <w:tr w:rsidR="006F1FD4" w:rsidRPr="007D5748" w:rsidTr="006F1FD4">
        <w:trPr>
          <w:trHeight w:val="125"/>
          <w:jc w:val="center"/>
        </w:trPr>
        <w:tc>
          <w:tcPr>
            <w:tcW w:w="3964" w:type="dxa"/>
            <w:noWrap/>
            <w:vAlign w:val="center"/>
          </w:tcPr>
          <w:p w:rsidR="006F1FD4" w:rsidRPr="007D5748" w:rsidRDefault="006F1FD4" w:rsidP="006F1FD4">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76"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0</w:t>
            </w:r>
          </w:p>
        </w:tc>
        <w:tc>
          <w:tcPr>
            <w:tcW w:w="1559"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-2 203</w:t>
            </w:r>
          </w:p>
        </w:tc>
        <w:tc>
          <w:tcPr>
            <w:tcW w:w="1418"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-9 119</w:t>
            </w:r>
          </w:p>
        </w:tc>
        <w:tc>
          <w:tcPr>
            <w:tcW w:w="1512"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-7 209</w:t>
            </w:r>
          </w:p>
        </w:tc>
      </w:tr>
      <w:tr w:rsidR="006F1FD4" w:rsidRPr="007D5748" w:rsidTr="006F1FD4">
        <w:trPr>
          <w:trHeight w:val="125"/>
          <w:jc w:val="center"/>
        </w:trPr>
        <w:tc>
          <w:tcPr>
            <w:tcW w:w="3964" w:type="dxa"/>
            <w:noWrap/>
            <w:vAlign w:val="center"/>
          </w:tcPr>
          <w:p w:rsidR="006F1FD4" w:rsidRPr="007D5748" w:rsidRDefault="006F1FD4" w:rsidP="006F1FD4">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76"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0</w:t>
            </w:r>
          </w:p>
        </w:tc>
        <w:tc>
          <w:tcPr>
            <w:tcW w:w="1559"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-944</w:t>
            </w:r>
          </w:p>
        </w:tc>
        <w:tc>
          <w:tcPr>
            <w:tcW w:w="1418"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-3 908</w:t>
            </w:r>
          </w:p>
        </w:tc>
        <w:tc>
          <w:tcPr>
            <w:tcW w:w="1512"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-3 090</w:t>
            </w:r>
          </w:p>
        </w:tc>
      </w:tr>
      <w:tr w:rsidR="006F1FD4" w:rsidRPr="007D5748" w:rsidTr="006F1FD4">
        <w:trPr>
          <w:trHeight w:val="125"/>
          <w:jc w:val="center"/>
        </w:trPr>
        <w:tc>
          <w:tcPr>
            <w:tcW w:w="3964" w:type="dxa"/>
            <w:noWrap/>
            <w:vAlign w:val="center"/>
          </w:tcPr>
          <w:p w:rsidR="006F1FD4" w:rsidRPr="007D5748" w:rsidRDefault="006F1FD4" w:rsidP="006F1FD4">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76"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0</w:t>
            </w:r>
          </w:p>
        </w:tc>
        <w:tc>
          <w:tcPr>
            <w:tcW w:w="1559"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-2 795</w:t>
            </w:r>
          </w:p>
        </w:tc>
        <w:tc>
          <w:tcPr>
            <w:tcW w:w="1418"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-8 387</w:t>
            </w:r>
          </w:p>
        </w:tc>
        <w:tc>
          <w:tcPr>
            <w:tcW w:w="1512" w:type="dxa"/>
            <w:noWrap/>
          </w:tcPr>
          <w:p w:rsidR="006F1FD4" w:rsidRPr="006F1FD4" w:rsidRDefault="006F1FD4" w:rsidP="006F1FD4">
            <w:pPr>
              <w:spacing w:after="0" w:line="240" w:lineRule="auto"/>
              <w:jc w:val="right"/>
              <w:rPr>
                <w:rFonts w:ascii="Times New Roman" w:hAnsi="Times New Roman" w:cs="Times New Roman"/>
              </w:rPr>
            </w:pPr>
            <w:r w:rsidRPr="006F1FD4">
              <w:rPr>
                <w:rFonts w:ascii="Times New Roman" w:hAnsi="Times New Roman" w:cs="Times New Roman"/>
              </w:rPr>
              <w:t>-8 387</w:t>
            </w:r>
          </w:p>
        </w:tc>
      </w:tr>
      <w:tr w:rsidR="00E73BA0" w:rsidRPr="007D5748" w:rsidTr="000E1143">
        <w:trPr>
          <w:trHeight w:val="125"/>
          <w:jc w:val="center"/>
        </w:trPr>
        <w:tc>
          <w:tcPr>
            <w:tcW w:w="3964" w:type="dxa"/>
            <w:shd w:val="clear" w:color="auto" w:fill="C0C0C0"/>
            <w:noWrap/>
            <w:vAlign w:val="center"/>
          </w:tcPr>
          <w:p w:rsidR="00E73BA0" w:rsidRPr="007D5748" w:rsidRDefault="00E73BA0" w:rsidP="00E73BA0">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Výdavky verejnej správy celkom</w:t>
            </w:r>
          </w:p>
        </w:tc>
        <w:tc>
          <w:tcPr>
            <w:tcW w:w="1276" w:type="dxa"/>
            <w:shd w:val="clear" w:color="auto" w:fill="C0C0C0"/>
            <w:noWrap/>
            <w:vAlign w:val="center"/>
          </w:tcPr>
          <w:p w:rsidR="00E73BA0" w:rsidRPr="007D5748" w:rsidRDefault="00154E67" w:rsidP="00154E67">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1 608</w:t>
            </w:r>
          </w:p>
        </w:tc>
        <w:tc>
          <w:tcPr>
            <w:tcW w:w="1559" w:type="dxa"/>
            <w:shd w:val="clear" w:color="auto" w:fill="C0C0C0"/>
            <w:noWrap/>
            <w:vAlign w:val="center"/>
          </w:tcPr>
          <w:p w:rsidR="00E73BA0" w:rsidRPr="007D5748" w:rsidRDefault="003C3C19" w:rsidP="00E73BA0">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18" w:type="dxa"/>
            <w:shd w:val="clear" w:color="auto" w:fill="C0C0C0"/>
            <w:noWrap/>
            <w:vAlign w:val="center"/>
          </w:tcPr>
          <w:p w:rsidR="00E73BA0" w:rsidRPr="007D5748" w:rsidRDefault="003C3C19" w:rsidP="00E73BA0">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12" w:type="dxa"/>
            <w:shd w:val="clear" w:color="auto" w:fill="C0C0C0"/>
            <w:noWrap/>
            <w:vAlign w:val="center"/>
          </w:tcPr>
          <w:p w:rsidR="00E73BA0" w:rsidRPr="007D5748" w:rsidRDefault="003C3C19" w:rsidP="00E73BA0">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r>
      <w:tr w:rsidR="00E73BA0" w:rsidRPr="007D5748" w:rsidTr="000E1143">
        <w:trPr>
          <w:trHeight w:val="70"/>
          <w:jc w:val="center"/>
        </w:trPr>
        <w:tc>
          <w:tcPr>
            <w:tcW w:w="3964" w:type="dxa"/>
            <w:noWrap/>
            <w:vAlign w:val="center"/>
          </w:tcPr>
          <w:p w:rsidR="0055744F" w:rsidRPr="007D5748" w:rsidRDefault="00E73BA0" w:rsidP="006E0136">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 za každý subjekt verejnej správy / program zvlášť</w:t>
            </w:r>
          </w:p>
        </w:tc>
        <w:tc>
          <w:tcPr>
            <w:tcW w:w="1276" w:type="dxa"/>
            <w:noWrap/>
            <w:vAlign w:val="center"/>
          </w:tcPr>
          <w:p w:rsidR="00E73BA0" w:rsidRPr="007D5748" w:rsidRDefault="00E73BA0" w:rsidP="00E73BA0">
            <w:pPr>
              <w:spacing w:after="0" w:line="240" w:lineRule="auto"/>
              <w:jc w:val="right"/>
              <w:rPr>
                <w:rFonts w:ascii="Times New Roman" w:eastAsia="Times New Roman" w:hAnsi="Times New Roman" w:cs="Times New Roman"/>
                <w:sz w:val="24"/>
                <w:szCs w:val="24"/>
                <w:lang w:eastAsia="sk-SK"/>
              </w:rPr>
            </w:pPr>
          </w:p>
        </w:tc>
        <w:tc>
          <w:tcPr>
            <w:tcW w:w="1559" w:type="dxa"/>
            <w:noWrap/>
            <w:vAlign w:val="center"/>
          </w:tcPr>
          <w:p w:rsidR="00E73BA0" w:rsidRPr="007D5748" w:rsidRDefault="00E73BA0" w:rsidP="00E73BA0">
            <w:pPr>
              <w:spacing w:after="0" w:line="240" w:lineRule="auto"/>
              <w:jc w:val="right"/>
              <w:rPr>
                <w:rFonts w:ascii="Times New Roman" w:eastAsia="Times New Roman" w:hAnsi="Times New Roman" w:cs="Times New Roman"/>
                <w:sz w:val="24"/>
                <w:szCs w:val="24"/>
                <w:lang w:eastAsia="sk-SK"/>
              </w:rPr>
            </w:pPr>
          </w:p>
        </w:tc>
        <w:tc>
          <w:tcPr>
            <w:tcW w:w="1418" w:type="dxa"/>
            <w:noWrap/>
            <w:vAlign w:val="center"/>
          </w:tcPr>
          <w:p w:rsidR="00E73BA0" w:rsidRPr="007D5748" w:rsidRDefault="00E73BA0" w:rsidP="00E73BA0">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512" w:type="dxa"/>
            <w:noWrap/>
            <w:vAlign w:val="center"/>
          </w:tcPr>
          <w:p w:rsidR="00E73BA0" w:rsidRPr="007D5748" w:rsidRDefault="00E73BA0" w:rsidP="00E73BA0">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154E67" w:rsidRPr="007D5748" w:rsidTr="000E1143">
        <w:trPr>
          <w:trHeight w:val="70"/>
          <w:jc w:val="center"/>
        </w:trPr>
        <w:tc>
          <w:tcPr>
            <w:tcW w:w="3964" w:type="dxa"/>
            <w:noWrap/>
            <w:vAlign w:val="center"/>
          </w:tcPr>
          <w:p w:rsidR="00154E67" w:rsidRDefault="00154E67" w:rsidP="006E0136">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Kapitola MF SR (organizácia FR SR)</w:t>
            </w:r>
          </w:p>
          <w:p w:rsidR="00154E67" w:rsidRPr="007D5748" w:rsidRDefault="004D10E4" w:rsidP="004D10E4">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RP 718006 podprogram 0EK0D – Informačné technológie</w:t>
            </w:r>
          </w:p>
        </w:tc>
        <w:tc>
          <w:tcPr>
            <w:tcW w:w="1276" w:type="dxa"/>
            <w:noWrap/>
            <w:vAlign w:val="center"/>
          </w:tcPr>
          <w:p w:rsidR="00154E67" w:rsidRPr="004D10E4" w:rsidRDefault="004D10E4" w:rsidP="00E73BA0">
            <w:pPr>
              <w:spacing w:after="0" w:line="240" w:lineRule="auto"/>
              <w:jc w:val="right"/>
              <w:rPr>
                <w:rFonts w:ascii="Times New Roman" w:eastAsia="Times New Roman" w:hAnsi="Times New Roman" w:cs="Times New Roman"/>
                <w:b/>
                <w:sz w:val="24"/>
                <w:szCs w:val="24"/>
                <w:lang w:eastAsia="sk-SK"/>
              </w:rPr>
            </w:pPr>
            <w:r w:rsidRPr="004D10E4">
              <w:rPr>
                <w:rFonts w:ascii="Times New Roman" w:eastAsia="Times New Roman" w:hAnsi="Times New Roman" w:cs="Times New Roman"/>
                <w:b/>
                <w:sz w:val="24"/>
                <w:szCs w:val="24"/>
                <w:lang w:eastAsia="sk-SK"/>
              </w:rPr>
              <w:t>1 608</w:t>
            </w:r>
          </w:p>
        </w:tc>
        <w:tc>
          <w:tcPr>
            <w:tcW w:w="1559" w:type="dxa"/>
            <w:noWrap/>
            <w:vAlign w:val="center"/>
          </w:tcPr>
          <w:p w:rsidR="00154E67" w:rsidRPr="007D5748" w:rsidRDefault="004D10E4" w:rsidP="00E73BA0">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418" w:type="dxa"/>
            <w:noWrap/>
            <w:vAlign w:val="center"/>
          </w:tcPr>
          <w:p w:rsidR="00154E67" w:rsidRPr="007D5748" w:rsidRDefault="004D10E4" w:rsidP="00E73BA0">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512" w:type="dxa"/>
            <w:noWrap/>
            <w:vAlign w:val="center"/>
          </w:tcPr>
          <w:p w:rsidR="00154E67" w:rsidRPr="007D5748" w:rsidRDefault="004D10E4" w:rsidP="00E73BA0">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r>
      <w:tr w:rsidR="006E0136" w:rsidRPr="007D5748" w:rsidTr="000E1143">
        <w:trPr>
          <w:trHeight w:val="70"/>
          <w:jc w:val="center"/>
        </w:trPr>
        <w:tc>
          <w:tcPr>
            <w:tcW w:w="3964" w:type="dxa"/>
            <w:noWrap/>
            <w:vAlign w:val="center"/>
          </w:tcPr>
          <w:p w:rsidR="006E0136" w:rsidRPr="007D5748" w:rsidRDefault="006E0136" w:rsidP="006E0136">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76"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p>
        </w:tc>
        <w:tc>
          <w:tcPr>
            <w:tcW w:w="1559"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p>
        </w:tc>
        <w:tc>
          <w:tcPr>
            <w:tcW w:w="1418"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p>
        </w:tc>
        <w:tc>
          <w:tcPr>
            <w:tcW w:w="1512"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p>
        </w:tc>
      </w:tr>
      <w:tr w:rsidR="006E0136" w:rsidRPr="007D5748" w:rsidTr="000E1143">
        <w:trPr>
          <w:trHeight w:val="70"/>
          <w:jc w:val="center"/>
        </w:trPr>
        <w:tc>
          <w:tcPr>
            <w:tcW w:w="3964" w:type="dxa"/>
            <w:noWrap/>
            <w:vAlign w:val="center"/>
          </w:tcPr>
          <w:p w:rsidR="006E0136" w:rsidRPr="007D5748" w:rsidRDefault="006E0136" w:rsidP="006E0136">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76" w:type="dxa"/>
            <w:noWrap/>
            <w:vAlign w:val="center"/>
          </w:tcPr>
          <w:p w:rsidR="006E0136" w:rsidRPr="007D5748" w:rsidRDefault="004D10E4" w:rsidP="004D10E4">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1 608</w:t>
            </w:r>
          </w:p>
        </w:tc>
        <w:tc>
          <w:tcPr>
            <w:tcW w:w="1559" w:type="dxa"/>
            <w:noWrap/>
            <w:vAlign w:val="center"/>
          </w:tcPr>
          <w:p w:rsidR="006E0136" w:rsidRPr="007D5748" w:rsidRDefault="003C3C19" w:rsidP="006E0136">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418" w:type="dxa"/>
            <w:noWrap/>
            <w:vAlign w:val="center"/>
          </w:tcPr>
          <w:p w:rsidR="006E0136" w:rsidRPr="007D5748" w:rsidRDefault="003C3C19" w:rsidP="006E0136">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512" w:type="dxa"/>
            <w:noWrap/>
            <w:vAlign w:val="center"/>
          </w:tcPr>
          <w:p w:rsidR="006E0136" w:rsidRPr="007D5748" w:rsidRDefault="003C3C19" w:rsidP="006E0136">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6E0136" w:rsidRPr="007D5748" w:rsidTr="000E1143">
        <w:trPr>
          <w:trHeight w:val="70"/>
          <w:jc w:val="center"/>
        </w:trPr>
        <w:tc>
          <w:tcPr>
            <w:tcW w:w="3964" w:type="dxa"/>
            <w:noWrap/>
            <w:vAlign w:val="center"/>
          </w:tcPr>
          <w:p w:rsidR="006E0136" w:rsidRPr="007D5748" w:rsidRDefault="006E0136" w:rsidP="006E0136">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276"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559"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418"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512"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6E0136" w:rsidRPr="007D5748" w:rsidTr="000E1143">
        <w:trPr>
          <w:trHeight w:val="70"/>
          <w:jc w:val="center"/>
        </w:trPr>
        <w:tc>
          <w:tcPr>
            <w:tcW w:w="3964" w:type="dxa"/>
            <w:noWrap/>
            <w:vAlign w:val="center"/>
          </w:tcPr>
          <w:p w:rsidR="006E0136" w:rsidRPr="007D5748" w:rsidRDefault="006E0136" w:rsidP="006E0136">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EÚ zdroje</w:t>
            </w:r>
          </w:p>
        </w:tc>
        <w:tc>
          <w:tcPr>
            <w:tcW w:w="1276" w:type="dxa"/>
            <w:noWrap/>
            <w:vAlign w:val="center"/>
          </w:tcPr>
          <w:p w:rsidR="006E0136" w:rsidRPr="007D5748" w:rsidRDefault="006E0136" w:rsidP="006E013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559" w:type="dxa"/>
            <w:noWrap/>
            <w:vAlign w:val="center"/>
          </w:tcPr>
          <w:p w:rsidR="006E0136" w:rsidRPr="007D5748" w:rsidRDefault="006E0136" w:rsidP="006E013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418" w:type="dxa"/>
            <w:noWrap/>
            <w:vAlign w:val="center"/>
          </w:tcPr>
          <w:p w:rsidR="006E0136" w:rsidRPr="007D5748" w:rsidRDefault="006E0136" w:rsidP="006E013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512" w:type="dxa"/>
            <w:noWrap/>
            <w:vAlign w:val="center"/>
          </w:tcPr>
          <w:p w:rsidR="006E0136" w:rsidRPr="007D5748" w:rsidRDefault="006E0136" w:rsidP="006E013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6E0136" w:rsidRPr="007D5748" w:rsidTr="000E1143">
        <w:trPr>
          <w:trHeight w:val="70"/>
          <w:jc w:val="center"/>
        </w:trPr>
        <w:tc>
          <w:tcPr>
            <w:tcW w:w="3964" w:type="dxa"/>
            <w:noWrap/>
            <w:vAlign w:val="center"/>
          </w:tcPr>
          <w:p w:rsidR="006E0136" w:rsidRPr="007D5748" w:rsidRDefault="006E0136" w:rsidP="006E0136">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spolufinancovanie</w:t>
            </w:r>
          </w:p>
        </w:tc>
        <w:tc>
          <w:tcPr>
            <w:tcW w:w="1276" w:type="dxa"/>
            <w:noWrap/>
            <w:vAlign w:val="center"/>
          </w:tcPr>
          <w:p w:rsidR="006E0136" w:rsidRPr="007D5748" w:rsidRDefault="006E0136" w:rsidP="006E013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559" w:type="dxa"/>
            <w:noWrap/>
            <w:vAlign w:val="center"/>
          </w:tcPr>
          <w:p w:rsidR="006E0136" w:rsidRPr="007D5748" w:rsidRDefault="006E0136" w:rsidP="006E013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418" w:type="dxa"/>
            <w:noWrap/>
            <w:vAlign w:val="center"/>
          </w:tcPr>
          <w:p w:rsidR="006E0136" w:rsidRPr="007D5748" w:rsidRDefault="006E0136" w:rsidP="006E013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512" w:type="dxa"/>
            <w:noWrap/>
            <w:vAlign w:val="center"/>
          </w:tcPr>
          <w:p w:rsidR="006E0136" w:rsidRPr="007D5748" w:rsidRDefault="006E0136" w:rsidP="006E013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6E0136" w:rsidRPr="007D5748" w:rsidTr="000E1143">
        <w:trPr>
          <w:trHeight w:val="125"/>
          <w:jc w:val="center"/>
        </w:trPr>
        <w:tc>
          <w:tcPr>
            <w:tcW w:w="3964" w:type="dxa"/>
            <w:noWrap/>
            <w:vAlign w:val="center"/>
          </w:tcPr>
          <w:p w:rsidR="006E0136" w:rsidRPr="007D5748" w:rsidRDefault="006E0136" w:rsidP="006E0136">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76"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12"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E0136" w:rsidRPr="007D5748" w:rsidTr="000E1143">
        <w:trPr>
          <w:trHeight w:val="125"/>
          <w:jc w:val="center"/>
        </w:trPr>
        <w:tc>
          <w:tcPr>
            <w:tcW w:w="3964" w:type="dxa"/>
            <w:noWrap/>
            <w:vAlign w:val="center"/>
          </w:tcPr>
          <w:p w:rsidR="006E0136" w:rsidRPr="007D5748" w:rsidRDefault="006E0136" w:rsidP="006E0136">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76"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12"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E0136" w:rsidRPr="007D5748" w:rsidTr="000E1143">
        <w:trPr>
          <w:trHeight w:val="70"/>
          <w:jc w:val="center"/>
        </w:trPr>
        <w:tc>
          <w:tcPr>
            <w:tcW w:w="3964" w:type="dxa"/>
            <w:noWrap/>
            <w:vAlign w:val="center"/>
          </w:tcPr>
          <w:p w:rsidR="006E0136" w:rsidRPr="007D5748" w:rsidRDefault="006E0136" w:rsidP="006E0136">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76"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12"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E0136" w:rsidRPr="007D5748" w:rsidTr="000E1143">
        <w:trPr>
          <w:trHeight w:val="70"/>
          <w:jc w:val="center"/>
        </w:trPr>
        <w:tc>
          <w:tcPr>
            <w:tcW w:w="3964" w:type="dxa"/>
            <w:shd w:val="clear" w:color="auto" w:fill="BFBFBF" w:themeFill="background1" w:themeFillShade="BF"/>
            <w:noWrap/>
            <w:vAlign w:val="center"/>
          </w:tcPr>
          <w:p w:rsidR="006E0136" w:rsidRPr="007D5748" w:rsidRDefault="006E0136" w:rsidP="006E0136">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Vplyv na počet zamestnancov </w:t>
            </w:r>
          </w:p>
        </w:tc>
        <w:tc>
          <w:tcPr>
            <w:tcW w:w="1276" w:type="dxa"/>
            <w:shd w:val="clear" w:color="auto" w:fill="BFBFBF" w:themeFill="background1" w:themeFillShade="BF"/>
            <w:noWrap/>
            <w:vAlign w:val="center"/>
          </w:tcPr>
          <w:p w:rsidR="006E0136" w:rsidRPr="007D5748" w:rsidRDefault="006E0136" w:rsidP="006E0136">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59" w:type="dxa"/>
            <w:shd w:val="clear" w:color="auto" w:fill="BFBFBF" w:themeFill="background1" w:themeFillShade="BF"/>
            <w:noWrap/>
            <w:vAlign w:val="center"/>
          </w:tcPr>
          <w:p w:rsidR="006E0136" w:rsidRPr="007D5748" w:rsidRDefault="006E0136" w:rsidP="006E0136">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418" w:type="dxa"/>
            <w:shd w:val="clear" w:color="auto" w:fill="BFBFBF" w:themeFill="background1" w:themeFillShade="BF"/>
            <w:noWrap/>
            <w:vAlign w:val="center"/>
          </w:tcPr>
          <w:p w:rsidR="006E0136" w:rsidRPr="007D5748" w:rsidRDefault="006E0136" w:rsidP="006E0136">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12" w:type="dxa"/>
            <w:shd w:val="clear" w:color="auto" w:fill="BFBFBF" w:themeFill="background1" w:themeFillShade="BF"/>
            <w:noWrap/>
            <w:vAlign w:val="center"/>
          </w:tcPr>
          <w:p w:rsidR="006E0136" w:rsidRPr="007D5748" w:rsidRDefault="006E0136" w:rsidP="006E0136">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6E0136" w:rsidRPr="007D5748" w:rsidTr="000E1143">
        <w:trPr>
          <w:trHeight w:val="70"/>
          <w:jc w:val="center"/>
        </w:trPr>
        <w:tc>
          <w:tcPr>
            <w:tcW w:w="3964" w:type="dxa"/>
            <w:noWrap/>
            <w:vAlign w:val="center"/>
          </w:tcPr>
          <w:p w:rsidR="006E0136" w:rsidRPr="007D5748" w:rsidRDefault="006E0136" w:rsidP="006E0136">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76"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12"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E0136" w:rsidRPr="007D5748" w:rsidTr="000E1143">
        <w:trPr>
          <w:trHeight w:val="70"/>
          <w:jc w:val="center"/>
        </w:trPr>
        <w:tc>
          <w:tcPr>
            <w:tcW w:w="3964" w:type="dxa"/>
            <w:noWrap/>
            <w:vAlign w:val="center"/>
          </w:tcPr>
          <w:p w:rsidR="006E0136" w:rsidRPr="007D5748" w:rsidRDefault="006E0136" w:rsidP="006E0136">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76"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12"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E0136" w:rsidRPr="007D5748" w:rsidTr="000E1143">
        <w:trPr>
          <w:trHeight w:val="70"/>
          <w:jc w:val="center"/>
        </w:trPr>
        <w:tc>
          <w:tcPr>
            <w:tcW w:w="3964" w:type="dxa"/>
            <w:noWrap/>
            <w:vAlign w:val="center"/>
          </w:tcPr>
          <w:p w:rsidR="006E0136" w:rsidRPr="007D5748" w:rsidRDefault="006E0136" w:rsidP="006E0136">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76"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12"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E0136" w:rsidRPr="007D5748" w:rsidTr="000E1143">
        <w:trPr>
          <w:trHeight w:val="70"/>
          <w:jc w:val="center"/>
        </w:trPr>
        <w:tc>
          <w:tcPr>
            <w:tcW w:w="3964" w:type="dxa"/>
            <w:noWrap/>
            <w:vAlign w:val="center"/>
          </w:tcPr>
          <w:p w:rsidR="006E0136" w:rsidRPr="007D5748" w:rsidRDefault="006E0136" w:rsidP="006E0136">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76"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12"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E0136" w:rsidRPr="007D5748" w:rsidTr="000E1143">
        <w:trPr>
          <w:trHeight w:val="70"/>
          <w:jc w:val="center"/>
        </w:trPr>
        <w:tc>
          <w:tcPr>
            <w:tcW w:w="3964" w:type="dxa"/>
            <w:shd w:val="clear" w:color="auto" w:fill="BFBFBF" w:themeFill="background1" w:themeFillShade="BF"/>
            <w:noWrap/>
            <w:vAlign w:val="center"/>
          </w:tcPr>
          <w:p w:rsidR="006E0136" w:rsidRPr="007D5748" w:rsidRDefault="006E0136" w:rsidP="006E0136">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Vplyv na mzdové výdavky</w:t>
            </w:r>
          </w:p>
        </w:tc>
        <w:tc>
          <w:tcPr>
            <w:tcW w:w="1276" w:type="dxa"/>
            <w:shd w:val="clear" w:color="auto" w:fill="BFBFBF" w:themeFill="background1" w:themeFillShade="BF"/>
            <w:noWrap/>
            <w:vAlign w:val="center"/>
          </w:tcPr>
          <w:p w:rsidR="006E0136" w:rsidRPr="007D5748" w:rsidRDefault="006E0136" w:rsidP="006E0136">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559" w:type="dxa"/>
            <w:shd w:val="clear" w:color="auto" w:fill="BFBFBF" w:themeFill="background1" w:themeFillShade="BF"/>
            <w:noWrap/>
            <w:vAlign w:val="center"/>
          </w:tcPr>
          <w:p w:rsidR="006E0136" w:rsidRPr="007D5748" w:rsidRDefault="006E0136" w:rsidP="006E0136">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418" w:type="dxa"/>
            <w:shd w:val="clear" w:color="auto" w:fill="BFBFBF" w:themeFill="background1" w:themeFillShade="BF"/>
            <w:noWrap/>
            <w:vAlign w:val="center"/>
          </w:tcPr>
          <w:p w:rsidR="006E0136" w:rsidRPr="007D5748" w:rsidRDefault="006E0136" w:rsidP="006E0136">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512" w:type="dxa"/>
            <w:shd w:val="clear" w:color="auto" w:fill="BFBFBF" w:themeFill="background1" w:themeFillShade="BF"/>
            <w:noWrap/>
            <w:vAlign w:val="center"/>
          </w:tcPr>
          <w:p w:rsidR="006E0136" w:rsidRPr="007D5748" w:rsidRDefault="006E0136" w:rsidP="006E0136">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r>
      <w:tr w:rsidR="006E0136" w:rsidRPr="007D5748" w:rsidTr="000E1143">
        <w:trPr>
          <w:trHeight w:val="70"/>
          <w:jc w:val="center"/>
        </w:trPr>
        <w:tc>
          <w:tcPr>
            <w:tcW w:w="3964" w:type="dxa"/>
            <w:noWrap/>
            <w:vAlign w:val="center"/>
          </w:tcPr>
          <w:p w:rsidR="006E0136" w:rsidRPr="007D5748" w:rsidRDefault="006E0136" w:rsidP="006E0136">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76"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12"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E0136" w:rsidRPr="007D5748" w:rsidTr="000E1143">
        <w:trPr>
          <w:trHeight w:val="70"/>
          <w:jc w:val="center"/>
        </w:trPr>
        <w:tc>
          <w:tcPr>
            <w:tcW w:w="3964" w:type="dxa"/>
            <w:noWrap/>
            <w:vAlign w:val="center"/>
          </w:tcPr>
          <w:p w:rsidR="006E0136" w:rsidRPr="007D5748" w:rsidRDefault="006E0136" w:rsidP="006E0136">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76"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12"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E0136" w:rsidRPr="007D5748" w:rsidTr="000E1143">
        <w:trPr>
          <w:trHeight w:val="70"/>
          <w:jc w:val="center"/>
        </w:trPr>
        <w:tc>
          <w:tcPr>
            <w:tcW w:w="3964" w:type="dxa"/>
            <w:noWrap/>
            <w:vAlign w:val="center"/>
          </w:tcPr>
          <w:p w:rsidR="006E0136" w:rsidRPr="007D5748" w:rsidRDefault="006E0136" w:rsidP="006E0136">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76"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12"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E0136" w:rsidRPr="007D5748" w:rsidTr="000E1143">
        <w:trPr>
          <w:trHeight w:val="70"/>
          <w:jc w:val="center"/>
        </w:trPr>
        <w:tc>
          <w:tcPr>
            <w:tcW w:w="3964" w:type="dxa"/>
            <w:noWrap/>
            <w:vAlign w:val="center"/>
          </w:tcPr>
          <w:p w:rsidR="006E0136" w:rsidRPr="007D5748" w:rsidRDefault="006E0136" w:rsidP="006E0136">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76"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12" w:type="dxa"/>
            <w:noWrap/>
            <w:vAlign w:val="center"/>
          </w:tcPr>
          <w:p w:rsidR="006E0136" w:rsidRPr="007D5748" w:rsidRDefault="006E0136" w:rsidP="006E0136">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E0136" w:rsidRPr="007D5748" w:rsidTr="000E1143">
        <w:trPr>
          <w:trHeight w:val="70"/>
          <w:jc w:val="center"/>
        </w:trPr>
        <w:tc>
          <w:tcPr>
            <w:tcW w:w="3964" w:type="dxa"/>
            <w:shd w:val="clear" w:color="auto" w:fill="C0C0C0"/>
            <w:noWrap/>
            <w:vAlign w:val="center"/>
          </w:tcPr>
          <w:p w:rsidR="006E0136" w:rsidRPr="007D5748" w:rsidRDefault="006E0136" w:rsidP="006E0136">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Financovanie zabezpečené v</w:t>
            </w:r>
            <w:r w:rsidR="004D10E4">
              <w:rPr>
                <w:rFonts w:ascii="Times New Roman" w:eastAsia="Times New Roman" w:hAnsi="Times New Roman" w:cs="Times New Roman"/>
                <w:b/>
                <w:bCs/>
                <w:sz w:val="24"/>
                <w:szCs w:val="24"/>
                <w:lang w:eastAsia="sk-SK"/>
              </w:rPr>
              <w:t> </w:t>
            </w:r>
            <w:r w:rsidRPr="007D5748">
              <w:rPr>
                <w:rFonts w:ascii="Times New Roman" w:eastAsia="Times New Roman" w:hAnsi="Times New Roman" w:cs="Times New Roman"/>
                <w:b/>
                <w:bCs/>
                <w:sz w:val="24"/>
                <w:szCs w:val="24"/>
                <w:lang w:eastAsia="sk-SK"/>
              </w:rPr>
              <w:t>rozpočte</w:t>
            </w:r>
            <w:r w:rsidR="004D10E4">
              <w:rPr>
                <w:rFonts w:ascii="Times New Roman" w:eastAsia="Times New Roman" w:hAnsi="Times New Roman" w:cs="Times New Roman"/>
                <w:b/>
                <w:bCs/>
                <w:sz w:val="24"/>
                <w:szCs w:val="24"/>
                <w:lang w:eastAsia="sk-SK"/>
              </w:rPr>
              <w:t xml:space="preserve"> verejnej správy</w:t>
            </w:r>
          </w:p>
        </w:tc>
        <w:tc>
          <w:tcPr>
            <w:tcW w:w="1276" w:type="dxa"/>
            <w:shd w:val="clear" w:color="auto" w:fill="C0C0C0"/>
            <w:noWrap/>
            <w:vAlign w:val="center"/>
          </w:tcPr>
          <w:p w:rsidR="006E0136" w:rsidRPr="007D5748" w:rsidRDefault="004D10E4" w:rsidP="006E0136">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1 608</w:t>
            </w:r>
          </w:p>
        </w:tc>
        <w:tc>
          <w:tcPr>
            <w:tcW w:w="1559" w:type="dxa"/>
            <w:shd w:val="clear" w:color="auto" w:fill="C0C0C0"/>
            <w:noWrap/>
            <w:vAlign w:val="center"/>
          </w:tcPr>
          <w:p w:rsidR="006E0136" w:rsidRPr="007D5748" w:rsidRDefault="007F759A" w:rsidP="006E0136">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18" w:type="dxa"/>
            <w:shd w:val="clear" w:color="auto" w:fill="C0C0C0"/>
            <w:noWrap/>
            <w:vAlign w:val="center"/>
          </w:tcPr>
          <w:p w:rsidR="006E0136" w:rsidRPr="007D5748" w:rsidRDefault="009E0893" w:rsidP="006E0136">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12" w:type="dxa"/>
            <w:shd w:val="clear" w:color="auto" w:fill="C0C0C0"/>
            <w:noWrap/>
            <w:vAlign w:val="center"/>
          </w:tcPr>
          <w:p w:rsidR="006E0136" w:rsidRPr="007D5748" w:rsidRDefault="009E0893" w:rsidP="0001577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r>
      <w:tr w:rsidR="006E0136" w:rsidRPr="007D5748" w:rsidTr="000E1143">
        <w:trPr>
          <w:trHeight w:val="70"/>
          <w:jc w:val="center"/>
        </w:trPr>
        <w:tc>
          <w:tcPr>
            <w:tcW w:w="3964" w:type="dxa"/>
            <w:noWrap/>
            <w:vAlign w:val="center"/>
          </w:tcPr>
          <w:p w:rsidR="006E0136" w:rsidRPr="007D5748" w:rsidRDefault="006E0136" w:rsidP="006E0136">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lastRenderedPageBreak/>
              <w:t>v tom: za každý subjekt verejnej správy / program zvlášť</w:t>
            </w:r>
          </w:p>
        </w:tc>
        <w:tc>
          <w:tcPr>
            <w:tcW w:w="1276" w:type="dxa"/>
            <w:noWrap/>
            <w:vAlign w:val="center"/>
          </w:tcPr>
          <w:p w:rsidR="006E0136" w:rsidRPr="007D5748" w:rsidRDefault="006E0136" w:rsidP="006E013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559" w:type="dxa"/>
            <w:noWrap/>
            <w:vAlign w:val="center"/>
          </w:tcPr>
          <w:p w:rsidR="006E0136" w:rsidRPr="007D5748" w:rsidRDefault="006E0136" w:rsidP="006E013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418" w:type="dxa"/>
            <w:noWrap/>
            <w:vAlign w:val="center"/>
          </w:tcPr>
          <w:p w:rsidR="006E0136" w:rsidRPr="007D5748" w:rsidRDefault="006E0136" w:rsidP="006E013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512" w:type="dxa"/>
            <w:noWrap/>
            <w:vAlign w:val="center"/>
          </w:tcPr>
          <w:p w:rsidR="006E0136" w:rsidRPr="007D5748" w:rsidRDefault="006E0136" w:rsidP="006E0136">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5E6012" w:rsidRPr="007D5748" w:rsidTr="000E1143">
        <w:trPr>
          <w:trHeight w:val="70"/>
          <w:jc w:val="center"/>
        </w:trPr>
        <w:tc>
          <w:tcPr>
            <w:tcW w:w="3964" w:type="dxa"/>
            <w:shd w:val="clear" w:color="auto" w:fill="BFBFBF" w:themeFill="background1" w:themeFillShade="BF"/>
            <w:noWrap/>
            <w:vAlign w:val="center"/>
          </w:tcPr>
          <w:p w:rsidR="005E6012" w:rsidRPr="007D5748" w:rsidRDefault="005E6012" w:rsidP="005E6012">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Iné ako rozpočtové zdroje</w:t>
            </w:r>
          </w:p>
        </w:tc>
        <w:tc>
          <w:tcPr>
            <w:tcW w:w="1276" w:type="dxa"/>
            <w:shd w:val="clear" w:color="auto" w:fill="BFBFBF" w:themeFill="background1" w:themeFillShade="BF"/>
            <w:noWrap/>
            <w:vAlign w:val="center"/>
          </w:tcPr>
          <w:p w:rsidR="005E6012" w:rsidRPr="007D5748" w:rsidRDefault="005E6012" w:rsidP="005E6012">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59" w:type="dxa"/>
            <w:shd w:val="clear" w:color="auto" w:fill="BFBFBF" w:themeFill="background1" w:themeFillShade="BF"/>
            <w:noWrap/>
            <w:vAlign w:val="center"/>
          </w:tcPr>
          <w:p w:rsidR="005E6012" w:rsidRPr="007D5748" w:rsidRDefault="005E6012" w:rsidP="005E6012">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418" w:type="dxa"/>
            <w:shd w:val="clear" w:color="auto" w:fill="BFBFBF" w:themeFill="background1" w:themeFillShade="BF"/>
            <w:noWrap/>
            <w:vAlign w:val="center"/>
          </w:tcPr>
          <w:p w:rsidR="005E6012" w:rsidRPr="007D5748" w:rsidRDefault="005E6012" w:rsidP="005E6012">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12" w:type="dxa"/>
            <w:shd w:val="clear" w:color="auto" w:fill="BFBFBF" w:themeFill="background1" w:themeFillShade="BF"/>
            <w:noWrap/>
            <w:vAlign w:val="center"/>
          </w:tcPr>
          <w:p w:rsidR="005E6012" w:rsidRPr="007D5748" w:rsidRDefault="005E6012" w:rsidP="005E6012">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015773" w:rsidRPr="007D5748" w:rsidTr="000E1143">
        <w:trPr>
          <w:trHeight w:val="70"/>
          <w:jc w:val="center"/>
        </w:trPr>
        <w:tc>
          <w:tcPr>
            <w:tcW w:w="3964" w:type="dxa"/>
            <w:shd w:val="clear" w:color="auto" w:fill="A6A6A6" w:themeFill="background1" w:themeFillShade="A6"/>
            <w:noWrap/>
            <w:vAlign w:val="center"/>
          </w:tcPr>
          <w:p w:rsidR="00015773" w:rsidRPr="007D5748" w:rsidRDefault="00015773" w:rsidP="00015773">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Rozpočtovo nekrytý vplyv / úspora</w:t>
            </w:r>
          </w:p>
        </w:tc>
        <w:tc>
          <w:tcPr>
            <w:tcW w:w="1276" w:type="dxa"/>
            <w:shd w:val="clear" w:color="auto" w:fill="A6A6A6" w:themeFill="background1" w:themeFillShade="A6"/>
            <w:noWrap/>
            <w:vAlign w:val="center"/>
          </w:tcPr>
          <w:p w:rsidR="00015773" w:rsidRPr="007D5748" w:rsidRDefault="00015773" w:rsidP="00015773">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59" w:type="dxa"/>
            <w:shd w:val="clear" w:color="auto" w:fill="A6A6A6" w:themeFill="background1" w:themeFillShade="A6"/>
            <w:noWrap/>
            <w:vAlign w:val="center"/>
          </w:tcPr>
          <w:p w:rsidR="00015773" w:rsidRPr="007D5748" w:rsidRDefault="00E27F6B" w:rsidP="0001577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18" w:type="dxa"/>
            <w:shd w:val="clear" w:color="auto" w:fill="A6A6A6" w:themeFill="background1" w:themeFillShade="A6"/>
            <w:noWrap/>
            <w:vAlign w:val="center"/>
          </w:tcPr>
          <w:p w:rsidR="00015773" w:rsidRPr="007D5748" w:rsidRDefault="00E27F6B" w:rsidP="0001577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12" w:type="dxa"/>
            <w:shd w:val="clear" w:color="auto" w:fill="A6A6A6" w:themeFill="background1" w:themeFillShade="A6"/>
            <w:noWrap/>
            <w:vAlign w:val="center"/>
          </w:tcPr>
          <w:p w:rsidR="00015773" w:rsidRPr="007D5748" w:rsidRDefault="00E27F6B" w:rsidP="0001577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r>
      <w:bookmarkEnd w:id="0"/>
    </w:tbl>
    <w:p w:rsidR="009E50EE" w:rsidRDefault="009E50EE" w:rsidP="000E1143">
      <w:pPr>
        <w:rPr>
          <w:rFonts w:ascii="Times New Roman" w:eastAsia="Times New Roman" w:hAnsi="Times New Roman" w:cs="Times New Roman"/>
          <w:b/>
          <w:bCs/>
          <w:sz w:val="24"/>
          <w:szCs w:val="24"/>
          <w:lang w:eastAsia="sk-SK"/>
        </w:rPr>
      </w:pPr>
    </w:p>
    <w:p w:rsidR="007D5748" w:rsidRPr="007D5748" w:rsidRDefault="007D5748" w:rsidP="000E1143">
      <w:pP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81285D" w:rsidRDefault="0081285D" w:rsidP="0081285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Negatívny vplyv vyplývajúci z nákladov na implementáciu návrhu zákona v oblasti informačného systému Finančnej správy SR bude rozpočtovo zabezpečený v rámci schválených limitov výdavkov verejnej správy.</w:t>
      </w:r>
    </w:p>
    <w:p w:rsidR="007D5748" w:rsidRDefault="007F788B" w:rsidP="009E50EE">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0E1143">
        <w:rPr>
          <w:rFonts w:ascii="Times New Roman" w:eastAsia="Times New Roman" w:hAnsi="Times New Roman" w:cs="Times New Roman"/>
          <w:bCs/>
          <w:sz w:val="24"/>
          <w:szCs w:val="24"/>
          <w:lang w:eastAsia="sk-SK"/>
        </w:rPr>
        <w:t xml:space="preserve">Úbytok príjmov </w:t>
      </w:r>
      <w:r>
        <w:rPr>
          <w:rFonts w:ascii="Times New Roman" w:eastAsia="Times New Roman" w:hAnsi="Times New Roman" w:cs="Times New Roman"/>
          <w:bCs/>
          <w:sz w:val="24"/>
          <w:szCs w:val="24"/>
          <w:lang w:eastAsia="sk-SK"/>
        </w:rPr>
        <w:t>verejných financií bude finančne krytý očakávaným zvýšeným výberom ostatných druhov daní</w:t>
      </w:r>
      <w:r w:rsidR="007B4144">
        <w:rPr>
          <w:rFonts w:ascii="Times New Roman" w:eastAsia="Times New Roman" w:hAnsi="Times New Roman" w:cs="Times New Roman"/>
          <w:bCs/>
          <w:sz w:val="24"/>
          <w:szCs w:val="24"/>
          <w:lang w:eastAsia="sk-SK"/>
        </w:rPr>
        <w:t xml:space="preserve"> ako aj z opatrení</w:t>
      </w:r>
      <w:r>
        <w:rPr>
          <w:rFonts w:ascii="Times New Roman" w:eastAsia="Times New Roman" w:hAnsi="Times New Roman" w:cs="Times New Roman"/>
          <w:bCs/>
          <w:sz w:val="24"/>
          <w:szCs w:val="24"/>
          <w:lang w:eastAsia="sk-SK"/>
        </w:rPr>
        <w:t>.</w:t>
      </w:r>
      <w:r w:rsidRPr="000E1143">
        <w:rPr>
          <w:rFonts w:ascii="Times New Roman" w:eastAsia="Times New Roman" w:hAnsi="Times New Roman" w:cs="Times New Roman"/>
          <w:bCs/>
          <w:sz w:val="24"/>
          <w:szCs w:val="24"/>
          <w:lang w:eastAsia="sk-SK"/>
        </w:rPr>
        <w:t xml:space="preserve"> </w:t>
      </w:r>
      <w:r w:rsidR="007B4144">
        <w:rPr>
          <w:rFonts w:ascii="Times New Roman" w:eastAsia="Times New Roman" w:hAnsi="Times New Roman" w:cs="Times New Roman"/>
          <w:bCs/>
          <w:sz w:val="24"/>
          <w:szCs w:val="24"/>
          <w:lang w:eastAsia="sk-SK"/>
        </w:rPr>
        <w:t xml:space="preserve"> Predpokladá sa krytie výpadku príjmov štátneho rozpočtu aj z opatrení obsiahnutých v návrhu zákona, ktoré nie je možné vyčísliť a to predovšetkým z opatrení týkajúcich sa:</w:t>
      </w:r>
    </w:p>
    <w:p w:rsidR="007B4144" w:rsidRDefault="007B4144" w:rsidP="007B4144">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-boja proti daňovým únikom – zavedenie pravidiel proti hybridným nesúladom</w:t>
      </w:r>
    </w:p>
    <w:p w:rsidR="007B4144" w:rsidRDefault="007B4144" w:rsidP="007B4144">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-zjednodušenia administratívnej náročnosti zamestnávateľov prostredníctvom zníženia ich nákladov</w:t>
      </w:r>
    </w:p>
    <w:p w:rsidR="007B4144" w:rsidRDefault="007B4144" w:rsidP="007B4144">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-zavedením nových zdrojov príjmov.</w:t>
      </w:r>
    </w:p>
    <w:p w:rsidR="007B4144" w:rsidRPr="007B4144" w:rsidRDefault="007B4144" w:rsidP="007B4144">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Zároveň je potrebné podotknúť, že negatívny vplyv niektorých opatrení (napr. uplatnenie daňových odpisov mikrodaňovníkov) predstavuje iba vplyv z dôvodu časového posunu uplatnenia daňových výdavkov.</w:t>
      </w:r>
    </w:p>
    <w:p w:rsidR="00E27F6B" w:rsidRPr="007D5748" w:rsidRDefault="00752C01" w:rsidP="007D5748">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r w:rsidRPr="00752C01">
        <w:rPr>
          <w:rFonts w:ascii="Times New Roman" w:eastAsia="Times New Roman" w:hAnsi="Times New Roman" w:cs="Times New Roman"/>
          <w:bCs/>
          <w:sz w:val="24"/>
          <w:szCs w:val="24"/>
          <w:lang w:eastAsia="sk-SK"/>
        </w:rPr>
        <w:t>Úbytok príjmov obcí a vyšších územných celkov bude finančne krytý očakávaným zvýšeným výberom dane z príjmov fyzických osôb.</w:t>
      </w:r>
    </w:p>
    <w:p w:rsidR="00DF0A8A" w:rsidRDefault="00DF0A8A" w:rsidP="007D5748">
      <w:pPr>
        <w:spacing w:after="0" w:line="240" w:lineRule="auto"/>
        <w:rPr>
          <w:rFonts w:ascii="Times New Roman" w:eastAsia="Times New Roman" w:hAnsi="Times New Roman" w:cs="Times New Roman"/>
          <w:b/>
          <w:bCs/>
          <w:sz w:val="24"/>
          <w:szCs w:val="24"/>
          <w:lang w:eastAsia="sk-SK"/>
        </w:rPr>
      </w:pPr>
    </w:p>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 Popis a charakteristika návrhu</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2.2.1. Popis návrhu:</w:t>
      </w:r>
    </w:p>
    <w:p w:rsidR="007D5748" w:rsidRPr="007D5748" w:rsidRDefault="007D5748" w:rsidP="007D5748">
      <w:pPr>
        <w:spacing w:after="0" w:line="240" w:lineRule="auto"/>
        <w:jc w:val="both"/>
        <w:rPr>
          <w:rFonts w:ascii="Times New Roman" w:eastAsia="Times New Roman" w:hAnsi="Times New Roman" w:cs="Times New Roman"/>
          <w:b/>
          <w:bCs/>
          <w:sz w:val="24"/>
          <w:szCs w:val="24"/>
          <w:lang w:eastAsia="sk-SK"/>
        </w:rPr>
      </w:pPr>
    </w:p>
    <w:p w:rsidR="007D5748" w:rsidRPr="0051689A" w:rsidRDefault="00682BCE" w:rsidP="007D5748">
      <w:pPr>
        <w:spacing w:after="0" w:line="240" w:lineRule="auto"/>
        <w:ind w:firstLine="708"/>
        <w:jc w:val="both"/>
        <w:rPr>
          <w:rFonts w:ascii="Times New Roman" w:eastAsia="Times New Roman" w:hAnsi="Times New Roman" w:cs="Times New Roman"/>
          <w:sz w:val="24"/>
          <w:szCs w:val="24"/>
          <w:lang w:eastAsia="sk-SK"/>
        </w:rPr>
      </w:pPr>
      <w:r w:rsidRPr="0051689A">
        <w:rPr>
          <w:rFonts w:ascii="Times New Roman" w:eastAsia="Times New Roman" w:hAnsi="Times New Roman" w:cs="Times New Roman"/>
          <w:sz w:val="24"/>
          <w:szCs w:val="24"/>
          <w:lang w:eastAsia="sk-SK"/>
        </w:rPr>
        <w:t>Návrh zákona, ktorým sa mení a dopĺňa zákon č. 595/2003 Z. z. o dani z príjmov v znení neskorších predpisov</w:t>
      </w:r>
      <w:r w:rsidR="001803AA" w:rsidRPr="0051689A">
        <w:rPr>
          <w:rFonts w:ascii="Times New Roman" w:eastAsia="Times New Roman" w:hAnsi="Times New Roman" w:cs="Times New Roman"/>
          <w:sz w:val="24"/>
          <w:szCs w:val="24"/>
          <w:lang w:eastAsia="sk-SK"/>
        </w:rPr>
        <w:t xml:space="preserve"> </w:t>
      </w:r>
    </w:p>
    <w:p w:rsidR="00682BCE" w:rsidRDefault="00682BCE" w:rsidP="007D5748">
      <w:pPr>
        <w:spacing w:after="0" w:line="240" w:lineRule="auto"/>
        <w:ind w:firstLine="708"/>
        <w:jc w:val="both"/>
        <w:rPr>
          <w:rFonts w:ascii="Times New Roman" w:eastAsia="Times New Roman" w:hAnsi="Times New Roman" w:cs="Times New Roman"/>
          <w:sz w:val="24"/>
          <w:szCs w:val="24"/>
          <w:lang w:eastAsia="sk-SK"/>
        </w:rPr>
      </w:pPr>
    </w:p>
    <w:p w:rsidR="007669AF" w:rsidRDefault="00C373AC" w:rsidP="007669AF">
      <w:pPr>
        <w:pStyle w:val="Odsekzoznamu"/>
        <w:numPr>
          <w:ilvl w:val="0"/>
          <w:numId w:val="4"/>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Zavedenie paušálu na príspevok zamestnávateľa na dopravu</w:t>
      </w:r>
    </w:p>
    <w:p w:rsidR="006612AD" w:rsidRDefault="00C373AC" w:rsidP="007669AF">
      <w:pPr>
        <w:pStyle w:val="Odsekzoznamu"/>
        <w:numPr>
          <w:ilvl w:val="0"/>
          <w:numId w:val="4"/>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Zvýšenie príspevku zamestnávateľa na nájomné bývanie na 100 eur</w:t>
      </w:r>
    </w:p>
    <w:p w:rsidR="00C373AC" w:rsidRDefault="00C373AC" w:rsidP="007669AF">
      <w:pPr>
        <w:pStyle w:val="Odsekzoznamu"/>
        <w:numPr>
          <w:ilvl w:val="0"/>
          <w:numId w:val="4"/>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Zmena pravidiel odpočtu daňovej straty u mikrodaňovníkov</w:t>
      </w:r>
    </w:p>
    <w:p w:rsidR="00C373AC" w:rsidRDefault="00C373AC" w:rsidP="007669AF">
      <w:pPr>
        <w:pStyle w:val="Odsekzoznamu"/>
        <w:numPr>
          <w:ilvl w:val="0"/>
          <w:numId w:val="4"/>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Zmena pravidiel odpočtu daňovej straty pre ostatné firmy</w:t>
      </w:r>
    </w:p>
    <w:p w:rsidR="00C373AC" w:rsidRDefault="00C373AC" w:rsidP="007669AF">
      <w:pPr>
        <w:pStyle w:val="Odsekzoznamu"/>
        <w:numPr>
          <w:ilvl w:val="0"/>
          <w:numId w:val="4"/>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Zavedenie nových podmienok na odpisovanie hmotného majetku u mikrodaňovníkov</w:t>
      </w:r>
    </w:p>
    <w:p w:rsidR="00C373AC" w:rsidRPr="00C373AC" w:rsidRDefault="00C373AC" w:rsidP="00C373AC">
      <w:pPr>
        <w:pStyle w:val="Odsekzoznamu"/>
        <w:numPr>
          <w:ilvl w:val="0"/>
          <w:numId w:val="4"/>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Podpora elektromobility prostredníctvom daňových odpisov</w:t>
      </w:r>
    </w:p>
    <w:p w:rsidR="00AF56F3" w:rsidRDefault="00AF56F3" w:rsidP="007669AF">
      <w:pPr>
        <w:pStyle w:val="Odsekzoznamu"/>
        <w:numPr>
          <w:ilvl w:val="0"/>
          <w:numId w:val="4"/>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Zmena pri uplatňovaní superodpočtu výdavkov na vedu a</w:t>
      </w:r>
      <w:r w:rsidR="00C373AC">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výskum</w:t>
      </w:r>
    </w:p>
    <w:p w:rsidR="00C373AC" w:rsidRDefault="00C373AC" w:rsidP="007669AF">
      <w:pPr>
        <w:pStyle w:val="Odsekzoznamu"/>
        <w:numPr>
          <w:ilvl w:val="0"/>
          <w:numId w:val="4"/>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Zavedenie možnosti tvorby daňových opravných položiek k pohľadávkam mikrodaňovníkov v súlade s</w:t>
      </w:r>
      <w:r w:rsidR="003B74F5">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účtovníctvom</w:t>
      </w:r>
    </w:p>
    <w:p w:rsidR="003B74F5" w:rsidRDefault="003B74F5" w:rsidP="007669AF">
      <w:pPr>
        <w:pStyle w:val="Odsekzoznamu"/>
        <w:numPr>
          <w:ilvl w:val="0"/>
          <w:numId w:val="4"/>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Zvýšenie hranice pre platenie preddavkov u fyzických aj právnických osôb z 2 500 eur na 5 000 eur</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B4144" w:rsidRDefault="007B4144" w:rsidP="007D5748">
      <w:pPr>
        <w:spacing w:after="0" w:line="240" w:lineRule="auto"/>
        <w:rPr>
          <w:rFonts w:ascii="Times New Roman" w:eastAsia="Times New Roman" w:hAnsi="Times New Roman" w:cs="Times New Roman"/>
          <w:b/>
          <w:bCs/>
          <w:sz w:val="24"/>
          <w:szCs w:val="24"/>
          <w:lang w:eastAsia="sk-SK"/>
        </w:rPr>
      </w:pPr>
    </w:p>
    <w:p w:rsidR="007B4144" w:rsidRDefault="007B4144" w:rsidP="007D5748">
      <w:pPr>
        <w:spacing w:after="0" w:line="240" w:lineRule="auto"/>
        <w:rPr>
          <w:rFonts w:ascii="Times New Roman" w:eastAsia="Times New Roman" w:hAnsi="Times New Roman" w:cs="Times New Roman"/>
          <w:b/>
          <w:bCs/>
          <w:sz w:val="24"/>
          <w:szCs w:val="24"/>
          <w:lang w:eastAsia="sk-SK"/>
        </w:rPr>
      </w:pPr>
    </w:p>
    <w:p w:rsidR="007B4144" w:rsidRDefault="007B4144" w:rsidP="007D5748">
      <w:pPr>
        <w:spacing w:after="0" w:line="240" w:lineRule="auto"/>
        <w:rPr>
          <w:rFonts w:ascii="Times New Roman" w:eastAsia="Times New Roman" w:hAnsi="Times New Roman" w:cs="Times New Roman"/>
          <w:b/>
          <w:bCs/>
          <w:sz w:val="24"/>
          <w:szCs w:val="24"/>
          <w:lang w:eastAsia="sk-SK"/>
        </w:rPr>
      </w:pPr>
    </w:p>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sz w:val="24"/>
          <w:szCs w:val="24"/>
          <w:bdr w:val="single" w:sz="4" w:space="0" w:color="auto"/>
          <w:lang w:eastAsia="sk-SK"/>
        </w:rPr>
        <w:t xml:space="preserve">  </w:t>
      </w:r>
      <w:r w:rsidR="00AF56F3">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007F788B">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007F788B">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nová služba alebo nariadenie (alebo ich zrušenie)</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007F788B">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007F788B">
        <w:rPr>
          <w:rFonts w:ascii="Times New Roman" w:eastAsia="Times New Roman" w:hAnsi="Times New Roman" w:cs="Times New Roman"/>
          <w:sz w:val="24"/>
          <w:szCs w:val="24"/>
          <w:bdr w:val="single" w:sz="4" w:space="0" w:color="auto"/>
          <w:lang w:eastAsia="sk-SK"/>
        </w:rPr>
        <w:t>x</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iné </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669AF" w:rsidP="007D5748">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2.2.4. Výpočty vplyvov na verejné financie</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C120C4" w:rsidRDefault="00C120C4" w:rsidP="007D5748">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Kvantifikácia predpokladá negatívny akruálny vplyv na rozpočet verejnej správy na úrovni</w:t>
      </w:r>
      <w:r w:rsidR="00C07875">
        <w:rPr>
          <w:rFonts w:ascii="Times New Roman" w:eastAsia="Times New Roman" w:hAnsi="Times New Roman" w:cs="Times New Roman"/>
          <w:sz w:val="24"/>
          <w:szCs w:val="24"/>
          <w:lang w:eastAsia="sk-SK"/>
        </w:rPr>
        <w:t xml:space="preserve"> </w:t>
      </w:r>
      <w:r w:rsidR="00C373AC">
        <w:rPr>
          <w:rFonts w:ascii="Times New Roman" w:eastAsia="Times New Roman" w:hAnsi="Times New Roman" w:cs="Times New Roman"/>
          <w:sz w:val="24"/>
          <w:szCs w:val="24"/>
          <w:lang w:eastAsia="sk-SK"/>
        </w:rPr>
        <w:t>12</w:t>
      </w:r>
      <w:r w:rsidR="0098779A">
        <w:rPr>
          <w:rFonts w:ascii="Times New Roman" w:eastAsia="Times New Roman" w:hAnsi="Times New Roman" w:cs="Times New Roman"/>
          <w:sz w:val="24"/>
          <w:szCs w:val="24"/>
          <w:lang w:eastAsia="sk-SK"/>
        </w:rPr>
        <w:t xml:space="preserve"> 372 </w:t>
      </w:r>
      <w:r w:rsidR="00C07875">
        <w:rPr>
          <w:rFonts w:ascii="Times New Roman" w:eastAsia="Times New Roman" w:hAnsi="Times New Roman" w:cs="Times New Roman"/>
          <w:sz w:val="24"/>
          <w:szCs w:val="24"/>
          <w:lang w:eastAsia="sk-SK"/>
        </w:rPr>
        <w:t xml:space="preserve">tis. </w:t>
      </w:r>
      <w:r w:rsidR="00C373AC">
        <w:rPr>
          <w:rFonts w:ascii="Times New Roman" w:eastAsia="Times New Roman" w:hAnsi="Times New Roman" w:cs="Times New Roman"/>
          <w:sz w:val="24"/>
          <w:szCs w:val="24"/>
          <w:lang w:eastAsia="sk-SK"/>
        </w:rPr>
        <w:t>e</w:t>
      </w:r>
      <w:r w:rsidR="00C07875">
        <w:rPr>
          <w:rFonts w:ascii="Times New Roman" w:eastAsia="Times New Roman" w:hAnsi="Times New Roman" w:cs="Times New Roman"/>
          <w:sz w:val="24"/>
          <w:szCs w:val="24"/>
          <w:lang w:eastAsia="sk-SK"/>
        </w:rPr>
        <w:t>ur v roku 201</w:t>
      </w:r>
      <w:r w:rsidR="00C373AC">
        <w:rPr>
          <w:rFonts w:ascii="Times New Roman" w:eastAsia="Times New Roman" w:hAnsi="Times New Roman" w:cs="Times New Roman"/>
          <w:sz w:val="24"/>
          <w:szCs w:val="24"/>
          <w:lang w:eastAsia="sk-SK"/>
        </w:rPr>
        <w:t>9</w:t>
      </w:r>
      <w:r w:rsidR="00C07875">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 </w:t>
      </w:r>
      <w:r w:rsidR="007B4144">
        <w:rPr>
          <w:rFonts w:ascii="Times New Roman" w:eastAsia="Times New Roman" w:hAnsi="Times New Roman" w:cs="Times New Roman"/>
          <w:sz w:val="24"/>
          <w:szCs w:val="24"/>
          <w:lang w:eastAsia="sk-SK"/>
        </w:rPr>
        <w:t>36 264</w:t>
      </w:r>
      <w:r w:rsidR="0098779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tis</w:t>
      </w:r>
      <w:r w:rsidR="003D55CF">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eur v roku </w:t>
      </w:r>
      <w:r w:rsidR="00AF56F3">
        <w:rPr>
          <w:rFonts w:ascii="Times New Roman" w:eastAsia="Times New Roman" w:hAnsi="Times New Roman" w:cs="Times New Roman"/>
          <w:sz w:val="24"/>
          <w:szCs w:val="24"/>
          <w:lang w:eastAsia="sk-SK"/>
        </w:rPr>
        <w:t>20</w:t>
      </w:r>
      <w:r w:rsidR="00C373AC">
        <w:rPr>
          <w:rFonts w:ascii="Times New Roman" w:eastAsia="Times New Roman" w:hAnsi="Times New Roman" w:cs="Times New Roman"/>
          <w:sz w:val="24"/>
          <w:szCs w:val="24"/>
          <w:lang w:eastAsia="sk-SK"/>
        </w:rPr>
        <w:t>20</w:t>
      </w:r>
      <w:r w:rsidR="00AF56F3">
        <w:rPr>
          <w:rFonts w:ascii="Times New Roman" w:eastAsia="Times New Roman" w:hAnsi="Times New Roman" w:cs="Times New Roman"/>
          <w:sz w:val="24"/>
          <w:szCs w:val="24"/>
          <w:lang w:eastAsia="sk-SK"/>
        </w:rPr>
        <w:t xml:space="preserve">, </w:t>
      </w:r>
      <w:r w:rsidR="007B4144">
        <w:rPr>
          <w:rFonts w:ascii="Times New Roman" w:eastAsia="Times New Roman" w:hAnsi="Times New Roman" w:cs="Times New Roman"/>
          <w:sz w:val="24"/>
          <w:szCs w:val="24"/>
          <w:lang w:eastAsia="sk-SK"/>
        </w:rPr>
        <w:t>40 589</w:t>
      </w:r>
      <w:r w:rsidR="00AF56F3">
        <w:rPr>
          <w:rFonts w:ascii="Times New Roman" w:eastAsia="Times New Roman" w:hAnsi="Times New Roman" w:cs="Times New Roman"/>
          <w:sz w:val="24"/>
          <w:szCs w:val="24"/>
          <w:lang w:eastAsia="sk-SK"/>
        </w:rPr>
        <w:t xml:space="preserve"> tis. </w:t>
      </w:r>
      <w:r w:rsidR="00C36A47">
        <w:rPr>
          <w:rFonts w:ascii="Times New Roman" w:eastAsia="Times New Roman" w:hAnsi="Times New Roman" w:cs="Times New Roman"/>
          <w:sz w:val="24"/>
          <w:szCs w:val="24"/>
          <w:lang w:eastAsia="sk-SK"/>
        </w:rPr>
        <w:t>e</w:t>
      </w:r>
      <w:r w:rsidR="00AF56F3">
        <w:rPr>
          <w:rFonts w:ascii="Times New Roman" w:eastAsia="Times New Roman" w:hAnsi="Times New Roman" w:cs="Times New Roman"/>
          <w:sz w:val="24"/>
          <w:szCs w:val="24"/>
          <w:lang w:eastAsia="sk-SK"/>
        </w:rPr>
        <w:t>ur v roku 20</w:t>
      </w:r>
      <w:r w:rsidR="00C373AC">
        <w:rPr>
          <w:rFonts w:ascii="Times New Roman" w:eastAsia="Times New Roman" w:hAnsi="Times New Roman" w:cs="Times New Roman"/>
          <w:sz w:val="24"/>
          <w:szCs w:val="24"/>
          <w:lang w:eastAsia="sk-SK"/>
        </w:rPr>
        <w:t>21</w:t>
      </w:r>
      <w:r w:rsidR="00AF56F3">
        <w:rPr>
          <w:rFonts w:ascii="Times New Roman" w:eastAsia="Times New Roman" w:hAnsi="Times New Roman" w:cs="Times New Roman"/>
          <w:sz w:val="24"/>
          <w:szCs w:val="24"/>
          <w:lang w:eastAsia="sk-SK"/>
        </w:rPr>
        <w:t xml:space="preserve"> a</w:t>
      </w:r>
      <w:r w:rsidR="007B4144">
        <w:rPr>
          <w:rFonts w:ascii="Times New Roman" w:eastAsia="Times New Roman" w:hAnsi="Times New Roman" w:cs="Times New Roman"/>
          <w:sz w:val="24"/>
          <w:szCs w:val="24"/>
          <w:lang w:eastAsia="sk-SK"/>
        </w:rPr>
        <w:t> 36 501</w:t>
      </w:r>
      <w:r w:rsidR="00AF56F3">
        <w:rPr>
          <w:rFonts w:ascii="Times New Roman" w:eastAsia="Times New Roman" w:hAnsi="Times New Roman" w:cs="Times New Roman"/>
          <w:sz w:val="24"/>
          <w:szCs w:val="24"/>
          <w:lang w:eastAsia="sk-SK"/>
        </w:rPr>
        <w:t xml:space="preserve"> tis</w:t>
      </w:r>
      <w:r w:rsidR="00C373AC">
        <w:rPr>
          <w:rFonts w:ascii="Times New Roman" w:eastAsia="Times New Roman" w:hAnsi="Times New Roman" w:cs="Times New Roman"/>
          <w:sz w:val="24"/>
          <w:szCs w:val="24"/>
          <w:lang w:eastAsia="sk-SK"/>
        </w:rPr>
        <w:t>.</w:t>
      </w:r>
      <w:r w:rsidR="00AF56F3">
        <w:rPr>
          <w:rFonts w:ascii="Times New Roman" w:eastAsia="Times New Roman" w:hAnsi="Times New Roman" w:cs="Times New Roman"/>
          <w:sz w:val="24"/>
          <w:szCs w:val="24"/>
          <w:lang w:eastAsia="sk-SK"/>
        </w:rPr>
        <w:t xml:space="preserve"> eur v roku 202</w:t>
      </w:r>
      <w:r w:rsidR="00C373AC">
        <w:rPr>
          <w:rFonts w:ascii="Times New Roman" w:eastAsia="Times New Roman" w:hAnsi="Times New Roman" w:cs="Times New Roman"/>
          <w:sz w:val="24"/>
          <w:szCs w:val="24"/>
          <w:lang w:eastAsia="sk-SK"/>
        </w:rPr>
        <w:t>2</w:t>
      </w:r>
      <w:r w:rsidR="006B4AAA">
        <w:rPr>
          <w:rFonts w:ascii="Times New Roman" w:eastAsia="Times New Roman" w:hAnsi="Times New Roman" w:cs="Times New Roman"/>
          <w:sz w:val="24"/>
          <w:szCs w:val="24"/>
          <w:lang w:eastAsia="sk-SK"/>
        </w:rPr>
        <w:t xml:space="preserve">. </w:t>
      </w:r>
    </w:p>
    <w:p w:rsidR="006B4AAA" w:rsidRDefault="006B4AAA" w:rsidP="007D5748">
      <w:pPr>
        <w:spacing w:after="0" w:line="240" w:lineRule="auto"/>
        <w:jc w:val="both"/>
        <w:rPr>
          <w:rFonts w:ascii="Times New Roman" w:eastAsia="Times New Roman" w:hAnsi="Times New Roman" w:cs="Times New Roman"/>
          <w:sz w:val="24"/>
          <w:szCs w:val="24"/>
          <w:lang w:eastAsia="sk-SK"/>
        </w:rPr>
      </w:pPr>
    </w:p>
    <w:p w:rsidR="00C120C4" w:rsidRPr="00600500" w:rsidRDefault="00C120C4" w:rsidP="007D5748">
      <w:pPr>
        <w:spacing w:after="0" w:line="240" w:lineRule="auto"/>
        <w:jc w:val="both"/>
        <w:rPr>
          <w:rFonts w:ascii="Times New Roman" w:eastAsia="Times New Roman" w:hAnsi="Times New Roman" w:cs="Times New Roman"/>
          <w:b/>
          <w:sz w:val="24"/>
          <w:szCs w:val="24"/>
          <w:lang w:eastAsia="sk-SK"/>
        </w:rPr>
      </w:pPr>
      <w:r w:rsidRPr="00600500">
        <w:rPr>
          <w:rFonts w:ascii="Times New Roman" w:eastAsia="Times New Roman" w:hAnsi="Times New Roman" w:cs="Times New Roman"/>
          <w:b/>
          <w:sz w:val="24"/>
          <w:szCs w:val="24"/>
          <w:lang w:eastAsia="sk-SK"/>
        </w:rPr>
        <w:t>Kvantifikácia príjmov</w:t>
      </w:r>
    </w:p>
    <w:p w:rsidR="007D5748" w:rsidRDefault="007D5748" w:rsidP="007D5748">
      <w:pPr>
        <w:tabs>
          <w:tab w:val="num" w:pos="1080"/>
        </w:tabs>
        <w:spacing w:after="0" w:line="240" w:lineRule="auto"/>
        <w:jc w:val="both"/>
        <w:rPr>
          <w:rFonts w:ascii="Times New Roman" w:eastAsia="Times New Roman" w:hAnsi="Times New Roman" w:cs="Times New Roman"/>
          <w:bCs/>
          <w:sz w:val="24"/>
          <w:szCs w:val="24"/>
          <w:lang w:eastAsia="sk-SK"/>
        </w:rPr>
      </w:pPr>
    </w:p>
    <w:p w:rsidR="00C373AC" w:rsidRPr="00C373AC" w:rsidRDefault="00B24BA3" w:rsidP="00C373AC">
      <w:pPr>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bCs/>
          <w:sz w:val="24"/>
          <w:szCs w:val="24"/>
          <w:lang w:eastAsia="sk-SK"/>
        </w:rPr>
        <w:t>A</w:t>
      </w:r>
      <w:r w:rsidR="00662C9C" w:rsidRPr="00C373AC">
        <w:rPr>
          <w:rFonts w:ascii="Times New Roman" w:eastAsia="Times New Roman" w:hAnsi="Times New Roman" w:cs="Times New Roman"/>
          <w:b/>
          <w:bCs/>
          <w:sz w:val="24"/>
          <w:szCs w:val="24"/>
          <w:lang w:eastAsia="sk-SK"/>
        </w:rPr>
        <w:t xml:space="preserve"> – </w:t>
      </w:r>
      <w:r w:rsidR="00C373AC" w:rsidRPr="00C373AC">
        <w:rPr>
          <w:rFonts w:ascii="Times New Roman" w:eastAsia="Times New Roman" w:hAnsi="Times New Roman" w:cs="Times New Roman"/>
          <w:b/>
          <w:sz w:val="24"/>
          <w:szCs w:val="24"/>
          <w:lang w:eastAsia="sk-SK"/>
        </w:rPr>
        <w:t>Zavedenie paušálu na príspevok zamestnávateľa na dopravu</w:t>
      </w:r>
    </w:p>
    <w:p w:rsidR="00AF56F3" w:rsidRPr="00600500" w:rsidRDefault="00600500" w:rsidP="007D5748">
      <w:pPr>
        <w:tabs>
          <w:tab w:val="num" w:pos="1080"/>
        </w:tabs>
        <w:spacing w:after="0" w:line="240" w:lineRule="auto"/>
        <w:jc w:val="both"/>
        <w:rPr>
          <w:rFonts w:ascii="Times New Roman" w:eastAsia="Times New Roman" w:hAnsi="Times New Roman" w:cs="Times New Roman"/>
          <w:bCs/>
          <w:sz w:val="24"/>
          <w:szCs w:val="24"/>
          <w:lang w:eastAsia="sk-SK"/>
        </w:rPr>
      </w:pPr>
      <w:r w:rsidRPr="00600500">
        <w:rPr>
          <w:rFonts w:ascii="Times New Roman" w:eastAsia="Times New Roman" w:hAnsi="Times New Roman" w:cs="Times New Roman"/>
          <w:bCs/>
          <w:sz w:val="24"/>
          <w:szCs w:val="24"/>
          <w:lang w:eastAsia="sk-SK"/>
        </w:rPr>
        <w:t>Opatrenie má viac pokryť náklady spojené s dopravou zamestnancov a zároveň zabezpečiť čo najefektívnejšie využívanie autobusov zo strany zamestnávateľa na dopravu zamestnancov. Rozširuje limit už existujúceho opatrenia bez úpravy ostatných predpokladov. Zároveň sa dopĺňa podmienka na vyťaženosť autobusov, ktoré budú používané na prepravu, čo môže mať mierne pozitívny fiškálny vplyv. Kvantifikácia vychádza zo skutočných dát o prepravovaných osobách vybranej firmy v sektore, cez ktoré bol odhadnutý vplyv na zvyšok ekonomiky.</w:t>
      </w:r>
    </w:p>
    <w:p w:rsidR="00AF56F3" w:rsidRPr="003C33E6" w:rsidRDefault="00AF56F3" w:rsidP="007D5748">
      <w:pPr>
        <w:tabs>
          <w:tab w:val="num" w:pos="1080"/>
        </w:tabs>
        <w:spacing w:after="0" w:line="240" w:lineRule="auto"/>
        <w:jc w:val="both"/>
        <w:rPr>
          <w:rFonts w:ascii="Times New Roman" w:eastAsia="Times New Roman" w:hAnsi="Times New Roman" w:cs="Times New Roman"/>
          <w:bCs/>
          <w:sz w:val="24"/>
          <w:szCs w:val="24"/>
          <w:lang w:eastAsia="sk-SK"/>
        </w:rPr>
      </w:pPr>
    </w:p>
    <w:p w:rsidR="00C373AC" w:rsidRPr="00C373AC" w:rsidRDefault="00B24BA3" w:rsidP="00C373AC">
      <w:pPr>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bCs/>
          <w:sz w:val="24"/>
          <w:szCs w:val="24"/>
          <w:lang w:eastAsia="sk-SK"/>
        </w:rPr>
        <w:t>B</w:t>
      </w:r>
      <w:r w:rsidR="00662C9C" w:rsidRPr="00C373AC">
        <w:rPr>
          <w:rFonts w:ascii="Times New Roman" w:eastAsia="Times New Roman" w:hAnsi="Times New Roman" w:cs="Times New Roman"/>
          <w:b/>
          <w:bCs/>
          <w:sz w:val="24"/>
          <w:szCs w:val="24"/>
          <w:lang w:eastAsia="sk-SK"/>
        </w:rPr>
        <w:t xml:space="preserve"> – </w:t>
      </w:r>
      <w:r w:rsidR="00C373AC" w:rsidRPr="00C373AC">
        <w:rPr>
          <w:rFonts w:ascii="Times New Roman" w:eastAsia="Times New Roman" w:hAnsi="Times New Roman" w:cs="Times New Roman"/>
          <w:b/>
          <w:sz w:val="24"/>
          <w:szCs w:val="24"/>
          <w:lang w:eastAsia="sk-SK"/>
        </w:rPr>
        <w:t>Zvýšenie príspevku zamestnávateľa na nájomné bývanie na 100 eur</w:t>
      </w:r>
    </w:p>
    <w:p w:rsidR="00CE5722" w:rsidRPr="00600500" w:rsidRDefault="00600500" w:rsidP="00600500">
      <w:pPr>
        <w:tabs>
          <w:tab w:val="num" w:pos="1080"/>
        </w:tabs>
        <w:spacing w:after="0" w:line="240" w:lineRule="auto"/>
        <w:jc w:val="both"/>
        <w:rPr>
          <w:rFonts w:ascii="Times New Roman" w:eastAsia="Times New Roman" w:hAnsi="Times New Roman" w:cs="Times New Roman"/>
          <w:bCs/>
          <w:sz w:val="24"/>
          <w:szCs w:val="24"/>
          <w:lang w:eastAsia="sk-SK"/>
        </w:rPr>
      </w:pPr>
      <w:r w:rsidRPr="00600500">
        <w:rPr>
          <w:rFonts w:ascii="Times New Roman" w:eastAsia="Times New Roman" w:hAnsi="Times New Roman" w:cs="Times New Roman"/>
          <w:bCs/>
          <w:sz w:val="24"/>
          <w:szCs w:val="24"/>
          <w:lang w:eastAsia="sk-SK"/>
        </w:rPr>
        <w:t>Zvýšenie limitu má pokryť zvýšené náklady spojené s prehrievaním na trhu nehnuteľností a z toho prameniacich vyšších cien nájmov. Kvantifikácia navyšuje limit pri existujúcom opatrení. Pri kvantifikácií boli použité dáta od vybraného subjektu o počte ubytovaných osôb, na základe ktorých boli aproximované vplyvy na zvyšok sektora.</w:t>
      </w:r>
    </w:p>
    <w:p w:rsidR="00CE5722" w:rsidRDefault="00CE5722" w:rsidP="003C33E6">
      <w:pPr>
        <w:spacing w:after="0" w:line="240" w:lineRule="auto"/>
        <w:jc w:val="both"/>
        <w:rPr>
          <w:rFonts w:ascii="Times New Roman" w:eastAsia="Times New Roman" w:hAnsi="Times New Roman" w:cs="Times New Roman"/>
          <w:sz w:val="24"/>
          <w:szCs w:val="24"/>
          <w:lang w:eastAsia="sk-SK"/>
        </w:rPr>
      </w:pPr>
    </w:p>
    <w:p w:rsidR="00C373AC" w:rsidRDefault="00B24BA3" w:rsidP="00C373AC">
      <w:pPr>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C</w:t>
      </w:r>
      <w:r w:rsidR="009E1FC4" w:rsidRPr="00C373AC">
        <w:rPr>
          <w:rFonts w:ascii="Times New Roman" w:eastAsia="Times New Roman" w:hAnsi="Times New Roman" w:cs="Times New Roman"/>
          <w:b/>
          <w:sz w:val="24"/>
          <w:szCs w:val="24"/>
          <w:lang w:eastAsia="sk-SK"/>
        </w:rPr>
        <w:t xml:space="preserve"> </w:t>
      </w:r>
      <w:r w:rsidR="00CE5722" w:rsidRPr="00C373AC">
        <w:rPr>
          <w:rFonts w:ascii="Times New Roman" w:eastAsia="Times New Roman" w:hAnsi="Times New Roman" w:cs="Times New Roman"/>
          <w:b/>
          <w:sz w:val="24"/>
          <w:szCs w:val="24"/>
          <w:lang w:eastAsia="sk-SK"/>
        </w:rPr>
        <w:t xml:space="preserve">- </w:t>
      </w:r>
      <w:r w:rsidR="00C373AC" w:rsidRPr="00C373AC">
        <w:rPr>
          <w:rFonts w:ascii="Times New Roman" w:eastAsia="Times New Roman" w:hAnsi="Times New Roman" w:cs="Times New Roman"/>
          <w:b/>
          <w:sz w:val="24"/>
          <w:szCs w:val="24"/>
          <w:lang w:eastAsia="sk-SK"/>
        </w:rPr>
        <w:t>Zmena pravidiel odpočtu daňovej straty u</w:t>
      </w:r>
      <w:r w:rsidR="00600500">
        <w:rPr>
          <w:rFonts w:ascii="Times New Roman" w:eastAsia="Times New Roman" w:hAnsi="Times New Roman" w:cs="Times New Roman"/>
          <w:b/>
          <w:sz w:val="24"/>
          <w:szCs w:val="24"/>
          <w:lang w:eastAsia="sk-SK"/>
        </w:rPr>
        <w:t> </w:t>
      </w:r>
      <w:r w:rsidR="00C373AC" w:rsidRPr="00C373AC">
        <w:rPr>
          <w:rFonts w:ascii="Times New Roman" w:eastAsia="Times New Roman" w:hAnsi="Times New Roman" w:cs="Times New Roman"/>
          <w:b/>
          <w:sz w:val="24"/>
          <w:szCs w:val="24"/>
          <w:lang w:eastAsia="sk-SK"/>
        </w:rPr>
        <w:t>mikrodaňovníkov</w:t>
      </w:r>
    </w:p>
    <w:p w:rsidR="00600500" w:rsidRPr="00600500" w:rsidRDefault="00600500" w:rsidP="00C373AC">
      <w:pPr>
        <w:spacing w:after="0" w:line="240" w:lineRule="auto"/>
        <w:jc w:val="both"/>
        <w:rPr>
          <w:rFonts w:ascii="Times New Roman" w:eastAsia="Times New Roman" w:hAnsi="Times New Roman" w:cs="Times New Roman"/>
          <w:sz w:val="24"/>
          <w:szCs w:val="24"/>
          <w:lang w:eastAsia="sk-SK"/>
        </w:rPr>
      </w:pPr>
      <w:r w:rsidRPr="00600500">
        <w:rPr>
          <w:rFonts w:ascii="Times New Roman" w:eastAsia="Times New Roman" w:hAnsi="Times New Roman" w:cs="Times New Roman"/>
          <w:sz w:val="24"/>
          <w:szCs w:val="24"/>
          <w:lang w:eastAsia="sk-SK"/>
        </w:rPr>
        <w:t xml:space="preserve">Uvedené opatrenie po prvýkrát vstúpi do platnosti od roku 2021, keď si firmy budú môcť umoriť straty za rok 2020. Zdrojom dát sú individuálne daňové priznania dane z príjmu právnických osôb (DPPO) za obdobie 2010 až 2017. Za uvedené obdobie je spočítaný objem daňových strát dostupných pre firmu k umoreniu. Odhad fiškálneho vplyvu je postavený na odhade zavedenia zmeny odpočtu daňovej straty na historických dátach za obdobie 2014 až 2017. U malých a stredných podnikov nie je odhad fiškálneho vplyvu upravený pretože na základe historického vývoja nepozorujeme významný nárast ziskov v období 2014 až 2017 v porovnaní s predchádzajúcimi rokmi. V prípade malých a stredných podnikov predpokladáme čiastočnú optimalizáciu najmä pokiaľ sú blízko hranice obratu. Pomer skutočne zaplatenej dane a dane, ktorá by vznikla ak by v danom období bola zavedená zmena odpočtu je následne uplatnený na prognózu DPPO v období rokov 2021 a 2022.  </w:t>
      </w:r>
    </w:p>
    <w:p w:rsidR="00600500" w:rsidRDefault="00600500" w:rsidP="00C373AC">
      <w:pPr>
        <w:spacing w:after="0" w:line="240" w:lineRule="auto"/>
        <w:jc w:val="both"/>
        <w:rPr>
          <w:rFonts w:ascii="Times New Roman" w:eastAsia="Times New Roman" w:hAnsi="Times New Roman" w:cs="Times New Roman"/>
          <w:b/>
          <w:sz w:val="24"/>
          <w:szCs w:val="24"/>
          <w:lang w:eastAsia="sk-SK"/>
        </w:rPr>
      </w:pPr>
    </w:p>
    <w:p w:rsidR="00C373AC" w:rsidRPr="00C373AC" w:rsidRDefault="00B24BA3" w:rsidP="00C373AC">
      <w:pPr>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D</w:t>
      </w:r>
      <w:r w:rsidR="00C373AC">
        <w:rPr>
          <w:rFonts w:ascii="Times New Roman" w:eastAsia="Times New Roman" w:hAnsi="Times New Roman" w:cs="Times New Roman"/>
          <w:b/>
          <w:sz w:val="24"/>
          <w:szCs w:val="24"/>
          <w:lang w:eastAsia="sk-SK"/>
        </w:rPr>
        <w:t xml:space="preserve"> - </w:t>
      </w:r>
      <w:r w:rsidR="00C373AC" w:rsidRPr="00C373AC">
        <w:rPr>
          <w:rFonts w:ascii="Times New Roman" w:eastAsia="Times New Roman" w:hAnsi="Times New Roman" w:cs="Times New Roman"/>
          <w:b/>
          <w:sz w:val="24"/>
          <w:szCs w:val="24"/>
          <w:lang w:eastAsia="sk-SK"/>
        </w:rPr>
        <w:t>Zmena pravidiel odpočtu daňovej straty pre ostatné firmy</w:t>
      </w:r>
    </w:p>
    <w:p w:rsidR="00C373AC" w:rsidRDefault="00600500" w:rsidP="00C373AC">
      <w:pPr>
        <w:spacing w:after="0" w:line="240" w:lineRule="auto"/>
        <w:jc w:val="both"/>
        <w:rPr>
          <w:rFonts w:ascii="Times New Roman" w:eastAsia="Times New Roman" w:hAnsi="Times New Roman" w:cs="Times New Roman"/>
          <w:sz w:val="24"/>
          <w:szCs w:val="24"/>
          <w:lang w:eastAsia="sk-SK"/>
        </w:rPr>
      </w:pPr>
      <w:r w:rsidRPr="00600500">
        <w:rPr>
          <w:rFonts w:ascii="Times New Roman" w:eastAsia="Times New Roman" w:hAnsi="Times New Roman" w:cs="Times New Roman"/>
          <w:sz w:val="24"/>
          <w:szCs w:val="24"/>
          <w:lang w:eastAsia="sk-SK"/>
        </w:rPr>
        <w:t xml:space="preserve">Uvedené opatrenie po prvýkrát vstúpi do platnosti od roku 2021, keď si firmy budú môcť umoriť straty za rok 2020. Zdrojom dát sú individuálne daňové priznania dane z príjmu </w:t>
      </w:r>
      <w:r w:rsidRPr="00600500">
        <w:rPr>
          <w:rFonts w:ascii="Times New Roman" w:eastAsia="Times New Roman" w:hAnsi="Times New Roman" w:cs="Times New Roman"/>
          <w:sz w:val="24"/>
          <w:szCs w:val="24"/>
          <w:lang w:eastAsia="sk-SK"/>
        </w:rPr>
        <w:lastRenderedPageBreak/>
        <w:t xml:space="preserve">právnických osôb (DPPO) za obdobie 2010 až 2017. Za uvedené obdobie je spočítaný objem daňových strát dostupných pre firmu k umoreniu. Odhad fiškálneho vplyvu je postavený na odhade zavedenia zmeny odpočtu daňovej straty na historických dátach za obdobie 2014 až 2017. Odhad fiškálneho vplyvu za toto obdobie je ponížený , nakoľko obdobie rokov 2014 až 2017 je možné považovať za vrchol hospodárskeho cyklu keď zisk firiem rástol. Čím vyšší zisk firma dosiahne tým spravidla má k dispozícii vyšší základ dane k umoreniu strát. Bez úpravy základu dane o vplyv pozitívneho ekonomického vývoja by bol fiškálny vplyv nadhodnotený pretože od roku 2020 nepredpokladáme rast ziskov na úrovni obdobia 2014 až 2017. Pomer skutočne zaplatenej dane a dane, ktorá by vznikla ak by v danom období bola zavedená zmena odpočtu je následne uplatnený na prognózu DPPO v období rokov 2021 a 2022.  </w:t>
      </w:r>
    </w:p>
    <w:p w:rsidR="00600500" w:rsidRPr="00600500" w:rsidRDefault="00600500" w:rsidP="00C373AC">
      <w:pPr>
        <w:spacing w:after="0" w:line="240" w:lineRule="auto"/>
        <w:jc w:val="both"/>
        <w:rPr>
          <w:rFonts w:ascii="Times New Roman" w:eastAsia="Times New Roman" w:hAnsi="Times New Roman" w:cs="Times New Roman"/>
          <w:sz w:val="24"/>
          <w:szCs w:val="24"/>
          <w:lang w:eastAsia="sk-SK"/>
        </w:rPr>
      </w:pPr>
    </w:p>
    <w:p w:rsidR="00C373AC" w:rsidRDefault="00B24BA3" w:rsidP="00C373AC">
      <w:pPr>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E</w:t>
      </w:r>
      <w:r w:rsidR="00C373AC" w:rsidRPr="00C373AC">
        <w:rPr>
          <w:rFonts w:ascii="Times New Roman" w:eastAsia="Times New Roman" w:hAnsi="Times New Roman" w:cs="Times New Roman"/>
          <w:b/>
          <w:sz w:val="24"/>
          <w:szCs w:val="24"/>
          <w:lang w:eastAsia="sk-SK"/>
        </w:rPr>
        <w:t xml:space="preserve"> -</w:t>
      </w:r>
      <w:r w:rsidR="00C373AC">
        <w:rPr>
          <w:rFonts w:ascii="Times New Roman" w:eastAsia="Times New Roman" w:hAnsi="Times New Roman" w:cs="Times New Roman"/>
          <w:sz w:val="24"/>
          <w:szCs w:val="24"/>
          <w:lang w:eastAsia="sk-SK"/>
        </w:rPr>
        <w:t xml:space="preserve"> </w:t>
      </w:r>
      <w:r w:rsidR="00C373AC" w:rsidRPr="00C373AC">
        <w:rPr>
          <w:rFonts w:ascii="Times New Roman" w:eastAsia="Times New Roman" w:hAnsi="Times New Roman" w:cs="Times New Roman"/>
          <w:b/>
          <w:sz w:val="24"/>
          <w:szCs w:val="24"/>
          <w:lang w:eastAsia="sk-SK"/>
        </w:rPr>
        <w:t>Zavedenie nových podmienok na odpisovanie hmotného majetku u</w:t>
      </w:r>
      <w:r w:rsidR="00600500">
        <w:rPr>
          <w:rFonts w:ascii="Times New Roman" w:eastAsia="Times New Roman" w:hAnsi="Times New Roman" w:cs="Times New Roman"/>
          <w:b/>
          <w:sz w:val="24"/>
          <w:szCs w:val="24"/>
          <w:lang w:eastAsia="sk-SK"/>
        </w:rPr>
        <w:t> </w:t>
      </w:r>
      <w:r w:rsidR="00C373AC" w:rsidRPr="00C373AC">
        <w:rPr>
          <w:rFonts w:ascii="Times New Roman" w:eastAsia="Times New Roman" w:hAnsi="Times New Roman" w:cs="Times New Roman"/>
          <w:b/>
          <w:sz w:val="24"/>
          <w:szCs w:val="24"/>
          <w:lang w:eastAsia="sk-SK"/>
        </w:rPr>
        <w:t>mikrodaňovníkov</w:t>
      </w:r>
    </w:p>
    <w:p w:rsidR="00600500" w:rsidRPr="00600500" w:rsidRDefault="00600500" w:rsidP="00C373AC">
      <w:pPr>
        <w:spacing w:after="0" w:line="240" w:lineRule="auto"/>
        <w:jc w:val="both"/>
        <w:rPr>
          <w:rFonts w:ascii="Times New Roman" w:eastAsia="Times New Roman" w:hAnsi="Times New Roman" w:cs="Times New Roman"/>
          <w:sz w:val="24"/>
          <w:szCs w:val="24"/>
          <w:lang w:eastAsia="sk-SK"/>
        </w:rPr>
      </w:pPr>
      <w:r w:rsidRPr="00600500">
        <w:rPr>
          <w:rFonts w:ascii="Times New Roman" w:eastAsia="Times New Roman" w:hAnsi="Times New Roman" w:cs="Times New Roman"/>
          <w:sz w:val="24"/>
          <w:szCs w:val="24"/>
          <w:lang w:eastAsia="sk-SK"/>
        </w:rPr>
        <w:t xml:space="preserve">Zdrojom dát sú individuálne daňové priznania dane z príjmu právnických osôb (DPPO) a finančné výkazy od spoločnosti FINSTAT za obdobie 2010 až 2017. Za uvedené obdobie je spočítaný objem aktív dostupných k odpisu. Odhad fiškálneho vplyvu je postavený na aproximácii zavedenia zmeny odpočtu daňovej straty na historických dátach za obdobie 2014 až 2017. V prípade malých a stredných podnikov predpokladáme čiastočnú optimalizáciu najmä pokiaľ sú blízko hranice obratu. Pomer skutočne zaplatenej dane a dane, ktorá by vznikla ak by v danom období bola zavedená zmena odpočtu je následne uplatnený na prognózu DPPO v období rokov 2021 a 2022.  </w:t>
      </w:r>
    </w:p>
    <w:p w:rsidR="00C373AC" w:rsidRDefault="00C373AC" w:rsidP="00C373AC">
      <w:pPr>
        <w:spacing w:after="0" w:line="240" w:lineRule="auto"/>
        <w:jc w:val="both"/>
        <w:rPr>
          <w:rFonts w:ascii="Times New Roman" w:eastAsia="Times New Roman" w:hAnsi="Times New Roman" w:cs="Times New Roman"/>
          <w:sz w:val="24"/>
          <w:szCs w:val="24"/>
          <w:lang w:eastAsia="sk-SK"/>
        </w:rPr>
      </w:pPr>
    </w:p>
    <w:p w:rsidR="00C373AC" w:rsidRDefault="00B24BA3" w:rsidP="00C373AC">
      <w:pPr>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F</w:t>
      </w:r>
      <w:r w:rsidR="00C373AC" w:rsidRPr="00C373AC">
        <w:rPr>
          <w:rFonts w:ascii="Times New Roman" w:eastAsia="Times New Roman" w:hAnsi="Times New Roman" w:cs="Times New Roman"/>
          <w:b/>
          <w:sz w:val="24"/>
          <w:szCs w:val="24"/>
          <w:lang w:eastAsia="sk-SK"/>
        </w:rPr>
        <w:t xml:space="preserve"> - Podpora elektromobility prostredníctvom daňových odpisov</w:t>
      </w:r>
    </w:p>
    <w:p w:rsidR="00C373AC" w:rsidRDefault="00600500" w:rsidP="00C373AC">
      <w:pPr>
        <w:spacing w:after="0" w:line="240" w:lineRule="auto"/>
        <w:jc w:val="both"/>
        <w:rPr>
          <w:rFonts w:ascii="Times New Roman" w:eastAsia="Times New Roman" w:hAnsi="Times New Roman" w:cs="Times New Roman"/>
          <w:sz w:val="24"/>
          <w:szCs w:val="24"/>
          <w:lang w:eastAsia="sk-SK"/>
        </w:rPr>
      </w:pPr>
      <w:r w:rsidRPr="00600500">
        <w:rPr>
          <w:rFonts w:ascii="Times New Roman" w:eastAsia="Times New Roman" w:hAnsi="Times New Roman" w:cs="Times New Roman"/>
          <w:sz w:val="24"/>
          <w:szCs w:val="24"/>
          <w:lang w:eastAsia="sk-SK"/>
        </w:rPr>
        <w:t>Kvantifikácia vychádza z prognózy Ministerstva Hospodárstva o počte elektrombilov a plug-in hybridov na obdobie 2016 až 2030. Prognóza je upravená na základe pomeru (skutočný počet/prognóza) za obdobie rokov 2016 a 2018. Skutočný počet elektromobilov a plug-in hybridov je dostupný z policajne databázy áut. Kvantifikácia predpokladá priemernú cenu elektromobilu 35 tisíc eur. Predpokladáme dynamický vplyv nákupu nových áut z titulu daňovej úspory po zavedení skrátenej doby odpisu. Kvantifikácia berie do úvahy zavedenie zmeny legislatívy na už nakúpené autá. Fiškálny vplyv je rozdiel medzi súčinom počtu áut a priemernej ceny pri aplikácii aktuálnej odpisovej politiky v porovnaní so skrátenou dobou odpisovania.</w:t>
      </w:r>
    </w:p>
    <w:p w:rsidR="00600500" w:rsidRPr="00600500" w:rsidRDefault="00600500" w:rsidP="00C373AC">
      <w:pPr>
        <w:spacing w:after="0" w:line="240" w:lineRule="auto"/>
        <w:jc w:val="both"/>
        <w:rPr>
          <w:rFonts w:ascii="Times New Roman" w:eastAsia="Times New Roman" w:hAnsi="Times New Roman" w:cs="Times New Roman"/>
          <w:sz w:val="24"/>
          <w:szCs w:val="24"/>
          <w:lang w:eastAsia="sk-SK"/>
        </w:rPr>
      </w:pPr>
    </w:p>
    <w:p w:rsidR="00C373AC" w:rsidRDefault="00B24BA3" w:rsidP="00C373AC">
      <w:pPr>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G</w:t>
      </w:r>
      <w:r w:rsidR="00C373AC" w:rsidRPr="00C373AC">
        <w:rPr>
          <w:rFonts w:ascii="Times New Roman" w:eastAsia="Times New Roman" w:hAnsi="Times New Roman" w:cs="Times New Roman"/>
          <w:b/>
          <w:sz w:val="24"/>
          <w:szCs w:val="24"/>
          <w:lang w:eastAsia="sk-SK"/>
        </w:rPr>
        <w:t xml:space="preserve"> - Zmena pri uplatňovaní superodpočtu výdavkov na vedu a</w:t>
      </w:r>
      <w:r w:rsidR="00C373AC">
        <w:rPr>
          <w:rFonts w:ascii="Times New Roman" w:eastAsia="Times New Roman" w:hAnsi="Times New Roman" w:cs="Times New Roman"/>
          <w:b/>
          <w:sz w:val="24"/>
          <w:szCs w:val="24"/>
          <w:lang w:eastAsia="sk-SK"/>
        </w:rPr>
        <w:t> </w:t>
      </w:r>
      <w:r w:rsidR="00C373AC" w:rsidRPr="00C373AC">
        <w:rPr>
          <w:rFonts w:ascii="Times New Roman" w:eastAsia="Times New Roman" w:hAnsi="Times New Roman" w:cs="Times New Roman"/>
          <w:b/>
          <w:sz w:val="24"/>
          <w:szCs w:val="24"/>
          <w:lang w:eastAsia="sk-SK"/>
        </w:rPr>
        <w:t>výskum</w:t>
      </w:r>
    </w:p>
    <w:p w:rsidR="00C373AC" w:rsidRDefault="00600500" w:rsidP="00C373AC">
      <w:pPr>
        <w:spacing w:after="0" w:line="240" w:lineRule="auto"/>
        <w:jc w:val="both"/>
        <w:rPr>
          <w:rFonts w:ascii="Times New Roman" w:eastAsia="Times New Roman" w:hAnsi="Times New Roman" w:cs="Times New Roman"/>
          <w:sz w:val="24"/>
          <w:szCs w:val="24"/>
          <w:lang w:eastAsia="sk-SK"/>
        </w:rPr>
      </w:pPr>
      <w:r w:rsidRPr="00600500">
        <w:rPr>
          <w:rFonts w:ascii="Times New Roman" w:eastAsia="Times New Roman" w:hAnsi="Times New Roman" w:cs="Times New Roman"/>
          <w:sz w:val="24"/>
          <w:szCs w:val="24"/>
          <w:lang w:eastAsia="sk-SK"/>
        </w:rPr>
        <w:t>Zdrojom dát sú individuálne daňové priznania za rok 2015 až 2017. Výsledný kvantifikovaný vplyv je priemerom minimálneho a maximálneho vplyvu. Minimálny vplyv je statický vplyv, ktorý bude rásť na horizonte rozpočtu v súlade s vývojom HDP. U maximálneho vplyvu sa uvažuje s kombináciou dvoch zdrojov rastu. V prvom prípade ide o 3 % medziročný nárast výdavkov na VaV, ktorý predpokladá dynamický efekt zo zvýšenia superodpočtu (zodpovedá priemernému nárastu počtu subjektov realizujúcich výdavky na VaV o 3 % ročne po zavedení obdobnej zmeny v ČR v roku 2005). V druhom prípade sa predpokladá, že úsporu na dani z príjmov (z dôvodu zvýšenia superodpočtu) podniky opätovne reinvestujú do oblasti vedy a výskumu.</w:t>
      </w:r>
    </w:p>
    <w:p w:rsidR="00600500" w:rsidRPr="00600500" w:rsidRDefault="00600500" w:rsidP="00C373AC">
      <w:pPr>
        <w:spacing w:after="0" w:line="240" w:lineRule="auto"/>
        <w:jc w:val="both"/>
        <w:rPr>
          <w:rFonts w:ascii="Times New Roman" w:eastAsia="Times New Roman" w:hAnsi="Times New Roman" w:cs="Times New Roman"/>
          <w:sz w:val="24"/>
          <w:szCs w:val="24"/>
          <w:lang w:eastAsia="sk-SK"/>
        </w:rPr>
      </w:pPr>
    </w:p>
    <w:p w:rsidR="00C373AC" w:rsidRDefault="00B24BA3" w:rsidP="00C373AC">
      <w:pPr>
        <w:spacing w:after="0" w:line="240" w:lineRule="auto"/>
        <w:ind w:left="426" w:hanging="426"/>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H</w:t>
      </w:r>
      <w:r w:rsidR="00C373AC" w:rsidRPr="00C373AC">
        <w:rPr>
          <w:rFonts w:ascii="Times New Roman" w:eastAsia="Times New Roman" w:hAnsi="Times New Roman" w:cs="Times New Roman"/>
          <w:b/>
          <w:sz w:val="24"/>
          <w:szCs w:val="24"/>
          <w:lang w:eastAsia="sk-SK"/>
        </w:rPr>
        <w:t xml:space="preserve"> - Zavedenie možnosti tvorby daňových opravných položiek k pohľadávkam mikrodaňovníkov v súlade s</w:t>
      </w:r>
      <w:r w:rsidR="00600500">
        <w:rPr>
          <w:rFonts w:ascii="Times New Roman" w:eastAsia="Times New Roman" w:hAnsi="Times New Roman" w:cs="Times New Roman"/>
          <w:b/>
          <w:sz w:val="24"/>
          <w:szCs w:val="24"/>
          <w:lang w:eastAsia="sk-SK"/>
        </w:rPr>
        <w:t> </w:t>
      </w:r>
      <w:r w:rsidR="00C373AC" w:rsidRPr="00C373AC">
        <w:rPr>
          <w:rFonts w:ascii="Times New Roman" w:eastAsia="Times New Roman" w:hAnsi="Times New Roman" w:cs="Times New Roman"/>
          <w:b/>
          <w:sz w:val="24"/>
          <w:szCs w:val="24"/>
          <w:lang w:eastAsia="sk-SK"/>
        </w:rPr>
        <w:t>účtovníctvom</w:t>
      </w:r>
    </w:p>
    <w:p w:rsidR="00600500" w:rsidRPr="00600500" w:rsidRDefault="00600500" w:rsidP="00600500">
      <w:pPr>
        <w:spacing w:after="0" w:line="240" w:lineRule="auto"/>
        <w:jc w:val="both"/>
        <w:rPr>
          <w:rFonts w:ascii="Times New Roman" w:eastAsia="Times New Roman" w:hAnsi="Times New Roman" w:cs="Times New Roman"/>
          <w:sz w:val="24"/>
          <w:szCs w:val="24"/>
          <w:lang w:eastAsia="sk-SK"/>
        </w:rPr>
      </w:pPr>
      <w:r w:rsidRPr="00600500">
        <w:rPr>
          <w:rFonts w:ascii="Times New Roman" w:eastAsia="Times New Roman" w:hAnsi="Times New Roman" w:cs="Times New Roman"/>
          <w:sz w:val="24"/>
          <w:szCs w:val="24"/>
          <w:lang w:eastAsia="sk-SK"/>
        </w:rPr>
        <w:t>Zdrojom dát sú individuálne daňové priznania DPPO a finančné výkazy od spoločnosti FINSTAT za obdobie 2014 až 2017. Odhad fiškálneho vplyvu pracuje s predpokladom, že objem opravných položiek pre malé a stredné podniky s kladným základom dane bude vždy uplatnený v súlade s účtovníctvom a nebude už zvyšovať základ dane ako opravná položka neuznaná za daňový výdavok kvôli limitácii a časovému testu. V prípade malých a stredných podnikov predpokladáme čiastočnú optimalizáciu pre podniky blízko hranice obratu.</w:t>
      </w:r>
    </w:p>
    <w:p w:rsidR="003B74F5" w:rsidRDefault="003B74F5" w:rsidP="00C373AC">
      <w:pPr>
        <w:spacing w:after="0" w:line="240" w:lineRule="auto"/>
        <w:ind w:left="426" w:hanging="426"/>
        <w:jc w:val="both"/>
        <w:rPr>
          <w:rFonts w:ascii="Times New Roman" w:eastAsia="Times New Roman" w:hAnsi="Times New Roman" w:cs="Times New Roman"/>
          <w:b/>
          <w:sz w:val="24"/>
          <w:szCs w:val="24"/>
          <w:lang w:eastAsia="sk-SK"/>
        </w:rPr>
      </w:pPr>
    </w:p>
    <w:p w:rsidR="003B74F5" w:rsidRPr="003B74F5" w:rsidRDefault="00B24BA3" w:rsidP="003B74F5">
      <w:pPr>
        <w:spacing w:after="0" w:line="240" w:lineRule="auto"/>
        <w:ind w:left="426" w:hanging="426"/>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I</w:t>
      </w:r>
      <w:r w:rsidR="003B74F5" w:rsidRPr="003B74F5">
        <w:rPr>
          <w:rFonts w:ascii="Times New Roman" w:eastAsia="Times New Roman" w:hAnsi="Times New Roman" w:cs="Times New Roman"/>
          <w:b/>
          <w:sz w:val="24"/>
          <w:szCs w:val="24"/>
          <w:lang w:eastAsia="sk-SK"/>
        </w:rPr>
        <w:t xml:space="preserve"> - Zvýšenie hranice pre platenie preddavkov u fyzických aj právnických osôb z 2 500 eur na 5 000 eur</w:t>
      </w:r>
    </w:p>
    <w:p w:rsidR="003B74F5" w:rsidRPr="00600500" w:rsidRDefault="00600500" w:rsidP="00600500">
      <w:pPr>
        <w:spacing w:after="0" w:line="240" w:lineRule="auto"/>
        <w:jc w:val="both"/>
        <w:rPr>
          <w:rFonts w:ascii="Times New Roman" w:eastAsia="Times New Roman" w:hAnsi="Times New Roman" w:cs="Times New Roman"/>
          <w:sz w:val="24"/>
          <w:szCs w:val="24"/>
          <w:lang w:eastAsia="sk-SK"/>
        </w:rPr>
      </w:pPr>
      <w:r w:rsidRPr="00600500">
        <w:rPr>
          <w:rFonts w:ascii="Times New Roman" w:eastAsia="Times New Roman" w:hAnsi="Times New Roman" w:cs="Times New Roman"/>
          <w:sz w:val="24"/>
          <w:szCs w:val="24"/>
          <w:lang w:eastAsia="sk-SK"/>
        </w:rPr>
        <w:t>Zdrojom dát je štruktúra preddavkov na dani z príjmu na individuálnej báze poskytnutá Finančnou správou. Z individuálnych dát je možné vypočítať meškanie platieb kvartálnych preddavkov pri hranici 2500 až 5000 eur. 15 % subjektov (firmy aj SZČO), respektíve 20 % objemu preddavkov je splatených viac ako mesiac po termíne splatnosti. Legislatívna zmen</w:t>
      </w:r>
      <w:r w:rsidR="004D10E4">
        <w:rPr>
          <w:rFonts w:ascii="Times New Roman" w:eastAsia="Times New Roman" w:hAnsi="Times New Roman" w:cs="Times New Roman"/>
          <w:sz w:val="24"/>
          <w:szCs w:val="24"/>
          <w:lang w:eastAsia="sk-SK"/>
        </w:rPr>
        <w:t>a</w:t>
      </w:r>
      <w:r w:rsidRPr="00600500">
        <w:rPr>
          <w:rFonts w:ascii="Times New Roman" w:eastAsia="Times New Roman" w:hAnsi="Times New Roman" w:cs="Times New Roman"/>
          <w:sz w:val="24"/>
          <w:szCs w:val="24"/>
          <w:lang w:eastAsia="sk-SK"/>
        </w:rPr>
        <w:t xml:space="preserve"> by mala za následok, že viacej subjektov bude mať jednor</w:t>
      </w:r>
      <w:r w:rsidR="00C63DEE">
        <w:rPr>
          <w:rFonts w:ascii="Times New Roman" w:eastAsia="Times New Roman" w:hAnsi="Times New Roman" w:cs="Times New Roman"/>
          <w:sz w:val="24"/>
          <w:szCs w:val="24"/>
          <w:lang w:eastAsia="sk-SK"/>
        </w:rPr>
        <w:t>a</w:t>
      </w:r>
      <w:r w:rsidRPr="00600500">
        <w:rPr>
          <w:rFonts w:ascii="Times New Roman" w:eastAsia="Times New Roman" w:hAnsi="Times New Roman" w:cs="Times New Roman"/>
          <w:sz w:val="24"/>
          <w:szCs w:val="24"/>
          <w:lang w:eastAsia="sk-SK"/>
        </w:rPr>
        <w:t>zov</w:t>
      </w:r>
      <w:r w:rsidR="00C63DEE">
        <w:rPr>
          <w:rFonts w:ascii="Times New Roman" w:eastAsia="Times New Roman" w:hAnsi="Times New Roman" w:cs="Times New Roman"/>
          <w:sz w:val="24"/>
          <w:szCs w:val="24"/>
          <w:lang w:eastAsia="sk-SK"/>
        </w:rPr>
        <w:t>ú</w:t>
      </w:r>
      <w:r w:rsidRPr="00600500">
        <w:rPr>
          <w:rFonts w:ascii="Times New Roman" w:eastAsia="Times New Roman" w:hAnsi="Times New Roman" w:cs="Times New Roman"/>
          <w:sz w:val="24"/>
          <w:szCs w:val="24"/>
          <w:lang w:eastAsia="sk-SK"/>
        </w:rPr>
        <w:t xml:space="preserve"> platbu dane, bez predošlej platby preddavk</w:t>
      </w:r>
      <w:r w:rsidR="004D10E4">
        <w:rPr>
          <w:rFonts w:ascii="Times New Roman" w:eastAsia="Times New Roman" w:hAnsi="Times New Roman" w:cs="Times New Roman"/>
          <w:sz w:val="24"/>
          <w:szCs w:val="24"/>
          <w:lang w:eastAsia="sk-SK"/>
        </w:rPr>
        <w:t>ov. U týchto subjektov predpoklad</w:t>
      </w:r>
      <w:r w:rsidR="00C63DEE">
        <w:rPr>
          <w:rFonts w:ascii="Times New Roman" w:eastAsia="Times New Roman" w:hAnsi="Times New Roman" w:cs="Times New Roman"/>
          <w:sz w:val="24"/>
          <w:szCs w:val="24"/>
          <w:lang w:eastAsia="sk-SK"/>
        </w:rPr>
        <w:t>á</w:t>
      </w:r>
      <w:r w:rsidRPr="00600500">
        <w:rPr>
          <w:rFonts w:ascii="Times New Roman" w:eastAsia="Times New Roman" w:hAnsi="Times New Roman" w:cs="Times New Roman"/>
          <w:sz w:val="24"/>
          <w:szCs w:val="24"/>
          <w:lang w:eastAsia="sk-SK"/>
        </w:rPr>
        <w:t>me</w:t>
      </w:r>
      <w:r w:rsidR="00C63DEE">
        <w:rPr>
          <w:rFonts w:ascii="Times New Roman" w:eastAsia="Times New Roman" w:hAnsi="Times New Roman" w:cs="Times New Roman"/>
          <w:sz w:val="24"/>
          <w:szCs w:val="24"/>
          <w:lang w:eastAsia="sk-SK"/>
        </w:rPr>
        <w:t>,</w:t>
      </w:r>
      <w:r w:rsidRPr="00600500">
        <w:rPr>
          <w:rFonts w:ascii="Times New Roman" w:eastAsia="Times New Roman" w:hAnsi="Times New Roman" w:cs="Times New Roman"/>
          <w:sz w:val="24"/>
          <w:szCs w:val="24"/>
          <w:lang w:eastAsia="sk-SK"/>
        </w:rPr>
        <w:t xml:space="preserve"> že po podaní daňového priznania nebude platba uhradená do 1 roka. Posun hotovostného výpadku (nezaplatené vyrovnanie dane za rok 2020 v roku 2021) až do roku 2022 spôsobí akruálny výpadok v roku 2021.</w:t>
      </w:r>
    </w:p>
    <w:p w:rsidR="00CE5722" w:rsidRPr="00C373AC" w:rsidRDefault="00CE5722">
      <w:pPr>
        <w:rPr>
          <w:rFonts w:ascii="Times New Roman" w:eastAsia="Times New Roman" w:hAnsi="Times New Roman" w:cs="Times New Roman"/>
          <w:b/>
          <w:bCs/>
          <w:sz w:val="24"/>
          <w:szCs w:val="24"/>
          <w:lang w:eastAsia="sk-SK"/>
        </w:rPr>
      </w:pPr>
      <w:r w:rsidRPr="00C373AC">
        <w:rPr>
          <w:rFonts w:ascii="Times New Roman" w:eastAsia="Times New Roman" w:hAnsi="Times New Roman" w:cs="Times New Roman"/>
          <w:b/>
          <w:bCs/>
          <w:sz w:val="24"/>
          <w:szCs w:val="20"/>
          <w:lang w:eastAsia="sk-SK"/>
        </w:rPr>
        <w:br w:type="page"/>
      </w:r>
    </w:p>
    <w:p w:rsidR="00CE5722" w:rsidRPr="00C373AC" w:rsidRDefault="00CE5722" w:rsidP="007D5748">
      <w:pPr>
        <w:tabs>
          <w:tab w:val="num" w:pos="1080"/>
        </w:tabs>
        <w:spacing w:after="0" w:line="240" w:lineRule="auto"/>
        <w:jc w:val="both"/>
        <w:rPr>
          <w:rFonts w:ascii="Times New Roman" w:eastAsia="Times New Roman" w:hAnsi="Times New Roman" w:cs="Times New Roman"/>
          <w:b/>
          <w:bCs/>
          <w:sz w:val="24"/>
          <w:szCs w:val="20"/>
          <w:lang w:eastAsia="sk-SK"/>
        </w:rPr>
        <w:sectPr w:rsidR="00CE5722" w:rsidRPr="00C373AC" w:rsidSect="007F788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276" w:left="1417" w:header="708" w:footer="708" w:gutter="0"/>
          <w:pgNumType w:start="1"/>
          <w:cols w:space="708"/>
          <w:docGrid w:linePitch="360"/>
        </w:sectPr>
      </w:pPr>
    </w:p>
    <w:p w:rsidR="007D5748" w:rsidRPr="007D5748" w:rsidRDefault="007D5748"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3 </w:t>
      </w: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9976A7" w:rsidRPr="007D5748" w:rsidTr="009976A7">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976A7" w:rsidRPr="007D5748" w:rsidRDefault="009976A7" w:rsidP="009976A7">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Príjmy (v </w:t>
            </w:r>
            <w:r>
              <w:rPr>
                <w:rFonts w:ascii="Times New Roman" w:eastAsia="Times New Roman" w:hAnsi="Times New Roman" w:cs="Times New Roman"/>
                <w:b/>
                <w:bCs/>
                <w:sz w:val="24"/>
                <w:szCs w:val="24"/>
                <w:lang w:eastAsia="sk-SK"/>
              </w:rPr>
              <w:t xml:space="preserve">tis. </w:t>
            </w:r>
            <w:r w:rsidRPr="007D5748">
              <w:rPr>
                <w:rFonts w:ascii="Times New Roman" w:eastAsia="Times New Roman" w:hAnsi="Times New Roman" w:cs="Times New Roman"/>
                <w:b/>
                <w:bCs/>
                <w:sz w:val="24"/>
                <w:szCs w:val="24"/>
                <w:lang w:eastAsia="sk-SK"/>
              </w:rPr>
              <w:t>eur)</w:t>
            </w:r>
            <w:r w:rsidR="00B24BA3">
              <w:rPr>
                <w:rFonts w:ascii="Times New Roman" w:eastAsia="Times New Roman" w:hAnsi="Times New Roman" w:cs="Times New Roman"/>
                <w:b/>
                <w:bCs/>
                <w:sz w:val="24"/>
                <w:szCs w:val="24"/>
                <w:lang w:eastAsia="sk-SK"/>
              </w:rPr>
              <w:t xml:space="preserve"> - cash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9976A7" w:rsidRPr="007D5748" w:rsidRDefault="009976A7" w:rsidP="009976A7">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9976A7" w:rsidRPr="007D5748" w:rsidRDefault="009976A7" w:rsidP="009976A7">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9976A7" w:rsidRPr="007D5748" w:rsidTr="009976A7">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9976A7" w:rsidRPr="007D5748" w:rsidRDefault="009976A7" w:rsidP="009976A7">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9976A7" w:rsidRPr="007D5748" w:rsidRDefault="009976A7" w:rsidP="009976A7">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2019</w:t>
            </w:r>
          </w:p>
        </w:tc>
        <w:tc>
          <w:tcPr>
            <w:tcW w:w="1500" w:type="dxa"/>
            <w:tcBorders>
              <w:top w:val="nil"/>
              <w:left w:val="nil"/>
              <w:bottom w:val="single" w:sz="4" w:space="0" w:color="auto"/>
              <w:right w:val="single" w:sz="4" w:space="0" w:color="auto"/>
            </w:tcBorders>
            <w:shd w:val="clear" w:color="auto" w:fill="BFBFBF" w:themeFill="background1" w:themeFillShade="BF"/>
          </w:tcPr>
          <w:p w:rsidR="009976A7" w:rsidRPr="007D5748" w:rsidRDefault="009976A7" w:rsidP="009976A7">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1500" w:type="dxa"/>
            <w:tcBorders>
              <w:top w:val="nil"/>
              <w:left w:val="nil"/>
              <w:bottom w:val="single" w:sz="4" w:space="0" w:color="auto"/>
              <w:right w:val="single" w:sz="4" w:space="0" w:color="auto"/>
            </w:tcBorders>
            <w:shd w:val="clear" w:color="auto" w:fill="BFBFBF" w:themeFill="background1" w:themeFillShade="BF"/>
          </w:tcPr>
          <w:p w:rsidR="009976A7" w:rsidRPr="007D5748" w:rsidRDefault="009976A7" w:rsidP="009976A7">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500" w:type="dxa"/>
            <w:tcBorders>
              <w:top w:val="nil"/>
              <w:left w:val="nil"/>
              <w:bottom w:val="single" w:sz="4" w:space="0" w:color="auto"/>
              <w:right w:val="single" w:sz="4" w:space="0" w:color="auto"/>
            </w:tcBorders>
            <w:shd w:val="clear" w:color="auto" w:fill="BFBFBF" w:themeFill="background1" w:themeFillShade="BF"/>
          </w:tcPr>
          <w:p w:rsidR="009976A7" w:rsidRPr="007D5748" w:rsidRDefault="009976A7" w:rsidP="009976A7">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3000" w:type="dxa"/>
            <w:vMerge/>
            <w:tcBorders>
              <w:top w:val="single" w:sz="4" w:space="0" w:color="auto"/>
              <w:left w:val="single" w:sz="4" w:space="0" w:color="auto"/>
              <w:bottom w:val="single" w:sz="4" w:space="0" w:color="auto"/>
              <w:right w:val="single" w:sz="4" w:space="0" w:color="auto"/>
            </w:tcBorders>
            <w:vAlign w:val="center"/>
          </w:tcPr>
          <w:p w:rsidR="009976A7" w:rsidRPr="007D5748" w:rsidRDefault="009976A7" w:rsidP="009976A7">
            <w:pPr>
              <w:spacing w:after="0" w:line="240" w:lineRule="auto"/>
              <w:rPr>
                <w:rFonts w:ascii="Times New Roman" w:eastAsia="Times New Roman" w:hAnsi="Times New Roman" w:cs="Times New Roman"/>
                <w:b/>
                <w:bCs/>
                <w:color w:val="FFFFFF"/>
                <w:sz w:val="24"/>
                <w:szCs w:val="24"/>
                <w:lang w:eastAsia="sk-SK"/>
              </w:rPr>
            </w:pPr>
          </w:p>
        </w:tc>
      </w:tr>
      <w:tr w:rsidR="006F1FD4" w:rsidRPr="007D5748" w:rsidTr="006F1FD4">
        <w:trPr>
          <w:trHeight w:val="255"/>
        </w:trPr>
        <w:tc>
          <w:tcPr>
            <w:tcW w:w="4950" w:type="dxa"/>
            <w:tcBorders>
              <w:top w:val="nil"/>
              <w:left w:val="single" w:sz="4" w:space="0" w:color="auto"/>
              <w:bottom w:val="single" w:sz="4" w:space="0" w:color="auto"/>
              <w:right w:val="single" w:sz="4" w:space="0" w:color="auto"/>
            </w:tcBorders>
          </w:tcPr>
          <w:p w:rsidR="006F1FD4" w:rsidRPr="007D5748" w:rsidRDefault="006F1FD4" w:rsidP="006F1FD4">
            <w:pPr>
              <w:spacing w:after="0" w:line="240" w:lineRule="auto"/>
              <w:rPr>
                <w:rFonts w:ascii="Times New Roman" w:eastAsia="Times New Roman" w:hAnsi="Times New Roman" w:cs="Times New Roman"/>
                <w:b/>
                <w:bCs/>
                <w:sz w:val="24"/>
                <w:szCs w:val="24"/>
                <w:vertAlign w:val="superscript"/>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0</w:t>
            </w:r>
          </w:p>
        </w:tc>
        <w:tc>
          <w:tcPr>
            <w:tcW w:w="1500" w:type="dxa"/>
            <w:tcBorders>
              <w:top w:val="nil"/>
              <w:left w:val="nil"/>
              <w:bottom w:val="single" w:sz="4" w:space="0" w:color="auto"/>
              <w:right w:val="single" w:sz="4" w:space="0" w:color="auto"/>
            </w:tcBorders>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-29 679</w:t>
            </w:r>
          </w:p>
        </w:tc>
        <w:tc>
          <w:tcPr>
            <w:tcW w:w="1500" w:type="dxa"/>
            <w:tcBorders>
              <w:top w:val="nil"/>
              <w:left w:val="nil"/>
              <w:bottom w:val="single" w:sz="4" w:space="0" w:color="auto"/>
              <w:right w:val="single" w:sz="4" w:space="0" w:color="auto"/>
            </w:tcBorders>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-68 554</w:t>
            </w:r>
          </w:p>
        </w:tc>
        <w:tc>
          <w:tcPr>
            <w:tcW w:w="1500" w:type="dxa"/>
            <w:tcBorders>
              <w:top w:val="nil"/>
              <w:left w:val="nil"/>
              <w:bottom w:val="single" w:sz="4" w:space="0" w:color="auto"/>
              <w:right w:val="single" w:sz="4" w:space="0" w:color="auto"/>
            </w:tcBorders>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-20 022</w:t>
            </w:r>
          </w:p>
        </w:tc>
        <w:tc>
          <w:tcPr>
            <w:tcW w:w="3000" w:type="dxa"/>
            <w:tcBorders>
              <w:top w:val="nil"/>
              <w:left w:val="nil"/>
              <w:bottom w:val="single" w:sz="4" w:space="0" w:color="auto"/>
              <w:right w:val="single" w:sz="4" w:space="0" w:color="auto"/>
            </w:tcBorders>
            <w:noWrap/>
            <w:vAlign w:val="bottom"/>
          </w:tcPr>
          <w:p w:rsidR="006F1FD4" w:rsidRPr="007D5748" w:rsidRDefault="006F1FD4" w:rsidP="006F1FD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F1FD4" w:rsidRPr="007D5748" w:rsidTr="006F1FD4">
        <w:trPr>
          <w:trHeight w:val="265"/>
        </w:trPr>
        <w:tc>
          <w:tcPr>
            <w:tcW w:w="4950" w:type="dxa"/>
            <w:tcBorders>
              <w:top w:val="nil"/>
              <w:left w:val="single" w:sz="4" w:space="0" w:color="auto"/>
              <w:bottom w:val="single" w:sz="4" w:space="0" w:color="auto"/>
              <w:right w:val="single" w:sz="4" w:space="0" w:color="auto"/>
            </w:tcBorders>
            <w:shd w:val="clear" w:color="auto" w:fill="auto"/>
          </w:tcPr>
          <w:p w:rsidR="006F1FD4" w:rsidRDefault="006F1FD4" w:rsidP="006F1FD4">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DPFO (111)</w:t>
            </w:r>
          </w:p>
        </w:tc>
        <w:tc>
          <w:tcPr>
            <w:tcW w:w="1500" w:type="dxa"/>
            <w:tcBorders>
              <w:top w:val="nil"/>
              <w:left w:val="nil"/>
              <w:bottom w:val="single" w:sz="4" w:space="0" w:color="auto"/>
              <w:right w:val="single" w:sz="4" w:space="0" w:color="auto"/>
            </w:tcBorders>
            <w:shd w:val="clear" w:color="auto" w:fill="auto"/>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0</w:t>
            </w:r>
          </w:p>
        </w:tc>
        <w:tc>
          <w:tcPr>
            <w:tcW w:w="1500" w:type="dxa"/>
            <w:tcBorders>
              <w:top w:val="nil"/>
              <w:left w:val="nil"/>
              <w:bottom w:val="single" w:sz="4" w:space="0" w:color="auto"/>
              <w:right w:val="single" w:sz="4" w:space="0" w:color="auto"/>
            </w:tcBorders>
            <w:shd w:val="clear" w:color="auto" w:fill="auto"/>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-3 433</w:t>
            </w:r>
          </w:p>
        </w:tc>
        <w:tc>
          <w:tcPr>
            <w:tcW w:w="1500" w:type="dxa"/>
            <w:tcBorders>
              <w:top w:val="nil"/>
              <w:left w:val="nil"/>
              <w:bottom w:val="single" w:sz="4" w:space="0" w:color="auto"/>
              <w:right w:val="single" w:sz="4" w:space="0" w:color="auto"/>
            </w:tcBorders>
            <w:shd w:val="clear" w:color="auto" w:fill="auto"/>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-13 599</w:t>
            </w:r>
          </w:p>
        </w:tc>
        <w:tc>
          <w:tcPr>
            <w:tcW w:w="1500" w:type="dxa"/>
            <w:tcBorders>
              <w:top w:val="nil"/>
              <w:left w:val="nil"/>
              <w:bottom w:val="single" w:sz="4" w:space="0" w:color="auto"/>
              <w:right w:val="single" w:sz="4" w:space="0" w:color="auto"/>
            </w:tcBorders>
            <w:shd w:val="clear" w:color="auto" w:fill="auto"/>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-10 299</w:t>
            </w:r>
          </w:p>
        </w:tc>
        <w:tc>
          <w:tcPr>
            <w:tcW w:w="3000" w:type="dxa"/>
            <w:tcBorders>
              <w:top w:val="nil"/>
              <w:left w:val="nil"/>
              <w:bottom w:val="single" w:sz="4" w:space="0" w:color="auto"/>
              <w:right w:val="single" w:sz="4" w:space="0" w:color="auto"/>
            </w:tcBorders>
            <w:shd w:val="clear" w:color="auto" w:fill="auto"/>
            <w:noWrap/>
            <w:vAlign w:val="bottom"/>
          </w:tcPr>
          <w:p w:rsidR="006F1FD4" w:rsidRPr="007D5748" w:rsidRDefault="006F1FD4" w:rsidP="006F1FD4">
            <w:pPr>
              <w:spacing w:after="0" w:line="240" w:lineRule="auto"/>
              <w:rPr>
                <w:rFonts w:ascii="Times New Roman" w:eastAsia="Times New Roman" w:hAnsi="Times New Roman" w:cs="Times New Roman"/>
                <w:sz w:val="24"/>
                <w:szCs w:val="24"/>
                <w:lang w:eastAsia="sk-SK"/>
              </w:rPr>
            </w:pPr>
          </w:p>
        </w:tc>
      </w:tr>
      <w:tr w:rsidR="006F1FD4" w:rsidRPr="007D5748" w:rsidTr="006F1FD4">
        <w:trPr>
          <w:trHeight w:val="255"/>
        </w:trPr>
        <w:tc>
          <w:tcPr>
            <w:tcW w:w="4950" w:type="dxa"/>
            <w:tcBorders>
              <w:top w:val="nil"/>
              <w:left w:val="single" w:sz="4" w:space="0" w:color="auto"/>
              <w:bottom w:val="single" w:sz="4" w:space="0" w:color="auto"/>
              <w:right w:val="single" w:sz="4" w:space="0" w:color="auto"/>
            </w:tcBorders>
            <w:shd w:val="clear" w:color="auto" w:fill="auto"/>
          </w:tcPr>
          <w:p w:rsidR="006F1FD4" w:rsidRPr="007D5748" w:rsidRDefault="006F1FD4" w:rsidP="006F1FD4">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DPPO (112)</w:t>
            </w:r>
          </w:p>
        </w:tc>
        <w:tc>
          <w:tcPr>
            <w:tcW w:w="1500" w:type="dxa"/>
            <w:tcBorders>
              <w:top w:val="nil"/>
              <w:left w:val="nil"/>
              <w:bottom w:val="single" w:sz="4" w:space="0" w:color="auto"/>
              <w:right w:val="single" w:sz="4" w:space="0" w:color="auto"/>
            </w:tcBorders>
            <w:shd w:val="clear" w:color="auto" w:fill="auto"/>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0</w:t>
            </w:r>
          </w:p>
        </w:tc>
        <w:tc>
          <w:tcPr>
            <w:tcW w:w="1500" w:type="dxa"/>
            <w:tcBorders>
              <w:top w:val="nil"/>
              <w:left w:val="nil"/>
              <w:bottom w:val="single" w:sz="4" w:space="0" w:color="auto"/>
              <w:right w:val="single" w:sz="4" w:space="0" w:color="auto"/>
            </w:tcBorders>
            <w:shd w:val="clear" w:color="auto" w:fill="auto"/>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-18 558</w:t>
            </w:r>
          </w:p>
        </w:tc>
        <w:tc>
          <w:tcPr>
            <w:tcW w:w="1500" w:type="dxa"/>
            <w:tcBorders>
              <w:top w:val="nil"/>
              <w:left w:val="nil"/>
              <w:bottom w:val="single" w:sz="4" w:space="0" w:color="auto"/>
              <w:right w:val="single" w:sz="4" w:space="0" w:color="auto"/>
            </w:tcBorders>
            <w:shd w:val="clear" w:color="auto" w:fill="auto"/>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-46 568</w:t>
            </w:r>
          </w:p>
        </w:tc>
        <w:tc>
          <w:tcPr>
            <w:tcW w:w="1500" w:type="dxa"/>
            <w:tcBorders>
              <w:top w:val="nil"/>
              <w:left w:val="nil"/>
              <w:bottom w:val="single" w:sz="4" w:space="0" w:color="auto"/>
              <w:right w:val="single" w:sz="4" w:space="0" w:color="auto"/>
            </w:tcBorders>
            <w:shd w:val="clear" w:color="auto" w:fill="auto"/>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-1 336</w:t>
            </w:r>
          </w:p>
        </w:tc>
        <w:tc>
          <w:tcPr>
            <w:tcW w:w="3000" w:type="dxa"/>
            <w:tcBorders>
              <w:top w:val="nil"/>
              <w:left w:val="nil"/>
              <w:bottom w:val="single" w:sz="4" w:space="0" w:color="auto"/>
              <w:right w:val="single" w:sz="4" w:space="0" w:color="auto"/>
            </w:tcBorders>
            <w:shd w:val="clear" w:color="auto" w:fill="auto"/>
            <w:noWrap/>
            <w:vAlign w:val="bottom"/>
          </w:tcPr>
          <w:p w:rsidR="006F1FD4" w:rsidRPr="007D5748" w:rsidRDefault="006F1FD4" w:rsidP="006F1FD4">
            <w:pPr>
              <w:spacing w:after="0" w:line="240" w:lineRule="auto"/>
              <w:rPr>
                <w:rFonts w:ascii="Times New Roman" w:eastAsia="Times New Roman" w:hAnsi="Times New Roman" w:cs="Times New Roman"/>
                <w:sz w:val="24"/>
                <w:szCs w:val="24"/>
                <w:lang w:eastAsia="sk-SK"/>
              </w:rPr>
            </w:pPr>
          </w:p>
        </w:tc>
      </w:tr>
      <w:tr w:rsidR="006F1FD4" w:rsidRPr="007D5748" w:rsidTr="006F1FD4">
        <w:trPr>
          <w:trHeight w:val="255"/>
        </w:trPr>
        <w:tc>
          <w:tcPr>
            <w:tcW w:w="4950" w:type="dxa"/>
            <w:tcBorders>
              <w:top w:val="nil"/>
              <w:left w:val="single" w:sz="4" w:space="0" w:color="auto"/>
              <w:bottom w:val="single" w:sz="4" w:space="0" w:color="auto"/>
              <w:right w:val="single" w:sz="4" w:space="0" w:color="auto"/>
            </w:tcBorders>
            <w:shd w:val="clear" w:color="auto" w:fill="auto"/>
          </w:tcPr>
          <w:p w:rsidR="006F1FD4" w:rsidRDefault="006F1FD4" w:rsidP="006F1FD4">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Sociálne odvody (151, 152, 155, 157 a 158)</w:t>
            </w:r>
          </w:p>
        </w:tc>
        <w:tc>
          <w:tcPr>
            <w:tcW w:w="1500" w:type="dxa"/>
            <w:tcBorders>
              <w:top w:val="nil"/>
              <w:left w:val="nil"/>
              <w:bottom w:val="single" w:sz="4" w:space="0" w:color="auto"/>
              <w:right w:val="single" w:sz="4" w:space="0" w:color="auto"/>
            </w:tcBorders>
            <w:shd w:val="clear" w:color="auto" w:fill="auto"/>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0</w:t>
            </w:r>
          </w:p>
        </w:tc>
        <w:tc>
          <w:tcPr>
            <w:tcW w:w="1500" w:type="dxa"/>
            <w:tcBorders>
              <w:top w:val="nil"/>
              <w:left w:val="nil"/>
              <w:bottom w:val="single" w:sz="4" w:space="0" w:color="auto"/>
              <w:right w:val="single" w:sz="4" w:space="0" w:color="auto"/>
            </w:tcBorders>
            <w:shd w:val="clear" w:color="auto" w:fill="auto"/>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-5 393</w:t>
            </w:r>
          </w:p>
        </w:tc>
        <w:tc>
          <w:tcPr>
            <w:tcW w:w="1500" w:type="dxa"/>
            <w:tcBorders>
              <w:top w:val="nil"/>
              <w:left w:val="nil"/>
              <w:bottom w:val="single" w:sz="4" w:space="0" w:color="auto"/>
              <w:right w:val="single" w:sz="4" w:space="0" w:color="auto"/>
            </w:tcBorders>
            <w:shd w:val="clear" w:color="auto" w:fill="auto"/>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-5 884</w:t>
            </w:r>
          </w:p>
        </w:tc>
        <w:tc>
          <w:tcPr>
            <w:tcW w:w="1500" w:type="dxa"/>
            <w:tcBorders>
              <w:top w:val="nil"/>
              <w:left w:val="nil"/>
              <w:bottom w:val="single" w:sz="4" w:space="0" w:color="auto"/>
              <w:right w:val="single" w:sz="4" w:space="0" w:color="auto"/>
            </w:tcBorders>
            <w:shd w:val="clear" w:color="auto" w:fill="auto"/>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-5 884</w:t>
            </w:r>
          </w:p>
        </w:tc>
        <w:tc>
          <w:tcPr>
            <w:tcW w:w="3000" w:type="dxa"/>
            <w:tcBorders>
              <w:top w:val="nil"/>
              <w:left w:val="nil"/>
              <w:bottom w:val="single" w:sz="4" w:space="0" w:color="auto"/>
              <w:right w:val="single" w:sz="4" w:space="0" w:color="auto"/>
            </w:tcBorders>
            <w:shd w:val="clear" w:color="auto" w:fill="auto"/>
            <w:noWrap/>
            <w:vAlign w:val="bottom"/>
          </w:tcPr>
          <w:p w:rsidR="006F1FD4" w:rsidRPr="007D5748" w:rsidRDefault="006F1FD4" w:rsidP="006F1FD4">
            <w:pPr>
              <w:spacing w:after="0" w:line="240" w:lineRule="auto"/>
              <w:rPr>
                <w:rFonts w:ascii="Times New Roman" w:eastAsia="Times New Roman" w:hAnsi="Times New Roman" w:cs="Times New Roman"/>
                <w:sz w:val="24"/>
                <w:szCs w:val="24"/>
                <w:lang w:eastAsia="sk-SK"/>
              </w:rPr>
            </w:pPr>
          </w:p>
        </w:tc>
      </w:tr>
      <w:tr w:rsidR="006F1FD4" w:rsidRPr="007D5748" w:rsidTr="006F1FD4">
        <w:trPr>
          <w:trHeight w:val="255"/>
        </w:trPr>
        <w:tc>
          <w:tcPr>
            <w:tcW w:w="4950" w:type="dxa"/>
            <w:tcBorders>
              <w:top w:val="nil"/>
              <w:left w:val="single" w:sz="4" w:space="0" w:color="auto"/>
              <w:bottom w:val="single" w:sz="4" w:space="0" w:color="auto"/>
              <w:right w:val="single" w:sz="4" w:space="0" w:color="auto"/>
            </w:tcBorders>
            <w:shd w:val="clear" w:color="auto" w:fill="auto"/>
          </w:tcPr>
          <w:p w:rsidR="006F1FD4" w:rsidRPr="007D5748" w:rsidRDefault="006F1FD4" w:rsidP="006F1FD4">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Zdravotné odvody (154)</w:t>
            </w:r>
          </w:p>
        </w:tc>
        <w:tc>
          <w:tcPr>
            <w:tcW w:w="1500" w:type="dxa"/>
            <w:tcBorders>
              <w:top w:val="nil"/>
              <w:left w:val="nil"/>
              <w:bottom w:val="single" w:sz="4" w:space="0" w:color="auto"/>
              <w:right w:val="single" w:sz="4" w:space="0" w:color="auto"/>
            </w:tcBorders>
            <w:shd w:val="clear" w:color="auto" w:fill="auto"/>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0</w:t>
            </w:r>
          </w:p>
        </w:tc>
        <w:tc>
          <w:tcPr>
            <w:tcW w:w="1500" w:type="dxa"/>
            <w:tcBorders>
              <w:top w:val="nil"/>
              <w:left w:val="nil"/>
              <w:bottom w:val="single" w:sz="4" w:space="0" w:color="auto"/>
              <w:right w:val="single" w:sz="4" w:space="0" w:color="auto"/>
            </w:tcBorders>
            <w:shd w:val="clear" w:color="auto" w:fill="auto"/>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-2 295</w:t>
            </w:r>
          </w:p>
        </w:tc>
        <w:tc>
          <w:tcPr>
            <w:tcW w:w="1500" w:type="dxa"/>
            <w:tcBorders>
              <w:top w:val="nil"/>
              <w:left w:val="nil"/>
              <w:bottom w:val="single" w:sz="4" w:space="0" w:color="auto"/>
              <w:right w:val="single" w:sz="4" w:space="0" w:color="auto"/>
            </w:tcBorders>
            <w:shd w:val="clear" w:color="auto" w:fill="auto"/>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-2 504</w:t>
            </w:r>
          </w:p>
        </w:tc>
        <w:tc>
          <w:tcPr>
            <w:tcW w:w="1500" w:type="dxa"/>
            <w:tcBorders>
              <w:top w:val="nil"/>
              <w:left w:val="nil"/>
              <w:bottom w:val="single" w:sz="4" w:space="0" w:color="auto"/>
              <w:right w:val="single" w:sz="4" w:space="0" w:color="auto"/>
            </w:tcBorders>
            <w:shd w:val="clear" w:color="auto" w:fill="auto"/>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-2 504</w:t>
            </w:r>
          </w:p>
        </w:tc>
        <w:tc>
          <w:tcPr>
            <w:tcW w:w="3000" w:type="dxa"/>
            <w:tcBorders>
              <w:top w:val="nil"/>
              <w:left w:val="nil"/>
              <w:bottom w:val="single" w:sz="4" w:space="0" w:color="auto"/>
              <w:right w:val="single" w:sz="4" w:space="0" w:color="auto"/>
            </w:tcBorders>
            <w:shd w:val="clear" w:color="auto" w:fill="auto"/>
            <w:noWrap/>
            <w:vAlign w:val="bottom"/>
          </w:tcPr>
          <w:p w:rsidR="006F1FD4" w:rsidRPr="007D5748" w:rsidRDefault="006F1FD4" w:rsidP="006F1FD4">
            <w:pPr>
              <w:spacing w:after="0" w:line="240" w:lineRule="auto"/>
              <w:rPr>
                <w:rFonts w:ascii="Times New Roman" w:eastAsia="Times New Roman" w:hAnsi="Times New Roman" w:cs="Times New Roman"/>
                <w:sz w:val="24"/>
                <w:szCs w:val="24"/>
                <w:lang w:eastAsia="sk-SK"/>
              </w:rPr>
            </w:pPr>
          </w:p>
        </w:tc>
      </w:tr>
      <w:tr w:rsidR="006F1FD4" w:rsidRPr="007D5748" w:rsidTr="006F1FD4">
        <w:trPr>
          <w:trHeight w:val="255"/>
        </w:trPr>
        <w:tc>
          <w:tcPr>
            <w:tcW w:w="4950" w:type="dxa"/>
            <w:tcBorders>
              <w:top w:val="nil"/>
              <w:left w:val="single" w:sz="4" w:space="0" w:color="auto"/>
              <w:bottom w:val="single" w:sz="4" w:space="0" w:color="auto"/>
              <w:right w:val="single" w:sz="4" w:space="0" w:color="auto"/>
            </w:tcBorders>
          </w:tcPr>
          <w:p w:rsidR="006F1FD4" w:rsidRPr="007D5748" w:rsidRDefault="006F1FD4" w:rsidP="006F1FD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1500" w:type="dxa"/>
            <w:tcBorders>
              <w:top w:val="nil"/>
              <w:left w:val="nil"/>
              <w:bottom w:val="single" w:sz="4" w:space="0" w:color="auto"/>
              <w:right w:val="single" w:sz="4" w:space="0" w:color="auto"/>
            </w:tcBorders>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1500" w:type="dxa"/>
            <w:tcBorders>
              <w:top w:val="nil"/>
              <w:left w:val="nil"/>
              <w:bottom w:val="single" w:sz="4" w:space="0" w:color="auto"/>
              <w:right w:val="single" w:sz="4" w:space="0" w:color="auto"/>
            </w:tcBorders>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1500" w:type="dxa"/>
            <w:tcBorders>
              <w:top w:val="nil"/>
              <w:left w:val="nil"/>
              <w:bottom w:val="single" w:sz="4" w:space="0" w:color="auto"/>
              <w:right w:val="single" w:sz="4" w:space="0" w:color="auto"/>
            </w:tcBorders>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3000" w:type="dxa"/>
            <w:tcBorders>
              <w:top w:val="nil"/>
              <w:left w:val="nil"/>
              <w:bottom w:val="single" w:sz="4" w:space="0" w:color="auto"/>
              <w:right w:val="single" w:sz="4" w:space="0" w:color="auto"/>
            </w:tcBorders>
            <w:noWrap/>
            <w:vAlign w:val="bottom"/>
          </w:tcPr>
          <w:p w:rsidR="006F1FD4" w:rsidRPr="007D5748" w:rsidRDefault="006F1FD4" w:rsidP="006F1FD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F1FD4" w:rsidRPr="007D5748" w:rsidTr="006F1FD4">
        <w:trPr>
          <w:trHeight w:val="255"/>
        </w:trPr>
        <w:tc>
          <w:tcPr>
            <w:tcW w:w="4950" w:type="dxa"/>
            <w:tcBorders>
              <w:top w:val="nil"/>
              <w:left w:val="single" w:sz="4" w:space="0" w:color="auto"/>
              <w:bottom w:val="single" w:sz="4" w:space="0" w:color="auto"/>
              <w:right w:val="single" w:sz="4" w:space="0" w:color="auto"/>
            </w:tcBorders>
          </w:tcPr>
          <w:p w:rsidR="006F1FD4" w:rsidRPr="007D5748" w:rsidRDefault="006F1FD4" w:rsidP="006F1FD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1500" w:type="dxa"/>
            <w:tcBorders>
              <w:top w:val="nil"/>
              <w:left w:val="nil"/>
              <w:bottom w:val="single" w:sz="4" w:space="0" w:color="auto"/>
              <w:right w:val="single" w:sz="4" w:space="0" w:color="auto"/>
            </w:tcBorders>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1500" w:type="dxa"/>
            <w:tcBorders>
              <w:top w:val="nil"/>
              <w:left w:val="nil"/>
              <w:bottom w:val="single" w:sz="4" w:space="0" w:color="auto"/>
              <w:right w:val="single" w:sz="4" w:space="0" w:color="auto"/>
            </w:tcBorders>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1500" w:type="dxa"/>
            <w:tcBorders>
              <w:top w:val="nil"/>
              <w:left w:val="nil"/>
              <w:bottom w:val="single" w:sz="4" w:space="0" w:color="auto"/>
              <w:right w:val="single" w:sz="4" w:space="0" w:color="auto"/>
            </w:tcBorders>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3000" w:type="dxa"/>
            <w:tcBorders>
              <w:top w:val="nil"/>
              <w:left w:val="nil"/>
              <w:bottom w:val="single" w:sz="4" w:space="0" w:color="auto"/>
              <w:right w:val="single" w:sz="4" w:space="0" w:color="auto"/>
            </w:tcBorders>
            <w:noWrap/>
            <w:vAlign w:val="bottom"/>
          </w:tcPr>
          <w:p w:rsidR="006F1FD4" w:rsidRPr="007D5748" w:rsidRDefault="006F1FD4" w:rsidP="006F1FD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F1FD4" w:rsidRPr="007D5748" w:rsidTr="006F1FD4">
        <w:trPr>
          <w:trHeight w:val="255"/>
        </w:trPr>
        <w:tc>
          <w:tcPr>
            <w:tcW w:w="4950" w:type="dxa"/>
            <w:tcBorders>
              <w:top w:val="nil"/>
              <w:left w:val="single" w:sz="4" w:space="0" w:color="auto"/>
              <w:bottom w:val="single" w:sz="4" w:space="0" w:color="auto"/>
              <w:right w:val="single" w:sz="4" w:space="0" w:color="auto"/>
            </w:tcBorders>
          </w:tcPr>
          <w:p w:rsidR="006F1FD4" w:rsidRPr="007D5748" w:rsidRDefault="006F1FD4" w:rsidP="006F1FD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1500" w:type="dxa"/>
            <w:tcBorders>
              <w:top w:val="nil"/>
              <w:left w:val="nil"/>
              <w:bottom w:val="single" w:sz="4" w:space="0" w:color="auto"/>
              <w:right w:val="single" w:sz="4" w:space="0" w:color="auto"/>
            </w:tcBorders>
            <w:shd w:val="clear" w:color="auto" w:fill="FFFF99"/>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1500" w:type="dxa"/>
            <w:tcBorders>
              <w:top w:val="nil"/>
              <w:left w:val="nil"/>
              <w:bottom w:val="single" w:sz="4" w:space="0" w:color="auto"/>
              <w:right w:val="single" w:sz="4" w:space="0" w:color="auto"/>
            </w:tcBorders>
            <w:shd w:val="clear" w:color="auto" w:fill="FFFF99"/>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1500" w:type="dxa"/>
            <w:tcBorders>
              <w:top w:val="nil"/>
              <w:left w:val="nil"/>
              <w:bottom w:val="single" w:sz="4" w:space="0" w:color="auto"/>
              <w:right w:val="single" w:sz="4" w:space="0" w:color="auto"/>
            </w:tcBorders>
            <w:shd w:val="clear" w:color="auto" w:fill="FFFF99"/>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3000" w:type="dxa"/>
            <w:tcBorders>
              <w:top w:val="nil"/>
              <w:left w:val="nil"/>
              <w:bottom w:val="single" w:sz="4" w:space="0" w:color="auto"/>
              <w:right w:val="single" w:sz="4" w:space="0" w:color="auto"/>
            </w:tcBorders>
            <w:noWrap/>
            <w:vAlign w:val="bottom"/>
          </w:tcPr>
          <w:p w:rsidR="006F1FD4" w:rsidRPr="007D5748" w:rsidRDefault="006F1FD4" w:rsidP="006F1FD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F1FD4" w:rsidRPr="007D5748" w:rsidTr="006F1FD4">
        <w:trPr>
          <w:trHeight w:val="583"/>
        </w:trPr>
        <w:tc>
          <w:tcPr>
            <w:tcW w:w="4950" w:type="dxa"/>
            <w:tcBorders>
              <w:top w:val="nil"/>
              <w:left w:val="single" w:sz="4" w:space="0" w:color="auto"/>
              <w:bottom w:val="single" w:sz="4" w:space="0" w:color="auto"/>
              <w:right w:val="single" w:sz="4" w:space="0" w:color="auto"/>
            </w:tcBorders>
          </w:tcPr>
          <w:p w:rsidR="006F1FD4" w:rsidRPr="007D5748" w:rsidRDefault="006F1FD4" w:rsidP="006F1FD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1500" w:type="dxa"/>
            <w:tcBorders>
              <w:top w:val="nil"/>
              <w:left w:val="nil"/>
              <w:bottom w:val="single" w:sz="4" w:space="0" w:color="auto"/>
              <w:right w:val="single" w:sz="4" w:space="0" w:color="auto"/>
            </w:tcBorders>
            <w:shd w:val="clear" w:color="auto" w:fill="FFFF99"/>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1500" w:type="dxa"/>
            <w:tcBorders>
              <w:top w:val="nil"/>
              <w:left w:val="nil"/>
              <w:bottom w:val="single" w:sz="4" w:space="0" w:color="auto"/>
              <w:right w:val="single" w:sz="4" w:space="0" w:color="auto"/>
            </w:tcBorders>
            <w:shd w:val="clear" w:color="auto" w:fill="FFFF99"/>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1500" w:type="dxa"/>
            <w:tcBorders>
              <w:top w:val="nil"/>
              <w:left w:val="nil"/>
              <w:bottom w:val="single" w:sz="4" w:space="0" w:color="auto"/>
              <w:right w:val="single" w:sz="4" w:space="0" w:color="auto"/>
            </w:tcBorders>
            <w:shd w:val="clear" w:color="auto" w:fill="FFFF99"/>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3000" w:type="dxa"/>
            <w:tcBorders>
              <w:top w:val="nil"/>
              <w:left w:val="nil"/>
              <w:bottom w:val="single" w:sz="4" w:space="0" w:color="auto"/>
              <w:right w:val="single" w:sz="4" w:space="0" w:color="auto"/>
            </w:tcBorders>
            <w:noWrap/>
            <w:vAlign w:val="bottom"/>
          </w:tcPr>
          <w:p w:rsidR="006F1FD4" w:rsidRPr="007D5748" w:rsidRDefault="006F1FD4" w:rsidP="006F1FD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F1FD4" w:rsidRPr="007D5748" w:rsidTr="006F1FD4">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6F1FD4" w:rsidRPr="007D5748" w:rsidRDefault="006F1FD4" w:rsidP="006F1FD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-29 679</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-68 554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6F1FD4" w:rsidRPr="006F1FD4" w:rsidRDefault="006F1FD4" w:rsidP="006F1FD4">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-20 022</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6F1FD4" w:rsidRPr="007D5748" w:rsidRDefault="006F1FD4" w:rsidP="006F1FD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Style w:val="Mriekatabuky"/>
        <w:tblW w:w="0" w:type="auto"/>
        <w:tblInd w:w="108" w:type="dxa"/>
        <w:tblLook w:val="04A0" w:firstRow="1" w:lastRow="0" w:firstColumn="1" w:lastColumn="0" w:noHBand="0" w:noVBand="1"/>
      </w:tblPr>
      <w:tblGrid>
        <w:gridCol w:w="4960"/>
        <w:gridCol w:w="1558"/>
        <w:gridCol w:w="1416"/>
        <w:gridCol w:w="1559"/>
        <w:gridCol w:w="1416"/>
        <w:gridCol w:w="2975"/>
      </w:tblGrid>
      <w:tr w:rsidR="008F617E" w:rsidTr="006F1FD4">
        <w:tc>
          <w:tcPr>
            <w:tcW w:w="4960" w:type="dxa"/>
            <w:vMerge w:val="restart"/>
            <w:shd w:val="clear" w:color="auto" w:fill="BFBFBF" w:themeFill="background1" w:themeFillShade="BF"/>
            <w:vAlign w:val="center"/>
          </w:tcPr>
          <w:p w:rsidR="008F617E" w:rsidRDefault="008F617E" w:rsidP="000070F1">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 xml:space="preserve">Príjmy (v </w:t>
            </w:r>
            <w:r>
              <w:rPr>
                <w:rFonts w:ascii="Times New Roman" w:eastAsia="Times New Roman" w:hAnsi="Times New Roman" w:cs="Times New Roman"/>
                <w:b/>
                <w:bCs/>
                <w:sz w:val="24"/>
                <w:szCs w:val="24"/>
                <w:lang w:eastAsia="sk-SK"/>
              </w:rPr>
              <w:t xml:space="preserve">tis. </w:t>
            </w:r>
            <w:r w:rsidRPr="007D5748">
              <w:rPr>
                <w:rFonts w:ascii="Times New Roman" w:eastAsia="Times New Roman" w:hAnsi="Times New Roman" w:cs="Times New Roman"/>
                <w:b/>
                <w:bCs/>
                <w:sz w:val="24"/>
                <w:szCs w:val="24"/>
                <w:lang w:eastAsia="sk-SK"/>
              </w:rPr>
              <w:t>eur)</w:t>
            </w:r>
            <w:r>
              <w:rPr>
                <w:rFonts w:ascii="Times New Roman" w:eastAsia="Times New Roman" w:hAnsi="Times New Roman" w:cs="Times New Roman"/>
                <w:b/>
                <w:bCs/>
                <w:sz w:val="24"/>
                <w:szCs w:val="24"/>
                <w:lang w:eastAsia="sk-SK"/>
              </w:rPr>
              <w:t xml:space="preserve"> - akruál</w:t>
            </w:r>
          </w:p>
        </w:tc>
        <w:tc>
          <w:tcPr>
            <w:tcW w:w="5949" w:type="dxa"/>
            <w:gridSpan w:val="4"/>
            <w:shd w:val="clear" w:color="auto" w:fill="BFBFBF" w:themeFill="background1" w:themeFillShade="BF"/>
            <w:vAlign w:val="center"/>
          </w:tcPr>
          <w:p w:rsidR="008F617E" w:rsidRDefault="008F617E" w:rsidP="008F617E">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Vplyv na rozpočet verejnej správy</w:t>
            </w:r>
          </w:p>
        </w:tc>
        <w:tc>
          <w:tcPr>
            <w:tcW w:w="2975" w:type="dxa"/>
            <w:vMerge w:val="restart"/>
            <w:shd w:val="clear" w:color="auto" w:fill="BFBFBF" w:themeFill="background1" w:themeFillShade="BF"/>
            <w:vAlign w:val="center"/>
          </w:tcPr>
          <w:p w:rsidR="008F617E" w:rsidRPr="008F617E" w:rsidRDefault="008F617E" w:rsidP="008F617E">
            <w:pPr>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8F617E" w:rsidTr="006F1FD4">
        <w:tc>
          <w:tcPr>
            <w:tcW w:w="4960" w:type="dxa"/>
            <w:vMerge/>
          </w:tcPr>
          <w:p w:rsidR="008F617E" w:rsidRDefault="008F617E" w:rsidP="008F617E">
            <w:pPr>
              <w:tabs>
                <w:tab w:val="num" w:pos="1080"/>
              </w:tabs>
              <w:jc w:val="both"/>
              <w:rPr>
                <w:rFonts w:ascii="Times New Roman" w:eastAsia="Times New Roman" w:hAnsi="Times New Roman" w:cs="Times New Roman"/>
                <w:bCs/>
                <w:sz w:val="24"/>
                <w:szCs w:val="20"/>
                <w:lang w:eastAsia="sk-SK"/>
              </w:rPr>
            </w:pPr>
          </w:p>
        </w:tc>
        <w:tc>
          <w:tcPr>
            <w:tcW w:w="1558" w:type="dxa"/>
            <w:shd w:val="clear" w:color="auto" w:fill="BFBFBF" w:themeFill="background1" w:themeFillShade="BF"/>
          </w:tcPr>
          <w:p w:rsidR="008F617E" w:rsidRPr="007D5748" w:rsidRDefault="008F617E" w:rsidP="008F617E">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2019</w:t>
            </w:r>
          </w:p>
        </w:tc>
        <w:tc>
          <w:tcPr>
            <w:tcW w:w="1416" w:type="dxa"/>
            <w:shd w:val="clear" w:color="auto" w:fill="BFBFBF" w:themeFill="background1" w:themeFillShade="BF"/>
          </w:tcPr>
          <w:p w:rsidR="008F617E" w:rsidRPr="007D5748" w:rsidRDefault="008F617E" w:rsidP="008F617E">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1559" w:type="dxa"/>
            <w:shd w:val="clear" w:color="auto" w:fill="BFBFBF" w:themeFill="background1" w:themeFillShade="BF"/>
          </w:tcPr>
          <w:p w:rsidR="008F617E" w:rsidRPr="007D5748" w:rsidRDefault="008F617E" w:rsidP="008F617E">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416" w:type="dxa"/>
            <w:shd w:val="clear" w:color="auto" w:fill="BFBFBF" w:themeFill="background1" w:themeFillShade="BF"/>
          </w:tcPr>
          <w:p w:rsidR="008F617E" w:rsidRPr="007D5748" w:rsidRDefault="008F617E" w:rsidP="008F617E">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2975" w:type="dxa"/>
            <w:vMerge/>
          </w:tcPr>
          <w:p w:rsidR="008F617E" w:rsidRDefault="008F617E" w:rsidP="008F617E">
            <w:pPr>
              <w:tabs>
                <w:tab w:val="num" w:pos="1080"/>
              </w:tabs>
              <w:jc w:val="both"/>
              <w:rPr>
                <w:rFonts w:ascii="Times New Roman" w:eastAsia="Times New Roman" w:hAnsi="Times New Roman" w:cs="Times New Roman"/>
                <w:bCs/>
                <w:sz w:val="24"/>
                <w:szCs w:val="20"/>
                <w:lang w:eastAsia="sk-SK"/>
              </w:rPr>
            </w:pPr>
          </w:p>
        </w:tc>
      </w:tr>
      <w:tr w:rsidR="006F1FD4" w:rsidTr="006F1FD4">
        <w:tc>
          <w:tcPr>
            <w:tcW w:w="4960" w:type="dxa"/>
          </w:tcPr>
          <w:p w:rsidR="006F1FD4" w:rsidRDefault="006F1FD4" w:rsidP="006F1FD4">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558" w:type="dxa"/>
            <w:vAlign w:val="center"/>
          </w:tcPr>
          <w:p w:rsidR="006F1FD4" w:rsidRPr="006F1FD4" w:rsidRDefault="006F1FD4" w:rsidP="006F1FD4">
            <w:pPr>
              <w:jc w:val="center"/>
              <w:rPr>
                <w:rFonts w:ascii="Times New Roman" w:hAnsi="Times New Roman" w:cs="Times New Roman"/>
                <w:b/>
                <w:bCs/>
                <w:color w:val="000000"/>
              </w:rPr>
            </w:pPr>
            <w:r w:rsidRPr="006F1FD4">
              <w:rPr>
                <w:rFonts w:ascii="Times New Roman" w:hAnsi="Times New Roman" w:cs="Times New Roman"/>
                <w:b/>
                <w:bCs/>
                <w:color w:val="000000"/>
              </w:rPr>
              <w:t>-12 372</w:t>
            </w:r>
          </w:p>
        </w:tc>
        <w:tc>
          <w:tcPr>
            <w:tcW w:w="1416" w:type="dxa"/>
            <w:vAlign w:val="center"/>
          </w:tcPr>
          <w:p w:rsidR="006F1FD4" w:rsidRPr="006F1FD4" w:rsidRDefault="006F1FD4" w:rsidP="006F1FD4">
            <w:pPr>
              <w:jc w:val="center"/>
              <w:rPr>
                <w:rFonts w:ascii="Times New Roman" w:hAnsi="Times New Roman" w:cs="Times New Roman"/>
                <w:b/>
                <w:bCs/>
                <w:color w:val="000000"/>
              </w:rPr>
            </w:pPr>
            <w:r w:rsidRPr="006F1FD4">
              <w:rPr>
                <w:rFonts w:ascii="Times New Roman" w:hAnsi="Times New Roman" w:cs="Times New Roman"/>
                <w:b/>
                <w:bCs/>
                <w:color w:val="000000"/>
              </w:rPr>
              <w:t>-36 264</w:t>
            </w:r>
          </w:p>
        </w:tc>
        <w:tc>
          <w:tcPr>
            <w:tcW w:w="1559" w:type="dxa"/>
            <w:vAlign w:val="center"/>
          </w:tcPr>
          <w:p w:rsidR="006F1FD4" w:rsidRPr="006F1FD4" w:rsidRDefault="006F1FD4" w:rsidP="006F1FD4">
            <w:pPr>
              <w:jc w:val="center"/>
              <w:rPr>
                <w:rFonts w:ascii="Times New Roman" w:hAnsi="Times New Roman" w:cs="Times New Roman"/>
                <w:b/>
                <w:bCs/>
                <w:color w:val="000000"/>
              </w:rPr>
            </w:pPr>
            <w:r w:rsidRPr="006F1FD4">
              <w:rPr>
                <w:rFonts w:ascii="Times New Roman" w:hAnsi="Times New Roman" w:cs="Times New Roman"/>
                <w:b/>
                <w:bCs/>
                <w:color w:val="000000"/>
              </w:rPr>
              <w:t>-40 589</w:t>
            </w:r>
          </w:p>
        </w:tc>
        <w:tc>
          <w:tcPr>
            <w:tcW w:w="1416" w:type="dxa"/>
            <w:vAlign w:val="center"/>
          </w:tcPr>
          <w:p w:rsidR="006F1FD4" w:rsidRPr="006F1FD4" w:rsidRDefault="006F1FD4" w:rsidP="006F1FD4">
            <w:pPr>
              <w:jc w:val="center"/>
              <w:rPr>
                <w:rFonts w:ascii="Times New Roman" w:hAnsi="Times New Roman" w:cs="Times New Roman"/>
                <w:b/>
                <w:bCs/>
                <w:color w:val="000000"/>
              </w:rPr>
            </w:pPr>
            <w:r w:rsidRPr="006F1FD4">
              <w:rPr>
                <w:rFonts w:ascii="Times New Roman" w:hAnsi="Times New Roman" w:cs="Times New Roman"/>
                <w:b/>
                <w:bCs/>
                <w:color w:val="000000"/>
              </w:rPr>
              <w:t>-36 501</w:t>
            </w:r>
          </w:p>
        </w:tc>
        <w:tc>
          <w:tcPr>
            <w:tcW w:w="2975" w:type="dxa"/>
          </w:tcPr>
          <w:p w:rsidR="006F1FD4" w:rsidRDefault="006F1FD4" w:rsidP="006F1FD4">
            <w:pPr>
              <w:tabs>
                <w:tab w:val="num" w:pos="1080"/>
              </w:tabs>
              <w:jc w:val="both"/>
              <w:rPr>
                <w:rFonts w:ascii="Times New Roman" w:eastAsia="Times New Roman" w:hAnsi="Times New Roman" w:cs="Times New Roman"/>
                <w:bCs/>
                <w:sz w:val="24"/>
                <w:szCs w:val="20"/>
                <w:lang w:eastAsia="sk-SK"/>
              </w:rPr>
            </w:pPr>
          </w:p>
        </w:tc>
      </w:tr>
      <w:tr w:rsidR="006F1FD4" w:rsidTr="006F1FD4">
        <w:tc>
          <w:tcPr>
            <w:tcW w:w="4960" w:type="dxa"/>
          </w:tcPr>
          <w:p w:rsidR="006F1FD4" w:rsidRDefault="006F1FD4" w:rsidP="006F1FD4">
            <w:pPr>
              <w:tabs>
                <w:tab w:val="num" w:pos="1080"/>
              </w:tabs>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lang w:eastAsia="sk-SK"/>
              </w:rPr>
              <w:t>DPFO (111)</w:t>
            </w:r>
          </w:p>
        </w:tc>
        <w:tc>
          <w:tcPr>
            <w:tcW w:w="1558" w:type="dxa"/>
            <w:vAlign w:val="center"/>
          </w:tcPr>
          <w:p w:rsidR="006F1FD4" w:rsidRPr="006F1FD4" w:rsidRDefault="006F1FD4" w:rsidP="006F1FD4">
            <w:pPr>
              <w:jc w:val="center"/>
              <w:rPr>
                <w:rFonts w:ascii="Times New Roman" w:hAnsi="Times New Roman" w:cs="Times New Roman"/>
                <w:b/>
                <w:bCs/>
                <w:color w:val="000000"/>
              </w:rPr>
            </w:pPr>
            <w:r w:rsidRPr="006F1FD4">
              <w:rPr>
                <w:rFonts w:ascii="Times New Roman" w:hAnsi="Times New Roman" w:cs="Times New Roman"/>
                <w:b/>
                <w:bCs/>
                <w:color w:val="000000"/>
              </w:rPr>
              <w:t>0</w:t>
            </w:r>
          </w:p>
        </w:tc>
        <w:tc>
          <w:tcPr>
            <w:tcW w:w="1416" w:type="dxa"/>
            <w:vAlign w:val="center"/>
          </w:tcPr>
          <w:p w:rsidR="006F1FD4" w:rsidRPr="006F1FD4" w:rsidRDefault="006F1FD4" w:rsidP="006F1FD4">
            <w:pPr>
              <w:jc w:val="center"/>
              <w:rPr>
                <w:rFonts w:ascii="Times New Roman" w:hAnsi="Times New Roman" w:cs="Times New Roman"/>
                <w:b/>
                <w:bCs/>
                <w:color w:val="000000"/>
              </w:rPr>
            </w:pPr>
            <w:r w:rsidRPr="006F1FD4">
              <w:rPr>
                <w:rFonts w:ascii="Times New Roman" w:hAnsi="Times New Roman" w:cs="Times New Roman"/>
                <w:b/>
                <w:bCs/>
                <w:color w:val="000000"/>
              </w:rPr>
              <w:t>-3 433</w:t>
            </w:r>
          </w:p>
        </w:tc>
        <w:tc>
          <w:tcPr>
            <w:tcW w:w="1559" w:type="dxa"/>
            <w:vAlign w:val="center"/>
          </w:tcPr>
          <w:p w:rsidR="006F1FD4" w:rsidRPr="006F1FD4" w:rsidRDefault="006F1FD4" w:rsidP="006F1FD4">
            <w:pPr>
              <w:jc w:val="center"/>
              <w:rPr>
                <w:rFonts w:ascii="Times New Roman" w:hAnsi="Times New Roman" w:cs="Times New Roman"/>
                <w:b/>
                <w:bCs/>
                <w:color w:val="000000"/>
              </w:rPr>
            </w:pPr>
            <w:r w:rsidRPr="006F1FD4">
              <w:rPr>
                <w:rFonts w:ascii="Times New Roman" w:hAnsi="Times New Roman" w:cs="Times New Roman"/>
                <w:b/>
                <w:bCs/>
                <w:color w:val="000000"/>
              </w:rPr>
              <w:t>-13 599</w:t>
            </w:r>
          </w:p>
        </w:tc>
        <w:tc>
          <w:tcPr>
            <w:tcW w:w="1416" w:type="dxa"/>
            <w:vAlign w:val="center"/>
          </w:tcPr>
          <w:p w:rsidR="006F1FD4" w:rsidRPr="006F1FD4" w:rsidRDefault="006F1FD4" w:rsidP="006F1FD4">
            <w:pPr>
              <w:jc w:val="center"/>
              <w:rPr>
                <w:rFonts w:ascii="Times New Roman" w:hAnsi="Times New Roman" w:cs="Times New Roman"/>
                <w:b/>
                <w:bCs/>
                <w:color w:val="000000"/>
              </w:rPr>
            </w:pPr>
            <w:r w:rsidRPr="006F1FD4">
              <w:rPr>
                <w:rFonts w:ascii="Times New Roman" w:hAnsi="Times New Roman" w:cs="Times New Roman"/>
                <w:b/>
                <w:bCs/>
                <w:color w:val="000000"/>
              </w:rPr>
              <w:t>-10 299</w:t>
            </w:r>
          </w:p>
        </w:tc>
        <w:tc>
          <w:tcPr>
            <w:tcW w:w="2975" w:type="dxa"/>
          </w:tcPr>
          <w:p w:rsidR="006F1FD4" w:rsidRDefault="006F1FD4" w:rsidP="006F1FD4">
            <w:pPr>
              <w:tabs>
                <w:tab w:val="num" w:pos="1080"/>
              </w:tabs>
              <w:jc w:val="both"/>
              <w:rPr>
                <w:rFonts w:ascii="Times New Roman" w:eastAsia="Times New Roman" w:hAnsi="Times New Roman" w:cs="Times New Roman"/>
                <w:bCs/>
                <w:sz w:val="24"/>
                <w:szCs w:val="20"/>
                <w:lang w:eastAsia="sk-SK"/>
              </w:rPr>
            </w:pPr>
          </w:p>
        </w:tc>
      </w:tr>
      <w:tr w:rsidR="006F1FD4" w:rsidTr="006F1FD4">
        <w:tc>
          <w:tcPr>
            <w:tcW w:w="4960" w:type="dxa"/>
          </w:tcPr>
          <w:p w:rsidR="006F1FD4" w:rsidRDefault="006F1FD4" w:rsidP="006F1FD4">
            <w:pPr>
              <w:tabs>
                <w:tab w:val="num" w:pos="1080"/>
              </w:tabs>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lang w:eastAsia="sk-SK"/>
              </w:rPr>
              <w:t>DPPO (112)</w:t>
            </w:r>
          </w:p>
        </w:tc>
        <w:tc>
          <w:tcPr>
            <w:tcW w:w="1558" w:type="dxa"/>
            <w:vAlign w:val="center"/>
          </w:tcPr>
          <w:p w:rsidR="006F1FD4" w:rsidRPr="006F1FD4" w:rsidRDefault="006F1FD4" w:rsidP="006F1FD4">
            <w:pPr>
              <w:jc w:val="center"/>
              <w:rPr>
                <w:rFonts w:ascii="Times New Roman" w:hAnsi="Times New Roman" w:cs="Times New Roman"/>
                <w:b/>
                <w:bCs/>
                <w:color w:val="000000"/>
              </w:rPr>
            </w:pPr>
            <w:r w:rsidRPr="006F1FD4">
              <w:rPr>
                <w:rFonts w:ascii="Times New Roman" w:hAnsi="Times New Roman" w:cs="Times New Roman"/>
                <w:b/>
                <w:bCs/>
                <w:color w:val="000000"/>
              </w:rPr>
              <w:t>-12 372</w:t>
            </w:r>
          </w:p>
        </w:tc>
        <w:tc>
          <w:tcPr>
            <w:tcW w:w="1416" w:type="dxa"/>
            <w:vAlign w:val="center"/>
          </w:tcPr>
          <w:p w:rsidR="006F1FD4" w:rsidRPr="006F1FD4" w:rsidRDefault="006F1FD4" w:rsidP="006F1FD4">
            <w:pPr>
              <w:jc w:val="center"/>
              <w:rPr>
                <w:rFonts w:ascii="Times New Roman" w:hAnsi="Times New Roman" w:cs="Times New Roman"/>
                <w:b/>
                <w:bCs/>
                <w:color w:val="000000"/>
              </w:rPr>
            </w:pPr>
            <w:r w:rsidRPr="006F1FD4">
              <w:rPr>
                <w:rFonts w:ascii="Times New Roman" w:hAnsi="Times New Roman" w:cs="Times New Roman"/>
                <w:b/>
                <w:bCs/>
                <w:color w:val="000000"/>
              </w:rPr>
              <w:t>-30 036</w:t>
            </w:r>
          </w:p>
        </w:tc>
        <w:tc>
          <w:tcPr>
            <w:tcW w:w="1559" w:type="dxa"/>
            <w:vAlign w:val="center"/>
          </w:tcPr>
          <w:p w:rsidR="006F1FD4" w:rsidRPr="006F1FD4" w:rsidRDefault="006F1FD4" w:rsidP="006F1FD4">
            <w:pPr>
              <w:jc w:val="center"/>
              <w:rPr>
                <w:rFonts w:ascii="Times New Roman" w:hAnsi="Times New Roman" w:cs="Times New Roman"/>
                <w:b/>
                <w:bCs/>
                <w:color w:val="000000"/>
              </w:rPr>
            </w:pPr>
            <w:r w:rsidRPr="006F1FD4">
              <w:rPr>
                <w:rFonts w:ascii="Times New Roman" w:hAnsi="Times New Roman" w:cs="Times New Roman"/>
                <w:b/>
                <w:bCs/>
                <w:color w:val="000000"/>
              </w:rPr>
              <w:t>-18 602</w:t>
            </w:r>
          </w:p>
        </w:tc>
        <w:tc>
          <w:tcPr>
            <w:tcW w:w="1416" w:type="dxa"/>
            <w:vAlign w:val="center"/>
          </w:tcPr>
          <w:p w:rsidR="006F1FD4" w:rsidRPr="006F1FD4" w:rsidRDefault="006F1FD4" w:rsidP="006F1FD4">
            <w:pPr>
              <w:jc w:val="center"/>
              <w:rPr>
                <w:rFonts w:ascii="Times New Roman" w:hAnsi="Times New Roman" w:cs="Times New Roman"/>
                <w:b/>
                <w:bCs/>
                <w:color w:val="000000"/>
              </w:rPr>
            </w:pPr>
            <w:r w:rsidRPr="006F1FD4">
              <w:rPr>
                <w:rFonts w:ascii="Times New Roman" w:hAnsi="Times New Roman" w:cs="Times New Roman"/>
                <w:b/>
                <w:bCs/>
                <w:color w:val="000000"/>
              </w:rPr>
              <w:t>-17 815</w:t>
            </w:r>
          </w:p>
        </w:tc>
        <w:tc>
          <w:tcPr>
            <w:tcW w:w="2975" w:type="dxa"/>
          </w:tcPr>
          <w:p w:rsidR="006F1FD4" w:rsidRDefault="006F1FD4" w:rsidP="006F1FD4">
            <w:pPr>
              <w:tabs>
                <w:tab w:val="num" w:pos="1080"/>
              </w:tabs>
              <w:jc w:val="both"/>
              <w:rPr>
                <w:rFonts w:ascii="Times New Roman" w:eastAsia="Times New Roman" w:hAnsi="Times New Roman" w:cs="Times New Roman"/>
                <w:bCs/>
                <w:sz w:val="24"/>
                <w:szCs w:val="20"/>
                <w:lang w:eastAsia="sk-SK"/>
              </w:rPr>
            </w:pPr>
          </w:p>
        </w:tc>
      </w:tr>
      <w:tr w:rsidR="006F1FD4" w:rsidTr="006F1FD4">
        <w:tc>
          <w:tcPr>
            <w:tcW w:w="4960" w:type="dxa"/>
          </w:tcPr>
          <w:p w:rsidR="006F1FD4" w:rsidRDefault="006F1FD4" w:rsidP="006F1FD4">
            <w:pP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Sociálne odvody (151, 152, 155, 157 a 158)</w:t>
            </w:r>
          </w:p>
        </w:tc>
        <w:tc>
          <w:tcPr>
            <w:tcW w:w="1558" w:type="dxa"/>
            <w:vAlign w:val="center"/>
          </w:tcPr>
          <w:p w:rsidR="006F1FD4" w:rsidRPr="006F1FD4" w:rsidRDefault="006F1FD4" w:rsidP="006F1FD4">
            <w:pPr>
              <w:jc w:val="center"/>
              <w:rPr>
                <w:rFonts w:ascii="Times New Roman" w:hAnsi="Times New Roman" w:cs="Times New Roman"/>
                <w:b/>
                <w:bCs/>
                <w:color w:val="000000"/>
              </w:rPr>
            </w:pPr>
            <w:r w:rsidRPr="006F1FD4">
              <w:rPr>
                <w:rFonts w:ascii="Times New Roman" w:hAnsi="Times New Roman" w:cs="Times New Roman"/>
                <w:b/>
                <w:bCs/>
                <w:color w:val="000000"/>
              </w:rPr>
              <w:t>0</w:t>
            </w:r>
          </w:p>
        </w:tc>
        <w:tc>
          <w:tcPr>
            <w:tcW w:w="1416" w:type="dxa"/>
            <w:vAlign w:val="center"/>
          </w:tcPr>
          <w:p w:rsidR="006F1FD4" w:rsidRPr="006F1FD4" w:rsidRDefault="006F1FD4" w:rsidP="006F1FD4">
            <w:pPr>
              <w:jc w:val="center"/>
              <w:rPr>
                <w:rFonts w:ascii="Times New Roman" w:hAnsi="Times New Roman" w:cs="Times New Roman"/>
                <w:b/>
                <w:bCs/>
                <w:color w:val="000000"/>
              </w:rPr>
            </w:pPr>
            <w:r w:rsidRPr="006F1FD4">
              <w:rPr>
                <w:rFonts w:ascii="Times New Roman" w:hAnsi="Times New Roman" w:cs="Times New Roman"/>
                <w:b/>
                <w:bCs/>
                <w:color w:val="000000"/>
              </w:rPr>
              <w:t>-1 961</w:t>
            </w:r>
          </w:p>
        </w:tc>
        <w:tc>
          <w:tcPr>
            <w:tcW w:w="1559" w:type="dxa"/>
            <w:vAlign w:val="center"/>
          </w:tcPr>
          <w:p w:rsidR="006F1FD4" w:rsidRPr="006F1FD4" w:rsidRDefault="006F1FD4" w:rsidP="006F1FD4">
            <w:pPr>
              <w:jc w:val="center"/>
              <w:rPr>
                <w:rFonts w:ascii="Times New Roman" w:hAnsi="Times New Roman" w:cs="Times New Roman"/>
                <w:b/>
                <w:bCs/>
                <w:color w:val="000000"/>
              </w:rPr>
            </w:pPr>
            <w:r w:rsidRPr="006F1FD4">
              <w:rPr>
                <w:rFonts w:ascii="Times New Roman" w:hAnsi="Times New Roman" w:cs="Times New Roman"/>
                <w:b/>
                <w:bCs/>
                <w:color w:val="000000"/>
              </w:rPr>
              <w:t>-5 884</w:t>
            </w:r>
          </w:p>
        </w:tc>
        <w:tc>
          <w:tcPr>
            <w:tcW w:w="1416" w:type="dxa"/>
            <w:vAlign w:val="center"/>
          </w:tcPr>
          <w:p w:rsidR="006F1FD4" w:rsidRPr="006F1FD4" w:rsidRDefault="006F1FD4" w:rsidP="006F1FD4">
            <w:pPr>
              <w:jc w:val="center"/>
              <w:rPr>
                <w:rFonts w:ascii="Times New Roman" w:hAnsi="Times New Roman" w:cs="Times New Roman"/>
                <w:b/>
                <w:bCs/>
                <w:color w:val="000000"/>
              </w:rPr>
            </w:pPr>
            <w:r w:rsidRPr="006F1FD4">
              <w:rPr>
                <w:rFonts w:ascii="Times New Roman" w:hAnsi="Times New Roman" w:cs="Times New Roman"/>
                <w:b/>
                <w:bCs/>
                <w:color w:val="000000"/>
              </w:rPr>
              <w:t>-5 884</w:t>
            </w:r>
          </w:p>
        </w:tc>
        <w:tc>
          <w:tcPr>
            <w:tcW w:w="2975" w:type="dxa"/>
          </w:tcPr>
          <w:p w:rsidR="006F1FD4" w:rsidRDefault="006F1FD4" w:rsidP="006F1FD4">
            <w:pPr>
              <w:tabs>
                <w:tab w:val="num" w:pos="1080"/>
              </w:tabs>
              <w:jc w:val="both"/>
              <w:rPr>
                <w:rFonts w:ascii="Times New Roman" w:eastAsia="Times New Roman" w:hAnsi="Times New Roman" w:cs="Times New Roman"/>
                <w:bCs/>
                <w:sz w:val="24"/>
                <w:szCs w:val="20"/>
                <w:lang w:eastAsia="sk-SK"/>
              </w:rPr>
            </w:pPr>
          </w:p>
        </w:tc>
      </w:tr>
      <w:tr w:rsidR="006F1FD4" w:rsidTr="006F1FD4">
        <w:tc>
          <w:tcPr>
            <w:tcW w:w="4960" w:type="dxa"/>
          </w:tcPr>
          <w:p w:rsidR="006F1FD4" w:rsidRDefault="006F1FD4" w:rsidP="006F1FD4">
            <w:pPr>
              <w:tabs>
                <w:tab w:val="num" w:pos="1080"/>
              </w:tabs>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lang w:eastAsia="sk-SK"/>
              </w:rPr>
              <w:t>Zdravotné odvody (154)</w:t>
            </w:r>
          </w:p>
        </w:tc>
        <w:tc>
          <w:tcPr>
            <w:tcW w:w="1558" w:type="dxa"/>
            <w:vAlign w:val="center"/>
          </w:tcPr>
          <w:p w:rsidR="006F1FD4" w:rsidRPr="006F1FD4" w:rsidRDefault="006F1FD4" w:rsidP="006F1FD4">
            <w:pPr>
              <w:jc w:val="center"/>
              <w:rPr>
                <w:rFonts w:ascii="Times New Roman" w:hAnsi="Times New Roman" w:cs="Times New Roman"/>
                <w:b/>
                <w:bCs/>
                <w:color w:val="000000"/>
              </w:rPr>
            </w:pPr>
            <w:r w:rsidRPr="006F1FD4">
              <w:rPr>
                <w:rFonts w:ascii="Times New Roman" w:hAnsi="Times New Roman" w:cs="Times New Roman"/>
                <w:b/>
                <w:bCs/>
                <w:color w:val="000000"/>
              </w:rPr>
              <w:t>0</w:t>
            </w:r>
          </w:p>
        </w:tc>
        <w:tc>
          <w:tcPr>
            <w:tcW w:w="1416" w:type="dxa"/>
            <w:vAlign w:val="center"/>
          </w:tcPr>
          <w:p w:rsidR="006F1FD4" w:rsidRPr="006F1FD4" w:rsidRDefault="006F1FD4" w:rsidP="006F1FD4">
            <w:pPr>
              <w:jc w:val="center"/>
              <w:rPr>
                <w:rFonts w:ascii="Times New Roman" w:hAnsi="Times New Roman" w:cs="Times New Roman"/>
                <w:b/>
                <w:bCs/>
                <w:color w:val="000000"/>
              </w:rPr>
            </w:pPr>
            <w:r w:rsidRPr="006F1FD4">
              <w:rPr>
                <w:rFonts w:ascii="Times New Roman" w:hAnsi="Times New Roman" w:cs="Times New Roman"/>
                <w:b/>
                <w:bCs/>
                <w:color w:val="000000"/>
              </w:rPr>
              <w:t>-834</w:t>
            </w:r>
          </w:p>
        </w:tc>
        <w:tc>
          <w:tcPr>
            <w:tcW w:w="1559" w:type="dxa"/>
            <w:vAlign w:val="center"/>
          </w:tcPr>
          <w:p w:rsidR="006F1FD4" w:rsidRPr="006F1FD4" w:rsidRDefault="006F1FD4" w:rsidP="006F1FD4">
            <w:pPr>
              <w:jc w:val="center"/>
              <w:rPr>
                <w:rFonts w:ascii="Times New Roman" w:hAnsi="Times New Roman" w:cs="Times New Roman"/>
                <w:b/>
                <w:bCs/>
                <w:color w:val="000000"/>
              </w:rPr>
            </w:pPr>
            <w:r w:rsidRPr="006F1FD4">
              <w:rPr>
                <w:rFonts w:ascii="Times New Roman" w:hAnsi="Times New Roman" w:cs="Times New Roman"/>
                <w:b/>
                <w:bCs/>
                <w:color w:val="000000"/>
              </w:rPr>
              <w:t>-2 504</w:t>
            </w:r>
          </w:p>
        </w:tc>
        <w:tc>
          <w:tcPr>
            <w:tcW w:w="1416" w:type="dxa"/>
            <w:vAlign w:val="center"/>
          </w:tcPr>
          <w:p w:rsidR="006F1FD4" w:rsidRPr="006F1FD4" w:rsidRDefault="006F1FD4" w:rsidP="006F1FD4">
            <w:pPr>
              <w:jc w:val="center"/>
              <w:rPr>
                <w:rFonts w:ascii="Times New Roman" w:hAnsi="Times New Roman" w:cs="Times New Roman"/>
                <w:b/>
                <w:bCs/>
                <w:color w:val="000000"/>
              </w:rPr>
            </w:pPr>
            <w:r w:rsidRPr="006F1FD4">
              <w:rPr>
                <w:rFonts w:ascii="Times New Roman" w:hAnsi="Times New Roman" w:cs="Times New Roman"/>
                <w:b/>
                <w:bCs/>
                <w:color w:val="000000"/>
              </w:rPr>
              <w:t>-2 504</w:t>
            </w:r>
          </w:p>
        </w:tc>
        <w:tc>
          <w:tcPr>
            <w:tcW w:w="2975" w:type="dxa"/>
          </w:tcPr>
          <w:p w:rsidR="006F1FD4" w:rsidRDefault="006F1FD4" w:rsidP="006F1FD4">
            <w:pPr>
              <w:tabs>
                <w:tab w:val="num" w:pos="1080"/>
              </w:tabs>
              <w:jc w:val="both"/>
              <w:rPr>
                <w:rFonts w:ascii="Times New Roman" w:eastAsia="Times New Roman" w:hAnsi="Times New Roman" w:cs="Times New Roman"/>
                <w:bCs/>
                <w:sz w:val="24"/>
                <w:szCs w:val="20"/>
                <w:lang w:eastAsia="sk-SK"/>
              </w:rPr>
            </w:pPr>
          </w:p>
        </w:tc>
      </w:tr>
      <w:tr w:rsidR="006F1FD4" w:rsidTr="006F1FD4">
        <w:tc>
          <w:tcPr>
            <w:tcW w:w="4960" w:type="dxa"/>
          </w:tcPr>
          <w:p w:rsidR="006F1FD4" w:rsidRDefault="006F1FD4" w:rsidP="006F1FD4">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558" w:type="dxa"/>
            <w:vAlign w:val="center"/>
          </w:tcPr>
          <w:p w:rsidR="006F1FD4" w:rsidRPr="006F1FD4" w:rsidRDefault="006F1FD4" w:rsidP="006F1FD4">
            <w:pPr>
              <w:jc w:val="both"/>
              <w:rPr>
                <w:rFonts w:ascii="Times New Roman" w:hAnsi="Times New Roman" w:cs="Times New Roman"/>
                <w:color w:val="000000"/>
              </w:rPr>
            </w:pPr>
            <w:r w:rsidRPr="006F1FD4">
              <w:rPr>
                <w:rFonts w:ascii="Times New Roman" w:hAnsi="Times New Roman" w:cs="Times New Roman"/>
                <w:color w:val="000000"/>
              </w:rPr>
              <w:t> </w:t>
            </w:r>
          </w:p>
        </w:tc>
        <w:tc>
          <w:tcPr>
            <w:tcW w:w="1416" w:type="dxa"/>
            <w:vAlign w:val="center"/>
          </w:tcPr>
          <w:p w:rsidR="006F1FD4" w:rsidRPr="006F1FD4" w:rsidRDefault="006F1FD4" w:rsidP="006F1FD4">
            <w:pPr>
              <w:jc w:val="both"/>
              <w:rPr>
                <w:rFonts w:ascii="Times New Roman" w:hAnsi="Times New Roman" w:cs="Times New Roman"/>
                <w:color w:val="000000"/>
              </w:rPr>
            </w:pPr>
            <w:r w:rsidRPr="006F1FD4">
              <w:rPr>
                <w:rFonts w:ascii="Times New Roman" w:hAnsi="Times New Roman" w:cs="Times New Roman"/>
                <w:color w:val="000000"/>
              </w:rPr>
              <w:t> </w:t>
            </w:r>
          </w:p>
        </w:tc>
        <w:tc>
          <w:tcPr>
            <w:tcW w:w="1559" w:type="dxa"/>
            <w:vAlign w:val="center"/>
          </w:tcPr>
          <w:p w:rsidR="006F1FD4" w:rsidRPr="006F1FD4" w:rsidRDefault="006F1FD4" w:rsidP="006F1FD4">
            <w:pPr>
              <w:jc w:val="both"/>
              <w:rPr>
                <w:rFonts w:ascii="Times New Roman" w:hAnsi="Times New Roman" w:cs="Times New Roman"/>
                <w:color w:val="000000"/>
              </w:rPr>
            </w:pPr>
            <w:r w:rsidRPr="006F1FD4">
              <w:rPr>
                <w:rFonts w:ascii="Times New Roman" w:hAnsi="Times New Roman" w:cs="Times New Roman"/>
                <w:color w:val="000000"/>
              </w:rPr>
              <w:t> </w:t>
            </w:r>
          </w:p>
        </w:tc>
        <w:tc>
          <w:tcPr>
            <w:tcW w:w="1416" w:type="dxa"/>
            <w:vAlign w:val="center"/>
          </w:tcPr>
          <w:p w:rsidR="006F1FD4" w:rsidRPr="006F1FD4" w:rsidRDefault="006F1FD4" w:rsidP="006F1FD4">
            <w:pPr>
              <w:jc w:val="both"/>
              <w:rPr>
                <w:rFonts w:ascii="Times New Roman" w:hAnsi="Times New Roman" w:cs="Times New Roman"/>
                <w:color w:val="000000"/>
              </w:rPr>
            </w:pPr>
            <w:r w:rsidRPr="006F1FD4">
              <w:rPr>
                <w:rFonts w:ascii="Times New Roman" w:hAnsi="Times New Roman" w:cs="Times New Roman"/>
                <w:color w:val="000000"/>
              </w:rPr>
              <w:t> </w:t>
            </w:r>
          </w:p>
        </w:tc>
        <w:tc>
          <w:tcPr>
            <w:tcW w:w="2975" w:type="dxa"/>
          </w:tcPr>
          <w:p w:rsidR="006F1FD4" w:rsidRDefault="006F1FD4" w:rsidP="006F1FD4">
            <w:pPr>
              <w:tabs>
                <w:tab w:val="num" w:pos="1080"/>
              </w:tabs>
              <w:jc w:val="both"/>
              <w:rPr>
                <w:rFonts w:ascii="Times New Roman" w:eastAsia="Times New Roman" w:hAnsi="Times New Roman" w:cs="Times New Roman"/>
                <w:bCs/>
                <w:sz w:val="24"/>
                <w:szCs w:val="20"/>
                <w:lang w:eastAsia="sk-SK"/>
              </w:rPr>
            </w:pPr>
          </w:p>
        </w:tc>
      </w:tr>
      <w:tr w:rsidR="006F1FD4" w:rsidTr="006F1FD4">
        <w:tc>
          <w:tcPr>
            <w:tcW w:w="4960" w:type="dxa"/>
          </w:tcPr>
          <w:p w:rsidR="006F1FD4" w:rsidRDefault="006F1FD4" w:rsidP="006F1FD4">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558" w:type="dxa"/>
            <w:vAlign w:val="center"/>
          </w:tcPr>
          <w:p w:rsidR="006F1FD4" w:rsidRPr="006F1FD4" w:rsidRDefault="006F1FD4" w:rsidP="006F1FD4">
            <w:pPr>
              <w:jc w:val="both"/>
              <w:rPr>
                <w:rFonts w:ascii="Times New Roman" w:hAnsi="Times New Roman" w:cs="Times New Roman"/>
                <w:color w:val="000000"/>
              </w:rPr>
            </w:pPr>
            <w:r w:rsidRPr="006F1FD4">
              <w:rPr>
                <w:rFonts w:ascii="Times New Roman" w:hAnsi="Times New Roman" w:cs="Times New Roman"/>
                <w:color w:val="000000"/>
              </w:rPr>
              <w:t> </w:t>
            </w:r>
          </w:p>
        </w:tc>
        <w:tc>
          <w:tcPr>
            <w:tcW w:w="1416" w:type="dxa"/>
            <w:vAlign w:val="center"/>
          </w:tcPr>
          <w:p w:rsidR="006F1FD4" w:rsidRPr="006F1FD4" w:rsidRDefault="006F1FD4" w:rsidP="006F1FD4">
            <w:pPr>
              <w:jc w:val="both"/>
              <w:rPr>
                <w:rFonts w:ascii="Times New Roman" w:hAnsi="Times New Roman" w:cs="Times New Roman"/>
                <w:color w:val="000000"/>
              </w:rPr>
            </w:pPr>
            <w:r w:rsidRPr="006F1FD4">
              <w:rPr>
                <w:rFonts w:ascii="Times New Roman" w:hAnsi="Times New Roman" w:cs="Times New Roman"/>
                <w:color w:val="000000"/>
              </w:rPr>
              <w:t> </w:t>
            </w:r>
          </w:p>
        </w:tc>
        <w:tc>
          <w:tcPr>
            <w:tcW w:w="1559" w:type="dxa"/>
            <w:vAlign w:val="center"/>
          </w:tcPr>
          <w:p w:rsidR="006F1FD4" w:rsidRPr="006F1FD4" w:rsidRDefault="006F1FD4" w:rsidP="006F1FD4">
            <w:pPr>
              <w:jc w:val="both"/>
              <w:rPr>
                <w:rFonts w:ascii="Times New Roman" w:hAnsi="Times New Roman" w:cs="Times New Roman"/>
                <w:color w:val="000000"/>
              </w:rPr>
            </w:pPr>
            <w:r w:rsidRPr="006F1FD4">
              <w:rPr>
                <w:rFonts w:ascii="Times New Roman" w:hAnsi="Times New Roman" w:cs="Times New Roman"/>
                <w:color w:val="000000"/>
              </w:rPr>
              <w:t> </w:t>
            </w:r>
          </w:p>
        </w:tc>
        <w:tc>
          <w:tcPr>
            <w:tcW w:w="1416" w:type="dxa"/>
            <w:vAlign w:val="center"/>
          </w:tcPr>
          <w:p w:rsidR="006F1FD4" w:rsidRPr="006F1FD4" w:rsidRDefault="006F1FD4" w:rsidP="006F1FD4">
            <w:pPr>
              <w:jc w:val="both"/>
              <w:rPr>
                <w:rFonts w:ascii="Times New Roman" w:hAnsi="Times New Roman" w:cs="Times New Roman"/>
                <w:color w:val="000000"/>
              </w:rPr>
            </w:pPr>
            <w:r w:rsidRPr="006F1FD4">
              <w:rPr>
                <w:rFonts w:ascii="Times New Roman" w:hAnsi="Times New Roman" w:cs="Times New Roman"/>
                <w:color w:val="000000"/>
              </w:rPr>
              <w:t> </w:t>
            </w:r>
          </w:p>
        </w:tc>
        <w:tc>
          <w:tcPr>
            <w:tcW w:w="2975" w:type="dxa"/>
          </w:tcPr>
          <w:p w:rsidR="006F1FD4" w:rsidRDefault="006F1FD4" w:rsidP="006F1FD4">
            <w:pPr>
              <w:tabs>
                <w:tab w:val="num" w:pos="1080"/>
              </w:tabs>
              <w:jc w:val="both"/>
              <w:rPr>
                <w:rFonts w:ascii="Times New Roman" w:eastAsia="Times New Roman" w:hAnsi="Times New Roman" w:cs="Times New Roman"/>
                <w:bCs/>
                <w:sz w:val="24"/>
                <w:szCs w:val="20"/>
                <w:lang w:eastAsia="sk-SK"/>
              </w:rPr>
            </w:pPr>
          </w:p>
        </w:tc>
      </w:tr>
      <w:tr w:rsidR="006F1FD4" w:rsidTr="006F1FD4">
        <w:tc>
          <w:tcPr>
            <w:tcW w:w="4960" w:type="dxa"/>
          </w:tcPr>
          <w:p w:rsidR="006F1FD4" w:rsidRDefault="006F1FD4" w:rsidP="006F1FD4">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558" w:type="dxa"/>
            <w:shd w:val="clear" w:color="auto" w:fill="F6F688"/>
            <w:vAlign w:val="center"/>
          </w:tcPr>
          <w:p w:rsidR="006F1FD4" w:rsidRPr="006F1FD4" w:rsidRDefault="006F1FD4" w:rsidP="006F1FD4">
            <w:pPr>
              <w:jc w:val="center"/>
              <w:rPr>
                <w:rFonts w:ascii="Times New Roman" w:hAnsi="Times New Roman" w:cs="Times New Roman"/>
                <w:color w:val="000000"/>
              </w:rPr>
            </w:pPr>
            <w:r w:rsidRPr="006F1FD4">
              <w:rPr>
                <w:rFonts w:ascii="Times New Roman" w:hAnsi="Times New Roman" w:cs="Times New Roman"/>
                <w:color w:val="000000"/>
              </w:rPr>
              <w:t> </w:t>
            </w:r>
          </w:p>
        </w:tc>
        <w:tc>
          <w:tcPr>
            <w:tcW w:w="1416" w:type="dxa"/>
            <w:shd w:val="clear" w:color="auto" w:fill="F6F688"/>
            <w:vAlign w:val="center"/>
          </w:tcPr>
          <w:p w:rsidR="006F1FD4" w:rsidRPr="006F1FD4" w:rsidRDefault="006F1FD4" w:rsidP="006F1FD4">
            <w:pPr>
              <w:jc w:val="both"/>
              <w:rPr>
                <w:rFonts w:ascii="Times New Roman" w:hAnsi="Times New Roman" w:cs="Times New Roman"/>
                <w:color w:val="000000"/>
              </w:rPr>
            </w:pPr>
            <w:r w:rsidRPr="006F1FD4">
              <w:rPr>
                <w:rFonts w:ascii="Times New Roman" w:hAnsi="Times New Roman" w:cs="Times New Roman"/>
                <w:color w:val="000000"/>
              </w:rPr>
              <w:t> </w:t>
            </w:r>
          </w:p>
        </w:tc>
        <w:tc>
          <w:tcPr>
            <w:tcW w:w="1559" w:type="dxa"/>
            <w:shd w:val="clear" w:color="auto" w:fill="F6F688"/>
            <w:vAlign w:val="center"/>
          </w:tcPr>
          <w:p w:rsidR="006F1FD4" w:rsidRPr="006F1FD4" w:rsidRDefault="006F1FD4" w:rsidP="006F1FD4">
            <w:pPr>
              <w:jc w:val="both"/>
              <w:rPr>
                <w:rFonts w:ascii="Times New Roman" w:hAnsi="Times New Roman" w:cs="Times New Roman"/>
                <w:color w:val="000000"/>
              </w:rPr>
            </w:pPr>
            <w:r w:rsidRPr="006F1FD4">
              <w:rPr>
                <w:rFonts w:ascii="Times New Roman" w:hAnsi="Times New Roman" w:cs="Times New Roman"/>
                <w:color w:val="000000"/>
              </w:rPr>
              <w:t> </w:t>
            </w:r>
          </w:p>
        </w:tc>
        <w:tc>
          <w:tcPr>
            <w:tcW w:w="1416" w:type="dxa"/>
            <w:shd w:val="clear" w:color="auto" w:fill="F6F688"/>
            <w:vAlign w:val="center"/>
          </w:tcPr>
          <w:p w:rsidR="006F1FD4" w:rsidRPr="006F1FD4" w:rsidRDefault="006F1FD4" w:rsidP="006F1FD4">
            <w:pPr>
              <w:jc w:val="both"/>
              <w:rPr>
                <w:rFonts w:ascii="Times New Roman" w:hAnsi="Times New Roman" w:cs="Times New Roman"/>
                <w:color w:val="000000"/>
              </w:rPr>
            </w:pPr>
            <w:r w:rsidRPr="006F1FD4">
              <w:rPr>
                <w:rFonts w:ascii="Times New Roman" w:hAnsi="Times New Roman" w:cs="Times New Roman"/>
                <w:color w:val="000000"/>
              </w:rPr>
              <w:t> </w:t>
            </w:r>
          </w:p>
        </w:tc>
        <w:tc>
          <w:tcPr>
            <w:tcW w:w="2975" w:type="dxa"/>
          </w:tcPr>
          <w:p w:rsidR="006F1FD4" w:rsidRDefault="006F1FD4" w:rsidP="006F1FD4">
            <w:pPr>
              <w:tabs>
                <w:tab w:val="num" w:pos="1080"/>
              </w:tabs>
              <w:jc w:val="both"/>
              <w:rPr>
                <w:rFonts w:ascii="Times New Roman" w:eastAsia="Times New Roman" w:hAnsi="Times New Roman" w:cs="Times New Roman"/>
                <w:bCs/>
                <w:sz w:val="24"/>
                <w:szCs w:val="20"/>
                <w:lang w:eastAsia="sk-SK"/>
              </w:rPr>
            </w:pPr>
          </w:p>
        </w:tc>
      </w:tr>
      <w:tr w:rsidR="006F1FD4" w:rsidTr="006F1FD4">
        <w:tc>
          <w:tcPr>
            <w:tcW w:w="4960" w:type="dxa"/>
          </w:tcPr>
          <w:p w:rsidR="006F1FD4" w:rsidRDefault="006F1FD4" w:rsidP="006F1FD4">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558" w:type="dxa"/>
            <w:shd w:val="clear" w:color="auto" w:fill="F6F688"/>
            <w:vAlign w:val="center"/>
          </w:tcPr>
          <w:p w:rsidR="006F1FD4" w:rsidRPr="006F1FD4" w:rsidRDefault="006F1FD4" w:rsidP="006F1FD4">
            <w:pPr>
              <w:jc w:val="both"/>
              <w:rPr>
                <w:rFonts w:ascii="Times New Roman" w:hAnsi="Times New Roman" w:cs="Times New Roman"/>
                <w:color w:val="000000"/>
              </w:rPr>
            </w:pPr>
            <w:r w:rsidRPr="006F1FD4">
              <w:rPr>
                <w:rFonts w:ascii="Times New Roman" w:hAnsi="Times New Roman" w:cs="Times New Roman"/>
                <w:color w:val="000000"/>
              </w:rPr>
              <w:t> </w:t>
            </w:r>
          </w:p>
        </w:tc>
        <w:tc>
          <w:tcPr>
            <w:tcW w:w="1416" w:type="dxa"/>
            <w:shd w:val="clear" w:color="auto" w:fill="F6F688"/>
            <w:vAlign w:val="center"/>
          </w:tcPr>
          <w:p w:rsidR="006F1FD4" w:rsidRPr="006F1FD4" w:rsidRDefault="006F1FD4" w:rsidP="006F1FD4">
            <w:pPr>
              <w:jc w:val="both"/>
              <w:rPr>
                <w:rFonts w:ascii="Times New Roman" w:hAnsi="Times New Roman" w:cs="Times New Roman"/>
                <w:color w:val="000000"/>
              </w:rPr>
            </w:pPr>
            <w:r w:rsidRPr="006F1FD4">
              <w:rPr>
                <w:rFonts w:ascii="Times New Roman" w:hAnsi="Times New Roman" w:cs="Times New Roman"/>
                <w:color w:val="000000"/>
              </w:rPr>
              <w:t> </w:t>
            </w:r>
          </w:p>
        </w:tc>
        <w:tc>
          <w:tcPr>
            <w:tcW w:w="1559" w:type="dxa"/>
            <w:shd w:val="clear" w:color="auto" w:fill="F6F688"/>
            <w:vAlign w:val="center"/>
          </w:tcPr>
          <w:p w:rsidR="006F1FD4" w:rsidRPr="006F1FD4" w:rsidRDefault="006F1FD4" w:rsidP="006F1FD4">
            <w:pPr>
              <w:jc w:val="both"/>
              <w:rPr>
                <w:rFonts w:ascii="Times New Roman" w:hAnsi="Times New Roman" w:cs="Times New Roman"/>
                <w:color w:val="000000"/>
              </w:rPr>
            </w:pPr>
            <w:r w:rsidRPr="006F1FD4">
              <w:rPr>
                <w:rFonts w:ascii="Times New Roman" w:hAnsi="Times New Roman" w:cs="Times New Roman"/>
                <w:color w:val="000000"/>
              </w:rPr>
              <w:t> </w:t>
            </w:r>
          </w:p>
        </w:tc>
        <w:tc>
          <w:tcPr>
            <w:tcW w:w="1416" w:type="dxa"/>
            <w:shd w:val="clear" w:color="auto" w:fill="F6F688"/>
            <w:vAlign w:val="center"/>
          </w:tcPr>
          <w:p w:rsidR="006F1FD4" w:rsidRPr="006F1FD4" w:rsidRDefault="006F1FD4" w:rsidP="006F1FD4">
            <w:pPr>
              <w:jc w:val="both"/>
              <w:rPr>
                <w:rFonts w:ascii="Times New Roman" w:hAnsi="Times New Roman" w:cs="Times New Roman"/>
                <w:color w:val="000000"/>
              </w:rPr>
            </w:pPr>
            <w:r w:rsidRPr="006F1FD4">
              <w:rPr>
                <w:rFonts w:ascii="Times New Roman" w:hAnsi="Times New Roman" w:cs="Times New Roman"/>
                <w:color w:val="000000"/>
              </w:rPr>
              <w:t> </w:t>
            </w:r>
          </w:p>
        </w:tc>
        <w:tc>
          <w:tcPr>
            <w:tcW w:w="2975" w:type="dxa"/>
          </w:tcPr>
          <w:p w:rsidR="006F1FD4" w:rsidRDefault="006F1FD4" w:rsidP="006F1FD4">
            <w:pPr>
              <w:tabs>
                <w:tab w:val="num" w:pos="1080"/>
              </w:tabs>
              <w:jc w:val="both"/>
              <w:rPr>
                <w:rFonts w:ascii="Times New Roman" w:eastAsia="Times New Roman" w:hAnsi="Times New Roman" w:cs="Times New Roman"/>
                <w:bCs/>
                <w:sz w:val="24"/>
                <w:szCs w:val="20"/>
                <w:lang w:eastAsia="sk-SK"/>
              </w:rPr>
            </w:pPr>
          </w:p>
        </w:tc>
      </w:tr>
      <w:tr w:rsidR="006F1FD4" w:rsidTr="006F1FD4">
        <w:tc>
          <w:tcPr>
            <w:tcW w:w="4960" w:type="dxa"/>
            <w:shd w:val="clear" w:color="auto" w:fill="BFBFBF" w:themeFill="background1" w:themeFillShade="BF"/>
          </w:tcPr>
          <w:p w:rsidR="006F1FD4" w:rsidRPr="007D5748" w:rsidRDefault="006F1FD4" w:rsidP="006F1FD4">
            <w:pP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558" w:type="dxa"/>
            <w:shd w:val="clear" w:color="auto" w:fill="BFBFBF" w:themeFill="background1" w:themeFillShade="BF"/>
            <w:vAlign w:val="center"/>
          </w:tcPr>
          <w:p w:rsidR="006F1FD4" w:rsidRPr="006F1FD4" w:rsidRDefault="006F1FD4" w:rsidP="006F1FD4">
            <w:pPr>
              <w:jc w:val="center"/>
              <w:rPr>
                <w:rFonts w:ascii="Times New Roman" w:hAnsi="Times New Roman" w:cs="Times New Roman"/>
                <w:b/>
                <w:bCs/>
                <w:color w:val="000000"/>
              </w:rPr>
            </w:pPr>
            <w:r w:rsidRPr="006F1FD4">
              <w:rPr>
                <w:rFonts w:ascii="Times New Roman" w:hAnsi="Times New Roman" w:cs="Times New Roman"/>
                <w:b/>
                <w:bCs/>
                <w:color w:val="000000"/>
              </w:rPr>
              <w:t>-12 372</w:t>
            </w:r>
          </w:p>
        </w:tc>
        <w:tc>
          <w:tcPr>
            <w:tcW w:w="1416" w:type="dxa"/>
            <w:shd w:val="clear" w:color="auto" w:fill="BFBFBF" w:themeFill="background1" w:themeFillShade="BF"/>
            <w:vAlign w:val="center"/>
          </w:tcPr>
          <w:p w:rsidR="006F1FD4" w:rsidRPr="006F1FD4" w:rsidRDefault="006F1FD4" w:rsidP="006F1FD4">
            <w:pPr>
              <w:jc w:val="center"/>
              <w:rPr>
                <w:rFonts w:ascii="Times New Roman" w:hAnsi="Times New Roman" w:cs="Times New Roman"/>
                <w:b/>
                <w:bCs/>
                <w:color w:val="000000"/>
              </w:rPr>
            </w:pPr>
            <w:r w:rsidRPr="006F1FD4">
              <w:rPr>
                <w:rFonts w:ascii="Times New Roman" w:hAnsi="Times New Roman" w:cs="Times New Roman"/>
                <w:b/>
                <w:bCs/>
                <w:color w:val="000000"/>
              </w:rPr>
              <w:t>-36 264</w:t>
            </w:r>
          </w:p>
        </w:tc>
        <w:tc>
          <w:tcPr>
            <w:tcW w:w="1559" w:type="dxa"/>
            <w:shd w:val="clear" w:color="auto" w:fill="BFBFBF" w:themeFill="background1" w:themeFillShade="BF"/>
            <w:vAlign w:val="center"/>
          </w:tcPr>
          <w:p w:rsidR="006F1FD4" w:rsidRPr="006F1FD4" w:rsidRDefault="006F1FD4" w:rsidP="006F1FD4">
            <w:pPr>
              <w:jc w:val="center"/>
              <w:rPr>
                <w:rFonts w:ascii="Times New Roman" w:hAnsi="Times New Roman" w:cs="Times New Roman"/>
                <w:b/>
                <w:bCs/>
                <w:color w:val="000000"/>
              </w:rPr>
            </w:pPr>
            <w:r w:rsidRPr="006F1FD4">
              <w:rPr>
                <w:rFonts w:ascii="Times New Roman" w:hAnsi="Times New Roman" w:cs="Times New Roman"/>
                <w:b/>
                <w:bCs/>
                <w:color w:val="000000"/>
              </w:rPr>
              <w:t>-40 589</w:t>
            </w:r>
          </w:p>
        </w:tc>
        <w:tc>
          <w:tcPr>
            <w:tcW w:w="1416" w:type="dxa"/>
            <w:shd w:val="clear" w:color="auto" w:fill="BFBFBF" w:themeFill="background1" w:themeFillShade="BF"/>
            <w:vAlign w:val="center"/>
          </w:tcPr>
          <w:p w:rsidR="006F1FD4" w:rsidRPr="006F1FD4" w:rsidRDefault="006F1FD4" w:rsidP="006F1FD4">
            <w:pPr>
              <w:jc w:val="center"/>
              <w:rPr>
                <w:rFonts w:ascii="Times New Roman" w:hAnsi="Times New Roman" w:cs="Times New Roman"/>
                <w:b/>
                <w:bCs/>
                <w:color w:val="000000"/>
              </w:rPr>
            </w:pPr>
            <w:r w:rsidRPr="006F1FD4">
              <w:rPr>
                <w:rFonts w:ascii="Times New Roman" w:hAnsi="Times New Roman" w:cs="Times New Roman"/>
                <w:b/>
                <w:bCs/>
                <w:color w:val="000000"/>
              </w:rPr>
              <w:t>-36 501</w:t>
            </w:r>
          </w:p>
        </w:tc>
        <w:tc>
          <w:tcPr>
            <w:tcW w:w="2975" w:type="dxa"/>
            <w:shd w:val="clear" w:color="auto" w:fill="BFBFBF" w:themeFill="background1" w:themeFillShade="BF"/>
          </w:tcPr>
          <w:p w:rsidR="006F1FD4" w:rsidRDefault="006F1FD4" w:rsidP="006F1FD4">
            <w:pPr>
              <w:tabs>
                <w:tab w:val="num" w:pos="1080"/>
              </w:tabs>
              <w:jc w:val="both"/>
              <w:rPr>
                <w:rFonts w:ascii="Times New Roman" w:eastAsia="Times New Roman" w:hAnsi="Times New Roman" w:cs="Times New Roman"/>
                <w:bCs/>
                <w:sz w:val="24"/>
                <w:szCs w:val="20"/>
                <w:lang w:eastAsia="sk-SK"/>
              </w:rPr>
            </w:pPr>
          </w:p>
        </w:tc>
      </w:tr>
    </w:tbl>
    <w:p w:rsidR="008F617E" w:rsidRPr="007D5748" w:rsidRDefault="008F617E" w:rsidP="007D5748">
      <w:pPr>
        <w:tabs>
          <w:tab w:val="num" w:pos="1080"/>
        </w:tabs>
        <w:spacing w:after="0" w:line="240" w:lineRule="auto"/>
        <w:jc w:val="both"/>
        <w:rPr>
          <w:rFonts w:ascii="Times New Roman" w:eastAsia="Times New Roman" w:hAnsi="Times New Roman" w:cs="Times New Roman"/>
          <w:bCs/>
          <w:sz w:val="24"/>
          <w:szCs w:val="20"/>
          <w:lang w:eastAsia="sk-SK"/>
        </w:rPr>
      </w:pPr>
    </w:p>
    <w:p w:rsidR="006B4AAA" w:rsidRPr="00440704" w:rsidRDefault="00526826" w:rsidP="00526826">
      <w:pPr>
        <w:spacing w:after="0" w:line="240" w:lineRule="auto"/>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sidRPr="00440704">
        <w:rPr>
          <w:rFonts w:ascii="Times New Roman" w:eastAsia="Times New Roman" w:hAnsi="Times New Roman" w:cs="Times New Roman"/>
          <w:bCs/>
          <w:sz w:val="24"/>
          <w:szCs w:val="24"/>
          <w:lang w:eastAsia="sk-SK"/>
        </w:rPr>
        <w:t xml:space="preserve">Tabuľka č. 3.1. </w:t>
      </w:r>
    </w:p>
    <w:tbl>
      <w:tblPr>
        <w:tblStyle w:val="Mriekatabuky"/>
        <w:tblW w:w="14029" w:type="dxa"/>
        <w:tblLook w:val="04A0" w:firstRow="1" w:lastRow="0" w:firstColumn="1" w:lastColumn="0" w:noHBand="0" w:noVBand="1"/>
      </w:tblPr>
      <w:tblGrid>
        <w:gridCol w:w="4957"/>
        <w:gridCol w:w="1417"/>
        <w:gridCol w:w="1559"/>
        <w:gridCol w:w="1560"/>
        <w:gridCol w:w="1417"/>
        <w:gridCol w:w="3119"/>
      </w:tblGrid>
      <w:tr w:rsidR="00526826" w:rsidTr="00526826">
        <w:tc>
          <w:tcPr>
            <w:tcW w:w="4957" w:type="dxa"/>
            <w:vMerge w:val="restart"/>
            <w:shd w:val="clear" w:color="auto" w:fill="BFBFBF" w:themeFill="background1" w:themeFillShade="BF"/>
            <w:vAlign w:val="center"/>
          </w:tcPr>
          <w:p w:rsidR="00526826" w:rsidRDefault="00526826" w:rsidP="00BE7FC3">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 xml:space="preserve">Príjmy (v </w:t>
            </w:r>
            <w:r w:rsidR="00604B73">
              <w:rPr>
                <w:rFonts w:ascii="Times New Roman" w:eastAsia="Times New Roman" w:hAnsi="Times New Roman" w:cs="Times New Roman"/>
                <w:b/>
                <w:bCs/>
                <w:sz w:val="24"/>
                <w:szCs w:val="24"/>
                <w:lang w:eastAsia="sk-SK"/>
              </w:rPr>
              <w:t xml:space="preserve">tis. </w:t>
            </w:r>
            <w:r w:rsidRPr="007D5748">
              <w:rPr>
                <w:rFonts w:ascii="Times New Roman" w:eastAsia="Times New Roman" w:hAnsi="Times New Roman" w:cs="Times New Roman"/>
                <w:b/>
                <w:bCs/>
                <w:sz w:val="24"/>
                <w:szCs w:val="24"/>
                <w:lang w:eastAsia="sk-SK"/>
              </w:rPr>
              <w:t>eur)</w:t>
            </w:r>
          </w:p>
        </w:tc>
        <w:tc>
          <w:tcPr>
            <w:tcW w:w="5953" w:type="dxa"/>
            <w:gridSpan w:val="4"/>
            <w:shd w:val="clear" w:color="auto" w:fill="BFBFBF" w:themeFill="background1" w:themeFillShade="BF"/>
          </w:tcPr>
          <w:p w:rsidR="00526826" w:rsidRDefault="00526826" w:rsidP="00526826">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Vplyv na rozpočet verejnej správy</w:t>
            </w:r>
          </w:p>
        </w:tc>
        <w:tc>
          <w:tcPr>
            <w:tcW w:w="3119" w:type="dxa"/>
            <w:shd w:val="clear" w:color="auto" w:fill="BFBFBF" w:themeFill="background1" w:themeFillShade="BF"/>
            <w:vAlign w:val="center"/>
          </w:tcPr>
          <w:p w:rsidR="00526826" w:rsidRDefault="00526826" w:rsidP="00526826">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poznámka</w:t>
            </w:r>
          </w:p>
        </w:tc>
      </w:tr>
      <w:tr w:rsidR="00604B73" w:rsidTr="00526826">
        <w:tc>
          <w:tcPr>
            <w:tcW w:w="4957" w:type="dxa"/>
            <w:vMerge/>
            <w:shd w:val="clear" w:color="auto" w:fill="BFBFBF" w:themeFill="background1" w:themeFillShade="BF"/>
          </w:tcPr>
          <w:p w:rsidR="00604B73" w:rsidRDefault="00604B73" w:rsidP="00604B73">
            <w:pPr>
              <w:tabs>
                <w:tab w:val="num" w:pos="1080"/>
              </w:tabs>
              <w:jc w:val="both"/>
              <w:rPr>
                <w:rFonts w:ascii="Times New Roman" w:eastAsia="Times New Roman" w:hAnsi="Times New Roman" w:cs="Times New Roman"/>
                <w:bCs/>
                <w:sz w:val="24"/>
                <w:szCs w:val="20"/>
                <w:lang w:eastAsia="sk-SK"/>
              </w:rPr>
            </w:pPr>
          </w:p>
        </w:tc>
        <w:tc>
          <w:tcPr>
            <w:tcW w:w="1417" w:type="dxa"/>
            <w:shd w:val="clear" w:color="auto" w:fill="BFBFBF" w:themeFill="background1" w:themeFillShade="BF"/>
          </w:tcPr>
          <w:p w:rsidR="00604B73" w:rsidRPr="007D5748" w:rsidRDefault="00604B73" w:rsidP="00604B73">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2019</w:t>
            </w:r>
          </w:p>
        </w:tc>
        <w:tc>
          <w:tcPr>
            <w:tcW w:w="1559" w:type="dxa"/>
            <w:shd w:val="clear" w:color="auto" w:fill="BFBFBF" w:themeFill="background1" w:themeFillShade="BF"/>
          </w:tcPr>
          <w:p w:rsidR="00604B73" w:rsidRPr="007D5748" w:rsidRDefault="00604B73" w:rsidP="00604B73">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1560" w:type="dxa"/>
            <w:shd w:val="clear" w:color="auto" w:fill="BFBFBF" w:themeFill="background1" w:themeFillShade="BF"/>
          </w:tcPr>
          <w:p w:rsidR="00604B73" w:rsidRPr="007D5748" w:rsidRDefault="00604B73" w:rsidP="00604B73">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417" w:type="dxa"/>
            <w:shd w:val="clear" w:color="auto" w:fill="BFBFBF" w:themeFill="background1" w:themeFillShade="BF"/>
          </w:tcPr>
          <w:p w:rsidR="00604B73" w:rsidRPr="007D5748" w:rsidRDefault="00604B73" w:rsidP="00604B73">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3119" w:type="dxa"/>
            <w:shd w:val="clear" w:color="auto" w:fill="BFBFBF" w:themeFill="background1" w:themeFillShade="BF"/>
          </w:tcPr>
          <w:p w:rsidR="00604B73" w:rsidRDefault="00604B73" w:rsidP="00604B73">
            <w:pPr>
              <w:tabs>
                <w:tab w:val="num" w:pos="1080"/>
              </w:tabs>
              <w:jc w:val="both"/>
              <w:rPr>
                <w:rFonts w:ascii="Times New Roman" w:eastAsia="Times New Roman" w:hAnsi="Times New Roman" w:cs="Times New Roman"/>
                <w:bCs/>
                <w:sz w:val="24"/>
                <w:szCs w:val="20"/>
                <w:lang w:eastAsia="sk-SK"/>
              </w:rPr>
            </w:pPr>
          </w:p>
        </w:tc>
      </w:tr>
      <w:tr w:rsidR="006F1FD4" w:rsidTr="006F1FD4">
        <w:tc>
          <w:tcPr>
            <w:tcW w:w="4957" w:type="dxa"/>
            <w:shd w:val="clear" w:color="auto" w:fill="FFFFFF" w:themeFill="background1"/>
          </w:tcPr>
          <w:p w:rsidR="006F1FD4" w:rsidRDefault="006F1FD4" w:rsidP="006F1FD4">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6F1FD4" w:rsidRDefault="006F1FD4" w:rsidP="006F1FD4">
            <w:pPr>
              <w:tabs>
                <w:tab w:val="num" w:pos="1080"/>
              </w:tabs>
              <w:jc w:val="center"/>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0</w:t>
            </w:r>
          </w:p>
        </w:tc>
        <w:tc>
          <w:tcPr>
            <w:tcW w:w="1559" w:type="dxa"/>
            <w:shd w:val="clear" w:color="auto" w:fill="FFFFFF" w:themeFill="background1"/>
          </w:tcPr>
          <w:p w:rsidR="006F1FD4" w:rsidRDefault="006F1FD4" w:rsidP="006F1FD4">
            <w:pPr>
              <w:tabs>
                <w:tab w:val="num" w:pos="1080"/>
              </w:tabs>
              <w:jc w:val="center"/>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0</w:t>
            </w:r>
          </w:p>
        </w:tc>
        <w:tc>
          <w:tcPr>
            <w:tcW w:w="1560" w:type="dxa"/>
            <w:shd w:val="clear" w:color="auto" w:fill="FFFFFF" w:themeFill="background1"/>
            <w:vAlign w:val="bottom"/>
          </w:tcPr>
          <w:p w:rsidR="006F1FD4" w:rsidRPr="0095034B" w:rsidRDefault="006F1FD4" w:rsidP="006F1FD4">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-12 458</w:t>
            </w:r>
          </w:p>
        </w:tc>
        <w:tc>
          <w:tcPr>
            <w:tcW w:w="1417" w:type="dxa"/>
            <w:shd w:val="clear" w:color="auto" w:fill="FFFFFF" w:themeFill="background1"/>
            <w:vAlign w:val="bottom"/>
          </w:tcPr>
          <w:p w:rsidR="006F1FD4" w:rsidRPr="0095034B" w:rsidRDefault="006F1FD4" w:rsidP="006F1FD4">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-12 458</w:t>
            </w:r>
          </w:p>
        </w:tc>
        <w:tc>
          <w:tcPr>
            <w:tcW w:w="3119" w:type="dxa"/>
            <w:vMerge w:val="restart"/>
            <w:shd w:val="clear" w:color="auto" w:fill="FFFFFF" w:themeFill="background1"/>
          </w:tcPr>
          <w:p w:rsidR="006F1FD4" w:rsidRPr="00604B73" w:rsidRDefault="006F1FD4" w:rsidP="006F1FD4">
            <w:pPr>
              <w:jc w:val="both"/>
              <w:rPr>
                <w:rFonts w:ascii="Times New Roman" w:eastAsia="Times New Roman" w:hAnsi="Times New Roman" w:cs="Times New Roman"/>
                <w:sz w:val="24"/>
                <w:szCs w:val="24"/>
                <w:lang w:eastAsia="sk-SK"/>
              </w:rPr>
            </w:pPr>
            <w:r w:rsidRPr="00604B73">
              <w:rPr>
                <w:rFonts w:ascii="Times New Roman" w:eastAsia="Times New Roman" w:hAnsi="Times New Roman" w:cs="Times New Roman"/>
                <w:sz w:val="24"/>
                <w:szCs w:val="24"/>
                <w:lang w:eastAsia="sk-SK"/>
              </w:rPr>
              <w:t>Zavedenie paušálu na príspevok zamestnávateľa na dopravu</w:t>
            </w:r>
          </w:p>
          <w:p w:rsidR="006F1FD4" w:rsidRDefault="006F1FD4" w:rsidP="006F1FD4">
            <w:pPr>
              <w:tabs>
                <w:tab w:val="num" w:pos="1080"/>
              </w:tabs>
              <w:jc w:val="both"/>
              <w:rPr>
                <w:rFonts w:ascii="Times New Roman" w:eastAsia="Times New Roman" w:hAnsi="Times New Roman" w:cs="Times New Roman"/>
                <w:bCs/>
                <w:sz w:val="24"/>
                <w:szCs w:val="20"/>
                <w:lang w:eastAsia="sk-SK"/>
              </w:rPr>
            </w:pPr>
          </w:p>
        </w:tc>
      </w:tr>
      <w:tr w:rsidR="006F1FD4" w:rsidTr="006F1FD4">
        <w:tc>
          <w:tcPr>
            <w:tcW w:w="4957" w:type="dxa"/>
            <w:shd w:val="clear" w:color="auto" w:fill="FFFFFF" w:themeFill="background1"/>
          </w:tcPr>
          <w:p w:rsidR="006F1FD4" w:rsidRDefault="006F1FD4" w:rsidP="006F1FD4">
            <w:pPr>
              <w:tabs>
                <w:tab w:val="num" w:pos="1080"/>
              </w:tabs>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lang w:eastAsia="sk-SK"/>
              </w:rPr>
              <w:t>DPFO (111)</w:t>
            </w:r>
          </w:p>
        </w:tc>
        <w:tc>
          <w:tcPr>
            <w:tcW w:w="1417" w:type="dxa"/>
            <w:shd w:val="clear" w:color="auto" w:fill="FFFFFF" w:themeFill="background1"/>
          </w:tcPr>
          <w:p w:rsidR="006F1FD4" w:rsidRPr="000C35A3" w:rsidRDefault="006F1FD4" w:rsidP="006F1FD4">
            <w:pPr>
              <w:tabs>
                <w:tab w:val="num" w:pos="1080"/>
              </w:tabs>
              <w:jc w:val="center"/>
              <w:rPr>
                <w:rFonts w:ascii="Times New Roman" w:eastAsia="Times New Roman" w:hAnsi="Times New Roman" w:cs="Times New Roman"/>
                <w:bCs/>
                <w:sz w:val="24"/>
                <w:szCs w:val="20"/>
                <w:lang w:eastAsia="sk-SK"/>
              </w:rPr>
            </w:pPr>
            <w:r w:rsidRPr="000C35A3">
              <w:rPr>
                <w:rFonts w:ascii="Times New Roman" w:eastAsia="Times New Roman" w:hAnsi="Times New Roman" w:cs="Times New Roman"/>
                <w:bCs/>
                <w:sz w:val="24"/>
                <w:szCs w:val="24"/>
                <w:lang w:eastAsia="sk-SK"/>
              </w:rPr>
              <w:t>0</w:t>
            </w:r>
          </w:p>
        </w:tc>
        <w:tc>
          <w:tcPr>
            <w:tcW w:w="1559" w:type="dxa"/>
            <w:shd w:val="clear" w:color="auto" w:fill="FFFFFF" w:themeFill="background1"/>
          </w:tcPr>
          <w:p w:rsidR="006F1FD4" w:rsidRPr="000C35A3" w:rsidRDefault="006F1FD4" w:rsidP="006F1FD4">
            <w:pPr>
              <w:tabs>
                <w:tab w:val="num" w:pos="1080"/>
              </w:tabs>
              <w:jc w:val="center"/>
              <w:rPr>
                <w:rFonts w:ascii="Times New Roman" w:eastAsia="Times New Roman" w:hAnsi="Times New Roman" w:cs="Times New Roman"/>
                <w:bCs/>
                <w:sz w:val="24"/>
                <w:szCs w:val="20"/>
                <w:lang w:eastAsia="sk-SK"/>
              </w:rPr>
            </w:pPr>
            <w:r w:rsidRPr="000C35A3">
              <w:rPr>
                <w:rFonts w:ascii="Times New Roman" w:eastAsia="Times New Roman" w:hAnsi="Times New Roman" w:cs="Times New Roman"/>
                <w:bCs/>
                <w:sz w:val="24"/>
                <w:szCs w:val="24"/>
                <w:lang w:eastAsia="sk-SK"/>
              </w:rPr>
              <w:t>0</w:t>
            </w:r>
          </w:p>
        </w:tc>
        <w:tc>
          <w:tcPr>
            <w:tcW w:w="1560" w:type="dxa"/>
            <w:shd w:val="clear" w:color="auto" w:fill="FFFFFF" w:themeFill="background1"/>
            <w:vAlign w:val="bottom"/>
          </w:tcPr>
          <w:p w:rsidR="006F1FD4" w:rsidRPr="0095034B" w:rsidRDefault="006F1FD4" w:rsidP="006F1FD4">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-6 866</w:t>
            </w:r>
          </w:p>
        </w:tc>
        <w:tc>
          <w:tcPr>
            <w:tcW w:w="1417" w:type="dxa"/>
            <w:shd w:val="clear" w:color="auto" w:fill="FFFFFF" w:themeFill="background1"/>
            <w:vAlign w:val="bottom"/>
          </w:tcPr>
          <w:p w:rsidR="006F1FD4" w:rsidRPr="0095034B" w:rsidRDefault="006F1FD4" w:rsidP="006F1FD4">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-6 866</w:t>
            </w:r>
          </w:p>
        </w:tc>
        <w:tc>
          <w:tcPr>
            <w:tcW w:w="3119" w:type="dxa"/>
            <w:vMerge/>
            <w:shd w:val="clear" w:color="auto" w:fill="FFFFFF" w:themeFill="background1"/>
          </w:tcPr>
          <w:p w:rsidR="006F1FD4" w:rsidRDefault="006F1FD4" w:rsidP="006F1FD4">
            <w:pPr>
              <w:tabs>
                <w:tab w:val="num" w:pos="1080"/>
              </w:tabs>
              <w:jc w:val="both"/>
              <w:rPr>
                <w:rFonts w:ascii="Times New Roman" w:eastAsia="Times New Roman" w:hAnsi="Times New Roman" w:cs="Times New Roman"/>
                <w:bCs/>
                <w:sz w:val="24"/>
                <w:szCs w:val="20"/>
                <w:lang w:eastAsia="sk-SK"/>
              </w:rPr>
            </w:pPr>
          </w:p>
        </w:tc>
      </w:tr>
      <w:tr w:rsidR="006F1FD4" w:rsidTr="006F1FD4">
        <w:tc>
          <w:tcPr>
            <w:tcW w:w="4957" w:type="dxa"/>
            <w:shd w:val="clear" w:color="auto" w:fill="FFFFFF" w:themeFill="background1"/>
          </w:tcPr>
          <w:p w:rsidR="006F1FD4" w:rsidRDefault="006F1FD4" w:rsidP="006F1FD4">
            <w:pPr>
              <w:tabs>
                <w:tab w:val="num" w:pos="1080"/>
              </w:tabs>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Sociálne odvody (151, 152, 155, 157 a 158)</w:t>
            </w:r>
          </w:p>
        </w:tc>
        <w:tc>
          <w:tcPr>
            <w:tcW w:w="1417" w:type="dxa"/>
            <w:shd w:val="clear" w:color="auto" w:fill="FFFFFF" w:themeFill="background1"/>
          </w:tcPr>
          <w:p w:rsidR="006F1FD4" w:rsidRDefault="006F1FD4" w:rsidP="006F1FD4">
            <w:pPr>
              <w:tabs>
                <w:tab w:val="num" w:pos="1080"/>
              </w:tabs>
              <w:jc w:val="center"/>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0</w:t>
            </w:r>
          </w:p>
        </w:tc>
        <w:tc>
          <w:tcPr>
            <w:tcW w:w="1559" w:type="dxa"/>
            <w:shd w:val="clear" w:color="auto" w:fill="FFFFFF" w:themeFill="background1"/>
          </w:tcPr>
          <w:p w:rsidR="006F1FD4" w:rsidRDefault="006F1FD4" w:rsidP="006F1FD4">
            <w:pPr>
              <w:tabs>
                <w:tab w:val="num" w:pos="1080"/>
              </w:tabs>
              <w:jc w:val="center"/>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0</w:t>
            </w:r>
          </w:p>
        </w:tc>
        <w:tc>
          <w:tcPr>
            <w:tcW w:w="1560" w:type="dxa"/>
            <w:shd w:val="clear" w:color="auto" w:fill="FFFFFF" w:themeFill="background1"/>
            <w:vAlign w:val="bottom"/>
          </w:tcPr>
          <w:p w:rsidR="006F1FD4" w:rsidRPr="0095034B" w:rsidRDefault="006F1FD4" w:rsidP="006F1FD4">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-3 923</w:t>
            </w:r>
          </w:p>
        </w:tc>
        <w:tc>
          <w:tcPr>
            <w:tcW w:w="1417" w:type="dxa"/>
            <w:shd w:val="clear" w:color="auto" w:fill="FFFFFF" w:themeFill="background1"/>
            <w:vAlign w:val="bottom"/>
          </w:tcPr>
          <w:p w:rsidR="006F1FD4" w:rsidRPr="0095034B" w:rsidRDefault="006F1FD4" w:rsidP="006F1FD4">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-3 923</w:t>
            </w:r>
          </w:p>
        </w:tc>
        <w:tc>
          <w:tcPr>
            <w:tcW w:w="3119" w:type="dxa"/>
            <w:vMerge/>
            <w:shd w:val="clear" w:color="auto" w:fill="FFFFFF" w:themeFill="background1"/>
          </w:tcPr>
          <w:p w:rsidR="006F1FD4" w:rsidRDefault="006F1FD4" w:rsidP="006F1FD4">
            <w:pPr>
              <w:tabs>
                <w:tab w:val="num" w:pos="1080"/>
              </w:tabs>
              <w:jc w:val="both"/>
              <w:rPr>
                <w:rFonts w:ascii="Times New Roman" w:eastAsia="Times New Roman" w:hAnsi="Times New Roman" w:cs="Times New Roman"/>
                <w:bCs/>
                <w:sz w:val="24"/>
                <w:szCs w:val="20"/>
                <w:lang w:eastAsia="sk-SK"/>
              </w:rPr>
            </w:pPr>
          </w:p>
        </w:tc>
      </w:tr>
      <w:tr w:rsidR="006F1FD4" w:rsidTr="006F1FD4">
        <w:tc>
          <w:tcPr>
            <w:tcW w:w="4957" w:type="dxa"/>
            <w:shd w:val="clear" w:color="auto" w:fill="FFFFFF" w:themeFill="background1"/>
          </w:tcPr>
          <w:p w:rsidR="006F1FD4" w:rsidRDefault="006F1FD4" w:rsidP="006F1FD4">
            <w:pPr>
              <w:tabs>
                <w:tab w:val="num" w:pos="1080"/>
              </w:tabs>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lang w:eastAsia="sk-SK"/>
              </w:rPr>
              <w:t>Zdravotné odvody (154)</w:t>
            </w:r>
          </w:p>
        </w:tc>
        <w:tc>
          <w:tcPr>
            <w:tcW w:w="1417" w:type="dxa"/>
            <w:shd w:val="clear" w:color="auto" w:fill="FFFFFF" w:themeFill="background1"/>
          </w:tcPr>
          <w:p w:rsidR="006F1FD4" w:rsidRDefault="006F1FD4" w:rsidP="006F1FD4">
            <w:pPr>
              <w:tabs>
                <w:tab w:val="num" w:pos="1080"/>
              </w:tabs>
              <w:jc w:val="center"/>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0</w:t>
            </w:r>
          </w:p>
        </w:tc>
        <w:tc>
          <w:tcPr>
            <w:tcW w:w="1559" w:type="dxa"/>
            <w:shd w:val="clear" w:color="auto" w:fill="FFFFFF" w:themeFill="background1"/>
          </w:tcPr>
          <w:p w:rsidR="006F1FD4" w:rsidRDefault="006F1FD4" w:rsidP="006F1FD4">
            <w:pPr>
              <w:tabs>
                <w:tab w:val="num" w:pos="1080"/>
              </w:tabs>
              <w:jc w:val="center"/>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0</w:t>
            </w:r>
          </w:p>
        </w:tc>
        <w:tc>
          <w:tcPr>
            <w:tcW w:w="1560" w:type="dxa"/>
            <w:shd w:val="clear" w:color="auto" w:fill="FFFFFF" w:themeFill="background1"/>
            <w:vAlign w:val="bottom"/>
          </w:tcPr>
          <w:p w:rsidR="006F1FD4" w:rsidRPr="0095034B" w:rsidRDefault="006F1FD4" w:rsidP="006F1FD4">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-1 669</w:t>
            </w:r>
          </w:p>
        </w:tc>
        <w:tc>
          <w:tcPr>
            <w:tcW w:w="1417" w:type="dxa"/>
            <w:shd w:val="clear" w:color="auto" w:fill="FFFFFF" w:themeFill="background1"/>
            <w:vAlign w:val="bottom"/>
          </w:tcPr>
          <w:p w:rsidR="006F1FD4" w:rsidRPr="0095034B" w:rsidRDefault="006F1FD4" w:rsidP="006F1FD4">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-1 669</w:t>
            </w:r>
          </w:p>
        </w:tc>
        <w:tc>
          <w:tcPr>
            <w:tcW w:w="3119" w:type="dxa"/>
            <w:vMerge/>
            <w:shd w:val="clear" w:color="auto" w:fill="FFFFFF" w:themeFill="background1"/>
          </w:tcPr>
          <w:p w:rsidR="006F1FD4" w:rsidRDefault="006F1FD4" w:rsidP="006F1FD4">
            <w:pPr>
              <w:tabs>
                <w:tab w:val="num" w:pos="1080"/>
              </w:tabs>
              <w:jc w:val="both"/>
              <w:rPr>
                <w:rFonts w:ascii="Times New Roman" w:eastAsia="Times New Roman" w:hAnsi="Times New Roman" w:cs="Times New Roman"/>
                <w:bCs/>
                <w:sz w:val="24"/>
                <w:szCs w:val="20"/>
                <w:lang w:eastAsia="sk-SK"/>
              </w:rPr>
            </w:pPr>
          </w:p>
        </w:tc>
      </w:tr>
      <w:tr w:rsidR="006F1FD4" w:rsidTr="00526826">
        <w:tc>
          <w:tcPr>
            <w:tcW w:w="4957" w:type="dxa"/>
            <w:shd w:val="clear" w:color="auto" w:fill="FFFFFF" w:themeFill="background1"/>
          </w:tcPr>
          <w:p w:rsidR="006F1FD4" w:rsidRDefault="006F1FD4" w:rsidP="006F1FD4">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6F1FD4" w:rsidRDefault="006F1FD4" w:rsidP="006F1FD4">
            <w:pPr>
              <w:tabs>
                <w:tab w:val="num" w:pos="1080"/>
              </w:tabs>
              <w:jc w:val="center"/>
              <w:rPr>
                <w:rFonts w:ascii="Times New Roman" w:eastAsia="Times New Roman" w:hAnsi="Times New Roman" w:cs="Times New Roman"/>
                <w:bCs/>
                <w:sz w:val="24"/>
                <w:szCs w:val="20"/>
                <w:lang w:eastAsia="sk-SK"/>
              </w:rPr>
            </w:pPr>
          </w:p>
        </w:tc>
        <w:tc>
          <w:tcPr>
            <w:tcW w:w="1559" w:type="dxa"/>
            <w:shd w:val="clear" w:color="auto" w:fill="FFFFFF" w:themeFill="background1"/>
          </w:tcPr>
          <w:p w:rsidR="006F1FD4" w:rsidRDefault="006F1FD4" w:rsidP="006F1FD4">
            <w:pPr>
              <w:tabs>
                <w:tab w:val="num" w:pos="1080"/>
              </w:tabs>
              <w:jc w:val="center"/>
              <w:rPr>
                <w:rFonts w:ascii="Times New Roman" w:eastAsia="Times New Roman" w:hAnsi="Times New Roman" w:cs="Times New Roman"/>
                <w:bCs/>
                <w:sz w:val="24"/>
                <w:szCs w:val="20"/>
                <w:lang w:eastAsia="sk-SK"/>
              </w:rPr>
            </w:pPr>
          </w:p>
        </w:tc>
        <w:tc>
          <w:tcPr>
            <w:tcW w:w="1560" w:type="dxa"/>
            <w:shd w:val="clear" w:color="auto" w:fill="FFFFFF" w:themeFill="background1"/>
          </w:tcPr>
          <w:p w:rsidR="006F1FD4" w:rsidRPr="0095034B" w:rsidRDefault="006F1FD4" w:rsidP="006F1FD4">
            <w:pPr>
              <w:tabs>
                <w:tab w:val="num" w:pos="1080"/>
              </w:tabs>
              <w:jc w:val="center"/>
              <w:rPr>
                <w:rFonts w:ascii="Times New Roman" w:eastAsia="Times New Roman" w:hAnsi="Times New Roman" w:cs="Times New Roman"/>
                <w:b/>
                <w:bCs/>
                <w:sz w:val="24"/>
                <w:szCs w:val="20"/>
                <w:lang w:eastAsia="sk-SK"/>
              </w:rPr>
            </w:pPr>
          </w:p>
        </w:tc>
        <w:tc>
          <w:tcPr>
            <w:tcW w:w="1417" w:type="dxa"/>
            <w:shd w:val="clear" w:color="auto" w:fill="FFFFFF" w:themeFill="background1"/>
          </w:tcPr>
          <w:p w:rsidR="006F1FD4" w:rsidRPr="0095034B" w:rsidRDefault="006F1FD4" w:rsidP="006F1FD4">
            <w:pPr>
              <w:tabs>
                <w:tab w:val="num" w:pos="1080"/>
              </w:tabs>
              <w:jc w:val="center"/>
              <w:rPr>
                <w:rFonts w:ascii="Times New Roman" w:eastAsia="Times New Roman" w:hAnsi="Times New Roman" w:cs="Times New Roman"/>
                <w:b/>
                <w:bCs/>
                <w:sz w:val="24"/>
                <w:szCs w:val="20"/>
                <w:lang w:eastAsia="sk-SK"/>
              </w:rPr>
            </w:pPr>
          </w:p>
        </w:tc>
        <w:tc>
          <w:tcPr>
            <w:tcW w:w="3119" w:type="dxa"/>
            <w:vMerge/>
            <w:shd w:val="clear" w:color="auto" w:fill="FFFFFF" w:themeFill="background1"/>
          </w:tcPr>
          <w:p w:rsidR="006F1FD4" w:rsidRDefault="006F1FD4" w:rsidP="006F1FD4">
            <w:pPr>
              <w:tabs>
                <w:tab w:val="num" w:pos="1080"/>
              </w:tabs>
              <w:jc w:val="both"/>
              <w:rPr>
                <w:rFonts w:ascii="Times New Roman" w:eastAsia="Times New Roman" w:hAnsi="Times New Roman" w:cs="Times New Roman"/>
                <w:bCs/>
                <w:sz w:val="24"/>
                <w:szCs w:val="20"/>
                <w:lang w:eastAsia="sk-SK"/>
              </w:rPr>
            </w:pPr>
          </w:p>
        </w:tc>
      </w:tr>
      <w:tr w:rsidR="006F1FD4" w:rsidTr="00526826">
        <w:tc>
          <w:tcPr>
            <w:tcW w:w="4957" w:type="dxa"/>
            <w:shd w:val="clear" w:color="auto" w:fill="FFFFFF" w:themeFill="background1"/>
          </w:tcPr>
          <w:p w:rsidR="006F1FD4" w:rsidRDefault="006F1FD4" w:rsidP="006F1FD4">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6F1FD4" w:rsidRDefault="006F1FD4" w:rsidP="006F1FD4">
            <w:pPr>
              <w:tabs>
                <w:tab w:val="num" w:pos="1080"/>
              </w:tabs>
              <w:jc w:val="center"/>
              <w:rPr>
                <w:rFonts w:ascii="Times New Roman" w:eastAsia="Times New Roman" w:hAnsi="Times New Roman" w:cs="Times New Roman"/>
                <w:bCs/>
                <w:sz w:val="24"/>
                <w:szCs w:val="20"/>
                <w:lang w:eastAsia="sk-SK"/>
              </w:rPr>
            </w:pPr>
          </w:p>
        </w:tc>
        <w:tc>
          <w:tcPr>
            <w:tcW w:w="1559" w:type="dxa"/>
            <w:shd w:val="clear" w:color="auto" w:fill="FFFFFF" w:themeFill="background1"/>
          </w:tcPr>
          <w:p w:rsidR="006F1FD4" w:rsidRDefault="006F1FD4" w:rsidP="006F1FD4">
            <w:pPr>
              <w:tabs>
                <w:tab w:val="num" w:pos="1080"/>
              </w:tabs>
              <w:jc w:val="center"/>
              <w:rPr>
                <w:rFonts w:ascii="Times New Roman" w:eastAsia="Times New Roman" w:hAnsi="Times New Roman" w:cs="Times New Roman"/>
                <w:bCs/>
                <w:sz w:val="24"/>
                <w:szCs w:val="20"/>
                <w:lang w:eastAsia="sk-SK"/>
              </w:rPr>
            </w:pPr>
          </w:p>
        </w:tc>
        <w:tc>
          <w:tcPr>
            <w:tcW w:w="1560" w:type="dxa"/>
            <w:shd w:val="clear" w:color="auto" w:fill="FFFFFF" w:themeFill="background1"/>
          </w:tcPr>
          <w:p w:rsidR="006F1FD4" w:rsidRPr="0095034B" w:rsidRDefault="006F1FD4" w:rsidP="006F1FD4">
            <w:pPr>
              <w:tabs>
                <w:tab w:val="num" w:pos="1080"/>
              </w:tabs>
              <w:jc w:val="center"/>
              <w:rPr>
                <w:rFonts w:ascii="Times New Roman" w:eastAsia="Times New Roman" w:hAnsi="Times New Roman" w:cs="Times New Roman"/>
                <w:b/>
                <w:bCs/>
                <w:sz w:val="24"/>
                <w:szCs w:val="20"/>
                <w:lang w:eastAsia="sk-SK"/>
              </w:rPr>
            </w:pPr>
          </w:p>
        </w:tc>
        <w:tc>
          <w:tcPr>
            <w:tcW w:w="1417" w:type="dxa"/>
            <w:shd w:val="clear" w:color="auto" w:fill="FFFFFF" w:themeFill="background1"/>
          </w:tcPr>
          <w:p w:rsidR="006F1FD4" w:rsidRPr="0095034B" w:rsidRDefault="006F1FD4" w:rsidP="006F1FD4">
            <w:pPr>
              <w:tabs>
                <w:tab w:val="num" w:pos="1080"/>
              </w:tabs>
              <w:jc w:val="center"/>
              <w:rPr>
                <w:rFonts w:ascii="Times New Roman" w:eastAsia="Times New Roman" w:hAnsi="Times New Roman" w:cs="Times New Roman"/>
                <w:b/>
                <w:bCs/>
                <w:sz w:val="24"/>
                <w:szCs w:val="20"/>
                <w:lang w:eastAsia="sk-SK"/>
              </w:rPr>
            </w:pPr>
          </w:p>
        </w:tc>
        <w:tc>
          <w:tcPr>
            <w:tcW w:w="3119" w:type="dxa"/>
            <w:vMerge/>
            <w:shd w:val="clear" w:color="auto" w:fill="FFFFFF" w:themeFill="background1"/>
          </w:tcPr>
          <w:p w:rsidR="006F1FD4" w:rsidRDefault="006F1FD4" w:rsidP="006F1FD4">
            <w:pPr>
              <w:tabs>
                <w:tab w:val="num" w:pos="1080"/>
              </w:tabs>
              <w:jc w:val="both"/>
              <w:rPr>
                <w:rFonts w:ascii="Times New Roman" w:eastAsia="Times New Roman" w:hAnsi="Times New Roman" w:cs="Times New Roman"/>
                <w:bCs/>
                <w:sz w:val="24"/>
                <w:szCs w:val="20"/>
                <w:lang w:eastAsia="sk-SK"/>
              </w:rPr>
            </w:pPr>
          </w:p>
        </w:tc>
      </w:tr>
      <w:tr w:rsidR="006F1FD4" w:rsidTr="00440704">
        <w:tc>
          <w:tcPr>
            <w:tcW w:w="4957" w:type="dxa"/>
            <w:shd w:val="clear" w:color="auto" w:fill="FFFFFF" w:themeFill="background1"/>
          </w:tcPr>
          <w:p w:rsidR="006F1FD4" w:rsidRDefault="006F1FD4" w:rsidP="006F1FD4">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417" w:type="dxa"/>
            <w:shd w:val="clear" w:color="auto" w:fill="FFFF99"/>
          </w:tcPr>
          <w:p w:rsidR="006F1FD4" w:rsidRDefault="006F1FD4" w:rsidP="006F1FD4">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 </w:t>
            </w:r>
          </w:p>
        </w:tc>
        <w:tc>
          <w:tcPr>
            <w:tcW w:w="1559" w:type="dxa"/>
            <w:shd w:val="clear" w:color="auto" w:fill="FFFF99"/>
          </w:tcPr>
          <w:p w:rsidR="006F1FD4" w:rsidRDefault="006F1FD4" w:rsidP="006F1FD4">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 </w:t>
            </w:r>
          </w:p>
        </w:tc>
        <w:tc>
          <w:tcPr>
            <w:tcW w:w="1560" w:type="dxa"/>
            <w:shd w:val="clear" w:color="auto" w:fill="FFFF99"/>
          </w:tcPr>
          <w:p w:rsidR="006F1FD4" w:rsidRPr="0095034B" w:rsidRDefault="006F1FD4" w:rsidP="006F1FD4">
            <w:pPr>
              <w:tabs>
                <w:tab w:val="num" w:pos="1080"/>
              </w:tabs>
              <w:jc w:val="center"/>
              <w:rPr>
                <w:rFonts w:ascii="Times New Roman" w:eastAsia="Times New Roman" w:hAnsi="Times New Roman" w:cs="Times New Roman"/>
                <w:b/>
                <w:bCs/>
                <w:sz w:val="24"/>
                <w:szCs w:val="20"/>
                <w:lang w:eastAsia="sk-SK"/>
              </w:rPr>
            </w:pPr>
          </w:p>
        </w:tc>
        <w:tc>
          <w:tcPr>
            <w:tcW w:w="1417" w:type="dxa"/>
            <w:shd w:val="clear" w:color="auto" w:fill="FFFF99"/>
          </w:tcPr>
          <w:p w:rsidR="006F1FD4" w:rsidRPr="0095034B" w:rsidRDefault="006F1FD4" w:rsidP="006F1FD4">
            <w:pPr>
              <w:tabs>
                <w:tab w:val="num" w:pos="1080"/>
              </w:tabs>
              <w:jc w:val="center"/>
              <w:rPr>
                <w:rFonts w:ascii="Times New Roman" w:eastAsia="Times New Roman" w:hAnsi="Times New Roman" w:cs="Times New Roman"/>
                <w:b/>
                <w:bCs/>
                <w:sz w:val="24"/>
                <w:szCs w:val="20"/>
                <w:lang w:eastAsia="sk-SK"/>
              </w:rPr>
            </w:pPr>
          </w:p>
        </w:tc>
        <w:tc>
          <w:tcPr>
            <w:tcW w:w="3119" w:type="dxa"/>
            <w:vMerge/>
            <w:shd w:val="clear" w:color="auto" w:fill="FFFFFF" w:themeFill="background1"/>
          </w:tcPr>
          <w:p w:rsidR="006F1FD4" w:rsidRDefault="006F1FD4" w:rsidP="006F1FD4">
            <w:pPr>
              <w:tabs>
                <w:tab w:val="num" w:pos="1080"/>
              </w:tabs>
              <w:jc w:val="both"/>
              <w:rPr>
                <w:rFonts w:ascii="Times New Roman" w:eastAsia="Times New Roman" w:hAnsi="Times New Roman" w:cs="Times New Roman"/>
                <w:bCs/>
                <w:sz w:val="24"/>
                <w:szCs w:val="20"/>
                <w:lang w:eastAsia="sk-SK"/>
              </w:rPr>
            </w:pPr>
          </w:p>
        </w:tc>
      </w:tr>
      <w:tr w:rsidR="006F1FD4" w:rsidTr="00440704">
        <w:tc>
          <w:tcPr>
            <w:tcW w:w="4957" w:type="dxa"/>
            <w:shd w:val="clear" w:color="auto" w:fill="FFFFFF" w:themeFill="background1"/>
          </w:tcPr>
          <w:p w:rsidR="006F1FD4" w:rsidRDefault="006F1FD4" w:rsidP="006F1FD4">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417" w:type="dxa"/>
            <w:shd w:val="clear" w:color="auto" w:fill="FFFF99"/>
          </w:tcPr>
          <w:p w:rsidR="006F1FD4" w:rsidRDefault="006F1FD4" w:rsidP="006F1FD4">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 </w:t>
            </w:r>
          </w:p>
        </w:tc>
        <w:tc>
          <w:tcPr>
            <w:tcW w:w="1559" w:type="dxa"/>
            <w:shd w:val="clear" w:color="auto" w:fill="FFFF99"/>
          </w:tcPr>
          <w:p w:rsidR="006F1FD4" w:rsidRDefault="006F1FD4" w:rsidP="006F1FD4">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 </w:t>
            </w:r>
          </w:p>
        </w:tc>
        <w:tc>
          <w:tcPr>
            <w:tcW w:w="1560" w:type="dxa"/>
            <w:shd w:val="clear" w:color="auto" w:fill="FFFF99"/>
          </w:tcPr>
          <w:p w:rsidR="006F1FD4" w:rsidRPr="0095034B" w:rsidRDefault="006F1FD4" w:rsidP="006F1FD4">
            <w:pPr>
              <w:tabs>
                <w:tab w:val="num" w:pos="1080"/>
              </w:tabs>
              <w:jc w:val="both"/>
              <w:rPr>
                <w:rFonts w:ascii="Times New Roman" w:eastAsia="Times New Roman" w:hAnsi="Times New Roman" w:cs="Times New Roman"/>
                <w:b/>
                <w:bCs/>
                <w:sz w:val="24"/>
                <w:szCs w:val="20"/>
                <w:lang w:eastAsia="sk-SK"/>
              </w:rPr>
            </w:pPr>
          </w:p>
        </w:tc>
        <w:tc>
          <w:tcPr>
            <w:tcW w:w="1417" w:type="dxa"/>
            <w:shd w:val="clear" w:color="auto" w:fill="FFFF99"/>
          </w:tcPr>
          <w:p w:rsidR="006F1FD4" w:rsidRPr="0095034B" w:rsidRDefault="006F1FD4" w:rsidP="006F1FD4">
            <w:pPr>
              <w:tabs>
                <w:tab w:val="num" w:pos="1080"/>
              </w:tabs>
              <w:jc w:val="both"/>
              <w:rPr>
                <w:rFonts w:ascii="Times New Roman" w:eastAsia="Times New Roman" w:hAnsi="Times New Roman" w:cs="Times New Roman"/>
                <w:b/>
                <w:bCs/>
                <w:sz w:val="24"/>
                <w:szCs w:val="20"/>
                <w:lang w:eastAsia="sk-SK"/>
              </w:rPr>
            </w:pPr>
          </w:p>
        </w:tc>
        <w:tc>
          <w:tcPr>
            <w:tcW w:w="3119" w:type="dxa"/>
            <w:vMerge/>
            <w:shd w:val="clear" w:color="auto" w:fill="FFFFFF" w:themeFill="background1"/>
          </w:tcPr>
          <w:p w:rsidR="006F1FD4" w:rsidRDefault="006F1FD4" w:rsidP="006F1FD4">
            <w:pPr>
              <w:tabs>
                <w:tab w:val="num" w:pos="1080"/>
              </w:tabs>
              <w:jc w:val="both"/>
              <w:rPr>
                <w:rFonts w:ascii="Times New Roman" w:eastAsia="Times New Roman" w:hAnsi="Times New Roman" w:cs="Times New Roman"/>
                <w:bCs/>
                <w:sz w:val="24"/>
                <w:szCs w:val="20"/>
                <w:lang w:eastAsia="sk-SK"/>
              </w:rPr>
            </w:pPr>
          </w:p>
        </w:tc>
      </w:tr>
      <w:tr w:rsidR="006F1FD4" w:rsidTr="006F1FD4">
        <w:tc>
          <w:tcPr>
            <w:tcW w:w="4957" w:type="dxa"/>
            <w:shd w:val="clear" w:color="auto" w:fill="BFBFBF" w:themeFill="background1" w:themeFillShade="BF"/>
          </w:tcPr>
          <w:p w:rsidR="006F1FD4" w:rsidRDefault="006F1FD4" w:rsidP="006F1FD4">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417" w:type="dxa"/>
            <w:shd w:val="clear" w:color="auto" w:fill="BFBFBF" w:themeFill="background1" w:themeFillShade="BF"/>
          </w:tcPr>
          <w:p w:rsidR="006F1FD4" w:rsidRPr="000C35A3" w:rsidRDefault="006F1FD4" w:rsidP="006F1FD4">
            <w:pPr>
              <w:tabs>
                <w:tab w:val="num" w:pos="1080"/>
              </w:tabs>
              <w:jc w:val="center"/>
              <w:rPr>
                <w:rFonts w:ascii="Times New Roman" w:eastAsia="Times New Roman" w:hAnsi="Times New Roman" w:cs="Times New Roman"/>
                <w:bCs/>
                <w:sz w:val="24"/>
                <w:szCs w:val="20"/>
                <w:lang w:eastAsia="sk-SK"/>
              </w:rPr>
            </w:pPr>
            <w:r w:rsidRPr="000C35A3">
              <w:rPr>
                <w:rFonts w:ascii="Times New Roman" w:eastAsia="Times New Roman" w:hAnsi="Times New Roman" w:cs="Times New Roman"/>
                <w:bCs/>
                <w:sz w:val="24"/>
                <w:szCs w:val="24"/>
                <w:lang w:eastAsia="sk-SK"/>
              </w:rPr>
              <w:t>0</w:t>
            </w:r>
          </w:p>
        </w:tc>
        <w:tc>
          <w:tcPr>
            <w:tcW w:w="1559" w:type="dxa"/>
            <w:shd w:val="clear" w:color="auto" w:fill="BFBFBF" w:themeFill="background1" w:themeFillShade="BF"/>
          </w:tcPr>
          <w:p w:rsidR="006F1FD4" w:rsidRPr="000C35A3" w:rsidRDefault="006F1FD4" w:rsidP="006F1FD4">
            <w:pPr>
              <w:tabs>
                <w:tab w:val="num" w:pos="1080"/>
              </w:tabs>
              <w:jc w:val="center"/>
              <w:rPr>
                <w:rFonts w:ascii="Times New Roman" w:eastAsia="Times New Roman" w:hAnsi="Times New Roman" w:cs="Times New Roman"/>
                <w:bCs/>
                <w:sz w:val="24"/>
                <w:szCs w:val="20"/>
                <w:lang w:eastAsia="sk-SK"/>
              </w:rPr>
            </w:pPr>
            <w:r w:rsidRPr="000C35A3">
              <w:rPr>
                <w:rFonts w:ascii="Times New Roman" w:eastAsia="Times New Roman" w:hAnsi="Times New Roman" w:cs="Times New Roman"/>
                <w:bCs/>
                <w:sz w:val="24"/>
                <w:szCs w:val="24"/>
                <w:lang w:eastAsia="sk-SK"/>
              </w:rPr>
              <w:t>0</w:t>
            </w:r>
          </w:p>
        </w:tc>
        <w:tc>
          <w:tcPr>
            <w:tcW w:w="1560" w:type="dxa"/>
            <w:shd w:val="clear" w:color="auto" w:fill="BFBFBF" w:themeFill="background1" w:themeFillShade="BF"/>
            <w:vAlign w:val="bottom"/>
          </w:tcPr>
          <w:p w:rsidR="006F1FD4" w:rsidRPr="0095034B" w:rsidRDefault="006F1FD4" w:rsidP="006F1FD4">
            <w:pPr>
              <w:tabs>
                <w:tab w:val="num" w:pos="1080"/>
              </w:tabs>
              <w:jc w:val="center"/>
              <w:rPr>
                <w:rFonts w:ascii="Times New Roman" w:eastAsia="Times New Roman" w:hAnsi="Times New Roman" w:cs="Times New Roman"/>
                <w:b/>
                <w:bCs/>
                <w:sz w:val="24"/>
                <w:szCs w:val="24"/>
                <w:lang w:eastAsia="sk-SK"/>
              </w:rPr>
            </w:pPr>
            <w:r w:rsidRPr="0095034B">
              <w:rPr>
                <w:rFonts w:ascii="Times New Roman" w:eastAsia="Times New Roman" w:hAnsi="Times New Roman" w:cs="Times New Roman"/>
                <w:b/>
                <w:bCs/>
                <w:sz w:val="24"/>
                <w:szCs w:val="24"/>
                <w:lang w:eastAsia="sk-SK"/>
              </w:rPr>
              <w:t>-12 458</w:t>
            </w:r>
          </w:p>
        </w:tc>
        <w:tc>
          <w:tcPr>
            <w:tcW w:w="1417" w:type="dxa"/>
            <w:shd w:val="clear" w:color="auto" w:fill="BFBFBF" w:themeFill="background1" w:themeFillShade="BF"/>
            <w:vAlign w:val="bottom"/>
          </w:tcPr>
          <w:p w:rsidR="006F1FD4" w:rsidRPr="0095034B" w:rsidRDefault="006F1FD4" w:rsidP="006F1FD4">
            <w:pPr>
              <w:tabs>
                <w:tab w:val="num" w:pos="1080"/>
              </w:tabs>
              <w:jc w:val="center"/>
              <w:rPr>
                <w:rFonts w:ascii="Times New Roman" w:eastAsia="Times New Roman" w:hAnsi="Times New Roman" w:cs="Times New Roman"/>
                <w:b/>
                <w:bCs/>
                <w:sz w:val="24"/>
                <w:szCs w:val="24"/>
                <w:lang w:eastAsia="sk-SK"/>
              </w:rPr>
            </w:pPr>
            <w:r w:rsidRPr="0095034B">
              <w:rPr>
                <w:rFonts w:ascii="Times New Roman" w:eastAsia="Times New Roman" w:hAnsi="Times New Roman" w:cs="Times New Roman"/>
                <w:b/>
                <w:bCs/>
                <w:sz w:val="24"/>
                <w:szCs w:val="24"/>
                <w:lang w:eastAsia="sk-SK"/>
              </w:rPr>
              <w:t>-12 458</w:t>
            </w:r>
          </w:p>
        </w:tc>
        <w:tc>
          <w:tcPr>
            <w:tcW w:w="3119" w:type="dxa"/>
            <w:shd w:val="clear" w:color="auto" w:fill="BFBFBF" w:themeFill="background1" w:themeFillShade="BF"/>
          </w:tcPr>
          <w:p w:rsidR="006F1FD4" w:rsidRDefault="006F1FD4" w:rsidP="006F1FD4">
            <w:pPr>
              <w:tabs>
                <w:tab w:val="num" w:pos="1080"/>
              </w:tabs>
              <w:jc w:val="both"/>
              <w:rPr>
                <w:rFonts w:ascii="Times New Roman" w:eastAsia="Times New Roman" w:hAnsi="Times New Roman" w:cs="Times New Roman"/>
                <w:bCs/>
                <w:sz w:val="24"/>
                <w:szCs w:val="20"/>
                <w:lang w:eastAsia="sk-SK"/>
              </w:rPr>
            </w:pPr>
          </w:p>
        </w:tc>
      </w:tr>
    </w:tbl>
    <w:p w:rsidR="00604B73" w:rsidRDefault="00604B73"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604B73" w:rsidRPr="007D5748" w:rsidRDefault="00604B73" w:rsidP="007972B9">
      <w:pPr>
        <w:tabs>
          <w:tab w:val="num" w:pos="1080"/>
        </w:tabs>
        <w:spacing w:after="0" w:line="240" w:lineRule="auto"/>
        <w:ind w:right="110"/>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Tabuľka č. 3.</w:t>
      </w:r>
      <w:r w:rsidR="007972B9">
        <w:rPr>
          <w:rFonts w:ascii="Times New Roman" w:eastAsia="Times New Roman" w:hAnsi="Times New Roman" w:cs="Times New Roman"/>
          <w:bCs/>
          <w:sz w:val="24"/>
          <w:szCs w:val="24"/>
          <w:lang w:eastAsia="sk-SK"/>
        </w:rPr>
        <w:t>2</w:t>
      </w:r>
      <w:r>
        <w:rPr>
          <w:rFonts w:ascii="Times New Roman" w:eastAsia="Times New Roman" w:hAnsi="Times New Roman" w:cs="Times New Roman"/>
          <w:bCs/>
          <w:sz w:val="24"/>
          <w:szCs w:val="24"/>
          <w:lang w:eastAsia="sk-SK"/>
        </w:rPr>
        <w:t>.</w:t>
      </w:r>
    </w:p>
    <w:tbl>
      <w:tblPr>
        <w:tblStyle w:val="Mriekatabuky"/>
        <w:tblW w:w="14029" w:type="dxa"/>
        <w:tblLook w:val="04A0" w:firstRow="1" w:lastRow="0" w:firstColumn="1" w:lastColumn="0" w:noHBand="0" w:noVBand="1"/>
      </w:tblPr>
      <w:tblGrid>
        <w:gridCol w:w="4957"/>
        <w:gridCol w:w="1417"/>
        <w:gridCol w:w="1559"/>
        <w:gridCol w:w="1560"/>
        <w:gridCol w:w="1417"/>
        <w:gridCol w:w="3119"/>
      </w:tblGrid>
      <w:tr w:rsidR="00604B73" w:rsidTr="00600500">
        <w:tc>
          <w:tcPr>
            <w:tcW w:w="4957" w:type="dxa"/>
            <w:vMerge w:val="restart"/>
            <w:shd w:val="clear" w:color="auto" w:fill="BFBFBF" w:themeFill="background1" w:themeFillShade="BF"/>
            <w:vAlign w:val="center"/>
          </w:tcPr>
          <w:p w:rsidR="00604B73" w:rsidRDefault="00604B73" w:rsidP="00BE7FC3">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 xml:space="preserve">Príjmy (v </w:t>
            </w:r>
            <w:r>
              <w:rPr>
                <w:rFonts w:ascii="Times New Roman" w:eastAsia="Times New Roman" w:hAnsi="Times New Roman" w:cs="Times New Roman"/>
                <w:b/>
                <w:bCs/>
                <w:sz w:val="24"/>
                <w:szCs w:val="24"/>
                <w:lang w:eastAsia="sk-SK"/>
              </w:rPr>
              <w:t xml:space="preserve">tis. </w:t>
            </w:r>
            <w:r w:rsidRPr="007D5748">
              <w:rPr>
                <w:rFonts w:ascii="Times New Roman" w:eastAsia="Times New Roman" w:hAnsi="Times New Roman" w:cs="Times New Roman"/>
                <w:b/>
                <w:bCs/>
                <w:sz w:val="24"/>
                <w:szCs w:val="24"/>
                <w:lang w:eastAsia="sk-SK"/>
              </w:rPr>
              <w:t>eur)</w:t>
            </w:r>
          </w:p>
        </w:tc>
        <w:tc>
          <w:tcPr>
            <w:tcW w:w="5953" w:type="dxa"/>
            <w:gridSpan w:val="4"/>
            <w:shd w:val="clear" w:color="auto" w:fill="BFBFBF" w:themeFill="background1" w:themeFillShade="BF"/>
          </w:tcPr>
          <w:p w:rsidR="00604B73" w:rsidRDefault="00604B73" w:rsidP="00600500">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Vplyv na rozpočet verejnej správy</w:t>
            </w:r>
          </w:p>
        </w:tc>
        <w:tc>
          <w:tcPr>
            <w:tcW w:w="3119" w:type="dxa"/>
            <w:shd w:val="clear" w:color="auto" w:fill="BFBFBF" w:themeFill="background1" w:themeFillShade="BF"/>
            <w:vAlign w:val="center"/>
          </w:tcPr>
          <w:p w:rsidR="00604B73" w:rsidRDefault="00604B73" w:rsidP="00600500">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poznámka</w:t>
            </w:r>
          </w:p>
        </w:tc>
      </w:tr>
      <w:tr w:rsidR="00604B73" w:rsidTr="00600500">
        <w:tc>
          <w:tcPr>
            <w:tcW w:w="4957" w:type="dxa"/>
            <w:vMerge/>
            <w:shd w:val="clear" w:color="auto" w:fill="BFBFBF" w:themeFill="background1" w:themeFillShade="BF"/>
          </w:tcPr>
          <w:p w:rsidR="00604B73" w:rsidRDefault="00604B73" w:rsidP="00600500">
            <w:pPr>
              <w:tabs>
                <w:tab w:val="num" w:pos="1080"/>
              </w:tabs>
              <w:jc w:val="both"/>
              <w:rPr>
                <w:rFonts w:ascii="Times New Roman" w:eastAsia="Times New Roman" w:hAnsi="Times New Roman" w:cs="Times New Roman"/>
                <w:bCs/>
                <w:sz w:val="24"/>
                <w:szCs w:val="20"/>
                <w:lang w:eastAsia="sk-SK"/>
              </w:rPr>
            </w:pPr>
          </w:p>
        </w:tc>
        <w:tc>
          <w:tcPr>
            <w:tcW w:w="1417" w:type="dxa"/>
            <w:shd w:val="clear" w:color="auto" w:fill="BFBFBF" w:themeFill="background1" w:themeFillShade="BF"/>
          </w:tcPr>
          <w:p w:rsidR="00604B73" w:rsidRPr="007D5748" w:rsidRDefault="00604B73" w:rsidP="00600500">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2019</w:t>
            </w:r>
          </w:p>
        </w:tc>
        <w:tc>
          <w:tcPr>
            <w:tcW w:w="1559" w:type="dxa"/>
            <w:shd w:val="clear" w:color="auto" w:fill="BFBFBF" w:themeFill="background1" w:themeFillShade="BF"/>
          </w:tcPr>
          <w:p w:rsidR="00604B73" w:rsidRPr="007D5748" w:rsidRDefault="00604B73" w:rsidP="00600500">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1560" w:type="dxa"/>
            <w:shd w:val="clear" w:color="auto" w:fill="BFBFBF" w:themeFill="background1" w:themeFillShade="BF"/>
          </w:tcPr>
          <w:p w:rsidR="00604B73" w:rsidRPr="007D5748" w:rsidRDefault="00604B73" w:rsidP="00600500">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417" w:type="dxa"/>
            <w:shd w:val="clear" w:color="auto" w:fill="BFBFBF" w:themeFill="background1" w:themeFillShade="BF"/>
          </w:tcPr>
          <w:p w:rsidR="00604B73" w:rsidRPr="007D5748" w:rsidRDefault="00604B73" w:rsidP="00600500">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3119" w:type="dxa"/>
            <w:shd w:val="clear" w:color="auto" w:fill="BFBFBF" w:themeFill="background1" w:themeFillShade="BF"/>
          </w:tcPr>
          <w:p w:rsidR="00604B73" w:rsidRDefault="00604B73" w:rsidP="00600500">
            <w:pPr>
              <w:tabs>
                <w:tab w:val="num" w:pos="1080"/>
              </w:tabs>
              <w:jc w:val="both"/>
              <w:rPr>
                <w:rFonts w:ascii="Times New Roman" w:eastAsia="Times New Roman" w:hAnsi="Times New Roman" w:cs="Times New Roman"/>
                <w:bCs/>
                <w:sz w:val="24"/>
                <w:szCs w:val="20"/>
                <w:lang w:eastAsia="sk-SK"/>
              </w:rPr>
            </w:pPr>
          </w:p>
        </w:tc>
      </w:tr>
      <w:tr w:rsidR="00E269E7" w:rsidTr="0098779A">
        <w:tc>
          <w:tcPr>
            <w:tcW w:w="4957" w:type="dxa"/>
            <w:shd w:val="clear" w:color="auto" w:fill="FFFFFF" w:themeFill="background1"/>
          </w:tcPr>
          <w:p w:rsidR="00E269E7" w:rsidRDefault="00E269E7" w:rsidP="00E269E7">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E269E7" w:rsidRDefault="00E269E7" w:rsidP="00E269E7">
            <w:pPr>
              <w:tabs>
                <w:tab w:val="num" w:pos="1080"/>
              </w:tabs>
              <w:jc w:val="center"/>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0</w:t>
            </w:r>
          </w:p>
        </w:tc>
        <w:tc>
          <w:tcPr>
            <w:tcW w:w="1559" w:type="dxa"/>
            <w:shd w:val="clear" w:color="auto" w:fill="FFFFFF" w:themeFill="background1"/>
            <w:vAlign w:val="bottom"/>
          </w:tcPr>
          <w:p w:rsidR="00E269E7" w:rsidRPr="0095034B" w:rsidRDefault="00E269E7" w:rsidP="00E24CC8">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-6 228</w:t>
            </w:r>
          </w:p>
        </w:tc>
        <w:tc>
          <w:tcPr>
            <w:tcW w:w="1560" w:type="dxa"/>
            <w:shd w:val="clear" w:color="auto" w:fill="FFFFFF" w:themeFill="background1"/>
            <w:vAlign w:val="bottom"/>
          </w:tcPr>
          <w:p w:rsidR="00E269E7" w:rsidRPr="0095034B" w:rsidRDefault="00E269E7" w:rsidP="00E24CC8">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-6 228</w:t>
            </w:r>
          </w:p>
        </w:tc>
        <w:tc>
          <w:tcPr>
            <w:tcW w:w="1417" w:type="dxa"/>
            <w:shd w:val="clear" w:color="auto" w:fill="FFFFFF" w:themeFill="background1"/>
            <w:vAlign w:val="bottom"/>
          </w:tcPr>
          <w:p w:rsidR="00E269E7" w:rsidRPr="0095034B" w:rsidRDefault="00E269E7" w:rsidP="00E24CC8">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-6 228</w:t>
            </w:r>
          </w:p>
        </w:tc>
        <w:tc>
          <w:tcPr>
            <w:tcW w:w="3119" w:type="dxa"/>
            <w:vMerge w:val="restart"/>
            <w:shd w:val="clear" w:color="auto" w:fill="FFFFFF" w:themeFill="background1"/>
          </w:tcPr>
          <w:p w:rsidR="00E269E7" w:rsidRPr="00604B73" w:rsidRDefault="00E269E7" w:rsidP="00E269E7">
            <w:pPr>
              <w:jc w:val="both"/>
              <w:rPr>
                <w:rFonts w:ascii="Times New Roman" w:eastAsia="Times New Roman" w:hAnsi="Times New Roman" w:cs="Times New Roman"/>
                <w:sz w:val="24"/>
                <w:szCs w:val="24"/>
                <w:lang w:eastAsia="sk-SK"/>
              </w:rPr>
            </w:pPr>
            <w:r w:rsidRPr="00604B73">
              <w:rPr>
                <w:rFonts w:ascii="Times New Roman" w:eastAsia="Times New Roman" w:hAnsi="Times New Roman" w:cs="Times New Roman"/>
                <w:sz w:val="24"/>
                <w:szCs w:val="24"/>
                <w:lang w:eastAsia="sk-SK"/>
              </w:rPr>
              <w:t>Zvýšenie príspevku zamestnávateľa na nájomné bývanie na 100 eur</w:t>
            </w:r>
          </w:p>
          <w:p w:rsidR="00E269E7" w:rsidRDefault="00E269E7" w:rsidP="00E269E7">
            <w:pPr>
              <w:tabs>
                <w:tab w:val="num" w:pos="1080"/>
              </w:tabs>
              <w:jc w:val="both"/>
              <w:rPr>
                <w:rFonts w:ascii="Times New Roman" w:eastAsia="Times New Roman" w:hAnsi="Times New Roman" w:cs="Times New Roman"/>
                <w:bCs/>
                <w:sz w:val="24"/>
                <w:szCs w:val="20"/>
                <w:lang w:eastAsia="sk-SK"/>
              </w:rPr>
            </w:pPr>
          </w:p>
        </w:tc>
      </w:tr>
      <w:tr w:rsidR="00E269E7" w:rsidTr="0098779A">
        <w:tc>
          <w:tcPr>
            <w:tcW w:w="4957" w:type="dxa"/>
            <w:shd w:val="clear" w:color="auto" w:fill="FFFFFF" w:themeFill="background1"/>
          </w:tcPr>
          <w:p w:rsidR="00E269E7" w:rsidRDefault="00E269E7" w:rsidP="00E269E7">
            <w:pPr>
              <w:tabs>
                <w:tab w:val="num" w:pos="1080"/>
              </w:tabs>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lang w:eastAsia="sk-SK"/>
              </w:rPr>
              <w:t>DPFO (111)</w:t>
            </w:r>
          </w:p>
        </w:tc>
        <w:tc>
          <w:tcPr>
            <w:tcW w:w="1417" w:type="dxa"/>
            <w:shd w:val="clear" w:color="auto" w:fill="FFFFFF" w:themeFill="background1"/>
          </w:tcPr>
          <w:p w:rsidR="00E269E7" w:rsidRPr="000C35A3" w:rsidRDefault="00E269E7" w:rsidP="00E269E7">
            <w:pPr>
              <w:tabs>
                <w:tab w:val="num" w:pos="1080"/>
              </w:tabs>
              <w:jc w:val="center"/>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0</w:t>
            </w:r>
          </w:p>
        </w:tc>
        <w:tc>
          <w:tcPr>
            <w:tcW w:w="1559" w:type="dxa"/>
            <w:shd w:val="clear" w:color="auto" w:fill="FFFFFF" w:themeFill="background1"/>
            <w:vAlign w:val="bottom"/>
          </w:tcPr>
          <w:p w:rsidR="00E269E7" w:rsidRPr="0095034B" w:rsidRDefault="00E269E7" w:rsidP="00E24CC8">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-3 433</w:t>
            </w:r>
          </w:p>
        </w:tc>
        <w:tc>
          <w:tcPr>
            <w:tcW w:w="1560" w:type="dxa"/>
            <w:shd w:val="clear" w:color="auto" w:fill="FFFFFF" w:themeFill="background1"/>
            <w:vAlign w:val="bottom"/>
          </w:tcPr>
          <w:p w:rsidR="00E269E7" w:rsidRPr="0095034B" w:rsidRDefault="00E269E7" w:rsidP="00E24CC8">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-3 433</w:t>
            </w:r>
          </w:p>
        </w:tc>
        <w:tc>
          <w:tcPr>
            <w:tcW w:w="1417" w:type="dxa"/>
            <w:shd w:val="clear" w:color="auto" w:fill="FFFFFF" w:themeFill="background1"/>
            <w:vAlign w:val="bottom"/>
          </w:tcPr>
          <w:p w:rsidR="00E269E7" w:rsidRPr="0095034B" w:rsidRDefault="00E269E7" w:rsidP="00E24CC8">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-3 433</w:t>
            </w:r>
          </w:p>
        </w:tc>
        <w:tc>
          <w:tcPr>
            <w:tcW w:w="3119" w:type="dxa"/>
            <w:vMerge/>
            <w:shd w:val="clear" w:color="auto" w:fill="FFFFFF" w:themeFill="background1"/>
          </w:tcPr>
          <w:p w:rsidR="00E269E7" w:rsidRDefault="00E269E7" w:rsidP="00E269E7">
            <w:pPr>
              <w:tabs>
                <w:tab w:val="num" w:pos="1080"/>
              </w:tabs>
              <w:jc w:val="both"/>
              <w:rPr>
                <w:rFonts w:ascii="Times New Roman" w:eastAsia="Times New Roman" w:hAnsi="Times New Roman" w:cs="Times New Roman"/>
                <w:bCs/>
                <w:sz w:val="24"/>
                <w:szCs w:val="20"/>
                <w:lang w:eastAsia="sk-SK"/>
              </w:rPr>
            </w:pPr>
          </w:p>
        </w:tc>
      </w:tr>
      <w:tr w:rsidR="00E269E7" w:rsidTr="0098779A">
        <w:tc>
          <w:tcPr>
            <w:tcW w:w="4957" w:type="dxa"/>
            <w:shd w:val="clear" w:color="auto" w:fill="FFFFFF" w:themeFill="background1"/>
          </w:tcPr>
          <w:p w:rsidR="00E269E7" w:rsidRDefault="00E269E7" w:rsidP="00E269E7">
            <w:pPr>
              <w:tabs>
                <w:tab w:val="num" w:pos="1080"/>
              </w:tabs>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Sociálne odvody (151, 152, 155, 157 a 158)</w:t>
            </w:r>
          </w:p>
        </w:tc>
        <w:tc>
          <w:tcPr>
            <w:tcW w:w="1417" w:type="dxa"/>
            <w:shd w:val="clear" w:color="auto" w:fill="FFFFFF" w:themeFill="background1"/>
          </w:tcPr>
          <w:p w:rsidR="00E269E7" w:rsidRDefault="00E269E7" w:rsidP="00E269E7">
            <w:pPr>
              <w:tabs>
                <w:tab w:val="num" w:pos="1080"/>
              </w:tabs>
              <w:jc w:val="center"/>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0</w:t>
            </w:r>
          </w:p>
        </w:tc>
        <w:tc>
          <w:tcPr>
            <w:tcW w:w="1559" w:type="dxa"/>
            <w:shd w:val="clear" w:color="auto" w:fill="FFFFFF" w:themeFill="background1"/>
            <w:vAlign w:val="bottom"/>
          </w:tcPr>
          <w:p w:rsidR="00E269E7" w:rsidRPr="0095034B" w:rsidRDefault="00E269E7" w:rsidP="00E24CC8">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-1 961</w:t>
            </w:r>
          </w:p>
        </w:tc>
        <w:tc>
          <w:tcPr>
            <w:tcW w:w="1560" w:type="dxa"/>
            <w:shd w:val="clear" w:color="auto" w:fill="FFFFFF" w:themeFill="background1"/>
            <w:vAlign w:val="bottom"/>
          </w:tcPr>
          <w:p w:rsidR="00E269E7" w:rsidRPr="0095034B" w:rsidRDefault="00E269E7" w:rsidP="00E24CC8">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-1 961</w:t>
            </w:r>
          </w:p>
        </w:tc>
        <w:tc>
          <w:tcPr>
            <w:tcW w:w="1417" w:type="dxa"/>
            <w:shd w:val="clear" w:color="auto" w:fill="FFFFFF" w:themeFill="background1"/>
            <w:vAlign w:val="bottom"/>
          </w:tcPr>
          <w:p w:rsidR="00E269E7" w:rsidRPr="0095034B" w:rsidRDefault="00E269E7" w:rsidP="00E24CC8">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-1 961</w:t>
            </w:r>
          </w:p>
        </w:tc>
        <w:tc>
          <w:tcPr>
            <w:tcW w:w="3119" w:type="dxa"/>
            <w:vMerge/>
            <w:shd w:val="clear" w:color="auto" w:fill="FFFFFF" w:themeFill="background1"/>
          </w:tcPr>
          <w:p w:rsidR="00E269E7" w:rsidRDefault="00E269E7" w:rsidP="00E269E7">
            <w:pPr>
              <w:tabs>
                <w:tab w:val="num" w:pos="1080"/>
              </w:tabs>
              <w:jc w:val="both"/>
              <w:rPr>
                <w:rFonts w:ascii="Times New Roman" w:eastAsia="Times New Roman" w:hAnsi="Times New Roman" w:cs="Times New Roman"/>
                <w:bCs/>
                <w:sz w:val="24"/>
                <w:szCs w:val="20"/>
                <w:lang w:eastAsia="sk-SK"/>
              </w:rPr>
            </w:pPr>
          </w:p>
        </w:tc>
      </w:tr>
      <w:tr w:rsidR="00E269E7" w:rsidTr="0098779A">
        <w:tc>
          <w:tcPr>
            <w:tcW w:w="4957" w:type="dxa"/>
            <w:shd w:val="clear" w:color="auto" w:fill="FFFFFF" w:themeFill="background1"/>
          </w:tcPr>
          <w:p w:rsidR="00E269E7" w:rsidRDefault="00E269E7" w:rsidP="00E269E7">
            <w:pPr>
              <w:tabs>
                <w:tab w:val="num" w:pos="1080"/>
              </w:tabs>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lang w:eastAsia="sk-SK"/>
              </w:rPr>
              <w:t>Zdravotné odvody (154)</w:t>
            </w:r>
          </w:p>
        </w:tc>
        <w:tc>
          <w:tcPr>
            <w:tcW w:w="1417" w:type="dxa"/>
            <w:shd w:val="clear" w:color="auto" w:fill="FFFFFF" w:themeFill="background1"/>
          </w:tcPr>
          <w:p w:rsidR="00E269E7" w:rsidRDefault="00E269E7" w:rsidP="00E269E7">
            <w:pPr>
              <w:tabs>
                <w:tab w:val="num" w:pos="1080"/>
              </w:tabs>
              <w:jc w:val="center"/>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0</w:t>
            </w:r>
          </w:p>
        </w:tc>
        <w:tc>
          <w:tcPr>
            <w:tcW w:w="1559" w:type="dxa"/>
            <w:shd w:val="clear" w:color="auto" w:fill="FFFFFF" w:themeFill="background1"/>
            <w:vAlign w:val="bottom"/>
          </w:tcPr>
          <w:p w:rsidR="00E269E7" w:rsidRPr="0095034B" w:rsidRDefault="00E269E7" w:rsidP="00E24CC8">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-834</w:t>
            </w:r>
          </w:p>
        </w:tc>
        <w:tc>
          <w:tcPr>
            <w:tcW w:w="1560" w:type="dxa"/>
            <w:shd w:val="clear" w:color="auto" w:fill="FFFFFF" w:themeFill="background1"/>
            <w:vAlign w:val="bottom"/>
          </w:tcPr>
          <w:p w:rsidR="00E269E7" w:rsidRPr="0095034B" w:rsidRDefault="00E269E7" w:rsidP="00E24CC8">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-834</w:t>
            </w:r>
          </w:p>
        </w:tc>
        <w:tc>
          <w:tcPr>
            <w:tcW w:w="1417" w:type="dxa"/>
            <w:shd w:val="clear" w:color="auto" w:fill="FFFFFF" w:themeFill="background1"/>
            <w:vAlign w:val="bottom"/>
          </w:tcPr>
          <w:p w:rsidR="00E269E7" w:rsidRPr="0095034B" w:rsidRDefault="00E269E7" w:rsidP="00E24CC8">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-834</w:t>
            </w:r>
          </w:p>
        </w:tc>
        <w:tc>
          <w:tcPr>
            <w:tcW w:w="3119" w:type="dxa"/>
            <w:vMerge/>
            <w:shd w:val="clear" w:color="auto" w:fill="FFFFFF" w:themeFill="background1"/>
          </w:tcPr>
          <w:p w:rsidR="00E269E7" w:rsidRDefault="00E269E7" w:rsidP="00E269E7">
            <w:pPr>
              <w:tabs>
                <w:tab w:val="num" w:pos="1080"/>
              </w:tabs>
              <w:jc w:val="both"/>
              <w:rPr>
                <w:rFonts w:ascii="Times New Roman" w:eastAsia="Times New Roman" w:hAnsi="Times New Roman" w:cs="Times New Roman"/>
                <w:bCs/>
                <w:sz w:val="24"/>
                <w:szCs w:val="20"/>
                <w:lang w:eastAsia="sk-SK"/>
              </w:rPr>
            </w:pPr>
          </w:p>
        </w:tc>
      </w:tr>
      <w:tr w:rsidR="00604B73" w:rsidTr="00600500">
        <w:tc>
          <w:tcPr>
            <w:tcW w:w="4957" w:type="dxa"/>
            <w:shd w:val="clear" w:color="auto" w:fill="FFFFFF" w:themeFill="background1"/>
          </w:tcPr>
          <w:p w:rsidR="00604B73" w:rsidRDefault="00604B73" w:rsidP="00604B73">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604B73" w:rsidRDefault="00604B73" w:rsidP="00604B73">
            <w:pPr>
              <w:tabs>
                <w:tab w:val="num" w:pos="1080"/>
              </w:tabs>
              <w:jc w:val="center"/>
              <w:rPr>
                <w:rFonts w:ascii="Times New Roman" w:eastAsia="Times New Roman" w:hAnsi="Times New Roman" w:cs="Times New Roman"/>
                <w:bCs/>
                <w:sz w:val="24"/>
                <w:szCs w:val="20"/>
                <w:lang w:eastAsia="sk-SK"/>
              </w:rPr>
            </w:pPr>
          </w:p>
        </w:tc>
        <w:tc>
          <w:tcPr>
            <w:tcW w:w="1559" w:type="dxa"/>
            <w:shd w:val="clear" w:color="auto" w:fill="FFFFFF" w:themeFill="background1"/>
          </w:tcPr>
          <w:p w:rsidR="00604B73" w:rsidRPr="0095034B" w:rsidRDefault="00604B73" w:rsidP="00604B73">
            <w:pPr>
              <w:tabs>
                <w:tab w:val="num" w:pos="1080"/>
              </w:tabs>
              <w:jc w:val="center"/>
              <w:rPr>
                <w:rFonts w:ascii="Times New Roman" w:eastAsia="Times New Roman" w:hAnsi="Times New Roman" w:cs="Times New Roman"/>
                <w:b/>
                <w:bCs/>
                <w:sz w:val="24"/>
                <w:szCs w:val="20"/>
                <w:lang w:eastAsia="sk-SK"/>
              </w:rPr>
            </w:pPr>
          </w:p>
        </w:tc>
        <w:tc>
          <w:tcPr>
            <w:tcW w:w="1560" w:type="dxa"/>
            <w:shd w:val="clear" w:color="auto" w:fill="FFFFFF" w:themeFill="background1"/>
          </w:tcPr>
          <w:p w:rsidR="00604B73" w:rsidRPr="0095034B" w:rsidRDefault="00604B73" w:rsidP="00604B73">
            <w:pPr>
              <w:tabs>
                <w:tab w:val="num" w:pos="1080"/>
              </w:tabs>
              <w:jc w:val="center"/>
              <w:rPr>
                <w:rFonts w:ascii="Times New Roman" w:eastAsia="Times New Roman" w:hAnsi="Times New Roman" w:cs="Times New Roman"/>
                <w:b/>
                <w:bCs/>
                <w:sz w:val="24"/>
                <w:szCs w:val="20"/>
                <w:lang w:eastAsia="sk-SK"/>
              </w:rPr>
            </w:pPr>
          </w:p>
        </w:tc>
        <w:tc>
          <w:tcPr>
            <w:tcW w:w="1417" w:type="dxa"/>
            <w:shd w:val="clear" w:color="auto" w:fill="FFFFFF" w:themeFill="background1"/>
          </w:tcPr>
          <w:p w:rsidR="00604B73" w:rsidRPr="0095034B" w:rsidRDefault="00604B73" w:rsidP="00604B73">
            <w:pPr>
              <w:tabs>
                <w:tab w:val="num" w:pos="1080"/>
              </w:tabs>
              <w:jc w:val="center"/>
              <w:rPr>
                <w:rFonts w:ascii="Times New Roman" w:eastAsia="Times New Roman" w:hAnsi="Times New Roman" w:cs="Times New Roman"/>
                <w:b/>
                <w:bCs/>
                <w:sz w:val="24"/>
                <w:szCs w:val="20"/>
                <w:lang w:eastAsia="sk-SK"/>
              </w:rPr>
            </w:pPr>
          </w:p>
        </w:tc>
        <w:tc>
          <w:tcPr>
            <w:tcW w:w="3119" w:type="dxa"/>
            <w:vMerge/>
            <w:shd w:val="clear" w:color="auto" w:fill="FFFFFF" w:themeFill="background1"/>
          </w:tcPr>
          <w:p w:rsidR="00604B73" w:rsidRDefault="00604B73" w:rsidP="00604B73">
            <w:pPr>
              <w:tabs>
                <w:tab w:val="num" w:pos="1080"/>
              </w:tabs>
              <w:jc w:val="both"/>
              <w:rPr>
                <w:rFonts w:ascii="Times New Roman" w:eastAsia="Times New Roman" w:hAnsi="Times New Roman" w:cs="Times New Roman"/>
                <w:bCs/>
                <w:sz w:val="24"/>
                <w:szCs w:val="20"/>
                <w:lang w:eastAsia="sk-SK"/>
              </w:rPr>
            </w:pPr>
          </w:p>
        </w:tc>
      </w:tr>
      <w:tr w:rsidR="00604B73" w:rsidTr="00600500">
        <w:tc>
          <w:tcPr>
            <w:tcW w:w="4957" w:type="dxa"/>
            <w:shd w:val="clear" w:color="auto" w:fill="FFFFFF" w:themeFill="background1"/>
          </w:tcPr>
          <w:p w:rsidR="00604B73" w:rsidRDefault="00604B73" w:rsidP="00604B73">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604B73" w:rsidRDefault="00604B73" w:rsidP="00604B73">
            <w:pPr>
              <w:tabs>
                <w:tab w:val="num" w:pos="1080"/>
              </w:tabs>
              <w:jc w:val="center"/>
              <w:rPr>
                <w:rFonts w:ascii="Times New Roman" w:eastAsia="Times New Roman" w:hAnsi="Times New Roman" w:cs="Times New Roman"/>
                <w:bCs/>
                <w:sz w:val="24"/>
                <w:szCs w:val="20"/>
                <w:lang w:eastAsia="sk-SK"/>
              </w:rPr>
            </w:pPr>
          </w:p>
        </w:tc>
        <w:tc>
          <w:tcPr>
            <w:tcW w:w="1559" w:type="dxa"/>
            <w:shd w:val="clear" w:color="auto" w:fill="FFFFFF" w:themeFill="background1"/>
          </w:tcPr>
          <w:p w:rsidR="00604B73" w:rsidRPr="0095034B" w:rsidRDefault="00604B73" w:rsidP="00604B73">
            <w:pPr>
              <w:tabs>
                <w:tab w:val="num" w:pos="1080"/>
              </w:tabs>
              <w:jc w:val="center"/>
              <w:rPr>
                <w:rFonts w:ascii="Times New Roman" w:eastAsia="Times New Roman" w:hAnsi="Times New Roman" w:cs="Times New Roman"/>
                <w:b/>
                <w:bCs/>
                <w:sz w:val="24"/>
                <w:szCs w:val="20"/>
                <w:lang w:eastAsia="sk-SK"/>
              </w:rPr>
            </w:pPr>
          </w:p>
        </w:tc>
        <w:tc>
          <w:tcPr>
            <w:tcW w:w="1560" w:type="dxa"/>
            <w:shd w:val="clear" w:color="auto" w:fill="FFFFFF" w:themeFill="background1"/>
          </w:tcPr>
          <w:p w:rsidR="00604B73" w:rsidRPr="0095034B" w:rsidRDefault="00604B73" w:rsidP="00604B73">
            <w:pPr>
              <w:tabs>
                <w:tab w:val="num" w:pos="1080"/>
              </w:tabs>
              <w:jc w:val="center"/>
              <w:rPr>
                <w:rFonts w:ascii="Times New Roman" w:eastAsia="Times New Roman" w:hAnsi="Times New Roman" w:cs="Times New Roman"/>
                <w:b/>
                <w:bCs/>
                <w:sz w:val="24"/>
                <w:szCs w:val="20"/>
                <w:lang w:eastAsia="sk-SK"/>
              </w:rPr>
            </w:pPr>
          </w:p>
        </w:tc>
        <w:tc>
          <w:tcPr>
            <w:tcW w:w="1417" w:type="dxa"/>
            <w:shd w:val="clear" w:color="auto" w:fill="FFFFFF" w:themeFill="background1"/>
          </w:tcPr>
          <w:p w:rsidR="00604B73" w:rsidRPr="0095034B" w:rsidRDefault="00604B73" w:rsidP="00604B73">
            <w:pPr>
              <w:tabs>
                <w:tab w:val="num" w:pos="1080"/>
              </w:tabs>
              <w:jc w:val="center"/>
              <w:rPr>
                <w:rFonts w:ascii="Times New Roman" w:eastAsia="Times New Roman" w:hAnsi="Times New Roman" w:cs="Times New Roman"/>
                <w:b/>
                <w:bCs/>
                <w:sz w:val="24"/>
                <w:szCs w:val="20"/>
                <w:lang w:eastAsia="sk-SK"/>
              </w:rPr>
            </w:pPr>
          </w:p>
        </w:tc>
        <w:tc>
          <w:tcPr>
            <w:tcW w:w="3119" w:type="dxa"/>
            <w:vMerge/>
            <w:shd w:val="clear" w:color="auto" w:fill="FFFFFF" w:themeFill="background1"/>
          </w:tcPr>
          <w:p w:rsidR="00604B73" w:rsidRDefault="00604B73" w:rsidP="00604B73">
            <w:pPr>
              <w:tabs>
                <w:tab w:val="num" w:pos="1080"/>
              </w:tabs>
              <w:jc w:val="both"/>
              <w:rPr>
                <w:rFonts w:ascii="Times New Roman" w:eastAsia="Times New Roman" w:hAnsi="Times New Roman" w:cs="Times New Roman"/>
                <w:bCs/>
                <w:sz w:val="24"/>
                <w:szCs w:val="20"/>
                <w:lang w:eastAsia="sk-SK"/>
              </w:rPr>
            </w:pPr>
          </w:p>
        </w:tc>
      </w:tr>
      <w:tr w:rsidR="00604B73" w:rsidTr="00600500">
        <w:tc>
          <w:tcPr>
            <w:tcW w:w="4957" w:type="dxa"/>
            <w:shd w:val="clear" w:color="auto" w:fill="FFFFFF" w:themeFill="background1"/>
          </w:tcPr>
          <w:p w:rsidR="00604B73" w:rsidRDefault="00604B73" w:rsidP="00604B73">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417" w:type="dxa"/>
            <w:shd w:val="clear" w:color="auto" w:fill="FFFF99"/>
          </w:tcPr>
          <w:p w:rsidR="00604B73" w:rsidRDefault="00604B73" w:rsidP="00604B73">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 </w:t>
            </w:r>
          </w:p>
        </w:tc>
        <w:tc>
          <w:tcPr>
            <w:tcW w:w="1559" w:type="dxa"/>
            <w:shd w:val="clear" w:color="auto" w:fill="FFFF99"/>
          </w:tcPr>
          <w:p w:rsidR="00604B73" w:rsidRPr="0095034B" w:rsidRDefault="00604B73" w:rsidP="00604B73">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4"/>
                <w:lang w:eastAsia="sk-SK"/>
              </w:rPr>
              <w:t> </w:t>
            </w:r>
          </w:p>
        </w:tc>
        <w:tc>
          <w:tcPr>
            <w:tcW w:w="1560" w:type="dxa"/>
            <w:shd w:val="clear" w:color="auto" w:fill="FFFF99"/>
          </w:tcPr>
          <w:p w:rsidR="00604B73" w:rsidRPr="0095034B" w:rsidRDefault="00604B73" w:rsidP="00604B73">
            <w:pPr>
              <w:tabs>
                <w:tab w:val="num" w:pos="1080"/>
              </w:tabs>
              <w:jc w:val="center"/>
              <w:rPr>
                <w:rFonts w:ascii="Times New Roman" w:eastAsia="Times New Roman" w:hAnsi="Times New Roman" w:cs="Times New Roman"/>
                <w:b/>
                <w:bCs/>
                <w:sz w:val="24"/>
                <w:szCs w:val="20"/>
                <w:lang w:eastAsia="sk-SK"/>
              </w:rPr>
            </w:pPr>
          </w:p>
        </w:tc>
        <w:tc>
          <w:tcPr>
            <w:tcW w:w="1417" w:type="dxa"/>
            <w:shd w:val="clear" w:color="auto" w:fill="FFFF99"/>
          </w:tcPr>
          <w:p w:rsidR="00604B73" w:rsidRPr="0095034B" w:rsidRDefault="00604B73" w:rsidP="00604B73">
            <w:pPr>
              <w:tabs>
                <w:tab w:val="num" w:pos="1080"/>
              </w:tabs>
              <w:jc w:val="center"/>
              <w:rPr>
                <w:rFonts w:ascii="Times New Roman" w:eastAsia="Times New Roman" w:hAnsi="Times New Roman" w:cs="Times New Roman"/>
                <w:b/>
                <w:bCs/>
                <w:sz w:val="24"/>
                <w:szCs w:val="20"/>
                <w:lang w:eastAsia="sk-SK"/>
              </w:rPr>
            </w:pPr>
          </w:p>
        </w:tc>
        <w:tc>
          <w:tcPr>
            <w:tcW w:w="3119" w:type="dxa"/>
            <w:vMerge/>
            <w:shd w:val="clear" w:color="auto" w:fill="FFFFFF" w:themeFill="background1"/>
          </w:tcPr>
          <w:p w:rsidR="00604B73" w:rsidRDefault="00604B73" w:rsidP="00604B73">
            <w:pPr>
              <w:tabs>
                <w:tab w:val="num" w:pos="1080"/>
              </w:tabs>
              <w:jc w:val="both"/>
              <w:rPr>
                <w:rFonts w:ascii="Times New Roman" w:eastAsia="Times New Roman" w:hAnsi="Times New Roman" w:cs="Times New Roman"/>
                <w:bCs/>
                <w:sz w:val="24"/>
                <w:szCs w:val="20"/>
                <w:lang w:eastAsia="sk-SK"/>
              </w:rPr>
            </w:pPr>
          </w:p>
        </w:tc>
      </w:tr>
      <w:tr w:rsidR="00604B73" w:rsidTr="00600500">
        <w:tc>
          <w:tcPr>
            <w:tcW w:w="4957" w:type="dxa"/>
            <w:shd w:val="clear" w:color="auto" w:fill="FFFFFF" w:themeFill="background1"/>
          </w:tcPr>
          <w:p w:rsidR="00604B73" w:rsidRDefault="00604B73" w:rsidP="00604B73">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417" w:type="dxa"/>
            <w:shd w:val="clear" w:color="auto" w:fill="FFFF99"/>
          </w:tcPr>
          <w:p w:rsidR="00604B73" w:rsidRDefault="00604B73" w:rsidP="00604B73">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 </w:t>
            </w:r>
          </w:p>
        </w:tc>
        <w:tc>
          <w:tcPr>
            <w:tcW w:w="1559" w:type="dxa"/>
            <w:shd w:val="clear" w:color="auto" w:fill="FFFF99"/>
          </w:tcPr>
          <w:p w:rsidR="00604B73" w:rsidRPr="0095034B" w:rsidRDefault="00604B73" w:rsidP="00604B73">
            <w:pPr>
              <w:tabs>
                <w:tab w:val="num" w:pos="1080"/>
              </w:tabs>
              <w:jc w:val="both"/>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4"/>
                <w:lang w:eastAsia="sk-SK"/>
              </w:rPr>
              <w:t> </w:t>
            </w:r>
          </w:p>
        </w:tc>
        <w:tc>
          <w:tcPr>
            <w:tcW w:w="1560" w:type="dxa"/>
            <w:shd w:val="clear" w:color="auto" w:fill="FFFF99"/>
          </w:tcPr>
          <w:p w:rsidR="00604B73" w:rsidRPr="0095034B" w:rsidRDefault="00604B73" w:rsidP="00604B73">
            <w:pPr>
              <w:tabs>
                <w:tab w:val="num" w:pos="1080"/>
              </w:tabs>
              <w:jc w:val="both"/>
              <w:rPr>
                <w:rFonts w:ascii="Times New Roman" w:eastAsia="Times New Roman" w:hAnsi="Times New Roman" w:cs="Times New Roman"/>
                <w:b/>
                <w:bCs/>
                <w:sz w:val="24"/>
                <w:szCs w:val="20"/>
                <w:lang w:eastAsia="sk-SK"/>
              </w:rPr>
            </w:pPr>
          </w:p>
        </w:tc>
        <w:tc>
          <w:tcPr>
            <w:tcW w:w="1417" w:type="dxa"/>
            <w:shd w:val="clear" w:color="auto" w:fill="FFFF99"/>
          </w:tcPr>
          <w:p w:rsidR="00604B73" w:rsidRPr="0095034B" w:rsidRDefault="00604B73" w:rsidP="00604B73">
            <w:pPr>
              <w:tabs>
                <w:tab w:val="num" w:pos="1080"/>
              </w:tabs>
              <w:jc w:val="both"/>
              <w:rPr>
                <w:rFonts w:ascii="Times New Roman" w:eastAsia="Times New Roman" w:hAnsi="Times New Roman" w:cs="Times New Roman"/>
                <w:b/>
                <w:bCs/>
                <w:sz w:val="24"/>
                <w:szCs w:val="20"/>
                <w:lang w:eastAsia="sk-SK"/>
              </w:rPr>
            </w:pPr>
          </w:p>
        </w:tc>
        <w:tc>
          <w:tcPr>
            <w:tcW w:w="3119" w:type="dxa"/>
            <w:vMerge/>
            <w:shd w:val="clear" w:color="auto" w:fill="FFFFFF" w:themeFill="background1"/>
          </w:tcPr>
          <w:p w:rsidR="00604B73" w:rsidRDefault="00604B73" w:rsidP="00604B73">
            <w:pPr>
              <w:tabs>
                <w:tab w:val="num" w:pos="1080"/>
              </w:tabs>
              <w:jc w:val="both"/>
              <w:rPr>
                <w:rFonts w:ascii="Times New Roman" w:eastAsia="Times New Roman" w:hAnsi="Times New Roman" w:cs="Times New Roman"/>
                <w:bCs/>
                <w:sz w:val="24"/>
                <w:szCs w:val="20"/>
                <w:lang w:eastAsia="sk-SK"/>
              </w:rPr>
            </w:pPr>
          </w:p>
        </w:tc>
      </w:tr>
      <w:tr w:rsidR="00A10DEC" w:rsidTr="0098779A">
        <w:tc>
          <w:tcPr>
            <w:tcW w:w="4957" w:type="dxa"/>
            <w:shd w:val="clear" w:color="auto" w:fill="BFBFBF" w:themeFill="background1" w:themeFillShade="BF"/>
          </w:tcPr>
          <w:p w:rsidR="00A10DEC" w:rsidRDefault="00A10DEC" w:rsidP="00A10DEC">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417" w:type="dxa"/>
            <w:shd w:val="clear" w:color="auto" w:fill="BFBFBF" w:themeFill="background1" w:themeFillShade="BF"/>
          </w:tcPr>
          <w:p w:rsidR="00A10DEC" w:rsidRPr="000C35A3" w:rsidRDefault="00A10DEC" w:rsidP="00A10DEC">
            <w:pPr>
              <w:tabs>
                <w:tab w:val="num" w:pos="1080"/>
              </w:tabs>
              <w:jc w:val="center"/>
              <w:rPr>
                <w:rFonts w:ascii="Times New Roman" w:eastAsia="Times New Roman" w:hAnsi="Times New Roman" w:cs="Times New Roman"/>
                <w:bCs/>
                <w:sz w:val="24"/>
                <w:szCs w:val="20"/>
                <w:lang w:eastAsia="sk-SK"/>
              </w:rPr>
            </w:pPr>
            <w:r w:rsidRPr="000C35A3">
              <w:rPr>
                <w:rFonts w:ascii="Times New Roman" w:eastAsia="Times New Roman" w:hAnsi="Times New Roman" w:cs="Times New Roman"/>
                <w:bCs/>
                <w:sz w:val="24"/>
                <w:szCs w:val="24"/>
                <w:lang w:eastAsia="sk-SK"/>
              </w:rPr>
              <w:t>0</w:t>
            </w:r>
          </w:p>
        </w:tc>
        <w:tc>
          <w:tcPr>
            <w:tcW w:w="1559" w:type="dxa"/>
            <w:shd w:val="clear" w:color="auto" w:fill="BFBFBF" w:themeFill="background1" w:themeFillShade="BF"/>
            <w:vAlign w:val="bottom"/>
          </w:tcPr>
          <w:p w:rsidR="00A10DEC" w:rsidRPr="0095034B" w:rsidRDefault="00A10DEC" w:rsidP="00A10DEC">
            <w:pPr>
              <w:tabs>
                <w:tab w:val="num" w:pos="1080"/>
              </w:tabs>
              <w:jc w:val="center"/>
              <w:rPr>
                <w:rFonts w:ascii="Times New Roman" w:eastAsia="Times New Roman" w:hAnsi="Times New Roman" w:cs="Times New Roman"/>
                <w:b/>
                <w:bCs/>
                <w:sz w:val="24"/>
                <w:szCs w:val="24"/>
                <w:lang w:eastAsia="sk-SK"/>
              </w:rPr>
            </w:pPr>
            <w:r w:rsidRPr="0095034B">
              <w:rPr>
                <w:rFonts w:ascii="Times New Roman" w:eastAsia="Times New Roman" w:hAnsi="Times New Roman" w:cs="Times New Roman"/>
                <w:b/>
                <w:bCs/>
                <w:sz w:val="24"/>
                <w:szCs w:val="24"/>
                <w:lang w:eastAsia="sk-SK"/>
              </w:rPr>
              <w:t>-6 228</w:t>
            </w:r>
          </w:p>
        </w:tc>
        <w:tc>
          <w:tcPr>
            <w:tcW w:w="1560" w:type="dxa"/>
            <w:shd w:val="clear" w:color="auto" w:fill="BFBFBF" w:themeFill="background1" w:themeFillShade="BF"/>
            <w:vAlign w:val="bottom"/>
          </w:tcPr>
          <w:p w:rsidR="00A10DEC" w:rsidRPr="0095034B" w:rsidRDefault="00A10DEC" w:rsidP="00A10DEC">
            <w:pPr>
              <w:tabs>
                <w:tab w:val="num" w:pos="1080"/>
              </w:tabs>
              <w:jc w:val="center"/>
              <w:rPr>
                <w:rFonts w:ascii="Times New Roman" w:eastAsia="Times New Roman" w:hAnsi="Times New Roman" w:cs="Times New Roman"/>
                <w:b/>
                <w:bCs/>
                <w:sz w:val="24"/>
                <w:szCs w:val="24"/>
                <w:lang w:eastAsia="sk-SK"/>
              </w:rPr>
            </w:pPr>
            <w:r w:rsidRPr="0095034B">
              <w:rPr>
                <w:rFonts w:ascii="Times New Roman" w:eastAsia="Times New Roman" w:hAnsi="Times New Roman" w:cs="Times New Roman"/>
                <w:b/>
                <w:bCs/>
                <w:sz w:val="24"/>
                <w:szCs w:val="24"/>
                <w:lang w:eastAsia="sk-SK"/>
              </w:rPr>
              <w:t>-6 228</w:t>
            </w:r>
          </w:p>
        </w:tc>
        <w:tc>
          <w:tcPr>
            <w:tcW w:w="1417" w:type="dxa"/>
            <w:shd w:val="clear" w:color="auto" w:fill="BFBFBF" w:themeFill="background1" w:themeFillShade="BF"/>
            <w:vAlign w:val="bottom"/>
          </w:tcPr>
          <w:p w:rsidR="00A10DEC" w:rsidRPr="0095034B" w:rsidRDefault="00A10DEC" w:rsidP="00A10DEC">
            <w:pPr>
              <w:tabs>
                <w:tab w:val="num" w:pos="1080"/>
              </w:tabs>
              <w:jc w:val="center"/>
              <w:rPr>
                <w:rFonts w:ascii="Times New Roman" w:eastAsia="Times New Roman" w:hAnsi="Times New Roman" w:cs="Times New Roman"/>
                <w:b/>
                <w:bCs/>
                <w:sz w:val="24"/>
                <w:szCs w:val="24"/>
                <w:lang w:eastAsia="sk-SK"/>
              </w:rPr>
            </w:pPr>
            <w:r w:rsidRPr="0095034B">
              <w:rPr>
                <w:rFonts w:ascii="Times New Roman" w:eastAsia="Times New Roman" w:hAnsi="Times New Roman" w:cs="Times New Roman"/>
                <w:b/>
                <w:bCs/>
                <w:sz w:val="24"/>
                <w:szCs w:val="24"/>
                <w:lang w:eastAsia="sk-SK"/>
              </w:rPr>
              <w:t>-6 228</w:t>
            </w:r>
          </w:p>
        </w:tc>
        <w:tc>
          <w:tcPr>
            <w:tcW w:w="3119" w:type="dxa"/>
            <w:shd w:val="clear" w:color="auto" w:fill="BFBFBF" w:themeFill="background1" w:themeFillShade="BF"/>
          </w:tcPr>
          <w:p w:rsidR="00A10DEC" w:rsidRDefault="00A10DEC" w:rsidP="00A10DEC">
            <w:pPr>
              <w:tabs>
                <w:tab w:val="num" w:pos="1080"/>
              </w:tabs>
              <w:jc w:val="both"/>
              <w:rPr>
                <w:rFonts w:ascii="Times New Roman" w:eastAsia="Times New Roman" w:hAnsi="Times New Roman" w:cs="Times New Roman"/>
                <w:bCs/>
                <w:sz w:val="24"/>
                <w:szCs w:val="20"/>
                <w:lang w:eastAsia="sk-SK"/>
              </w:rPr>
            </w:pPr>
          </w:p>
        </w:tc>
      </w:tr>
    </w:tbl>
    <w:p w:rsidR="00604B73" w:rsidRDefault="00604B73" w:rsidP="004D77EC">
      <w:pPr>
        <w:tabs>
          <w:tab w:val="num" w:pos="1080"/>
        </w:tabs>
        <w:spacing w:after="0" w:line="240" w:lineRule="auto"/>
        <w:ind w:right="-578"/>
        <w:rPr>
          <w:rFonts w:ascii="Times New Roman" w:eastAsia="Times New Roman" w:hAnsi="Times New Roman" w:cs="Times New Roman"/>
          <w:bCs/>
          <w:sz w:val="24"/>
          <w:szCs w:val="24"/>
          <w:lang w:eastAsia="sk-SK"/>
        </w:rPr>
      </w:pPr>
    </w:p>
    <w:p w:rsidR="00604B73" w:rsidRDefault="00604B73" w:rsidP="004D77EC">
      <w:pPr>
        <w:tabs>
          <w:tab w:val="num" w:pos="1080"/>
        </w:tabs>
        <w:spacing w:after="0" w:line="240" w:lineRule="auto"/>
        <w:ind w:right="-578"/>
        <w:rPr>
          <w:rFonts w:ascii="Times New Roman" w:eastAsia="Times New Roman" w:hAnsi="Times New Roman" w:cs="Times New Roman"/>
          <w:bCs/>
          <w:sz w:val="24"/>
          <w:szCs w:val="24"/>
          <w:lang w:eastAsia="sk-SK"/>
        </w:rPr>
      </w:pPr>
    </w:p>
    <w:p w:rsidR="00BE7FC3" w:rsidRDefault="00BE7FC3" w:rsidP="004D77EC">
      <w:pPr>
        <w:tabs>
          <w:tab w:val="num" w:pos="1080"/>
        </w:tabs>
        <w:spacing w:after="0" w:line="240" w:lineRule="auto"/>
        <w:ind w:right="-578"/>
        <w:rPr>
          <w:rFonts w:ascii="Times New Roman" w:eastAsia="Times New Roman" w:hAnsi="Times New Roman" w:cs="Times New Roman"/>
          <w:bCs/>
          <w:sz w:val="24"/>
          <w:szCs w:val="24"/>
          <w:lang w:eastAsia="sk-SK"/>
        </w:rPr>
      </w:pPr>
    </w:p>
    <w:p w:rsidR="000B428C" w:rsidRDefault="004D77EC" w:rsidP="004D77EC">
      <w:pPr>
        <w:tabs>
          <w:tab w:val="num" w:pos="1080"/>
        </w:tabs>
        <w:spacing w:after="0" w:line="240" w:lineRule="auto"/>
        <w:ind w:right="-578"/>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 xml:space="preserve">         </w:t>
      </w:r>
    </w:p>
    <w:p w:rsidR="007D5748" w:rsidRPr="007D5748" w:rsidRDefault="004D77EC" w:rsidP="000B428C">
      <w:pPr>
        <w:tabs>
          <w:tab w:val="num" w:pos="1080"/>
        </w:tabs>
        <w:spacing w:after="0" w:line="240" w:lineRule="auto"/>
        <w:ind w:right="-32"/>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Tabuľka č. 3.</w:t>
      </w:r>
      <w:r w:rsidR="007972B9">
        <w:rPr>
          <w:rFonts w:ascii="Times New Roman" w:eastAsia="Times New Roman" w:hAnsi="Times New Roman" w:cs="Times New Roman"/>
          <w:bCs/>
          <w:sz w:val="24"/>
          <w:szCs w:val="24"/>
          <w:lang w:eastAsia="sk-SK"/>
        </w:rPr>
        <w:t>3</w:t>
      </w:r>
      <w:r>
        <w:rPr>
          <w:rFonts w:ascii="Times New Roman" w:eastAsia="Times New Roman" w:hAnsi="Times New Roman" w:cs="Times New Roman"/>
          <w:bCs/>
          <w:sz w:val="24"/>
          <w:szCs w:val="24"/>
          <w:lang w:eastAsia="sk-SK"/>
        </w:rPr>
        <w:t>.</w:t>
      </w:r>
    </w:p>
    <w:tbl>
      <w:tblPr>
        <w:tblStyle w:val="Mriekatabuky"/>
        <w:tblW w:w="14029" w:type="dxa"/>
        <w:tblLook w:val="04A0" w:firstRow="1" w:lastRow="0" w:firstColumn="1" w:lastColumn="0" w:noHBand="0" w:noVBand="1"/>
      </w:tblPr>
      <w:tblGrid>
        <w:gridCol w:w="4957"/>
        <w:gridCol w:w="1417"/>
        <w:gridCol w:w="1559"/>
        <w:gridCol w:w="1560"/>
        <w:gridCol w:w="1559"/>
        <w:gridCol w:w="2977"/>
      </w:tblGrid>
      <w:tr w:rsidR="006612AD" w:rsidTr="006612AD">
        <w:tc>
          <w:tcPr>
            <w:tcW w:w="4957" w:type="dxa"/>
            <w:vMerge w:val="restart"/>
            <w:shd w:val="clear" w:color="auto" w:fill="BFBFBF" w:themeFill="background1" w:themeFillShade="BF"/>
            <w:vAlign w:val="center"/>
          </w:tcPr>
          <w:p w:rsidR="006612AD" w:rsidRDefault="006612AD" w:rsidP="00BE7FC3">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(v</w:t>
            </w:r>
            <w:r w:rsidR="00BE7FC3">
              <w:rPr>
                <w:rFonts w:ascii="Times New Roman" w:eastAsia="Times New Roman" w:hAnsi="Times New Roman" w:cs="Times New Roman"/>
                <w:b/>
                <w:bCs/>
                <w:sz w:val="24"/>
                <w:szCs w:val="24"/>
                <w:lang w:eastAsia="sk-SK"/>
              </w:rPr>
              <w:t xml:space="preserve"> tis.</w:t>
            </w:r>
            <w:r w:rsidRPr="007D5748">
              <w:rPr>
                <w:rFonts w:ascii="Times New Roman" w:eastAsia="Times New Roman" w:hAnsi="Times New Roman" w:cs="Times New Roman"/>
                <w:b/>
                <w:bCs/>
                <w:sz w:val="24"/>
                <w:szCs w:val="24"/>
                <w:lang w:eastAsia="sk-SK"/>
              </w:rPr>
              <w:t xml:space="preserve"> eur)</w:t>
            </w:r>
          </w:p>
        </w:tc>
        <w:tc>
          <w:tcPr>
            <w:tcW w:w="6095" w:type="dxa"/>
            <w:gridSpan w:val="4"/>
            <w:shd w:val="clear" w:color="auto" w:fill="BFBFBF" w:themeFill="background1" w:themeFillShade="BF"/>
          </w:tcPr>
          <w:p w:rsidR="006612AD" w:rsidRDefault="006612AD" w:rsidP="006612AD">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Vplyv na rozpočet verejnej správy</w:t>
            </w:r>
          </w:p>
        </w:tc>
        <w:tc>
          <w:tcPr>
            <w:tcW w:w="2977" w:type="dxa"/>
            <w:shd w:val="clear" w:color="auto" w:fill="BFBFBF" w:themeFill="background1" w:themeFillShade="BF"/>
            <w:vAlign w:val="center"/>
          </w:tcPr>
          <w:p w:rsidR="006612AD" w:rsidRDefault="006612AD" w:rsidP="006612AD">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poznámka</w:t>
            </w:r>
          </w:p>
        </w:tc>
      </w:tr>
      <w:tr w:rsidR="003C33E6" w:rsidTr="006612AD">
        <w:tc>
          <w:tcPr>
            <w:tcW w:w="4957" w:type="dxa"/>
            <w:vMerge/>
            <w:shd w:val="clear" w:color="auto" w:fill="BFBFBF" w:themeFill="background1" w:themeFillShade="BF"/>
          </w:tcPr>
          <w:p w:rsidR="003C33E6" w:rsidRDefault="003C33E6" w:rsidP="003C33E6">
            <w:pPr>
              <w:tabs>
                <w:tab w:val="num" w:pos="1080"/>
              </w:tabs>
              <w:jc w:val="both"/>
              <w:rPr>
                <w:rFonts w:ascii="Times New Roman" w:eastAsia="Times New Roman" w:hAnsi="Times New Roman" w:cs="Times New Roman"/>
                <w:bCs/>
                <w:sz w:val="24"/>
                <w:szCs w:val="20"/>
                <w:lang w:eastAsia="sk-SK"/>
              </w:rPr>
            </w:pPr>
          </w:p>
        </w:tc>
        <w:tc>
          <w:tcPr>
            <w:tcW w:w="1417" w:type="dxa"/>
            <w:shd w:val="clear" w:color="auto" w:fill="BFBFBF" w:themeFill="background1" w:themeFillShade="BF"/>
          </w:tcPr>
          <w:p w:rsidR="003C33E6" w:rsidRPr="00526826" w:rsidRDefault="003C33E6" w:rsidP="00BE7FC3">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201</w:t>
            </w:r>
            <w:r w:rsidR="00BE7FC3">
              <w:rPr>
                <w:rFonts w:ascii="Times New Roman" w:eastAsia="Times New Roman" w:hAnsi="Times New Roman" w:cs="Times New Roman"/>
                <w:b/>
                <w:bCs/>
                <w:sz w:val="24"/>
                <w:szCs w:val="24"/>
                <w:lang w:eastAsia="sk-SK"/>
              </w:rPr>
              <w:t>9</w:t>
            </w:r>
          </w:p>
        </w:tc>
        <w:tc>
          <w:tcPr>
            <w:tcW w:w="1559" w:type="dxa"/>
            <w:shd w:val="clear" w:color="auto" w:fill="BFBFBF" w:themeFill="background1" w:themeFillShade="BF"/>
          </w:tcPr>
          <w:p w:rsidR="003C33E6" w:rsidRPr="00526826" w:rsidRDefault="003C33E6" w:rsidP="00BE7FC3">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w:t>
            </w:r>
            <w:r w:rsidR="00BE7FC3">
              <w:rPr>
                <w:rFonts w:ascii="Times New Roman" w:eastAsia="Times New Roman" w:hAnsi="Times New Roman" w:cs="Times New Roman"/>
                <w:b/>
                <w:bCs/>
                <w:sz w:val="24"/>
                <w:szCs w:val="24"/>
                <w:lang w:eastAsia="sk-SK"/>
              </w:rPr>
              <w:t>20</w:t>
            </w:r>
          </w:p>
        </w:tc>
        <w:tc>
          <w:tcPr>
            <w:tcW w:w="1560" w:type="dxa"/>
            <w:shd w:val="clear" w:color="auto" w:fill="BFBFBF" w:themeFill="background1" w:themeFillShade="BF"/>
          </w:tcPr>
          <w:p w:rsidR="003C33E6" w:rsidRPr="00526826" w:rsidRDefault="003C33E6" w:rsidP="00BE7FC3">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w:t>
            </w:r>
            <w:r w:rsidR="00BE7FC3">
              <w:rPr>
                <w:rFonts w:ascii="Times New Roman" w:eastAsia="Times New Roman" w:hAnsi="Times New Roman" w:cs="Times New Roman"/>
                <w:b/>
                <w:bCs/>
                <w:sz w:val="24"/>
                <w:szCs w:val="24"/>
                <w:lang w:eastAsia="sk-SK"/>
              </w:rPr>
              <w:t>21</w:t>
            </w:r>
          </w:p>
        </w:tc>
        <w:tc>
          <w:tcPr>
            <w:tcW w:w="1559" w:type="dxa"/>
            <w:shd w:val="clear" w:color="auto" w:fill="BFBFBF" w:themeFill="background1" w:themeFillShade="BF"/>
          </w:tcPr>
          <w:p w:rsidR="003C33E6" w:rsidRPr="00526826" w:rsidRDefault="003C33E6" w:rsidP="00BE7FC3">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w:t>
            </w:r>
            <w:r w:rsidR="00BE7FC3">
              <w:rPr>
                <w:rFonts w:ascii="Times New Roman" w:eastAsia="Times New Roman" w:hAnsi="Times New Roman" w:cs="Times New Roman"/>
                <w:b/>
                <w:bCs/>
                <w:sz w:val="24"/>
                <w:szCs w:val="24"/>
                <w:lang w:eastAsia="sk-SK"/>
              </w:rPr>
              <w:t>2</w:t>
            </w:r>
          </w:p>
        </w:tc>
        <w:tc>
          <w:tcPr>
            <w:tcW w:w="2977" w:type="dxa"/>
            <w:shd w:val="clear" w:color="auto" w:fill="BFBFBF" w:themeFill="background1" w:themeFillShade="BF"/>
          </w:tcPr>
          <w:p w:rsidR="003C33E6" w:rsidRDefault="003C33E6" w:rsidP="003C33E6">
            <w:pPr>
              <w:tabs>
                <w:tab w:val="num" w:pos="1080"/>
              </w:tabs>
              <w:jc w:val="both"/>
              <w:rPr>
                <w:rFonts w:ascii="Times New Roman" w:eastAsia="Times New Roman" w:hAnsi="Times New Roman" w:cs="Times New Roman"/>
                <w:bCs/>
                <w:sz w:val="24"/>
                <w:szCs w:val="20"/>
                <w:lang w:eastAsia="sk-SK"/>
              </w:rPr>
            </w:pPr>
          </w:p>
        </w:tc>
      </w:tr>
      <w:tr w:rsidR="00A10DEC" w:rsidTr="0098779A">
        <w:tc>
          <w:tcPr>
            <w:tcW w:w="4957" w:type="dxa"/>
            <w:shd w:val="clear" w:color="auto" w:fill="FFFFFF" w:themeFill="background1"/>
          </w:tcPr>
          <w:p w:rsidR="00A10DEC" w:rsidRDefault="00A10DEC" w:rsidP="00A10DEC">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A10DEC" w:rsidRPr="00526826" w:rsidRDefault="00A10DEC" w:rsidP="00A10DEC">
            <w:pPr>
              <w:tabs>
                <w:tab w:val="num" w:pos="1080"/>
              </w:tabs>
              <w:jc w:val="center"/>
              <w:rPr>
                <w:rFonts w:ascii="Times New Roman" w:eastAsia="Times New Roman" w:hAnsi="Times New Roman" w:cs="Times New Roman"/>
                <w:b/>
                <w:bCs/>
                <w:sz w:val="24"/>
                <w:szCs w:val="20"/>
                <w:lang w:eastAsia="sk-SK"/>
              </w:rPr>
            </w:pPr>
            <w:r w:rsidRPr="00526826">
              <w:rPr>
                <w:rFonts w:ascii="Times New Roman" w:eastAsia="Times New Roman" w:hAnsi="Times New Roman" w:cs="Times New Roman"/>
                <w:b/>
                <w:bCs/>
                <w:sz w:val="24"/>
                <w:szCs w:val="20"/>
                <w:lang w:eastAsia="sk-SK"/>
              </w:rPr>
              <w:t>0</w:t>
            </w:r>
          </w:p>
        </w:tc>
        <w:tc>
          <w:tcPr>
            <w:tcW w:w="1559" w:type="dxa"/>
            <w:shd w:val="clear" w:color="auto" w:fill="FFFFFF" w:themeFill="background1"/>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0</w:t>
            </w:r>
          </w:p>
        </w:tc>
        <w:tc>
          <w:tcPr>
            <w:tcW w:w="1560" w:type="dxa"/>
            <w:shd w:val="clear" w:color="auto" w:fill="FFFFFF" w:themeFill="background1"/>
            <w:vAlign w:val="bottom"/>
          </w:tcPr>
          <w:p w:rsidR="00A10DEC" w:rsidRPr="00A10DEC" w:rsidRDefault="006F1FD4" w:rsidP="00A10DEC">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59" w:type="dxa"/>
            <w:shd w:val="clear" w:color="auto" w:fill="FFFFFF" w:themeFill="background1"/>
            <w:vAlign w:val="bottom"/>
          </w:tcPr>
          <w:p w:rsidR="00A10DEC" w:rsidRPr="006F1FD4" w:rsidRDefault="006F1FD4" w:rsidP="006F1FD4">
            <w:pPr>
              <w:tabs>
                <w:tab w:val="num" w:pos="1080"/>
              </w:tabs>
              <w:jc w:val="center"/>
              <w:rPr>
                <w:rFonts w:ascii="Times New Roman" w:eastAsia="Times New Roman" w:hAnsi="Times New Roman" w:cs="Times New Roman"/>
                <w:b/>
                <w:bCs/>
                <w:sz w:val="24"/>
                <w:szCs w:val="20"/>
                <w:lang w:eastAsia="sk-SK"/>
              </w:rPr>
            </w:pPr>
            <w:r w:rsidRPr="006F1FD4">
              <w:rPr>
                <w:rFonts w:ascii="Times New Roman" w:eastAsia="Times New Roman" w:hAnsi="Times New Roman" w:cs="Times New Roman"/>
                <w:b/>
                <w:bCs/>
                <w:sz w:val="24"/>
                <w:szCs w:val="20"/>
                <w:lang w:eastAsia="sk-SK"/>
              </w:rPr>
              <w:t>-4 491</w:t>
            </w:r>
          </w:p>
        </w:tc>
        <w:tc>
          <w:tcPr>
            <w:tcW w:w="2977" w:type="dxa"/>
            <w:vMerge w:val="restart"/>
            <w:shd w:val="clear" w:color="auto" w:fill="FFFFFF" w:themeFill="background1"/>
          </w:tcPr>
          <w:p w:rsidR="00A10DEC" w:rsidRPr="00BE7FC3" w:rsidRDefault="00A10DEC" w:rsidP="00A10DEC">
            <w:pPr>
              <w:jc w:val="both"/>
              <w:rPr>
                <w:rFonts w:ascii="Times New Roman" w:eastAsia="Times New Roman" w:hAnsi="Times New Roman" w:cs="Times New Roman"/>
                <w:sz w:val="24"/>
                <w:szCs w:val="24"/>
                <w:lang w:eastAsia="sk-SK"/>
              </w:rPr>
            </w:pPr>
            <w:r w:rsidRPr="00BE7FC3">
              <w:rPr>
                <w:rFonts w:ascii="Times New Roman" w:eastAsia="Times New Roman" w:hAnsi="Times New Roman" w:cs="Times New Roman"/>
                <w:sz w:val="24"/>
                <w:szCs w:val="24"/>
                <w:lang w:eastAsia="sk-SK"/>
              </w:rPr>
              <w:t>Zmena pravidiel odpočtu daňovej straty u mikrodaňovníkov</w:t>
            </w:r>
          </w:p>
          <w:p w:rsidR="00A10DEC" w:rsidRDefault="00A10DEC" w:rsidP="00A10DEC">
            <w:pPr>
              <w:tabs>
                <w:tab w:val="num" w:pos="1080"/>
              </w:tabs>
              <w:jc w:val="both"/>
              <w:rPr>
                <w:rFonts w:ascii="Times New Roman" w:eastAsia="Times New Roman" w:hAnsi="Times New Roman" w:cs="Times New Roman"/>
                <w:bCs/>
                <w:sz w:val="24"/>
                <w:szCs w:val="20"/>
                <w:lang w:eastAsia="sk-SK"/>
              </w:rPr>
            </w:pPr>
          </w:p>
        </w:tc>
      </w:tr>
      <w:tr w:rsidR="00A10DEC" w:rsidTr="0098779A">
        <w:tc>
          <w:tcPr>
            <w:tcW w:w="4957" w:type="dxa"/>
            <w:shd w:val="clear" w:color="auto" w:fill="FFFFFF" w:themeFill="background1"/>
          </w:tcPr>
          <w:p w:rsidR="00A10DEC" w:rsidRDefault="00A10DEC" w:rsidP="00A10DEC">
            <w:pPr>
              <w:tabs>
                <w:tab w:val="num" w:pos="1080"/>
              </w:tabs>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lang w:eastAsia="sk-SK"/>
              </w:rPr>
              <w:t>DPPO (112)</w:t>
            </w:r>
          </w:p>
        </w:tc>
        <w:tc>
          <w:tcPr>
            <w:tcW w:w="1417" w:type="dxa"/>
            <w:shd w:val="clear" w:color="auto" w:fill="FFFFFF" w:themeFill="background1"/>
          </w:tcPr>
          <w:p w:rsidR="00A10DEC" w:rsidRPr="00526826" w:rsidRDefault="00A10DEC" w:rsidP="00A10DEC">
            <w:pPr>
              <w:tabs>
                <w:tab w:val="num" w:pos="1080"/>
              </w:tabs>
              <w:jc w:val="center"/>
              <w:rPr>
                <w:rFonts w:ascii="Times New Roman" w:eastAsia="Times New Roman" w:hAnsi="Times New Roman" w:cs="Times New Roman"/>
                <w:b/>
                <w:bCs/>
                <w:sz w:val="24"/>
                <w:szCs w:val="20"/>
                <w:lang w:eastAsia="sk-SK"/>
              </w:rPr>
            </w:pPr>
            <w:r w:rsidRPr="00526826">
              <w:rPr>
                <w:rFonts w:ascii="Times New Roman" w:eastAsia="Times New Roman" w:hAnsi="Times New Roman" w:cs="Times New Roman"/>
                <w:b/>
                <w:bCs/>
                <w:sz w:val="24"/>
                <w:szCs w:val="20"/>
                <w:lang w:eastAsia="sk-SK"/>
              </w:rPr>
              <w:t>0</w:t>
            </w:r>
          </w:p>
        </w:tc>
        <w:tc>
          <w:tcPr>
            <w:tcW w:w="1559" w:type="dxa"/>
            <w:shd w:val="clear" w:color="auto" w:fill="FFFFFF" w:themeFill="background1"/>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0</w:t>
            </w:r>
          </w:p>
        </w:tc>
        <w:tc>
          <w:tcPr>
            <w:tcW w:w="1560" w:type="dxa"/>
            <w:shd w:val="clear" w:color="auto" w:fill="FFFFFF" w:themeFill="background1"/>
            <w:vAlign w:val="bottom"/>
          </w:tcPr>
          <w:p w:rsidR="00A10DEC" w:rsidRPr="00A10DEC" w:rsidRDefault="006F1FD4" w:rsidP="00A10DEC">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59" w:type="dxa"/>
            <w:shd w:val="clear" w:color="auto" w:fill="FFFFFF" w:themeFill="background1"/>
            <w:vAlign w:val="bottom"/>
          </w:tcPr>
          <w:p w:rsidR="00A10DEC" w:rsidRPr="00A10DEC" w:rsidRDefault="006F1FD4" w:rsidP="00A10DEC">
            <w:pPr>
              <w:tabs>
                <w:tab w:val="num" w:pos="1080"/>
              </w:tabs>
              <w:jc w:val="center"/>
              <w:rPr>
                <w:rFonts w:ascii="Times New Roman" w:eastAsia="Times New Roman" w:hAnsi="Times New Roman" w:cs="Times New Roman"/>
                <w:b/>
                <w:bCs/>
                <w:sz w:val="24"/>
                <w:szCs w:val="20"/>
                <w:lang w:eastAsia="sk-SK"/>
              </w:rPr>
            </w:pPr>
            <w:r w:rsidRPr="006F1FD4">
              <w:rPr>
                <w:rFonts w:ascii="Times New Roman" w:eastAsia="Times New Roman" w:hAnsi="Times New Roman" w:cs="Times New Roman"/>
                <w:b/>
                <w:bCs/>
                <w:sz w:val="24"/>
                <w:szCs w:val="20"/>
                <w:lang w:eastAsia="sk-SK"/>
              </w:rPr>
              <w:t>-4 491</w:t>
            </w:r>
          </w:p>
        </w:tc>
        <w:tc>
          <w:tcPr>
            <w:tcW w:w="2977" w:type="dxa"/>
            <w:vMerge/>
            <w:shd w:val="clear" w:color="auto" w:fill="FFFFFF" w:themeFill="background1"/>
          </w:tcPr>
          <w:p w:rsidR="00A10DEC" w:rsidRDefault="00A10DEC" w:rsidP="00A10DEC">
            <w:pPr>
              <w:tabs>
                <w:tab w:val="num" w:pos="1080"/>
              </w:tabs>
              <w:jc w:val="both"/>
              <w:rPr>
                <w:rFonts w:ascii="Times New Roman" w:eastAsia="Times New Roman" w:hAnsi="Times New Roman" w:cs="Times New Roman"/>
                <w:bCs/>
                <w:sz w:val="24"/>
                <w:szCs w:val="20"/>
                <w:lang w:eastAsia="sk-SK"/>
              </w:rPr>
            </w:pPr>
          </w:p>
        </w:tc>
      </w:tr>
      <w:tr w:rsidR="000C35A3" w:rsidTr="006612AD">
        <w:tc>
          <w:tcPr>
            <w:tcW w:w="4957" w:type="dxa"/>
            <w:shd w:val="clear" w:color="auto" w:fill="FFFFFF" w:themeFill="background1"/>
          </w:tcPr>
          <w:p w:rsidR="000C35A3" w:rsidRDefault="000C35A3" w:rsidP="000C35A3">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0C35A3" w:rsidRDefault="000C35A3" w:rsidP="000C35A3">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0C35A3" w:rsidRDefault="000C35A3" w:rsidP="000C35A3">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FF" w:themeFill="background1"/>
          </w:tcPr>
          <w:p w:rsidR="000C35A3" w:rsidRDefault="000C35A3" w:rsidP="000C35A3">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0C35A3" w:rsidRPr="006F1FD4" w:rsidRDefault="000C35A3" w:rsidP="006F1FD4">
            <w:pPr>
              <w:tabs>
                <w:tab w:val="num" w:pos="1080"/>
              </w:tabs>
              <w:jc w:val="center"/>
              <w:rPr>
                <w:rFonts w:ascii="Times New Roman" w:eastAsia="Times New Roman" w:hAnsi="Times New Roman" w:cs="Times New Roman"/>
                <w:b/>
                <w:bCs/>
                <w:sz w:val="24"/>
                <w:szCs w:val="20"/>
                <w:lang w:eastAsia="sk-SK"/>
              </w:rPr>
            </w:pPr>
          </w:p>
        </w:tc>
        <w:tc>
          <w:tcPr>
            <w:tcW w:w="2977" w:type="dxa"/>
            <w:vMerge/>
            <w:shd w:val="clear" w:color="auto" w:fill="FFFFFF" w:themeFill="background1"/>
          </w:tcPr>
          <w:p w:rsidR="000C35A3" w:rsidRDefault="000C35A3" w:rsidP="000C35A3">
            <w:pPr>
              <w:tabs>
                <w:tab w:val="num" w:pos="1080"/>
              </w:tabs>
              <w:jc w:val="both"/>
              <w:rPr>
                <w:rFonts w:ascii="Times New Roman" w:eastAsia="Times New Roman" w:hAnsi="Times New Roman" w:cs="Times New Roman"/>
                <w:bCs/>
                <w:sz w:val="24"/>
                <w:szCs w:val="20"/>
                <w:lang w:eastAsia="sk-SK"/>
              </w:rPr>
            </w:pPr>
          </w:p>
        </w:tc>
      </w:tr>
      <w:tr w:rsidR="000C35A3" w:rsidTr="006612AD">
        <w:tc>
          <w:tcPr>
            <w:tcW w:w="4957" w:type="dxa"/>
            <w:shd w:val="clear" w:color="auto" w:fill="FFFFFF" w:themeFill="background1"/>
          </w:tcPr>
          <w:p w:rsidR="000C35A3" w:rsidRDefault="000C35A3" w:rsidP="000C35A3">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0C35A3" w:rsidRDefault="000C35A3" w:rsidP="000C35A3">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0C35A3" w:rsidRDefault="000C35A3" w:rsidP="000C35A3">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FF" w:themeFill="background1"/>
          </w:tcPr>
          <w:p w:rsidR="000C35A3" w:rsidRDefault="000C35A3" w:rsidP="000C35A3">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0C35A3" w:rsidRPr="006F1FD4" w:rsidRDefault="000C35A3" w:rsidP="006F1FD4">
            <w:pPr>
              <w:tabs>
                <w:tab w:val="num" w:pos="1080"/>
              </w:tabs>
              <w:jc w:val="center"/>
              <w:rPr>
                <w:rFonts w:ascii="Times New Roman" w:eastAsia="Times New Roman" w:hAnsi="Times New Roman" w:cs="Times New Roman"/>
                <w:b/>
                <w:bCs/>
                <w:sz w:val="24"/>
                <w:szCs w:val="20"/>
                <w:lang w:eastAsia="sk-SK"/>
              </w:rPr>
            </w:pPr>
          </w:p>
        </w:tc>
        <w:tc>
          <w:tcPr>
            <w:tcW w:w="2977" w:type="dxa"/>
            <w:vMerge/>
            <w:shd w:val="clear" w:color="auto" w:fill="FFFFFF" w:themeFill="background1"/>
          </w:tcPr>
          <w:p w:rsidR="000C35A3" w:rsidRDefault="000C35A3" w:rsidP="000C35A3">
            <w:pPr>
              <w:tabs>
                <w:tab w:val="num" w:pos="1080"/>
              </w:tabs>
              <w:jc w:val="both"/>
              <w:rPr>
                <w:rFonts w:ascii="Times New Roman" w:eastAsia="Times New Roman" w:hAnsi="Times New Roman" w:cs="Times New Roman"/>
                <w:bCs/>
                <w:sz w:val="24"/>
                <w:szCs w:val="20"/>
                <w:lang w:eastAsia="sk-SK"/>
              </w:rPr>
            </w:pPr>
          </w:p>
        </w:tc>
      </w:tr>
      <w:tr w:rsidR="000C35A3" w:rsidTr="006612AD">
        <w:tc>
          <w:tcPr>
            <w:tcW w:w="4957" w:type="dxa"/>
            <w:shd w:val="clear" w:color="auto" w:fill="FFFFFF" w:themeFill="background1"/>
          </w:tcPr>
          <w:p w:rsidR="000C35A3" w:rsidRDefault="000C35A3" w:rsidP="000C35A3">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417" w:type="dxa"/>
            <w:shd w:val="clear" w:color="auto" w:fill="FFFF99"/>
          </w:tcPr>
          <w:p w:rsidR="000C35A3" w:rsidRDefault="000C35A3" w:rsidP="000C35A3">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0C35A3" w:rsidRDefault="000C35A3" w:rsidP="000C35A3">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99"/>
          </w:tcPr>
          <w:p w:rsidR="000C35A3" w:rsidRDefault="000C35A3" w:rsidP="000C35A3">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0C35A3" w:rsidRPr="006F1FD4" w:rsidRDefault="000C35A3" w:rsidP="006F1FD4">
            <w:pPr>
              <w:tabs>
                <w:tab w:val="num" w:pos="1080"/>
              </w:tabs>
              <w:jc w:val="center"/>
              <w:rPr>
                <w:rFonts w:ascii="Times New Roman" w:eastAsia="Times New Roman" w:hAnsi="Times New Roman" w:cs="Times New Roman"/>
                <w:b/>
                <w:bCs/>
                <w:sz w:val="24"/>
                <w:szCs w:val="20"/>
                <w:lang w:eastAsia="sk-SK"/>
              </w:rPr>
            </w:pPr>
          </w:p>
        </w:tc>
        <w:tc>
          <w:tcPr>
            <w:tcW w:w="2977" w:type="dxa"/>
            <w:vMerge/>
            <w:shd w:val="clear" w:color="auto" w:fill="FFFFFF" w:themeFill="background1"/>
          </w:tcPr>
          <w:p w:rsidR="000C35A3" w:rsidRDefault="000C35A3" w:rsidP="000C35A3">
            <w:pPr>
              <w:tabs>
                <w:tab w:val="num" w:pos="1080"/>
              </w:tabs>
              <w:jc w:val="both"/>
              <w:rPr>
                <w:rFonts w:ascii="Times New Roman" w:eastAsia="Times New Roman" w:hAnsi="Times New Roman" w:cs="Times New Roman"/>
                <w:bCs/>
                <w:sz w:val="24"/>
                <w:szCs w:val="20"/>
                <w:lang w:eastAsia="sk-SK"/>
              </w:rPr>
            </w:pPr>
          </w:p>
        </w:tc>
      </w:tr>
      <w:tr w:rsidR="000C35A3" w:rsidTr="006612AD">
        <w:tc>
          <w:tcPr>
            <w:tcW w:w="4957" w:type="dxa"/>
            <w:shd w:val="clear" w:color="auto" w:fill="FFFFFF" w:themeFill="background1"/>
          </w:tcPr>
          <w:p w:rsidR="000C35A3" w:rsidRDefault="000C35A3" w:rsidP="000C35A3">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417" w:type="dxa"/>
            <w:shd w:val="clear" w:color="auto" w:fill="FFFF99"/>
          </w:tcPr>
          <w:p w:rsidR="000C35A3" w:rsidRDefault="000C35A3" w:rsidP="000C35A3">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0C35A3" w:rsidRDefault="000C35A3" w:rsidP="000C35A3">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99"/>
          </w:tcPr>
          <w:p w:rsidR="000C35A3" w:rsidRDefault="000C35A3" w:rsidP="000C35A3">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0C35A3" w:rsidRPr="006F1FD4" w:rsidRDefault="000C35A3" w:rsidP="006F1FD4">
            <w:pPr>
              <w:tabs>
                <w:tab w:val="num" w:pos="1080"/>
              </w:tabs>
              <w:jc w:val="center"/>
              <w:rPr>
                <w:rFonts w:ascii="Times New Roman" w:eastAsia="Times New Roman" w:hAnsi="Times New Roman" w:cs="Times New Roman"/>
                <w:b/>
                <w:bCs/>
                <w:sz w:val="24"/>
                <w:szCs w:val="20"/>
                <w:lang w:eastAsia="sk-SK"/>
              </w:rPr>
            </w:pPr>
          </w:p>
        </w:tc>
        <w:tc>
          <w:tcPr>
            <w:tcW w:w="2977" w:type="dxa"/>
            <w:vMerge/>
            <w:shd w:val="clear" w:color="auto" w:fill="FFFFFF" w:themeFill="background1"/>
          </w:tcPr>
          <w:p w:rsidR="000C35A3" w:rsidRDefault="000C35A3" w:rsidP="000C35A3">
            <w:pPr>
              <w:tabs>
                <w:tab w:val="num" w:pos="1080"/>
              </w:tabs>
              <w:jc w:val="both"/>
              <w:rPr>
                <w:rFonts w:ascii="Times New Roman" w:eastAsia="Times New Roman" w:hAnsi="Times New Roman" w:cs="Times New Roman"/>
                <w:bCs/>
                <w:sz w:val="24"/>
                <w:szCs w:val="20"/>
                <w:lang w:eastAsia="sk-SK"/>
              </w:rPr>
            </w:pPr>
          </w:p>
        </w:tc>
      </w:tr>
      <w:tr w:rsidR="00A10DEC" w:rsidTr="0098779A">
        <w:tc>
          <w:tcPr>
            <w:tcW w:w="4957" w:type="dxa"/>
            <w:shd w:val="clear" w:color="auto" w:fill="BFBFBF" w:themeFill="background1" w:themeFillShade="BF"/>
          </w:tcPr>
          <w:p w:rsidR="00A10DEC" w:rsidRDefault="00A10DEC" w:rsidP="00A10DEC">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417" w:type="dxa"/>
            <w:shd w:val="clear" w:color="auto" w:fill="BFBFBF" w:themeFill="background1" w:themeFillShade="BF"/>
          </w:tcPr>
          <w:p w:rsidR="00A10DEC" w:rsidRPr="00526826" w:rsidRDefault="00A10DEC" w:rsidP="00A10DEC">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59" w:type="dxa"/>
            <w:shd w:val="clear" w:color="auto" w:fill="BFBFBF" w:themeFill="background1" w:themeFillShade="BF"/>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0</w:t>
            </w:r>
          </w:p>
        </w:tc>
        <w:tc>
          <w:tcPr>
            <w:tcW w:w="1560" w:type="dxa"/>
            <w:shd w:val="clear" w:color="auto" w:fill="BFBFBF" w:themeFill="background1" w:themeFillShade="BF"/>
            <w:vAlign w:val="bottom"/>
          </w:tcPr>
          <w:p w:rsidR="00A10DEC" w:rsidRPr="00A10DEC" w:rsidRDefault="006F1FD4" w:rsidP="00A10DEC">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59" w:type="dxa"/>
            <w:shd w:val="clear" w:color="auto" w:fill="BFBFBF" w:themeFill="background1" w:themeFillShade="BF"/>
            <w:vAlign w:val="bottom"/>
          </w:tcPr>
          <w:p w:rsidR="00A10DEC" w:rsidRPr="00A10DEC" w:rsidRDefault="006F1FD4" w:rsidP="00A10DEC">
            <w:pPr>
              <w:tabs>
                <w:tab w:val="num" w:pos="1080"/>
              </w:tabs>
              <w:jc w:val="center"/>
              <w:rPr>
                <w:rFonts w:ascii="Times New Roman" w:eastAsia="Times New Roman" w:hAnsi="Times New Roman" w:cs="Times New Roman"/>
                <w:b/>
                <w:bCs/>
                <w:sz w:val="24"/>
                <w:szCs w:val="20"/>
                <w:lang w:eastAsia="sk-SK"/>
              </w:rPr>
            </w:pPr>
            <w:r w:rsidRPr="006F1FD4">
              <w:rPr>
                <w:rFonts w:ascii="Times New Roman" w:eastAsia="Times New Roman" w:hAnsi="Times New Roman" w:cs="Times New Roman"/>
                <w:b/>
                <w:bCs/>
                <w:sz w:val="24"/>
                <w:szCs w:val="20"/>
                <w:lang w:eastAsia="sk-SK"/>
              </w:rPr>
              <w:t>-4 491</w:t>
            </w:r>
          </w:p>
        </w:tc>
        <w:tc>
          <w:tcPr>
            <w:tcW w:w="2977" w:type="dxa"/>
            <w:shd w:val="clear" w:color="auto" w:fill="BFBFBF" w:themeFill="background1" w:themeFillShade="BF"/>
          </w:tcPr>
          <w:p w:rsidR="00A10DEC" w:rsidRDefault="00A10DEC" w:rsidP="00A10DEC">
            <w:pPr>
              <w:tabs>
                <w:tab w:val="num" w:pos="1080"/>
              </w:tabs>
              <w:jc w:val="both"/>
              <w:rPr>
                <w:rFonts w:ascii="Times New Roman" w:eastAsia="Times New Roman" w:hAnsi="Times New Roman" w:cs="Times New Roman"/>
                <w:bCs/>
                <w:sz w:val="24"/>
                <w:szCs w:val="20"/>
                <w:lang w:eastAsia="sk-SK"/>
              </w:rPr>
            </w:pPr>
          </w:p>
        </w:tc>
      </w:tr>
    </w:tbl>
    <w:p w:rsidR="004D77EC" w:rsidRDefault="004D77EC"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0B428C" w:rsidRDefault="000B428C"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6612AD" w:rsidRDefault="000B428C"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Tabuľka č. 3.</w:t>
      </w:r>
      <w:r w:rsidR="007972B9">
        <w:rPr>
          <w:rFonts w:ascii="Times New Roman" w:eastAsia="Times New Roman" w:hAnsi="Times New Roman" w:cs="Times New Roman"/>
          <w:bCs/>
          <w:sz w:val="24"/>
          <w:szCs w:val="24"/>
          <w:lang w:eastAsia="sk-SK"/>
        </w:rPr>
        <w:t>4</w:t>
      </w:r>
      <w:r>
        <w:rPr>
          <w:rFonts w:ascii="Times New Roman" w:eastAsia="Times New Roman" w:hAnsi="Times New Roman" w:cs="Times New Roman"/>
          <w:bCs/>
          <w:sz w:val="24"/>
          <w:szCs w:val="24"/>
          <w:lang w:eastAsia="sk-SK"/>
        </w:rPr>
        <w:t>.</w:t>
      </w:r>
    </w:p>
    <w:tbl>
      <w:tblPr>
        <w:tblStyle w:val="Mriekatabuky"/>
        <w:tblW w:w="14029" w:type="dxa"/>
        <w:tblLook w:val="04A0" w:firstRow="1" w:lastRow="0" w:firstColumn="1" w:lastColumn="0" w:noHBand="0" w:noVBand="1"/>
      </w:tblPr>
      <w:tblGrid>
        <w:gridCol w:w="4957"/>
        <w:gridCol w:w="1417"/>
        <w:gridCol w:w="1559"/>
        <w:gridCol w:w="1560"/>
        <w:gridCol w:w="1559"/>
        <w:gridCol w:w="2977"/>
      </w:tblGrid>
      <w:tr w:rsidR="000B428C" w:rsidTr="00600500">
        <w:tc>
          <w:tcPr>
            <w:tcW w:w="4957" w:type="dxa"/>
            <w:vMerge w:val="restart"/>
            <w:shd w:val="clear" w:color="auto" w:fill="BFBFBF" w:themeFill="background1" w:themeFillShade="BF"/>
            <w:vAlign w:val="center"/>
          </w:tcPr>
          <w:p w:rsidR="000B428C" w:rsidRDefault="000B428C" w:rsidP="00600500">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(v</w:t>
            </w:r>
            <w:r>
              <w:rPr>
                <w:rFonts w:ascii="Times New Roman" w:eastAsia="Times New Roman" w:hAnsi="Times New Roman" w:cs="Times New Roman"/>
                <w:b/>
                <w:bCs/>
                <w:sz w:val="24"/>
                <w:szCs w:val="24"/>
                <w:lang w:eastAsia="sk-SK"/>
              </w:rPr>
              <w:t xml:space="preserve"> tis.</w:t>
            </w:r>
            <w:r w:rsidRPr="007D5748">
              <w:rPr>
                <w:rFonts w:ascii="Times New Roman" w:eastAsia="Times New Roman" w:hAnsi="Times New Roman" w:cs="Times New Roman"/>
                <w:b/>
                <w:bCs/>
                <w:sz w:val="24"/>
                <w:szCs w:val="24"/>
                <w:lang w:eastAsia="sk-SK"/>
              </w:rPr>
              <w:t xml:space="preserve"> eur)</w:t>
            </w:r>
          </w:p>
        </w:tc>
        <w:tc>
          <w:tcPr>
            <w:tcW w:w="6095" w:type="dxa"/>
            <w:gridSpan w:val="4"/>
            <w:shd w:val="clear" w:color="auto" w:fill="BFBFBF" w:themeFill="background1" w:themeFillShade="BF"/>
          </w:tcPr>
          <w:p w:rsidR="000B428C" w:rsidRDefault="000B428C" w:rsidP="00600500">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Vplyv na rozpočet verejnej správy</w:t>
            </w:r>
          </w:p>
        </w:tc>
        <w:tc>
          <w:tcPr>
            <w:tcW w:w="2977" w:type="dxa"/>
            <w:shd w:val="clear" w:color="auto" w:fill="BFBFBF" w:themeFill="background1" w:themeFillShade="BF"/>
            <w:vAlign w:val="center"/>
          </w:tcPr>
          <w:p w:rsidR="000B428C" w:rsidRDefault="000B428C" w:rsidP="00600500">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poznámka</w:t>
            </w:r>
          </w:p>
        </w:tc>
      </w:tr>
      <w:tr w:rsidR="000B428C" w:rsidTr="00600500">
        <w:tc>
          <w:tcPr>
            <w:tcW w:w="4957" w:type="dxa"/>
            <w:vMerge/>
            <w:shd w:val="clear" w:color="auto" w:fill="BFBFBF" w:themeFill="background1" w:themeFillShade="BF"/>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417" w:type="dxa"/>
            <w:shd w:val="clear" w:color="auto" w:fill="BFBFBF" w:themeFill="background1" w:themeFillShade="BF"/>
          </w:tcPr>
          <w:p w:rsidR="000B428C" w:rsidRPr="00526826" w:rsidRDefault="000B428C" w:rsidP="00600500">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2019</w:t>
            </w:r>
          </w:p>
        </w:tc>
        <w:tc>
          <w:tcPr>
            <w:tcW w:w="1559" w:type="dxa"/>
            <w:shd w:val="clear" w:color="auto" w:fill="BFBFBF" w:themeFill="background1" w:themeFillShade="BF"/>
          </w:tcPr>
          <w:p w:rsidR="000B428C" w:rsidRPr="00526826" w:rsidRDefault="000B428C" w:rsidP="00600500">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2020</w:t>
            </w:r>
          </w:p>
        </w:tc>
        <w:tc>
          <w:tcPr>
            <w:tcW w:w="1560" w:type="dxa"/>
            <w:shd w:val="clear" w:color="auto" w:fill="BFBFBF" w:themeFill="background1" w:themeFillShade="BF"/>
          </w:tcPr>
          <w:p w:rsidR="000B428C" w:rsidRPr="00526826" w:rsidRDefault="000B428C" w:rsidP="00600500">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2021</w:t>
            </w:r>
          </w:p>
        </w:tc>
        <w:tc>
          <w:tcPr>
            <w:tcW w:w="1559" w:type="dxa"/>
            <w:shd w:val="clear" w:color="auto" w:fill="BFBFBF" w:themeFill="background1" w:themeFillShade="BF"/>
          </w:tcPr>
          <w:p w:rsidR="000B428C" w:rsidRPr="00526826" w:rsidRDefault="000B428C" w:rsidP="00600500">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2022</w:t>
            </w:r>
          </w:p>
        </w:tc>
        <w:tc>
          <w:tcPr>
            <w:tcW w:w="2977" w:type="dxa"/>
            <w:shd w:val="clear" w:color="auto" w:fill="BFBFBF" w:themeFill="background1" w:themeFillShade="BF"/>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r>
      <w:tr w:rsidR="00A10DEC" w:rsidTr="0098779A">
        <w:tc>
          <w:tcPr>
            <w:tcW w:w="4957" w:type="dxa"/>
            <w:shd w:val="clear" w:color="auto" w:fill="FFFFFF" w:themeFill="background1"/>
          </w:tcPr>
          <w:p w:rsidR="00A10DEC" w:rsidRDefault="00A10DEC" w:rsidP="00A10DEC">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A10DEC" w:rsidRPr="00526826" w:rsidRDefault="00A10DEC" w:rsidP="00A10DEC">
            <w:pPr>
              <w:tabs>
                <w:tab w:val="num" w:pos="1080"/>
              </w:tabs>
              <w:jc w:val="center"/>
              <w:rPr>
                <w:rFonts w:ascii="Times New Roman" w:eastAsia="Times New Roman" w:hAnsi="Times New Roman" w:cs="Times New Roman"/>
                <w:b/>
                <w:bCs/>
                <w:sz w:val="24"/>
                <w:szCs w:val="20"/>
                <w:lang w:eastAsia="sk-SK"/>
              </w:rPr>
            </w:pPr>
            <w:r w:rsidRPr="00526826">
              <w:rPr>
                <w:rFonts w:ascii="Times New Roman" w:eastAsia="Times New Roman" w:hAnsi="Times New Roman" w:cs="Times New Roman"/>
                <w:b/>
                <w:bCs/>
                <w:sz w:val="24"/>
                <w:szCs w:val="20"/>
                <w:lang w:eastAsia="sk-SK"/>
              </w:rPr>
              <w:t>0</w:t>
            </w:r>
          </w:p>
        </w:tc>
        <w:tc>
          <w:tcPr>
            <w:tcW w:w="1559" w:type="dxa"/>
            <w:shd w:val="clear" w:color="auto" w:fill="FFFFFF" w:themeFill="background1"/>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0</w:t>
            </w:r>
          </w:p>
        </w:tc>
        <w:tc>
          <w:tcPr>
            <w:tcW w:w="1560" w:type="dxa"/>
            <w:shd w:val="clear" w:color="auto" w:fill="FFFFFF" w:themeFill="background1"/>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36 005</w:t>
            </w:r>
          </w:p>
        </w:tc>
        <w:tc>
          <w:tcPr>
            <w:tcW w:w="1559" w:type="dxa"/>
            <w:shd w:val="clear" w:color="auto" w:fill="FFFFFF" w:themeFill="background1"/>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30 050</w:t>
            </w:r>
          </w:p>
        </w:tc>
        <w:tc>
          <w:tcPr>
            <w:tcW w:w="2977" w:type="dxa"/>
            <w:vMerge w:val="restart"/>
            <w:shd w:val="clear" w:color="auto" w:fill="FFFFFF" w:themeFill="background1"/>
          </w:tcPr>
          <w:p w:rsidR="00A10DEC" w:rsidRPr="00BE7FC3" w:rsidRDefault="00A10DEC" w:rsidP="00A10DEC">
            <w:pPr>
              <w:jc w:val="both"/>
              <w:rPr>
                <w:rFonts w:ascii="Times New Roman" w:eastAsia="Times New Roman" w:hAnsi="Times New Roman" w:cs="Times New Roman"/>
                <w:sz w:val="24"/>
                <w:szCs w:val="24"/>
                <w:lang w:eastAsia="sk-SK"/>
              </w:rPr>
            </w:pPr>
            <w:r w:rsidRPr="00BE7FC3">
              <w:rPr>
                <w:rFonts w:ascii="Times New Roman" w:eastAsia="Times New Roman" w:hAnsi="Times New Roman" w:cs="Times New Roman"/>
                <w:sz w:val="24"/>
                <w:szCs w:val="24"/>
                <w:lang w:eastAsia="sk-SK"/>
              </w:rPr>
              <w:t xml:space="preserve">Zmena pravidiel odpočtu daňovej straty </w:t>
            </w:r>
            <w:r>
              <w:rPr>
                <w:rFonts w:ascii="Times New Roman" w:eastAsia="Times New Roman" w:hAnsi="Times New Roman" w:cs="Times New Roman"/>
                <w:sz w:val="24"/>
                <w:szCs w:val="24"/>
                <w:lang w:eastAsia="sk-SK"/>
              </w:rPr>
              <w:t>pre ostatné firmy</w:t>
            </w:r>
          </w:p>
          <w:p w:rsidR="00A10DEC" w:rsidRDefault="00A10DEC" w:rsidP="00A10DEC">
            <w:pPr>
              <w:tabs>
                <w:tab w:val="num" w:pos="1080"/>
              </w:tabs>
              <w:jc w:val="both"/>
              <w:rPr>
                <w:rFonts w:ascii="Times New Roman" w:eastAsia="Times New Roman" w:hAnsi="Times New Roman" w:cs="Times New Roman"/>
                <w:bCs/>
                <w:sz w:val="24"/>
                <w:szCs w:val="20"/>
                <w:lang w:eastAsia="sk-SK"/>
              </w:rPr>
            </w:pPr>
          </w:p>
        </w:tc>
      </w:tr>
      <w:tr w:rsidR="00A10DEC" w:rsidTr="0098779A">
        <w:tc>
          <w:tcPr>
            <w:tcW w:w="4957" w:type="dxa"/>
            <w:shd w:val="clear" w:color="auto" w:fill="FFFFFF" w:themeFill="background1"/>
          </w:tcPr>
          <w:p w:rsidR="00A10DEC" w:rsidRDefault="00A10DEC" w:rsidP="00A10DEC">
            <w:pPr>
              <w:tabs>
                <w:tab w:val="num" w:pos="1080"/>
              </w:tabs>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lang w:eastAsia="sk-SK"/>
              </w:rPr>
              <w:t>DPPO (112)</w:t>
            </w:r>
          </w:p>
        </w:tc>
        <w:tc>
          <w:tcPr>
            <w:tcW w:w="1417" w:type="dxa"/>
            <w:shd w:val="clear" w:color="auto" w:fill="FFFFFF" w:themeFill="background1"/>
          </w:tcPr>
          <w:p w:rsidR="00A10DEC" w:rsidRPr="00526826" w:rsidRDefault="00A10DEC" w:rsidP="00A10DEC">
            <w:pPr>
              <w:tabs>
                <w:tab w:val="num" w:pos="1080"/>
              </w:tabs>
              <w:jc w:val="center"/>
              <w:rPr>
                <w:rFonts w:ascii="Times New Roman" w:eastAsia="Times New Roman" w:hAnsi="Times New Roman" w:cs="Times New Roman"/>
                <w:b/>
                <w:bCs/>
                <w:sz w:val="24"/>
                <w:szCs w:val="20"/>
                <w:lang w:eastAsia="sk-SK"/>
              </w:rPr>
            </w:pPr>
            <w:r w:rsidRPr="00526826">
              <w:rPr>
                <w:rFonts w:ascii="Times New Roman" w:eastAsia="Times New Roman" w:hAnsi="Times New Roman" w:cs="Times New Roman"/>
                <w:b/>
                <w:bCs/>
                <w:sz w:val="24"/>
                <w:szCs w:val="20"/>
                <w:lang w:eastAsia="sk-SK"/>
              </w:rPr>
              <w:t>0</w:t>
            </w:r>
          </w:p>
        </w:tc>
        <w:tc>
          <w:tcPr>
            <w:tcW w:w="1559" w:type="dxa"/>
            <w:shd w:val="clear" w:color="auto" w:fill="FFFFFF" w:themeFill="background1"/>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0</w:t>
            </w:r>
          </w:p>
        </w:tc>
        <w:tc>
          <w:tcPr>
            <w:tcW w:w="1560" w:type="dxa"/>
            <w:shd w:val="clear" w:color="auto" w:fill="FFFFFF" w:themeFill="background1"/>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36 005</w:t>
            </w:r>
          </w:p>
        </w:tc>
        <w:tc>
          <w:tcPr>
            <w:tcW w:w="1559" w:type="dxa"/>
            <w:shd w:val="clear" w:color="auto" w:fill="FFFFFF" w:themeFill="background1"/>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30 050</w:t>
            </w:r>
          </w:p>
        </w:tc>
        <w:tc>
          <w:tcPr>
            <w:tcW w:w="2977" w:type="dxa"/>
            <w:vMerge/>
            <w:shd w:val="clear" w:color="auto" w:fill="FFFFFF" w:themeFill="background1"/>
          </w:tcPr>
          <w:p w:rsidR="00A10DEC" w:rsidRDefault="00A10DEC" w:rsidP="00A10DEC">
            <w:pPr>
              <w:tabs>
                <w:tab w:val="num" w:pos="1080"/>
              </w:tabs>
              <w:jc w:val="both"/>
              <w:rPr>
                <w:rFonts w:ascii="Times New Roman" w:eastAsia="Times New Roman" w:hAnsi="Times New Roman" w:cs="Times New Roman"/>
                <w:bCs/>
                <w:sz w:val="24"/>
                <w:szCs w:val="20"/>
                <w:lang w:eastAsia="sk-SK"/>
              </w:rPr>
            </w:pPr>
          </w:p>
        </w:tc>
      </w:tr>
      <w:tr w:rsidR="000B428C" w:rsidTr="00600500">
        <w:tc>
          <w:tcPr>
            <w:tcW w:w="4957"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r>
      <w:tr w:rsidR="000B428C" w:rsidTr="00600500">
        <w:tc>
          <w:tcPr>
            <w:tcW w:w="4957"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r>
      <w:tr w:rsidR="000B428C" w:rsidTr="00600500">
        <w:tc>
          <w:tcPr>
            <w:tcW w:w="4957"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417" w:type="dxa"/>
            <w:shd w:val="clear" w:color="auto" w:fill="FFFF99"/>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99"/>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r>
      <w:tr w:rsidR="000B428C" w:rsidTr="00600500">
        <w:tc>
          <w:tcPr>
            <w:tcW w:w="4957"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417" w:type="dxa"/>
            <w:shd w:val="clear" w:color="auto" w:fill="FFFF99"/>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99"/>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r>
      <w:tr w:rsidR="00A10DEC" w:rsidTr="0098779A">
        <w:tc>
          <w:tcPr>
            <w:tcW w:w="4957" w:type="dxa"/>
            <w:shd w:val="clear" w:color="auto" w:fill="BFBFBF" w:themeFill="background1" w:themeFillShade="BF"/>
          </w:tcPr>
          <w:p w:rsidR="00A10DEC" w:rsidRDefault="00A10DEC" w:rsidP="00A10DEC">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417" w:type="dxa"/>
            <w:shd w:val="clear" w:color="auto" w:fill="BFBFBF" w:themeFill="background1" w:themeFillShade="BF"/>
          </w:tcPr>
          <w:p w:rsidR="00A10DEC" w:rsidRPr="00526826" w:rsidRDefault="00A10DEC" w:rsidP="00A10DEC">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59" w:type="dxa"/>
            <w:shd w:val="clear" w:color="auto" w:fill="BFBFBF" w:themeFill="background1" w:themeFillShade="BF"/>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0</w:t>
            </w:r>
          </w:p>
        </w:tc>
        <w:tc>
          <w:tcPr>
            <w:tcW w:w="1560" w:type="dxa"/>
            <w:shd w:val="clear" w:color="auto" w:fill="BFBFBF" w:themeFill="background1" w:themeFillShade="BF"/>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36 005</w:t>
            </w:r>
          </w:p>
        </w:tc>
        <w:tc>
          <w:tcPr>
            <w:tcW w:w="1559" w:type="dxa"/>
            <w:shd w:val="clear" w:color="auto" w:fill="BFBFBF" w:themeFill="background1" w:themeFillShade="BF"/>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30 050</w:t>
            </w:r>
          </w:p>
        </w:tc>
        <w:tc>
          <w:tcPr>
            <w:tcW w:w="2977" w:type="dxa"/>
            <w:shd w:val="clear" w:color="auto" w:fill="BFBFBF" w:themeFill="background1" w:themeFillShade="BF"/>
          </w:tcPr>
          <w:p w:rsidR="00A10DEC" w:rsidRDefault="00A10DEC" w:rsidP="00A10DEC">
            <w:pPr>
              <w:tabs>
                <w:tab w:val="num" w:pos="1080"/>
              </w:tabs>
              <w:jc w:val="both"/>
              <w:rPr>
                <w:rFonts w:ascii="Times New Roman" w:eastAsia="Times New Roman" w:hAnsi="Times New Roman" w:cs="Times New Roman"/>
                <w:bCs/>
                <w:sz w:val="24"/>
                <w:szCs w:val="20"/>
                <w:lang w:eastAsia="sk-SK"/>
              </w:rPr>
            </w:pPr>
          </w:p>
        </w:tc>
      </w:tr>
    </w:tbl>
    <w:p w:rsidR="004D77EC" w:rsidRDefault="004D77EC"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8B027E" w:rsidRDefault="008B027E"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0B428C" w:rsidRDefault="000B428C"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0B428C" w:rsidRDefault="000B428C"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0B428C" w:rsidRDefault="000B428C" w:rsidP="000B428C">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0B428C" w:rsidRDefault="000B428C" w:rsidP="000B428C">
      <w:pPr>
        <w:tabs>
          <w:tab w:val="num" w:pos="1080"/>
        </w:tabs>
        <w:spacing w:after="0" w:line="240" w:lineRule="auto"/>
        <w:ind w:right="-32"/>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Tabuľka č. 3.</w:t>
      </w:r>
      <w:r w:rsidR="007972B9">
        <w:rPr>
          <w:rFonts w:ascii="Times New Roman" w:eastAsia="Times New Roman" w:hAnsi="Times New Roman" w:cs="Times New Roman"/>
          <w:bCs/>
          <w:sz w:val="24"/>
          <w:szCs w:val="24"/>
          <w:lang w:eastAsia="sk-SK"/>
        </w:rPr>
        <w:t>5</w:t>
      </w:r>
      <w:r>
        <w:rPr>
          <w:rFonts w:ascii="Times New Roman" w:eastAsia="Times New Roman" w:hAnsi="Times New Roman" w:cs="Times New Roman"/>
          <w:bCs/>
          <w:sz w:val="24"/>
          <w:szCs w:val="24"/>
          <w:lang w:eastAsia="sk-SK"/>
        </w:rPr>
        <w:t>.</w:t>
      </w:r>
    </w:p>
    <w:tbl>
      <w:tblPr>
        <w:tblStyle w:val="Mriekatabuky"/>
        <w:tblW w:w="14029" w:type="dxa"/>
        <w:tblLook w:val="04A0" w:firstRow="1" w:lastRow="0" w:firstColumn="1" w:lastColumn="0" w:noHBand="0" w:noVBand="1"/>
      </w:tblPr>
      <w:tblGrid>
        <w:gridCol w:w="4957"/>
        <w:gridCol w:w="1417"/>
        <w:gridCol w:w="1559"/>
        <w:gridCol w:w="1560"/>
        <w:gridCol w:w="1559"/>
        <w:gridCol w:w="2977"/>
      </w:tblGrid>
      <w:tr w:rsidR="000B428C" w:rsidTr="00600500">
        <w:tc>
          <w:tcPr>
            <w:tcW w:w="4957" w:type="dxa"/>
            <w:vMerge w:val="restart"/>
            <w:shd w:val="clear" w:color="auto" w:fill="BFBFBF" w:themeFill="background1" w:themeFillShade="BF"/>
            <w:vAlign w:val="center"/>
          </w:tcPr>
          <w:p w:rsidR="000B428C" w:rsidRDefault="000B428C" w:rsidP="00600500">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(v</w:t>
            </w:r>
            <w:r>
              <w:rPr>
                <w:rFonts w:ascii="Times New Roman" w:eastAsia="Times New Roman" w:hAnsi="Times New Roman" w:cs="Times New Roman"/>
                <w:b/>
                <w:bCs/>
                <w:sz w:val="24"/>
                <w:szCs w:val="24"/>
                <w:lang w:eastAsia="sk-SK"/>
              </w:rPr>
              <w:t xml:space="preserve"> tis.</w:t>
            </w:r>
            <w:r w:rsidRPr="007D5748">
              <w:rPr>
                <w:rFonts w:ascii="Times New Roman" w:eastAsia="Times New Roman" w:hAnsi="Times New Roman" w:cs="Times New Roman"/>
                <w:b/>
                <w:bCs/>
                <w:sz w:val="24"/>
                <w:szCs w:val="24"/>
                <w:lang w:eastAsia="sk-SK"/>
              </w:rPr>
              <w:t xml:space="preserve"> eur)</w:t>
            </w:r>
          </w:p>
        </w:tc>
        <w:tc>
          <w:tcPr>
            <w:tcW w:w="6095" w:type="dxa"/>
            <w:gridSpan w:val="4"/>
            <w:shd w:val="clear" w:color="auto" w:fill="BFBFBF" w:themeFill="background1" w:themeFillShade="BF"/>
          </w:tcPr>
          <w:p w:rsidR="000B428C" w:rsidRDefault="000B428C" w:rsidP="00600500">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Vplyv na rozpočet verejnej správy</w:t>
            </w:r>
          </w:p>
        </w:tc>
        <w:tc>
          <w:tcPr>
            <w:tcW w:w="2977" w:type="dxa"/>
            <w:shd w:val="clear" w:color="auto" w:fill="BFBFBF" w:themeFill="background1" w:themeFillShade="BF"/>
            <w:vAlign w:val="center"/>
          </w:tcPr>
          <w:p w:rsidR="000B428C" w:rsidRDefault="000B428C" w:rsidP="00600500">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poznámka</w:t>
            </w:r>
          </w:p>
        </w:tc>
      </w:tr>
      <w:tr w:rsidR="000B428C" w:rsidTr="00600500">
        <w:tc>
          <w:tcPr>
            <w:tcW w:w="4957" w:type="dxa"/>
            <w:vMerge/>
            <w:shd w:val="clear" w:color="auto" w:fill="BFBFBF" w:themeFill="background1" w:themeFillShade="BF"/>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417" w:type="dxa"/>
            <w:shd w:val="clear" w:color="auto" w:fill="BFBFBF" w:themeFill="background1" w:themeFillShade="BF"/>
          </w:tcPr>
          <w:p w:rsidR="000B428C" w:rsidRPr="00526826" w:rsidRDefault="000B428C" w:rsidP="00600500">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2019</w:t>
            </w:r>
          </w:p>
        </w:tc>
        <w:tc>
          <w:tcPr>
            <w:tcW w:w="1559" w:type="dxa"/>
            <w:shd w:val="clear" w:color="auto" w:fill="BFBFBF" w:themeFill="background1" w:themeFillShade="BF"/>
          </w:tcPr>
          <w:p w:rsidR="000B428C" w:rsidRPr="00526826" w:rsidRDefault="000B428C" w:rsidP="00600500">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2020</w:t>
            </w:r>
          </w:p>
        </w:tc>
        <w:tc>
          <w:tcPr>
            <w:tcW w:w="1560" w:type="dxa"/>
            <w:shd w:val="clear" w:color="auto" w:fill="BFBFBF" w:themeFill="background1" w:themeFillShade="BF"/>
          </w:tcPr>
          <w:p w:rsidR="000B428C" w:rsidRPr="00526826" w:rsidRDefault="000B428C" w:rsidP="00600500">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2021</w:t>
            </w:r>
          </w:p>
        </w:tc>
        <w:tc>
          <w:tcPr>
            <w:tcW w:w="1559" w:type="dxa"/>
            <w:shd w:val="clear" w:color="auto" w:fill="BFBFBF" w:themeFill="background1" w:themeFillShade="BF"/>
          </w:tcPr>
          <w:p w:rsidR="000B428C" w:rsidRPr="00526826" w:rsidRDefault="000B428C" w:rsidP="00600500">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2022</w:t>
            </w:r>
          </w:p>
        </w:tc>
        <w:tc>
          <w:tcPr>
            <w:tcW w:w="2977" w:type="dxa"/>
            <w:shd w:val="clear" w:color="auto" w:fill="BFBFBF" w:themeFill="background1" w:themeFillShade="BF"/>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r>
      <w:tr w:rsidR="006F1FD4" w:rsidTr="0098779A">
        <w:tc>
          <w:tcPr>
            <w:tcW w:w="4957" w:type="dxa"/>
            <w:shd w:val="clear" w:color="auto" w:fill="FFFFFF" w:themeFill="background1"/>
          </w:tcPr>
          <w:p w:rsidR="006F1FD4" w:rsidRDefault="006F1FD4" w:rsidP="006F1FD4">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6F1FD4" w:rsidRPr="00526826" w:rsidRDefault="006F1FD4" w:rsidP="006F1FD4">
            <w:pPr>
              <w:tabs>
                <w:tab w:val="num" w:pos="1080"/>
              </w:tabs>
              <w:jc w:val="center"/>
              <w:rPr>
                <w:rFonts w:ascii="Times New Roman" w:eastAsia="Times New Roman" w:hAnsi="Times New Roman" w:cs="Times New Roman"/>
                <w:b/>
                <w:bCs/>
                <w:sz w:val="24"/>
                <w:szCs w:val="20"/>
                <w:lang w:eastAsia="sk-SK"/>
              </w:rPr>
            </w:pPr>
            <w:r w:rsidRPr="00526826">
              <w:rPr>
                <w:rFonts w:ascii="Times New Roman" w:eastAsia="Times New Roman" w:hAnsi="Times New Roman" w:cs="Times New Roman"/>
                <w:b/>
                <w:bCs/>
                <w:sz w:val="24"/>
                <w:szCs w:val="20"/>
                <w:lang w:eastAsia="sk-SK"/>
              </w:rPr>
              <w:t>0</w:t>
            </w:r>
          </w:p>
        </w:tc>
        <w:tc>
          <w:tcPr>
            <w:tcW w:w="1559" w:type="dxa"/>
            <w:shd w:val="clear" w:color="auto" w:fill="FFFFFF" w:themeFill="background1"/>
            <w:vAlign w:val="bottom"/>
          </w:tcPr>
          <w:p w:rsidR="006F1FD4" w:rsidRPr="00A10DEC" w:rsidRDefault="006F1FD4" w:rsidP="006F1FD4">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60" w:type="dxa"/>
            <w:shd w:val="clear" w:color="auto" w:fill="FFFFFF" w:themeFill="background1"/>
            <w:vAlign w:val="bottom"/>
          </w:tcPr>
          <w:p w:rsidR="006F1FD4" w:rsidRPr="006F1FD4" w:rsidRDefault="006F1FD4" w:rsidP="006F1FD4">
            <w:pPr>
              <w:tabs>
                <w:tab w:val="num" w:pos="1080"/>
              </w:tabs>
              <w:jc w:val="center"/>
              <w:rPr>
                <w:rFonts w:ascii="Times New Roman" w:eastAsia="Times New Roman" w:hAnsi="Times New Roman" w:cs="Times New Roman"/>
                <w:b/>
                <w:bCs/>
                <w:sz w:val="24"/>
                <w:szCs w:val="20"/>
                <w:lang w:eastAsia="sk-SK"/>
              </w:rPr>
            </w:pPr>
            <w:r w:rsidRPr="006F1FD4">
              <w:rPr>
                <w:rFonts w:ascii="Times New Roman" w:eastAsia="Times New Roman" w:hAnsi="Times New Roman" w:cs="Times New Roman"/>
                <w:b/>
                <w:bCs/>
                <w:sz w:val="24"/>
                <w:szCs w:val="20"/>
                <w:lang w:eastAsia="sk-SK"/>
              </w:rPr>
              <w:t>-15 028</w:t>
            </w:r>
          </w:p>
        </w:tc>
        <w:tc>
          <w:tcPr>
            <w:tcW w:w="1559" w:type="dxa"/>
            <w:shd w:val="clear" w:color="auto" w:fill="FFFFFF" w:themeFill="background1"/>
            <w:vAlign w:val="bottom"/>
          </w:tcPr>
          <w:p w:rsidR="006F1FD4" w:rsidRPr="006F1FD4" w:rsidRDefault="006F1FD4" w:rsidP="006F1FD4">
            <w:pPr>
              <w:tabs>
                <w:tab w:val="num" w:pos="1080"/>
              </w:tabs>
              <w:jc w:val="center"/>
              <w:rPr>
                <w:rFonts w:ascii="Times New Roman" w:eastAsia="Times New Roman" w:hAnsi="Times New Roman" w:cs="Times New Roman"/>
                <w:b/>
                <w:bCs/>
                <w:sz w:val="24"/>
                <w:szCs w:val="20"/>
                <w:lang w:eastAsia="sk-SK"/>
              </w:rPr>
            </w:pPr>
            <w:r w:rsidRPr="006F1FD4">
              <w:rPr>
                <w:rFonts w:ascii="Times New Roman" w:eastAsia="Times New Roman" w:hAnsi="Times New Roman" w:cs="Times New Roman"/>
                <w:b/>
                <w:bCs/>
                <w:sz w:val="24"/>
                <w:szCs w:val="20"/>
                <w:lang w:eastAsia="sk-SK"/>
              </w:rPr>
              <w:t>-14 645</w:t>
            </w:r>
          </w:p>
        </w:tc>
        <w:tc>
          <w:tcPr>
            <w:tcW w:w="2977" w:type="dxa"/>
            <w:vMerge w:val="restart"/>
            <w:shd w:val="clear" w:color="auto" w:fill="FFFFFF" w:themeFill="background1"/>
          </w:tcPr>
          <w:p w:rsidR="006F1FD4" w:rsidRPr="000B428C" w:rsidRDefault="006F1FD4" w:rsidP="006F1FD4">
            <w:pPr>
              <w:jc w:val="both"/>
              <w:rPr>
                <w:rFonts w:ascii="Times New Roman" w:eastAsia="Times New Roman" w:hAnsi="Times New Roman" w:cs="Times New Roman"/>
                <w:sz w:val="24"/>
                <w:szCs w:val="24"/>
                <w:lang w:eastAsia="sk-SK"/>
              </w:rPr>
            </w:pPr>
            <w:r w:rsidRPr="000B428C">
              <w:rPr>
                <w:rFonts w:ascii="Times New Roman" w:eastAsia="Times New Roman" w:hAnsi="Times New Roman" w:cs="Times New Roman"/>
                <w:sz w:val="24"/>
                <w:szCs w:val="24"/>
                <w:lang w:eastAsia="sk-SK"/>
              </w:rPr>
              <w:t>Zavedenie nových podmienok na odpisovanie hmotného majetku u mikrodaňovníkov</w:t>
            </w:r>
          </w:p>
          <w:p w:rsidR="006F1FD4" w:rsidRDefault="006F1FD4" w:rsidP="006F1FD4">
            <w:pPr>
              <w:tabs>
                <w:tab w:val="num" w:pos="1080"/>
              </w:tabs>
              <w:jc w:val="both"/>
              <w:rPr>
                <w:rFonts w:ascii="Times New Roman" w:eastAsia="Times New Roman" w:hAnsi="Times New Roman" w:cs="Times New Roman"/>
                <w:bCs/>
                <w:sz w:val="24"/>
                <w:szCs w:val="20"/>
                <w:lang w:eastAsia="sk-SK"/>
              </w:rPr>
            </w:pPr>
          </w:p>
        </w:tc>
      </w:tr>
      <w:tr w:rsidR="006F1FD4" w:rsidTr="0098779A">
        <w:tc>
          <w:tcPr>
            <w:tcW w:w="4957" w:type="dxa"/>
            <w:shd w:val="clear" w:color="auto" w:fill="FFFFFF" w:themeFill="background1"/>
          </w:tcPr>
          <w:p w:rsidR="006F1FD4" w:rsidRDefault="006F1FD4" w:rsidP="006F1FD4">
            <w:pPr>
              <w:tabs>
                <w:tab w:val="num" w:pos="1080"/>
              </w:tabs>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lang w:eastAsia="sk-SK"/>
              </w:rPr>
              <w:t>DPPO (112)</w:t>
            </w:r>
          </w:p>
        </w:tc>
        <w:tc>
          <w:tcPr>
            <w:tcW w:w="1417" w:type="dxa"/>
            <w:shd w:val="clear" w:color="auto" w:fill="FFFFFF" w:themeFill="background1"/>
          </w:tcPr>
          <w:p w:rsidR="006F1FD4" w:rsidRPr="00526826" w:rsidRDefault="006F1FD4" w:rsidP="006F1FD4">
            <w:pPr>
              <w:tabs>
                <w:tab w:val="num" w:pos="1080"/>
              </w:tabs>
              <w:jc w:val="center"/>
              <w:rPr>
                <w:rFonts w:ascii="Times New Roman" w:eastAsia="Times New Roman" w:hAnsi="Times New Roman" w:cs="Times New Roman"/>
                <w:b/>
                <w:bCs/>
                <w:sz w:val="24"/>
                <w:szCs w:val="20"/>
                <w:lang w:eastAsia="sk-SK"/>
              </w:rPr>
            </w:pPr>
            <w:r w:rsidRPr="00526826">
              <w:rPr>
                <w:rFonts w:ascii="Times New Roman" w:eastAsia="Times New Roman" w:hAnsi="Times New Roman" w:cs="Times New Roman"/>
                <w:b/>
                <w:bCs/>
                <w:sz w:val="24"/>
                <w:szCs w:val="20"/>
                <w:lang w:eastAsia="sk-SK"/>
              </w:rPr>
              <w:t>0</w:t>
            </w:r>
          </w:p>
        </w:tc>
        <w:tc>
          <w:tcPr>
            <w:tcW w:w="1559" w:type="dxa"/>
            <w:shd w:val="clear" w:color="auto" w:fill="FFFFFF" w:themeFill="background1"/>
            <w:vAlign w:val="bottom"/>
          </w:tcPr>
          <w:p w:rsidR="006F1FD4" w:rsidRPr="00A10DEC" w:rsidRDefault="006F1FD4" w:rsidP="006F1FD4">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60" w:type="dxa"/>
            <w:shd w:val="clear" w:color="auto" w:fill="FFFFFF" w:themeFill="background1"/>
            <w:vAlign w:val="bottom"/>
          </w:tcPr>
          <w:p w:rsidR="006F1FD4" w:rsidRPr="006F1FD4" w:rsidRDefault="006F1FD4" w:rsidP="006F1FD4">
            <w:pPr>
              <w:tabs>
                <w:tab w:val="num" w:pos="1080"/>
              </w:tabs>
              <w:jc w:val="center"/>
              <w:rPr>
                <w:rFonts w:ascii="Times New Roman" w:eastAsia="Times New Roman" w:hAnsi="Times New Roman" w:cs="Times New Roman"/>
                <w:b/>
                <w:bCs/>
                <w:sz w:val="24"/>
                <w:szCs w:val="20"/>
                <w:lang w:eastAsia="sk-SK"/>
              </w:rPr>
            </w:pPr>
            <w:r w:rsidRPr="006F1FD4">
              <w:rPr>
                <w:rFonts w:ascii="Times New Roman" w:eastAsia="Times New Roman" w:hAnsi="Times New Roman" w:cs="Times New Roman"/>
                <w:b/>
                <w:bCs/>
                <w:sz w:val="24"/>
                <w:szCs w:val="20"/>
                <w:lang w:eastAsia="sk-SK"/>
              </w:rPr>
              <w:t>-15 028</w:t>
            </w:r>
          </w:p>
        </w:tc>
        <w:tc>
          <w:tcPr>
            <w:tcW w:w="1559" w:type="dxa"/>
            <w:shd w:val="clear" w:color="auto" w:fill="FFFFFF" w:themeFill="background1"/>
            <w:vAlign w:val="bottom"/>
          </w:tcPr>
          <w:p w:rsidR="006F1FD4" w:rsidRPr="006F1FD4" w:rsidRDefault="006F1FD4" w:rsidP="006F1FD4">
            <w:pPr>
              <w:tabs>
                <w:tab w:val="num" w:pos="1080"/>
              </w:tabs>
              <w:jc w:val="center"/>
              <w:rPr>
                <w:rFonts w:ascii="Times New Roman" w:eastAsia="Times New Roman" w:hAnsi="Times New Roman" w:cs="Times New Roman"/>
                <w:b/>
                <w:bCs/>
                <w:sz w:val="24"/>
                <w:szCs w:val="20"/>
                <w:lang w:eastAsia="sk-SK"/>
              </w:rPr>
            </w:pPr>
            <w:r w:rsidRPr="006F1FD4">
              <w:rPr>
                <w:rFonts w:ascii="Times New Roman" w:eastAsia="Times New Roman" w:hAnsi="Times New Roman" w:cs="Times New Roman"/>
                <w:b/>
                <w:bCs/>
                <w:sz w:val="24"/>
                <w:szCs w:val="20"/>
                <w:lang w:eastAsia="sk-SK"/>
              </w:rPr>
              <w:t>-14 645</w:t>
            </w:r>
          </w:p>
        </w:tc>
        <w:tc>
          <w:tcPr>
            <w:tcW w:w="2977" w:type="dxa"/>
            <w:vMerge/>
            <w:shd w:val="clear" w:color="auto" w:fill="FFFFFF" w:themeFill="background1"/>
          </w:tcPr>
          <w:p w:rsidR="006F1FD4" w:rsidRDefault="006F1FD4" w:rsidP="006F1FD4">
            <w:pPr>
              <w:tabs>
                <w:tab w:val="num" w:pos="1080"/>
              </w:tabs>
              <w:jc w:val="both"/>
              <w:rPr>
                <w:rFonts w:ascii="Times New Roman" w:eastAsia="Times New Roman" w:hAnsi="Times New Roman" w:cs="Times New Roman"/>
                <w:bCs/>
                <w:sz w:val="24"/>
                <w:szCs w:val="20"/>
                <w:lang w:eastAsia="sk-SK"/>
              </w:rPr>
            </w:pPr>
          </w:p>
        </w:tc>
      </w:tr>
      <w:tr w:rsidR="000B428C" w:rsidTr="00600500">
        <w:tc>
          <w:tcPr>
            <w:tcW w:w="4957"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FF" w:themeFill="background1"/>
          </w:tcPr>
          <w:p w:rsidR="000B428C" w:rsidRPr="006F1FD4" w:rsidRDefault="000B428C" w:rsidP="006F1FD4">
            <w:pPr>
              <w:tabs>
                <w:tab w:val="num" w:pos="1080"/>
              </w:tabs>
              <w:jc w:val="center"/>
              <w:rPr>
                <w:rFonts w:ascii="Times New Roman" w:eastAsia="Times New Roman" w:hAnsi="Times New Roman" w:cs="Times New Roman"/>
                <w:b/>
                <w:bCs/>
                <w:sz w:val="24"/>
                <w:szCs w:val="20"/>
                <w:lang w:eastAsia="sk-SK"/>
              </w:rPr>
            </w:pPr>
          </w:p>
        </w:tc>
        <w:tc>
          <w:tcPr>
            <w:tcW w:w="1559" w:type="dxa"/>
            <w:shd w:val="clear" w:color="auto" w:fill="FFFFFF" w:themeFill="background1"/>
          </w:tcPr>
          <w:p w:rsidR="000B428C" w:rsidRPr="006F1FD4" w:rsidRDefault="000B428C" w:rsidP="006F1FD4">
            <w:pPr>
              <w:tabs>
                <w:tab w:val="num" w:pos="1080"/>
              </w:tabs>
              <w:jc w:val="center"/>
              <w:rPr>
                <w:rFonts w:ascii="Times New Roman" w:eastAsia="Times New Roman" w:hAnsi="Times New Roman" w:cs="Times New Roman"/>
                <w:b/>
                <w:bCs/>
                <w:sz w:val="24"/>
                <w:szCs w:val="20"/>
                <w:lang w:eastAsia="sk-SK"/>
              </w:rPr>
            </w:pPr>
          </w:p>
        </w:tc>
        <w:tc>
          <w:tcPr>
            <w:tcW w:w="2977" w:type="dxa"/>
            <w:vMerge/>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r>
      <w:tr w:rsidR="000B428C" w:rsidTr="00600500">
        <w:tc>
          <w:tcPr>
            <w:tcW w:w="4957"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FF" w:themeFill="background1"/>
          </w:tcPr>
          <w:p w:rsidR="000B428C" w:rsidRPr="006F1FD4" w:rsidRDefault="000B428C" w:rsidP="006F1FD4">
            <w:pPr>
              <w:tabs>
                <w:tab w:val="num" w:pos="1080"/>
              </w:tabs>
              <w:jc w:val="center"/>
              <w:rPr>
                <w:rFonts w:ascii="Times New Roman" w:eastAsia="Times New Roman" w:hAnsi="Times New Roman" w:cs="Times New Roman"/>
                <w:b/>
                <w:bCs/>
                <w:sz w:val="24"/>
                <w:szCs w:val="20"/>
                <w:lang w:eastAsia="sk-SK"/>
              </w:rPr>
            </w:pPr>
          </w:p>
        </w:tc>
        <w:tc>
          <w:tcPr>
            <w:tcW w:w="1559" w:type="dxa"/>
            <w:shd w:val="clear" w:color="auto" w:fill="FFFFFF" w:themeFill="background1"/>
          </w:tcPr>
          <w:p w:rsidR="000B428C" w:rsidRPr="006F1FD4" w:rsidRDefault="000B428C" w:rsidP="006F1FD4">
            <w:pPr>
              <w:tabs>
                <w:tab w:val="num" w:pos="1080"/>
              </w:tabs>
              <w:jc w:val="center"/>
              <w:rPr>
                <w:rFonts w:ascii="Times New Roman" w:eastAsia="Times New Roman" w:hAnsi="Times New Roman" w:cs="Times New Roman"/>
                <w:b/>
                <w:bCs/>
                <w:sz w:val="24"/>
                <w:szCs w:val="20"/>
                <w:lang w:eastAsia="sk-SK"/>
              </w:rPr>
            </w:pPr>
          </w:p>
        </w:tc>
        <w:tc>
          <w:tcPr>
            <w:tcW w:w="2977" w:type="dxa"/>
            <w:vMerge/>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r>
      <w:tr w:rsidR="000B428C" w:rsidTr="00600500">
        <w:tc>
          <w:tcPr>
            <w:tcW w:w="4957"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417" w:type="dxa"/>
            <w:shd w:val="clear" w:color="auto" w:fill="FFFF99"/>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99"/>
          </w:tcPr>
          <w:p w:rsidR="000B428C" w:rsidRPr="006F1FD4" w:rsidRDefault="000B428C" w:rsidP="006F1FD4">
            <w:pPr>
              <w:tabs>
                <w:tab w:val="num" w:pos="1080"/>
              </w:tabs>
              <w:jc w:val="center"/>
              <w:rPr>
                <w:rFonts w:ascii="Times New Roman" w:eastAsia="Times New Roman" w:hAnsi="Times New Roman" w:cs="Times New Roman"/>
                <w:b/>
                <w:bCs/>
                <w:sz w:val="24"/>
                <w:szCs w:val="20"/>
                <w:lang w:eastAsia="sk-SK"/>
              </w:rPr>
            </w:pPr>
          </w:p>
        </w:tc>
        <w:tc>
          <w:tcPr>
            <w:tcW w:w="1559" w:type="dxa"/>
            <w:shd w:val="clear" w:color="auto" w:fill="FFFF99"/>
          </w:tcPr>
          <w:p w:rsidR="000B428C" w:rsidRPr="006F1FD4" w:rsidRDefault="000B428C" w:rsidP="006F1FD4">
            <w:pPr>
              <w:tabs>
                <w:tab w:val="num" w:pos="1080"/>
              </w:tabs>
              <w:jc w:val="center"/>
              <w:rPr>
                <w:rFonts w:ascii="Times New Roman" w:eastAsia="Times New Roman" w:hAnsi="Times New Roman" w:cs="Times New Roman"/>
                <w:b/>
                <w:bCs/>
                <w:sz w:val="24"/>
                <w:szCs w:val="20"/>
                <w:lang w:eastAsia="sk-SK"/>
              </w:rPr>
            </w:pPr>
          </w:p>
        </w:tc>
        <w:tc>
          <w:tcPr>
            <w:tcW w:w="2977" w:type="dxa"/>
            <w:vMerge/>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r>
      <w:tr w:rsidR="000B428C" w:rsidTr="00600500">
        <w:tc>
          <w:tcPr>
            <w:tcW w:w="4957"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417" w:type="dxa"/>
            <w:shd w:val="clear" w:color="auto" w:fill="FFFF99"/>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99"/>
          </w:tcPr>
          <w:p w:rsidR="000B428C" w:rsidRPr="006F1FD4" w:rsidRDefault="000B428C" w:rsidP="006F1FD4">
            <w:pPr>
              <w:tabs>
                <w:tab w:val="num" w:pos="1080"/>
              </w:tabs>
              <w:jc w:val="center"/>
              <w:rPr>
                <w:rFonts w:ascii="Times New Roman" w:eastAsia="Times New Roman" w:hAnsi="Times New Roman" w:cs="Times New Roman"/>
                <w:b/>
                <w:bCs/>
                <w:sz w:val="24"/>
                <w:szCs w:val="20"/>
                <w:lang w:eastAsia="sk-SK"/>
              </w:rPr>
            </w:pPr>
          </w:p>
        </w:tc>
        <w:tc>
          <w:tcPr>
            <w:tcW w:w="1559" w:type="dxa"/>
            <w:shd w:val="clear" w:color="auto" w:fill="FFFF99"/>
          </w:tcPr>
          <w:p w:rsidR="000B428C" w:rsidRPr="006F1FD4" w:rsidRDefault="000B428C" w:rsidP="006F1FD4">
            <w:pPr>
              <w:tabs>
                <w:tab w:val="num" w:pos="1080"/>
              </w:tabs>
              <w:jc w:val="center"/>
              <w:rPr>
                <w:rFonts w:ascii="Times New Roman" w:eastAsia="Times New Roman" w:hAnsi="Times New Roman" w:cs="Times New Roman"/>
                <w:b/>
                <w:bCs/>
                <w:sz w:val="24"/>
                <w:szCs w:val="20"/>
                <w:lang w:eastAsia="sk-SK"/>
              </w:rPr>
            </w:pPr>
          </w:p>
        </w:tc>
        <w:tc>
          <w:tcPr>
            <w:tcW w:w="2977" w:type="dxa"/>
            <w:vMerge/>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r>
      <w:tr w:rsidR="006F1FD4" w:rsidTr="0098779A">
        <w:tc>
          <w:tcPr>
            <w:tcW w:w="4957" w:type="dxa"/>
            <w:shd w:val="clear" w:color="auto" w:fill="BFBFBF" w:themeFill="background1" w:themeFillShade="BF"/>
          </w:tcPr>
          <w:p w:rsidR="006F1FD4" w:rsidRDefault="006F1FD4" w:rsidP="006F1FD4">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417" w:type="dxa"/>
            <w:shd w:val="clear" w:color="auto" w:fill="BFBFBF" w:themeFill="background1" w:themeFillShade="BF"/>
          </w:tcPr>
          <w:p w:rsidR="006F1FD4" w:rsidRPr="00526826" w:rsidRDefault="006F1FD4" w:rsidP="006F1FD4">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59" w:type="dxa"/>
            <w:shd w:val="clear" w:color="auto" w:fill="BFBFBF" w:themeFill="background1" w:themeFillShade="BF"/>
            <w:vAlign w:val="bottom"/>
          </w:tcPr>
          <w:p w:rsidR="006F1FD4" w:rsidRPr="00A10DEC" w:rsidRDefault="006F1FD4" w:rsidP="006F1FD4">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60" w:type="dxa"/>
            <w:shd w:val="clear" w:color="auto" w:fill="BFBFBF" w:themeFill="background1" w:themeFillShade="BF"/>
            <w:vAlign w:val="bottom"/>
          </w:tcPr>
          <w:p w:rsidR="006F1FD4" w:rsidRPr="006F1FD4" w:rsidRDefault="006F1FD4" w:rsidP="006F1FD4">
            <w:pPr>
              <w:tabs>
                <w:tab w:val="num" w:pos="1080"/>
              </w:tabs>
              <w:jc w:val="center"/>
              <w:rPr>
                <w:rFonts w:ascii="Times New Roman" w:eastAsia="Times New Roman" w:hAnsi="Times New Roman" w:cs="Times New Roman"/>
                <w:b/>
                <w:bCs/>
                <w:sz w:val="24"/>
                <w:szCs w:val="20"/>
                <w:lang w:eastAsia="sk-SK"/>
              </w:rPr>
            </w:pPr>
            <w:r w:rsidRPr="006F1FD4">
              <w:rPr>
                <w:rFonts w:ascii="Times New Roman" w:eastAsia="Times New Roman" w:hAnsi="Times New Roman" w:cs="Times New Roman"/>
                <w:b/>
                <w:bCs/>
                <w:sz w:val="24"/>
                <w:szCs w:val="20"/>
                <w:lang w:eastAsia="sk-SK"/>
              </w:rPr>
              <w:t>-15 028</w:t>
            </w:r>
          </w:p>
        </w:tc>
        <w:tc>
          <w:tcPr>
            <w:tcW w:w="1559" w:type="dxa"/>
            <w:shd w:val="clear" w:color="auto" w:fill="BFBFBF" w:themeFill="background1" w:themeFillShade="BF"/>
            <w:vAlign w:val="bottom"/>
          </w:tcPr>
          <w:p w:rsidR="006F1FD4" w:rsidRPr="006F1FD4" w:rsidRDefault="006F1FD4" w:rsidP="006F1FD4">
            <w:pPr>
              <w:tabs>
                <w:tab w:val="num" w:pos="1080"/>
              </w:tabs>
              <w:jc w:val="center"/>
              <w:rPr>
                <w:rFonts w:ascii="Times New Roman" w:eastAsia="Times New Roman" w:hAnsi="Times New Roman" w:cs="Times New Roman"/>
                <w:b/>
                <w:bCs/>
                <w:sz w:val="24"/>
                <w:szCs w:val="20"/>
                <w:lang w:eastAsia="sk-SK"/>
              </w:rPr>
            </w:pPr>
            <w:r w:rsidRPr="006F1FD4">
              <w:rPr>
                <w:rFonts w:ascii="Times New Roman" w:eastAsia="Times New Roman" w:hAnsi="Times New Roman" w:cs="Times New Roman"/>
                <w:b/>
                <w:bCs/>
                <w:sz w:val="24"/>
                <w:szCs w:val="20"/>
                <w:lang w:eastAsia="sk-SK"/>
              </w:rPr>
              <w:t>-14 645</w:t>
            </w:r>
          </w:p>
        </w:tc>
        <w:tc>
          <w:tcPr>
            <w:tcW w:w="2977" w:type="dxa"/>
            <w:shd w:val="clear" w:color="auto" w:fill="BFBFBF" w:themeFill="background1" w:themeFillShade="BF"/>
          </w:tcPr>
          <w:p w:rsidR="006F1FD4" w:rsidRDefault="006F1FD4" w:rsidP="006F1FD4">
            <w:pPr>
              <w:tabs>
                <w:tab w:val="num" w:pos="1080"/>
              </w:tabs>
              <w:jc w:val="both"/>
              <w:rPr>
                <w:rFonts w:ascii="Times New Roman" w:eastAsia="Times New Roman" w:hAnsi="Times New Roman" w:cs="Times New Roman"/>
                <w:bCs/>
                <w:sz w:val="24"/>
                <w:szCs w:val="20"/>
                <w:lang w:eastAsia="sk-SK"/>
              </w:rPr>
            </w:pPr>
          </w:p>
        </w:tc>
      </w:tr>
    </w:tbl>
    <w:p w:rsidR="006E109D" w:rsidRDefault="006E109D"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0B428C" w:rsidRDefault="000B428C" w:rsidP="000B428C">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0B428C" w:rsidRDefault="000B428C" w:rsidP="000B428C">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0B428C" w:rsidRDefault="000B428C" w:rsidP="000B428C">
      <w:pPr>
        <w:tabs>
          <w:tab w:val="num" w:pos="1080"/>
        </w:tabs>
        <w:spacing w:after="0" w:line="240" w:lineRule="auto"/>
        <w:ind w:right="-32"/>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Tabuľka č. 3.</w:t>
      </w:r>
      <w:r w:rsidR="007972B9">
        <w:rPr>
          <w:rFonts w:ascii="Times New Roman" w:eastAsia="Times New Roman" w:hAnsi="Times New Roman" w:cs="Times New Roman"/>
          <w:bCs/>
          <w:sz w:val="24"/>
          <w:szCs w:val="24"/>
          <w:lang w:eastAsia="sk-SK"/>
        </w:rPr>
        <w:t>6</w:t>
      </w:r>
      <w:r>
        <w:rPr>
          <w:rFonts w:ascii="Times New Roman" w:eastAsia="Times New Roman" w:hAnsi="Times New Roman" w:cs="Times New Roman"/>
          <w:bCs/>
          <w:sz w:val="24"/>
          <w:szCs w:val="24"/>
          <w:lang w:eastAsia="sk-SK"/>
        </w:rPr>
        <w:t>.</w:t>
      </w:r>
    </w:p>
    <w:tbl>
      <w:tblPr>
        <w:tblStyle w:val="Mriekatabuky"/>
        <w:tblW w:w="14029" w:type="dxa"/>
        <w:tblLook w:val="04A0" w:firstRow="1" w:lastRow="0" w:firstColumn="1" w:lastColumn="0" w:noHBand="0" w:noVBand="1"/>
      </w:tblPr>
      <w:tblGrid>
        <w:gridCol w:w="4957"/>
        <w:gridCol w:w="1417"/>
        <w:gridCol w:w="1559"/>
        <w:gridCol w:w="1560"/>
        <w:gridCol w:w="1559"/>
        <w:gridCol w:w="2977"/>
      </w:tblGrid>
      <w:tr w:rsidR="000B428C" w:rsidTr="00600500">
        <w:tc>
          <w:tcPr>
            <w:tcW w:w="4957" w:type="dxa"/>
            <w:vMerge w:val="restart"/>
            <w:shd w:val="clear" w:color="auto" w:fill="BFBFBF" w:themeFill="background1" w:themeFillShade="BF"/>
            <w:vAlign w:val="center"/>
          </w:tcPr>
          <w:p w:rsidR="000B428C" w:rsidRDefault="000B428C" w:rsidP="00600500">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(v</w:t>
            </w:r>
            <w:r>
              <w:rPr>
                <w:rFonts w:ascii="Times New Roman" w:eastAsia="Times New Roman" w:hAnsi="Times New Roman" w:cs="Times New Roman"/>
                <w:b/>
                <w:bCs/>
                <w:sz w:val="24"/>
                <w:szCs w:val="24"/>
                <w:lang w:eastAsia="sk-SK"/>
              </w:rPr>
              <w:t xml:space="preserve"> tis.</w:t>
            </w:r>
            <w:r w:rsidRPr="007D5748">
              <w:rPr>
                <w:rFonts w:ascii="Times New Roman" w:eastAsia="Times New Roman" w:hAnsi="Times New Roman" w:cs="Times New Roman"/>
                <w:b/>
                <w:bCs/>
                <w:sz w:val="24"/>
                <w:szCs w:val="24"/>
                <w:lang w:eastAsia="sk-SK"/>
              </w:rPr>
              <w:t xml:space="preserve"> eur)</w:t>
            </w:r>
          </w:p>
        </w:tc>
        <w:tc>
          <w:tcPr>
            <w:tcW w:w="6095" w:type="dxa"/>
            <w:gridSpan w:val="4"/>
            <w:shd w:val="clear" w:color="auto" w:fill="BFBFBF" w:themeFill="background1" w:themeFillShade="BF"/>
          </w:tcPr>
          <w:p w:rsidR="000B428C" w:rsidRDefault="000B428C" w:rsidP="00600500">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Vplyv na rozpočet verejnej správy</w:t>
            </w:r>
          </w:p>
        </w:tc>
        <w:tc>
          <w:tcPr>
            <w:tcW w:w="2977" w:type="dxa"/>
            <w:shd w:val="clear" w:color="auto" w:fill="BFBFBF" w:themeFill="background1" w:themeFillShade="BF"/>
            <w:vAlign w:val="center"/>
          </w:tcPr>
          <w:p w:rsidR="000B428C" w:rsidRDefault="000B428C" w:rsidP="00600500">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poznámka</w:t>
            </w:r>
          </w:p>
        </w:tc>
      </w:tr>
      <w:tr w:rsidR="000B428C" w:rsidTr="00600500">
        <w:tc>
          <w:tcPr>
            <w:tcW w:w="4957" w:type="dxa"/>
            <w:vMerge/>
            <w:shd w:val="clear" w:color="auto" w:fill="BFBFBF" w:themeFill="background1" w:themeFillShade="BF"/>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417" w:type="dxa"/>
            <w:shd w:val="clear" w:color="auto" w:fill="BFBFBF" w:themeFill="background1" w:themeFillShade="BF"/>
          </w:tcPr>
          <w:p w:rsidR="000B428C" w:rsidRPr="00526826" w:rsidRDefault="000B428C" w:rsidP="00600500">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2019</w:t>
            </w:r>
          </w:p>
        </w:tc>
        <w:tc>
          <w:tcPr>
            <w:tcW w:w="1559" w:type="dxa"/>
            <w:shd w:val="clear" w:color="auto" w:fill="BFBFBF" w:themeFill="background1" w:themeFillShade="BF"/>
          </w:tcPr>
          <w:p w:rsidR="000B428C" w:rsidRPr="00526826" w:rsidRDefault="000B428C" w:rsidP="00600500">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2020</w:t>
            </w:r>
          </w:p>
        </w:tc>
        <w:tc>
          <w:tcPr>
            <w:tcW w:w="1560" w:type="dxa"/>
            <w:shd w:val="clear" w:color="auto" w:fill="BFBFBF" w:themeFill="background1" w:themeFillShade="BF"/>
          </w:tcPr>
          <w:p w:rsidR="000B428C" w:rsidRPr="00526826" w:rsidRDefault="000B428C" w:rsidP="00600500">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2021</w:t>
            </w:r>
          </w:p>
        </w:tc>
        <w:tc>
          <w:tcPr>
            <w:tcW w:w="1559" w:type="dxa"/>
            <w:shd w:val="clear" w:color="auto" w:fill="BFBFBF" w:themeFill="background1" w:themeFillShade="BF"/>
          </w:tcPr>
          <w:p w:rsidR="000B428C" w:rsidRPr="00526826" w:rsidRDefault="000B428C" w:rsidP="00600500">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2022</w:t>
            </w:r>
          </w:p>
        </w:tc>
        <w:tc>
          <w:tcPr>
            <w:tcW w:w="2977" w:type="dxa"/>
            <w:shd w:val="clear" w:color="auto" w:fill="BFBFBF" w:themeFill="background1" w:themeFillShade="BF"/>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r>
      <w:tr w:rsidR="00A10DEC" w:rsidTr="0098779A">
        <w:tc>
          <w:tcPr>
            <w:tcW w:w="4957" w:type="dxa"/>
            <w:shd w:val="clear" w:color="auto" w:fill="FFFFFF" w:themeFill="background1"/>
          </w:tcPr>
          <w:p w:rsidR="00A10DEC" w:rsidRDefault="00A10DEC" w:rsidP="00A10DEC">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-6</w:t>
            </w:r>
            <w:r>
              <w:rPr>
                <w:rFonts w:ascii="Times New Roman" w:eastAsia="Times New Roman" w:hAnsi="Times New Roman" w:cs="Times New Roman"/>
                <w:b/>
                <w:bCs/>
                <w:sz w:val="24"/>
                <w:szCs w:val="20"/>
                <w:lang w:eastAsia="sk-SK"/>
              </w:rPr>
              <w:t xml:space="preserve"> </w:t>
            </w:r>
            <w:r w:rsidRPr="00A10DEC">
              <w:rPr>
                <w:rFonts w:ascii="Times New Roman" w:eastAsia="Times New Roman" w:hAnsi="Times New Roman" w:cs="Times New Roman"/>
                <w:b/>
                <w:bCs/>
                <w:sz w:val="24"/>
                <w:szCs w:val="20"/>
                <w:lang w:eastAsia="sk-SK"/>
              </w:rPr>
              <w:t>775</w:t>
            </w:r>
          </w:p>
        </w:tc>
        <w:tc>
          <w:tcPr>
            <w:tcW w:w="1559" w:type="dxa"/>
            <w:shd w:val="clear" w:color="auto" w:fill="FFFFFF" w:themeFill="background1"/>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-16</w:t>
            </w:r>
            <w:r>
              <w:rPr>
                <w:rFonts w:ascii="Times New Roman" w:eastAsia="Times New Roman" w:hAnsi="Times New Roman" w:cs="Times New Roman"/>
                <w:b/>
                <w:bCs/>
                <w:sz w:val="24"/>
                <w:szCs w:val="20"/>
                <w:lang w:eastAsia="sk-SK"/>
              </w:rPr>
              <w:t xml:space="preserve"> </w:t>
            </w:r>
            <w:r w:rsidRPr="00A10DEC">
              <w:rPr>
                <w:rFonts w:ascii="Times New Roman" w:eastAsia="Times New Roman" w:hAnsi="Times New Roman" w:cs="Times New Roman"/>
                <w:b/>
                <w:bCs/>
                <w:sz w:val="24"/>
                <w:szCs w:val="20"/>
                <w:lang w:eastAsia="sk-SK"/>
              </w:rPr>
              <w:t>697</w:t>
            </w:r>
          </w:p>
        </w:tc>
        <w:tc>
          <w:tcPr>
            <w:tcW w:w="1560" w:type="dxa"/>
            <w:shd w:val="clear" w:color="auto" w:fill="FFFFFF" w:themeFill="background1"/>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-15</w:t>
            </w:r>
            <w:r>
              <w:rPr>
                <w:rFonts w:ascii="Times New Roman" w:eastAsia="Times New Roman" w:hAnsi="Times New Roman" w:cs="Times New Roman"/>
                <w:b/>
                <w:bCs/>
                <w:sz w:val="24"/>
                <w:szCs w:val="20"/>
                <w:lang w:eastAsia="sk-SK"/>
              </w:rPr>
              <w:t xml:space="preserve"> </w:t>
            </w:r>
            <w:r w:rsidRPr="00A10DEC">
              <w:rPr>
                <w:rFonts w:ascii="Times New Roman" w:eastAsia="Times New Roman" w:hAnsi="Times New Roman" w:cs="Times New Roman"/>
                <w:b/>
                <w:bCs/>
                <w:sz w:val="24"/>
                <w:szCs w:val="20"/>
                <w:lang w:eastAsia="sk-SK"/>
              </w:rPr>
              <w:t>487</w:t>
            </w:r>
          </w:p>
        </w:tc>
        <w:tc>
          <w:tcPr>
            <w:tcW w:w="1559" w:type="dxa"/>
            <w:shd w:val="clear" w:color="auto" w:fill="FFFFFF" w:themeFill="background1"/>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-9</w:t>
            </w:r>
            <w:r>
              <w:rPr>
                <w:rFonts w:ascii="Times New Roman" w:eastAsia="Times New Roman" w:hAnsi="Times New Roman" w:cs="Times New Roman"/>
                <w:b/>
                <w:bCs/>
                <w:sz w:val="24"/>
                <w:szCs w:val="20"/>
                <w:lang w:eastAsia="sk-SK"/>
              </w:rPr>
              <w:t xml:space="preserve"> </w:t>
            </w:r>
            <w:r w:rsidRPr="00A10DEC">
              <w:rPr>
                <w:rFonts w:ascii="Times New Roman" w:eastAsia="Times New Roman" w:hAnsi="Times New Roman" w:cs="Times New Roman"/>
                <w:b/>
                <w:bCs/>
                <w:sz w:val="24"/>
                <w:szCs w:val="20"/>
                <w:lang w:eastAsia="sk-SK"/>
              </w:rPr>
              <w:t>261</w:t>
            </w:r>
          </w:p>
        </w:tc>
        <w:tc>
          <w:tcPr>
            <w:tcW w:w="2977" w:type="dxa"/>
            <w:vMerge w:val="restart"/>
            <w:shd w:val="clear" w:color="auto" w:fill="FFFFFF" w:themeFill="background1"/>
          </w:tcPr>
          <w:p w:rsidR="00A10DEC" w:rsidRPr="000B428C" w:rsidRDefault="00A10DEC" w:rsidP="00A10DEC">
            <w:pPr>
              <w:jc w:val="both"/>
              <w:rPr>
                <w:rFonts w:ascii="Times New Roman" w:eastAsia="Times New Roman" w:hAnsi="Times New Roman" w:cs="Times New Roman"/>
                <w:sz w:val="24"/>
                <w:szCs w:val="24"/>
                <w:lang w:eastAsia="sk-SK"/>
              </w:rPr>
            </w:pPr>
            <w:r w:rsidRPr="000B428C">
              <w:rPr>
                <w:rFonts w:ascii="Times New Roman" w:eastAsia="Times New Roman" w:hAnsi="Times New Roman" w:cs="Times New Roman"/>
                <w:sz w:val="24"/>
                <w:szCs w:val="24"/>
                <w:lang w:eastAsia="sk-SK"/>
              </w:rPr>
              <w:t>Podpora elektromobility prostredníctvom daňových odpisov</w:t>
            </w:r>
          </w:p>
          <w:p w:rsidR="00A10DEC" w:rsidRDefault="00A10DEC" w:rsidP="00A10DEC">
            <w:pPr>
              <w:jc w:val="both"/>
              <w:rPr>
                <w:rFonts w:ascii="Times New Roman" w:eastAsia="Times New Roman" w:hAnsi="Times New Roman" w:cs="Times New Roman"/>
                <w:bCs/>
                <w:sz w:val="24"/>
                <w:szCs w:val="20"/>
                <w:lang w:eastAsia="sk-SK"/>
              </w:rPr>
            </w:pPr>
          </w:p>
        </w:tc>
      </w:tr>
      <w:tr w:rsidR="00A10DEC" w:rsidTr="0098779A">
        <w:tc>
          <w:tcPr>
            <w:tcW w:w="4957" w:type="dxa"/>
            <w:shd w:val="clear" w:color="auto" w:fill="FFFFFF" w:themeFill="background1"/>
          </w:tcPr>
          <w:p w:rsidR="00A10DEC" w:rsidRDefault="00A10DEC" w:rsidP="00A10DEC">
            <w:pPr>
              <w:tabs>
                <w:tab w:val="num" w:pos="1080"/>
              </w:tabs>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lang w:eastAsia="sk-SK"/>
              </w:rPr>
              <w:t>DPPO (112)</w:t>
            </w:r>
          </w:p>
        </w:tc>
        <w:tc>
          <w:tcPr>
            <w:tcW w:w="1417" w:type="dxa"/>
            <w:shd w:val="clear" w:color="auto" w:fill="FFFFFF" w:themeFill="background1"/>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-6</w:t>
            </w:r>
            <w:r>
              <w:rPr>
                <w:rFonts w:ascii="Times New Roman" w:eastAsia="Times New Roman" w:hAnsi="Times New Roman" w:cs="Times New Roman"/>
                <w:b/>
                <w:bCs/>
                <w:sz w:val="24"/>
                <w:szCs w:val="20"/>
                <w:lang w:eastAsia="sk-SK"/>
              </w:rPr>
              <w:t xml:space="preserve"> </w:t>
            </w:r>
            <w:r w:rsidRPr="00A10DEC">
              <w:rPr>
                <w:rFonts w:ascii="Times New Roman" w:eastAsia="Times New Roman" w:hAnsi="Times New Roman" w:cs="Times New Roman"/>
                <w:b/>
                <w:bCs/>
                <w:sz w:val="24"/>
                <w:szCs w:val="20"/>
                <w:lang w:eastAsia="sk-SK"/>
              </w:rPr>
              <w:t>775</w:t>
            </w:r>
          </w:p>
        </w:tc>
        <w:tc>
          <w:tcPr>
            <w:tcW w:w="1559" w:type="dxa"/>
            <w:shd w:val="clear" w:color="auto" w:fill="FFFFFF" w:themeFill="background1"/>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-16</w:t>
            </w:r>
            <w:r>
              <w:rPr>
                <w:rFonts w:ascii="Times New Roman" w:eastAsia="Times New Roman" w:hAnsi="Times New Roman" w:cs="Times New Roman"/>
                <w:b/>
                <w:bCs/>
                <w:sz w:val="24"/>
                <w:szCs w:val="20"/>
                <w:lang w:eastAsia="sk-SK"/>
              </w:rPr>
              <w:t xml:space="preserve"> </w:t>
            </w:r>
            <w:r w:rsidRPr="00A10DEC">
              <w:rPr>
                <w:rFonts w:ascii="Times New Roman" w:eastAsia="Times New Roman" w:hAnsi="Times New Roman" w:cs="Times New Roman"/>
                <w:b/>
                <w:bCs/>
                <w:sz w:val="24"/>
                <w:szCs w:val="20"/>
                <w:lang w:eastAsia="sk-SK"/>
              </w:rPr>
              <w:t>697</w:t>
            </w:r>
          </w:p>
        </w:tc>
        <w:tc>
          <w:tcPr>
            <w:tcW w:w="1560" w:type="dxa"/>
            <w:shd w:val="clear" w:color="auto" w:fill="FFFFFF" w:themeFill="background1"/>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-15</w:t>
            </w:r>
            <w:r>
              <w:rPr>
                <w:rFonts w:ascii="Times New Roman" w:eastAsia="Times New Roman" w:hAnsi="Times New Roman" w:cs="Times New Roman"/>
                <w:b/>
                <w:bCs/>
                <w:sz w:val="24"/>
                <w:szCs w:val="20"/>
                <w:lang w:eastAsia="sk-SK"/>
              </w:rPr>
              <w:t xml:space="preserve"> </w:t>
            </w:r>
            <w:r w:rsidRPr="00A10DEC">
              <w:rPr>
                <w:rFonts w:ascii="Times New Roman" w:eastAsia="Times New Roman" w:hAnsi="Times New Roman" w:cs="Times New Roman"/>
                <w:b/>
                <w:bCs/>
                <w:sz w:val="24"/>
                <w:szCs w:val="20"/>
                <w:lang w:eastAsia="sk-SK"/>
              </w:rPr>
              <w:t>487</w:t>
            </w:r>
          </w:p>
        </w:tc>
        <w:tc>
          <w:tcPr>
            <w:tcW w:w="1559" w:type="dxa"/>
            <w:shd w:val="clear" w:color="auto" w:fill="FFFFFF" w:themeFill="background1"/>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-9</w:t>
            </w:r>
            <w:r>
              <w:rPr>
                <w:rFonts w:ascii="Times New Roman" w:eastAsia="Times New Roman" w:hAnsi="Times New Roman" w:cs="Times New Roman"/>
                <w:b/>
                <w:bCs/>
                <w:sz w:val="24"/>
                <w:szCs w:val="20"/>
                <w:lang w:eastAsia="sk-SK"/>
              </w:rPr>
              <w:t xml:space="preserve"> </w:t>
            </w:r>
            <w:r w:rsidRPr="00A10DEC">
              <w:rPr>
                <w:rFonts w:ascii="Times New Roman" w:eastAsia="Times New Roman" w:hAnsi="Times New Roman" w:cs="Times New Roman"/>
                <w:b/>
                <w:bCs/>
                <w:sz w:val="24"/>
                <w:szCs w:val="20"/>
                <w:lang w:eastAsia="sk-SK"/>
              </w:rPr>
              <w:t>261</w:t>
            </w:r>
          </w:p>
        </w:tc>
        <w:tc>
          <w:tcPr>
            <w:tcW w:w="2977" w:type="dxa"/>
            <w:vMerge/>
            <w:shd w:val="clear" w:color="auto" w:fill="FFFFFF" w:themeFill="background1"/>
          </w:tcPr>
          <w:p w:rsidR="00A10DEC" w:rsidRDefault="00A10DEC" w:rsidP="00A10DEC">
            <w:pPr>
              <w:tabs>
                <w:tab w:val="num" w:pos="1080"/>
              </w:tabs>
              <w:jc w:val="both"/>
              <w:rPr>
                <w:rFonts w:ascii="Times New Roman" w:eastAsia="Times New Roman" w:hAnsi="Times New Roman" w:cs="Times New Roman"/>
                <w:bCs/>
                <w:sz w:val="24"/>
                <w:szCs w:val="20"/>
                <w:lang w:eastAsia="sk-SK"/>
              </w:rPr>
            </w:pPr>
          </w:p>
        </w:tc>
      </w:tr>
      <w:tr w:rsidR="000B428C" w:rsidTr="00600500">
        <w:tc>
          <w:tcPr>
            <w:tcW w:w="4957"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r>
      <w:tr w:rsidR="000B428C" w:rsidTr="00600500">
        <w:tc>
          <w:tcPr>
            <w:tcW w:w="4957"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r>
      <w:tr w:rsidR="000B428C" w:rsidTr="00600500">
        <w:tc>
          <w:tcPr>
            <w:tcW w:w="4957"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417" w:type="dxa"/>
            <w:shd w:val="clear" w:color="auto" w:fill="FFFF99"/>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99"/>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r>
      <w:tr w:rsidR="000B428C" w:rsidTr="00600500">
        <w:tc>
          <w:tcPr>
            <w:tcW w:w="4957"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417" w:type="dxa"/>
            <w:shd w:val="clear" w:color="auto" w:fill="FFFF99"/>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99"/>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r>
      <w:tr w:rsidR="00A10DEC" w:rsidTr="0098779A">
        <w:tc>
          <w:tcPr>
            <w:tcW w:w="4957" w:type="dxa"/>
            <w:shd w:val="clear" w:color="auto" w:fill="BFBFBF" w:themeFill="background1" w:themeFillShade="BF"/>
          </w:tcPr>
          <w:p w:rsidR="00A10DEC" w:rsidRDefault="00A10DEC" w:rsidP="00A10DEC">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417" w:type="dxa"/>
            <w:shd w:val="clear" w:color="auto" w:fill="BFBFBF" w:themeFill="background1" w:themeFillShade="BF"/>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-6</w:t>
            </w:r>
            <w:r>
              <w:rPr>
                <w:rFonts w:ascii="Times New Roman" w:eastAsia="Times New Roman" w:hAnsi="Times New Roman" w:cs="Times New Roman"/>
                <w:b/>
                <w:bCs/>
                <w:sz w:val="24"/>
                <w:szCs w:val="20"/>
                <w:lang w:eastAsia="sk-SK"/>
              </w:rPr>
              <w:t xml:space="preserve"> </w:t>
            </w:r>
            <w:r w:rsidRPr="00A10DEC">
              <w:rPr>
                <w:rFonts w:ascii="Times New Roman" w:eastAsia="Times New Roman" w:hAnsi="Times New Roman" w:cs="Times New Roman"/>
                <w:b/>
                <w:bCs/>
                <w:sz w:val="24"/>
                <w:szCs w:val="20"/>
                <w:lang w:eastAsia="sk-SK"/>
              </w:rPr>
              <w:t>775</w:t>
            </w:r>
          </w:p>
        </w:tc>
        <w:tc>
          <w:tcPr>
            <w:tcW w:w="1559" w:type="dxa"/>
            <w:shd w:val="clear" w:color="auto" w:fill="BFBFBF" w:themeFill="background1" w:themeFillShade="BF"/>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-16</w:t>
            </w:r>
            <w:r>
              <w:rPr>
                <w:rFonts w:ascii="Times New Roman" w:eastAsia="Times New Roman" w:hAnsi="Times New Roman" w:cs="Times New Roman"/>
                <w:b/>
                <w:bCs/>
                <w:sz w:val="24"/>
                <w:szCs w:val="20"/>
                <w:lang w:eastAsia="sk-SK"/>
              </w:rPr>
              <w:t xml:space="preserve"> </w:t>
            </w:r>
            <w:r w:rsidRPr="00A10DEC">
              <w:rPr>
                <w:rFonts w:ascii="Times New Roman" w:eastAsia="Times New Roman" w:hAnsi="Times New Roman" w:cs="Times New Roman"/>
                <w:b/>
                <w:bCs/>
                <w:sz w:val="24"/>
                <w:szCs w:val="20"/>
                <w:lang w:eastAsia="sk-SK"/>
              </w:rPr>
              <w:t>697</w:t>
            </w:r>
          </w:p>
        </w:tc>
        <w:tc>
          <w:tcPr>
            <w:tcW w:w="1560" w:type="dxa"/>
            <w:shd w:val="clear" w:color="auto" w:fill="BFBFBF" w:themeFill="background1" w:themeFillShade="BF"/>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-15</w:t>
            </w:r>
            <w:r>
              <w:rPr>
                <w:rFonts w:ascii="Times New Roman" w:eastAsia="Times New Roman" w:hAnsi="Times New Roman" w:cs="Times New Roman"/>
                <w:b/>
                <w:bCs/>
                <w:sz w:val="24"/>
                <w:szCs w:val="20"/>
                <w:lang w:eastAsia="sk-SK"/>
              </w:rPr>
              <w:t xml:space="preserve"> </w:t>
            </w:r>
            <w:r w:rsidRPr="00A10DEC">
              <w:rPr>
                <w:rFonts w:ascii="Times New Roman" w:eastAsia="Times New Roman" w:hAnsi="Times New Roman" w:cs="Times New Roman"/>
                <w:b/>
                <w:bCs/>
                <w:sz w:val="24"/>
                <w:szCs w:val="20"/>
                <w:lang w:eastAsia="sk-SK"/>
              </w:rPr>
              <w:t>487</w:t>
            </w:r>
          </w:p>
        </w:tc>
        <w:tc>
          <w:tcPr>
            <w:tcW w:w="1559" w:type="dxa"/>
            <w:shd w:val="clear" w:color="auto" w:fill="BFBFBF" w:themeFill="background1" w:themeFillShade="BF"/>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-9</w:t>
            </w:r>
            <w:r>
              <w:rPr>
                <w:rFonts w:ascii="Times New Roman" w:eastAsia="Times New Roman" w:hAnsi="Times New Roman" w:cs="Times New Roman"/>
                <w:b/>
                <w:bCs/>
                <w:sz w:val="24"/>
                <w:szCs w:val="20"/>
                <w:lang w:eastAsia="sk-SK"/>
              </w:rPr>
              <w:t xml:space="preserve"> </w:t>
            </w:r>
            <w:r w:rsidRPr="00A10DEC">
              <w:rPr>
                <w:rFonts w:ascii="Times New Roman" w:eastAsia="Times New Roman" w:hAnsi="Times New Roman" w:cs="Times New Roman"/>
                <w:b/>
                <w:bCs/>
                <w:sz w:val="24"/>
                <w:szCs w:val="20"/>
                <w:lang w:eastAsia="sk-SK"/>
              </w:rPr>
              <w:t>261</w:t>
            </w:r>
          </w:p>
        </w:tc>
        <w:tc>
          <w:tcPr>
            <w:tcW w:w="2977" w:type="dxa"/>
            <w:shd w:val="clear" w:color="auto" w:fill="BFBFBF" w:themeFill="background1" w:themeFillShade="BF"/>
          </w:tcPr>
          <w:p w:rsidR="00A10DEC" w:rsidRDefault="00A10DEC" w:rsidP="00A10DEC">
            <w:pPr>
              <w:tabs>
                <w:tab w:val="num" w:pos="1080"/>
              </w:tabs>
              <w:jc w:val="both"/>
              <w:rPr>
                <w:rFonts w:ascii="Times New Roman" w:eastAsia="Times New Roman" w:hAnsi="Times New Roman" w:cs="Times New Roman"/>
                <w:bCs/>
                <w:sz w:val="24"/>
                <w:szCs w:val="20"/>
                <w:lang w:eastAsia="sk-SK"/>
              </w:rPr>
            </w:pPr>
          </w:p>
        </w:tc>
      </w:tr>
    </w:tbl>
    <w:p w:rsidR="000B428C" w:rsidRDefault="000B428C"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0B428C" w:rsidRDefault="000B428C"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0B428C" w:rsidRDefault="000B428C"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0B428C" w:rsidRDefault="000B428C"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0B428C" w:rsidRDefault="000B428C" w:rsidP="000B428C">
      <w:pPr>
        <w:tabs>
          <w:tab w:val="num" w:pos="1080"/>
        </w:tabs>
        <w:spacing w:after="0" w:line="240" w:lineRule="auto"/>
        <w:ind w:right="-32"/>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Tabuľka č. 3.</w:t>
      </w:r>
      <w:r w:rsidR="007972B9">
        <w:rPr>
          <w:rFonts w:ascii="Times New Roman" w:eastAsia="Times New Roman" w:hAnsi="Times New Roman" w:cs="Times New Roman"/>
          <w:bCs/>
          <w:sz w:val="24"/>
          <w:szCs w:val="24"/>
          <w:lang w:eastAsia="sk-SK"/>
        </w:rPr>
        <w:t>7</w:t>
      </w:r>
      <w:r>
        <w:rPr>
          <w:rFonts w:ascii="Times New Roman" w:eastAsia="Times New Roman" w:hAnsi="Times New Roman" w:cs="Times New Roman"/>
          <w:bCs/>
          <w:sz w:val="24"/>
          <w:szCs w:val="24"/>
          <w:lang w:eastAsia="sk-SK"/>
        </w:rPr>
        <w:t>.</w:t>
      </w:r>
    </w:p>
    <w:tbl>
      <w:tblPr>
        <w:tblStyle w:val="Mriekatabuky"/>
        <w:tblW w:w="14029" w:type="dxa"/>
        <w:tblLook w:val="04A0" w:firstRow="1" w:lastRow="0" w:firstColumn="1" w:lastColumn="0" w:noHBand="0" w:noVBand="1"/>
      </w:tblPr>
      <w:tblGrid>
        <w:gridCol w:w="4957"/>
        <w:gridCol w:w="1417"/>
        <w:gridCol w:w="1559"/>
        <w:gridCol w:w="1560"/>
        <w:gridCol w:w="1559"/>
        <w:gridCol w:w="2977"/>
      </w:tblGrid>
      <w:tr w:rsidR="000B428C" w:rsidTr="00600500">
        <w:tc>
          <w:tcPr>
            <w:tcW w:w="4957" w:type="dxa"/>
            <w:vMerge w:val="restart"/>
            <w:shd w:val="clear" w:color="auto" w:fill="BFBFBF" w:themeFill="background1" w:themeFillShade="BF"/>
            <w:vAlign w:val="center"/>
          </w:tcPr>
          <w:p w:rsidR="000B428C" w:rsidRDefault="000B428C" w:rsidP="00600500">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(v</w:t>
            </w:r>
            <w:r>
              <w:rPr>
                <w:rFonts w:ascii="Times New Roman" w:eastAsia="Times New Roman" w:hAnsi="Times New Roman" w:cs="Times New Roman"/>
                <w:b/>
                <w:bCs/>
                <w:sz w:val="24"/>
                <w:szCs w:val="24"/>
                <w:lang w:eastAsia="sk-SK"/>
              </w:rPr>
              <w:t xml:space="preserve"> tis.</w:t>
            </w:r>
            <w:r w:rsidRPr="007D5748">
              <w:rPr>
                <w:rFonts w:ascii="Times New Roman" w:eastAsia="Times New Roman" w:hAnsi="Times New Roman" w:cs="Times New Roman"/>
                <w:b/>
                <w:bCs/>
                <w:sz w:val="24"/>
                <w:szCs w:val="24"/>
                <w:lang w:eastAsia="sk-SK"/>
              </w:rPr>
              <w:t xml:space="preserve"> eur)</w:t>
            </w:r>
          </w:p>
        </w:tc>
        <w:tc>
          <w:tcPr>
            <w:tcW w:w="6095" w:type="dxa"/>
            <w:gridSpan w:val="4"/>
            <w:shd w:val="clear" w:color="auto" w:fill="BFBFBF" w:themeFill="background1" w:themeFillShade="BF"/>
          </w:tcPr>
          <w:p w:rsidR="000B428C" w:rsidRDefault="000B428C" w:rsidP="00600500">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Vplyv na rozpočet verejnej správy</w:t>
            </w:r>
          </w:p>
        </w:tc>
        <w:tc>
          <w:tcPr>
            <w:tcW w:w="2977" w:type="dxa"/>
            <w:shd w:val="clear" w:color="auto" w:fill="BFBFBF" w:themeFill="background1" w:themeFillShade="BF"/>
            <w:vAlign w:val="center"/>
          </w:tcPr>
          <w:p w:rsidR="000B428C" w:rsidRDefault="000B428C" w:rsidP="00600500">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poznámka</w:t>
            </w:r>
          </w:p>
        </w:tc>
      </w:tr>
      <w:tr w:rsidR="000B428C" w:rsidTr="00600500">
        <w:tc>
          <w:tcPr>
            <w:tcW w:w="4957" w:type="dxa"/>
            <w:vMerge/>
            <w:shd w:val="clear" w:color="auto" w:fill="BFBFBF" w:themeFill="background1" w:themeFillShade="BF"/>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417" w:type="dxa"/>
            <w:shd w:val="clear" w:color="auto" w:fill="BFBFBF" w:themeFill="background1" w:themeFillShade="BF"/>
          </w:tcPr>
          <w:p w:rsidR="000B428C" w:rsidRPr="00526826" w:rsidRDefault="000B428C" w:rsidP="00600500">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2019</w:t>
            </w:r>
          </w:p>
        </w:tc>
        <w:tc>
          <w:tcPr>
            <w:tcW w:w="1559" w:type="dxa"/>
            <w:shd w:val="clear" w:color="auto" w:fill="BFBFBF" w:themeFill="background1" w:themeFillShade="BF"/>
          </w:tcPr>
          <w:p w:rsidR="000B428C" w:rsidRPr="00526826" w:rsidRDefault="000B428C" w:rsidP="00600500">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2020</w:t>
            </w:r>
          </w:p>
        </w:tc>
        <w:tc>
          <w:tcPr>
            <w:tcW w:w="1560" w:type="dxa"/>
            <w:shd w:val="clear" w:color="auto" w:fill="BFBFBF" w:themeFill="background1" w:themeFillShade="BF"/>
          </w:tcPr>
          <w:p w:rsidR="000B428C" w:rsidRPr="00526826" w:rsidRDefault="000B428C" w:rsidP="00600500">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2021</w:t>
            </w:r>
          </w:p>
        </w:tc>
        <w:tc>
          <w:tcPr>
            <w:tcW w:w="1559" w:type="dxa"/>
            <w:shd w:val="clear" w:color="auto" w:fill="BFBFBF" w:themeFill="background1" w:themeFillShade="BF"/>
          </w:tcPr>
          <w:p w:rsidR="000B428C" w:rsidRPr="00526826" w:rsidRDefault="000B428C" w:rsidP="00600500">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2022</w:t>
            </w:r>
          </w:p>
        </w:tc>
        <w:tc>
          <w:tcPr>
            <w:tcW w:w="2977" w:type="dxa"/>
            <w:shd w:val="clear" w:color="auto" w:fill="BFBFBF" w:themeFill="background1" w:themeFillShade="BF"/>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r>
      <w:tr w:rsidR="00A10DEC" w:rsidTr="0098779A">
        <w:tc>
          <w:tcPr>
            <w:tcW w:w="4957" w:type="dxa"/>
            <w:shd w:val="clear" w:color="auto" w:fill="FFFFFF" w:themeFill="background1"/>
          </w:tcPr>
          <w:p w:rsidR="00A10DEC" w:rsidRDefault="00A10DEC" w:rsidP="00A10DEC">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-5 597</w:t>
            </w:r>
          </w:p>
        </w:tc>
        <w:tc>
          <w:tcPr>
            <w:tcW w:w="1559" w:type="dxa"/>
            <w:shd w:val="clear" w:color="auto" w:fill="FFFFFF" w:themeFill="background1"/>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-13 339</w:t>
            </w:r>
          </w:p>
        </w:tc>
        <w:tc>
          <w:tcPr>
            <w:tcW w:w="1560" w:type="dxa"/>
            <w:shd w:val="clear" w:color="auto" w:fill="FFFFFF" w:themeFill="background1"/>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-15 293</w:t>
            </w:r>
          </w:p>
        </w:tc>
        <w:tc>
          <w:tcPr>
            <w:tcW w:w="1559" w:type="dxa"/>
            <w:shd w:val="clear" w:color="auto" w:fill="FFFFFF" w:themeFill="background1"/>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-18 368</w:t>
            </w:r>
          </w:p>
        </w:tc>
        <w:tc>
          <w:tcPr>
            <w:tcW w:w="2977" w:type="dxa"/>
            <w:vMerge w:val="restart"/>
            <w:shd w:val="clear" w:color="auto" w:fill="FFFFFF" w:themeFill="background1"/>
          </w:tcPr>
          <w:p w:rsidR="00A10DEC" w:rsidRDefault="00A10DEC" w:rsidP="00A10DEC">
            <w:pPr>
              <w:jc w:val="both"/>
              <w:rPr>
                <w:rFonts w:ascii="Times New Roman" w:eastAsia="Times New Roman" w:hAnsi="Times New Roman" w:cs="Times New Roman"/>
                <w:bCs/>
                <w:sz w:val="24"/>
                <w:szCs w:val="20"/>
                <w:lang w:eastAsia="sk-SK"/>
              </w:rPr>
            </w:pPr>
            <w:r>
              <w:rPr>
                <w:rFonts w:ascii="Times New Roman" w:eastAsia="Times New Roman" w:hAnsi="Times New Roman" w:cs="Times New Roman"/>
                <w:sz w:val="24"/>
                <w:szCs w:val="24"/>
                <w:lang w:eastAsia="sk-SK"/>
              </w:rPr>
              <w:t>Zmena pri uplatňovaní superodpočtu výdavkov na vedu a výskum</w:t>
            </w:r>
            <w:r>
              <w:rPr>
                <w:rFonts w:ascii="Times New Roman" w:eastAsia="Times New Roman" w:hAnsi="Times New Roman" w:cs="Times New Roman"/>
                <w:bCs/>
                <w:sz w:val="24"/>
                <w:szCs w:val="20"/>
                <w:lang w:eastAsia="sk-SK"/>
              </w:rPr>
              <w:t xml:space="preserve"> </w:t>
            </w:r>
          </w:p>
        </w:tc>
      </w:tr>
      <w:tr w:rsidR="00A10DEC" w:rsidTr="0098779A">
        <w:tc>
          <w:tcPr>
            <w:tcW w:w="4957" w:type="dxa"/>
            <w:shd w:val="clear" w:color="auto" w:fill="FFFFFF" w:themeFill="background1"/>
          </w:tcPr>
          <w:p w:rsidR="00A10DEC" w:rsidRDefault="00A10DEC" w:rsidP="00A10DEC">
            <w:pPr>
              <w:tabs>
                <w:tab w:val="num" w:pos="1080"/>
              </w:tabs>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lang w:eastAsia="sk-SK"/>
              </w:rPr>
              <w:t>DPPO (112)</w:t>
            </w:r>
          </w:p>
        </w:tc>
        <w:tc>
          <w:tcPr>
            <w:tcW w:w="1417" w:type="dxa"/>
            <w:shd w:val="clear" w:color="auto" w:fill="FFFFFF" w:themeFill="background1"/>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-5 597</w:t>
            </w:r>
          </w:p>
        </w:tc>
        <w:tc>
          <w:tcPr>
            <w:tcW w:w="1559" w:type="dxa"/>
            <w:shd w:val="clear" w:color="auto" w:fill="FFFFFF" w:themeFill="background1"/>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-13 339</w:t>
            </w:r>
          </w:p>
        </w:tc>
        <w:tc>
          <w:tcPr>
            <w:tcW w:w="1560" w:type="dxa"/>
            <w:shd w:val="clear" w:color="auto" w:fill="FFFFFF" w:themeFill="background1"/>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-15 293</w:t>
            </w:r>
          </w:p>
        </w:tc>
        <w:tc>
          <w:tcPr>
            <w:tcW w:w="1559" w:type="dxa"/>
            <w:shd w:val="clear" w:color="auto" w:fill="FFFFFF" w:themeFill="background1"/>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-18 368</w:t>
            </w:r>
          </w:p>
        </w:tc>
        <w:tc>
          <w:tcPr>
            <w:tcW w:w="2977" w:type="dxa"/>
            <w:vMerge/>
            <w:shd w:val="clear" w:color="auto" w:fill="FFFFFF" w:themeFill="background1"/>
          </w:tcPr>
          <w:p w:rsidR="00A10DEC" w:rsidRDefault="00A10DEC" w:rsidP="00A10DEC">
            <w:pPr>
              <w:tabs>
                <w:tab w:val="num" w:pos="1080"/>
              </w:tabs>
              <w:jc w:val="both"/>
              <w:rPr>
                <w:rFonts w:ascii="Times New Roman" w:eastAsia="Times New Roman" w:hAnsi="Times New Roman" w:cs="Times New Roman"/>
                <w:bCs/>
                <w:sz w:val="24"/>
                <w:szCs w:val="20"/>
                <w:lang w:eastAsia="sk-SK"/>
              </w:rPr>
            </w:pPr>
          </w:p>
        </w:tc>
      </w:tr>
      <w:tr w:rsidR="000B428C" w:rsidTr="00600500">
        <w:tc>
          <w:tcPr>
            <w:tcW w:w="4957"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r>
      <w:tr w:rsidR="000B428C" w:rsidTr="00600500">
        <w:tc>
          <w:tcPr>
            <w:tcW w:w="4957"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r>
      <w:tr w:rsidR="000B428C" w:rsidTr="00600500">
        <w:tc>
          <w:tcPr>
            <w:tcW w:w="4957"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417" w:type="dxa"/>
            <w:shd w:val="clear" w:color="auto" w:fill="FFFF99"/>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99"/>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r>
      <w:tr w:rsidR="000B428C" w:rsidTr="00600500">
        <w:tc>
          <w:tcPr>
            <w:tcW w:w="4957" w:type="dxa"/>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417" w:type="dxa"/>
            <w:shd w:val="clear" w:color="auto" w:fill="FFFF99"/>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99"/>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0B428C" w:rsidRDefault="000B428C" w:rsidP="00600500">
            <w:pPr>
              <w:tabs>
                <w:tab w:val="num" w:pos="1080"/>
              </w:tabs>
              <w:jc w:val="both"/>
              <w:rPr>
                <w:rFonts w:ascii="Times New Roman" w:eastAsia="Times New Roman" w:hAnsi="Times New Roman" w:cs="Times New Roman"/>
                <w:bCs/>
                <w:sz w:val="24"/>
                <w:szCs w:val="20"/>
                <w:lang w:eastAsia="sk-SK"/>
              </w:rPr>
            </w:pPr>
          </w:p>
        </w:tc>
      </w:tr>
      <w:tr w:rsidR="00A10DEC" w:rsidTr="0098779A">
        <w:tc>
          <w:tcPr>
            <w:tcW w:w="4957" w:type="dxa"/>
            <w:shd w:val="clear" w:color="auto" w:fill="BFBFBF" w:themeFill="background1" w:themeFillShade="BF"/>
          </w:tcPr>
          <w:p w:rsidR="00A10DEC" w:rsidRDefault="00A10DEC" w:rsidP="00A10DEC">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417" w:type="dxa"/>
            <w:shd w:val="clear" w:color="auto" w:fill="BFBFBF" w:themeFill="background1" w:themeFillShade="BF"/>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-5 597</w:t>
            </w:r>
          </w:p>
        </w:tc>
        <w:tc>
          <w:tcPr>
            <w:tcW w:w="1559" w:type="dxa"/>
            <w:shd w:val="clear" w:color="auto" w:fill="BFBFBF" w:themeFill="background1" w:themeFillShade="BF"/>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-13 339</w:t>
            </w:r>
          </w:p>
        </w:tc>
        <w:tc>
          <w:tcPr>
            <w:tcW w:w="1560" w:type="dxa"/>
            <w:shd w:val="clear" w:color="auto" w:fill="BFBFBF" w:themeFill="background1" w:themeFillShade="BF"/>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-15 293</w:t>
            </w:r>
          </w:p>
        </w:tc>
        <w:tc>
          <w:tcPr>
            <w:tcW w:w="1559" w:type="dxa"/>
            <w:shd w:val="clear" w:color="auto" w:fill="BFBFBF" w:themeFill="background1" w:themeFillShade="BF"/>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-18 368</w:t>
            </w:r>
          </w:p>
        </w:tc>
        <w:tc>
          <w:tcPr>
            <w:tcW w:w="2977" w:type="dxa"/>
            <w:shd w:val="clear" w:color="auto" w:fill="BFBFBF" w:themeFill="background1" w:themeFillShade="BF"/>
          </w:tcPr>
          <w:p w:rsidR="00A10DEC" w:rsidRDefault="00A10DEC" w:rsidP="00A10DEC">
            <w:pPr>
              <w:tabs>
                <w:tab w:val="num" w:pos="1080"/>
              </w:tabs>
              <w:jc w:val="both"/>
              <w:rPr>
                <w:rFonts w:ascii="Times New Roman" w:eastAsia="Times New Roman" w:hAnsi="Times New Roman" w:cs="Times New Roman"/>
                <w:bCs/>
                <w:sz w:val="24"/>
                <w:szCs w:val="20"/>
                <w:lang w:eastAsia="sk-SK"/>
              </w:rPr>
            </w:pPr>
          </w:p>
        </w:tc>
      </w:tr>
    </w:tbl>
    <w:p w:rsidR="000B428C" w:rsidRDefault="000B428C"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3B74F5" w:rsidRDefault="003B74F5"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0B428C" w:rsidRDefault="003B74F5"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Tabuľka č. 3.</w:t>
      </w:r>
      <w:r w:rsidR="007972B9">
        <w:rPr>
          <w:rFonts w:ascii="Times New Roman" w:eastAsia="Times New Roman" w:hAnsi="Times New Roman" w:cs="Times New Roman"/>
          <w:bCs/>
          <w:sz w:val="24"/>
          <w:szCs w:val="24"/>
          <w:lang w:eastAsia="sk-SK"/>
        </w:rPr>
        <w:t>8</w:t>
      </w:r>
      <w:r>
        <w:rPr>
          <w:rFonts w:ascii="Times New Roman" w:eastAsia="Times New Roman" w:hAnsi="Times New Roman" w:cs="Times New Roman"/>
          <w:bCs/>
          <w:sz w:val="24"/>
          <w:szCs w:val="24"/>
          <w:lang w:eastAsia="sk-SK"/>
        </w:rPr>
        <w:t>.</w:t>
      </w:r>
    </w:p>
    <w:tbl>
      <w:tblPr>
        <w:tblStyle w:val="Mriekatabuky"/>
        <w:tblW w:w="14029" w:type="dxa"/>
        <w:tblLook w:val="04A0" w:firstRow="1" w:lastRow="0" w:firstColumn="1" w:lastColumn="0" w:noHBand="0" w:noVBand="1"/>
      </w:tblPr>
      <w:tblGrid>
        <w:gridCol w:w="4957"/>
        <w:gridCol w:w="1417"/>
        <w:gridCol w:w="1559"/>
        <w:gridCol w:w="1560"/>
        <w:gridCol w:w="1559"/>
        <w:gridCol w:w="2977"/>
      </w:tblGrid>
      <w:tr w:rsidR="003B74F5" w:rsidTr="00600500">
        <w:tc>
          <w:tcPr>
            <w:tcW w:w="4957" w:type="dxa"/>
            <w:vMerge w:val="restart"/>
            <w:shd w:val="clear" w:color="auto" w:fill="BFBFBF" w:themeFill="background1" w:themeFillShade="BF"/>
            <w:vAlign w:val="center"/>
          </w:tcPr>
          <w:p w:rsidR="003B74F5" w:rsidRDefault="003B74F5" w:rsidP="00600500">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(v</w:t>
            </w:r>
            <w:r>
              <w:rPr>
                <w:rFonts w:ascii="Times New Roman" w:eastAsia="Times New Roman" w:hAnsi="Times New Roman" w:cs="Times New Roman"/>
                <w:b/>
                <w:bCs/>
                <w:sz w:val="24"/>
                <w:szCs w:val="24"/>
                <w:lang w:eastAsia="sk-SK"/>
              </w:rPr>
              <w:t xml:space="preserve"> tis.</w:t>
            </w:r>
            <w:r w:rsidRPr="007D5748">
              <w:rPr>
                <w:rFonts w:ascii="Times New Roman" w:eastAsia="Times New Roman" w:hAnsi="Times New Roman" w:cs="Times New Roman"/>
                <w:b/>
                <w:bCs/>
                <w:sz w:val="24"/>
                <w:szCs w:val="24"/>
                <w:lang w:eastAsia="sk-SK"/>
              </w:rPr>
              <w:t xml:space="preserve"> eur)</w:t>
            </w:r>
          </w:p>
        </w:tc>
        <w:tc>
          <w:tcPr>
            <w:tcW w:w="6095" w:type="dxa"/>
            <w:gridSpan w:val="4"/>
            <w:shd w:val="clear" w:color="auto" w:fill="BFBFBF" w:themeFill="background1" w:themeFillShade="BF"/>
          </w:tcPr>
          <w:p w:rsidR="003B74F5" w:rsidRDefault="003B74F5" w:rsidP="00600500">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Vplyv na rozpočet verejnej správy</w:t>
            </w:r>
          </w:p>
        </w:tc>
        <w:tc>
          <w:tcPr>
            <w:tcW w:w="2977" w:type="dxa"/>
            <w:shd w:val="clear" w:color="auto" w:fill="BFBFBF" w:themeFill="background1" w:themeFillShade="BF"/>
            <w:vAlign w:val="center"/>
          </w:tcPr>
          <w:p w:rsidR="003B74F5" w:rsidRDefault="003B74F5" w:rsidP="00600500">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poznámka</w:t>
            </w:r>
          </w:p>
        </w:tc>
      </w:tr>
      <w:tr w:rsidR="003B74F5" w:rsidTr="00600500">
        <w:tc>
          <w:tcPr>
            <w:tcW w:w="4957" w:type="dxa"/>
            <w:vMerge/>
            <w:shd w:val="clear" w:color="auto" w:fill="BFBFBF" w:themeFill="background1" w:themeFillShade="BF"/>
          </w:tcPr>
          <w:p w:rsidR="003B74F5" w:rsidRDefault="003B74F5" w:rsidP="00600500">
            <w:pPr>
              <w:tabs>
                <w:tab w:val="num" w:pos="1080"/>
              </w:tabs>
              <w:jc w:val="both"/>
              <w:rPr>
                <w:rFonts w:ascii="Times New Roman" w:eastAsia="Times New Roman" w:hAnsi="Times New Roman" w:cs="Times New Roman"/>
                <w:bCs/>
                <w:sz w:val="24"/>
                <w:szCs w:val="20"/>
                <w:lang w:eastAsia="sk-SK"/>
              </w:rPr>
            </w:pPr>
          </w:p>
        </w:tc>
        <w:tc>
          <w:tcPr>
            <w:tcW w:w="1417" w:type="dxa"/>
            <w:shd w:val="clear" w:color="auto" w:fill="BFBFBF" w:themeFill="background1" w:themeFillShade="BF"/>
          </w:tcPr>
          <w:p w:rsidR="003B74F5" w:rsidRPr="00526826" w:rsidRDefault="003B74F5" w:rsidP="00600500">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2019</w:t>
            </w:r>
          </w:p>
        </w:tc>
        <w:tc>
          <w:tcPr>
            <w:tcW w:w="1559" w:type="dxa"/>
            <w:shd w:val="clear" w:color="auto" w:fill="BFBFBF" w:themeFill="background1" w:themeFillShade="BF"/>
          </w:tcPr>
          <w:p w:rsidR="003B74F5" w:rsidRPr="00526826" w:rsidRDefault="003B74F5" w:rsidP="00600500">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2020</w:t>
            </w:r>
          </w:p>
        </w:tc>
        <w:tc>
          <w:tcPr>
            <w:tcW w:w="1560" w:type="dxa"/>
            <w:shd w:val="clear" w:color="auto" w:fill="BFBFBF" w:themeFill="background1" w:themeFillShade="BF"/>
          </w:tcPr>
          <w:p w:rsidR="003B74F5" w:rsidRPr="00526826" w:rsidRDefault="003B74F5" w:rsidP="00600500">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2021</w:t>
            </w:r>
          </w:p>
        </w:tc>
        <w:tc>
          <w:tcPr>
            <w:tcW w:w="1559" w:type="dxa"/>
            <w:shd w:val="clear" w:color="auto" w:fill="BFBFBF" w:themeFill="background1" w:themeFillShade="BF"/>
          </w:tcPr>
          <w:p w:rsidR="003B74F5" w:rsidRPr="00526826" w:rsidRDefault="003B74F5" w:rsidP="00600500">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2022</w:t>
            </w:r>
          </w:p>
        </w:tc>
        <w:tc>
          <w:tcPr>
            <w:tcW w:w="2977" w:type="dxa"/>
            <w:shd w:val="clear" w:color="auto" w:fill="BFBFBF" w:themeFill="background1" w:themeFillShade="BF"/>
          </w:tcPr>
          <w:p w:rsidR="003B74F5" w:rsidRDefault="003B74F5" w:rsidP="00600500">
            <w:pPr>
              <w:tabs>
                <w:tab w:val="num" w:pos="1080"/>
              </w:tabs>
              <w:jc w:val="both"/>
              <w:rPr>
                <w:rFonts w:ascii="Times New Roman" w:eastAsia="Times New Roman" w:hAnsi="Times New Roman" w:cs="Times New Roman"/>
                <w:bCs/>
                <w:sz w:val="24"/>
                <w:szCs w:val="20"/>
                <w:lang w:eastAsia="sk-SK"/>
              </w:rPr>
            </w:pPr>
          </w:p>
        </w:tc>
      </w:tr>
      <w:tr w:rsidR="00A10DEC" w:rsidTr="0098779A">
        <w:tc>
          <w:tcPr>
            <w:tcW w:w="4957" w:type="dxa"/>
            <w:shd w:val="clear" w:color="auto" w:fill="FFFFFF" w:themeFill="background1"/>
          </w:tcPr>
          <w:p w:rsidR="00A10DEC" w:rsidRDefault="00A10DEC" w:rsidP="00A10DEC">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A10DEC" w:rsidRPr="00526826" w:rsidRDefault="00A10DEC" w:rsidP="00A10DEC">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59" w:type="dxa"/>
            <w:shd w:val="clear" w:color="auto" w:fill="FFFFFF" w:themeFill="background1"/>
            <w:vAlign w:val="bottom"/>
          </w:tcPr>
          <w:p w:rsidR="00A10DEC" w:rsidRPr="00A10DEC" w:rsidRDefault="005C47E4" w:rsidP="005C47E4">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60" w:type="dxa"/>
            <w:shd w:val="clear" w:color="auto" w:fill="FFFFFF" w:themeFill="background1"/>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-1 100</w:t>
            </w:r>
          </w:p>
        </w:tc>
        <w:tc>
          <w:tcPr>
            <w:tcW w:w="1559" w:type="dxa"/>
            <w:shd w:val="clear" w:color="auto" w:fill="FFFFFF" w:themeFill="background1"/>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-1 100</w:t>
            </w:r>
          </w:p>
        </w:tc>
        <w:tc>
          <w:tcPr>
            <w:tcW w:w="2977" w:type="dxa"/>
            <w:vMerge w:val="restart"/>
            <w:shd w:val="clear" w:color="auto" w:fill="FFFFFF" w:themeFill="background1"/>
          </w:tcPr>
          <w:p w:rsidR="00A10DEC" w:rsidRPr="003B74F5" w:rsidRDefault="00A10DEC" w:rsidP="00A10DEC">
            <w:pPr>
              <w:jc w:val="both"/>
              <w:rPr>
                <w:rFonts w:ascii="Times New Roman" w:eastAsia="Times New Roman" w:hAnsi="Times New Roman" w:cs="Times New Roman"/>
                <w:sz w:val="24"/>
                <w:szCs w:val="24"/>
                <w:lang w:eastAsia="sk-SK"/>
              </w:rPr>
            </w:pPr>
            <w:r w:rsidRPr="003B74F5">
              <w:rPr>
                <w:rFonts w:ascii="Times New Roman" w:eastAsia="Times New Roman" w:hAnsi="Times New Roman" w:cs="Times New Roman"/>
                <w:sz w:val="24"/>
                <w:szCs w:val="24"/>
                <w:lang w:eastAsia="sk-SK"/>
              </w:rPr>
              <w:t>Zavedenie možnosti tvorby daňových opravných položiek k pohľadávkam mikrodaňovníkov v súlade s účtovníctvom</w:t>
            </w:r>
          </w:p>
          <w:p w:rsidR="00A10DEC" w:rsidRDefault="00A10DEC" w:rsidP="00A10DEC">
            <w:pPr>
              <w:jc w:val="both"/>
              <w:rPr>
                <w:rFonts w:ascii="Times New Roman" w:eastAsia="Times New Roman" w:hAnsi="Times New Roman" w:cs="Times New Roman"/>
                <w:bCs/>
                <w:sz w:val="24"/>
                <w:szCs w:val="20"/>
                <w:lang w:eastAsia="sk-SK"/>
              </w:rPr>
            </w:pPr>
          </w:p>
        </w:tc>
      </w:tr>
      <w:tr w:rsidR="00A10DEC" w:rsidTr="0098779A">
        <w:tc>
          <w:tcPr>
            <w:tcW w:w="4957" w:type="dxa"/>
            <w:shd w:val="clear" w:color="auto" w:fill="FFFFFF" w:themeFill="background1"/>
          </w:tcPr>
          <w:p w:rsidR="00A10DEC" w:rsidRDefault="00A10DEC" w:rsidP="00A10DEC">
            <w:pPr>
              <w:tabs>
                <w:tab w:val="num" w:pos="1080"/>
              </w:tabs>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lang w:eastAsia="sk-SK"/>
              </w:rPr>
              <w:t>DPPO (112)</w:t>
            </w:r>
          </w:p>
        </w:tc>
        <w:tc>
          <w:tcPr>
            <w:tcW w:w="1417" w:type="dxa"/>
            <w:shd w:val="clear" w:color="auto" w:fill="FFFFFF" w:themeFill="background1"/>
          </w:tcPr>
          <w:p w:rsidR="00A10DEC" w:rsidRPr="00526826" w:rsidRDefault="00A10DEC" w:rsidP="00A10DEC">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59" w:type="dxa"/>
            <w:shd w:val="clear" w:color="auto" w:fill="FFFFFF" w:themeFill="background1"/>
            <w:vAlign w:val="bottom"/>
          </w:tcPr>
          <w:p w:rsidR="00A10DEC" w:rsidRPr="00A10DEC" w:rsidRDefault="005C47E4" w:rsidP="00A10DEC">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60" w:type="dxa"/>
            <w:shd w:val="clear" w:color="auto" w:fill="FFFFFF" w:themeFill="background1"/>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-1 100</w:t>
            </w:r>
          </w:p>
        </w:tc>
        <w:tc>
          <w:tcPr>
            <w:tcW w:w="1559" w:type="dxa"/>
            <w:shd w:val="clear" w:color="auto" w:fill="FFFFFF" w:themeFill="background1"/>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-1 100</w:t>
            </w:r>
          </w:p>
        </w:tc>
        <w:tc>
          <w:tcPr>
            <w:tcW w:w="2977" w:type="dxa"/>
            <w:vMerge/>
            <w:shd w:val="clear" w:color="auto" w:fill="FFFFFF" w:themeFill="background1"/>
          </w:tcPr>
          <w:p w:rsidR="00A10DEC" w:rsidRDefault="00A10DEC" w:rsidP="00A10DEC">
            <w:pPr>
              <w:tabs>
                <w:tab w:val="num" w:pos="1080"/>
              </w:tabs>
              <w:jc w:val="both"/>
              <w:rPr>
                <w:rFonts w:ascii="Times New Roman" w:eastAsia="Times New Roman" w:hAnsi="Times New Roman" w:cs="Times New Roman"/>
                <w:bCs/>
                <w:sz w:val="24"/>
                <w:szCs w:val="20"/>
                <w:lang w:eastAsia="sk-SK"/>
              </w:rPr>
            </w:pPr>
          </w:p>
        </w:tc>
      </w:tr>
      <w:tr w:rsidR="003B74F5" w:rsidTr="00600500">
        <w:tc>
          <w:tcPr>
            <w:tcW w:w="4957" w:type="dxa"/>
            <w:shd w:val="clear" w:color="auto" w:fill="FFFFFF" w:themeFill="background1"/>
          </w:tcPr>
          <w:p w:rsidR="003B74F5" w:rsidRDefault="003B74F5" w:rsidP="003B74F5">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3B74F5" w:rsidRDefault="003B74F5" w:rsidP="003B74F5">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3B74F5" w:rsidRDefault="003B74F5" w:rsidP="003B74F5">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FF" w:themeFill="background1"/>
          </w:tcPr>
          <w:p w:rsidR="003B74F5" w:rsidRDefault="003B74F5" w:rsidP="003B74F5">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3B74F5" w:rsidRDefault="003B74F5" w:rsidP="003B74F5">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3B74F5" w:rsidRDefault="003B74F5" w:rsidP="003B74F5">
            <w:pPr>
              <w:tabs>
                <w:tab w:val="num" w:pos="1080"/>
              </w:tabs>
              <w:jc w:val="both"/>
              <w:rPr>
                <w:rFonts w:ascii="Times New Roman" w:eastAsia="Times New Roman" w:hAnsi="Times New Roman" w:cs="Times New Roman"/>
                <w:bCs/>
                <w:sz w:val="24"/>
                <w:szCs w:val="20"/>
                <w:lang w:eastAsia="sk-SK"/>
              </w:rPr>
            </w:pPr>
          </w:p>
        </w:tc>
      </w:tr>
      <w:tr w:rsidR="003B74F5" w:rsidTr="00600500">
        <w:tc>
          <w:tcPr>
            <w:tcW w:w="4957" w:type="dxa"/>
            <w:shd w:val="clear" w:color="auto" w:fill="FFFFFF" w:themeFill="background1"/>
          </w:tcPr>
          <w:p w:rsidR="003B74F5" w:rsidRDefault="003B74F5" w:rsidP="003B74F5">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3B74F5" w:rsidRDefault="003B74F5" w:rsidP="003B74F5">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3B74F5" w:rsidRDefault="003B74F5" w:rsidP="003B74F5">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FF" w:themeFill="background1"/>
          </w:tcPr>
          <w:p w:rsidR="003B74F5" w:rsidRDefault="003B74F5" w:rsidP="003B74F5">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3B74F5" w:rsidRDefault="003B74F5" w:rsidP="003B74F5">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3B74F5" w:rsidRDefault="003B74F5" w:rsidP="003B74F5">
            <w:pPr>
              <w:tabs>
                <w:tab w:val="num" w:pos="1080"/>
              </w:tabs>
              <w:jc w:val="both"/>
              <w:rPr>
                <w:rFonts w:ascii="Times New Roman" w:eastAsia="Times New Roman" w:hAnsi="Times New Roman" w:cs="Times New Roman"/>
                <w:bCs/>
                <w:sz w:val="24"/>
                <w:szCs w:val="20"/>
                <w:lang w:eastAsia="sk-SK"/>
              </w:rPr>
            </w:pPr>
          </w:p>
        </w:tc>
      </w:tr>
      <w:tr w:rsidR="003B74F5" w:rsidTr="00600500">
        <w:tc>
          <w:tcPr>
            <w:tcW w:w="4957" w:type="dxa"/>
            <w:shd w:val="clear" w:color="auto" w:fill="FFFFFF" w:themeFill="background1"/>
          </w:tcPr>
          <w:p w:rsidR="003B74F5" w:rsidRDefault="003B74F5" w:rsidP="003B74F5">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417" w:type="dxa"/>
            <w:shd w:val="clear" w:color="auto" w:fill="FFFF99"/>
          </w:tcPr>
          <w:p w:rsidR="003B74F5" w:rsidRDefault="003B74F5" w:rsidP="003B74F5">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3B74F5" w:rsidRDefault="003B74F5" w:rsidP="003B74F5">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99"/>
          </w:tcPr>
          <w:p w:rsidR="003B74F5" w:rsidRDefault="003B74F5" w:rsidP="003B74F5">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3B74F5" w:rsidRDefault="003B74F5" w:rsidP="003B74F5">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3B74F5" w:rsidRDefault="003B74F5" w:rsidP="003B74F5">
            <w:pPr>
              <w:tabs>
                <w:tab w:val="num" w:pos="1080"/>
              </w:tabs>
              <w:jc w:val="both"/>
              <w:rPr>
                <w:rFonts w:ascii="Times New Roman" w:eastAsia="Times New Roman" w:hAnsi="Times New Roman" w:cs="Times New Roman"/>
                <w:bCs/>
                <w:sz w:val="24"/>
                <w:szCs w:val="20"/>
                <w:lang w:eastAsia="sk-SK"/>
              </w:rPr>
            </w:pPr>
          </w:p>
        </w:tc>
      </w:tr>
      <w:tr w:rsidR="003B74F5" w:rsidTr="00600500">
        <w:tc>
          <w:tcPr>
            <w:tcW w:w="4957" w:type="dxa"/>
            <w:shd w:val="clear" w:color="auto" w:fill="FFFFFF" w:themeFill="background1"/>
          </w:tcPr>
          <w:p w:rsidR="003B74F5" w:rsidRDefault="003B74F5" w:rsidP="003B74F5">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417" w:type="dxa"/>
            <w:shd w:val="clear" w:color="auto" w:fill="FFFF99"/>
          </w:tcPr>
          <w:p w:rsidR="003B74F5" w:rsidRDefault="003B74F5" w:rsidP="003B74F5">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3B74F5" w:rsidRDefault="003B74F5" w:rsidP="003B74F5">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99"/>
          </w:tcPr>
          <w:p w:rsidR="003B74F5" w:rsidRDefault="003B74F5" w:rsidP="003B74F5">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3B74F5" w:rsidRDefault="003B74F5" w:rsidP="003B74F5">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3B74F5" w:rsidRDefault="003B74F5" w:rsidP="003B74F5">
            <w:pPr>
              <w:tabs>
                <w:tab w:val="num" w:pos="1080"/>
              </w:tabs>
              <w:jc w:val="both"/>
              <w:rPr>
                <w:rFonts w:ascii="Times New Roman" w:eastAsia="Times New Roman" w:hAnsi="Times New Roman" w:cs="Times New Roman"/>
                <w:bCs/>
                <w:sz w:val="24"/>
                <w:szCs w:val="20"/>
                <w:lang w:eastAsia="sk-SK"/>
              </w:rPr>
            </w:pPr>
          </w:p>
        </w:tc>
      </w:tr>
      <w:tr w:rsidR="00A10DEC" w:rsidTr="0098779A">
        <w:tc>
          <w:tcPr>
            <w:tcW w:w="4957" w:type="dxa"/>
            <w:shd w:val="clear" w:color="auto" w:fill="BFBFBF" w:themeFill="background1" w:themeFillShade="BF"/>
          </w:tcPr>
          <w:p w:rsidR="00A10DEC" w:rsidRDefault="00A10DEC" w:rsidP="00A10DEC">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417" w:type="dxa"/>
            <w:shd w:val="clear" w:color="auto" w:fill="BFBFBF" w:themeFill="background1" w:themeFillShade="BF"/>
          </w:tcPr>
          <w:p w:rsidR="00A10DEC" w:rsidRPr="00526826" w:rsidRDefault="00A10DEC" w:rsidP="00A10DEC">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59" w:type="dxa"/>
            <w:shd w:val="clear" w:color="auto" w:fill="BFBFBF" w:themeFill="background1" w:themeFillShade="BF"/>
            <w:vAlign w:val="bottom"/>
          </w:tcPr>
          <w:p w:rsidR="00A10DEC" w:rsidRPr="00A10DEC" w:rsidRDefault="005C47E4" w:rsidP="00A10DEC">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60" w:type="dxa"/>
            <w:shd w:val="clear" w:color="auto" w:fill="BFBFBF" w:themeFill="background1" w:themeFillShade="BF"/>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-1 100</w:t>
            </w:r>
          </w:p>
        </w:tc>
        <w:tc>
          <w:tcPr>
            <w:tcW w:w="1559" w:type="dxa"/>
            <w:shd w:val="clear" w:color="auto" w:fill="BFBFBF" w:themeFill="background1" w:themeFillShade="BF"/>
            <w:vAlign w:val="bottom"/>
          </w:tcPr>
          <w:p w:rsidR="00A10DEC" w:rsidRPr="00A10DEC" w:rsidRDefault="00A10DEC" w:rsidP="00A10DEC">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-1 100</w:t>
            </w:r>
          </w:p>
        </w:tc>
        <w:tc>
          <w:tcPr>
            <w:tcW w:w="2977" w:type="dxa"/>
            <w:shd w:val="clear" w:color="auto" w:fill="BFBFBF" w:themeFill="background1" w:themeFillShade="BF"/>
          </w:tcPr>
          <w:p w:rsidR="00A10DEC" w:rsidRDefault="00A10DEC" w:rsidP="00A10DEC">
            <w:pPr>
              <w:tabs>
                <w:tab w:val="num" w:pos="1080"/>
              </w:tabs>
              <w:jc w:val="both"/>
              <w:rPr>
                <w:rFonts w:ascii="Times New Roman" w:eastAsia="Times New Roman" w:hAnsi="Times New Roman" w:cs="Times New Roman"/>
                <w:bCs/>
                <w:sz w:val="24"/>
                <w:szCs w:val="20"/>
                <w:lang w:eastAsia="sk-SK"/>
              </w:rPr>
            </w:pPr>
          </w:p>
        </w:tc>
      </w:tr>
    </w:tbl>
    <w:p w:rsidR="00966D5C" w:rsidRDefault="00966D5C"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C63DEE" w:rsidRDefault="00C63DEE"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C63DEE" w:rsidRDefault="00C63DEE"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C63DEE" w:rsidRDefault="00C63DEE"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C63DEE" w:rsidRDefault="00C63DEE"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C63DEE" w:rsidRDefault="00C63DEE"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bookmarkStart w:id="1" w:name="_GoBack"/>
      <w:bookmarkEnd w:id="1"/>
    </w:p>
    <w:p w:rsidR="003B74F5" w:rsidRDefault="003B74F5"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Tabuľka č. 3.</w:t>
      </w:r>
      <w:r w:rsidR="007972B9">
        <w:rPr>
          <w:rFonts w:ascii="Times New Roman" w:eastAsia="Times New Roman" w:hAnsi="Times New Roman" w:cs="Times New Roman"/>
          <w:bCs/>
          <w:sz w:val="24"/>
          <w:szCs w:val="24"/>
          <w:lang w:eastAsia="sk-SK"/>
        </w:rPr>
        <w:t>9</w:t>
      </w:r>
      <w:r>
        <w:rPr>
          <w:rFonts w:ascii="Times New Roman" w:eastAsia="Times New Roman" w:hAnsi="Times New Roman" w:cs="Times New Roman"/>
          <w:bCs/>
          <w:sz w:val="24"/>
          <w:szCs w:val="24"/>
          <w:lang w:eastAsia="sk-SK"/>
        </w:rPr>
        <w:t>.</w:t>
      </w:r>
    </w:p>
    <w:tbl>
      <w:tblPr>
        <w:tblStyle w:val="Mriekatabuky"/>
        <w:tblW w:w="14029" w:type="dxa"/>
        <w:tblLook w:val="04A0" w:firstRow="1" w:lastRow="0" w:firstColumn="1" w:lastColumn="0" w:noHBand="0" w:noVBand="1"/>
      </w:tblPr>
      <w:tblGrid>
        <w:gridCol w:w="4957"/>
        <w:gridCol w:w="1417"/>
        <w:gridCol w:w="1559"/>
        <w:gridCol w:w="1560"/>
        <w:gridCol w:w="1559"/>
        <w:gridCol w:w="2977"/>
      </w:tblGrid>
      <w:tr w:rsidR="003B74F5" w:rsidTr="00600500">
        <w:tc>
          <w:tcPr>
            <w:tcW w:w="4957" w:type="dxa"/>
            <w:vMerge w:val="restart"/>
            <w:shd w:val="clear" w:color="auto" w:fill="BFBFBF" w:themeFill="background1" w:themeFillShade="BF"/>
            <w:vAlign w:val="center"/>
          </w:tcPr>
          <w:p w:rsidR="003B74F5" w:rsidRDefault="003B74F5" w:rsidP="00600500">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(v</w:t>
            </w:r>
            <w:r>
              <w:rPr>
                <w:rFonts w:ascii="Times New Roman" w:eastAsia="Times New Roman" w:hAnsi="Times New Roman" w:cs="Times New Roman"/>
                <w:b/>
                <w:bCs/>
                <w:sz w:val="24"/>
                <w:szCs w:val="24"/>
                <w:lang w:eastAsia="sk-SK"/>
              </w:rPr>
              <w:t xml:space="preserve"> tis.</w:t>
            </w:r>
            <w:r w:rsidRPr="007D5748">
              <w:rPr>
                <w:rFonts w:ascii="Times New Roman" w:eastAsia="Times New Roman" w:hAnsi="Times New Roman" w:cs="Times New Roman"/>
                <w:b/>
                <w:bCs/>
                <w:sz w:val="24"/>
                <w:szCs w:val="24"/>
                <w:lang w:eastAsia="sk-SK"/>
              </w:rPr>
              <w:t xml:space="preserve"> eur)</w:t>
            </w:r>
          </w:p>
        </w:tc>
        <w:tc>
          <w:tcPr>
            <w:tcW w:w="6095" w:type="dxa"/>
            <w:gridSpan w:val="4"/>
            <w:shd w:val="clear" w:color="auto" w:fill="BFBFBF" w:themeFill="background1" w:themeFillShade="BF"/>
          </w:tcPr>
          <w:p w:rsidR="003B74F5" w:rsidRDefault="003B74F5" w:rsidP="00600500">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Vplyv na rozpočet verejnej správy</w:t>
            </w:r>
          </w:p>
        </w:tc>
        <w:tc>
          <w:tcPr>
            <w:tcW w:w="2977" w:type="dxa"/>
            <w:shd w:val="clear" w:color="auto" w:fill="BFBFBF" w:themeFill="background1" w:themeFillShade="BF"/>
            <w:vAlign w:val="center"/>
          </w:tcPr>
          <w:p w:rsidR="003B74F5" w:rsidRDefault="003B74F5" w:rsidP="00600500">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poznámka</w:t>
            </w:r>
          </w:p>
        </w:tc>
      </w:tr>
      <w:tr w:rsidR="003B74F5" w:rsidTr="00600500">
        <w:tc>
          <w:tcPr>
            <w:tcW w:w="4957" w:type="dxa"/>
            <w:vMerge/>
            <w:shd w:val="clear" w:color="auto" w:fill="BFBFBF" w:themeFill="background1" w:themeFillShade="BF"/>
          </w:tcPr>
          <w:p w:rsidR="003B74F5" w:rsidRDefault="003B74F5" w:rsidP="00600500">
            <w:pPr>
              <w:tabs>
                <w:tab w:val="num" w:pos="1080"/>
              </w:tabs>
              <w:jc w:val="both"/>
              <w:rPr>
                <w:rFonts w:ascii="Times New Roman" w:eastAsia="Times New Roman" w:hAnsi="Times New Roman" w:cs="Times New Roman"/>
                <w:bCs/>
                <w:sz w:val="24"/>
                <w:szCs w:val="20"/>
                <w:lang w:eastAsia="sk-SK"/>
              </w:rPr>
            </w:pPr>
          </w:p>
        </w:tc>
        <w:tc>
          <w:tcPr>
            <w:tcW w:w="1417" w:type="dxa"/>
            <w:shd w:val="clear" w:color="auto" w:fill="BFBFBF" w:themeFill="background1" w:themeFillShade="BF"/>
          </w:tcPr>
          <w:p w:rsidR="003B74F5" w:rsidRPr="00526826" w:rsidRDefault="003B74F5" w:rsidP="00600500">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2019</w:t>
            </w:r>
          </w:p>
        </w:tc>
        <w:tc>
          <w:tcPr>
            <w:tcW w:w="1559" w:type="dxa"/>
            <w:shd w:val="clear" w:color="auto" w:fill="BFBFBF" w:themeFill="background1" w:themeFillShade="BF"/>
          </w:tcPr>
          <w:p w:rsidR="003B74F5" w:rsidRPr="00526826" w:rsidRDefault="003B74F5" w:rsidP="00600500">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2020</w:t>
            </w:r>
          </w:p>
        </w:tc>
        <w:tc>
          <w:tcPr>
            <w:tcW w:w="1560" w:type="dxa"/>
            <w:shd w:val="clear" w:color="auto" w:fill="BFBFBF" w:themeFill="background1" w:themeFillShade="BF"/>
          </w:tcPr>
          <w:p w:rsidR="003B74F5" w:rsidRPr="00526826" w:rsidRDefault="003B74F5" w:rsidP="00600500">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2021</w:t>
            </w:r>
          </w:p>
        </w:tc>
        <w:tc>
          <w:tcPr>
            <w:tcW w:w="1559" w:type="dxa"/>
            <w:shd w:val="clear" w:color="auto" w:fill="BFBFBF" w:themeFill="background1" w:themeFillShade="BF"/>
          </w:tcPr>
          <w:p w:rsidR="003B74F5" w:rsidRPr="00526826" w:rsidRDefault="003B74F5" w:rsidP="00600500">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2022</w:t>
            </w:r>
          </w:p>
        </w:tc>
        <w:tc>
          <w:tcPr>
            <w:tcW w:w="2977" w:type="dxa"/>
            <w:shd w:val="clear" w:color="auto" w:fill="BFBFBF" w:themeFill="background1" w:themeFillShade="BF"/>
          </w:tcPr>
          <w:p w:rsidR="003B74F5" w:rsidRDefault="003B74F5" w:rsidP="00600500">
            <w:pPr>
              <w:tabs>
                <w:tab w:val="num" w:pos="1080"/>
              </w:tabs>
              <w:jc w:val="both"/>
              <w:rPr>
                <w:rFonts w:ascii="Times New Roman" w:eastAsia="Times New Roman" w:hAnsi="Times New Roman" w:cs="Times New Roman"/>
                <w:bCs/>
                <w:sz w:val="24"/>
                <w:szCs w:val="20"/>
                <w:lang w:eastAsia="sk-SK"/>
              </w:rPr>
            </w:pPr>
          </w:p>
        </w:tc>
      </w:tr>
      <w:tr w:rsidR="003B74F5" w:rsidTr="00600500">
        <w:tc>
          <w:tcPr>
            <w:tcW w:w="4957" w:type="dxa"/>
            <w:shd w:val="clear" w:color="auto" w:fill="FFFFFF" w:themeFill="background1"/>
          </w:tcPr>
          <w:p w:rsidR="003B74F5" w:rsidRDefault="003B74F5" w:rsidP="00600500">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3B74F5" w:rsidRPr="00526826" w:rsidRDefault="003B74F5" w:rsidP="00600500">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59" w:type="dxa"/>
            <w:shd w:val="clear" w:color="auto" w:fill="FFFFFF" w:themeFill="background1"/>
          </w:tcPr>
          <w:p w:rsidR="003B74F5" w:rsidRPr="005C47E4" w:rsidRDefault="003B74F5" w:rsidP="00600500">
            <w:pPr>
              <w:jc w:val="center"/>
              <w:rPr>
                <w:rFonts w:ascii="Times New Roman" w:eastAsia="Times New Roman" w:hAnsi="Times New Roman" w:cs="Times New Roman"/>
                <w:b/>
                <w:bCs/>
                <w:sz w:val="24"/>
                <w:szCs w:val="20"/>
                <w:lang w:eastAsia="sk-SK"/>
              </w:rPr>
            </w:pPr>
            <w:r w:rsidRPr="005C47E4">
              <w:rPr>
                <w:rFonts w:ascii="Times New Roman" w:eastAsia="Times New Roman" w:hAnsi="Times New Roman" w:cs="Times New Roman"/>
                <w:b/>
                <w:bCs/>
                <w:sz w:val="24"/>
                <w:szCs w:val="20"/>
                <w:lang w:eastAsia="sk-SK"/>
              </w:rPr>
              <w:t>0</w:t>
            </w:r>
          </w:p>
        </w:tc>
        <w:tc>
          <w:tcPr>
            <w:tcW w:w="1560" w:type="dxa"/>
            <w:shd w:val="clear" w:color="auto" w:fill="FFFFFF" w:themeFill="background1"/>
          </w:tcPr>
          <w:p w:rsidR="003B74F5" w:rsidRPr="005C47E4" w:rsidRDefault="003B74F5" w:rsidP="00600500">
            <w:pPr>
              <w:tabs>
                <w:tab w:val="num" w:pos="1080"/>
              </w:tabs>
              <w:jc w:val="center"/>
              <w:rPr>
                <w:rFonts w:ascii="Times New Roman" w:eastAsia="Times New Roman" w:hAnsi="Times New Roman" w:cs="Times New Roman"/>
                <w:b/>
                <w:bCs/>
                <w:sz w:val="24"/>
                <w:szCs w:val="20"/>
                <w:lang w:eastAsia="sk-SK"/>
              </w:rPr>
            </w:pPr>
            <w:r w:rsidRPr="005C47E4">
              <w:rPr>
                <w:rFonts w:ascii="Times New Roman" w:eastAsia="Times New Roman" w:hAnsi="Times New Roman" w:cs="Times New Roman"/>
                <w:b/>
                <w:bCs/>
                <w:sz w:val="24"/>
                <w:szCs w:val="20"/>
                <w:lang w:eastAsia="sk-SK"/>
              </w:rPr>
              <w:t>-11</w:t>
            </w:r>
            <w:r w:rsidR="00E24CC8" w:rsidRPr="005C47E4">
              <w:rPr>
                <w:rFonts w:ascii="Times New Roman" w:eastAsia="Times New Roman" w:hAnsi="Times New Roman" w:cs="Times New Roman"/>
                <w:b/>
                <w:bCs/>
                <w:sz w:val="24"/>
                <w:szCs w:val="20"/>
                <w:lang w:eastAsia="sk-SK"/>
              </w:rPr>
              <w:t xml:space="preserve"> 000</w:t>
            </w:r>
          </w:p>
        </w:tc>
        <w:tc>
          <w:tcPr>
            <w:tcW w:w="1559" w:type="dxa"/>
            <w:shd w:val="clear" w:color="auto" w:fill="FFFFFF" w:themeFill="background1"/>
          </w:tcPr>
          <w:p w:rsidR="003B74F5" w:rsidRPr="005C47E4" w:rsidRDefault="003B74F5" w:rsidP="00600500">
            <w:pPr>
              <w:tabs>
                <w:tab w:val="num" w:pos="1080"/>
              </w:tabs>
              <w:jc w:val="center"/>
              <w:rPr>
                <w:rFonts w:ascii="Times New Roman" w:eastAsia="Times New Roman" w:hAnsi="Times New Roman" w:cs="Times New Roman"/>
                <w:b/>
                <w:bCs/>
                <w:sz w:val="24"/>
                <w:szCs w:val="20"/>
                <w:lang w:eastAsia="sk-SK"/>
              </w:rPr>
            </w:pPr>
            <w:r w:rsidRPr="005C47E4">
              <w:rPr>
                <w:rFonts w:ascii="Times New Roman" w:eastAsia="Times New Roman" w:hAnsi="Times New Roman" w:cs="Times New Roman"/>
                <w:b/>
                <w:bCs/>
                <w:sz w:val="24"/>
                <w:szCs w:val="20"/>
                <w:lang w:eastAsia="sk-SK"/>
              </w:rPr>
              <w:t>0</w:t>
            </w:r>
          </w:p>
        </w:tc>
        <w:tc>
          <w:tcPr>
            <w:tcW w:w="2977" w:type="dxa"/>
            <w:vMerge w:val="restart"/>
            <w:shd w:val="clear" w:color="auto" w:fill="FFFFFF" w:themeFill="background1"/>
          </w:tcPr>
          <w:p w:rsidR="003B74F5" w:rsidRPr="003B74F5" w:rsidRDefault="003B74F5" w:rsidP="003B74F5">
            <w:pPr>
              <w:jc w:val="both"/>
              <w:rPr>
                <w:rFonts w:ascii="Times New Roman" w:eastAsia="Times New Roman" w:hAnsi="Times New Roman" w:cs="Times New Roman"/>
                <w:sz w:val="24"/>
                <w:szCs w:val="24"/>
                <w:lang w:eastAsia="sk-SK"/>
              </w:rPr>
            </w:pPr>
            <w:r w:rsidRPr="003B74F5">
              <w:rPr>
                <w:rFonts w:ascii="Times New Roman" w:eastAsia="Times New Roman" w:hAnsi="Times New Roman" w:cs="Times New Roman"/>
                <w:sz w:val="24"/>
                <w:szCs w:val="24"/>
                <w:lang w:eastAsia="sk-SK"/>
              </w:rPr>
              <w:t>Zvýšenie hranice pre platenie preddavkov u fyzických aj právnických osôb z 2 500 eur na 5 000 eur</w:t>
            </w:r>
          </w:p>
          <w:p w:rsidR="003B74F5" w:rsidRDefault="003B74F5" w:rsidP="00600500">
            <w:pPr>
              <w:jc w:val="both"/>
              <w:rPr>
                <w:rFonts w:ascii="Times New Roman" w:eastAsia="Times New Roman" w:hAnsi="Times New Roman" w:cs="Times New Roman"/>
                <w:bCs/>
                <w:sz w:val="24"/>
                <w:szCs w:val="20"/>
                <w:lang w:eastAsia="sk-SK"/>
              </w:rPr>
            </w:pPr>
          </w:p>
        </w:tc>
      </w:tr>
      <w:tr w:rsidR="003B74F5" w:rsidTr="00600500">
        <w:tc>
          <w:tcPr>
            <w:tcW w:w="4957" w:type="dxa"/>
            <w:shd w:val="clear" w:color="auto" w:fill="FFFFFF" w:themeFill="background1"/>
          </w:tcPr>
          <w:p w:rsidR="003B74F5" w:rsidRDefault="003B74F5" w:rsidP="0098779A">
            <w:pPr>
              <w:tabs>
                <w:tab w:val="num" w:pos="1080"/>
              </w:tabs>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lang w:eastAsia="sk-SK"/>
              </w:rPr>
              <w:t xml:space="preserve">DPFO (111) </w:t>
            </w:r>
          </w:p>
        </w:tc>
        <w:tc>
          <w:tcPr>
            <w:tcW w:w="1417" w:type="dxa"/>
            <w:shd w:val="clear" w:color="auto" w:fill="FFFFFF" w:themeFill="background1"/>
          </w:tcPr>
          <w:p w:rsidR="003B74F5" w:rsidRPr="00526826" w:rsidRDefault="003B74F5" w:rsidP="00600500">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59" w:type="dxa"/>
            <w:shd w:val="clear" w:color="auto" w:fill="FFFFFF" w:themeFill="background1"/>
          </w:tcPr>
          <w:p w:rsidR="003B74F5" w:rsidRPr="005C47E4" w:rsidRDefault="003B74F5" w:rsidP="00600500">
            <w:pPr>
              <w:tabs>
                <w:tab w:val="num" w:pos="1080"/>
              </w:tabs>
              <w:jc w:val="center"/>
              <w:rPr>
                <w:rFonts w:ascii="Times New Roman" w:eastAsia="Times New Roman" w:hAnsi="Times New Roman" w:cs="Times New Roman"/>
                <w:b/>
                <w:bCs/>
                <w:sz w:val="24"/>
                <w:szCs w:val="20"/>
                <w:lang w:eastAsia="sk-SK"/>
              </w:rPr>
            </w:pPr>
            <w:r w:rsidRPr="005C47E4">
              <w:rPr>
                <w:rFonts w:ascii="Times New Roman" w:eastAsia="Times New Roman" w:hAnsi="Times New Roman" w:cs="Times New Roman"/>
                <w:b/>
                <w:bCs/>
                <w:sz w:val="24"/>
                <w:szCs w:val="20"/>
                <w:lang w:eastAsia="sk-SK"/>
              </w:rPr>
              <w:t>0</w:t>
            </w:r>
          </w:p>
        </w:tc>
        <w:tc>
          <w:tcPr>
            <w:tcW w:w="1560" w:type="dxa"/>
            <w:shd w:val="clear" w:color="auto" w:fill="FFFFFF" w:themeFill="background1"/>
          </w:tcPr>
          <w:p w:rsidR="003B74F5" w:rsidRPr="005C47E4" w:rsidRDefault="003B74F5" w:rsidP="0098779A">
            <w:pPr>
              <w:tabs>
                <w:tab w:val="num" w:pos="1080"/>
              </w:tabs>
              <w:jc w:val="center"/>
              <w:rPr>
                <w:rFonts w:ascii="Times New Roman" w:eastAsia="Times New Roman" w:hAnsi="Times New Roman" w:cs="Times New Roman"/>
                <w:b/>
                <w:bCs/>
                <w:sz w:val="24"/>
                <w:szCs w:val="20"/>
                <w:lang w:eastAsia="sk-SK"/>
              </w:rPr>
            </w:pPr>
            <w:r w:rsidRPr="005C47E4">
              <w:rPr>
                <w:rFonts w:ascii="Times New Roman" w:eastAsia="Times New Roman" w:hAnsi="Times New Roman" w:cs="Times New Roman"/>
                <w:b/>
                <w:bCs/>
                <w:sz w:val="24"/>
                <w:szCs w:val="20"/>
                <w:lang w:eastAsia="sk-SK"/>
              </w:rPr>
              <w:t>-</w:t>
            </w:r>
            <w:r w:rsidR="0098779A" w:rsidRPr="005C47E4">
              <w:rPr>
                <w:rFonts w:ascii="Times New Roman" w:eastAsia="Times New Roman" w:hAnsi="Times New Roman" w:cs="Times New Roman"/>
                <w:b/>
                <w:bCs/>
                <w:sz w:val="24"/>
                <w:szCs w:val="20"/>
                <w:lang w:eastAsia="sk-SK"/>
              </w:rPr>
              <w:t>3 300</w:t>
            </w:r>
          </w:p>
        </w:tc>
        <w:tc>
          <w:tcPr>
            <w:tcW w:w="1559" w:type="dxa"/>
            <w:shd w:val="clear" w:color="auto" w:fill="FFFFFF" w:themeFill="background1"/>
          </w:tcPr>
          <w:p w:rsidR="003B74F5" w:rsidRPr="005C47E4" w:rsidRDefault="003B74F5" w:rsidP="00600500">
            <w:pPr>
              <w:tabs>
                <w:tab w:val="num" w:pos="1080"/>
              </w:tabs>
              <w:jc w:val="center"/>
              <w:rPr>
                <w:rFonts w:ascii="Times New Roman" w:eastAsia="Times New Roman" w:hAnsi="Times New Roman" w:cs="Times New Roman"/>
                <w:b/>
                <w:bCs/>
                <w:sz w:val="24"/>
                <w:szCs w:val="20"/>
                <w:lang w:eastAsia="sk-SK"/>
              </w:rPr>
            </w:pPr>
            <w:r w:rsidRPr="005C47E4">
              <w:rPr>
                <w:rFonts w:ascii="Times New Roman" w:eastAsia="Times New Roman" w:hAnsi="Times New Roman" w:cs="Times New Roman"/>
                <w:b/>
                <w:bCs/>
                <w:sz w:val="24"/>
                <w:szCs w:val="20"/>
                <w:lang w:eastAsia="sk-SK"/>
              </w:rPr>
              <w:t>0</w:t>
            </w:r>
          </w:p>
        </w:tc>
        <w:tc>
          <w:tcPr>
            <w:tcW w:w="2977" w:type="dxa"/>
            <w:vMerge/>
            <w:shd w:val="clear" w:color="auto" w:fill="FFFFFF" w:themeFill="background1"/>
          </w:tcPr>
          <w:p w:rsidR="003B74F5" w:rsidRDefault="003B74F5" w:rsidP="00600500">
            <w:pPr>
              <w:tabs>
                <w:tab w:val="num" w:pos="1080"/>
              </w:tabs>
              <w:jc w:val="both"/>
              <w:rPr>
                <w:rFonts w:ascii="Times New Roman" w:eastAsia="Times New Roman" w:hAnsi="Times New Roman" w:cs="Times New Roman"/>
                <w:bCs/>
                <w:sz w:val="24"/>
                <w:szCs w:val="20"/>
                <w:lang w:eastAsia="sk-SK"/>
              </w:rPr>
            </w:pPr>
          </w:p>
        </w:tc>
      </w:tr>
      <w:tr w:rsidR="0098779A" w:rsidTr="00600500">
        <w:tc>
          <w:tcPr>
            <w:tcW w:w="4957" w:type="dxa"/>
            <w:shd w:val="clear" w:color="auto" w:fill="FFFFFF" w:themeFill="background1"/>
          </w:tcPr>
          <w:p w:rsidR="0098779A" w:rsidRDefault="0098779A" w:rsidP="00600500">
            <w:pPr>
              <w:tabs>
                <w:tab w:val="num" w:pos="1080"/>
              </w:tabs>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DPPO (112)</w:t>
            </w:r>
          </w:p>
        </w:tc>
        <w:tc>
          <w:tcPr>
            <w:tcW w:w="1417" w:type="dxa"/>
            <w:shd w:val="clear" w:color="auto" w:fill="FFFFFF" w:themeFill="background1"/>
          </w:tcPr>
          <w:p w:rsidR="0098779A" w:rsidRDefault="0098779A" w:rsidP="00600500">
            <w:pPr>
              <w:tabs>
                <w:tab w:val="num" w:pos="1080"/>
              </w:tabs>
              <w:jc w:val="center"/>
              <w:rPr>
                <w:rFonts w:ascii="Times New Roman" w:eastAsia="Times New Roman" w:hAnsi="Times New Roman" w:cs="Times New Roman"/>
                <w:b/>
                <w:bCs/>
                <w:sz w:val="24"/>
                <w:szCs w:val="20"/>
                <w:lang w:eastAsia="sk-SK"/>
              </w:rPr>
            </w:pPr>
          </w:p>
        </w:tc>
        <w:tc>
          <w:tcPr>
            <w:tcW w:w="1559" w:type="dxa"/>
            <w:shd w:val="clear" w:color="auto" w:fill="FFFFFF" w:themeFill="background1"/>
          </w:tcPr>
          <w:p w:rsidR="0098779A" w:rsidRPr="005C47E4" w:rsidRDefault="0098779A" w:rsidP="00600500">
            <w:pPr>
              <w:tabs>
                <w:tab w:val="num" w:pos="1080"/>
              </w:tabs>
              <w:jc w:val="center"/>
              <w:rPr>
                <w:rFonts w:ascii="Times New Roman" w:eastAsia="Times New Roman" w:hAnsi="Times New Roman" w:cs="Times New Roman"/>
                <w:b/>
                <w:bCs/>
                <w:sz w:val="24"/>
                <w:szCs w:val="20"/>
                <w:lang w:eastAsia="sk-SK"/>
              </w:rPr>
            </w:pPr>
          </w:p>
        </w:tc>
        <w:tc>
          <w:tcPr>
            <w:tcW w:w="1560" w:type="dxa"/>
            <w:shd w:val="clear" w:color="auto" w:fill="FFFFFF" w:themeFill="background1"/>
          </w:tcPr>
          <w:p w:rsidR="0098779A" w:rsidRPr="005C47E4" w:rsidRDefault="0098779A" w:rsidP="0098779A">
            <w:pPr>
              <w:tabs>
                <w:tab w:val="num" w:pos="1080"/>
              </w:tabs>
              <w:jc w:val="center"/>
              <w:rPr>
                <w:rFonts w:ascii="Times New Roman" w:eastAsia="Times New Roman" w:hAnsi="Times New Roman" w:cs="Times New Roman"/>
                <w:b/>
                <w:bCs/>
                <w:sz w:val="24"/>
                <w:szCs w:val="20"/>
                <w:lang w:eastAsia="sk-SK"/>
              </w:rPr>
            </w:pPr>
            <w:r w:rsidRPr="005C47E4">
              <w:rPr>
                <w:rFonts w:ascii="Times New Roman" w:eastAsia="Times New Roman" w:hAnsi="Times New Roman" w:cs="Times New Roman"/>
                <w:b/>
                <w:bCs/>
                <w:sz w:val="24"/>
                <w:szCs w:val="20"/>
                <w:lang w:eastAsia="sk-SK"/>
              </w:rPr>
              <w:t>-7 700</w:t>
            </w:r>
          </w:p>
        </w:tc>
        <w:tc>
          <w:tcPr>
            <w:tcW w:w="1559" w:type="dxa"/>
            <w:shd w:val="clear" w:color="auto" w:fill="FFFFFF" w:themeFill="background1"/>
          </w:tcPr>
          <w:p w:rsidR="0098779A" w:rsidRPr="005C47E4" w:rsidRDefault="0098779A" w:rsidP="00600500">
            <w:pPr>
              <w:tabs>
                <w:tab w:val="num" w:pos="1080"/>
              </w:tabs>
              <w:jc w:val="center"/>
              <w:rPr>
                <w:rFonts w:ascii="Times New Roman" w:eastAsia="Times New Roman" w:hAnsi="Times New Roman" w:cs="Times New Roman"/>
                <w:b/>
                <w:bCs/>
                <w:sz w:val="24"/>
                <w:szCs w:val="20"/>
                <w:lang w:eastAsia="sk-SK"/>
              </w:rPr>
            </w:pPr>
          </w:p>
        </w:tc>
        <w:tc>
          <w:tcPr>
            <w:tcW w:w="2977" w:type="dxa"/>
            <w:vMerge/>
            <w:shd w:val="clear" w:color="auto" w:fill="FFFFFF" w:themeFill="background1"/>
          </w:tcPr>
          <w:p w:rsidR="0098779A" w:rsidRDefault="0098779A" w:rsidP="00600500">
            <w:pPr>
              <w:tabs>
                <w:tab w:val="num" w:pos="1080"/>
              </w:tabs>
              <w:jc w:val="both"/>
              <w:rPr>
                <w:rFonts w:ascii="Times New Roman" w:eastAsia="Times New Roman" w:hAnsi="Times New Roman" w:cs="Times New Roman"/>
                <w:bCs/>
                <w:sz w:val="24"/>
                <w:szCs w:val="20"/>
                <w:lang w:eastAsia="sk-SK"/>
              </w:rPr>
            </w:pPr>
          </w:p>
        </w:tc>
      </w:tr>
      <w:tr w:rsidR="003B74F5" w:rsidTr="00600500">
        <w:tc>
          <w:tcPr>
            <w:tcW w:w="4957" w:type="dxa"/>
            <w:shd w:val="clear" w:color="auto" w:fill="FFFFFF" w:themeFill="background1"/>
          </w:tcPr>
          <w:p w:rsidR="003B74F5" w:rsidRDefault="003B74F5" w:rsidP="00600500">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3B74F5" w:rsidRDefault="003B74F5"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3B74F5" w:rsidRDefault="003B74F5" w:rsidP="00600500">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FF" w:themeFill="background1"/>
          </w:tcPr>
          <w:p w:rsidR="003B74F5" w:rsidRDefault="003B74F5"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3B74F5" w:rsidRDefault="003B74F5" w:rsidP="00600500">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3B74F5" w:rsidRDefault="003B74F5" w:rsidP="00600500">
            <w:pPr>
              <w:tabs>
                <w:tab w:val="num" w:pos="1080"/>
              </w:tabs>
              <w:jc w:val="both"/>
              <w:rPr>
                <w:rFonts w:ascii="Times New Roman" w:eastAsia="Times New Roman" w:hAnsi="Times New Roman" w:cs="Times New Roman"/>
                <w:bCs/>
                <w:sz w:val="24"/>
                <w:szCs w:val="20"/>
                <w:lang w:eastAsia="sk-SK"/>
              </w:rPr>
            </w:pPr>
          </w:p>
        </w:tc>
      </w:tr>
      <w:tr w:rsidR="003B74F5" w:rsidTr="00600500">
        <w:tc>
          <w:tcPr>
            <w:tcW w:w="4957" w:type="dxa"/>
            <w:shd w:val="clear" w:color="auto" w:fill="FFFFFF" w:themeFill="background1"/>
          </w:tcPr>
          <w:p w:rsidR="003B74F5" w:rsidRDefault="003B74F5" w:rsidP="00600500">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3B74F5" w:rsidRDefault="003B74F5"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3B74F5" w:rsidRDefault="003B74F5" w:rsidP="00600500">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FF" w:themeFill="background1"/>
          </w:tcPr>
          <w:p w:rsidR="003B74F5" w:rsidRDefault="003B74F5"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3B74F5" w:rsidRDefault="003B74F5" w:rsidP="00600500">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3B74F5" w:rsidRDefault="003B74F5" w:rsidP="00600500">
            <w:pPr>
              <w:tabs>
                <w:tab w:val="num" w:pos="1080"/>
              </w:tabs>
              <w:jc w:val="both"/>
              <w:rPr>
                <w:rFonts w:ascii="Times New Roman" w:eastAsia="Times New Roman" w:hAnsi="Times New Roman" w:cs="Times New Roman"/>
                <w:bCs/>
                <w:sz w:val="24"/>
                <w:szCs w:val="20"/>
                <w:lang w:eastAsia="sk-SK"/>
              </w:rPr>
            </w:pPr>
          </w:p>
        </w:tc>
      </w:tr>
      <w:tr w:rsidR="003B74F5" w:rsidTr="00600500">
        <w:tc>
          <w:tcPr>
            <w:tcW w:w="4957" w:type="dxa"/>
            <w:shd w:val="clear" w:color="auto" w:fill="FFFFFF" w:themeFill="background1"/>
          </w:tcPr>
          <w:p w:rsidR="003B74F5" w:rsidRDefault="003B74F5" w:rsidP="00600500">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417" w:type="dxa"/>
            <w:shd w:val="clear" w:color="auto" w:fill="FFFF99"/>
          </w:tcPr>
          <w:p w:rsidR="003B74F5" w:rsidRDefault="003B74F5"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3B74F5" w:rsidRDefault="003B74F5" w:rsidP="00600500">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99"/>
          </w:tcPr>
          <w:p w:rsidR="003B74F5" w:rsidRDefault="003B74F5"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3B74F5" w:rsidRDefault="003B74F5" w:rsidP="00600500">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3B74F5" w:rsidRDefault="003B74F5" w:rsidP="00600500">
            <w:pPr>
              <w:tabs>
                <w:tab w:val="num" w:pos="1080"/>
              </w:tabs>
              <w:jc w:val="both"/>
              <w:rPr>
                <w:rFonts w:ascii="Times New Roman" w:eastAsia="Times New Roman" w:hAnsi="Times New Roman" w:cs="Times New Roman"/>
                <w:bCs/>
                <w:sz w:val="24"/>
                <w:szCs w:val="20"/>
                <w:lang w:eastAsia="sk-SK"/>
              </w:rPr>
            </w:pPr>
          </w:p>
        </w:tc>
      </w:tr>
      <w:tr w:rsidR="003B74F5" w:rsidTr="00600500">
        <w:tc>
          <w:tcPr>
            <w:tcW w:w="4957" w:type="dxa"/>
            <w:shd w:val="clear" w:color="auto" w:fill="FFFFFF" w:themeFill="background1"/>
          </w:tcPr>
          <w:p w:rsidR="003B74F5" w:rsidRDefault="003B74F5" w:rsidP="00600500">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417" w:type="dxa"/>
            <w:shd w:val="clear" w:color="auto" w:fill="FFFF99"/>
          </w:tcPr>
          <w:p w:rsidR="003B74F5" w:rsidRDefault="003B74F5"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3B74F5" w:rsidRDefault="003B74F5" w:rsidP="00600500">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99"/>
          </w:tcPr>
          <w:p w:rsidR="003B74F5" w:rsidRDefault="003B74F5" w:rsidP="00600500">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3B74F5" w:rsidRDefault="003B74F5" w:rsidP="00600500">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3B74F5" w:rsidRDefault="003B74F5" w:rsidP="00600500">
            <w:pPr>
              <w:tabs>
                <w:tab w:val="num" w:pos="1080"/>
              </w:tabs>
              <w:jc w:val="both"/>
              <w:rPr>
                <w:rFonts w:ascii="Times New Roman" w:eastAsia="Times New Roman" w:hAnsi="Times New Roman" w:cs="Times New Roman"/>
                <w:bCs/>
                <w:sz w:val="24"/>
                <w:szCs w:val="20"/>
                <w:lang w:eastAsia="sk-SK"/>
              </w:rPr>
            </w:pPr>
          </w:p>
        </w:tc>
      </w:tr>
      <w:tr w:rsidR="003B74F5" w:rsidTr="00600500">
        <w:tc>
          <w:tcPr>
            <w:tcW w:w="4957" w:type="dxa"/>
            <w:shd w:val="clear" w:color="auto" w:fill="BFBFBF" w:themeFill="background1" w:themeFillShade="BF"/>
          </w:tcPr>
          <w:p w:rsidR="003B74F5" w:rsidRDefault="003B74F5" w:rsidP="00600500">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417" w:type="dxa"/>
            <w:shd w:val="clear" w:color="auto" w:fill="BFBFBF" w:themeFill="background1" w:themeFillShade="BF"/>
          </w:tcPr>
          <w:p w:rsidR="003B74F5" w:rsidRPr="00526826" w:rsidRDefault="003B74F5" w:rsidP="00600500">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59" w:type="dxa"/>
            <w:shd w:val="clear" w:color="auto" w:fill="BFBFBF" w:themeFill="background1" w:themeFillShade="BF"/>
          </w:tcPr>
          <w:p w:rsidR="003B74F5" w:rsidRPr="005C47E4" w:rsidRDefault="003B74F5" w:rsidP="00600500">
            <w:pPr>
              <w:jc w:val="center"/>
              <w:rPr>
                <w:rFonts w:ascii="Times New Roman" w:eastAsia="Times New Roman" w:hAnsi="Times New Roman" w:cs="Times New Roman"/>
                <w:b/>
                <w:bCs/>
                <w:sz w:val="24"/>
                <w:szCs w:val="20"/>
                <w:lang w:eastAsia="sk-SK"/>
              </w:rPr>
            </w:pPr>
            <w:r w:rsidRPr="005C47E4">
              <w:rPr>
                <w:rFonts w:ascii="Times New Roman" w:eastAsia="Times New Roman" w:hAnsi="Times New Roman" w:cs="Times New Roman"/>
                <w:b/>
                <w:bCs/>
                <w:sz w:val="24"/>
                <w:szCs w:val="20"/>
                <w:lang w:eastAsia="sk-SK"/>
              </w:rPr>
              <w:t>0</w:t>
            </w:r>
          </w:p>
        </w:tc>
        <w:tc>
          <w:tcPr>
            <w:tcW w:w="1560" w:type="dxa"/>
            <w:shd w:val="clear" w:color="auto" w:fill="BFBFBF" w:themeFill="background1" w:themeFillShade="BF"/>
          </w:tcPr>
          <w:p w:rsidR="003B74F5" w:rsidRPr="005C47E4" w:rsidRDefault="003B74F5" w:rsidP="00600500">
            <w:pPr>
              <w:tabs>
                <w:tab w:val="num" w:pos="1080"/>
              </w:tabs>
              <w:jc w:val="center"/>
              <w:rPr>
                <w:rFonts w:ascii="Times New Roman" w:eastAsia="Times New Roman" w:hAnsi="Times New Roman" w:cs="Times New Roman"/>
                <w:b/>
                <w:bCs/>
                <w:sz w:val="24"/>
                <w:szCs w:val="20"/>
                <w:lang w:eastAsia="sk-SK"/>
              </w:rPr>
            </w:pPr>
            <w:r w:rsidRPr="005C47E4">
              <w:rPr>
                <w:rFonts w:ascii="Times New Roman" w:eastAsia="Times New Roman" w:hAnsi="Times New Roman" w:cs="Times New Roman"/>
                <w:b/>
                <w:bCs/>
                <w:sz w:val="24"/>
                <w:szCs w:val="20"/>
                <w:lang w:eastAsia="sk-SK"/>
              </w:rPr>
              <w:t>-11</w:t>
            </w:r>
            <w:r w:rsidR="00E24CC8" w:rsidRPr="005C47E4">
              <w:rPr>
                <w:rFonts w:ascii="Times New Roman" w:eastAsia="Times New Roman" w:hAnsi="Times New Roman" w:cs="Times New Roman"/>
                <w:b/>
                <w:bCs/>
                <w:sz w:val="24"/>
                <w:szCs w:val="20"/>
                <w:lang w:eastAsia="sk-SK"/>
              </w:rPr>
              <w:t xml:space="preserve"> 000</w:t>
            </w:r>
          </w:p>
        </w:tc>
        <w:tc>
          <w:tcPr>
            <w:tcW w:w="1559" w:type="dxa"/>
            <w:shd w:val="clear" w:color="auto" w:fill="BFBFBF" w:themeFill="background1" w:themeFillShade="BF"/>
          </w:tcPr>
          <w:p w:rsidR="003B74F5" w:rsidRPr="005C47E4" w:rsidRDefault="003B74F5" w:rsidP="00600500">
            <w:pPr>
              <w:tabs>
                <w:tab w:val="num" w:pos="1080"/>
              </w:tabs>
              <w:jc w:val="center"/>
              <w:rPr>
                <w:rFonts w:ascii="Times New Roman" w:eastAsia="Times New Roman" w:hAnsi="Times New Roman" w:cs="Times New Roman"/>
                <w:b/>
                <w:bCs/>
                <w:sz w:val="24"/>
                <w:szCs w:val="20"/>
                <w:lang w:eastAsia="sk-SK"/>
              </w:rPr>
            </w:pPr>
            <w:r w:rsidRPr="005C47E4">
              <w:rPr>
                <w:rFonts w:ascii="Times New Roman" w:eastAsia="Times New Roman" w:hAnsi="Times New Roman" w:cs="Times New Roman"/>
                <w:b/>
                <w:bCs/>
                <w:sz w:val="24"/>
                <w:szCs w:val="20"/>
                <w:lang w:eastAsia="sk-SK"/>
              </w:rPr>
              <w:t>0</w:t>
            </w:r>
          </w:p>
        </w:tc>
        <w:tc>
          <w:tcPr>
            <w:tcW w:w="2977" w:type="dxa"/>
            <w:shd w:val="clear" w:color="auto" w:fill="BFBFBF" w:themeFill="background1" w:themeFillShade="BF"/>
          </w:tcPr>
          <w:p w:rsidR="003B74F5" w:rsidRDefault="003B74F5" w:rsidP="00600500">
            <w:pPr>
              <w:tabs>
                <w:tab w:val="num" w:pos="1080"/>
              </w:tabs>
              <w:jc w:val="both"/>
              <w:rPr>
                <w:rFonts w:ascii="Times New Roman" w:eastAsia="Times New Roman" w:hAnsi="Times New Roman" w:cs="Times New Roman"/>
                <w:bCs/>
                <w:sz w:val="24"/>
                <w:szCs w:val="20"/>
                <w:lang w:eastAsia="sk-SK"/>
              </w:rPr>
            </w:pPr>
          </w:p>
        </w:tc>
      </w:tr>
    </w:tbl>
    <w:p w:rsidR="003B74F5" w:rsidRDefault="003B74F5"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7D5748" w:rsidRPr="007D5748" w:rsidRDefault="007D5748" w:rsidP="0070226B">
      <w:pPr>
        <w:tabs>
          <w:tab w:val="num" w:pos="1080"/>
        </w:tabs>
        <w:spacing w:after="0" w:line="240" w:lineRule="auto"/>
        <w:ind w:right="-32"/>
        <w:jc w:val="right"/>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4"/>
          <w:lang w:eastAsia="sk-SK"/>
        </w:rPr>
        <w:t xml:space="preserve">Tabuľka č. 4 </w:t>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6374"/>
        <w:gridCol w:w="1276"/>
        <w:gridCol w:w="1417"/>
        <w:gridCol w:w="1276"/>
        <w:gridCol w:w="1276"/>
        <w:gridCol w:w="3831"/>
      </w:tblGrid>
      <w:tr w:rsidR="007D5748" w:rsidRPr="007D5748" w:rsidTr="00576DBE">
        <w:trPr>
          <w:cantSplit/>
          <w:trHeight w:val="255"/>
        </w:trPr>
        <w:tc>
          <w:tcPr>
            <w:tcW w:w="6374"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7D5748" w:rsidRPr="007D5748" w:rsidRDefault="007D5748" w:rsidP="00B24BA3">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xml:space="preserve">Výdavky (v </w:t>
            </w:r>
            <w:r w:rsidR="00B24BA3">
              <w:rPr>
                <w:rFonts w:ascii="Times New Roman" w:eastAsia="Times New Roman" w:hAnsi="Times New Roman" w:cs="Times New Roman"/>
                <w:b/>
                <w:bCs/>
                <w:sz w:val="20"/>
                <w:szCs w:val="20"/>
                <w:lang w:eastAsia="sk-SK"/>
              </w:rPr>
              <w:t xml:space="preserve">tis. </w:t>
            </w:r>
            <w:r w:rsidRPr="007D5748">
              <w:rPr>
                <w:rFonts w:ascii="Times New Roman" w:eastAsia="Times New Roman" w:hAnsi="Times New Roman" w:cs="Times New Roman"/>
                <w:b/>
                <w:bCs/>
                <w:sz w:val="20"/>
                <w:szCs w:val="20"/>
                <w:lang w:eastAsia="sk-SK"/>
              </w:rPr>
              <w:t>eur)</w:t>
            </w:r>
          </w:p>
        </w:tc>
        <w:tc>
          <w:tcPr>
            <w:tcW w:w="5245"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Vplyv na rozpočet verejnej správy</w:t>
            </w:r>
          </w:p>
        </w:tc>
        <w:tc>
          <w:tcPr>
            <w:tcW w:w="383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8B027E" w:rsidRPr="007D5748" w:rsidTr="008B027E">
        <w:trPr>
          <w:cantSplit/>
          <w:trHeight w:val="255"/>
        </w:trPr>
        <w:tc>
          <w:tcPr>
            <w:tcW w:w="6374" w:type="dxa"/>
            <w:vMerge/>
            <w:tcBorders>
              <w:top w:val="single" w:sz="4" w:space="0" w:color="auto"/>
              <w:left w:val="single" w:sz="4" w:space="0" w:color="auto"/>
              <w:bottom w:val="single" w:sz="4" w:space="0" w:color="000000"/>
              <w:right w:val="single" w:sz="4" w:space="0" w:color="auto"/>
            </w:tcBorders>
            <w:vAlign w:val="center"/>
          </w:tcPr>
          <w:p w:rsidR="003C33E6" w:rsidRPr="007D5748" w:rsidRDefault="003C33E6" w:rsidP="003C33E6">
            <w:pPr>
              <w:spacing w:after="0" w:line="240" w:lineRule="auto"/>
              <w:rPr>
                <w:rFonts w:ascii="Times New Roman" w:eastAsia="Times New Roman" w:hAnsi="Times New Roman" w:cs="Times New Roman"/>
                <w:b/>
                <w:bCs/>
                <w:color w:val="FFFFFF"/>
                <w:sz w:val="20"/>
                <w:szCs w:val="20"/>
                <w:lang w:eastAsia="sk-SK"/>
              </w:rPr>
            </w:pPr>
          </w:p>
        </w:tc>
        <w:tc>
          <w:tcPr>
            <w:tcW w:w="1276" w:type="dxa"/>
            <w:tcBorders>
              <w:top w:val="nil"/>
              <w:left w:val="nil"/>
              <w:bottom w:val="single" w:sz="4" w:space="0" w:color="auto"/>
              <w:right w:val="single" w:sz="4" w:space="0" w:color="auto"/>
            </w:tcBorders>
            <w:shd w:val="clear" w:color="auto" w:fill="BFBFBF" w:themeFill="background1" w:themeFillShade="BF"/>
          </w:tcPr>
          <w:p w:rsidR="003C33E6" w:rsidRPr="004D77EC" w:rsidRDefault="003C33E6" w:rsidP="003B74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w:t>
            </w:r>
            <w:r w:rsidR="003B74F5">
              <w:rPr>
                <w:rFonts w:ascii="Times New Roman" w:eastAsia="Times New Roman" w:hAnsi="Times New Roman" w:cs="Times New Roman"/>
                <w:b/>
                <w:bCs/>
                <w:sz w:val="24"/>
                <w:szCs w:val="24"/>
                <w:lang w:eastAsia="sk-SK"/>
              </w:rPr>
              <w:t>9</w:t>
            </w:r>
          </w:p>
        </w:tc>
        <w:tc>
          <w:tcPr>
            <w:tcW w:w="1417" w:type="dxa"/>
            <w:tcBorders>
              <w:top w:val="nil"/>
              <w:left w:val="nil"/>
              <w:bottom w:val="single" w:sz="4" w:space="0" w:color="auto"/>
              <w:right w:val="single" w:sz="4" w:space="0" w:color="auto"/>
            </w:tcBorders>
            <w:shd w:val="clear" w:color="auto" w:fill="BFBFBF" w:themeFill="background1" w:themeFillShade="BF"/>
          </w:tcPr>
          <w:p w:rsidR="003C33E6" w:rsidRPr="004D77EC" w:rsidRDefault="003C33E6" w:rsidP="003B74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w:t>
            </w:r>
            <w:r w:rsidR="003B74F5">
              <w:rPr>
                <w:rFonts w:ascii="Times New Roman" w:eastAsia="Times New Roman" w:hAnsi="Times New Roman" w:cs="Times New Roman"/>
                <w:b/>
                <w:bCs/>
                <w:sz w:val="24"/>
                <w:szCs w:val="24"/>
                <w:lang w:eastAsia="sk-SK"/>
              </w:rPr>
              <w:t>20</w:t>
            </w:r>
          </w:p>
        </w:tc>
        <w:tc>
          <w:tcPr>
            <w:tcW w:w="1276" w:type="dxa"/>
            <w:tcBorders>
              <w:top w:val="nil"/>
              <w:left w:val="nil"/>
              <w:bottom w:val="single" w:sz="4" w:space="0" w:color="auto"/>
              <w:right w:val="single" w:sz="4" w:space="0" w:color="auto"/>
            </w:tcBorders>
            <w:shd w:val="clear" w:color="auto" w:fill="BFBFBF" w:themeFill="background1" w:themeFillShade="BF"/>
          </w:tcPr>
          <w:p w:rsidR="003C33E6" w:rsidRPr="004D77EC" w:rsidRDefault="003C33E6" w:rsidP="003B74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w:t>
            </w:r>
            <w:r w:rsidR="003B74F5">
              <w:rPr>
                <w:rFonts w:ascii="Times New Roman" w:eastAsia="Times New Roman" w:hAnsi="Times New Roman" w:cs="Times New Roman"/>
                <w:b/>
                <w:bCs/>
                <w:sz w:val="24"/>
                <w:szCs w:val="24"/>
                <w:lang w:eastAsia="sk-SK"/>
              </w:rPr>
              <w:t>21</w:t>
            </w:r>
          </w:p>
        </w:tc>
        <w:tc>
          <w:tcPr>
            <w:tcW w:w="1276" w:type="dxa"/>
            <w:tcBorders>
              <w:top w:val="nil"/>
              <w:left w:val="nil"/>
              <w:bottom w:val="single" w:sz="4" w:space="0" w:color="auto"/>
              <w:right w:val="single" w:sz="4" w:space="0" w:color="auto"/>
            </w:tcBorders>
            <w:shd w:val="clear" w:color="auto" w:fill="BFBFBF" w:themeFill="background1" w:themeFillShade="BF"/>
          </w:tcPr>
          <w:p w:rsidR="003C33E6" w:rsidRPr="007D5748" w:rsidRDefault="003C33E6" w:rsidP="003B74F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w:t>
            </w:r>
            <w:r w:rsidR="003B74F5">
              <w:rPr>
                <w:rFonts w:ascii="Times New Roman" w:eastAsia="Times New Roman" w:hAnsi="Times New Roman" w:cs="Times New Roman"/>
                <w:b/>
                <w:bCs/>
                <w:sz w:val="24"/>
                <w:szCs w:val="24"/>
                <w:lang w:eastAsia="sk-SK"/>
              </w:rPr>
              <w:t>2</w:t>
            </w:r>
          </w:p>
        </w:tc>
        <w:tc>
          <w:tcPr>
            <w:tcW w:w="3831" w:type="dxa"/>
            <w:vMerge/>
            <w:tcBorders>
              <w:top w:val="single" w:sz="4" w:space="0" w:color="auto"/>
              <w:left w:val="single" w:sz="4" w:space="0" w:color="auto"/>
              <w:bottom w:val="single" w:sz="4" w:space="0" w:color="auto"/>
              <w:right w:val="single" w:sz="4" w:space="0" w:color="auto"/>
            </w:tcBorders>
            <w:vAlign w:val="center"/>
          </w:tcPr>
          <w:p w:rsidR="003C33E6" w:rsidRPr="007D5748" w:rsidRDefault="003C33E6" w:rsidP="003C33E6">
            <w:pPr>
              <w:spacing w:after="0" w:line="240" w:lineRule="auto"/>
              <w:rPr>
                <w:rFonts w:ascii="Times New Roman" w:eastAsia="Times New Roman" w:hAnsi="Times New Roman" w:cs="Times New Roman"/>
                <w:b/>
                <w:bCs/>
                <w:color w:val="FFFFFF"/>
                <w:sz w:val="24"/>
                <w:szCs w:val="24"/>
                <w:lang w:eastAsia="sk-SK"/>
              </w:rPr>
            </w:pPr>
          </w:p>
        </w:tc>
      </w:tr>
      <w:tr w:rsidR="008B027E" w:rsidRPr="007D5748" w:rsidTr="008B027E">
        <w:trPr>
          <w:trHeight w:val="255"/>
        </w:trPr>
        <w:tc>
          <w:tcPr>
            <w:tcW w:w="6374"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Bežné výdavky (600)</w:t>
            </w:r>
          </w:p>
        </w:tc>
        <w:tc>
          <w:tcPr>
            <w:tcW w:w="1276"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p>
        </w:tc>
        <w:tc>
          <w:tcPr>
            <w:tcW w:w="1417" w:type="dxa"/>
            <w:tcBorders>
              <w:top w:val="nil"/>
              <w:left w:val="nil"/>
              <w:bottom w:val="single" w:sz="4" w:space="0" w:color="auto"/>
              <w:right w:val="single" w:sz="4" w:space="0" w:color="auto"/>
            </w:tcBorders>
          </w:tcPr>
          <w:p w:rsidR="007D5748" w:rsidRPr="002D1539" w:rsidRDefault="007D5748" w:rsidP="007D5748">
            <w:pPr>
              <w:spacing w:after="0" w:line="240" w:lineRule="auto"/>
              <w:jc w:val="center"/>
              <w:rPr>
                <w:rFonts w:ascii="Times New Roman" w:eastAsia="Times New Roman" w:hAnsi="Times New Roman" w:cs="Times New Roman"/>
                <w:b/>
                <w:bCs/>
                <w:sz w:val="20"/>
                <w:szCs w:val="20"/>
                <w:lang w:eastAsia="sk-SK"/>
              </w:rPr>
            </w:pPr>
          </w:p>
        </w:tc>
        <w:tc>
          <w:tcPr>
            <w:tcW w:w="1276" w:type="dxa"/>
            <w:tcBorders>
              <w:top w:val="nil"/>
              <w:left w:val="nil"/>
              <w:bottom w:val="single" w:sz="4" w:space="0" w:color="auto"/>
              <w:right w:val="single" w:sz="4" w:space="0" w:color="auto"/>
            </w:tcBorders>
          </w:tcPr>
          <w:p w:rsidR="007D5748" w:rsidRPr="002D1539" w:rsidRDefault="007D5748" w:rsidP="007D5748">
            <w:pPr>
              <w:spacing w:after="0" w:line="240" w:lineRule="auto"/>
              <w:jc w:val="center"/>
              <w:rPr>
                <w:rFonts w:ascii="Times New Roman" w:eastAsia="Times New Roman" w:hAnsi="Times New Roman" w:cs="Times New Roman"/>
                <w:b/>
                <w:bCs/>
                <w:sz w:val="20"/>
                <w:szCs w:val="20"/>
                <w:lang w:eastAsia="sk-SK"/>
              </w:rPr>
            </w:pPr>
          </w:p>
        </w:tc>
        <w:tc>
          <w:tcPr>
            <w:tcW w:w="1276" w:type="dxa"/>
            <w:tcBorders>
              <w:top w:val="nil"/>
              <w:left w:val="nil"/>
              <w:bottom w:val="single" w:sz="4" w:space="0" w:color="auto"/>
              <w:right w:val="single" w:sz="4" w:space="0" w:color="auto"/>
            </w:tcBorders>
          </w:tcPr>
          <w:p w:rsidR="007D5748" w:rsidRPr="002D1539" w:rsidRDefault="007D5748" w:rsidP="007D5748">
            <w:pPr>
              <w:spacing w:after="0" w:line="240" w:lineRule="auto"/>
              <w:jc w:val="center"/>
              <w:rPr>
                <w:rFonts w:ascii="Times New Roman" w:eastAsia="Times New Roman" w:hAnsi="Times New Roman" w:cs="Times New Roman"/>
                <w:b/>
                <w:bCs/>
                <w:sz w:val="20"/>
                <w:szCs w:val="20"/>
                <w:lang w:eastAsia="sk-SK"/>
              </w:rPr>
            </w:pPr>
          </w:p>
        </w:tc>
        <w:tc>
          <w:tcPr>
            <w:tcW w:w="3831"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8B027E" w:rsidRPr="007D5748" w:rsidTr="008B027E">
        <w:trPr>
          <w:trHeight w:val="255"/>
        </w:trPr>
        <w:tc>
          <w:tcPr>
            <w:tcW w:w="6374"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Mzdy, platy, služobné príjmy a ostatné osobné vyrovnania (610)</w:t>
            </w:r>
          </w:p>
        </w:tc>
        <w:tc>
          <w:tcPr>
            <w:tcW w:w="1276"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417" w:type="dxa"/>
            <w:tcBorders>
              <w:top w:val="nil"/>
              <w:left w:val="nil"/>
              <w:bottom w:val="single" w:sz="4" w:space="0" w:color="auto"/>
              <w:right w:val="single" w:sz="4" w:space="0" w:color="auto"/>
            </w:tcBorders>
          </w:tcPr>
          <w:p w:rsidR="007D5748" w:rsidRPr="002D1539" w:rsidRDefault="007D5748" w:rsidP="007D5748">
            <w:pPr>
              <w:spacing w:after="0" w:line="240" w:lineRule="auto"/>
              <w:jc w:val="center"/>
              <w:rPr>
                <w:rFonts w:ascii="Times New Roman" w:eastAsia="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cPr>
          <w:p w:rsidR="007D5748" w:rsidRPr="002D1539" w:rsidRDefault="007D5748" w:rsidP="007D5748">
            <w:pPr>
              <w:spacing w:after="0" w:line="240" w:lineRule="auto"/>
              <w:jc w:val="center"/>
              <w:rPr>
                <w:rFonts w:ascii="Times New Roman" w:eastAsia="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cPr>
          <w:p w:rsidR="007D5748" w:rsidRPr="002D1539" w:rsidRDefault="007D5748" w:rsidP="007D5748">
            <w:pPr>
              <w:spacing w:after="0" w:line="240" w:lineRule="auto"/>
              <w:jc w:val="center"/>
              <w:rPr>
                <w:rFonts w:ascii="Times New Roman" w:eastAsia="Times New Roman" w:hAnsi="Times New Roman" w:cs="Times New Roman"/>
                <w:sz w:val="20"/>
                <w:szCs w:val="20"/>
                <w:lang w:eastAsia="sk-SK"/>
              </w:rPr>
            </w:pPr>
          </w:p>
        </w:tc>
        <w:tc>
          <w:tcPr>
            <w:tcW w:w="3831"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8B027E" w:rsidRPr="007D5748" w:rsidTr="008B027E">
        <w:trPr>
          <w:trHeight w:val="255"/>
        </w:trPr>
        <w:tc>
          <w:tcPr>
            <w:tcW w:w="6374"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Poistné a príspevok do poisťovní (620)</w:t>
            </w:r>
          </w:p>
        </w:tc>
        <w:tc>
          <w:tcPr>
            <w:tcW w:w="1276"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417" w:type="dxa"/>
            <w:tcBorders>
              <w:top w:val="nil"/>
              <w:left w:val="nil"/>
              <w:bottom w:val="single" w:sz="4" w:space="0" w:color="auto"/>
              <w:right w:val="single" w:sz="4" w:space="0" w:color="auto"/>
            </w:tcBorders>
          </w:tcPr>
          <w:p w:rsidR="007D5748" w:rsidRPr="002D1539" w:rsidRDefault="007D5748" w:rsidP="007D5748">
            <w:pPr>
              <w:spacing w:after="0" w:line="240" w:lineRule="auto"/>
              <w:jc w:val="center"/>
              <w:rPr>
                <w:rFonts w:ascii="Times New Roman" w:eastAsia="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cPr>
          <w:p w:rsidR="007D5748" w:rsidRPr="002D1539" w:rsidRDefault="007D5748" w:rsidP="007D5748">
            <w:pPr>
              <w:spacing w:after="0" w:line="240" w:lineRule="auto"/>
              <w:jc w:val="center"/>
              <w:rPr>
                <w:rFonts w:ascii="Times New Roman" w:eastAsia="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cPr>
          <w:p w:rsidR="007D5748" w:rsidRPr="002D1539" w:rsidRDefault="007D5748" w:rsidP="007D5748">
            <w:pPr>
              <w:spacing w:after="0" w:line="240" w:lineRule="auto"/>
              <w:jc w:val="center"/>
              <w:rPr>
                <w:rFonts w:ascii="Times New Roman" w:eastAsia="Times New Roman" w:hAnsi="Times New Roman" w:cs="Times New Roman"/>
                <w:sz w:val="20"/>
                <w:szCs w:val="20"/>
                <w:lang w:eastAsia="sk-SK"/>
              </w:rPr>
            </w:pPr>
          </w:p>
        </w:tc>
        <w:tc>
          <w:tcPr>
            <w:tcW w:w="3831"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8B027E" w:rsidRPr="007D5748" w:rsidTr="008B027E">
        <w:trPr>
          <w:trHeight w:val="255"/>
        </w:trPr>
        <w:tc>
          <w:tcPr>
            <w:tcW w:w="6374"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Tovary a služby (630)</w:t>
            </w:r>
            <w:r w:rsidRPr="007D5748">
              <w:rPr>
                <w:rFonts w:ascii="Times New Roman" w:eastAsia="Times New Roman" w:hAnsi="Times New Roman" w:cs="Times New Roman"/>
                <w:sz w:val="20"/>
                <w:szCs w:val="20"/>
                <w:vertAlign w:val="superscript"/>
                <w:lang w:eastAsia="sk-SK"/>
              </w:rPr>
              <w:t>2</w:t>
            </w:r>
          </w:p>
        </w:tc>
        <w:tc>
          <w:tcPr>
            <w:tcW w:w="1276"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417" w:type="dxa"/>
            <w:tcBorders>
              <w:top w:val="nil"/>
              <w:left w:val="nil"/>
              <w:bottom w:val="single" w:sz="4" w:space="0" w:color="auto"/>
              <w:right w:val="single" w:sz="4" w:space="0" w:color="auto"/>
            </w:tcBorders>
          </w:tcPr>
          <w:p w:rsidR="007D5748" w:rsidRPr="002D1539" w:rsidRDefault="007D5748" w:rsidP="007D5748">
            <w:pPr>
              <w:spacing w:after="0" w:line="240" w:lineRule="auto"/>
              <w:jc w:val="center"/>
              <w:rPr>
                <w:rFonts w:ascii="Times New Roman" w:eastAsia="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cPr>
          <w:p w:rsidR="007D5748" w:rsidRPr="002D1539" w:rsidRDefault="007D5748" w:rsidP="007D5748">
            <w:pPr>
              <w:spacing w:after="0" w:line="240" w:lineRule="auto"/>
              <w:jc w:val="center"/>
              <w:rPr>
                <w:rFonts w:ascii="Times New Roman" w:eastAsia="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cPr>
          <w:p w:rsidR="007D5748" w:rsidRPr="002D1539" w:rsidRDefault="007D5748" w:rsidP="007D5748">
            <w:pPr>
              <w:spacing w:after="0" w:line="240" w:lineRule="auto"/>
              <w:jc w:val="center"/>
              <w:rPr>
                <w:rFonts w:ascii="Times New Roman" w:eastAsia="Times New Roman" w:hAnsi="Times New Roman" w:cs="Times New Roman"/>
                <w:sz w:val="20"/>
                <w:szCs w:val="20"/>
                <w:lang w:eastAsia="sk-SK"/>
              </w:rPr>
            </w:pPr>
          </w:p>
        </w:tc>
        <w:tc>
          <w:tcPr>
            <w:tcW w:w="3831"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8B027E" w:rsidRPr="007D5748" w:rsidTr="008B027E">
        <w:trPr>
          <w:trHeight w:val="255"/>
        </w:trPr>
        <w:tc>
          <w:tcPr>
            <w:tcW w:w="6374" w:type="dxa"/>
            <w:tcBorders>
              <w:top w:val="nil"/>
              <w:left w:val="single" w:sz="4" w:space="0" w:color="auto"/>
              <w:bottom w:val="single" w:sz="4" w:space="0" w:color="auto"/>
              <w:right w:val="single" w:sz="4" w:space="0" w:color="auto"/>
            </w:tcBorders>
          </w:tcPr>
          <w:p w:rsidR="00EE3F34" w:rsidRPr="007D5748" w:rsidRDefault="00EE3F34" w:rsidP="00EE3F34">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Bežné transfery (640)</w:t>
            </w:r>
            <w:r w:rsidRPr="007D5748">
              <w:rPr>
                <w:rFonts w:ascii="Times New Roman" w:eastAsia="Times New Roman" w:hAnsi="Times New Roman" w:cs="Times New Roman"/>
                <w:sz w:val="20"/>
                <w:szCs w:val="20"/>
                <w:vertAlign w:val="superscript"/>
                <w:lang w:eastAsia="sk-SK"/>
              </w:rPr>
              <w:t>2</w:t>
            </w:r>
          </w:p>
        </w:tc>
        <w:tc>
          <w:tcPr>
            <w:tcW w:w="1276" w:type="dxa"/>
            <w:tcBorders>
              <w:top w:val="nil"/>
              <w:left w:val="nil"/>
              <w:bottom w:val="single" w:sz="4" w:space="0" w:color="auto"/>
              <w:right w:val="single" w:sz="4" w:space="0" w:color="auto"/>
            </w:tcBorders>
          </w:tcPr>
          <w:p w:rsidR="00EE3F34" w:rsidRPr="007D5748" w:rsidRDefault="00EE3F34" w:rsidP="00EE3F34">
            <w:pPr>
              <w:spacing w:after="0" w:line="240" w:lineRule="auto"/>
              <w:jc w:val="center"/>
              <w:rPr>
                <w:rFonts w:ascii="Times New Roman" w:eastAsia="Times New Roman" w:hAnsi="Times New Roman" w:cs="Times New Roman"/>
                <w:sz w:val="20"/>
                <w:szCs w:val="20"/>
                <w:lang w:eastAsia="sk-SK"/>
              </w:rPr>
            </w:pPr>
          </w:p>
        </w:tc>
        <w:tc>
          <w:tcPr>
            <w:tcW w:w="1417" w:type="dxa"/>
            <w:tcBorders>
              <w:top w:val="nil"/>
              <w:left w:val="nil"/>
              <w:bottom w:val="single" w:sz="4" w:space="0" w:color="auto"/>
              <w:right w:val="single" w:sz="4" w:space="0" w:color="auto"/>
            </w:tcBorders>
          </w:tcPr>
          <w:p w:rsidR="00EE3F34" w:rsidRPr="002D1539" w:rsidRDefault="00EE3F34" w:rsidP="00EE3F34">
            <w:pPr>
              <w:spacing w:after="0" w:line="240" w:lineRule="auto"/>
              <w:jc w:val="center"/>
              <w:rPr>
                <w:rFonts w:ascii="Times New Roman" w:eastAsia="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cPr>
          <w:p w:rsidR="00EE3F34" w:rsidRPr="002D1539" w:rsidRDefault="00EE3F34" w:rsidP="00EE3F34">
            <w:pPr>
              <w:spacing w:after="0" w:line="240" w:lineRule="auto"/>
              <w:jc w:val="center"/>
              <w:rPr>
                <w:rFonts w:ascii="Times New Roman" w:eastAsia="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cPr>
          <w:p w:rsidR="00EE3F34" w:rsidRPr="002D1539" w:rsidRDefault="00EE3F34" w:rsidP="00EE3F34">
            <w:pPr>
              <w:spacing w:after="0" w:line="240" w:lineRule="auto"/>
              <w:jc w:val="center"/>
              <w:rPr>
                <w:rFonts w:ascii="Times New Roman" w:eastAsia="Times New Roman" w:hAnsi="Times New Roman" w:cs="Times New Roman"/>
                <w:sz w:val="20"/>
                <w:szCs w:val="20"/>
                <w:lang w:eastAsia="sk-SK"/>
              </w:rPr>
            </w:pPr>
          </w:p>
        </w:tc>
        <w:tc>
          <w:tcPr>
            <w:tcW w:w="3831" w:type="dxa"/>
            <w:tcBorders>
              <w:top w:val="nil"/>
              <w:left w:val="nil"/>
              <w:bottom w:val="single" w:sz="4" w:space="0" w:color="auto"/>
              <w:right w:val="single" w:sz="4" w:space="0" w:color="auto"/>
            </w:tcBorders>
            <w:noWrap/>
            <w:vAlign w:val="bottom"/>
          </w:tcPr>
          <w:p w:rsidR="00EE3F34" w:rsidRPr="007D5748" w:rsidRDefault="00EE3F34" w:rsidP="00EE3F34">
            <w:pPr>
              <w:spacing w:after="0" w:line="240" w:lineRule="auto"/>
              <w:rPr>
                <w:rFonts w:ascii="Times New Roman" w:eastAsia="Times New Roman" w:hAnsi="Times New Roman" w:cs="Times New Roman"/>
                <w:sz w:val="24"/>
                <w:szCs w:val="24"/>
                <w:lang w:eastAsia="sk-SK"/>
              </w:rPr>
            </w:pPr>
          </w:p>
        </w:tc>
      </w:tr>
      <w:tr w:rsidR="008B027E" w:rsidRPr="007D5748" w:rsidTr="008B027E">
        <w:trPr>
          <w:trHeight w:val="255"/>
        </w:trPr>
        <w:tc>
          <w:tcPr>
            <w:tcW w:w="6374" w:type="dxa"/>
            <w:tcBorders>
              <w:top w:val="nil"/>
              <w:left w:val="single" w:sz="4" w:space="0" w:color="auto"/>
              <w:bottom w:val="single" w:sz="4" w:space="0" w:color="auto"/>
              <w:right w:val="single" w:sz="4" w:space="0" w:color="auto"/>
            </w:tcBorders>
          </w:tcPr>
          <w:p w:rsidR="00EE3F34" w:rsidRPr="007D5748" w:rsidRDefault="00EE3F34" w:rsidP="002D1539">
            <w:pPr>
              <w:spacing w:after="0" w:line="240" w:lineRule="auto"/>
              <w:ind w:left="209"/>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Transféry jednotlivcom a neziskovým právnickým osobám (642)</w:t>
            </w:r>
          </w:p>
        </w:tc>
        <w:tc>
          <w:tcPr>
            <w:tcW w:w="1276" w:type="dxa"/>
            <w:tcBorders>
              <w:top w:val="nil"/>
              <w:left w:val="nil"/>
              <w:bottom w:val="single" w:sz="4" w:space="0" w:color="auto"/>
              <w:right w:val="single" w:sz="4" w:space="0" w:color="auto"/>
            </w:tcBorders>
          </w:tcPr>
          <w:p w:rsidR="00EE3F34" w:rsidRPr="007D5748" w:rsidRDefault="00EE3F34" w:rsidP="00EE3F34">
            <w:pPr>
              <w:spacing w:after="0" w:line="240" w:lineRule="auto"/>
              <w:jc w:val="center"/>
              <w:rPr>
                <w:rFonts w:ascii="Times New Roman" w:eastAsia="Times New Roman" w:hAnsi="Times New Roman" w:cs="Times New Roman"/>
                <w:sz w:val="20"/>
                <w:szCs w:val="20"/>
                <w:lang w:eastAsia="sk-SK"/>
              </w:rPr>
            </w:pPr>
          </w:p>
        </w:tc>
        <w:tc>
          <w:tcPr>
            <w:tcW w:w="1417" w:type="dxa"/>
            <w:tcBorders>
              <w:top w:val="nil"/>
              <w:left w:val="nil"/>
              <w:bottom w:val="single" w:sz="4" w:space="0" w:color="auto"/>
              <w:right w:val="single" w:sz="4" w:space="0" w:color="auto"/>
            </w:tcBorders>
          </w:tcPr>
          <w:p w:rsidR="00EE3F34" w:rsidRPr="002D1539" w:rsidRDefault="00EE3F34" w:rsidP="00EE3F34">
            <w:pPr>
              <w:spacing w:after="0" w:line="240" w:lineRule="auto"/>
              <w:jc w:val="center"/>
              <w:rPr>
                <w:rFonts w:ascii="Times New Roman" w:eastAsia="Times New Roman" w:hAnsi="Times New Roman" w:cs="Times New Roman"/>
                <w:b/>
                <w:bCs/>
                <w:sz w:val="20"/>
                <w:szCs w:val="20"/>
                <w:lang w:eastAsia="sk-SK"/>
              </w:rPr>
            </w:pPr>
          </w:p>
        </w:tc>
        <w:tc>
          <w:tcPr>
            <w:tcW w:w="1276" w:type="dxa"/>
            <w:tcBorders>
              <w:top w:val="nil"/>
              <w:left w:val="nil"/>
              <w:bottom w:val="single" w:sz="4" w:space="0" w:color="auto"/>
              <w:right w:val="single" w:sz="4" w:space="0" w:color="auto"/>
            </w:tcBorders>
          </w:tcPr>
          <w:p w:rsidR="00EE3F34" w:rsidRPr="002D1539" w:rsidRDefault="00EE3F34" w:rsidP="00EE3F34">
            <w:pPr>
              <w:spacing w:after="0" w:line="240" w:lineRule="auto"/>
              <w:jc w:val="center"/>
              <w:rPr>
                <w:rFonts w:ascii="Times New Roman" w:eastAsia="Times New Roman" w:hAnsi="Times New Roman" w:cs="Times New Roman"/>
                <w:b/>
                <w:bCs/>
                <w:sz w:val="20"/>
                <w:szCs w:val="20"/>
                <w:lang w:eastAsia="sk-SK"/>
              </w:rPr>
            </w:pPr>
          </w:p>
        </w:tc>
        <w:tc>
          <w:tcPr>
            <w:tcW w:w="1276" w:type="dxa"/>
            <w:tcBorders>
              <w:top w:val="nil"/>
              <w:left w:val="nil"/>
              <w:bottom w:val="single" w:sz="4" w:space="0" w:color="auto"/>
              <w:right w:val="single" w:sz="4" w:space="0" w:color="auto"/>
            </w:tcBorders>
          </w:tcPr>
          <w:p w:rsidR="00EE3F34" w:rsidRPr="002D1539" w:rsidRDefault="00EE3F34" w:rsidP="00EE3F34">
            <w:pPr>
              <w:spacing w:after="0" w:line="240" w:lineRule="auto"/>
              <w:jc w:val="center"/>
              <w:rPr>
                <w:rFonts w:ascii="Times New Roman" w:eastAsia="Times New Roman" w:hAnsi="Times New Roman" w:cs="Times New Roman"/>
                <w:b/>
                <w:bCs/>
                <w:sz w:val="20"/>
                <w:szCs w:val="20"/>
                <w:lang w:eastAsia="sk-SK"/>
              </w:rPr>
            </w:pPr>
          </w:p>
        </w:tc>
        <w:tc>
          <w:tcPr>
            <w:tcW w:w="3831" w:type="dxa"/>
            <w:tcBorders>
              <w:top w:val="nil"/>
              <w:left w:val="nil"/>
              <w:bottom w:val="single" w:sz="4" w:space="0" w:color="auto"/>
              <w:right w:val="single" w:sz="4" w:space="0" w:color="auto"/>
            </w:tcBorders>
            <w:noWrap/>
            <w:vAlign w:val="bottom"/>
          </w:tcPr>
          <w:p w:rsidR="00EE3F34" w:rsidRPr="007D5748" w:rsidRDefault="00EE3F34" w:rsidP="00EE3F34">
            <w:pPr>
              <w:spacing w:after="0" w:line="240" w:lineRule="auto"/>
              <w:rPr>
                <w:rFonts w:ascii="Times New Roman" w:eastAsia="Times New Roman" w:hAnsi="Times New Roman" w:cs="Times New Roman"/>
                <w:sz w:val="24"/>
                <w:szCs w:val="24"/>
                <w:lang w:eastAsia="sk-SK"/>
              </w:rPr>
            </w:pPr>
          </w:p>
        </w:tc>
      </w:tr>
      <w:tr w:rsidR="008B027E" w:rsidRPr="007D5748" w:rsidTr="008B027E">
        <w:trPr>
          <w:trHeight w:val="255"/>
        </w:trPr>
        <w:tc>
          <w:tcPr>
            <w:tcW w:w="6374" w:type="dxa"/>
            <w:tcBorders>
              <w:top w:val="nil"/>
              <w:left w:val="single" w:sz="4" w:space="0" w:color="auto"/>
              <w:bottom w:val="single" w:sz="4" w:space="0" w:color="auto"/>
              <w:right w:val="single" w:sz="4" w:space="0" w:color="auto"/>
            </w:tcBorders>
            <w:vAlign w:val="center"/>
          </w:tcPr>
          <w:p w:rsidR="007D5748" w:rsidRPr="007D5748" w:rsidRDefault="007D5748" w:rsidP="008D339D">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Splácanie úrokov a ostatné platby súvisiace s </w:t>
            </w:r>
            <w:r w:rsidR="008D339D">
              <w:t xml:space="preserve"> </w:t>
            </w:r>
            <w:r w:rsidR="008D339D" w:rsidRPr="008D339D">
              <w:rPr>
                <w:rFonts w:ascii="Times New Roman" w:eastAsia="Times New Roman" w:hAnsi="Times New Roman" w:cs="Times New Roman"/>
                <w:sz w:val="20"/>
                <w:szCs w:val="20"/>
                <w:lang w:eastAsia="sk-SK"/>
              </w:rPr>
              <w:t>úverom, pôžičkou, návratnou finančnou výpomocou a finančným prenájmom</w:t>
            </w:r>
            <w:r w:rsidRPr="007D5748">
              <w:rPr>
                <w:rFonts w:ascii="Times New Roman" w:eastAsia="Times New Roman" w:hAnsi="Times New Roman" w:cs="Times New Roman"/>
                <w:sz w:val="20"/>
                <w:szCs w:val="20"/>
                <w:lang w:eastAsia="sk-SK"/>
              </w:rPr>
              <w:t xml:space="preserve"> (650)</w:t>
            </w:r>
            <w:r w:rsidRPr="007D5748">
              <w:rPr>
                <w:rFonts w:ascii="Times New Roman" w:eastAsia="Times New Roman" w:hAnsi="Times New Roman" w:cs="Times New Roman"/>
                <w:sz w:val="20"/>
                <w:szCs w:val="20"/>
                <w:vertAlign w:val="superscript"/>
                <w:lang w:eastAsia="sk-SK"/>
              </w:rPr>
              <w:t>2</w:t>
            </w:r>
          </w:p>
        </w:tc>
        <w:tc>
          <w:tcPr>
            <w:tcW w:w="1276"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417"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3831"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r w:rsidR="008B027E" w:rsidRPr="007D5748" w:rsidTr="008B027E">
        <w:trPr>
          <w:trHeight w:val="255"/>
        </w:trPr>
        <w:tc>
          <w:tcPr>
            <w:tcW w:w="6374"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Kapitálové výdavky (700)</w:t>
            </w:r>
          </w:p>
        </w:tc>
        <w:tc>
          <w:tcPr>
            <w:tcW w:w="1276" w:type="dxa"/>
            <w:tcBorders>
              <w:top w:val="nil"/>
              <w:left w:val="nil"/>
              <w:bottom w:val="single" w:sz="4" w:space="0" w:color="auto"/>
              <w:right w:val="single" w:sz="4" w:space="0" w:color="auto"/>
            </w:tcBorders>
          </w:tcPr>
          <w:p w:rsidR="007D5748" w:rsidRPr="007D5748" w:rsidRDefault="00B24BA3"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1 608</w:t>
            </w:r>
          </w:p>
        </w:tc>
        <w:tc>
          <w:tcPr>
            <w:tcW w:w="1417"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p>
        </w:tc>
        <w:tc>
          <w:tcPr>
            <w:tcW w:w="1276"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p>
        </w:tc>
        <w:tc>
          <w:tcPr>
            <w:tcW w:w="1276"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3831" w:type="dxa"/>
            <w:tcBorders>
              <w:top w:val="nil"/>
              <w:left w:val="nil"/>
              <w:bottom w:val="single" w:sz="4" w:space="0" w:color="auto"/>
              <w:right w:val="single" w:sz="4" w:space="0" w:color="auto"/>
            </w:tcBorders>
            <w:noWrap/>
            <w:vAlign w:val="bottom"/>
          </w:tcPr>
          <w:p w:rsidR="007D5748" w:rsidRPr="007D5748" w:rsidRDefault="00B24BA3" w:rsidP="008B027E">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výdavky súvisiace s úpravou informačného systému FS SR</w:t>
            </w:r>
          </w:p>
        </w:tc>
      </w:tr>
      <w:tr w:rsidR="008B027E" w:rsidRPr="007D5748" w:rsidTr="008B027E">
        <w:trPr>
          <w:trHeight w:val="255"/>
        </w:trPr>
        <w:tc>
          <w:tcPr>
            <w:tcW w:w="6374"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Obstarávanie kapitálových aktív (710)</w:t>
            </w:r>
            <w:r w:rsidRPr="007D5748">
              <w:rPr>
                <w:rFonts w:ascii="Times New Roman" w:eastAsia="Times New Roman" w:hAnsi="Times New Roman" w:cs="Times New Roman"/>
                <w:sz w:val="20"/>
                <w:szCs w:val="20"/>
                <w:vertAlign w:val="superscript"/>
                <w:lang w:eastAsia="sk-SK"/>
              </w:rPr>
              <w:t>2</w:t>
            </w:r>
          </w:p>
        </w:tc>
        <w:tc>
          <w:tcPr>
            <w:tcW w:w="1276" w:type="dxa"/>
            <w:tcBorders>
              <w:top w:val="nil"/>
              <w:left w:val="nil"/>
              <w:bottom w:val="single" w:sz="4" w:space="0" w:color="auto"/>
              <w:right w:val="single" w:sz="4" w:space="0" w:color="auto"/>
            </w:tcBorders>
          </w:tcPr>
          <w:p w:rsidR="007D5748" w:rsidRPr="007D5748" w:rsidRDefault="00B24BA3" w:rsidP="007D574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1 608</w:t>
            </w:r>
          </w:p>
        </w:tc>
        <w:tc>
          <w:tcPr>
            <w:tcW w:w="1417"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3831"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8B027E" w:rsidRPr="007D5748" w:rsidTr="008B027E">
        <w:trPr>
          <w:trHeight w:val="255"/>
        </w:trPr>
        <w:tc>
          <w:tcPr>
            <w:tcW w:w="6374"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Kapitálové transfery (720)</w:t>
            </w:r>
            <w:r w:rsidRPr="007D5748">
              <w:rPr>
                <w:rFonts w:ascii="Times New Roman" w:eastAsia="Times New Roman" w:hAnsi="Times New Roman" w:cs="Times New Roman"/>
                <w:sz w:val="20"/>
                <w:szCs w:val="20"/>
                <w:vertAlign w:val="superscript"/>
                <w:lang w:eastAsia="sk-SK"/>
              </w:rPr>
              <w:t>2</w:t>
            </w:r>
          </w:p>
        </w:tc>
        <w:tc>
          <w:tcPr>
            <w:tcW w:w="1276"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417"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3831"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8B027E" w:rsidRPr="007D5748" w:rsidTr="008B027E">
        <w:trPr>
          <w:trHeight w:val="255"/>
        </w:trPr>
        <w:tc>
          <w:tcPr>
            <w:tcW w:w="6374"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z transakcií s finančnými aktívami a finančnými pasívami (800)</w:t>
            </w:r>
          </w:p>
        </w:tc>
        <w:tc>
          <w:tcPr>
            <w:tcW w:w="1276"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p>
        </w:tc>
        <w:tc>
          <w:tcPr>
            <w:tcW w:w="1417"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p>
        </w:tc>
        <w:tc>
          <w:tcPr>
            <w:tcW w:w="1276"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p>
        </w:tc>
        <w:tc>
          <w:tcPr>
            <w:tcW w:w="1276"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3831"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8B027E" w:rsidRPr="007D5748" w:rsidTr="008B027E">
        <w:trPr>
          <w:trHeight w:val="255"/>
        </w:trPr>
        <w:tc>
          <w:tcPr>
            <w:tcW w:w="6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D1539" w:rsidRPr="007D5748" w:rsidRDefault="002D1539" w:rsidP="002D1539">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Dopad na výdavky verejnej správy celkom</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tcPr>
          <w:p w:rsidR="002D1539" w:rsidRPr="007D5748" w:rsidRDefault="00B24BA3" w:rsidP="002D1539">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1 608</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tcPr>
          <w:p w:rsidR="002D1539" w:rsidRPr="007D5748" w:rsidRDefault="00B24BA3" w:rsidP="008B027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tcPr>
          <w:p w:rsidR="002D1539" w:rsidRPr="007D5748" w:rsidRDefault="00B24BA3" w:rsidP="002D1539">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tcPr>
          <w:p w:rsidR="002D1539" w:rsidRPr="007D5748" w:rsidRDefault="00B24BA3" w:rsidP="002D153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831"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D1539" w:rsidRPr="007D5748" w:rsidRDefault="002D1539" w:rsidP="002D1539">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6E109D" w:rsidRDefault="006E109D" w:rsidP="00387CFA">
      <w:pPr>
        <w:tabs>
          <w:tab w:val="num" w:pos="1080"/>
        </w:tabs>
        <w:spacing w:after="0" w:line="240" w:lineRule="auto"/>
        <w:jc w:val="right"/>
        <w:rPr>
          <w:rFonts w:ascii="Times New Roman" w:eastAsia="Times New Roman" w:hAnsi="Times New Roman" w:cs="Times New Roman"/>
          <w:bCs/>
          <w:sz w:val="24"/>
          <w:szCs w:val="24"/>
          <w:lang w:eastAsia="sk-SK"/>
        </w:rPr>
      </w:pPr>
    </w:p>
    <w:p w:rsidR="006E109D" w:rsidRDefault="006E109D" w:rsidP="00387CFA">
      <w:pPr>
        <w:tabs>
          <w:tab w:val="num" w:pos="1080"/>
        </w:tabs>
        <w:spacing w:after="0" w:line="240" w:lineRule="auto"/>
        <w:jc w:val="right"/>
        <w:rPr>
          <w:rFonts w:ascii="Times New Roman" w:eastAsia="Times New Roman" w:hAnsi="Times New Roman" w:cs="Times New Roman"/>
          <w:bCs/>
          <w:sz w:val="24"/>
          <w:szCs w:val="24"/>
          <w:lang w:eastAsia="sk-SK"/>
        </w:rPr>
      </w:pPr>
    </w:p>
    <w:p w:rsidR="006E109D" w:rsidRDefault="006E109D" w:rsidP="00387CFA">
      <w:pPr>
        <w:tabs>
          <w:tab w:val="num" w:pos="1080"/>
        </w:tabs>
        <w:spacing w:after="0" w:line="240" w:lineRule="auto"/>
        <w:jc w:val="right"/>
        <w:rPr>
          <w:rFonts w:ascii="Times New Roman" w:eastAsia="Times New Roman" w:hAnsi="Times New Roman" w:cs="Times New Roman"/>
          <w:bCs/>
          <w:sz w:val="24"/>
          <w:szCs w:val="24"/>
          <w:lang w:eastAsia="sk-SK"/>
        </w:rPr>
      </w:pPr>
    </w:p>
    <w:p w:rsidR="007D5748" w:rsidRPr="007D5748" w:rsidRDefault="007D5748" w:rsidP="00387CFA">
      <w:pPr>
        <w:tabs>
          <w:tab w:val="num" w:pos="1080"/>
        </w:tabs>
        <w:spacing w:after="0" w:line="240" w:lineRule="auto"/>
        <w:jc w:val="right"/>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4"/>
          <w:lang w:eastAsia="sk-SK"/>
        </w:rPr>
        <w:t xml:space="preserve">               Tabuľka č. 5 </w:t>
      </w: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7D5748" w:rsidRPr="007D5748" w:rsidTr="007F788B">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3C33E6" w:rsidRPr="007D5748" w:rsidTr="007F788B">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C33E6" w:rsidRPr="007D5748" w:rsidRDefault="003C33E6" w:rsidP="003C33E6">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3C33E6" w:rsidRPr="007D5748" w:rsidRDefault="003C33E6" w:rsidP="003C33E6">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2017</w:t>
            </w:r>
          </w:p>
        </w:tc>
        <w:tc>
          <w:tcPr>
            <w:tcW w:w="1788" w:type="dxa"/>
            <w:tcBorders>
              <w:top w:val="nil"/>
              <w:left w:val="nil"/>
              <w:bottom w:val="single" w:sz="4" w:space="0" w:color="auto"/>
              <w:right w:val="single" w:sz="4" w:space="0" w:color="auto"/>
            </w:tcBorders>
            <w:shd w:val="clear" w:color="auto" w:fill="BFBFBF" w:themeFill="background1" w:themeFillShade="BF"/>
          </w:tcPr>
          <w:p w:rsidR="003C33E6" w:rsidRPr="007D5748" w:rsidRDefault="003C33E6" w:rsidP="003C33E6">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2018</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3C33E6" w:rsidRPr="007D5748" w:rsidRDefault="003C33E6" w:rsidP="003C33E6">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2019</w:t>
            </w:r>
          </w:p>
        </w:tc>
        <w:tc>
          <w:tcPr>
            <w:tcW w:w="1722" w:type="dxa"/>
            <w:tcBorders>
              <w:top w:val="nil"/>
              <w:left w:val="nil"/>
              <w:bottom w:val="single" w:sz="4" w:space="0" w:color="auto"/>
              <w:right w:val="single" w:sz="4" w:space="0" w:color="auto"/>
            </w:tcBorders>
            <w:shd w:val="clear" w:color="auto" w:fill="BFBFBF" w:themeFill="background1" w:themeFillShade="BF"/>
          </w:tcPr>
          <w:p w:rsidR="003C33E6" w:rsidRPr="007D5748" w:rsidRDefault="003C33E6" w:rsidP="003C33E6">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C33E6" w:rsidRPr="007D5748" w:rsidRDefault="003C33E6" w:rsidP="003C33E6">
            <w:pPr>
              <w:spacing w:after="0" w:line="240" w:lineRule="auto"/>
              <w:rPr>
                <w:rFonts w:ascii="Times New Roman" w:eastAsia="Times New Roman" w:hAnsi="Times New Roman" w:cs="Times New Roman"/>
                <w:b/>
                <w:bCs/>
                <w:color w:val="FFFFFF"/>
                <w:sz w:val="24"/>
                <w:szCs w:val="24"/>
                <w:lang w:eastAsia="sk-SK"/>
              </w:rPr>
            </w:pPr>
          </w:p>
        </w:tc>
      </w:tr>
      <w:tr w:rsidR="007D5748" w:rsidRPr="007D5748" w:rsidTr="007F788B">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7F788B">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r w:rsidR="007D5748" w:rsidRPr="007D5748" w:rsidTr="007F788B">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7F788B">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722"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7F788B">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7D5748" w:rsidRPr="007D5748" w:rsidTr="007F788B">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7D5748" w:rsidRPr="007D5748" w:rsidTr="007F788B">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7F788B">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7D5748" w:rsidRPr="007D5748" w:rsidTr="007F788B">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7F788B">
        <w:trPr>
          <w:trHeight w:val="255"/>
        </w:trPr>
        <w:tc>
          <w:tcPr>
            <w:tcW w:w="6188"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r w:rsidR="007D5748" w:rsidRPr="007D5748" w:rsidTr="007F788B">
        <w:trPr>
          <w:trHeight w:val="255"/>
        </w:trPr>
        <w:tc>
          <w:tcPr>
            <w:tcW w:w="6188" w:type="dxa"/>
            <w:tcBorders>
              <w:top w:val="nil"/>
              <w:left w:val="nil"/>
              <w:bottom w:val="nil"/>
              <w:right w:val="nil"/>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r w:rsidR="007D5748" w:rsidRPr="007D5748" w:rsidTr="007F788B">
        <w:trPr>
          <w:trHeight w:val="255"/>
        </w:trPr>
        <w:tc>
          <w:tcPr>
            <w:tcW w:w="13814" w:type="dxa"/>
            <w:gridSpan w:val="6"/>
            <w:tcBorders>
              <w:top w:val="nil"/>
              <w:left w:val="nil"/>
              <w:bottom w:val="nil"/>
              <w:right w:val="nil"/>
            </w:tcBorders>
            <w:noWrap/>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r w:rsidR="007D5748" w:rsidRPr="007D5748" w:rsidTr="007F788B">
        <w:trPr>
          <w:trHeight w:val="255"/>
        </w:trPr>
        <w:tc>
          <w:tcPr>
            <w:tcW w:w="10394" w:type="dxa"/>
            <w:gridSpan w:val="4"/>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2352" w:type="dxa"/>
            <w:gridSpan w:val="2"/>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990"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bl>
    <w:p w:rsidR="007D5748" w:rsidRPr="007D5748" w:rsidRDefault="007D5748" w:rsidP="007D5748">
      <w:pPr>
        <w:spacing w:after="0" w:line="240" w:lineRule="auto"/>
        <w:rPr>
          <w:rFonts w:ascii="Times New Roman" w:eastAsia="Times New Roman" w:hAnsi="Times New Roman" w:cs="Times New Roman"/>
          <w:b/>
          <w:bCs/>
          <w:sz w:val="24"/>
          <w:szCs w:val="24"/>
          <w:lang w:eastAsia="sk-SK"/>
        </w:rPr>
        <w:sectPr w:rsidR="007D5748" w:rsidRPr="007D5748">
          <w:pgSz w:w="16838" w:h="11906" w:orient="landscape"/>
          <w:pgMar w:top="1418" w:right="1418" w:bottom="1418" w:left="1418" w:header="709" w:footer="709" w:gutter="0"/>
          <w:cols w:space="708"/>
          <w:docGrid w:linePitch="360"/>
        </w:sectPr>
      </w:pPr>
    </w:p>
    <w:p w:rsidR="00CB3623" w:rsidRDefault="00CB3623" w:rsidP="000E4AA6">
      <w:pPr>
        <w:spacing w:after="0" w:line="240" w:lineRule="auto"/>
      </w:pPr>
    </w:p>
    <w:sectPr w:rsidR="00CB3623" w:rsidSect="007235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144" w:rsidRDefault="007B4144">
      <w:pPr>
        <w:spacing w:after="0" w:line="240" w:lineRule="auto"/>
      </w:pPr>
      <w:r>
        <w:separator/>
      </w:r>
    </w:p>
  </w:endnote>
  <w:endnote w:type="continuationSeparator" w:id="0">
    <w:p w:rsidR="007B4144" w:rsidRDefault="007B4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144" w:rsidRDefault="007B414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7B4144" w:rsidRDefault="007B4144">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144" w:rsidRDefault="007B4144">
    <w:pPr>
      <w:pStyle w:val="Pta"/>
      <w:jc w:val="right"/>
    </w:pPr>
    <w:r>
      <w:fldChar w:fldCharType="begin"/>
    </w:r>
    <w:r>
      <w:instrText>PAGE   \* MERGEFORMAT</w:instrText>
    </w:r>
    <w:r>
      <w:fldChar w:fldCharType="separate"/>
    </w:r>
    <w:r w:rsidR="00C63DEE">
      <w:rPr>
        <w:noProof/>
      </w:rPr>
      <w:t>13</w:t>
    </w:r>
    <w:r>
      <w:fldChar w:fldCharType="end"/>
    </w:r>
  </w:p>
  <w:p w:rsidR="007B4144" w:rsidRDefault="007B4144">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144" w:rsidRDefault="007B4144">
    <w:pPr>
      <w:pStyle w:val="Pta"/>
      <w:jc w:val="right"/>
    </w:pPr>
    <w:r>
      <w:fldChar w:fldCharType="begin"/>
    </w:r>
    <w:r>
      <w:instrText>PAGE   \* MERGEFORMAT</w:instrText>
    </w:r>
    <w:r>
      <w:fldChar w:fldCharType="separate"/>
    </w:r>
    <w:r>
      <w:rPr>
        <w:noProof/>
      </w:rPr>
      <w:t>0</w:t>
    </w:r>
    <w:r>
      <w:fldChar w:fldCharType="end"/>
    </w:r>
  </w:p>
  <w:p w:rsidR="007B4144" w:rsidRDefault="007B414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144" w:rsidRDefault="007B4144">
      <w:pPr>
        <w:spacing w:after="0" w:line="240" w:lineRule="auto"/>
      </w:pPr>
      <w:r>
        <w:separator/>
      </w:r>
    </w:p>
  </w:footnote>
  <w:footnote w:type="continuationSeparator" w:id="0">
    <w:p w:rsidR="007B4144" w:rsidRDefault="007B41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144" w:rsidRDefault="007B4144" w:rsidP="007F788B">
    <w:pPr>
      <w:pStyle w:val="Hlavika"/>
      <w:jc w:val="right"/>
      <w:rPr>
        <w:sz w:val="24"/>
        <w:szCs w:val="24"/>
      </w:rPr>
    </w:pPr>
    <w:r>
      <w:rPr>
        <w:sz w:val="24"/>
        <w:szCs w:val="24"/>
      </w:rPr>
      <w:t>Príloha č. 2</w:t>
    </w:r>
  </w:p>
  <w:p w:rsidR="007B4144" w:rsidRPr="00EB59C8" w:rsidRDefault="007B4144" w:rsidP="007F788B">
    <w:pPr>
      <w:pStyle w:val="Hlavika"/>
      <w:jc w:val="right"/>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144" w:rsidRPr="0024067A" w:rsidRDefault="007B4144">
    <w:pPr>
      <w:pStyle w:val="Hlavika"/>
      <w:jc w:val="right"/>
      <w:rPr>
        <w:sz w:val="24"/>
        <w:szCs w:val="24"/>
      </w:rPr>
    </w:pPr>
    <w:r w:rsidRPr="0024067A">
      <w:rPr>
        <w:sz w:val="24"/>
        <w:szCs w:val="24"/>
      </w:rPr>
      <w:t>Príloha č.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144" w:rsidRPr="000A15AE" w:rsidRDefault="007B4144" w:rsidP="007F788B">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546E"/>
    <w:multiLevelType w:val="hybridMultilevel"/>
    <w:tmpl w:val="AF2EF426"/>
    <w:lvl w:ilvl="0" w:tplc="041B0001">
      <w:start w:val="1"/>
      <w:numFmt w:val="bullet"/>
      <w:lvlText w:val=""/>
      <w:lvlJc w:val="left"/>
      <w:pPr>
        <w:ind w:left="780" w:hanging="360"/>
      </w:pPr>
      <w:rPr>
        <w:rFonts w:ascii="Symbol" w:hAnsi="Symbol" w:hint="default"/>
        <w:b/>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 w15:restartNumberingAfterBreak="0">
    <w:nsid w:val="04B136C2"/>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0A4E7AB4"/>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0AD53D07"/>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E7C99"/>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12F43CE1"/>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142638AF"/>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162D6A9A"/>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200461AB"/>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210E58E6"/>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003777"/>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E04BE5"/>
    <w:multiLevelType w:val="hybridMultilevel"/>
    <w:tmpl w:val="54AE1D3A"/>
    <w:lvl w:ilvl="0" w:tplc="4648986E">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6C22685"/>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5E0D6F7B"/>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670573E1"/>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A226C93"/>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78DE33DB"/>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7B6E70CB"/>
    <w:multiLevelType w:val="hybridMultilevel"/>
    <w:tmpl w:val="B396020C"/>
    <w:lvl w:ilvl="0" w:tplc="B21A0CB4">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4"/>
  </w:num>
  <w:num w:numId="4">
    <w:abstractNumId w:val="18"/>
  </w:num>
  <w:num w:numId="5">
    <w:abstractNumId w:val="0"/>
  </w:num>
  <w:num w:numId="6">
    <w:abstractNumId w:val="19"/>
  </w:num>
  <w:num w:numId="7">
    <w:abstractNumId w:val="2"/>
  </w:num>
  <w:num w:numId="8">
    <w:abstractNumId w:val="5"/>
  </w:num>
  <w:num w:numId="9">
    <w:abstractNumId w:val="16"/>
  </w:num>
  <w:num w:numId="10">
    <w:abstractNumId w:val="17"/>
  </w:num>
  <w:num w:numId="11">
    <w:abstractNumId w:val="9"/>
  </w:num>
  <w:num w:numId="12">
    <w:abstractNumId w:val="1"/>
  </w:num>
  <w:num w:numId="13">
    <w:abstractNumId w:val="7"/>
  </w:num>
  <w:num w:numId="14">
    <w:abstractNumId w:val="3"/>
  </w:num>
  <w:num w:numId="15">
    <w:abstractNumId w:val="10"/>
  </w:num>
  <w:num w:numId="16">
    <w:abstractNumId w:val="15"/>
  </w:num>
  <w:num w:numId="17">
    <w:abstractNumId w:val="12"/>
  </w:num>
  <w:num w:numId="18">
    <w:abstractNumId w:val="8"/>
  </w:num>
  <w:num w:numId="19">
    <w:abstractNumId w:val="6"/>
  </w:num>
  <w:num w:numId="20">
    <w:abstractNumId w:val="1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EC"/>
    <w:rsid w:val="000013F5"/>
    <w:rsid w:val="000070F1"/>
    <w:rsid w:val="00015773"/>
    <w:rsid w:val="00035EB6"/>
    <w:rsid w:val="00057135"/>
    <w:rsid w:val="00095256"/>
    <w:rsid w:val="000A6798"/>
    <w:rsid w:val="000B428C"/>
    <w:rsid w:val="000B6D16"/>
    <w:rsid w:val="000C35A3"/>
    <w:rsid w:val="000E1143"/>
    <w:rsid w:val="000E4AA6"/>
    <w:rsid w:val="001127A8"/>
    <w:rsid w:val="00154E67"/>
    <w:rsid w:val="00170D2B"/>
    <w:rsid w:val="00173127"/>
    <w:rsid w:val="001803AA"/>
    <w:rsid w:val="001918C5"/>
    <w:rsid w:val="001937CF"/>
    <w:rsid w:val="001C1A3B"/>
    <w:rsid w:val="001F4827"/>
    <w:rsid w:val="00200898"/>
    <w:rsid w:val="00212894"/>
    <w:rsid w:val="0025722D"/>
    <w:rsid w:val="0027079C"/>
    <w:rsid w:val="002A1E35"/>
    <w:rsid w:val="002A3A59"/>
    <w:rsid w:val="002C7B66"/>
    <w:rsid w:val="002D01AE"/>
    <w:rsid w:val="002D1539"/>
    <w:rsid w:val="002D5815"/>
    <w:rsid w:val="002F30F1"/>
    <w:rsid w:val="00317B90"/>
    <w:rsid w:val="00336EBA"/>
    <w:rsid w:val="003860F0"/>
    <w:rsid w:val="00387CFA"/>
    <w:rsid w:val="003A733B"/>
    <w:rsid w:val="003B74F5"/>
    <w:rsid w:val="003C33E6"/>
    <w:rsid w:val="003C3C19"/>
    <w:rsid w:val="003D55CF"/>
    <w:rsid w:val="00432958"/>
    <w:rsid w:val="00440704"/>
    <w:rsid w:val="00487203"/>
    <w:rsid w:val="004D10E4"/>
    <w:rsid w:val="004D77EC"/>
    <w:rsid w:val="005005EC"/>
    <w:rsid w:val="0051689A"/>
    <w:rsid w:val="00526826"/>
    <w:rsid w:val="0055744F"/>
    <w:rsid w:val="00562337"/>
    <w:rsid w:val="00576DBE"/>
    <w:rsid w:val="00590762"/>
    <w:rsid w:val="005A4BA2"/>
    <w:rsid w:val="005C0846"/>
    <w:rsid w:val="005C47E4"/>
    <w:rsid w:val="005D7D39"/>
    <w:rsid w:val="005E6012"/>
    <w:rsid w:val="00600500"/>
    <w:rsid w:val="00604B73"/>
    <w:rsid w:val="0061374F"/>
    <w:rsid w:val="00617E18"/>
    <w:rsid w:val="006612AD"/>
    <w:rsid w:val="00662C9C"/>
    <w:rsid w:val="00682BCE"/>
    <w:rsid w:val="006B4AAA"/>
    <w:rsid w:val="006E0136"/>
    <w:rsid w:val="006E109D"/>
    <w:rsid w:val="006E6447"/>
    <w:rsid w:val="006F1FD4"/>
    <w:rsid w:val="0070226B"/>
    <w:rsid w:val="00713461"/>
    <w:rsid w:val="00723573"/>
    <w:rsid w:val="007246BD"/>
    <w:rsid w:val="007366DC"/>
    <w:rsid w:val="00740C08"/>
    <w:rsid w:val="007463D3"/>
    <w:rsid w:val="00752C01"/>
    <w:rsid w:val="007669AF"/>
    <w:rsid w:val="007972B9"/>
    <w:rsid w:val="007B4144"/>
    <w:rsid w:val="007D5748"/>
    <w:rsid w:val="007E24F6"/>
    <w:rsid w:val="007F759A"/>
    <w:rsid w:val="007F788B"/>
    <w:rsid w:val="00811C92"/>
    <w:rsid w:val="0081285D"/>
    <w:rsid w:val="008840C6"/>
    <w:rsid w:val="008A5580"/>
    <w:rsid w:val="008B027E"/>
    <w:rsid w:val="008D339D"/>
    <w:rsid w:val="008E2736"/>
    <w:rsid w:val="008E4304"/>
    <w:rsid w:val="008E4E4F"/>
    <w:rsid w:val="008F617E"/>
    <w:rsid w:val="0095034B"/>
    <w:rsid w:val="00954D52"/>
    <w:rsid w:val="00966D5C"/>
    <w:rsid w:val="009706B7"/>
    <w:rsid w:val="00984E9E"/>
    <w:rsid w:val="0098779A"/>
    <w:rsid w:val="009976A7"/>
    <w:rsid w:val="009A3A7B"/>
    <w:rsid w:val="009B3A8F"/>
    <w:rsid w:val="009E0893"/>
    <w:rsid w:val="009E1FC4"/>
    <w:rsid w:val="009E50EE"/>
    <w:rsid w:val="009F753C"/>
    <w:rsid w:val="00A10DEC"/>
    <w:rsid w:val="00A53856"/>
    <w:rsid w:val="00A6151A"/>
    <w:rsid w:val="00A83132"/>
    <w:rsid w:val="00A95CC3"/>
    <w:rsid w:val="00AF56F3"/>
    <w:rsid w:val="00B07D24"/>
    <w:rsid w:val="00B24BA3"/>
    <w:rsid w:val="00B41893"/>
    <w:rsid w:val="00B5535C"/>
    <w:rsid w:val="00B94696"/>
    <w:rsid w:val="00BE27AA"/>
    <w:rsid w:val="00BE3634"/>
    <w:rsid w:val="00BE44AC"/>
    <w:rsid w:val="00BE7FC3"/>
    <w:rsid w:val="00C07875"/>
    <w:rsid w:val="00C120C4"/>
    <w:rsid w:val="00C15212"/>
    <w:rsid w:val="00C16BA4"/>
    <w:rsid w:val="00C36A47"/>
    <w:rsid w:val="00C373AC"/>
    <w:rsid w:val="00C51FD4"/>
    <w:rsid w:val="00C63DEE"/>
    <w:rsid w:val="00C67AAA"/>
    <w:rsid w:val="00CB3623"/>
    <w:rsid w:val="00CE299A"/>
    <w:rsid w:val="00CE5722"/>
    <w:rsid w:val="00CE5C1B"/>
    <w:rsid w:val="00D2433A"/>
    <w:rsid w:val="00D35754"/>
    <w:rsid w:val="00DA03C8"/>
    <w:rsid w:val="00DB566A"/>
    <w:rsid w:val="00DE5BF1"/>
    <w:rsid w:val="00DF0A8A"/>
    <w:rsid w:val="00DF799D"/>
    <w:rsid w:val="00E06874"/>
    <w:rsid w:val="00E07CE9"/>
    <w:rsid w:val="00E1322E"/>
    <w:rsid w:val="00E22FE1"/>
    <w:rsid w:val="00E24CC8"/>
    <w:rsid w:val="00E269E7"/>
    <w:rsid w:val="00E27F6B"/>
    <w:rsid w:val="00E43E83"/>
    <w:rsid w:val="00E601D9"/>
    <w:rsid w:val="00E61E41"/>
    <w:rsid w:val="00E73BA0"/>
    <w:rsid w:val="00E963A3"/>
    <w:rsid w:val="00EA1E90"/>
    <w:rsid w:val="00EE3F34"/>
    <w:rsid w:val="00F40136"/>
    <w:rsid w:val="00F86E56"/>
    <w:rsid w:val="00FA0C49"/>
    <w:rsid w:val="00FB2097"/>
    <w:rsid w:val="00FB5382"/>
    <w:rsid w:val="00FC51DE"/>
    <w:rsid w:val="00FF1C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E1DE77-09F3-47F7-AEF5-B7E047DC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2357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paragraph" w:styleId="Odsekzoznamu">
    <w:name w:val="List Paragraph"/>
    <w:basedOn w:val="Normlny"/>
    <w:link w:val="OdsekzoznamuChar"/>
    <w:uiPriority w:val="34"/>
    <w:qFormat/>
    <w:rsid w:val="00682BCE"/>
    <w:pPr>
      <w:ind w:left="720"/>
      <w:contextualSpacing/>
    </w:pPr>
  </w:style>
  <w:style w:type="table" w:styleId="Mriekatabuky">
    <w:name w:val="Table Grid"/>
    <w:basedOn w:val="Normlnatabuka"/>
    <w:uiPriority w:val="59"/>
    <w:rsid w:val="006B4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basedOn w:val="Predvolenpsmoodseku"/>
    <w:link w:val="Odsekzoznamu"/>
    <w:uiPriority w:val="34"/>
    <w:rsid w:val="00AF5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69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2.xml><?xml version="1.0" encoding="utf-8"?>
<ds:datastoreItem xmlns:ds="http://schemas.openxmlformats.org/officeDocument/2006/customXml" ds:itemID="{C2C7B2B9-D707-4816-BA2E-943012690F17}">
  <ds:schemaRefs>
    <ds:schemaRef ds:uri="http://purl.org/dc/dcmitype/"/>
    <ds:schemaRef ds:uri="http://schemas.openxmlformats.org/package/2006/metadata/core-properties"/>
    <ds:schemaRef ds:uri="http://purl.org/dc/term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F081E10-E25E-4694-A7A8-3FB9285BF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2800</Words>
  <Characters>15966</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18729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Vidova Michaela</cp:lastModifiedBy>
  <cp:revision>3</cp:revision>
  <cp:lastPrinted>2019-05-22T08:23:00Z</cp:lastPrinted>
  <dcterms:created xsi:type="dcterms:W3CDTF">2019-05-21T16:00:00Z</dcterms:created>
  <dcterms:modified xsi:type="dcterms:W3CDTF">2019-05-22T08:23:00Z</dcterms:modified>
</cp:coreProperties>
</file>