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F" w:rsidRPr="00E45666" w:rsidRDefault="00123B5F" w:rsidP="00123B5F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123B5F" w:rsidRPr="00E45666" w:rsidRDefault="00123B5F" w:rsidP="00123B5F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123B5F" w:rsidRPr="00E45666" w:rsidRDefault="00123B5F" w:rsidP="00123B5F">
      <w:pPr>
        <w:pStyle w:val="Default"/>
        <w:jc w:val="center"/>
      </w:pPr>
    </w:p>
    <w:p w:rsidR="00123B5F" w:rsidRPr="00E45666" w:rsidRDefault="00123B5F" w:rsidP="00123B5F">
      <w:pPr>
        <w:pStyle w:val="Default"/>
        <w:ind w:firstLine="426"/>
        <w:jc w:val="both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Pr="00A766C6">
        <w:t xml:space="preserve">Ministerstvo hospodárstva Slovenskej republiky  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7472C">
      <w:pPr>
        <w:pStyle w:val="Default"/>
        <w:ind w:left="1276" w:hanging="850"/>
        <w:jc w:val="both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="009B7350" w:rsidRPr="00A45251">
        <w:rPr>
          <w:rFonts w:eastAsia="Times New Roman"/>
        </w:rPr>
        <w:t xml:space="preserve">Návrh </w:t>
      </w:r>
      <w:r w:rsidR="0017472C" w:rsidRPr="00067E1E">
        <w:rPr>
          <w:rFonts w:eastAsia="Arial Unicode MS"/>
        </w:rPr>
        <w:t>zákona, ktorým sa mení a dopĺňa zákon č. 314/2012 Z. z. o pravidelnej kontrole vykurovacích systémov a klimatizačných systémov a o zmene zákona č. 455/1991 Zb.</w:t>
      </w:r>
      <w:r w:rsidR="00993320">
        <w:rPr>
          <w:rFonts w:eastAsia="Arial Unicode MS"/>
        </w:rPr>
        <w:t xml:space="preserve"> </w:t>
      </w:r>
      <w:r w:rsidR="0017472C" w:rsidRPr="00067E1E">
        <w:rPr>
          <w:rFonts w:eastAsia="Arial Unicode MS"/>
        </w:rPr>
        <w:t>o živnostenskom podnikaní (živnostenský zákon) v znení neskorších predpisov a ktorým sa mení a dopĺňa zákon č. 321/2014 Z. z. o</w:t>
      </w:r>
      <w:r w:rsidR="0017472C">
        <w:rPr>
          <w:rFonts w:eastAsia="Arial Unicode MS"/>
        </w:rPr>
        <w:t> </w:t>
      </w:r>
      <w:r w:rsidR="0017472C" w:rsidRPr="00067E1E">
        <w:rPr>
          <w:rFonts w:eastAsia="Arial Unicode MS"/>
        </w:rPr>
        <w:t>energetickej efektívnosti a o zmene a doplnení niektorých zákonov v znení zákona č. 4/2019 Z. z.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v primárnom práve </w:t>
      </w:r>
      <w:r w:rsidR="009B7350">
        <w:t>–</w:t>
      </w:r>
      <w:r>
        <w:t xml:space="preserve"> </w:t>
      </w:r>
      <w:r w:rsidR="009B7350">
        <w:t>Zmluva o fungovaní Európskej únie</w:t>
      </w:r>
      <w:r w:rsidRPr="00A766C6">
        <w:t xml:space="preserve">  (čl. </w:t>
      </w:r>
      <w:r w:rsidR="009B7350">
        <w:t>19</w:t>
      </w:r>
      <w:r w:rsidR="000E2B06">
        <w:t>4</w:t>
      </w:r>
      <w:r w:rsidRPr="00A766C6">
        <w:t>)</w:t>
      </w:r>
      <w:r w:rsidRPr="00E45666">
        <w:t xml:space="preserve">, </w:t>
      </w:r>
    </w:p>
    <w:p w:rsidR="00F77857" w:rsidRDefault="00123B5F" w:rsidP="00370216">
      <w:pPr>
        <w:pStyle w:val="Default"/>
        <w:ind w:left="1276" w:hanging="283"/>
        <w:jc w:val="both"/>
      </w:pPr>
      <w:r w:rsidRPr="00FB6346">
        <w:t xml:space="preserve">b) v sekundárnom práve – </w:t>
      </w:r>
      <w:r w:rsidR="00FB6346" w:rsidRPr="00FB6346">
        <w:t xml:space="preserve">Smernica Európskeho parlamentu a Rady 2012/27/EÚ z 25. októbra 2012 o energetickej efektívnosti, ktorou sa menia dopĺňajú smernice 2009/125/ES a 2010/31/EÚ a ktorou sa zrušujú smernice 2004/8/ES a 2006/32/ES (Ú. </w:t>
      </w:r>
      <w:r w:rsidR="000E2B06">
        <w:t>v</w:t>
      </w:r>
      <w:r w:rsidR="00FB6346" w:rsidRPr="00FB6346">
        <w:t xml:space="preserve">. EÚ L 315, 14. 11. 2012) </w:t>
      </w:r>
      <w:r w:rsidR="00F77857">
        <w:t>v platnom znení</w:t>
      </w:r>
    </w:p>
    <w:p w:rsidR="000E2B06" w:rsidRDefault="000E2B06" w:rsidP="00370216">
      <w:pPr>
        <w:pStyle w:val="Default"/>
        <w:ind w:left="1276" w:hanging="283"/>
        <w:jc w:val="both"/>
      </w:pPr>
      <w:r>
        <w:t xml:space="preserve">      Gestor: Ministerstvo hospodárstva Slovenskej republiky</w:t>
      </w:r>
    </w:p>
    <w:p w:rsidR="00FB6346" w:rsidRDefault="00F77857" w:rsidP="00FB6346">
      <w:pPr>
        <w:pStyle w:val="Default"/>
        <w:ind w:left="1276"/>
        <w:jc w:val="both"/>
      </w:pPr>
      <w:r>
        <w:t xml:space="preserve">- </w:t>
      </w:r>
      <w:r w:rsidRPr="00FB6346">
        <w:t>Smernica Európskeho parlamentu a Rady (EÚ) 2018/844 z 30. mája 2018, ktorou sa mení smernica 2010/31/EÚ o energetickej hospodárnosti budov a smernica 2012/27/EÚ o energetickej efektívnosti (Ú. v. EÚ L 156, 19. 6. 2018),</w:t>
      </w:r>
    </w:p>
    <w:p w:rsidR="000E2B06" w:rsidRPr="00FB6346" w:rsidRDefault="000E2B06" w:rsidP="00FB6346">
      <w:pPr>
        <w:pStyle w:val="Default"/>
        <w:ind w:left="1276"/>
        <w:jc w:val="both"/>
      </w:pPr>
      <w:r>
        <w:t>Gestor: Ministerstvo dopravy a výstavby Slovenskej republiky</w:t>
      </w:r>
    </w:p>
    <w:p w:rsidR="00123B5F" w:rsidRPr="00E45666" w:rsidRDefault="00123B5F" w:rsidP="009B7350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  <w:r w:rsidR="009B7350">
        <w:t>–</w:t>
      </w:r>
      <w:r w:rsidR="000351B9">
        <w:t xml:space="preserve"> </w:t>
      </w:r>
      <w:r w:rsidR="009B7350">
        <w:t>nie je</w:t>
      </w:r>
      <w:r w:rsidRPr="00E45666">
        <w:t xml:space="preserve">. 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</w:t>
      </w:r>
      <w:r w:rsidR="000351B9">
        <w:t xml:space="preserve">lehotu účinnosti jeho ustanovení </w:t>
      </w:r>
      <w:r w:rsidR="001F5EC8">
        <w:t>–</w:t>
      </w:r>
      <w:r w:rsidR="000351B9">
        <w:t xml:space="preserve"> </w:t>
      </w:r>
      <w:r w:rsidR="001F5EC8">
        <w:rPr>
          <w:lang w:eastAsia="cs-CZ"/>
        </w:rPr>
        <w:t>10.3.2020</w:t>
      </w:r>
      <w:r w:rsidRPr="00E45666">
        <w:t xml:space="preserve">, </w:t>
      </w:r>
    </w:p>
    <w:p w:rsidR="000E2B06" w:rsidRDefault="00123B5F" w:rsidP="009B7350">
      <w:pPr>
        <w:pStyle w:val="Default"/>
        <w:ind w:left="1276" w:hanging="283"/>
        <w:jc w:val="both"/>
      </w:pPr>
      <w:r w:rsidRPr="00E4566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 w:rsidR="000351B9">
        <w:t> </w:t>
      </w:r>
      <w:r w:rsidRPr="000351B9">
        <w:t>Komisie</w:t>
      </w:r>
      <w:r w:rsidR="000351B9">
        <w:t xml:space="preserve"> </w:t>
      </w:r>
      <w:r w:rsidR="00FB6346">
        <w:t>–</w:t>
      </w:r>
      <w:r w:rsidR="000351B9">
        <w:t xml:space="preserve"> </w:t>
      </w:r>
      <w:r w:rsidR="000E2B06">
        <w:rPr>
          <w:rFonts w:ascii="Times" w:hAnsi="Times" w:cs="Times"/>
          <w:sz w:val="25"/>
          <w:szCs w:val="25"/>
        </w:rPr>
        <w:t>formálne oznámenie podľa čl. 258 Zmluvy o fungovaní Európskej únie</w:t>
      </w:r>
      <w:r w:rsidR="000E2B06" w:rsidDel="000E2B06">
        <w:t xml:space="preserve"> </w:t>
      </w:r>
      <w:r w:rsidR="000E2B06">
        <w:t xml:space="preserve">z </w:t>
      </w:r>
      <w:r w:rsidR="000E2B06">
        <w:rPr>
          <w:rFonts w:ascii="Times" w:hAnsi="Times" w:cs="Times"/>
          <w:sz w:val="25"/>
          <w:szCs w:val="25"/>
        </w:rPr>
        <w:t>9. novembra 2018 (konanie o porušení zmlúv č. SG(2018)D/20271)</w:t>
      </w:r>
    </w:p>
    <w:p w:rsidR="00123B5F" w:rsidRDefault="00123B5F" w:rsidP="009B7350">
      <w:pPr>
        <w:pStyle w:val="Default"/>
        <w:ind w:left="1276" w:hanging="283"/>
        <w:jc w:val="both"/>
      </w:pPr>
      <w:r w:rsidRPr="00E45666">
        <w:t>c) uviesť informáciu o právnych predpisoch, v ktorých sú uvádzané právne akty Európskej únie už prebrané, spolu s uvedením rozsahu ich prebrania, príp. potreby prijatia ďalších úprav</w:t>
      </w:r>
      <w:r w:rsidR="000351B9">
        <w:t xml:space="preserve"> 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vyhláška MH SR č. 192/2016 Z. z. o monitorovaní energetickej náročnosti verejných budov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zákon č. 321/2014 Z. z. o energetickej efektívnosti  a o zmene a doplnení niektorých zákonov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zákon č. 251/2012 Z. z. o energetike v rozsahu čl. 2 bodov 20 až 23, 28, 29 a 45, čl. 9 ods. 1 a 2, čl. 10 ods. 1, čl. 13, čl. 14 ods. 7, čl. 15 ods. 1, 5, 6, a 8, čl. 16 ods. 1 a 2, 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zákon č. 250/2012 Z. z. o regulácii v sieťových odvetviach v rozsahu čl. 10 ods. 1 a 2, čl. 13, čl. 15 ods. 6 a 8, 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>zákon č. 309/2009 Z. z. o podpore obnoviteľných zdrojov energie a vysoko účinnej kombinovanej výroby a o zmene a doplnení niektorých zákonov</w:t>
      </w:r>
      <w:r w:rsidR="00683EFD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v rozsahu čl. 2 </w:t>
      </w:r>
      <w:r w:rsidRPr="00F153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bodov 30 až 39, čl. 9 ods. 1, čl. 13, čl. 14 ods. 10 a 11, čl. 15 ods. 5 a 6, čl. 16 ods. 1, 2 a 3, 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zákon č. 657/2004 Z. z. o tepelnej energetike v rozsahu čl. 2 bodov 20, 22, 23 a 41, čl. 5 ods. 7, čl. 6 ods. 3, čl. 9 ods. 1 a 3, čl. 10 ods. 1, čl. 13, čl. 16 odsek 1, 2 a 3, 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 xml:space="preserve">zákon č. </w:t>
      </w:r>
      <w:r w:rsidR="00683EFD">
        <w:rPr>
          <w:rFonts w:eastAsiaTheme="minorEastAsia"/>
          <w:color w:val="000000"/>
        </w:rPr>
        <w:t>343</w:t>
      </w:r>
      <w:r w:rsidRPr="00F15382">
        <w:rPr>
          <w:rFonts w:eastAsiaTheme="minorEastAsia"/>
          <w:color w:val="000000"/>
        </w:rPr>
        <w:t>/2</w:t>
      </w:r>
      <w:r w:rsidR="00683EFD">
        <w:rPr>
          <w:rFonts w:eastAsiaTheme="minorEastAsia"/>
          <w:color w:val="000000"/>
        </w:rPr>
        <w:t>015</w:t>
      </w:r>
      <w:r w:rsidRPr="00F15382">
        <w:rPr>
          <w:rFonts w:eastAsiaTheme="minorEastAsia"/>
          <w:color w:val="000000"/>
        </w:rPr>
        <w:t xml:space="preserve"> Z. z. o verejnom obstarávaní a o zmene a doplnení niektorých zákonov v rozsahu čl. 2 bodu 8, čl. 6 ods. 1 až 4,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zákon č. 575/2001 Z. z. o organizácii činnosti vlády a organizácii ústrednej štátnej správy v znení neskorších predpisov v rozsahu čl. 2 bodu 9,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 xml:space="preserve">zákon č. </w:t>
      </w:r>
      <w:r w:rsidR="00683EFD">
        <w:rPr>
          <w:rFonts w:eastAsiaTheme="minorEastAsia"/>
          <w:color w:val="000000"/>
        </w:rPr>
        <w:t>56/2018</w:t>
      </w:r>
      <w:r w:rsidRPr="00F15382">
        <w:rPr>
          <w:rFonts w:eastAsiaTheme="minorEastAsia"/>
          <w:color w:val="000000"/>
        </w:rPr>
        <w:t xml:space="preserve"> Z. z. o posudzovaní zhody výrobku, sprístupňovaní určeného výrobku na trhu a o zmene a doplnení niektorých zákonov v rozsahu  čl. 2 </w:t>
      </w:r>
      <w:r w:rsidR="00683EFD">
        <w:rPr>
          <w:rFonts w:eastAsiaTheme="minorEastAsia"/>
          <w:color w:val="000000"/>
        </w:rPr>
        <w:t>ods.</w:t>
      </w:r>
      <w:r w:rsidRPr="00F15382">
        <w:rPr>
          <w:rFonts w:eastAsiaTheme="minorEastAsia"/>
          <w:color w:val="000000"/>
        </w:rPr>
        <w:t xml:space="preserve"> 12 a 13, 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 xml:space="preserve">zákon č. </w:t>
      </w:r>
      <w:hyperlink r:id="rId5" w:history="1">
        <w:r w:rsidRPr="00F15382">
          <w:rPr>
            <w:rFonts w:eastAsiaTheme="minorEastAsia"/>
          </w:rPr>
          <w:t>č. 158/2011 Z. z.</w:t>
        </w:r>
      </w:hyperlink>
      <w:r w:rsidRPr="00F15382">
        <w:rPr>
          <w:rFonts w:eastAsiaTheme="minorEastAsia"/>
          <w:color w:val="000000"/>
        </w:rPr>
        <w:t xml:space="preserve"> o podpore energeticky a environmentálne úsporných motorových vozidiel v rozsahu čl. 6 ods. 3 a 4,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zákon č. 555/2005 Z. z. o energetickej hospodárnosti budov v znení neskorších p</w:t>
      </w:r>
      <w:r w:rsidR="008C60A0">
        <w:rPr>
          <w:rFonts w:eastAsiaTheme="minorEastAsia"/>
          <w:color w:val="000000"/>
        </w:rPr>
        <w:t>redpisov v rozsahu čl. 6 ods. 1.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123B5F" w:rsidRPr="00E45666" w:rsidRDefault="000351B9" w:rsidP="000351B9">
      <w:pPr>
        <w:pStyle w:val="Default"/>
        <w:ind w:left="709"/>
        <w:jc w:val="both"/>
      </w:pPr>
      <w:r>
        <w:t>Úplne</w:t>
      </w:r>
    </w:p>
    <w:p w:rsidR="00123B5F" w:rsidRPr="00E45666" w:rsidRDefault="00123B5F" w:rsidP="00123B5F">
      <w:pPr>
        <w:pStyle w:val="Default"/>
        <w:ind w:left="567" w:firstLine="426"/>
      </w:pPr>
    </w:p>
    <w:p w:rsidR="004A59A1" w:rsidRDefault="004A59A1">
      <w:bookmarkStart w:id="0" w:name="_GoBack"/>
      <w:bookmarkEnd w:id="0"/>
    </w:p>
    <w:sectPr w:rsidR="004A59A1" w:rsidSect="009B7350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2CB"/>
    <w:multiLevelType w:val="hybridMultilevel"/>
    <w:tmpl w:val="9E56C06E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E20419"/>
    <w:multiLevelType w:val="hybridMultilevel"/>
    <w:tmpl w:val="7178695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 w:tplc="FFFFFFFF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 w:tplc="FFFFFFFF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6" w:tplc="FFFFFFFF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sz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3B5F"/>
    <w:rsid w:val="000351B9"/>
    <w:rsid w:val="000503B0"/>
    <w:rsid w:val="000E2B06"/>
    <w:rsid w:val="00105735"/>
    <w:rsid w:val="00123B5F"/>
    <w:rsid w:val="00156CEB"/>
    <w:rsid w:val="001737B7"/>
    <w:rsid w:val="0017472C"/>
    <w:rsid w:val="001F5EC8"/>
    <w:rsid w:val="00201761"/>
    <w:rsid w:val="00210B61"/>
    <w:rsid w:val="002E0410"/>
    <w:rsid w:val="00346877"/>
    <w:rsid w:val="00370216"/>
    <w:rsid w:val="003C43AF"/>
    <w:rsid w:val="004A59A1"/>
    <w:rsid w:val="00683EFD"/>
    <w:rsid w:val="00733CEC"/>
    <w:rsid w:val="00756E68"/>
    <w:rsid w:val="00780394"/>
    <w:rsid w:val="007F7931"/>
    <w:rsid w:val="00891648"/>
    <w:rsid w:val="008B1A85"/>
    <w:rsid w:val="008C60A0"/>
    <w:rsid w:val="00936D32"/>
    <w:rsid w:val="00947B41"/>
    <w:rsid w:val="00984D15"/>
    <w:rsid w:val="00993320"/>
    <w:rsid w:val="009A182D"/>
    <w:rsid w:val="009B7350"/>
    <w:rsid w:val="00CD456F"/>
    <w:rsid w:val="00DA32FB"/>
    <w:rsid w:val="00E91023"/>
    <w:rsid w:val="00F15382"/>
    <w:rsid w:val="00F77857"/>
    <w:rsid w:val="00FB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99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1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91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99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2011-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8</cp:revision>
  <dcterms:created xsi:type="dcterms:W3CDTF">2019-05-13T11:54:00Z</dcterms:created>
  <dcterms:modified xsi:type="dcterms:W3CDTF">2019-06-10T10:54:00Z</dcterms:modified>
</cp:coreProperties>
</file>