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21" w:rsidRPr="00663B4C" w:rsidRDefault="007A3121" w:rsidP="007A3121">
      <w:pPr>
        <w:widowControl w:val="0"/>
        <w:autoSpaceDE w:val="0"/>
        <w:autoSpaceDN w:val="0"/>
        <w:adjustRightInd w:val="0"/>
        <w:spacing w:after="0" w:line="240" w:lineRule="auto"/>
        <w:jc w:val="center"/>
        <w:rPr>
          <w:rFonts w:ascii="Times New Roman" w:hAnsi="Times New Roman"/>
          <w:b/>
          <w:bCs/>
          <w:highlight w:val="red"/>
        </w:rPr>
      </w:pPr>
      <w:r w:rsidRPr="00663B4C">
        <w:rPr>
          <w:rFonts w:ascii="Times New Roman" w:hAnsi="Times New Roman"/>
          <w:b/>
          <w:bCs/>
          <w:highlight w:val="red"/>
        </w:rPr>
        <w:t>Informatívny návrh vykonávacieho predpisu,</w:t>
      </w:r>
    </w:p>
    <w:p w:rsidR="007A3121" w:rsidRDefault="007A3121" w:rsidP="007A3121">
      <w:pPr>
        <w:widowControl w:val="0"/>
        <w:autoSpaceDE w:val="0"/>
        <w:autoSpaceDN w:val="0"/>
        <w:adjustRightInd w:val="0"/>
        <w:spacing w:after="0" w:line="240" w:lineRule="auto"/>
        <w:jc w:val="center"/>
        <w:rPr>
          <w:rFonts w:ascii="Times New Roman" w:hAnsi="Times New Roman"/>
          <w:b/>
          <w:bCs/>
        </w:rPr>
      </w:pPr>
      <w:r w:rsidRPr="00663B4C">
        <w:rPr>
          <w:rFonts w:ascii="Times New Roman" w:hAnsi="Times New Roman"/>
          <w:b/>
          <w:bCs/>
          <w:highlight w:val="red"/>
        </w:rPr>
        <w:t>vykonávací predpis bude mať vlastné legislatívne konanie</w:t>
      </w:r>
    </w:p>
    <w:p w:rsidR="007A312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 xml:space="preserve"> </w:t>
      </w: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(Návrh)</w:t>
      </w:r>
    </w:p>
    <w:p w:rsidR="007A3121" w:rsidRPr="00A331D1" w:rsidRDefault="007A3121" w:rsidP="007A3121">
      <w:pPr>
        <w:spacing w:after="0" w:line="240" w:lineRule="auto"/>
        <w:jc w:val="center"/>
        <w:rPr>
          <w:rFonts w:ascii="Times New Roman" w:hAnsi="Times New Roman"/>
          <w:b/>
          <w:color w:val="000000" w:themeColor="text1"/>
        </w:rPr>
      </w:pPr>
    </w:p>
    <w:p w:rsidR="007A3121" w:rsidRDefault="00901D85" w:rsidP="007A3121">
      <w:pPr>
        <w:spacing w:after="0" w:line="240" w:lineRule="auto"/>
        <w:jc w:val="center"/>
        <w:rPr>
          <w:rFonts w:ascii="Times New Roman" w:hAnsi="Times New Roman"/>
          <w:b/>
          <w:caps/>
          <w:color w:val="000000" w:themeColor="text1"/>
        </w:rPr>
      </w:pPr>
      <w:r>
        <w:rPr>
          <w:rFonts w:ascii="Times New Roman" w:hAnsi="Times New Roman"/>
          <w:b/>
          <w:caps/>
          <w:color w:val="000000" w:themeColor="text1"/>
        </w:rPr>
        <w:t>VYHLÁŠKA</w:t>
      </w:r>
    </w:p>
    <w:p w:rsidR="00901D85" w:rsidRPr="00901D85" w:rsidRDefault="00901D85" w:rsidP="007A3121">
      <w:pPr>
        <w:spacing w:after="0" w:line="240" w:lineRule="auto"/>
        <w:jc w:val="center"/>
        <w:rPr>
          <w:rFonts w:ascii="Times New Roman" w:hAnsi="Times New Roman"/>
          <w:b/>
          <w:color w:val="000000" w:themeColor="text1"/>
        </w:rPr>
      </w:pPr>
      <w:r>
        <w:rPr>
          <w:rFonts w:ascii="Times New Roman" w:hAnsi="Times New Roman"/>
          <w:b/>
          <w:color w:val="000000" w:themeColor="text1"/>
        </w:rPr>
        <w:t>Ministerstva zdravotníctva</w:t>
      </w: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Slovenskej republiky</w:t>
      </w:r>
    </w:p>
    <w:p w:rsidR="007A3121" w:rsidRPr="00A331D1" w:rsidRDefault="007A3121" w:rsidP="007A3121">
      <w:pPr>
        <w:spacing w:after="0" w:line="240" w:lineRule="auto"/>
        <w:jc w:val="center"/>
        <w:rPr>
          <w:rFonts w:ascii="Times New Roman" w:hAnsi="Times New Roman"/>
          <w:b/>
          <w:color w:val="000000" w:themeColor="text1"/>
        </w:rPr>
      </w:pP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z ........ 2019,</w:t>
      </w:r>
    </w:p>
    <w:p w:rsidR="007A3121" w:rsidRPr="00A331D1" w:rsidRDefault="007A3121" w:rsidP="007A3121">
      <w:pPr>
        <w:spacing w:after="0" w:line="240" w:lineRule="auto"/>
        <w:jc w:val="center"/>
        <w:rPr>
          <w:rFonts w:ascii="Times New Roman" w:hAnsi="Times New Roman"/>
          <w:b/>
          <w:color w:val="000000" w:themeColor="text1"/>
        </w:rPr>
      </w:pPr>
    </w:p>
    <w:p w:rsidR="007A3121" w:rsidRPr="00A331D1" w:rsidRDefault="007A3121" w:rsidP="007A3121">
      <w:pPr>
        <w:spacing w:after="0" w:line="240" w:lineRule="auto"/>
        <w:jc w:val="center"/>
        <w:rPr>
          <w:rFonts w:ascii="Times New Roman" w:hAnsi="Times New Roman"/>
          <w:b/>
          <w:color w:val="000000" w:themeColor="text1"/>
        </w:rPr>
      </w:pPr>
      <w:r w:rsidRPr="00A331D1">
        <w:rPr>
          <w:rFonts w:ascii="Times New Roman" w:hAnsi="Times New Roman"/>
          <w:b/>
          <w:color w:val="000000" w:themeColor="text1"/>
        </w:rPr>
        <w:t>ktor</w:t>
      </w:r>
      <w:r w:rsidR="00901D85">
        <w:rPr>
          <w:rFonts w:ascii="Times New Roman" w:hAnsi="Times New Roman"/>
          <w:b/>
          <w:color w:val="000000" w:themeColor="text1"/>
        </w:rPr>
        <w:t>ou</w:t>
      </w:r>
      <w:r w:rsidRPr="00A331D1">
        <w:rPr>
          <w:rFonts w:ascii="Times New Roman" w:hAnsi="Times New Roman"/>
          <w:b/>
          <w:color w:val="000000" w:themeColor="text1"/>
        </w:rPr>
        <w:t xml:space="preserve"> sa vydávajú indikátory kvality </w:t>
      </w:r>
      <w:r>
        <w:rPr>
          <w:rFonts w:ascii="&amp;quot" w:hAnsi="&amp;quot"/>
          <w:b/>
          <w:bCs/>
          <w:color w:val="000000"/>
        </w:rPr>
        <w:t xml:space="preserve">na hodnotenie </w:t>
      </w:r>
      <w:r w:rsidRPr="00A331D1">
        <w:rPr>
          <w:rFonts w:ascii="Times New Roman" w:hAnsi="Times New Roman"/>
          <w:b/>
          <w:color w:val="000000" w:themeColor="text1"/>
        </w:rPr>
        <w:t>poskytovania zdravotnej starostlivosti</w:t>
      </w:r>
    </w:p>
    <w:p w:rsidR="007A3121" w:rsidRPr="00A331D1" w:rsidRDefault="007A3121" w:rsidP="007A3121">
      <w:pPr>
        <w:spacing w:after="0" w:line="240" w:lineRule="auto"/>
        <w:rPr>
          <w:rFonts w:ascii="Times New Roman" w:hAnsi="Times New Roman"/>
          <w:b/>
          <w:color w:val="000000" w:themeColor="text1"/>
        </w:rPr>
      </w:pPr>
    </w:p>
    <w:p w:rsidR="007A3121" w:rsidRPr="00A331D1" w:rsidRDefault="00901D85" w:rsidP="007A3121">
      <w:pPr>
        <w:spacing w:after="0" w:line="240" w:lineRule="auto"/>
        <w:jc w:val="both"/>
        <w:rPr>
          <w:rFonts w:ascii="Times New Roman" w:hAnsi="Times New Roman"/>
          <w:color w:val="000000" w:themeColor="text1"/>
        </w:rPr>
      </w:pPr>
      <w:r>
        <w:rPr>
          <w:rFonts w:ascii="Times New Roman" w:hAnsi="Times New Roman"/>
          <w:b/>
          <w:color w:val="000000" w:themeColor="text1"/>
        </w:rPr>
        <w:t>Ministerstvo zdravotníctva</w:t>
      </w:r>
      <w:r w:rsidR="007A3121" w:rsidRPr="00A331D1">
        <w:rPr>
          <w:rFonts w:ascii="Times New Roman" w:hAnsi="Times New Roman"/>
          <w:b/>
          <w:color w:val="000000" w:themeColor="text1"/>
        </w:rPr>
        <w:t xml:space="preserve"> Slovenskej republiky podľa § </w:t>
      </w:r>
      <w:r w:rsidR="007A3121">
        <w:rPr>
          <w:rFonts w:ascii="Times New Roman" w:hAnsi="Times New Roman"/>
          <w:b/>
          <w:color w:val="000000" w:themeColor="text1"/>
        </w:rPr>
        <w:t>7</w:t>
      </w:r>
      <w:r w:rsidR="007A3121" w:rsidRPr="00A331D1">
        <w:rPr>
          <w:rFonts w:ascii="Times New Roman" w:hAnsi="Times New Roman"/>
          <w:b/>
          <w:color w:val="000000" w:themeColor="text1"/>
        </w:rPr>
        <w:t xml:space="preserve"> ods. </w:t>
      </w:r>
      <w:r w:rsidR="007A3121">
        <w:rPr>
          <w:rFonts w:ascii="Times New Roman" w:hAnsi="Times New Roman"/>
          <w:b/>
          <w:color w:val="000000" w:themeColor="text1"/>
        </w:rPr>
        <w:t>5</w:t>
      </w:r>
      <w:r w:rsidR="007A3121" w:rsidRPr="00A331D1">
        <w:rPr>
          <w:rFonts w:ascii="Times New Roman" w:hAnsi="Times New Roman"/>
          <w:b/>
          <w:color w:val="000000" w:themeColor="text1"/>
        </w:rPr>
        <w:t xml:space="preserve"> zákona č. 5</w:t>
      </w:r>
      <w:r w:rsidR="007A3121">
        <w:rPr>
          <w:rFonts w:ascii="Times New Roman" w:hAnsi="Times New Roman"/>
          <w:b/>
          <w:color w:val="000000" w:themeColor="text1"/>
        </w:rPr>
        <w:t>81</w:t>
      </w:r>
      <w:r w:rsidR="007A3121" w:rsidRPr="00A331D1">
        <w:rPr>
          <w:rFonts w:ascii="Times New Roman" w:hAnsi="Times New Roman"/>
          <w:b/>
          <w:color w:val="000000" w:themeColor="text1"/>
        </w:rPr>
        <w:t xml:space="preserve">/2004 Z. z. </w:t>
      </w:r>
      <w:r w:rsidR="007A3121" w:rsidRPr="007A3121">
        <w:rPr>
          <w:rFonts w:ascii="Times New Roman" w:hAnsi="Times New Roman"/>
          <w:b/>
          <w:color w:val="000000" w:themeColor="text1"/>
        </w:rPr>
        <w:t xml:space="preserve">o zdravotných poisťovniach, dohľade nad zdravotnou starostlivosťou a o zmene a doplnení niektorých zákonov </w:t>
      </w:r>
      <w:r w:rsidR="007A3121" w:rsidRPr="00A331D1">
        <w:rPr>
          <w:rFonts w:ascii="Times New Roman" w:hAnsi="Times New Roman"/>
          <w:b/>
          <w:color w:val="000000" w:themeColor="text1"/>
        </w:rPr>
        <w:t xml:space="preserve">v znení neskorších predpisov </w:t>
      </w:r>
      <w:r>
        <w:rPr>
          <w:rFonts w:ascii="Times New Roman" w:hAnsi="Times New Roman"/>
          <w:b/>
          <w:color w:val="000000" w:themeColor="text1"/>
        </w:rPr>
        <w:t>ustanovuje</w:t>
      </w:r>
      <w:r w:rsidR="007A3121" w:rsidRPr="00A331D1">
        <w:rPr>
          <w:rFonts w:ascii="Times New Roman" w:hAnsi="Times New Roman"/>
          <w:b/>
          <w:color w:val="000000" w:themeColor="text1"/>
        </w:rPr>
        <w:t>:</w:t>
      </w:r>
    </w:p>
    <w:p w:rsidR="007A3121" w:rsidRPr="00A331D1" w:rsidRDefault="007A3121" w:rsidP="007A3121">
      <w:pPr>
        <w:spacing w:after="0" w:line="240" w:lineRule="auto"/>
        <w:rPr>
          <w:rFonts w:ascii="Times New Roman" w:hAnsi="Times New Roman"/>
          <w:color w:val="000000" w:themeColor="text1"/>
        </w:rPr>
      </w:pPr>
    </w:p>
    <w:p w:rsidR="007A3121" w:rsidRPr="00A331D1" w:rsidRDefault="007A3121" w:rsidP="007A3121">
      <w:pPr>
        <w:spacing w:after="0" w:line="240" w:lineRule="auto"/>
        <w:jc w:val="center"/>
        <w:rPr>
          <w:rFonts w:ascii="Times New Roman" w:hAnsi="Times New Roman"/>
          <w:color w:val="000000" w:themeColor="text1"/>
        </w:rPr>
      </w:pPr>
      <w:r w:rsidRPr="00A331D1">
        <w:rPr>
          <w:rFonts w:ascii="Times New Roman" w:hAnsi="Times New Roman"/>
          <w:color w:val="000000" w:themeColor="text1"/>
        </w:rPr>
        <w:t>§ 1</w:t>
      </w:r>
    </w:p>
    <w:p w:rsidR="007A3121" w:rsidRDefault="007A3121" w:rsidP="007A3121">
      <w:pPr>
        <w:pStyle w:val="Odsekzoznamu"/>
        <w:spacing w:after="0" w:line="240" w:lineRule="auto"/>
        <w:jc w:val="both"/>
        <w:rPr>
          <w:rFonts w:ascii="Times New Roman" w:hAnsi="Times New Roman"/>
          <w:color w:val="000000" w:themeColor="text1"/>
        </w:rPr>
      </w:pPr>
    </w:p>
    <w:p w:rsidR="007A3121" w:rsidRPr="007A3121" w:rsidRDefault="007A3121" w:rsidP="007A3121">
      <w:pPr>
        <w:jc w:val="both"/>
        <w:rPr>
          <w:rFonts w:ascii="&amp;quot" w:hAnsi="&amp;quot"/>
          <w:sz w:val="21"/>
          <w:szCs w:val="21"/>
        </w:rPr>
      </w:pPr>
      <w:r w:rsidRPr="007A3121">
        <w:rPr>
          <w:rFonts w:ascii="&amp;quot" w:hAnsi="&amp;quot"/>
          <w:sz w:val="21"/>
          <w:szCs w:val="21"/>
        </w:rPr>
        <w:t>T</w:t>
      </w:r>
      <w:r w:rsidR="00901D85">
        <w:rPr>
          <w:rFonts w:ascii="&amp;quot" w:hAnsi="&amp;quot"/>
          <w:sz w:val="21"/>
          <w:szCs w:val="21"/>
        </w:rPr>
        <w:t xml:space="preserve">outo vyhláškou </w:t>
      </w:r>
      <w:r w:rsidRPr="007A3121">
        <w:rPr>
          <w:rFonts w:ascii="&amp;quot" w:hAnsi="&amp;quot"/>
          <w:sz w:val="21"/>
          <w:szCs w:val="21"/>
        </w:rPr>
        <w:t xml:space="preserve">sa vydávajú indikátory kvality. Označenie druhu poskytovateľa zdravotnej starostlivosti, ktorý bude indikátorom kvality hodnotený, označenie oblasti zdravotnej starostlivosti, na ktorej hodnotenie indikátor kvality slúži, názov indikátora kvality, popis indikátora kvality, úroveň indikátora kvality a prípustná odchýlka, určenie časového obdobia, za ktoré bude indikátor kvality hodnotený, a označenie zdroja údajov, z ktorých bude indikátor kvality spracovaný, sú uvedené v </w:t>
      </w:r>
      <w:r w:rsidRPr="00901D85">
        <w:rPr>
          <w:rFonts w:ascii="&amp;quot" w:hAnsi="&amp;quot"/>
          <w:sz w:val="21"/>
          <w:szCs w:val="21"/>
        </w:rPr>
        <w:t>prílohe</w:t>
      </w:r>
      <w:r w:rsidRPr="007A3121">
        <w:rPr>
          <w:rFonts w:ascii="&amp;quot" w:hAnsi="&amp;quot"/>
          <w:sz w:val="21"/>
          <w:szCs w:val="21"/>
        </w:rPr>
        <w:t xml:space="preserve">. </w:t>
      </w:r>
    </w:p>
    <w:p w:rsidR="007A3121" w:rsidRPr="007A3121" w:rsidRDefault="007A3121" w:rsidP="00534A0E">
      <w:pPr>
        <w:jc w:val="center"/>
        <w:rPr>
          <w:rFonts w:ascii="&amp;quot" w:hAnsi="&amp;quot"/>
          <w:b/>
          <w:bCs/>
          <w:sz w:val="21"/>
          <w:szCs w:val="21"/>
        </w:rPr>
      </w:pPr>
      <w:r w:rsidRPr="007A3121">
        <w:rPr>
          <w:rFonts w:ascii="&amp;quot" w:hAnsi="&amp;quot"/>
          <w:b/>
          <w:bCs/>
          <w:sz w:val="21"/>
          <w:szCs w:val="21"/>
        </w:rPr>
        <w:t>§ 2</w:t>
      </w:r>
    </w:p>
    <w:p w:rsidR="007A3121" w:rsidRDefault="007A3121" w:rsidP="007A3121">
      <w:pPr>
        <w:jc w:val="both"/>
        <w:rPr>
          <w:rFonts w:ascii="&amp;quot" w:hAnsi="&amp;quot"/>
          <w:sz w:val="21"/>
          <w:szCs w:val="21"/>
        </w:rPr>
      </w:pPr>
      <w:r w:rsidRPr="007A3121">
        <w:rPr>
          <w:rFonts w:ascii="&amp;quot" w:hAnsi="&amp;quot"/>
          <w:sz w:val="21"/>
          <w:szCs w:val="21"/>
        </w:rPr>
        <w:t>Toto nariadenie vlády nadobúda účinnosť 1. januára 20</w:t>
      </w:r>
      <w:r w:rsidR="00534A0E">
        <w:rPr>
          <w:rFonts w:ascii="&amp;quot" w:hAnsi="&amp;quot"/>
          <w:sz w:val="21"/>
          <w:szCs w:val="21"/>
        </w:rPr>
        <w:t>20</w:t>
      </w:r>
      <w:r w:rsidRPr="007A3121">
        <w:rPr>
          <w:rFonts w:ascii="&amp;quot" w:hAnsi="&amp;quot"/>
          <w:sz w:val="21"/>
          <w:szCs w:val="21"/>
        </w:rPr>
        <w:t>.</w:t>
      </w:r>
    </w:p>
    <w:p w:rsidR="00901D85" w:rsidRDefault="00901D85"/>
    <w:p w:rsidR="00901D85" w:rsidRDefault="00901D85" w:rsidP="00901D85">
      <w:pPr>
        <w:jc w:val="right"/>
        <w:rPr>
          <w:rFonts w:ascii="&amp;quot" w:hAnsi="&amp;quot"/>
          <w:sz w:val="21"/>
          <w:szCs w:val="21"/>
        </w:rPr>
      </w:pPr>
      <w:r w:rsidRPr="00901D85">
        <w:rPr>
          <w:rFonts w:ascii="&amp;quot" w:hAnsi="&amp;quot"/>
          <w:sz w:val="21"/>
          <w:szCs w:val="21"/>
        </w:rPr>
        <w:t>Príloha</w:t>
      </w:r>
    </w:p>
    <w:p w:rsidR="00901D85" w:rsidRDefault="00901D85"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pPr>
    </w:p>
    <w:p w:rsidR="00846796" w:rsidRDefault="00846796" w:rsidP="00901D85">
      <w:pPr>
        <w:jc w:val="right"/>
        <w:rPr>
          <w:rFonts w:ascii="&amp;quot" w:hAnsi="&amp;quot"/>
          <w:sz w:val="21"/>
          <w:szCs w:val="21"/>
        </w:rPr>
        <w:sectPr w:rsidR="00846796">
          <w:pgSz w:w="11906" w:h="16838"/>
          <w:pgMar w:top="1417" w:right="1417" w:bottom="1417" w:left="1417" w:header="708" w:footer="708" w:gutter="0"/>
          <w:cols w:space="708"/>
          <w:docGrid w:linePitch="360"/>
        </w:sectPr>
      </w:pPr>
    </w:p>
    <w:tbl>
      <w:tblPr>
        <w:tblW w:w="16037" w:type="dxa"/>
        <w:tblInd w:w="-998" w:type="dxa"/>
        <w:tblLayout w:type="fixed"/>
        <w:tblCellMar>
          <w:left w:w="70" w:type="dxa"/>
          <w:right w:w="70" w:type="dxa"/>
        </w:tblCellMar>
        <w:tblLook w:val="04A0" w:firstRow="1" w:lastRow="0" w:firstColumn="1" w:lastColumn="0" w:noHBand="0" w:noVBand="1"/>
      </w:tblPr>
      <w:tblGrid>
        <w:gridCol w:w="546"/>
        <w:gridCol w:w="1493"/>
        <w:gridCol w:w="1084"/>
        <w:gridCol w:w="1063"/>
        <w:gridCol w:w="1060"/>
        <w:gridCol w:w="1559"/>
        <w:gridCol w:w="993"/>
        <w:gridCol w:w="4819"/>
        <w:gridCol w:w="1134"/>
        <w:gridCol w:w="567"/>
        <w:gridCol w:w="709"/>
        <w:gridCol w:w="1010"/>
      </w:tblGrid>
      <w:tr w:rsidR="00846796" w:rsidRPr="00901D85" w:rsidTr="00846796">
        <w:trPr>
          <w:trHeight w:val="1020"/>
        </w:trPr>
        <w:tc>
          <w:tcPr>
            <w:tcW w:w="546"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P. č. </w:t>
            </w:r>
          </w:p>
        </w:tc>
        <w:tc>
          <w:tcPr>
            <w:tcW w:w="149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Oblasť sledovania</w:t>
            </w:r>
          </w:p>
        </w:tc>
        <w:tc>
          <w:tcPr>
            <w:tcW w:w="1084"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Poskytovateľ zdravotnej starostlivosti</w:t>
            </w:r>
            <w:r w:rsidRPr="00901D85">
              <w:rPr>
                <w:rFonts w:ascii="Arial Narrow" w:eastAsia="Times New Roman" w:hAnsi="Arial Narrow" w:cs="Arial"/>
                <w:color w:val="000000"/>
                <w:sz w:val="16"/>
                <w:szCs w:val="16"/>
              </w:rPr>
              <w:t>  </w:t>
            </w:r>
          </w:p>
        </w:tc>
        <w:tc>
          <w:tcPr>
            <w:tcW w:w="106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Hodnotená poskytovaná zdravotná starostlivosť</w:t>
            </w:r>
          </w:p>
        </w:tc>
        <w:tc>
          <w:tcPr>
            <w:tcW w:w="1060"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Názov indikátora</w:t>
            </w:r>
          </w:p>
        </w:tc>
        <w:tc>
          <w:tcPr>
            <w:tcW w:w="155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Popis indikátora</w:t>
            </w:r>
          </w:p>
        </w:tc>
        <w:tc>
          <w:tcPr>
            <w:tcW w:w="993"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Hodnotené časové obdobie</w:t>
            </w:r>
          </w:p>
        </w:tc>
        <w:tc>
          <w:tcPr>
            <w:tcW w:w="481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Úroveň indikátora a prípustná odchýlka</w:t>
            </w:r>
          </w:p>
        </w:tc>
        <w:tc>
          <w:tcPr>
            <w:tcW w:w="1134"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Zdroj údajov</w:t>
            </w:r>
          </w:p>
        </w:tc>
        <w:tc>
          <w:tcPr>
            <w:tcW w:w="567"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Dáta za rok </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Dáta spracované v roku </w:t>
            </w:r>
          </w:p>
        </w:tc>
        <w:tc>
          <w:tcPr>
            <w:tcW w:w="1010" w:type="dxa"/>
            <w:tcBorders>
              <w:top w:val="single" w:sz="4" w:space="0" w:color="auto"/>
              <w:left w:val="nil"/>
              <w:bottom w:val="single" w:sz="4" w:space="0" w:color="auto"/>
              <w:right w:val="single" w:sz="4" w:space="0" w:color="auto"/>
            </w:tcBorders>
            <w:shd w:val="clear" w:color="000000" w:fill="FFD966"/>
            <w:vAlign w:val="center"/>
            <w:hideMark/>
          </w:tcPr>
          <w:p w:rsidR="00901D85" w:rsidRPr="00901D85" w:rsidRDefault="00901D85" w:rsidP="00901D85">
            <w:pPr>
              <w:spacing w:after="0" w:line="240" w:lineRule="auto"/>
              <w:jc w:val="center"/>
              <w:rPr>
                <w:rFonts w:ascii="Arial Narrow" w:eastAsia="Times New Roman" w:hAnsi="Arial Narrow" w:cs="Arial"/>
                <w:b/>
                <w:bCs/>
                <w:sz w:val="16"/>
                <w:szCs w:val="16"/>
              </w:rPr>
            </w:pPr>
            <w:r w:rsidRPr="00901D85">
              <w:rPr>
                <w:rFonts w:ascii="Arial Narrow" w:eastAsia="Times New Roman" w:hAnsi="Arial Narrow" w:cs="Arial"/>
                <w:b/>
                <w:bCs/>
                <w:sz w:val="16"/>
                <w:szCs w:val="16"/>
              </w:rPr>
              <w:t>Oblasť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Skríning rakoviny krčka maternice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pacientiek, u ktorých bol vykonaný skríning rakoviny krčka maternice, k počtu všetkých pacientiek v starostlivosti lekára vo veku 23 až 64 rokov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pacientiek, u ktorých bola vykonaná gynekologická preventívna prehliadka (okrem vyšetrení v tehotenstve), k celkovému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v gynekologickej ambulancii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zdravotnú starostlivosť a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Manažment zdravotnej starostlivosti o pacienta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prijatí do ústavnej zdravotnej starostlivosti s diagnózou E10 – E14 pacientov </w:t>
            </w:r>
            <w:proofErr w:type="spellStart"/>
            <w:r w:rsidRPr="00901D85">
              <w:rPr>
                <w:rFonts w:ascii="Arial Narrow" w:eastAsia="Times New Roman" w:hAnsi="Arial Narrow" w:cs="Arial"/>
                <w:color w:val="000000"/>
                <w:sz w:val="16"/>
                <w:szCs w:val="16"/>
              </w:rPr>
              <w:t>dispenzarizovaných</w:t>
            </w:r>
            <w:proofErr w:type="spellEnd"/>
            <w:r w:rsidRPr="00901D85">
              <w:rPr>
                <w:rFonts w:ascii="Arial Narrow" w:eastAsia="Times New Roman" w:hAnsi="Arial Narrow" w:cs="Arial"/>
                <w:color w:val="000000"/>
                <w:sz w:val="16"/>
                <w:szCs w:val="16"/>
              </w:rPr>
              <w:t xml:space="preserve"> v diabetologickej ambulancii k celkovému počtu pacientov </w:t>
            </w:r>
            <w:proofErr w:type="spellStart"/>
            <w:r w:rsidRPr="00901D85">
              <w:rPr>
                <w:rFonts w:ascii="Arial Narrow" w:eastAsia="Times New Roman" w:hAnsi="Arial Narrow" w:cs="Arial"/>
                <w:color w:val="000000"/>
                <w:sz w:val="16"/>
                <w:szCs w:val="16"/>
              </w:rPr>
              <w:t>dispenzarizovaných</w:t>
            </w:r>
            <w:proofErr w:type="spellEnd"/>
            <w:r w:rsidRPr="00901D85">
              <w:rPr>
                <w:rFonts w:ascii="Arial Narrow" w:eastAsia="Times New Roman" w:hAnsi="Arial Narrow" w:cs="Arial"/>
                <w:color w:val="000000"/>
                <w:sz w:val="16"/>
                <w:szCs w:val="16"/>
              </w:rPr>
              <w:t xml:space="preserve"> v diabetologickej ambulancii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astmatickými ochoreniami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všetkých hospitalizácií okrem matiek/novorodencov s kódom hlavnej diagnózy pre astmatické ochorenia v stanovenom roku k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Zubný kaz u poistencov vo veku do 18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zubných výplní u poistencov vo veku do 18 rokov k celkovému počtu extrakcií u poistencov vo veku do 18 rokov ošetrených v ambulancii zubného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ambulantnú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Zubný kaz u poistencov vo veku nad 18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zubných výplní u poistencov vo veku nad 18 rokov k celkovému počtu extrakcií u poistencov vo veku nad 18 rokov ošetrených v ambulancii zubného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 celková</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u hospitalizovaných pacientov k počtu všetkých hospitalizovaných pacientov u</w:t>
            </w:r>
            <w:r w:rsidR="001A6C73">
              <w:rPr>
                <w:rFonts w:ascii="Arial Narrow" w:eastAsia="Times New Roman" w:hAnsi="Arial Narrow" w:cs="Arial"/>
                <w:color w:val="000000"/>
                <w:sz w:val="16"/>
                <w:szCs w:val="16"/>
              </w:rPr>
              <w:t> </w:t>
            </w:r>
            <w:r w:rsidRPr="00901D85">
              <w:rPr>
                <w:rFonts w:ascii="Arial Narrow" w:eastAsia="Times New Roman" w:hAnsi="Arial Narrow" w:cs="Arial"/>
                <w:color w:val="000000"/>
                <w:sz w:val="16"/>
                <w:szCs w:val="16"/>
              </w:rPr>
              <w:t>poskytovateľa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dospelých</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dospelých poistencov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poistencov, u ktorých bola vykonaná preventívna prehliadka, k celkovému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poistencov do jedného roku veku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vykonaných preventívnych prehliadok u poistencov v prvom roku veku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do jedného roku veku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prevencie u poistencov vo veku 11 a 17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vykonaných preventívnych vyšetrení celkového cholesterolu v 11. a 17. roku života u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dospelých</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Pacienti vyšetrení v ambulancii ambulantnej pohotovostnej služby pre dospelých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pacientov ošetrených počas lekárskej služby prvej pomoci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(týka sa pacientov v starostlivosti hodnoteného lekára všeobecnej ambulantnej zdravotnej starostlivosti pre dospelých)</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Pacienti vyšetrení v ambulancii ambulantnej pohotovostnej služby pre deti a dorast</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pacientov ošetrených počas lekárskej služby prvej pomoci k počtu </w:t>
            </w:r>
            <w:proofErr w:type="spellStart"/>
            <w:r w:rsidRPr="00901D85">
              <w:rPr>
                <w:rFonts w:ascii="Arial Narrow" w:eastAsia="Times New Roman" w:hAnsi="Arial Narrow" w:cs="Arial"/>
                <w:color w:val="000000"/>
                <w:sz w:val="16"/>
                <w:szCs w:val="16"/>
              </w:rPr>
              <w:t>kapitovaných</w:t>
            </w:r>
            <w:proofErr w:type="spellEnd"/>
            <w:r w:rsidRPr="00901D85">
              <w:rPr>
                <w:rFonts w:ascii="Arial Narrow" w:eastAsia="Times New Roman" w:hAnsi="Arial Narrow" w:cs="Arial"/>
                <w:color w:val="000000"/>
                <w:sz w:val="16"/>
                <w:szCs w:val="16"/>
              </w:rPr>
              <w:t xml:space="preserve"> poistencov (týka sa pacientov v starostlivosti hodnoteného lekára všeobecnej ambulantnej zdravotnej starostlivosti pre deti a dorast)</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w:t>
            </w:r>
            <w:r w:rsidRPr="00901D85">
              <w:rPr>
                <w:rFonts w:ascii="Arial Narrow" w:eastAsia="Times New Roman" w:hAnsi="Arial Narrow" w:cs="Arial"/>
                <w:color w:val="FF0000"/>
                <w:sz w:val="16"/>
                <w:szCs w:val="16"/>
              </w:rPr>
              <w:t>ambulantnú</w:t>
            </w:r>
            <w:r w:rsidRPr="00901D85">
              <w:rPr>
                <w:rFonts w:ascii="Arial Narrow" w:eastAsia="Times New Roman" w:hAnsi="Arial Narrow" w:cs="Arial"/>
                <w:color w:val="000000"/>
                <w:sz w:val="16"/>
                <w:szCs w:val="16"/>
              </w:rPr>
              <w:t xml:space="preserve">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chronickou obštrukčnou chorobou pľúc</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všetkých hospitalizácií okrem matiek/novorodencov s kódom hlavnej diagnózy pre chronickú obštrukčnú chorobu pľúc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Hospitalizácie pacientov s </w:t>
            </w:r>
            <w:proofErr w:type="spellStart"/>
            <w:r w:rsidRPr="00901D85">
              <w:rPr>
                <w:rFonts w:ascii="Arial Narrow" w:eastAsia="Times New Roman" w:hAnsi="Arial Narrow" w:cs="Arial"/>
                <w:b/>
                <w:bCs/>
                <w:color w:val="000000"/>
                <w:sz w:val="16"/>
                <w:szCs w:val="16"/>
              </w:rPr>
              <w:t>kongestívnym</w:t>
            </w:r>
            <w:proofErr w:type="spellEnd"/>
            <w:r w:rsidRPr="00901D85">
              <w:rPr>
                <w:rFonts w:ascii="Arial Narrow" w:eastAsia="Times New Roman" w:hAnsi="Arial Narrow" w:cs="Arial"/>
                <w:b/>
                <w:bCs/>
                <w:color w:val="000000"/>
                <w:sz w:val="16"/>
                <w:szCs w:val="16"/>
              </w:rPr>
              <w:t xml:space="preserve"> srdcovým zlyhávaním</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 xml:space="preserve">hospitalizácií okrem matiek/novorodencov s kódom hlavnej diagnózy pre </w:t>
            </w:r>
            <w:proofErr w:type="spellStart"/>
            <w:r w:rsidRPr="00901D85">
              <w:rPr>
                <w:rFonts w:ascii="Arial Narrow" w:eastAsia="Times New Roman" w:hAnsi="Arial Narrow" w:cs="Arial"/>
                <w:color w:val="000000"/>
                <w:sz w:val="16"/>
                <w:szCs w:val="16"/>
              </w:rPr>
              <w:t>kongestívne</w:t>
            </w:r>
            <w:proofErr w:type="spellEnd"/>
            <w:r w:rsidRPr="00901D85">
              <w:rPr>
                <w:rFonts w:ascii="Arial Narrow" w:eastAsia="Times New Roman" w:hAnsi="Arial Narrow" w:cs="Arial"/>
                <w:color w:val="000000"/>
                <w:sz w:val="16"/>
                <w:szCs w:val="16"/>
              </w:rPr>
              <w:t xml:space="preserve"> srdcové zlyhávanie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Hospitalizácia pacientov s hypertenziou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 hospitalizácií okrem matiek/novorodencov s kódom hlavnej diagnózy pre hypertenziu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w:t>
            </w:r>
            <w:r w:rsidRPr="00901D85">
              <w:rPr>
                <w:rFonts w:ascii="Arial Narrow" w:eastAsia="Times New Roman" w:hAnsi="Arial Narrow" w:cs="Arial"/>
                <w:color w:val="FF0000"/>
                <w:sz w:val="16"/>
                <w:szCs w:val="16"/>
              </w:rPr>
              <w:t>ambulantnú</w:t>
            </w:r>
            <w:r w:rsidRPr="00901D85">
              <w:rPr>
                <w:rFonts w:ascii="Arial Narrow" w:eastAsia="Times New Roman" w:hAnsi="Arial Narrow" w:cs="Arial"/>
                <w:color w:val="000000"/>
                <w:sz w:val="16"/>
                <w:szCs w:val="16"/>
              </w:rPr>
              <w:t xml:space="preserve">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Hospitalizácia pacientov s diabetes mellitus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všetkých hospitalizácií okrem matiek/novorodencov s kódom hlavnej diagnózy pre diabetes v stanovenom roku k celkovému počtu obyvateľov SR</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Amputácia dolných končatín u pacientov s diabetes mellitus podľa počtu hospitalizovaných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u w:val="single"/>
              </w:rPr>
            </w:pPr>
            <w:r w:rsidRPr="00901D85">
              <w:rPr>
                <w:rFonts w:ascii="Arial Narrow" w:eastAsia="Times New Roman" w:hAnsi="Arial Narrow" w:cs="Arial"/>
                <w:color w:val="000000"/>
                <w:sz w:val="16"/>
                <w:szCs w:val="16"/>
                <w:u w:val="single"/>
              </w:rPr>
              <w:t>Miera 1:</w:t>
            </w:r>
            <w:r w:rsidRPr="00901D85">
              <w:rPr>
                <w:rFonts w:ascii="Arial Narrow" w:eastAsia="Times New Roman" w:hAnsi="Arial Narrow" w:cs="Arial"/>
                <w:color w:val="000000"/>
                <w:sz w:val="16"/>
                <w:szCs w:val="16"/>
              </w:rPr>
              <w:t xml:space="preserve"> Pomer všetkých hospitalizácií okrem matiek/novorodencov s kódom výkonu pre veľkú amputáciu dolných končatín v ktoromkoľvek poli a s kódom diagnózy pre diabetes v ktoromkoľvek poli v stanovenom roku k počtu obyvateľov SR</w:t>
            </w:r>
            <w:r w:rsidRPr="00901D85">
              <w:rPr>
                <w:rFonts w:ascii="Arial Narrow" w:eastAsia="Times New Roman" w:hAnsi="Arial Narrow" w:cs="Arial"/>
                <w:color w:val="000000"/>
                <w:sz w:val="16"/>
                <w:szCs w:val="16"/>
              </w:rPr>
              <w:br/>
            </w:r>
            <w:r w:rsidRPr="00901D85">
              <w:rPr>
                <w:rFonts w:ascii="Arial Narrow" w:eastAsia="Times New Roman" w:hAnsi="Arial Narrow" w:cs="Arial"/>
                <w:color w:val="000000"/>
                <w:sz w:val="16"/>
                <w:szCs w:val="16"/>
                <w:u w:val="single"/>
              </w:rPr>
              <w:t xml:space="preserve">Miera 2: </w:t>
            </w:r>
            <w:r w:rsidRPr="00901D85">
              <w:rPr>
                <w:rFonts w:ascii="Arial Narrow" w:eastAsia="Times New Roman" w:hAnsi="Arial Narrow" w:cs="Arial"/>
                <w:color w:val="000000"/>
                <w:sz w:val="16"/>
                <w:szCs w:val="16"/>
              </w:rPr>
              <w:t>Pomer všetkých hospitalizácií okrem matiek/novorodencov s kódom výkonu pre veľkú amputáciu dolných končatín v ktoromkoľvek poli a s kódom diagnózy pre diabetes v ktoromkoľvek poli v stanovenom roku k počtu populácie s diabetes mellitus</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18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nil"/>
              <w:right w:val="nil"/>
            </w:tcBorders>
            <w:shd w:val="clear" w:color="auto" w:fill="auto"/>
            <w:vAlign w:val="center"/>
            <w:hideMark/>
          </w:tcPr>
          <w:p w:rsidR="00901D85" w:rsidRPr="00901D85" w:rsidRDefault="00901D85" w:rsidP="00901D85">
            <w:pPr>
              <w:spacing w:after="0" w:line="240" w:lineRule="auto"/>
              <w:rPr>
                <w:rFonts w:ascii="Arial Narrow" w:eastAsia="Times New Roman" w:hAnsi="Arial Narrow"/>
                <w:b/>
                <w:bCs/>
                <w:color w:val="000000"/>
                <w:sz w:val="16"/>
                <w:szCs w:val="16"/>
              </w:rPr>
            </w:pPr>
            <w:r w:rsidRPr="00901D85">
              <w:rPr>
                <w:rFonts w:ascii="Arial Narrow" w:eastAsia="Times New Roman" w:hAnsi="Arial Narrow"/>
                <w:b/>
                <w:bCs/>
                <w:color w:val="000000"/>
                <w:sz w:val="16"/>
                <w:szCs w:val="16"/>
              </w:rPr>
              <w:t>Amputácia dolných končatín u pacientov s diabetes mellitus podľa pacientov</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240" w:line="240" w:lineRule="auto"/>
              <w:rPr>
                <w:rFonts w:ascii="Arial Narrow" w:eastAsia="Times New Roman" w:hAnsi="Arial Narrow" w:cs="Arial"/>
                <w:color w:val="000000"/>
                <w:sz w:val="16"/>
                <w:szCs w:val="16"/>
                <w:u w:val="single"/>
              </w:rPr>
            </w:pPr>
            <w:r w:rsidRPr="00901D85">
              <w:rPr>
                <w:rFonts w:ascii="Arial Narrow" w:eastAsia="Times New Roman" w:hAnsi="Arial Narrow" w:cs="Arial"/>
                <w:color w:val="000000"/>
                <w:sz w:val="16"/>
                <w:szCs w:val="16"/>
                <w:u w:val="single"/>
              </w:rPr>
              <w:t>Miera 1: Pomer všetkých diabetických pacientov hospitalizovaných pre veľkú amputáciu dolnej končatiny v stanovenom roku k počtu obyvateľov SR</w:t>
            </w:r>
            <w:r w:rsidRPr="00901D85">
              <w:rPr>
                <w:rFonts w:ascii="Arial Narrow" w:eastAsia="Times New Roman" w:hAnsi="Arial Narrow" w:cs="Arial"/>
                <w:color w:val="000000"/>
                <w:sz w:val="16"/>
                <w:szCs w:val="16"/>
                <w:u w:val="single"/>
              </w:rPr>
              <w:br/>
              <w:t>Miera 2: Pomer všetkých diabetických pacientov hospitalizovaných pre veľkú amputáciu dolnej končatiny v stanovenom roku k počtu odhadovanej populácie s diabetes mellitus</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19</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podiel pôrodov cisárskym rezom na celkový počet pôrodov</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pôrodov cisárskym rezom a počtu všetkých pôrodov</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Z (MZ SR) 4-12 Správa o rodičke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Z (MZ SR) 4-12 Správa o rodičke</w:t>
            </w:r>
          </w:p>
        </w:tc>
        <w:tc>
          <w:tcPr>
            <w:tcW w:w="70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Index včasného záchytu rizika vývinových porúch alebo odchýlky od fyziologickej normy psychomotorického vývinu u poistencov pri 2.-11. preventívnej prehliadke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detí, u ktorých bol vykonaný skríning psychomotorického vývinu, k počtu všetkých detí do 3. rokov veku v zdravotnej starostlivosti pediatra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75% ( z celkového počtu detí do ukončeného 3.roku veku v zdravotnej starostlivosti primárneho pediatra)</w:t>
            </w:r>
            <w:r w:rsidRPr="00901D85">
              <w:rPr>
                <w:rFonts w:ascii="Arial Narrow" w:eastAsia="Times New Roman" w:hAnsi="Arial Narrow" w:cs="Arial"/>
                <w:color w:val="000000"/>
                <w:sz w:val="16"/>
                <w:szCs w:val="16"/>
              </w:rPr>
              <w:br/>
              <w:t>Úroveň 0: menej ako 75,0% z celkového počtu detí</w:t>
            </w:r>
            <w:r w:rsidRPr="00901D85">
              <w:rPr>
                <w:rFonts w:ascii="Arial Narrow" w:eastAsia="Times New Roman" w:hAnsi="Arial Narrow" w:cs="Arial"/>
                <w:color w:val="000000"/>
                <w:sz w:val="16"/>
                <w:szCs w:val="16"/>
              </w:rPr>
              <w:br/>
              <w:t>Úroveň 1: 75-79,9% z celkového počtu detí</w:t>
            </w:r>
            <w:r w:rsidRPr="00901D85">
              <w:rPr>
                <w:rFonts w:ascii="Arial Narrow" w:eastAsia="Times New Roman" w:hAnsi="Arial Narrow" w:cs="Arial"/>
                <w:color w:val="000000"/>
                <w:sz w:val="16"/>
                <w:szCs w:val="16"/>
              </w:rPr>
              <w:br/>
              <w:t xml:space="preserve">Úroveň 2: 80 – 84,9% z celkového počtu detí </w:t>
            </w:r>
            <w:r w:rsidRPr="00901D85">
              <w:rPr>
                <w:rFonts w:ascii="Arial Narrow" w:eastAsia="Times New Roman" w:hAnsi="Arial Narrow" w:cs="Arial"/>
                <w:color w:val="000000"/>
                <w:sz w:val="16"/>
                <w:szCs w:val="16"/>
              </w:rPr>
              <w:br/>
              <w:t>Úroveň 3: 85% a viac z celkového počtu detí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Poskytovateľ, ktorý poskytuje ústavnú zdravotnú starostlivosť </w:t>
            </w:r>
          </w:p>
        </w:tc>
        <w:tc>
          <w:tcPr>
            <w:tcW w:w="1063"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Včasný skríning porúch a vrodených vývinových chýb u novorodenca </w:t>
            </w:r>
          </w:p>
        </w:tc>
        <w:tc>
          <w:tcPr>
            <w:tcW w:w="155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novorodencov, ktorí po narodení absolvovali skríningové vyšetrenia počas pobytu v ústavnom zdravotníckom zariadení k celkovému počtu novorodencov tam narodených  </w:t>
            </w:r>
          </w:p>
        </w:tc>
        <w:tc>
          <w:tcPr>
            <w:tcW w:w="993"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menšia ako stredná hodnota znížená o dvojnásobok štandardnej odchýlky</w:t>
            </w:r>
            <w:r w:rsidRPr="00901D85">
              <w:rPr>
                <w:rFonts w:ascii="Arial Narrow" w:eastAsia="Times New Roman" w:hAnsi="Arial Narrow" w:cs="Arial"/>
                <w:color w:val="000000"/>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ústavných poskytovateľov zdravotnej starostlivosti</w:t>
            </w:r>
          </w:p>
        </w:tc>
        <w:tc>
          <w:tcPr>
            <w:tcW w:w="567"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709"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1010" w:type="dxa"/>
            <w:tcBorders>
              <w:top w:val="nil"/>
              <w:left w:val="nil"/>
              <w:bottom w:val="single" w:sz="4" w:space="0" w:color="auto"/>
              <w:right w:val="single" w:sz="4" w:space="0" w:color="auto"/>
            </w:tcBorders>
            <w:shd w:val="clear" w:color="000000" w:fill="FFFFFF"/>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Index prevencie u poistencov vo veku 1 rok až 18 rokov + 364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vykonaných preventívnych prehliadok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Index </w:t>
            </w:r>
            <w:proofErr w:type="spellStart"/>
            <w:r w:rsidRPr="00901D85">
              <w:rPr>
                <w:rFonts w:ascii="Arial Narrow" w:eastAsia="Times New Roman" w:hAnsi="Arial Narrow" w:cs="Arial"/>
                <w:b/>
                <w:bCs/>
                <w:sz w:val="16"/>
                <w:szCs w:val="16"/>
              </w:rPr>
              <w:t>zaočkovanosti</w:t>
            </w:r>
            <w:proofErr w:type="spellEnd"/>
            <w:r w:rsidRPr="00901D85">
              <w:rPr>
                <w:rFonts w:ascii="Arial Narrow" w:eastAsia="Times New Roman" w:hAnsi="Arial Narrow" w:cs="Arial"/>
                <w:b/>
                <w:bCs/>
                <w:sz w:val="16"/>
                <w:szCs w:val="16"/>
              </w:rPr>
              <w:t xml:space="preserve"> poistencov vo veku 0 rokov až 18 rokov + 364 dní v rámci povinného pravidelného očkovania v SR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zaočkovaných poistencov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b/>
                <w:bCs/>
                <w:color w:val="494949"/>
                <w:sz w:val="16"/>
                <w:szCs w:val="16"/>
              </w:rPr>
            </w:pPr>
            <w:r w:rsidRPr="00901D85">
              <w:rPr>
                <w:rFonts w:ascii="Arial Narrow" w:eastAsia="Times New Roman" w:hAnsi="Arial Narrow" w:cs="Arial"/>
                <w:b/>
                <w:bCs/>
                <w:color w:val="494949"/>
                <w:sz w:val="16"/>
                <w:szCs w:val="16"/>
              </w:rPr>
              <w:t>24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Poskytovateľ, ktorý poskytuje všeobecnú ambulantnú starostlivosť pre deti a dorast</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sz w:val="16"/>
                <w:szCs w:val="16"/>
              </w:rPr>
            </w:pPr>
            <w:r w:rsidRPr="00901D85">
              <w:rPr>
                <w:rFonts w:ascii="Arial Narrow" w:eastAsia="Times New Roman" w:hAnsi="Arial Narrow" w:cs="Arial"/>
                <w:b/>
                <w:bCs/>
                <w:sz w:val="16"/>
                <w:szCs w:val="16"/>
              </w:rPr>
              <w:t xml:space="preserve">Index </w:t>
            </w:r>
            <w:proofErr w:type="spellStart"/>
            <w:r w:rsidRPr="00901D85">
              <w:rPr>
                <w:rFonts w:ascii="Arial Narrow" w:eastAsia="Times New Roman" w:hAnsi="Arial Narrow" w:cs="Arial"/>
                <w:b/>
                <w:bCs/>
                <w:sz w:val="16"/>
                <w:szCs w:val="16"/>
              </w:rPr>
              <w:t>zaočkovanosti</w:t>
            </w:r>
            <w:proofErr w:type="spellEnd"/>
            <w:r w:rsidRPr="00901D85">
              <w:rPr>
                <w:rFonts w:ascii="Arial Narrow" w:eastAsia="Times New Roman" w:hAnsi="Arial Narrow" w:cs="Arial"/>
                <w:b/>
                <w:bCs/>
                <w:sz w:val="16"/>
                <w:szCs w:val="16"/>
              </w:rPr>
              <w:t xml:space="preserve"> detí v 13. roku života odporúčaným, plne hradeným očkovaním proti HPV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zaočkovaných poistencov proti HPV v 13. roku života k celkovému počtu poistencov v tejto vekovej skupine v starostlivosti lekára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Úroveň 0: Hodnota menšia ako stredná hodnota znížená o dvojnásobok štandardnej odchýlky</w:t>
            </w:r>
            <w:r w:rsidRPr="00901D85">
              <w:rPr>
                <w:rFonts w:ascii="Arial Narrow" w:eastAsia="Times New Roman" w:hAnsi="Arial Narrow" w:cs="Arial"/>
                <w:sz w:val="16"/>
                <w:szCs w:val="16"/>
              </w:rPr>
              <w:br/>
              <w:t>Úroveň 1: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sz w:val="16"/>
                <w:szCs w:val="16"/>
              </w:rPr>
              <w:br/>
              <w:t>Úroveň 2: Stredná hodnota vrátane jednej štandardnej odchýlky</w:t>
            </w:r>
            <w:r w:rsidRPr="00901D85">
              <w:rPr>
                <w:rFonts w:ascii="Arial Narrow" w:eastAsia="Times New Roman" w:hAnsi="Arial Narrow" w:cs="Arial"/>
                <w:sz w:val="16"/>
                <w:szCs w:val="16"/>
              </w:rPr>
              <w:br/>
              <w:t>Úroveň 3: Hodnota väčšia ako stredná hodnota vrátane jednej štandardnej odchýlky a zároveň menšia ako stredná hodnota vrátane dvoch štandardných odchýlok</w:t>
            </w:r>
            <w:r w:rsidRPr="00901D85">
              <w:rPr>
                <w:rFonts w:ascii="Arial Narrow" w:eastAsia="Times New Roman" w:hAnsi="Arial Narrow" w:cs="Arial"/>
                <w:sz w:val="16"/>
                <w:szCs w:val="16"/>
              </w:rPr>
              <w:br/>
              <w:t>Úroveň 4: Hodnota väčšia ako stredná hodnota vrátane dvoch štandardných odchýlok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25</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Podiel pacientov v ambulantnej a ústavnej časti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návštev pacienta v ambulanciách poskytovateľov ústavnej zdravotnej starostlivosti (PÚZS) k počtu ukončených </w:t>
            </w:r>
            <w:proofErr w:type="spellStart"/>
            <w:r w:rsidRPr="00901D85">
              <w:rPr>
                <w:rFonts w:ascii="Arial Narrow" w:eastAsia="Times New Roman" w:hAnsi="Arial Narrow" w:cs="Calibri"/>
                <w:color w:val="000000"/>
                <w:sz w:val="16"/>
                <w:szCs w:val="16"/>
              </w:rPr>
              <w:t>hospitalizacií</w:t>
            </w:r>
            <w:proofErr w:type="spellEnd"/>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Výstup o sieti poskytovateľov zdravotnej starostlivosti (čitateľ) a Ročný výkaz P (MZ SR) 1-01 o posteľovom fonde zdravotníckeho zariadenia (menovateľ)</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26</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proofErr w:type="spellStart"/>
            <w:r w:rsidRPr="00901D85">
              <w:rPr>
                <w:rFonts w:ascii="Arial Narrow" w:eastAsia="Times New Roman" w:hAnsi="Arial Narrow" w:cs="Calibri"/>
                <w:color w:val="000000"/>
                <w:sz w:val="16"/>
                <w:szCs w:val="16"/>
              </w:rPr>
              <w:t>Operovanosť</w:t>
            </w:r>
            <w:proofErr w:type="spellEnd"/>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pacientov operovaných na oddeleniach chirurgických odborov hodnoteného</w:t>
            </w:r>
            <w:r w:rsidRPr="00901D85">
              <w:rPr>
                <w:rFonts w:ascii="Arial Narrow" w:eastAsia="Times New Roman" w:hAnsi="Arial Narrow" w:cs="Calibri"/>
                <w:color w:val="000000"/>
                <w:sz w:val="16"/>
                <w:szCs w:val="16"/>
              </w:rPr>
              <w:br/>
              <w:t>poskytovateľa (kódy odborností 009, 010, 011, 012, 013, 014, 015, 037, 038, 068, 069, 070, 106, 191,</w:t>
            </w:r>
            <w:r w:rsidRPr="00901D85">
              <w:rPr>
                <w:rFonts w:ascii="Arial Narrow" w:eastAsia="Times New Roman" w:hAnsi="Arial Narrow" w:cs="Calibri"/>
                <w:color w:val="000000"/>
                <w:sz w:val="16"/>
                <w:szCs w:val="16"/>
              </w:rPr>
              <w:br/>
              <w:t>207) a počtu všetkých hospitalizovaných pacientov na oddeleniach chirurgických odborov</w:t>
            </w:r>
            <w:r w:rsidRPr="00901D85">
              <w:rPr>
                <w:rFonts w:ascii="Arial Narrow" w:eastAsia="Times New Roman" w:hAnsi="Arial Narrow" w:cs="Calibri"/>
                <w:color w:val="000000"/>
                <w:sz w:val="16"/>
                <w:szCs w:val="16"/>
              </w:rPr>
              <w:br/>
              <w:t>(kódy odborností 009, 010, 011, 012, 013, 014, 015, 037, 038, 068, 069, 070, 106, 191, 207)</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27</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Priemerná dĺžka hospitalizácie (v dňoch)</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Priemerná dĺžka hospitalizácie (v dňoch)</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28</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proofErr w:type="spellStart"/>
            <w:r w:rsidRPr="00901D85">
              <w:rPr>
                <w:rFonts w:ascii="Arial Narrow" w:eastAsia="Times New Roman" w:hAnsi="Arial Narrow" w:cs="Calibri"/>
                <w:color w:val="000000"/>
                <w:sz w:val="16"/>
                <w:szCs w:val="16"/>
              </w:rPr>
              <w:t>Obložnosť</w:t>
            </w:r>
            <w:proofErr w:type="spellEnd"/>
            <w:r w:rsidRPr="00901D85">
              <w:rPr>
                <w:rFonts w:ascii="Arial Narrow" w:eastAsia="Times New Roman" w:hAnsi="Arial Narrow" w:cs="Calibri"/>
                <w:color w:val="000000"/>
                <w:sz w:val="16"/>
                <w:szCs w:val="16"/>
              </w:rPr>
              <w:t xml:space="preserve"> v dňoch</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Využitie postelí v dňoch (</w:t>
            </w:r>
            <w:proofErr w:type="spellStart"/>
            <w:r w:rsidRPr="00901D85">
              <w:rPr>
                <w:rFonts w:ascii="Arial Narrow" w:eastAsia="Times New Roman" w:hAnsi="Arial Narrow" w:cs="Calibri"/>
                <w:color w:val="000000"/>
                <w:sz w:val="16"/>
                <w:szCs w:val="16"/>
              </w:rPr>
              <w:t>obložnosť</w:t>
            </w:r>
            <w:proofErr w:type="spellEnd"/>
            <w:r w:rsidRPr="00901D85">
              <w:rPr>
                <w:rFonts w:ascii="Arial Narrow" w:eastAsia="Times New Roman" w:hAnsi="Arial Narrow" w:cs="Calibri"/>
                <w:color w:val="000000"/>
                <w:sz w:val="16"/>
                <w:szCs w:val="16"/>
              </w:rPr>
              <w:t>)</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29</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Počet ukončených hospitalizácií na 1 FTE zdravotníckeho pracovníka</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hospitalizácií a priemerného evidenčného počtu zdravotníckych pracovníkov v jednotlivých povolaniach </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 (čitateľ) a Ročný výkaz M (MZ SR) 1-01 o počte a štruktúre pracovníkoch v zdravotníctve (menovateľ)</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Starostlivosť</w:t>
            </w:r>
          </w:p>
        </w:tc>
      </w:tr>
      <w:tr w:rsidR="00846796" w:rsidRPr="00901D85" w:rsidTr="00846796">
        <w:trPr>
          <w:trHeight w:val="21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30</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Úmrtnosť do 30 dní po prepustení z nemocnice</w:t>
            </w:r>
          </w:p>
        </w:tc>
        <w:tc>
          <w:tcPr>
            <w:tcW w:w="1559"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zomretých pacientov do 30 dní po prepustení z ústavnej zdravotnej starostlivosti hodnoteného poskytovateľa na diagnózu z tej istej skupiny diagnóz k počtu všetkých prepustených pacientov, ktorí boli prepustení z ústavného zdravotníckeho zariadenia s tou istou skupinou diagnóz</w:t>
            </w:r>
          </w:p>
        </w:tc>
        <w:tc>
          <w:tcPr>
            <w:tcW w:w="993"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 a Hlásenie o úmrtí a príčinách smrti</w:t>
            </w:r>
          </w:p>
        </w:tc>
        <w:tc>
          <w:tcPr>
            <w:tcW w:w="567" w:type="dxa"/>
            <w:tcBorders>
              <w:top w:val="nil"/>
              <w:left w:val="nil"/>
              <w:bottom w:val="nil"/>
              <w:right w:val="nil"/>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single" w:sz="4" w:space="0" w:color="auto"/>
              <w:bottom w:val="nil"/>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nil"/>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Úmrtnosť</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31</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Prichádzajúce preklady medzi zariadeniami</w:t>
            </w:r>
          </w:p>
        </w:tc>
        <w:tc>
          <w:tcPr>
            <w:tcW w:w="1559"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prijatých pacientov z iných zariadení ústavnej zdravotnej starostlivosti k počtu všetkých prijatých pacientov</w:t>
            </w:r>
          </w:p>
        </w:tc>
        <w:tc>
          <w:tcPr>
            <w:tcW w:w="993"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single" w:sz="4" w:space="0" w:color="auto"/>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single" w:sz="4" w:space="0" w:color="auto"/>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single" w:sz="4" w:space="0" w:color="auto"/>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32</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Prichádzajúce preklady v rámci zariadenia ústavnej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prijatých pacientov z iných oddelení nemocnice  k počtu všetkých prijatých pacientov</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33</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Odchádzajúce preklady medzi zariadeniami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preložených pacientov do iných zariadení ústavnej zdravotnej starostlivosti k počtu všetkých ukončených hospitalizácií</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34</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Odchádzajúce preklady v rámci zariadenia ústavnej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preložených pacientov na iné oddelenia nemocnice  k počtu všetkých ukončených hospitalizácií</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1200"/>
        </w:trPr>
        <w:tc>
          <w:tcPr>
            <w:tcW w:w="546" w:type="dxa"/>
            <w:tcBorders>
              <w:top w:val="nil"/>
              <w:left w:val="single" w:sz="4" w:space="0" w:color="auto"/>
              <w:bottom w:val="single" w:sz="4" w:space="0" w:color="auto"/>
              <w:right w:val="single" w:sz="4" w:space="0" w:color="auto"/>
            </w:tcBorders>
            <w:shd w:val="clear" w:color="000000" w:fill="D0CECE"/>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35</w:t>
            </w:r>
          </w:p>
        </w:tc>
        <w:tc>
          <w:tcPr>
            <w:tcW w:w="14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Všeobecná a špecializovaná zdravotná starostlivosť (primárna) </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Točivosť v rámci oddelenia</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prijatí pacientov na oddelenie k počtu jedinečných pacientov prijatých na oddelenie</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nil"/>
              <w:right w:val="nil"/>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709" w:type="dxa"/>
            <w:tcBorders>
              <w:top w:val="nil"/>
              <w:left w:val="single" w:sz="4" w:space="0" w:color="auto"/>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Preklady</w:t>
            </w:r>
          </w:p>
        </w:tc>
      </w:tr>
      <w:tr w:rsidR="00846796" w:rsidRPr="00901D85" w:rsidTr="00846796">
        <w:trPr>
          <w:trHeight w:val="237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Efektivita liečby </w:t>
            </w:r>
            <w:proofErr w:type="spellStart"/>
            <w:r w:rsidRPr="00901D85">
              <w:rPr>
                <w:rFonts w:ascii="Arial Narrow" w:eastAsia="Times New Roman" w:hAnsi="Arial Narrow" w:cs="Arial"/>
                <w:b/>
                <w:bCs/>
                <w:color w:val="000000"/>
                <w:sz w:val="16"/>
                <w:szCs w:val="16"/>
              </w:rPr>
              <w:t>hypercholesterolémie</w:t>
            </w:r>
            <w:proofErr w:type="spellEnd"/>
            <w:r w:rsidRPr="00901D85">
              <w:rPr>
                <w:rFonts w:ascii="Arial Narrow" w:eastAsia="Times New Roman" w:hAnsi="Arial Narrow" w:cs="Arial"/>
                <w:b/>
                <w:bCs/>
                <w:color w:val="000000"/>
                <w:sz w:val="16"/>
                <w:szCs w:val="16"/>
              </w:rPr>
              <w:t xml:space="preserve"> u pacienta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jedného lieku znižujúceho cholesterol (C10) viazaného na predpis k počtu pacientov, ktorí sú dlhodobými užívateľmi liekov na reguláciu glukózy (A10B)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433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Antihypertenzíva</w:t>
            </w:r>
            <w:proofErr w:type="spellEnd"/>
            <w:r w:rsidRPr="00901D85">
              <w:rPr>
                <w:rFonts w:ascii="Arial Narrow" w:eastAsia="Times New Roman" w:hAnsi="Arial Narrow" w:cs="Arial"/>
                <w:b/>
                <w:bCs/>
                <w:color w:val="000000"/>
                <w:sz w:val="16"/>
                <w:szCs w:val="16"/>
              </w:rPr>
              <w:t xml:space="preserve"> prvej voľby u pacientov s diabetes mellitus</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1 inhibítora enzýmu </w:t>
            </w:r>
            <w:proofErr w:type="spellStart"/>
            <w:r w:rsidRPr="00901D85">
              <w:rPr>
                <w:rFonts w:ascii="Arial Narrow" w:eastAsia="Times New Roman" w:hAnsi="Arial Narrow" w:cs="Arial"/>
                <w:color w:val="000000"/>
                <w:sz w:val="16"/>
                <w:szCs w:val="16"/>
              </w:rPr>
              <w:t>angiotenzín-konvertázy</w:t>
            </w:r>
            <w:proofErr w:type="spellEnd"/>
            <w:r w:rsidRPr="00901D85">
              <w:rPr>
                <w:rFonts w:ascii="Arial Narrow" w:eastAsia="Times New Roman" w:hAnsi="Arial Narrow" w:cs="Arial"/>
                <w:color w:val="000000"/>
                <w:sz w:val="16"/>
                <w:szCs w:val="16"/>
              </w:rPr>
              <w:t xml:space="preserve"> (ACE-I)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receptorov </w:t>
            </w:r>
            <w:proofErr w:type="spellStart"/>
            <w:r w:rsidRPr="00901D85">
              <w:rPr>
                <w:rFonts w:ascii="Arial Narrow" w:eastAsia="Times New Roman" w:hAnsi="Arial Narrow" w:cs="Arial"/>
                <w:color w:val="000000"/>
                <w:sz w:val="16"/>
                <w:szCs w:val="16"/>
              </w:rPr>
              <w:t>angiotenzínu</w:t>
            </w:r>
            <w:proofErr w:type="spellEnd"/>
            <w:r w:rsidRPr="00901D85">
              <w:rPr>
                <w:rFonts w:ascii="Arial Narrow" w:eastAsia="Times New Roman" w:hAnsi="Arial Narrow" w:cs="Arial"/>
                <w:color w:val="000000"/>
                <w:sz w:val="16"/>
                <w:szCs w:val="16"/>
              </w:rPr>
              <w:t xml:space="preserve"> (ARB) viazaného na predpis. (C09, C10BX04, C10BX06, C10BX07, C10BX10, C10BX11) k počtu pacientov, ktorí sú dlhodobými užívateľmi liekov na reguláciu glukózy (perorálne </w:t>
            </w:r>
            <w:proofErr w:type="spellStart"/>
            <w:r w:rsidRPr="00901D85">
              <w:rPr>
                <w:rFonts w:ascii="Arial Narrow" w:eastAsia="Times New Roman" w:hAnsi="Arial Narrow" w:cs="Arial"/>
                <w:color w:val="000000"/>
                <w:sz w:val="16"/>
                <w:szCs w:val="16"/>
              </w:rPr>
              <w:t>antidiabetiká</w:t>
            </w:r>
            <w:proofErr w:type="spellEnd"/>
            <w:r w:rsidRPr="00901D85">
              <w:rPr>
                <w:rFonts w:ascii="Arial Narrow" w:eastAsia="Times New Roman" w:hAnsi="Arial Narrow" w:cs="Arial"/>
                <w:color w:val="000000"/>
                <w:sz w:val="16"/>
                <w:szCs w:val="16"/>
              </w:rPr>
              <w:t xml:space="preserve"> okrem inzulínov - A10B) so súbežným užívaním ≥ 1 </w:t>
            </w:r>
            <w:proofErr w:type="spellStart"/>
            <w:r w:rsidRPr="00901D85">
              <w:rPr>
                <w:rFonts w:ascii="Arial Narrow" w:eastAsia="Times New Roman" w:hAnsi="Arial Narrow" w:cs="Arial"/>
                <w:color w:val="000000"/>
                <w:sz w:val="16"/>
                <w:szCs w:val="16"/>
              </w:rPr>
              <w:t>antihypertenzíva</w:t>
            </w:r>
            <w:proofErr w:type="spellEnd"/>
            <w:r w:rsidRPr="00901D85">
              <w:rPr>
                <w:rFonts w:ascii="Arial Narrow" w:eastAsia="Times New Roman" w:hAnsi="Arial Narrow" w:cs="Arial"/>
                <w:color w:val="000000"/>
                <w:sz w:val="16"/>
                <w:szCs w:val="16"/>
              </w:rPr>
              <w:t xml:space="preserve"> (ATC – C02)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diuretika (ATC – C03)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betablokátora</w:t>
            </w:r>
            <w:proofErr w:type="spellEnd"/>
            <w:r w:rsidRPr="00901D85">
              <w:rPr>
                <w:rFonts w:ascii="Arial Narrow" w:eastAsia="Times New Roman" w:hAnsi="Arial Narrow" w:cs="Arial"/>
                <w:color w:val="000000"/>
                <w:sz w:val="16"/>
                <w:szCs w:val="16"/>
              </w:rPr>
              <w:t xml:space="preserve"> (ATC – C07)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kalciového kanála (C08)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inhibítora enzýmu </w:t>
            </w:r>
            <w:proofErr w:type="spellStart"/>
            <w:r w:rsidRPr="00901D85">
              <w:rPr>
                <w:rFonts w:ascii="Arial Narrow" w:eastAsia="Times New Roman" w:hAnsi="Arial Narrow" w:cs="Arial"/>
                <w:color w:val="000000"/>
                <w:sz w:val="16"/>
                <w:szCs w:val="16"/>
              </w:rPr>
              <w:t>angiotenzín-konvertázy</w:t>
            </w:r>
            <w:proofErr w:type="spellEnd"/>
            <w:r w:rsidRPr="00901D85">
              <w:rPr>
                <w:rFonts w:ascii="Arial Narrow" w:eastAsia="Times New Roman" w:hAnsi="Arial Narrow" w:cs="Arial"/>
                <w:color w:val="000000"/>
                <w:sz w:val="16"/>
                <w:szCs w:val="16"/>
              </w:rPr>
              <w:t xml:space="preserve"> (ACE-I)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blokátora</w:t>
            </w:r>
            <w:proofErr w:type="spellEnd"/>
            <w:r w:rsidRPr="00901D85">
              <w:rPr>
                <w:rFonts w:ascii="Arial Narrow" w:eastAsia="Times New Roman" w:hAnsi="Arial Narrow" w:cs="Arial"/>
                <w:color w:val="000000"/>
                <w:sz w:val="16"/>
                <w:szCs w:val="16"/>
              </w:rPr>
              <w:t xml:space="preserve"> receptorov </w:t>
            </w:r>
            <w:proofErr w:type="spellStart"/>
            <w:r w:rsidRPr="00901D85">
              <w:rPr>
                <w:rFonts w:ascii="Arial Narrow" w:eastAsia="Times New Roman" w:hAnsi="Arial Narrow" w:cs="Arial"/>
                <w:color w:val="000000"/>
                <w:sz w:val="16"/>
                <w:szCs w:val="16"/>
              </w:rPr>
              <w:t>angiotenzínu</w:t>
            </w:r>
            <w:proofErr w:type="spellEnd"/>
            <w:r w:rsidRPr="00901D85">
              <w:rPr>
                <w:rFonts w:ascii="Arial Narrow" w:eastAsia="Times New Roman" w:hAnsi="Arial Narrow" w:cs="Arial"/>
                <w:color w:val="000000"/>
                <w:sz w:val="16"/>
                <w:szCs w:val="16"/>
              </w:rPr>
              <w:t xml:space="preserve"> (ARB) viazaného na predpis (C09)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C10BX03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C10BX04,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b/>
                <w:bCs/>
                <w:i/>
                <w:iCs/>
                <w:color w:val="000000"/>
                <w:sz w:val="16"/>
                <w:szCs w:val="16"/>
              </w:rPr>
              <w:t xml:space="preserve"> </w:t>
            </w:r>
            <w:r w:rsidRPr="00901D85">
              <w:rPr>
                <w:rFonts w:ascii="Arial Narrow" w:eastAsia="Times New Roman" w:hAnsi="Arial Narrow" w:cs="Arial"/>
                <w:color w:val="000000"/>
                <w:sz w:val="16"/>
                <w:szCs w:val="16"/>
              </w:rPr>
              <w:t xml:space="preserve">C10BX06,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C10BX07,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C10BX09,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C10BX10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C10BX11</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Dlhodobé užívanie </w:t>
            </w:r>
            <w:proofErr w:type="spellStart"/>
            <w:r w:rsidRPr="00901D85">
              <w:rPr>
                <w:rFonts w:ascii="Arial Narrow" w:eastAsia="Times New Roman" w:hAnsi="Arial Narrow" w:cs="Arial"/>
                <w:b/>
                <w:bCs/>
                <w:color w:val="000000"/>
                <w:sz w:val="16"/>
                <w:szCs w:val="16"/>
              </w:rPr>
              <w:t>benzodiazepínov</w:t>
            </w:r>
            <w:proofErr w:type="spellEnd"/>
            <w:r w:rsidRPr="00901D85">
              <w:rPr>
                <w:rFonts w:ascii="Arial Narrow" w:eastAsia="Times New Roman" w:hAnsi="Arial Narrow" w:cs="Arial"/>
                <w:b/>
                <w:bCs/>
                <w:color w:val="000000"/>
                <w:sz w:val="16"/>
                <w:szCs w:val="16"/>
              </w:rPr>
              <w:t xml:space="preserve"> a s </w:t>
            </w:r>
            <w:proofErr w:type="spellStart"/>
            <w:r w:rsidRPr="00901D85">
              <w:rPr>
                <w:rFonts w:ascii="Arial Narrow" w:eastAsia="Times New Roman" w:hAnsi="Arial Narrow" w:cs="Arial"/>
                <w:b/>
                <w:bCs/>
                <w:color w:val="000000"/>
                <w:sz w:val="16"/>
                <w:szCs w:val="16"/>
              </w:rPr>
              <w:t>benzodiazepínom</w:t>
            </w:r>
            <w:proofErr w:type="spellEnd"/>
            <w:r w:rsidRPr="00901D85">
              <w:rPr>
                <w:rFonts w:ascii="Arial Narrow" w:eastAsia="Times New Roman" w:hAnsi="Arial Narrow" w:cs="Arial"/>
                <w:b/>
                <w:bCs/>
                <w:color w:val="000000"/>
                <w:sz w:val="16"/>
                <w:szCs w:val="16"/>
              </w:rPr>
              <w:t xml:space="preserve"> súvisiacich liekov u starších pacientov (≥ 65 rokov) (&gt; 365 DDD za jeden rok)</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65 rokov k 1. januáru  s &gt; 365 DDD </w:t>
            </w:r>
            <w:proofErr w:type="spellStart"/>
            <w:r w:rsidRPr="00901D85">
              <w:rPr>
                <w:rFonts w:ascii="Arial Narrow" w:eastAsia="Times New Roman" w:hAnsi="Arial Narrow" w:cs="Arial"/>
                <w:color w:val="000000"/>
                <w:sz w:val="16"/>
                <w:szCs w:val="16"/>
              </w:rPr>
              <w:t>benzodiazepínov</w:t>
            </w:r>
            <w:proofErr w:type="spellEnd"/>
            <w:r w:rsidRPr="00901D85">
              <w:rPr>
                <w:rFonts w:ascii="Arial Narrow" w:eastAsia="Times New Roman" w:hAnsi="Arial Narrow" w:cs="Arial"/>
                <w:color w:val="000000"/>
                <w:sz w:val="16"/>
                <w:szCs w:val="16"/>
              </w:rPr>
              <w:t xml:space="preserve"> (N05BA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N05CD </w:t>
            </w:r>
            <w:r w:rsidRPr="00901D85">
              <w:rPr>
                <w:rFonts w:ascii="Arial Narrow" w:eastAsia="Times New Roman" w:hAnsi="Arial Narrow" w:cs="Arial"/>
                <w:i/>
                <w:iCs/>
                <w:color w:val="000000"/>
                <w:sz w:val="16"/>
                <w:szCs w:val="16"/>
              </w:rPr>
              <w:t xml:space="preserve">alebo </w:t>
            </w:r>
            <w:r w:rsidRPr="00901D85">
              <w:rPr>
                <w:rFonts w:ascii="Arial Narrow" w:eastAsia="Times New Roman" w:hAnsi="Arial Narrow" w:cs="Arial"/>
                <w:color w:val="000000"/>
                <w:sz w:val="16"/>
                <w:szCs w:val="16"/>
              </w:rPr>
              <w:t xml:space="preserve">N05CF) predpísaných v danom roku k počtu osôb vo veku ≥ 65 rokov k 1. januáru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39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Užívanie </w:t>
            </w:r>
            <w:proofErr w:type="spellStart"/>
            <w:r w:rsidRPr="00901D85">
              <w:rPr>
                <w:rFonts w:ascii="Arial Narrow" w:eastAsia="Times New Roman" w:hAnsi="Arial Narrow" w:cs="Arial"/>
                <w:b/>
                <w:bCs/>
                <w:color w:val="000000"/>
                <w:sz w:val="16"/>
                <w:szCs w:val="16"/>
              </w:rPr>
              <w:t>benzodiazepínov</w:t>
            </w:r>
            <w:proofErr w:type="spellEnd"/>
            <w:r w:rsidRPr="00901D85">
              <w:rPr>
                <w:rFonts w:ascii="Arial Narrow" w:eastAsia="Times New Roman" w:hAnsi="Arial Narrow" w:cs="Arial"/>
                <w:b/>
                <w:bCs/>
                <w:color w:val="000000"/>
                <w:sz w:val="16"/>
                <w:szCs w:val="16"/>
              </w:rPr>
              <w:t xml:space="preserve"> s dlhodobým účinkom u starších pacientov (≥ 65 rokov)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65 rokov k 1. januáru uvedených v databáze s ≥ 1 </w:t>
            </w:r>
            <w:proofErr w:type="spellStart"/>
            <w:r w:rsidRPr="00901D85">
              <w:rPr>
                <w:rFonts w:ascii="Arial Narrow" w:eastAsia="Times New Roman" w:hAnsi="Arial Narrow" w:cs="Arial"/>
                <w:color w:val="000000"/>
                <w:sz w:val="16"/>
                <w:szCs w:val="16"/>
              </w:rPr>
              <w:t>benzodiazepínom</w:t>
            </w:r>
            <w:proofErr w:type="spellEnd"/>
            <w:r w:rsidRPr="00901D85">
              <w:rPr>
                <w:rFonts w:ascii="Arial Narrow" w:eastAsia="Times New Roman" w:hAnsi="Arial Narrow" w:cs="Arial"/>
                <w:color w:val="000000"/>
                <w:sz w:val="16"/>
                <w:szCs w:val="16"/>
              </w:rPr>
              <w:t xml:space="preserve"> s dlhodobým účinkom viazaným na predpis (N05BA01, N05BA02, N05BA05, N05BA08, N05BA11, N05CD01, N05CD02, N05CD03, N05CD10) k počtu osôb vo veku ≥ 65 rokov k 1. januáru uvedených v databáze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Objem </w:t>
            </w:r>
            <w:proofErr w:type="spellStart"/>
            <w:r w:rsidRPr="00901D85">
              <w:rPr>
                <w:rFonts w:ascii="Arial Narrow" w:eastAsia="Times New Roman" w:hAnsi="Arial Narrow" w:cs="Arial"/>
                <w:b/>
                <w:bCs/>
                <w:color w:val="000000"/>
                <w:sz w:val="16"/>
                <w:szCs w:val="16"/>
              </w:rPr>
              <w:t>cefalosporínov</w:t>
            </w:r>
            <w:proofErr w:type="spellEnd"/>
            <w:r w:rsidRPr="00901D85">
              <w:rPr>
                <w:rFonts w:ascii="Arial Narrow" w:eastAsia="Times New Roman" w:hAnsi="Arial Narrow" w:cs="Arial"/>
                <w:b/>
                <w:bCs/>
                <w:color w:val="000000"/>
                <w:sz w:val="16"/>
                <w:szCs w:val="16"/>
              </w:rPr>
              <w:t xml:space="preserve"> a </w:t>
            </w:r>
            <w:proofErr w:type="spellStart"/>
            <w:r w:rsidRPr="00901D85">
              <w:rPr>
                <w:rFonts w:ascii="Arial Narrow" w:eastAsia="Times New Roman" w:hAnsi="Arial Narrow" w:cs="Arial"/>
                <w:b/>
                <w:bCs/>
                <w:color w:val="000000"/>
                <w:sz w:val="16"/>
                <w:szCs w:val="16"/>
              </w:rPr>
              <w:t>chinolónov</w:t>
            </w:r>
            <w:proofErr w:type="spellEnd"/>
            <w:r w:rsidRPr="00901D85">
              <w:rPr>
                <w:rFonts w:ascii="Arial Narrow" w:eastAsia="Times New Roman" w:hAnsi="Arial Narrow" w:cs="Arial"/>
                <w:b/>
                <w:bCs/>
                <w:color w:val="000000"/>
                <w:sz w:val="16"/>
                <w:szCs w:val="16"/>
              </w:rPr>
              <w:t xml:space="preserve"> ako podiel všetkých predpísaných antibiotík na systémové použitie (DDD)</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súčtu DDD všetkých predpísaných liekov z ATC skupín J01D a J01M k súčtu DDD všetkých predpísaných liekov z ATC skupín J01</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Celkový objem predpísaných antibiotík na systémové použitie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súčtu DDD všetkých predpísaných liekov z ATC skupín J01 k populácii </w:t>
            </w:r>
            <w:r w:rsidRPr="00901D85">
              <w:rPr>
                <w:rFonts w:ascii="Arial Narrow" w:eastAsia="Times New Roman" w:hAnsi="Arial Narrow" w:cs="Arial"/>
                <w:color w:val="FF0000"/>
                <w:sz w:val="16"/>
                <w:szCs w:val="16"/>
              </w:rPr>
              <w:t>pokrytej databázou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Akékoľvek </w:t>
            </w:r>
            <w:proofErr w:type="spellStart"/>
            <w:r w:rsidRPr="00901D85">
              <w:rPr>
                <w:rFonts w:ascii="Arial Narrow" w:eastAsia="Times New Roman" w:hAnsi="Arial Narrow" w:cs="Arial"/>
                <w:b/>
                <w:bCs/>
                <w:color w:val="000000"/>
                <w:sz w:val="16"/>
                <w:szCs w:val="16"/>
              </w:rPr>
              <w:t>antikoagulanciá</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acenokumarol</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warfarín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fenprokumón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dabigatran</w:t>
            </w:r>
            <w:proofErr w:type="spellEnd"/>
            <w:r w:rsidRPr="00901D85">
              <w:rPr>
                <w:rFonts w:ascii="Arial Narrow" w:eastAsia="Times New Roman" w:hAnsi="Arial Narrow" w:cs="Arial"/>
                <w:b/>
                <w:bCs/>
                <w:color w:val="000000"/>
                <w:sz w:val="16"/>
                <w:szCs w:val="16"/>
              </w:rPr>
              <w:t xml:space="preserve">, </w:t>
            </w:r>
            <w:proofErr w:type="spellStart"/>
            <w:r w:rsidRPr="00901D85">
              <w:rPr>
                <w:rFonts w:ascii="Arial Narrow" w:eastAsia="Times New Roman" w:hAnsi="Arial Narrow" w:cs="Arial"/>
                <w:b/>
                <w:bCs/>
                <w:color w:val="000000"/>
                <w:sz w:val="16"/>
                <w:szCs w:val="16"/>
              </w:rPr>
              <w:t>rivaroxaban</w:t>
            </w:r>
            <w:proofErr w:type="spellEnd"/>
            <w:r w:rsidRPr="00901D85">
              <w:rPr>
                <w:rFonts w:ascii="Arial Narrow" w:eastAsia="Times New Roman" w:hAnsi="Arial Narrow" w:cs="Arial"/>
                <w:b/>
                <w:bCs/>
                <w:color w:val="000000"/>
                <w:sz w:val="16"/>
                <w:szCs w:val="16"/>
              </w:rPr>
              <w:t xml:space="preserve"> alebo </w:t>
            </w:r>
            <w:proofErr w:type="spellStart"/>
            <w:r w:rsidRPr="00901D85">
              <w:rPr>
                <w:rFonts w:ascii="Arial Narrow" w:eastAsia="Times New Roman" w:hAnsi="Arial Narrow" w:cs="Arial"/>
                <w:b/>
                <w:bCs/>
                <w:color w:val="000000"/>
                <w:sz w:val="16"/>
                <w:szCs w:val="16"/>
              </w:rPr>
              <w:t>apixaban</w:t>
            </w:r>
            <w:proofErr w:type="spellEnd"/>
            <w:r w:rsidRPr="00901D85">
              <w:rPr>
                <w:rFonts w:ascii="Arial Narrow" w:eastAsia="Times New Roman" w:hAnsi="Arial Narrow" w:cs="Arial"/>
                <w:b/>
                <w:bCs/>
                <w:color w:val="000000"/>
                <w:sz w:val="16"/>
                <w:szCs w:val="16"/>
              </w:rPr>
              <w:t>) v kombinácii s orálnym NSAID</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ktoré sú dlhodobými užívateľmi </w:t>
            </w:r>
            <w:proofErr w:type="spellStart"/>
            <w:r w:rsidRPr="00901D85">
              <w:rPr>
                <w:rFonts w:ascii="Arial Narrow" w:eastAsia="Times New Roman" w:hAnsi="Arial Narrow" w:cs="Arial"/>
                <w:color w:val="000000"/>
                <w:sz w:val="16"/>
                <w:szCs w:val="16"/>
              </w:rPr>
              <w:t>antikoagulancií</w:t>
            </w:r>
            <w:proofErr w:type="spellEnd"/>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acenokumarol</w:t>
            </w:r>
            <w:proofErr w:type="spellEnd"/>
            <w:r w:rsidRPr="00901D85">
              <w:rPr>
                <w:rFonts w:ascii="Arial Narrow" w:eastAsia="Times New Roman" w:hAnsi="Arial Narrow" w:cs="Arial"/>
                <w:color w:val="000000"/>
                <w:sz w:val="16"/>
                <w:szCs w:val="16"/>
              </w:rPr>
              <w:t xml:space="preserve"> (B01AA07)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warfarín</w:t>
            </w:r>
            <w:proofErr w:type="spellEnd"/>
            <w:r w:rsidRPr="00901D85">
              <w:rPr>
                <w:rFonts w:ascii="Arial Narrow" w:eastAsia="Times New Roman" w:hAnsi="Arial Narrow" w:cs="Arial"/>
                <w:color w:val="000000"/>
                <w:sz w:val="16"/>
                <w:szCs w:val="16"/>
              </w:rPr>
              <w:t xml:space="preserve"> (B01AA03),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fenprokumón</w:t>
            </w:r>
            <w:proofErr w:type="spellEnd"/>
            <w:r w:rsidRPr="00901D85">
              <w:rPr>
                <w:rFonts w:ascii="Arial Narrow" w:eastAsia="Times New Roman" w:hAnsi="Arial Narrow" w:cs="Arial"/>
                <w:color w:val="000000"/>
                <w:sz w:val="16"/>
                <w:szCs w:val="16"/>
              </w:rPr>
              <w:t xml:space="preserve"> (B01AA04),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dabigatran</w:t>
            </w:r>
            <w:proofErr w:type="spellEnd"/>
            <w:r w:rsidRPr="00901D85">
              <w:rPr>
                <w:rFonts w:ascii="Arial Narrow" w:eastAsia="Times New Roman" w:hAnsi="Arial Narrow" w:cs="Arial"/>
                <w:color w:val="000000"/>
                <w:sz w:val="16"/>
                <w:szCs w:val="16"/>
              </w:rPr>
              <w:t xml:space="preserve"> (B01AE07),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rivaroxaban</w:t>
            </w:r>
            <w:proofErr w:type="spellEnd"/>
            <w:r w:rsidRPr="00901D85">
              <w:rPr>
                <w:rFonts w:ascii="Arial Narrow" w:eastAsia="Times New Roman" w:hAnsi="Arial Narrow" w:cs="Arial"/>
                <w:color w:val="000000"/>
                <w:sz w:val="16"/>
                <w:szCs w:val="16"/>
              </w:rPr>
              <w:t xml:space="preserve"> (B01AF01), </w:t>
            </w:r>
            <w:r w:rsidRPr="00901D85">
              <w:rPr>
                <w:rFonts w:ascii="Arial Narrow" w:eastAsia="Times New Roman" w:hAnsi="Arial Narrow" w:cs="Arial"/>
                <w:i/>
                <w:iCs/>
                <w:color w:val="000000"/>
                <w:sz w:val="16"/>
                <w:szCs w:val="16"/>
              </w:rPr>
              <w:t xml:space="preserve">alebo </w:t>
            </w:r>
            <w:proofErr w:type="spellStart"/>
            <w:r w:rsidRPr="00901D85">
              <w:rPr>
                <w:rFonts w:ascii="Arial Narrow" w:eastAsia="Times New Roman" w:hAnsi="Arial Narrow" w:cs="Arial"/>
                <w:color w:val="000000"/>
                <w:sz w:val="16"/>
                <w:szCs w:val="16"/>
              </w:rPr>
              <w:t>apixaban</w:t>
            </w:r>
            <w:proofErr w:type="spellEnd"/>
            <w:r w:rsidRPr="00901D85">
              <w:rPr>
                <w:rFonts w:ascii="Arial Narrow" w:eastAsia="Times New Roman" w:hAnsi="Arial Narrow" w:cs="Arial"/>
                <w:color w:val="000000"/>
                <w:sz w:val="16"/>
                <w:szCs w:val="16"/>
              </w:rPr>
              <w:t xml:space="preserve"> (B01AF02) so súbežným užívaním ≥ 1 NSAID (M01A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M01B) viazaného na predpis k počtu osôb, ktoré sú dlhodobými užívateľmi liekov s ATC kódom </w:t>
            </w:r>
            <w:proofErr w:type="spellStart"/>
            <w:r w:rsidRPr="00901D85">
              <w:rPr>
                <w:rFonts w:ascii="Arial Narrow" w:eastAsia="Times New Roman" w:hAnsi="Arial Narrow" w:cs="Arial"/>
                <w:color w:val="000000"/>
                <w:sz w:val="16"/>
                <w:szCs w:val="16"/>
              </w:rPr>
              <w:t>acenokumarol</w:t>
            </w:r>
            <w:proofErr w:type="spellEnd"/>
            <w:r w:rsidRPr="00901D85">
              <w:rPr>
                <w:rFonts w:ascii="Arial Narrow" w:eastAsia="Times New Roman" w:hAnsi="Arial Narrow" w:cs="Arial"/>
                <w:color w:val="000000"/>
                <w:sz w:val="16"/>
                <w:szCs w:val="16"/>
              </w:rPr>
              <w:t xml:space="preserve"> (B01AA07)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warfarín</w:t>
            </w:r>
            <w:proofErr w:type="spellEnd"/>
            <w:r w:rsidRPr="00901D85">
              <w:rPr>
                <w:rFonts w:ascii="Arial Narrow" w:eastAsia="Times New Roman" w:hAnsi="Arial Narrow" w:cs="Arial"/>
                <w:color w:val="000000"/>
                <w:sz w:val="16"/>
                <w:szCs w:val="16"/>
              </w:rPr>
              <w:t xml:space="preserve"> (B01AA03),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fenprokumón</w:t>
            </w:r>
            <w:proofErr w:type="spellEnd"/>
            <w:r w:rsidRPr="00901D85">
              <w:rPr>
                <w:rFonts w:ascii="Arial Narrow" w:eastAsia="Times New Roman" w:hAnsi="Arial Narrow" w:cs="Arial"/>
                <w:color w:val="000000"/>
                <w:sz w:val="16"/>
                <w:szCs w:val="16"/>
              </w:rPr>
              <w:t xml:space="preserve"> (B01AA04),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dabigatran</w:t>
            </w:r>
            <w:proofErr w:type="spellEnd"/>
            <w:r w:rsidRPr="00901D85">
              <w:rPr>
                <w:rFonts w:ascii="Arial Narrow" w:eastAsia="Times New Roman" w:hAnsi="Arial Narrow" w:cs="Arial"/>
                <w:color w:val="000000"/>
                <w:sz w:val="16"/>
                <w:szCs w:val="16"/>
              </w:rPr>
              <w:t xml:space="preserve"> (B01AE07),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rivaroxaban</w:t>
            </w:r>
            <w:proofErr w:type="spellEnd"/>
            <w:r w:rsidRPr="00901D85">
              <w:rPr>
                <w:rFonts w:ascii="Arial Narrow" w:eastAsia="Times New Roman" w:hAnsi="Arial Narrow" w:cs="Arial"/>
                <w:color w:val="000000"/>
                <w:sz w:val="16"/>
                <w:szCs w:val="16"/>
              </w:rPr>
              <w:t xml:space="preserve"> (B01AF01), </w:t>
            </w:r>
            <w:r w:rsidRPr="00901D85">
              <w:rPr>
                <w:rFonts w:ascii="Arial Narrow" w:eastAsia="Times New Roman" w:hAnsi="Arial Narrow" w:cs="Arial"/>
                <w:i/>
                <w:iCs/>
                <w:color w:val="000000"/>
                <w:sz w:val="16"/>
                <w:szCs w:val="16"/>
              </w:rPr>
              <w:t>alebo</w:t>
            </w:r>
            <w:r w:rsidRPr="00901D85">
              <w:rPr>
                <w:rFonts w:ascii="Arial Narrow" w:eastAsia="Times New Roman" w:hAnsi="Arial Narrow" w:cs="Arial"/>
                <w:color w:val="000000"/>
                <w:sz w:val="16"/>
                <w:szCs w:val="16"/>
              </w:rPr>
              <w:t xml:space="preserve"> </w:t>
            </w:r>
            <w:proofErr w:type="spellStart"/>
            <w:r w:rsidRPr="00901D85">
              <w:rPr>
                <w:rFonts w:ascii="Arial Narrow" w:eastAsia="Times New Roman" w:hAnsi="Arial Narrow" w:cs="Arial"/>
                <w:color w:val="000000"/>
                <w:sz w:val="16"/>
                <w:szCs w:val="16"/>
              </w:rPr>
              <w:t>apixaban</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Výsledky zdravotnej starostlivosti </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Podiel 75 a viacročných, ktorí užívajú súčasne viac ako 5 liekov (okrem </w:t>
            </w:r>
            <w:proofErr w:type="spellStart"/>
            <w:r w:rsidRPr="00901D85">
              <w:rPr>
                <w:rFonts w:ascii="Arial Narrow" w:eastAsia="Times New Roman" w:hAnsi="Arial Narrow" w:cs="Arial"/>
                <w:b/>
                <w:bCs/>
                <w:color w:val="000000"/>
                <w:sz w:val="16"/>
                <w:szCs w:val="16"/>
              </w:rPr>
              <w:t>dermatologík</w:t>
            </w:r>
            <w:proofErr w:type="spellEnd"/>
            <w:r w:rsidRPr="00901D85">
              <w:rPr>
                <w:rFonts w:ascii="Arial Narrow" w:eastAsia="Times New Roman" w:hAnsi="Arial Narrow" w:cs="Arial"/>
                <w:b/>
                <w:bCs/>
                <w:color w:val="000000"/>
                <w:sz w:val="16"/>
                <w:szCs w:val="16"/>
              </w:rPr>
              <w:t xml:space="preserve"> a antibiotík)</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vo veku ≥ 75 rokov </w:t>
            </w:r>
            <w:r w:rsidRPr="00901D85">
              <w:rPr>
                <w:rFonts w:ascii="Arial Narrow" w:eastAsia="Times New Roman" w:hAnsi="Arial Narrow" w:cs="Arial"/>
                <w:color w:val="FF0000"/>
                <w:sz w:val="16"/>
                <w:szCs w:val="16"/>
              </w:rPr>
              <w:t>k 1. januáru z databázy</w:t>
            </w:r>
            <w:r w:rsidRPr="00901D85">
              <w:rPr>
                <w:rFonts w:ascii="Arial Narrow" w:eastAsia="Times New Roman" w:hAnsi="Arial Narrow" w:cs="Arial"/>
                <w:color w:val="000000"/>
                <w:sz w:val="16"/>
                <w:szCs w:val="16"/>
              </w:rPr>
              <w:t xml:space="preserve"> ?s ≥ 5 chronicky užívanými liekmi s rozdielnymi ATC kódmi na štvrtej úrovni (napr. A10BA) počas roka.</w:t>
            </w:r>
            <w:r w:rsidRPr="00901D85">
              <w:rPr>
                <w:rFonts w:ascii="Arial Narrow" w:eastAsia="Times New Roman" w:hAnsi="Arial Narrow" w:cs="Arial"/>
                <w:color w:val="000000"/>
                <w:sz w:val="16"/>
                <w:szCs w:val="16"/>
              </w:rPr>
              <w:br/>
              <w:t xml:space="preserve">Chronické užívanie je definované ako predpísanie lieku na viac ako 90 dní alebo ako štyri alebo viac predpisov v priebehu roka k počtu osôb vo veku ≥ 75 rokov </w:t>
            </w:r>
            <w:r w:rsidRPr="00901D85">
              <w:rPr>
                <w:rFonts w:ascii="Arial Narrow" w:eastAsia="Times New Roman" w:hAnsi="Arial Narrow" w:cs="Arial"/>
                <w:color w:val="FF0000"/>
                <w:sz w:val="16"/>
                <w:szCs w:val="16"/>
              </w:rPr>
              <w:t>k 1</w:t>
            </w:r>
            <w:r w:rsidR="00846796">
              <w:rPr>
                <w:rFonts w:ascii="Arial Narrow" w:eastAsia="Times New Roman" w:hAnsi="Arial Narrow" w:cs="Arial"/>
                <w:color w:val="FF0000"/>
                <w:sz w:val="16"/>
                <w:szCs w:val="16"/>
              </w:rPr>
              <w:t xml:space="preserve">. januáru uvedených v databáze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Celkový objem predpísaných </w:t>
            </w:r>
            <w:proofErr w:type="spellStart"/>
            <w:r w:rsidRPr="00901D85">
              <w:rPr>
                <w:rFonts w:ascii="Arial Narrow" w:eastAsia="Times New Roman" w:hAnsi="Arial Narrow" w:cs="Arial"/>
                <w:b/>
                <w:bCs/>
                <w:color w:val="000000"/>
                <w:sz w:val="16"/>
                <w:szCs w:val="16"/>
              </w:rPr>
              <w:t>opioidov</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Podiel súčtu DDD všetkých predpisov ATC kódu N02A k počtu osôb vo veku ≥ 18 rokov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Podiel populácie, ktorá je chronickými užívateľmi opiátov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 18 ročných k 1. januáru  v databáze s 2 alebo viac predpismi </w:t>
            </w:r>
            <w:proofErr w:type="spellStart"/>
            <w:r w:rsidRPr="00901D85">
              <w:rPr>
                <w:rFonts w:ascii="Arial Narrow" w:eastAsia="Times New Roman" w:hAnsi="Arial Narrow" w:cs="Arial"/>
                <w:color w:val="000000"/>
                <w:sz w:val="16"/>
                <w:szCs w:val="16"/>
              </w:rPr>
              <w:t>opioidov</w:t>
            </w:r>
            <w:proofErr w:type="spellEnd"/>
            <w:r w:rsidRPr="00901D85">
              <w:rPr>
                <w:rFonts w:ascii="Arial Narrow" w:eastAsia="Times New Roman" w:hAnsi="Arial Narrow" w:cs="Arial"/>
                <w:color w:val="000000"/>
                <w:sz w:val="16"/>
                <w:szCs w:val="16"/>
              </w:rPr>
              <w:t xml:space="preserve"> (N02A) predpísanými po dobu ≥ 90 dní v roku k počtu osôb vo veku ≥ 18 rokov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Preskripcia</w:t>
            </w:r>
            <w:proofErr w:type="spellEnd"/>
            <w:r w:rsidRPr="00901D85">
              <w:rPr>
                <w:rFonts w:ascii="Arial Narrow" w:eastAsia="Times New Roman" w:hAnsi="Arial Narrow" w:cs="Arial"/>
                <w:color w:val="000000"/>
                <w:sz w:val="16"/>
                <w:szCs w:val="16"/>
              </w:rPr>
              <w:t xml:space="preserve"> liekov vo všeobecnej ambulantnej starostlivosti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Podiel osôb vo veku 65 rokov a viac, ktorým boli predpísané </w:t>
            </w:r>
            <w:proofErr w:type="spellStart"/>
            <w:r w:rsidRPr="00901D85">
              <w:rPr>
                <w:rFonts w:ascii="Arial Narrow" w:eastAsia="Times New Roman" w:hAnsi="Arial Narrow" w:cs="Arial"/>
                <w:b/>
                <w:bCs/>
                <w:color w:val="000000"/>
                <w:sz w:val="16"/>
                <w:szCs w:val="16"/>
              </w:rPr>
              <w:t>antipsychotiká</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osôb ≥ 65- ročných v prvý deň referenčného roku  s ≥ 1 predpisom na akékoľvek </w:t>
            </w:r>
            <w:proofErr w:type="spellStart"/>
            <w:r w:rsidRPr="00901D85">
              <w:rPr>
                <w:rFonts w:ascii="Arial Narrow" w:eastAsia="Times New Roman" w:hAnsi="Arial Narrow" w:cs="Arial"/>
                <w:color w:val="000000"/>
                <w:sz w:val="16"/>
                <w:szCs w:val="16"/>
              </w:rPr>
              <w:t>antipsychotické</w:t>
            </w:r>
            <w:proofErr w:type="spellEnd"/>
            <w:r w:rsidRPr="00901D85">
              <w:rPr>
                <w:rFonts w:ascii="Arial Narrow" w:eastAsia="Times New Roman" w:hAnsi="Arial Narrow" w:cs="Arial"/>
                <w:color w:val="000000"/>
                <w:sz w:val="16"/>
                <w:szCs w:val="16"/>
              </w:rPr>
              <w:t xml:space="preserve"> lieky (ATC kódy N05A) predpísané v priebehu roku k počtu osôb vo veku ≥ 65 rokov v prvý deň referenčného roku uvedených v databáze za príslušný referenčný rok.</w:t>
            </w:r>
            <w:r w:rsidRPr="00901D85">
              <w:rPr>
                <w:rFonts w:ascii="Arial Narrow" w:eastAsia="Times New Roman" w:hAnsi="Arial Narrow" w:cs="Arial"/>
                <w:color w:val="000000"/>
                <w:sz w:val="16"/>
                <w:szCs w:val="16"/>
              </w:rPr>
              <w:br/>
              <w:t xml:space="preserve">Vylúčené sú predpisy </w:t>
            </w:r>
            <w:proofErr w:type="spellStart"/>
            <w:r w:rsidRPr="00901D85">
              <w:rPr>
                <w:rFonts w:ascii="Arial Narrow" w:eastAsia="Times New Roman" w:hAnsi="Arial Narrow" w:cs="Arial"/>
                <w:color w:val="000000"/>
                <w:sz w:val="16"/>
                <w:szCs w:val="16"/>
              </w:rPr>
              <w:t>antipsychotických</w:t>
            </w:r>
            <w:proofErr w:type="spellEnd"/>
            <w:r w:rsidRPr="00901D85">
              <w:rPr>
                <w:rFonts w:ascii="Arial Narrow" w:eastAsia="Times New Roman" w:hAnsi="Arial Narrow" w:cs="Arial"/>
                <w:color w:val="000000"/>
                <w:sz w:val="16"/>
                <w:szCs w:val="16"/>
              </w:rPr>
              <w:t xml:space="preserve"> liekov registrované v nemocničných registroch lekárskych predpisov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Lieky</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47</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špecializovanú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Neplánované hospitalizácie pacientov po výkone v ambulancii jednodňovej chirurgie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pacientov, po výkone v ambulancii jednodňovej chirurgii v špecializačných odboroch s následným prijatím (do 72 hodín) do ústavnej zdravotnej starostlivosti, ku všetkým pacientom, ktorí podstúpili jednodňovú zdravotnú starostlivosť v danom špecializačnom odbore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48</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po </w:t>
            </w:r>
            <w:proofErr w:type="spellStart"/>
            <w:r w:rsidRPr="00901D85">
              <w:rPr>
                <w:rFonts w:ascii="Arial Narrow" w:eastAsia="Times New Roman" w:hAnsi="Arial Narrow" w:cs="Arial"/>
                <w:b/>
                <w:bCs/>
                <w:color w:val="000000"/>
                <w:sz w:val="16"/>
                <w:szCs w:val="16"/>
              </w:rPr>
              <w:t>perkutánnej</w:t>
            </w:r>
            <w:proofErr w:type="spellEnd"/>
            <w:r w:rsidRPr="00901D85">
              <w:rPr>
                <w:rFonts w:ascii="Arial Narrow" w:eastAsia="Times New Roman" w:hAnsi="Arial Narrow" w:cs="Arial"/>
                <w:b/>
                <w:bCs/>
                <w:color w:val="000000"/>
                <w:sz w:val="16"/>
                <w:szCs w:val="16"/>
              </w:rPr>
              <w:t xml:space="preserve"> koronárnej intervencii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pacientov po </w:t>
            </w:r>
            <w:proofErr w:type="spellStart"/>
            <w:r w:rsidRPr="00901D85">
              <w:rPr>
                <w:rFonts w:ascii="Arial Narrow" w:eastAsia="Times New Roman" w:hAnsi="Arial Narrow" w:cs="Arial"/>
                <w:color w:val="000000"/>
                <w:sz w:val="16"/>
                <w:szCs w:val="16"/>
              </w:rPr>
              <w:t>perkutánnej</w:t>
            </w:r>
            <w:proofErr w:type="spellEnd"/>
            <w:r w:rsidRPr="00901D85">
              <w:rPr>
                <w:rFonts w:ascii="Arial Narrow" w:eastAsia="Times New Roman" w:hAnsi="Arial Narrow" w:cs="Arial"/>
                <w:color w:val="000000"/>
                <w:sz w:val="16"/>
                <w:szCs w:val="16"/>
              </w:rPr>
              <w:t xml:space="preserve"> koronárnej intervencii do 30 dní k počtu hospitalizovaných pacientov, u ktorých bola vykonaná </w:t>
            </w:r>
            <w:proofErr w:type="spellStart"/>
            <w:r w:rsidRPr="00901D85">
              <w:rPr>
                <w:rFonts w:ascii="Arial Narrow" w:eastAsia="Times New Roman" w:hAnsi="Arial Narrow" w:cs="Arial"/>
                <w:color w:val="000000"/>
                <w:sz w:val="16"/>
                <w:szCs w:val="16"/>
              </w:rPr>
              <w:t>perkutánna</w:t>
            </w:r>
            <w:proofErr w:type="spellEnd"/>
            <w:r w:rsidRPr="00901D85">
              <w:rPr>
                <w:rFonts w:ascii="Arial Narrow" w:eastAsia="Times New Roman" w:hAnsi="Arial Narrow" w:cs="Arial"/>
                <w:color w:val="000000"/>
                <w:sz w:val="16"/>
                <w:szCs w:val="16"/>
              </w:rPr>
              <w:t xml:space="preserve"> koronárna intervencia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49</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zlomenine stehennej kosti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so zlomeninou krčka stehennej kosti do 30 dní po neodkladnom prijatí do ústavnej zdravotnej starostlivosti k počtu všetkých pacientov prijatých s touto diagnózou vo veku 65 rokov a viac</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50</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AIM do 30-dní od začiatku hospitalizácie (ústavná zdravotná starostlivosť a </w:t>
            </w:r>
            <w:r w:rsidRPr="00901D85">
              <w:rPr>
                <w:rFonts w:ascii="Arial Narrow" w:eastAsia="Times New Roman" w:hAnsi="Arial Narrow" w:cs="Arial"/>
                <w:b/>
                <w:bCs/>
                <w:color w:val="FF0000"/>
                <w:sz w:val="16"/>
                <w:szCs w:val="16"/>
              </w:rPr>
              <w:t>ambulantná zdravotná starostlivosť</w:t>
            </w:r>
            <w:r w:rsidRPr="00901D85">
              <w:rPr>
                <w:rFonts w:ascii="Arial Narrow" w:eastAsia="Times New Roman" w:hAnsi="Arial Narrow" w:cs="Arial"/>
                <w:b/>
                <w:bCs/>
                <w:color w:val="000000"/>
                <w:sz w:val="16"/>
                <w:szCs w:val="16"/>
              </w:rPr>
              <w:t>)podľa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v akomkoľvek zariadení ústavnej zdravotnej starostlivosti a mimo zariadení ústavnej zdravotnej starostlivosti, ku ktorým došlo do tridsiatich dní od dátumu začiatku hospitalizácie prípadov uvedených v menovateli k poslednej hospitalizácii v stanovenom roku pri každom pacientovi, ktorý bol prijatý do zariadenia ústavnej zdravotnej starostlivosť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xml:space="preserve">) pre akútny infarkt myokardu.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na AIM do 30-dní od začiatku hospitalizácie (rovnaké zariadenie ústavnej zdravotnej starostlivosti) podľa hospitalizácií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rovnakom zariadení ústavnej zdravotnej starostlivosti , ku ktorým došlo do tridsiatich dní od dátumu začiatku hospitalizácie prípadov uvedených v menovateli k počtu hospitalizácií v zariadení ústavnej zdravotnej starostlivosti medzi 1. januárom a 31. decembrom stanoveného roka z dôvodu urgentnej zdravotnej starostlivosti s hlavnou diagnózou pre akútny infarkt myokardu.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45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52</w:t>
            </w:r>
          </w:p>
        </w:tc>
        <w:tc>
          <w:tcPr>
            <w:tcW w:w="1493" w:type="dxa"/>
            <w:tcBorders>
              <w:top w:val="nil"/>
              <w:left w:val="single" w:sz="4" w:space="0" w:color="auto"/>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Úmrtie na infarkt myokardu po neodkladnom prijatí (vek 35 – 74 rokov)</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úmrtí pacientov vo veku 35 – 74 rokov do 30 dní po prijatí do ústavnej starostlivosti alebo prevzatí pacienta z iného zariadenia ústavnej zdravotnej starostlivosti s infarktom myokardu (I21.0 až I21.9, alebo I22.0 až I22.9 vrátane všetkých štvormiestnych podpoložiek) k počtu všetkých pacientov prijatých do ústavnej zdravotnej starostlivosti s infarktom myokardu (I21.0 až I21.9, alebo I22.0 až I22.9 vrátane všetkých štvormiestnych podpoložiek) vo veku 35 – 74 rokov.</w:t>
            </w:r>
            <w:r w:rsidRPr="00901D85">
              <w:rPr>
                <w:rFonts w:ascii="Arial Narrow" w:eastAsia="Times New Roman" w:hAnsi="Arial Narrow" w:cs="Calibri"/>
                <w:color w:val="000000"/>
                <w:sz w:val="16"/>
                <w:szCs w:val="16"/>
              </w:rPr>
              <w:br/>
              <w:t>Ak bol pacient po neodkladnom prijatí s infarktom myokardu prekladaný do iného zariadenia ústavnej zdravotnej starostlivosti a následne zomrel, bude toto úmrtie zarátané všetkým poskytovateľom, ktorí ho mali v starostlivosti.</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Hlásenie Z (MZ SR) 1-12 o prijatí do ústavnej starostlivosti</w:t>
            </w:r>
          </w:p>
        </w:tc>
        <w:tc>
          <w:tcPr>
            <w:tcW w:w="567"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Úmrtnosť</w:t>
            </w:r>
          </w:p>
        </w:tc>
      </w:tr>
      <w:tr w:rsidR="00846796" w:rsidRPr="00901D85" w:rsidTr="00846796">
        <w:trPr>
          <w:trHeight w:val="306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53</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pri </w:t>
            </w:r>
            <w:proofErr w:type="spellStart"/>
            <w:r w:rsidRPr="00901D85">
              <w:rPr>
                <w:rFonts w:ascii="Arial Narrow" w:eastAsia="Times New Roman" w:hAnsi="Arial Narrow" w:cs="Arial"/>
                <w:b/>
                <w:bCs/>
                <w:color w:val="000000"/>
                <w:sz w:val="16"/>
                <w:szCs w:val="16"/>
              </w:rPr>
              <w:t>hemoragickej</w:t>
            </w:r>
            <w:proofErr w:type="spellEnd"/>
            <w:r w:rsidRPr="00901D85">
              <w:rPr>
                <w:rFonts w:ascii="Arial Narrow" w:eastAsia="Times New Roman" w:hAnsi="Arial Narrow" w:cs="Arial"/>
                <w:b/>
                <w:bCs/>
                <w:color w:val="000000"/>
                <w:sz w:val="16"/>
                <w:szCs w:val="16"/>
              </w:rPr>
              <w:t xml:space="preserve"> mozgovej príhode do 30-dní od začiatku hospitalizácie  (ústavná zdravotná starostlivosť a ambulantná zdravotná starostlivosť) 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počet úmrtí v akomkoľvek zariadení ústavnej zdravotnej starostlivosti a </w:t>
            </w:r>
            <w:proofErr w:type="spellStart"/>
            <w:r w:rsidRPr="00901D85">
              <w:rPr>
                <w:rFonts w:ascii="Arial Narrow" w:eastAsia="Times New Roman" w:hAnsi="Arial Narrow" w:cs="Arial"/>
                <w:color w:val="000000"/>
                <w:sz w:val="16"/>
                <w:szCs w:val="16"/>
              </w:rPr>
              <w:t>mimozariadení</w:t>
            </w:r>
            <w:proofErr w:type="spellEnd"/>
            <w:r w:rsidRPr="00901D85">
              <w:rPr>
                <w:rFonts w:ascii="Arial Narrow" w:eastAsia="Times New Roman" w:hAnsi="Arial Narrow" w:cs="Arial"/>
                <w:color w:val="000000"/>
                <w:sz w:val="16"/>
                <w:szCs w:val="16"/>
              </w:rPr>
              <w:t xml:space="preserve"> ústavnej zdravotnej starostlivosti, ku ktorým došlo do tridsiatich dní od dátumu začiatku hospitalizácie prípadov uvedených v menovateli k poslednej hospitalizácii v stanovenom roku pri každom pacientovi, ktorý bol prijatý </w:t>
            </w:r>
            <w:proofErr w:type="spellStart"/>
            <w:r w:rsidRPr="00901D85">
              <w:rPr>
                <w:rFonts w:ascii="Arial Narrow" w:eastAsia="Times New Roman" w:hAnsi="Arial Narrow" w:cs="Arial"/>
                <w:color w:val="000000"/>
                <w:sz w:val="16"/>
                <w:szCs w:val="16"/>
              </w:rPr>
              <w:t>dozariadenia</w:t>
            </w:r>
            <w:proofErr w:type="spellEnd"/>
            <w:r w:rsidRPr="00901D85">
              <w:rPr>
                <w:rFonts w:ascii="Arial Narrow" w:eastAsia="Times New Roman" w:hAnsi="Arial Narrow" w:cs="Arial"/>
                <w:color w:val="000000"/>
                <w:sz w:val="16"/>
                <w:szCs w:val="16"/>
              </w:rPr>
              <w:t xml:space="preserve"> ústavnej zdravotnej starostlivosti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xml:space="preserve">) pre </w:t>
            </w:r>
            <w:proofErr w:type="spellStart"/>
            <w:r w:rsidRPr="00901D85">
              <w:rPr>
                <w:rFonts w:ascii="Arial Narrow" w:eastAsia="Times New Roman" w:hAnsi="Arial Narrow" w:cs="Arial"/>
                <w:color w:val="000000"/>
                <w:sz w:val="16"/>
                <w:szCs w:val="16"/>
              </w:rPr>
              <w:t>hemoragickú</w:t>
            </w:r>
            <w:proofErr w:type="spellEnd"/>
            <w:r w:rsidRPr="00901D85">
              <w:rPr>
                <w:rFonts w:ascii="Arial Narrow" w:eastAsia="Times New Roman" w:hAnsi="Arial Narrow" w:cs="Arial"/>
                <w:color w:val="000000"/>
                <w:sz w:val="16"/>
                <w:szCs w:val="16"/>
              </w:rPr>
              <w:t xml:space="preserve"> mozgovú príhodu.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80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54</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Úmrtnosť pri </w:t>
            </w:r>
            <w:proofErr w:type="spellStart"/>
            <w:r w:rsidRPr="00901D85">
              <w:rPr>
                <w:rFonts w:ascii="Arial Narrow" w:eastAsia="Times New Roman" w:hAnsi="Arial Narrow" w:cs="Arial"/>
                <w:b/>
                <w:bCs/>
                <w:color w:val="000000"/>
                <w:sz w:val="16"/>
                <w:szCs w:val="16"/>
              </w:rPr>
              <w:t>hemoragickej</w:t>
            </w:r>
            <w:proofErr w:type="spellEnd"/>
            <w:r w:rsidRPr="00901D85">
              <w:rPr>
                <w:rFonts w:ascii="Arial Narrow" w:eastAsia="Times New Roman" w:hAnsi="Arial Narrow" w:cs="Arial"/>
                <w:b/>
                <w:bCs/>
                <w:color w:val="000000"/>
                <w:sz w:val="16"/>
                <w:szCs w:val="16"/>
              </w:rPr>
              <w:t xml:space="preserve"> mozgovej príhode do 30-dní  od začiatku hospitalizácie (rovnaké zariadenie ústavnej zdravotnej starostlivosti) podľa hospitalizácií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rovnakom zariadení ústavnej zdravotnej starostlivosti, ku ktorým došlo do tridsiatich dní od dátumu začiatku hospitalizácie prípadov uvedených v menovateli k počtu hospitalizácií v zariadení ústavnej zdravotnej starostlivosti medzi 1. januárom a 31. decembrom stanoveného roka z dôvodu </w:t>
            </w:r>
            <w:proofErr w:type="spellStart"/>
            <w:r w:rsidRPr="00901D85">
              <w:rPr>
                <w:rFonts w:ascii="Arial Narrow" w:eastAsia="Times New Roman" w:hAnsi="Arial Narrow" w:cs="Arial"/>
                <w:color w:val="000000"/>
                <w:sz w:val="16"/>
                <w:szCs w:val="16"/>
              </w:rPr>
              <w:t>urgentnejzdravotnej</w:t>
            </w:r>
            <w:proofErr w:type="spellEnd"/>
            <w:r w:rsidRPr="00901D85">
              <w:rPr>
                <w:rFonts w:ascii="Arial Narrow" w:eastAsia="Times New Roman" w:hAnsi="Arial Narrow" w:cs="Arial"/>
                <w:color w:val="000000"/>
                <w:sz w:val="16"/>
                <w:szCs w:val="16"/>
              </w:rPr>
              <w:t xml:space="preserve"> starostlivosti s hlavnou diagnózou </w:t>
            </w:r>
            <w:proofErr w:type="spellStart"/>
            <w:r w:rsidRPr="00901D85">
              <w:rPr>
                <w:rFonts w:ascii="Arial Narrow" w:eastAsia="Times New Roman" w:hAnsi="Arial Narrow" w:cs="Arial"/>
                <w:color w:val="000000"/>
                <w:sz w:val="16"/>
                <w:szCs w:val="16"/>
              </w:rPr>
              <w:t>hemoragickú</w:t>
            </w:r>
            <w:proofErr w:type="spellEnd"/>
            <w:r w:rsidRPr="00901D85">
              <w:rPr>
                <w:rFonts w:ascii="Arial Narrow" w:eastAsia="Times New Roman" w:hAnsi="Arial Narrow" w:cs="Arial"/>
                <w:color w:val="000000"/>
                <w:sz w:val="16"/>
                <w:szCs w:val="16"/>
              </w:rPr>
              <w:t xml:space="preserve"> mozgová príhoda.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7B7B7B"/>
                <w:sz w:val="16"/>
                <w:szCs w:val="16"/>
              </w:rPr>
            </w:pPr>
            <w:r w:rsidRPr="00901D85">
              <w:rPr>
                <w:rFonts w:ascii="Arial Narrow" w:eastAsia="Times New Roman" w:hAnsi="Arial Narrow" w:cs="Arial"/>
                <w:color w:val="7B7B7B"/>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55</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ambulantnú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pri ischemickej mozgovej príhode do 30-dní od začiatku hospitalizácie (ústavná a akú) podľa pacientov</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v akomkoľvek zariadení ústavnej zdravotnej starostlivosti a mimo zariadení ústavnej zdravotnej starostlivosti, ku ktorým došlo do tridsiatich dní od dátumu začiatku hospitalizácie prípadov uvedených v menovateli k poslednej hospitalizácii v stanovenom roku pri každom pacientovi, ktorý bol prijatý do zariadenia ústavnej zdravotnej starostlivosti medzi 1. januárom a 31. decembrom stanoveného roka do urgentnej zdravotnej starostlivosti s hlavnou diagnózou (</w:t>
            </w:r>
            <w:proofErr w:type="spellStart"/>
            <w:r w:rsidRPr="00901D85">
              <w:rPr>
                <w:rFonts w:ascii="Arial Narrow" w:eastAsia="Times New Roman" w:hAnsi="Arial Narrow" w:cs="Arial"/>
                <w:color w:val="000000"/>
                <w:sz w:val="16"/>
                <w:szCs w:val="16"/>
              </w:rPr>
              <w:t>PDx</w:t>
            </w:r>
            <w:proofErr w:type="spellEnd"/>
            <w:r w:rsidRPr="00901D85">
              <w:rPr>
                <w:rFonts w:ascii="Arial Narrow" w:eastAsia="Times New Roman" w:hAnsi="Arial Narrow" w:cs="Arial"/>
                <w:color w:val="000000"/>
                <w:sz w:val="16"/>
                <w:szCs w:val="16"/>
              </w:rPr>
              <w:t>) ischemická mozgová príhoda.</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56</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pri ischemickej mozgovej príhode do 30-dní od hospitalizácie (rovnaké zariadenie ústavnej zdravotnej starostlivosti) podľa hospitalizácií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v </w:t>
            </w:r>
            <w:proofErr w:type="spellStart"/>
            <w:r w:rsidRPr="00901D85">
              <w:rPr>
                <w:rFonts w:ascii="Arial Narrow" w:eastAsia="Times New Roman" w:hAnsi="Arial Narrow" w:cs="Arial"/>
                <w:color w:val="000000"/>
                <w:sz w:val="16"/>
                <w:szCs w:val="16"/>
              </w:rPr>
              <w:t>rovnakomzariadení</w:t>
            </w:r>
            <w:proofErr w:type="spellEnd"/>
            <w:r w:rsidRPr="00901D85">
              <w:rPr>
                <w:rFonts w:ascii="Arial Narrow" w:eastAsia="Times New Roman" w:hAnsi="Arial Narrow" w:cs="Arial"/>
                <w:color w:val="000000"/>
                <w:sz w:val="16"/>
                <w:szCs w:val="16"/>
              </w:rPr>
              <w:t xml:space="preserve"> ústavnej zdravotnej starostlivosti , ku ktorým došlo do tridsiatich dní od dátumu začiatku hospitalizácie prípadov uvedených v menovateli k počtu hospitalizácií v zariadení ústavnej zdravotnej starostlivosti medzi 1. januárom a 31. decembrom stanoveného roka z dôvodu urgentnej zdravotnej starostlivosti s hlavnou diagnózou ischemická mozgová príhoda. .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57</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Úmrtie po náhrade bedrového kĺbu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po náhrade bedrového kĺbu do 30 dní po výkone v ústavnej starostlivosti k počtu všetkých hospitalizovaných pacientov, ktorí podstúpili náhradu bedrového kĺbu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58</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intervenčných výkonoch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hospitalizovaných pacientov do 30 dní po intervenčnom výkone v odboroch vnútorné lekárstvo, </w:t>
            </w:r>
            <w:proofErr w:type="spellStart"/>
            <w:r w:rsidRPr="00901D85">
              <w:rPr>
                <w:rFonts w:ascii="Arial Narrow" w:eastAsia="Times New Roman" w:hAnsi="Arial Narrow" w:cs="Arial"/>
                <w:color w:val="000000"/>
                <w:sz w:val="16"/>
                <w:szCs w:val="16"/>
              </w:rPr>
              <w:t>gastroenterológia</w:t>
            </w:r>
            <w:proofErr w:type="spellEnd"/>
            <w:r w:rsidRPr="00901D85">
              <w:rPr>
                <w:rFonts w:ascii="Arial Narrow" w:eastAsia="Times New Roman" w:hAnsi="Arial Narrow" w:cs="Arial"/>
                <w:color w:val="000000"/>
                <w:sz w:val="16"/>
                <w:szCs w:val="16"/>
              </w:rPr>
              <w:t>, kardiológia k celkovému počtu pacientov podrobených intervenčným výkonom v uvedených odboroch</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59</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po operačných výkonoch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pacientov do 30 dní po operačnom výkone k celkovému počtu operovaných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60</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Materská úmrtnosť</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úmrtí pacientiek v </w:t>
            </w:r>
            <w:r w:rsidRPr="00901D85">
              <w:rPr>
                <w:rFonts w:ascii="Arial Narrow" w:eastAsia="Times New Roman" w:hAnsi="Arial Narrow" w:cs="Arial"/>
                <w:color w:val="FF0000"/>
                <w:sz w:val="16"/>
                <w:szCs w:val="16"/>
              </w:rPr>
              <w:t>priamej príčinnej súvislosti  </w:t>
            </w:r>
            <w:r w:rsidRPr="00901D85">
              <w:rPr>
                <w:rFonts w:ascii="Arial Narrow" w:eastAsia="Times New Roman" w:hAnsi="Arial Narrow" w:cs="Arial"/>
                <w:color w:val="000000"/>
                <w:sz w:val="16"/>
                <w:szCs w:val="16"/>
              </w:rPr>
              <w:t>s pôrodom k celkovému počtu pôrodov na danom oddelení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jednotke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na jednotke intenzívnej starostlivosti k počtu všetkých hospitalizácií na jednotke intenzívnej starostlivosti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62</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Podiel prekladov na jednotku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preložených poistencov na jednotku intenzívnej starostlivosti z iného oddelenia zariadenia ústavnej zdravotnej starostlivosti k počtu všetkých prijatí na jednotku intenzívnej starostlivosti</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Preklady</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63</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Úmrtnosť na lôžkovom oddelení po preklade z jednotky intenzívnej starostlivosti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úmrtí hospitalizovaných poistencov na lôžkovom oddelení, ktorí boli preložení z jednotky intenzívnej starostlivosti, k celkovému počtu hospitalizovaných poistencov na oddelení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64</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Neodkladná zdravotná starostlivosť</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Chirurgické ošetrenie zlomeniny bedrovej kosti do 2 kalendárnych dní po prijatí do zariadenia ústavnej zdravotnej starostlivosti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chirurgicky ošetrených prípadov uvedených v menovateli do 2 kalendárnych dní  od prijatia k počtu pacientov vo veku 65 alebo viac rokov prijatých do zariadenia ústavnej zdravotnej starostlivosti urgentnej s hlavnou diagnózou horná zlomenina stehnovej kosti, ktorí boli v stanovenom roku chirurgicky ošetrení.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Starostlivosť</w:t>
            </w:r>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pacientov s duševnou poruchou v zariadení ústavnej zdravotnej starostlivosti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ukončených hospitalizácií z prípadov v menovateli označených kódom pre samovraždu v referenčnom roku. Upozorňujeme, že by sem mali patriť len </w:t>
            </w:r>
            <w:r w:rsidRPr="00901D85">
              <w:rPr>
                <w:rFonts w:ascii="Arial Narrow" w:eastAsia="Times New Roman" w:hAnsi="Arial Narrow" w:cs="Arial"/>
                <w:color w:val="FF0000"/>
                <w:sz w:val="16"/>
                <w:szCs w:val="16"/>
              </w:rPr>
              <w:t>dokonané</w:t>
            </w:r>
            <w:r w:rsidRPr="00901D85">
              <w:rPr>
                <w:rFonts w:ascii="Arial Narrow" w:eastAsia="Times New Roman" w:hAnsi="Arial Narrow" w:cs="Arial"/>
                <w:color w:val="000000"/>
                <w:sz w:val="16"/>
                <w:szCs w:val="16"/>
              </w:rPr>
              <w:t xml:space="preserve"> samovraždy – tzn.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ktoré neskončili úmrtím k počtu pacientov prepustených zo zariadenia ústavnej zdravotnej starostlivosti   s hlavnou diagnózou alebo prvými dvoma kódmi vedľajšej diagnózy uvedenými v zozname, ktoré sa týkajú porúch duševného zdravia a správania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40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do jedného roka od prepustenia zo zariadenia ústavnej zdravotnej starostlivosti  z  riadne ukončených hospitalizácií pacientov s duševnou poruchou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z prípadov uvedených v menovateli, ktorí spáchali samovraždu do jedného roka od ukončenia hospitalizácie. Upozorňujeme, že by sem mali patriť len samovraždy – t. j.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ktoré neskončili úmrtím k počtu  pacientov prepustených zo zariadenia ústavnej zdravotnej starostlivosti s hlavnou diagnózou alebo prvými dvoma kódmi vedľajšej diagnózy uvedenými v zozname, ktoré sa týkajú porúch duševného zdravia a správania v referenčnom roku. V prípade pacientov prijatých do zariadenia ústavnej zdravotnej starostlivosti viackrát počas referenčného roka sa obdobie ďalšieho sledovania začína od posledného prepustenia zo zariadenia ústavnej zdravotnej starostlivosti  (t. j. od riadneho ukončenia hospitalizácie, a nie od preloženia z jedného oddelenia na iné)</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40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zdravotnú starostlivosť </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Počet </w:t>
            </w:r>
            <w:r w:rsidRPr="00901D85">
              <w:rPr>
                <w:rFonts w:ascii="Arial Narrow" w:eastAsia="Times New Roman" w:hAnsi="Arial Narrow" w:cs="Arial"/>
                <w:b/>
                <w:bCs/>
                <w:color w:val="FF0000"/>
                <w:sz w:val="16"/>
                <w:szCs w:val="16"/>
              </w:rPr>
              <w:t>dokonaných</w:t>
            </w:r>
            <w:r w:rsidRPr="00901D85">
              <w:rPr>
                <w:rFonts w:ascii="Arial Narrow" w:eastAsia="Times New Roman" w:hAnsi="Arial Narrow" w:cs="Arial"/>
                <w:b/>
                <w:bCs/>
                <w:color w:val="000000"/>
                <w:sz w:val="16"/>
                <w:szCs w:val="16"/>
              </w:rPr>
              <w:t xml:space="preserve"> samovrážd do 30 dní od prepustenia zo zariadenia ústavnej zdravotnej starostlivosti   z riadne ukončených hospitalizácií pacientov s duševnou poruchou</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počtu pacientov z prípadov uvedených v menovateli, ktorí spáchali samovraždu do 30 dní od ukončenia hospitalizácie. Upozorňujeme, že by sem mali patriť len samovraždy – t. j. nepatria sem pokusy o samovraždu a </w:t>
            </w:r>
            <w:proofErr w:type="spellStart"/>
            <w:r w:rsidRPr="00901D85">
              <w:rPr>
                <w:rFonts w:ascii="Arial Narrow" w:eastAsia="Times New Roman" w:hAnsi="Arial Narrow" w:cs="Arial"/>
                <w:color w:val="000000"/>
                <w:sz w:val="16"/>
                <w:szCs w:val="16"/>
              </w:rPr>
              <w:t>sebapoškodzovanie</w:t>
            </w:r>
            <w:proofErr w:type="spellEnd"/>
            <w:r w:rsidRPr="00901D85">
              <w:rPr>
                <w:rFonts w:ascii="Arial Narrow" w:eastAsia="Times New Roman" w:hAnsi="Arial Narrow" w:cs="Arial"/>
                <w:color w:val="000000"/>
                <w:sz w:val="16"/>
                <w:szCs w:val="16"/>
              </w:rPr>
              <w:t>, ktoré neskončili úmrtím k počtu pacientov prepustených zo zariadenia ústavnej zdravotnej starostlivosti  s hlavnou diagnózou alebo prvými dvoma kódmi vedľajšej diagnózy uvedenými v zozname, ktoré sa týkajú porúch duševného zdravia a správania v referenčnom roku. V prípade pacientov prijatých do  zariadenia ústavnej zdravotnej starostlivosti viackrát počas referenčného roka sa obdobie ďalšieho sledovania začína od posledného prepustenia zo zariadenia ústavnej zdravotnej starostlivosti  (t. j. od riadneho ukončenia hospitalizácie, a nie od preloženia z jedného oddelenia na iné)</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right"/>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schizofrénii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schizofrénia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29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69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bipolárnej poruche</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bipolárna porucha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55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duševné zdravie</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Nadmerná úmrtnosť pri závažných duševných chorobách</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Ukazovateľ vyjadruje pomer miery 1 k miere 2 </w:t>
            </w:r>
            <w:r w:rsidRPr="00901D85">
              <w:rPr>
                <w:rFonts w:ascii="Arial Narrow" w:eastAsia="Times New Roman" w:hAnsi="Arial Narrow" w:cs="Arial"/>
                <w:color w:val="000000"/>
                <w:sz w:val="16"/>
                <w:szCs w:val="16"/>
              </w:rPr>
              <w:br/>
              <w:t>Miera 1: Pomer všetkých úmrtí z populácie v menovateli v referenčnom roku ku všetkým osobám vo veku od 15 do 74 rokov, u ktorých bola niekedy diagnostikovaná závažná duševná porucha, na základe údajov získaných z registra alebo ekvivalentného zdroja údajov v referenčnom roku</w:t>
            </w:r>
            <w:r w:rsidRPr="00901D85">
              <w:rPr>
                <w:rFonts w:ascii="Arial Narrow" w:eastAsia="Times New Roman" w:hAnsi="Arial Narrow" w:cs="Arial"/>
                <w:color w:val="000000"/>
                <w:sz w:val="16"/>
                <w:szCs w:val="16"/>
              </w:rPr>
              <w:br/>
              <w:t>Miera 2: Pomer všetkých úmrtí z populácie v menovateli v referenčnom roku ku všetkým osobám vo veku od 15 do 74 rokov v referenčnom roku.</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proofErr w:type="spellStart"/>
            <w:r w:rsidRPr="00901D85">
              <w:rPr>
                <w:rFonts w:ascii="Arial Narrow" w:eastAsia="Times New Roman" w:hAnsi="Arial Narrow" w:cs="Arial"/>
                <w:color w:val="000000"/>
                <w:sz w:val="16"/>
                <w:szCs w:val="16"/>
              </w:rPr>
              <w:t>Psycho</w:t>
            </w:r>
            <w:proofErr w:type="spellEnd"/>
          </w:p>
        </w:tc>
      </w:tr>
      <w:tr w:rsidR="00846796" w:rsidRPr="00901D85" w:rsidTr="00846796">
        <w:trPr>
          <w:trHeight w:val="21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71</w:t>
            </w:r>
          </w:p>
        </w:tc>
        <w:tc>
          <w:tcPr>
            <w:tcW w:w="1493"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 o pacientov s nádorovými ochoreniami</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ambulantnú a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Päťročná čistá miera prežitia štandardizovaná podľa veku</w:t>
            </w:r>
          </w:p>
        </w:tc>
        <w:tc>
          <w:tcPr>
            <w:tcW w:w="155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709"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Nutná dohoda</w:t>
            </w:r>
          </w:p>
        </w:tc>
        <w:tc>
          <w:tcPr>
            <w:tcW w:w="1010" w:type="dxa"/>
            <w:tcBorders>
              <w:top w:val="nil"/>
              <w:left w:val="nil"/>
              <w:bottom w:val="single" w:sz="4" w:space="0" w:color="auto"/>
              <w:right w:val="single" w:sz="4" w:space="0" w:color="auto"/>
            </w:tcBorders>
            <w:shd w:val="clear" w:color="auto" w:fill="auto"/>
            <w:noWrap/>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Úmrtnosť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Rehospitalizovanosť</w:t>
            </w:r>
            <w:proofErr w:type="spellEnd"/>
            <w:r w:rsidRPr="00901D85">
              <w:rPr>
                <w:rFonts w:ascii="Arial Narrow" w:eastAsia="Times New Roman" w:hAnsi="Arial Narrow" w:cs="Arial"/>
                <w:b/>
                <w:bCs/>
                <w:color w:val="000000"/>
                <w:sz w:val="16"/>
                <w:szCs w:val="16"/>
              </w:rPr>
              <w:t xml:space="preserve"> celková do 30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opakovaných hospitalizácií do 30 dní na tú istú skupinu diagnóz k počtu pacientov hospitalizovaných na tú istú skupinu diagnóz</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Rehospitalizovanosť</w:t>
            </w:r>
            <w:proofErr w:type="spellEnd"/>
            <w:r w:rsidRPr="00901D85">
              <w:rPr>
                <w:rFonts w:ascii="Arial Narrow" w:eastAsia="Times New Roman" w:hAnsi="Arial Narrow" w:cs="Arial"/>
                <w:b/>
                <w:bCs/>
                <w:color w:val="000000"/>
                <w:sz w:val="16"/>
                <w:szCs w:val="16"/>
              </w:rPr>
              <w:t xml:space="preserve"> celková do 90 dní</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opakovaných hospitalizácií do 90 dní na tú istú skupinu diagnóz k počtu pacientov hospitalizovaných na tú istú skupinu diagnóz</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50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Reoperovanosť</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operovaných pacientov do 30 dní po prepustení k celkovému počtu operovaných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Rehospitalizácia</w:t>
            </w:r>
            <w:proofErr w:type="spellEnd"/>
            <w:r w:rsidRPr="00901D85">
              <w:rPr>
                <w:rFonts w:ascii="Arial Narrow" w:eastAsia="Times New Roman" w:hAnsi="Arial Narrow" w:cs="Arial"/>
                <w:b/>
                <w:bCs/>
                <w:color w:val="000000"/>
                <w:sz w:val="16"/>
                <w:szCs w:val="16"/>
              </w:rPr>
              <w:t xml:space="preserve"> na J45.0 (Pneumónia)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pacientov prijatých do ústavnej zdravotnej starostlivosti s diagnózou J12 až J18 do 30 dní po prepustení z ústavnej zdravotnej starostlivosti s diagnózou J45.0 až J45.9 ku všetkým prepusteným pacientom, ktorí boli hospitalizovaní s diagnózou J45.0 až J45.9</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84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Dekubity</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identifikovaných pacientov s diagnózou L89 vzniknutou počas hospitalizácie ku všetkým hospitalizovaným pacientom v ústavnom zdravotníckom zariadení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37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zhoršenia mobility OŠE1</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Počet pacientov bez zhoršenia stavu mobility v dôsledku nedostatočných preventívnych opatrení v rámci ošetrovateľského manažmentu pacienta pri porovnaní so stavom mobility v deň prijatia z celkového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3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zhoršenia mobility OŠE2</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Počet pacientov bez rozvinutých </w:t>
            </w:r>
            <w:proofErr w:type="spellStart"/>
            <w:r w:rsidRPr="00901D85">
              <w:rPr>
                <w:rFonts w:ascii="Arial Narrow" w:eastAsia="Times New Roman" w:hAnsi="Arial Narrow" w:cs="Arial"/>
                <w:color w:val="000000"/>
                <w:sz w:val="16"/>
                <w:szCs w:val="16"/>
              </w:rPr>
              <w:t>spazmov</w:t>
            </w:r>
            <w:proofErr w:type="spellEnd"/>
            <w:r w:rsidRPr="00901D85">
              <w:rPr>
                <w:rFonts w:ascii="Arial Narrow" w:eastAsia="Times New Roman" w:hAnsi="Arial Narrow" w:cs="Arial"/>
                <w:color w:val="000000"/>
                <w:sz w:val="16"/>
                <w:szCs w:val="16"/>
              </w:rPr>
              <w:t xml:space="preserve"> alebo/a </w:t>
            </w:r>
            <w:proofErr w:type="spellStart"/>
            <w:r w:rsidRPr="00901D85">
              <w:rPr>
                <w:rFonts w:ascii="Arial Narrow" w:eastAsia="Times New Roman" w:hAnsi="Arial Narrow" w:cs="Arial"/>
                <w:color w:val="000000"/>
                <w:sz w:val="16"/>
                <w:szCs w:val="16"/>
              </w:rPr>
              <w:t>kontraktúr</w:t>
            </w:r>
            <w:proofErr w:type="spellEnd"/>
            <w:r w:rsidRPr="00901D85">
              <w:rPr>
                <w:rFonts w:ascii="Arial Narrow" w:eastAsia="Times New Roman" w:hAnsi="Arial Narrow" w:cs="Arial"/>
                <w:color w:val="000000"/>
                <w:sz w:val="16"/>
                <w:szCs w:val="16"/>
              </w:rPr>
              <w:t xml:space="preserve"> v dôsledku nedostatočných opatrení v rámci ošetrovateľského manažmentu pacienta pri porovnaní so stavom </w:t>
            </w:r>
            <w:proofErr w:type="spellStart"/>
            <w:r w:rsidRPr="00901D85">
              <w:rPr>
                <w:rFonts w:ascii="Arial Narrow" w:eastAsia="Times New Roman" w:hAnsi="Arial Narrow" w:cs="Arial"/>
                <w:color w:val="000000"/>
                <w:sz w:val="16"/>
                <w:szCs w:val="16"/>
              </w:rPr>
              <w:t>spazmov</w:t>
            </w:r>
            <w:proofErr w:type="spellEnd"/>
            <w:r w:rsidRPr="00901D85">
              <w:rPr>
                <w:rFonts w:ascii="Arial Narrow" w:eastAsia="Times New Roman" w:hAnsi="Arial Narrow" w:cs="Arial"/>
                <w:color w:val="000000"/>
                <w:sz w:val="16"/>
                <w:szCs w:val="16"/>
              </w:rPr>
              <w:t xml:space="preserve"> s </w:t>
            </w:r>
            <w:proofErr w:type="spellStart"/>
            <w:r w:rsidRPr="00901D85">
              <w:rPr>
                <w:rFonts w:ascii="Arial Narrow" w:eastAsia="Times New Roman" w:hAnsi="Arial Narrow" w:cs="Arial"/>
                <w:color w:val="000000"/>
                <w:sz w:val="16"/>
                <w:szCs w:val="16"/>
              </w:rPr>
              <w:t>kontraktúr</w:t>
            </w:r>
            <w:proofErr w:type="spellEnd"/>
            <w:r w:rsidRPr="00901D85">
              <w:rPr>
                <w:rFonts w:ascii="Arial Narrow" w:eastAsia="Times New Roman" w:hAnsi="Arial Narrow" w:cs="Arial"/>
                <w:color w:val="000000"/>
                <w:sz w:val="16"/>
                <w:szCs w:val="16"/>
              </w:rPr>
              <w:t xml:space="preserve"> v deň prijatia z celkového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1 rok </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Prevencia</w:t>
            </w:r>
          </w:p>
        </w:tc>
      </w:tr>
      <w:tr w:rsidR="00846796" w:rsidRPr="00901D85" w:rsidTr="00846796">
        <w:trPr>
          <w:trHeight w:val="35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79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Výsledky ošetrovateľskej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Prevencia pádov</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pacientov bez novovzniknutých známok úrazov v dôsledku nedostatočného plánovania a realizácie opatrení na prevenciu pádov k celkovému počtu ošetrovaných pacientov v hodnotenom období</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menej  ako 97,00 %</w:t>
            </w:r>
            <w:r w:rsidRPr="00901D85">
              <w:rPr>
                <w:rFonts w:ascii="Arial Narrow" w:eastAsia="Times New Roman" w:hAnsi="Arial Narrow" w:cs="Arial"/>
                <w:color w:val="000000"/>
                <w:sz w:val="16"/>
                <w:szCs w:val="16"/>
              </w:rPr>
              <w:br/>
              <w:t>Úroveň 1: 97 – 97,9 %</w:t>
            </w:r>
            <w:r w:rsidRPr="00901D85">
              <w:rPr>
                <w:rFonts w:ascii="Arial Narrow" w:eastAsia="Times New Roman" w:hAnsi="Arial Narrow" w:cs="Arial"/>
                <w:color w:val="000000"/>
                <w:sz w:val="16"/>
                <w:szCs w:val="16"/>
              </w:rPr>
              <w:br/>
              <w:t>Úroveň 2: 98 – 98, 9 %</w:t>
            </w:r>
            <w:r w:rsidRPr="00901D85">
              <w:rPr>
                <w:rFonts w:ascii="Arial Narrow" w:eastAsia="Times New Roman" w:hAnsi="Arial Narrow" w:cs="Arial"/>
                <w:color w:val="000000"/>
                <w:sz w:val="16"/>
                <w:szCs w:val="16"/>
              </w:rPr>
              <w:br/>
              <w:t>Úroveň 3 : 99  - 100 %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68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Nozokomiálna</w:t>
            </w:r>
            <w:proofErr w:type="spellEnd"/>
            <w:r w:rsidRPr="00901D85">
              <w:rPr>
                <w:rFonts w:ascii="Arial Narrow" w:eastAsia="Times New Roman" w:hAnsi="Arial Narrow" w:cs="Arial"/>
                <w:b/>
                <w:bCs/>
                <w:color w:val="000000"/>
                <w:sz w:val="16"/>
                <w:szCs w:val="16"/>
              </w:rPr>
              <w:t xml:space="preserve"> nákaza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identifikovaných prípadov </w:t>
            </w:r>
            <w:proofErr w:type="spellStart"/>
            <w:r w:rsidRPr="00901D85">
              <w:rPr>
                <w:rFonts w:ascii="Arial Narrow" w:eastAsia="Times New Roman" w:hAnsi="Arial Narrow" w:cs="Arial"/>
                <w:color w:val="000000"/>
                <w:sz w:val="16"/>
                <w:szCs w:val="16"/>
              </w:rPr>
              <w:t>nozokomiálnych</w:t>
            </w:r>
            <w:proofErr w:type="spellEnd"/>
            <w:r w:rsidRPr="00901D85">
              <w:rPr>
                <w:rFonts w:ascii="Arial Narrow" w:eastAsia="Times New Roman" w:hAnsi="Arial Narrow" w:cs="Arial"/>
                <w:color w:val="000000"/>
                <w:sz w:val="16"/>
                <w:szCs w:val="16"/>
              </w:rPr>
              <w:t xml:space="preserve"> infekcií počas poskytovania zdravotnej starostlivosti k celkovému počtu hospitalizovaných pacientov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66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Spotreba alkoholových dezinfekčných prípravkov na ruky na lôžkových oddeleniach</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spotreby alkoholových dezinfekčných prípravkov na ruky na lôžkových oddeleniach za rok v litroch k počtu pacientskych dní </w:t>
            </w:r>
            <w:r w:rsidRPr="00901D85">
              <w:rPr>
                <w:rFonts w:ascii="Arial Narrow" w:eastAsia="Times New Roman" w:hAnsi="Arial Narrow" w:cs="Arial"/>
                <w:color w:val="FF0000"/>
                <w:sz w:val="16"/>
                <w:szCs w:val="16"/>
              </w:rPr>
              <w:t xml:space="preserve">(počet ošetrovacích dní) </w:t>
            </w:r>
            <w:r w:rsidRPr="00901D85">
              <w:rPr>
                <w:rFonts w:ascii="Arial Narrow" w:eastAsia="Times New Roman" w:hAnsi="Arial Narrow" w:cs="Arial"/>
                <w:color w:val="000000"/>
                <w:sz w:val="16"/>
                <w:szCs w:val="16"/>
              </w:rPr>
              <w:t>za rok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Hodnota rovnajúca sa alebo väčšia ako 15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0: menej  ako 15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1: 15-19,9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Úroveň 2: 20-24,9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 xml:space="preserve">25 a viac l/1000 </w:t>
            </w:r>
            <w:proofErr w:type="spellStart"/>
            <w:r w:rsidRPr="00901D85">
              <w:rPr>
                <w:rFonts w:ascii="Arial Narrow" w:eastAsia="Times New Roman" w:hAnsi="Arial Narrow" w:cs="Arial"/>
                <w:color w:val="000000"/>
                <w:sz w:val="16"/>
                <w:szCs w:val="16"/>
              </w:rPr>
              <w:t>pacientských</w:t>
            </w:r>
            <w:proofErr w:type="spellEnd"/>
            <w:r w:rsidRPr="00901D85">
              <w:rPr>
                <w:rFonts w:ascii="Arial Narrow" w:eastAsia="Times New Roman" w:hAnsi="Arial Narrow" w:cs="Arial"/>
                <w:color w:val="000000"/>
                <w:sz w:val="16"/>
                <w:szCs w:val="16"/>
              </w:rPr>
              <w:t xml:space="preserve"> dní</w:t>
            </w:r>
            <w:r w:rsidRPr="00901D85">
              <w:rPr>
                <w:rFonts w:ascii="Arial Narrow" w:eastAsia="Times New Roman" w:hAnsi="Arial Narrow" w:cs="Arial"/>
                <w:color w:val="000000"/>
                <w:sz w:val="16"/>
                <w:szCs w:val="16"/>
              </w:rPr>
              <w:br/>
              <w:t>Úroveň 3 :</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33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Alkoholová dezinfekcia rúk v zóne pacienta</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celkového počtu lôžok s dávkovačmi alkoholových dezinfekčných prípravkov na ruky v zóne pacienta (dávkovač maximálne do vzdialenosti 1,5 m od lôžka) k celkovému počtu lôžok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75 % (z celkového počtu lôžok)</w:t>
            </w:r>
            <w:r w:rsidRPr="00901D85">
              <w:rPr>
                <w:rFonts w:ascii="Arial Narrow" w:eastAsia="Times New Roman" w:hAnsi="Arial Narrow" w:cs="Arial"/>
                <w:color w:val="000000"/>
                <w:sz w:val="16"/>
                <w:szCs w:val="16"/>
              </w:rPr>
              <w:br/>
              <w:t>Úroveň 0: menej  ako 75,0 % z celkového počtu lôžok</w:t>
            </w:r>
            <w:r w:rsidRPr="00901D85">
              <w:rPr>
                <w:rFonts w:ascii="Arial Narrow" w:eastAsia="Times New Roman" w:hAnsi="Arial Narrow" w:cs="Arial"/>
                <w:color w:val="000000"/>
                <w:sz w:val="16"/>
                <w:szCs w:val="16"/>
              </w:rPr>
              <w:br/>
              <w:t>Úroveň 1: 75-79,9% z celkového počtu lôžok</w:t>
            </w:r>
            <w:r w:rsidRPr="00901D85">
              <w:rPr>
                <w:rFonts w:ascii="Arial Narrow" w:eastAsia="Times New Roman" w:hAnsi="Arial Narrow" w:cs="Arial"/>
                <w:color w:val="000000"/>
                <w:sz w:val="16"/>
                <w:szCs w:val="16"/>
              </w:rPr>
              <w:br/>
              <w:t>Úroveň 2: 80 – 84, 9 % z celkového počtu lôžok</w:t>
            </w:r>
            <w:r w:rsidRPr="00901D85">
              <w:rPr>
                <w:rFonts w:ascii="Arial Narrow" w:eastAsia="Times New Roman" w:hAnsi="Arial Narrow" w:cs="Arial"/>
                <w:color w:val="000000"/>
                <w:sz w:val="16"/>
                <w:szCs w:val="16"/>
              </w:rPr>
              <w:br/>
              <w:t>Úroveň 3 : 85%  a viac z celkového počtu lôžok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krvného riečiska súvisiacich so zavedeným centrálnym </w:t>
            </w:r>
            <w:proofErr w:type="spellStart"/>
            <w:r w:rsidRPr="00901D85">
              <w:rPr>
                <w:rFonts w:ascii="Arial Narrow" w:eastAsia="Times New Roman" w:hAnsi="Arial Narrow" w:cs="Arial"/>
                <w:b/>
                <w:bCs/>
                <w:color w:val="000000"/>
                <w:sz w:val="16"/>
                <w:szCs w:val="16"/>
              </w:rPr>
              <w:t>venóznym</w:t>
            </w:r>
            <w:proofErr w:type="spellEnd"/>
            <w:r w:rsidRPr="00901D85">
              <w:rPr>
                <w:rFonts w:ascii="Arial Narrow" w:eastAsia="Times New Roman" w:hAnsi="Arial Narrow" w:cs="Arial"/>
                <w:b/>
                <w:bCs/>
                <w:color w:val="000000"/>
                <w:sz w:val="16"/>
                <w:szCs w:val="16"/>
              </w:rPr>
              <w:t xml:space="preserve"> katétrom (CVK)</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krvného riečiska súvisiacich so zavedeným CVK k celkovému počtu dní so zavedeným CVK</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 a alebo menšia ako 4 infekcie/1000  dní so zavedeným CVK)</w:t>
            </w:r>
            <w:r w:rsidRPr="00901D85">
              <w:rPr>
                <w:rFonts w:ascii="Arial Narrow" w:eastAsia="Times New Roman" w:hAnsi="Arial Narrow" w:cs="Arial"/>
                <w:color w:val="000000"/>
                <w:sz w:val="16"/>
                <w:szCs w:val="16"/>
              </w:rPr>
              <w:br/>
              <w:t>Úroveň 0: viac  ako 4 infekcie/1000 dní so zavedeným CVK</w:t>
            </w:r>
            <w:r w:rsidRPr="00901D85">
              <w:rPr>
                <w:rFonts w:ascii="Arial Narrow" w:eastAsia="Times New Roman" w:hAnsi="Arial Narrow" w:cs="Arial"/>
                <w:color w:val="000000"/>
                <w:sz w:val="16"/>
                <w:szCs w:val="16"/>
              </w:rPr>
              <w:br/>
              <w:t>Úroveň 1: 4,0-3,1 infekcie/1000 dní so zavedeným CVK</w:t>
            </w:r>
            <w:r w:rsidRPr="00901D85">
              <w:rPr>
                <w:rFonts w:ascii="Arial Narrow" w:eastAsia="Times New Roman" w:hAnsi="Arial Narrow" w:cs="Arial"/>
                <w:color w:val="000000"/>
                <w:sz w:val="16"/>
                <w:szCs w:val="16"/>
              </w:rPr>
              <w:br/>
              <w:t>Úroveň 2: 3,0 –2,1 infekcie/1000 dní so zavedeným CVK</w:t>
            </w:r>
            <w:r w:rsidRPr="00901D85">
              <w:rPr>
                <w:rFonts w:ascii="Arial Narrow" w:eastAsia="Times New Roman" w:hAnsi="Arial Narrow" w:cs="Arial"/>
                <w:color w:val="000000"/>
                <w:sz w:val="16"/>
                <w:szCs w:val="16"/>
              </w:rPr>
              <w:br/>
              <w:t>Úroveň 3 : 2,0 a menej infekcie/1000 dní so zavedeným CVK</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v mieste chirurgického výkonu po implantácii bedrových kĺbov</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v mieste chirurgického výkonu po implantácii bedrových kĺbov k celkovému počtu chirurgických výkonov s implantáciou bedrových kĺbov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menšia ako 2% (z celkového počtu chirurgických výkonov s implantáciou bedrových kĺbov.</w:t>
            </w:r>
            <w:r w:rsidRPr="00901D85">
              <w:rPr>
                <w:rFonts w:ascii="Arial Narrow" w:eastAsia="Times New Roman" w:hAnsi="Arial Narrow" w:cs="Arial"/>
                <w:color w:val="000000"/>
                <w:sz w:val="16"/>
                <w:szCs w:val="16"/>
              </w:rPr>
              <w:br/>
              <w:t>Úroveň 0: viac  ako  2% z celkového počtu chirurgických výkonov s implantáciou bedrových kĺbov</w:t>
            </w:r>
            <w:r w:rsidRPr="00901D85">
              <w:rPr>
                <w:rFonts w:ascii="Arial Narrow" w:eastAsia="Times New Roman" w:hAnsi="Arial Narrow" w:cs="Arial"/>
                <w:color w:val="000000"/>
                <w:sz w:val="16"/>
                <w:szCs w:val="16"/>
              </w:rPr>
              <w:br/>
              <w:t>Úroveň 1: 2,0-1,6% z celkového počtu chirurgických výkonov s implantáciou bedrových kĺbov</w:t>
            </w:r>
            <w:r w:rsidRPr="00901D85">
              <w:rPr>
                <w:rFonts w:ascii="Arial Narrow" w:eastAsia="Times New Roman" w:hAnsi="Arial Narrow" w:cs="Arial"/>
                <w:color w:val="000000"/>
                <w:sz w:val="16"/>
                <w:szCs w:val="16"/>
              </w:rPr>
              <w:br/>
              <w:t>Úroveň 2: 1,5 –1,1 %  z celkového počtu  chirurgických výkonov s implantáciou bedrových kĺbov</w:t>
            </w:r>
            <w:r w:rsidRPr="00901D85">
              <w:rPr>
                <w:rFonts w:ascii="Arial Narrow" w:eastAsia="Times New Roman" w:hAnsi="Arial Narrow" w:cs="Arial"/>
                <w:color w:val="000000"/>
                <w:sz w:val="16"/>
                <w:szCs w:val="16"/>
              </w:rPr>
              <w:br/>
              <w:t>Úroveň 3 : 1,0 % a menej z celkového počtu chirurgických výkonov s implantáciou bedrových kĺbov</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2021</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2022</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5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Sledovanie </w:t>
            </w:r>
            <w:proofErr w:type="spellStart"/>
            <w:r w:rsidRPr="00901D85">
              <w:rPr>
                <w:rFonts w:ascii="Arial Narrow" w:eastAsia="Times New Roman" w:hAnsi="Arial Narrow" w:cs="Arial"/>
                <w:b/>
                <w:bCs/>
                <w:color w:val="000000"/>
                <w:sz w:val="16"/>
                <w:szCs w:val="16"/>
              </w:rPr>
              <w:t>incidencie</w:t>
            </w:r>
            <w:proofErr w:type="spellEnd"/>
            <w:r w:rsidRPr="00901D85">
              <w:rPr>
                <w:rFonts w:ascii="Arial Narrow" w:eastAsia="Times New Roman" w:hAnsi="Arial Narrow" w:cs="Arial"/>
                <w:b/>
                <w:bCs/>
                <w:color w:val="000000"/>
                <w:sz w:val="16"/>
                <w:szCs w:val="16"/>
              </w:rPr>
              <w:t xml:space="preserve"> infekcií v mieste chirurgického výkonu po cisárskych rezoch</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xml:space="preserve">Pomer </w:t>
            </w:r>
            <w:proofErr w:type="spellStart"/>
            <w:r w:rsidRPr="00901D85">
              <w:rPr>
                <w:rFonts w:ascii="Arial Narrow" w:eastAsia="Times New Roman" w:hAnsi="Arial Narrow" w:cs="Arial"/>
                <w:color w:val="000000"/>
                <w:sz w:val="16"/>
                <w:szCs w:val="16"/>
              </w:rPr>
              <w:t>incidencie</w:t>
            </w:r>
            <w:proofErr w:type="spellEnd"/>
            <w:r w:rsidRPr="00901D85">
              <w:rPr>
                <w:rFonts w:ascii="Arial Narrow" w:eastAsia="Times New Roman" w:hAnsi="Arial Narrow" w:cs="Arial"/>
                <w:color w:val="000000"/>
                <w:sz w:val="16"/>
                <w:szCs w:val="16"/>
              </w:rPr>
              <w:t xml:space="preserve"> infekcií v mieste chirurgického výkonu po cisárskom reze k celkovému počtu cisárskych rezov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menšia ako 2% (z celkového počtu cisárskych rezov.</w:t>
            </w:r>
            <w:r w:rsidRPr="00901D85">
              <w:rPr>
                <w:rFonts w:ascii="Arial Narrow" w:eastAsia="Times New Roman" w:hAnsi="Arial Narrow" w:cs="Arial"/>
                <w:color w:val="000000"/>
                <w:sz w:val="16"/>
                <w:szCs w:val="16"/>
              </w:rPr>
              <w:br/>
              <w:t>Úroveň 0: viac  ako  2%  z celkového počtu cisárskych rezov</w:t>
            </w:r>
            <w:r w:rsidRPr="00901D85">
              <w:rPr>
                <w:rFonts w:ascii="Arial Narrow" w:eastAsia="Times New Roman" w:hAnsi="Arial Narrow" w:cs="Arial"/>
                <w:color w:val="000000"/>
                <w:sz w:val="16"/>
                <w:szCs w:val="16"/>
              </w:rPr>
              <w:br/>
              <w:t>Úroveň 1: 2,0-1,6% z celkového počtu cisárskych rezov</w:t>
            </w:r>
            <w:r w:rsidRPr="00901D85">
              <w:rPr>
                <w:rFonts w:ascii="Arial Narrow" w:eastAsia="Times New Roman" w:hAnsi="Arial Narrow" w:cs="Arial"/>
                <w:color w:val="000000"/>
                <w:sz w:val="16"/>
                <w:szCs w:val="16"/>
              </w:rPr>
              <w:br/>
              <w:t>Úroveň 2: 1,5 –1,1 % z celkového počtu cisárskych rezov</w:t>
            </w:r>
            <w:r w:rsidRPr="00901D85">
              <w:rPr>
                <w:rFonts w:ascii="Arial Narrow" w:eastAsia="Times New Roman" w:hAnsi="Arial Narrow" w:cs="Arial"/>
                <w:color w:val="000000"/>
                <w:sz w:val="16"/>
                <w:szCs w:val="16"/>
              </w:rPr>
              <w:br/>
              <w:t>Úroveň 3 : 1,0%  a menej z celkového počtu cisárskych rezov</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7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Percento jednolôžkových izieb</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celkového počtu jednolôžkových izieb k celkovému počtu izieb</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4% (z celkového počtu izieb)</w:t>
            </w:r>
            <w:r w:rsidRPr="00901D85">
              <w:rPr>
                <w:rFonts w:ascii="Arial Narrow" w:eastAsia="Times New Roman" w:hAnsi="Arial Narrow" w:cs="Arial"/>
                <w:color w:val="000000"/>
                <w:sz w:val="16"/>
                <w:szCs w:val="16"/>
              </w:rPr>
              <w:br/>
              <w:t>Úroveň 0: menej  ako  4% z celkového počtu izieb</w:t>
            </w:r>
            <w:r w:rsidRPr="00901D85">
              <w:rPr>
                <w:rFonts w:ascii="Arial Narrow" w:eastAsia="Times New Roman" w:hAnsi="Arial Narrow" w:cs="Arial"/>
                <w:color w:val="000000"/>
                <w:sz w:val="16"/>
                <w:szCs w:val="16"/>
              </w:rPr>
              <w:br/>
              <w:t>Úroveň 1: 4,0-4,9% z celkového počtu izieb</w:t>
            </w:r>
            <w:r w:rsidRPr="00901D85">
              <w:rPr>
                <w:rFonts w:ascii="Arial Narrow" w:eastAsia="Times New Roman" w:hAnsi="Arial Narrow" w:cs="Arial"/>
                <w:color w:val="000000"/>
                <w:sz w:val="16"/>
                <w:szCs w:val="16"/>
              </w:rPr>
              <w:br/>
              <w:t>Úroveň 2: 5,0-5,9 % z celkového počtu izieb</w:t>
            </w:r>
            <w:r w:rsidRPr="00901D85">
              <w:rPr>
                <w:rFonts w:ascii="Arial Narrow" w:eastAsia="Times New Roman" w:hAnsi="Arial Narrow" w:cs="Arial"/>
                <w:color w:val="000000"/>
                <w:sz w:val="16"/>
                <w:szCs w:val="16"/>
              </w:rPr>
              <w:br/>
              <w:t>Úroveň 3 : 6,0%  a viac z celkového počtu izieb</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59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87</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Percento jednolôžkových izieb s vlastným hygienickým zariadením</w:t>
            </w:r>
            <w:r w:rsidRPr="00901D85">
              <w:rPr>
                <w:rFonts w:ascii="Arial Narrow" w:eastAsia="Times New Roman" w:hAnsi="Arial Narrow" w:cs="Arial"/>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FF0000"/>
                <w:sz w:val="16"/>
                <w:szCs w:val="16"/>
              </w:rPr>
              <w:t>Pomer</w:t>
            </w:r>
            <w:r w:rsidRPr="00901D85">
              <w:rPr>
                <w:rFonts w:ascii="Arial Narrow" w:eastAsia="Times New Roman" w:hAnsi="Arial Narrow" w:cs="Arial"/>
                <w:color w:val="000000"/>
                <w:sz w:val="16"/>
                <w:szCs w:val="16"/>
              </w:rPr>
              <w:t xml:space="preserve"> jednolôžkových izieb s vlastným hygienickým zariadením k celkovému počtu izieb</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4% (z celkového počtu izieb)</w:t>
            </w:r>
            <w:r w:rsidRPr="00901D85">
              <w:rPr>
                <w:rFonts w:ascii="Arial Narrow" w:eastAsia="Times New Roman" w:hAnsi="Arial Narrow" w:cs="Arial"/>
                <w:color w:val="000000"/>
                <w:sz w:val="16"/>
                <w:szCs w:val="16"/>
              </w:rPr>
              <w:br/>
              <w:t>Úroveň 0: menej  ako  4% z celkového počtu izieb</w:t>
            </w:r>
            <w:r w:rsidRPr="00901D85">
              <w:rPr>
                <w:rFonts w:ascii="Arial Narrow" w:eastAsia="Times New Roman" w:hAnsi="Arial Narrow" w:cs="Arial"/>
                <w:color w:val="000000"/>
                <w:sz w:val="16"/>
                <w:szCs w:val="16"/>
              </w:rPr>
              <w:br/>
              <w:t>Úroveň 1: 4,0-4,9% z celkového počtu izieb</w:t>
            </w:r>
            <w:r w:rsidRPr="00901D85">
              <w:rPr>
                <w:rFonts w:ascii="Arial Narrow" w:eastAsia="Times New Roman" w:hAnsi="Arial Narrow" w:cs="Arial"/>
                <w:color w:val="000000"/>
                <w:sz w:val="16"/>
                <w:szCs w:val="16"/>
              </w:rPr>
              <w:br/>
              <w:t>Úroveň 2: 5,0-5,9 % z celkového počtu izieb</w:t>
            </w:r>
            <w:r w:rsidRPr="00901D85">
              <w:rPr>
                <w:rFonts w:ascii="Arial Narrow" w:eastAsia="Times New Roman" w:hAnsi="Arial Narrow" w:cs="Arial"/>
                <w:color w:val="000000"/>
                <w:sz w:val="16"/>
                <w:szCs w:val="16"/>
              </w:rPr>
              <w:br/>
              <w:t>Úroveň 3 : 6,0 %a viac z celkového počtu izieb</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343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88</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Zanechaný chirurgický predmet alebo nevybratý fragment prístroja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z prípadov definovaných v menovateli s kódom ICD pre cudzie teleso zanechané počas výkonu uvedeným v poli vedľajšej diagnózy pri chirurgickej hospitalizácii k počtu všetkých riadne ukončených hospitalizácií po chirurgickom alebo lekárskom výkone, ktoré spĺňajú pravidlá pre zaradenie a vylúčenie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89</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 xml:space="preserve">Pooperačná trombóza hlbokých žíl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90</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Pooperačná pľúcna embólia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91</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Pooperačná sepsa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92</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Dehiscencia</w:t>
            </w:r>
            <w:proofErr w:type="spellEnd"/>
            <w:r w:rsidRPr="00901D85">
              <w:rPr>
                <w:rFonts w:ascii="Arial Narrow" w:eastAsia="Times New Roman" w:hAnsi="Arial Narrow" w:cs="Arial"/>
                <w:b/>
                <w:bCs/>
                <w:color w:val="000000"/>
                <w:sz w:val="16"/>
                <w:szCs w:val="16"/>
              </w:rPr>
              <w:t xml:space="preserve"> rany po operácii</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trombózu hlbokých žíl uvedeným v poli vedľajšej diagnózy pri chirurgickej hospitalizácii k počtu ukončených hospitalizácií po náhrade bedrového kĺbu a kolena, ktoré spĺňajú pravidlá pre zaradenie a vylúčenie spolu s kódom výkonu uskutočneného na operačnej sále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FF0000"/>
                <w:sz w:val="16"/>
                <w:szCs w:val="16"/>
              </w:rPr>
            </w:pPr>
            <w:r w:rsidRPr="00901D85">
              <w:rPr>
                <w:rFonts w:ascii="Arial Narrow" w:eastAsia="Times New Roman" w:hAnsi="Arial Narrow" w:cs="Arial"/>
                <w:color w:val="FF0000"/>
                <w:sz w:val="16"/>
                <w:szCs w:val="16"/>
              </w:rPr>
              <w:t>Zdravotné poisťovne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20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93</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proofErr w:type="spellStart"/>
            <w:r w:rsidRPr="00901D85">
              <w:rPr>
                <w:rFonts w:ascii="Arial Narrow" w:eastAsia="Times New Roman" w:hAnsi="Arial Narrow" w:cs="Arial"/>
                <w:b/>
                <w:bCs/>
                <w:color w:val="000000"/>
                <w:sz w:val="16"/>
                <w:szCs w:val="16"/>
              </w:rPr>
              <w:t>Iatrogénne</w:t>
            </w:r>
            <w:proofErr w:type="spellEnd"/>
            <w:r w:rsidRPr="00901D85">
              <w:rPr>
                <w:rFonts w:ascii="Arial Narrow" w:eastAsia="Times New Roman" w:hAnsi="Arial Narrow" w:cs="Arial"/>
                <w:b/>
                <w:bCs/>
                <w:color w:val="000000"/>
                <w:sz w:val="16"/>
                <w:szCs w:val="16"/>
              </w:rPr>
              <w:t xml:space="preserve"> poranenia tretieho a štvrtého stupňa pri vaginálnom pôrode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z prípadov definovaných v menovateli s kódom ICD pre pôrodné poranenia tretieho a štvrtého stupňa uvedeným v poli akejkoľvek diagnózy alebo výkonu (pozri nižšie uvedené kódy ICD) k počtu všetkých</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riadne</w:t>
            </w:r>
            <w:r w:rsidRPr="00901D85">
              <w:rPr>
                <w:rFonts w:ascii="Arial Narrow" w:eastAsia="Times New Roman" w:hAnsi="Arial Narrow" w:cs="Arial"/>
                <w:b/>
                <w:bCs/>
                <w:color w:val="000000"/>
                <w:sz w:val="16"/>
                <w:szCs w:val="16"/>
              </w:rPr>
              <w:t xml:space="preserve"> </w:t>
            </w:r>
            <w:r w:rsidRPr="00901D85">
              <w:rPr>
                <w:rFonts w:ascii="Arial Narrow" w:eastAsia="Times New Roman" w:hAnsi="Arial Narrow" w:cs="Arial"/>
                <w:color w:val="000000"/>
                <w:sz w:val="16"/>
                <w:szCs w:val="16"/>
              </w:rPr>
              <w:t>ukončených hospitalizácií pri vaginálnom pôrode s akýmkoľvek kódom výkonu pri inštrumentálnom pôrode (pozri nižšie uvedené kódy výkonov)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7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94</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Pôrodné poranenia tretieho a štvrtého stupňa pri vaginálnom pôrode bez nástroja</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Pomer počtu riadne ukončených hospitalizácií z prípadov definovaných v menovateli s kódom ICD pre pôrodné poranenia tretieho a štvrtého stupňa uvedeným v poli akejkoľvek diagnózy alebo výkonu (pozri nižšie uvedené kódy ICD) k počtu všetkých pacientiek prepustených zo zariadenia ústavnej zdravotnej starostlivosti  po vaginálnom pôrode</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Úroveň 0: Hodnota väčšia ako stredná hodnota vrátane dvoch štandardných odchýlok</w:t>
            </w:r>
            <w:r w:rsidRPr="00901D85">
              <w:rPr>
                <w:rFonts w:ascii="Arial Narrow" w:eastAsia="Times New Roman" w:hAnsi="Arial Narrow" w:cs="Arial"/>
                <w:color w:val="000000"/>
                <w:sz w:val="16"/>
                <w:szCs w:val="16"/>
              </w:rPr>
              <w:br/>
              <w:t>Úroveň 1: Hodnota väčšia ako stredná hodnota vrátane jednej štandardnej odchýlky a zároveň menšia ako stredná hodnota vrátane dvoch štandardných odchýlok</w:t>
            </w:r>
            <w:r w:rsidRPr="00901D85">
              <w:rPr>
                <w:rFonts w:ascii="Arial Narrow" w:eastAsia="Times New Roman" w:hAnsi="Arial Narrow" w:cs="Arial"/>
                <w:color w:val="000000"/>
                <w:sz w:val="16"/>
                <w:szCs w:val="16"/>
              </w:rPr>
              <w:br/>
              <w:t>Úroveň 2: Stredná hodnota vrátane jednej štandardnej odchýlky</w:t>
            </w:r>
            <w:r w:rsidRPr="00901D85">
              <w:rPr>
                <w:rFonts w:ascii="Arial Narrow" w:eastAsia="Times New Roman" w:hAnsi="Arial Narrow" w:cs="Arial"/>
                <w:color w:val="000000"/>
                <w:sz w:val="16"/>
                <w:szCs w:val="16"/>
              </w:rPr>
              <w:br/>
              <w:t>Úroveň 3: Hodnota menšia ako stredná hodnota znížená o jednu štandardnú odchýlku a zároveň väčšia ako stredná hodnota znížená o dvojnásobok štandardnej odchýlky</w:t>
            </w:r>
            <w:r w:rsidRPr="00901D85">
              <w:rPr>
                <w:rFonts w:ascii="Arial Narrow" w:eastAsia="Times New Roman" w:hAnsi="Arial Narrow" w:cs="Arial"/>
                <w:color w:val="000000"/>
                <w:sz w:val="16"/>
                <w:szCs w:val="16"/>
              </w:rPr>
              <w:br/>
              <w:t>Úroveň 4: Hodnota menšia ako stredná hodnota znížená o dvojnásobok štandardnej odchýlky</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2019</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2020</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Starostlivosť</w:t>
            </w:r>
          </w:p>
        </w:tc>
      </w:tr>
      <w:tr w:rsidR="00846796" w:rsidRPr="00901D85" w:rsidTr="00846796">
        <w:trPr>
          <w:trHeight w:val="127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95</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prevádzkuje gynekologicko-pôrodnícke pracovisko a </w:t>
            </w:r>
            <w:proofErr w:type="spellStart"/>
            <w:r w:rsidRPr="00901D85">
              <w:rPr>
                <w:rFonts w:ascii="Arial Narrow" w:eastAsia="Times New Roman" w:hAnsi="Arial Narrow" w:cs="Arial"/>
                <w:color w:val="000000"/>
                <w:sz w:val="16"/>
                <w:szCs w:val="16"/>
              </w:rPr>
              <w:t>neonatologické</w:t>
            </w:r>
            <w:proofErr w:type="spellEnd"/>
            <w:r w:rsidRPr="00901D85">
              <w:rPr>
                <w:rFonts w:ascii="Arial Narrow" w:eastAsia="Times New Roman" w:hAnsi="Arial Narrow" w:cs="Arial"/>
                <w:color w:val="000000"/>
                <w:sz w:val="16"/>
                <w:szCs w:val="16"/>
              </w:rPr>
              <w:t xml:space="preserve"> pracovisko</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Včasné začatie dojčenia</w:t>
            </w:r>
            <w:r w:rsidRPr="00901D85">
              <w:rPr>
                <w:rFonts w:ascii="Arial Narrow" w:eastAsia="Times New Roman" w:hAnsi="Arial Narrow"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 xml:space="preserve">Pomer počtu fyziologických novorodencov, ktorí boli priložení k prsníku do 1 hodiny po narodení (začatie dojčenia) k celkovému počtu fyziologických novorodencov </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80 % (z celkového počtu fyziologických novorodencov narodených v zdravotníkom zariadení)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Iné</w:t>
            </w:r>
          </w:p>
        </w:tc>
      </w:tr>
      <w:tr w:rsidR="00846796" w:rsidRPr="00901D85" w:rsidTr="00846796">
        <w:trPr>
          <w:trHeight w:val="2985"/>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jc w:val="center"/>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96</w:t>
            </w:r>
          </w:p>
        </w:tc>
        <w:tc>
          <w:tcPr>
            <w:tcW w:w="14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Bezpečnosť pacienta</w:t>
            </w:r>
          </w:p>
        </w:tc>
        <w:tc>
          <w:tcPr>
            <w:tcW w:w="108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Poskytovateľ, ktorý poskytuje ústavnú zdravotnú starostlivosť a prevádzkuje gynekologicko-pôrodnícke pracovisko a </w:t>
            </w:r>
            <w:proofErr w:type="spellStart"/>
            <w:r w:rsidRPr="00901D85">
              <w:rPr>
                <w:rFonts w:ascii="Arial Narrow" w:eastAsia="Times New Roman" w:hAnsi="Arial Narrow" w:cs="Arial"/>
                <w:color w:val="000000"/>
                <w:sz w:val="16"/>
                <w:szCs w:val="16"/>
              </w:rPr>
              <w:t>neonatologické</w:t>
            </w:r>
            <w:proofErr w:type="spellEnd"/>
            <w:r w:rsidRPr="00901D85">
              <w:rPr>
                <w:rFonts w:ascii="Arial Narrow" w:eastAsia="Times New Roman" w:hAnsi="Arial Narrow" w:cs="Arial"/>
                <w:color w:val="000000"/>
                <w:sz w:val="16"/>
                <w:szCs w:val="16"/>
              </w:rPr>
              <w:t xml:space="preserve"> pracovisko</w:t>
            </w:r>
          </w:p>
        </w:tc>
        <w:tc>
          <w:tcPr>
            <w:tcW w:w="106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Účinnosť a primeranosť zdravotnej starostlivosti</w:t>
            </w:r>
          </w:p>
        </w:tc>
        <w:tc>
          <w:tcPr>
            <w:tcW w:w="106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b/>
                <w:bCs/>
                <w:color w:val="000000"/>
                <w:sz w:val="16"/>
                <w:szCs w:val="16"/>
              </w:rPr>
            </w:pPr>
            <w:r w:rsidRPr="00901D85">
              <w:rPr>
                <w:rFonts w:ascii="Arial Narrow" w:eastAsia="Times New Roman" w:hAnsi="Arial Narrow" w:cs="Arial"/>
                <w:b/>
                <w:bCs/>
                <w:color w:val="000000"/>
                <w:sz w:val="16"/>
                <w:szCs w:val="16"/>
              </w:rPr>
              <w:t>Výlučné dojčenie</w:t>
            </w:r>
            <w:r w:rsidRPr="00901D85">
              <w:rPr>
                <w:rFonts w:ascii="Arial Narrow" w:eastAsia="Times New Roman" w:hAnsi="Arial Narrow" w:cs="Arial"/>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sz w:val="16"/>
                <w:szCs w:val="16"/>
              </w:rPr>
            </w:pPr>
            <w:r w:rsidRPr="00901D85">
              <w:rPr>
                <w:rFonts w:ascii="Arial Narrow" w:eastAsia="Times New Roman" w:hAnsi="Arial Narrow" w:cs="Arial"/>
                <w:sz w:val="16"/>
                <w:szCs w:val="16"/>
              </w:rPr>
              <w:t>Pomer počtu novorodencov (predčasne narodených a fyziologických), ktorí počas pobytu v zdravotníckom zariadení prijímali len materské mlieko (buď od vlastnej matky alebo z mliečnej banky) k celkovému počtu novorodencov</w:t>
            </w:r>
          </w:p>
        </w:tc>
        <w:tc>
          <w:tcPr>
            <w:tcW w:w="993"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1 rok</w:t>
            </w:r>
          </w:p>
        </w:tc>
        <w:tc>
          <w:tcPr>
            <w:tcW w:w="481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Hodnota rovnajúca sa alebo väčšia ako 80 % (z celkového počtu všetkých novorodencov narodených v zdravotníckom zariadení)</w:t>
            </w:r>
          </w:p>
        </w:tc>
        <w:tc>
          <w:tcPr>
            <w:tcW w:w="1134"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Národné centrum zdravotníckych informácií z údajov od poskytovateľov zdravotnej starostlivosti</w:t>
            </w:r>
          </w:p>
        </w:tc>
        <w:tc>
          <w:tcPr>
            <w:tcW w:w="567"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2020</w:t>
            </w:r>
          </w:p>
        </w:tc>
        <w:tc>
          <w:tcPr>
            <w:tcW w:w="709"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2. polrok 2021</w:t>
            </w:r>
          </w:p>
        </w:tc>
        <w:tc>
          <w:tcPr>
            <w:tcW w:w="1010" w:type="dxa"/>
            <w:tcBorders>
              <w:top w:val="nil"/>
              <w:left w:val="nil"/>
              <w:bottom w:val="single" w:sz="4" w:space="0" w:color="auto"/>
              <w:right w:val="single" w:sz="4" w:space="0" w:color="auto"/>
            </w:tcBorders>
            <w:shd w:val="clear" w:color="auto" w:fill="auto"/>
            <w:vAlign w:val="center"/>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Iné</w:t>
            </w:r>
          </w:p>
        </w:tc>
      </w:tr>
      <w:tr w:rsidR="00846796" w:rsidRPr="00901D85" w:rsidTr="00846796">
        <w:trPr>
          <w:trHeight w:val="15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97</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roku výroby</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technické vybavenie PZS</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roku výroby</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R (MZ SR) 3-01 o prístrojovej technike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18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98</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zavedenia do prevádzky</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technické vybavenie PZS</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Priemerný vek prístrojov zdravotnej techniky od zavedenia do prevádzky</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menšia ako stredná hodnota (SH) indikátora za porovnávanú skupinu, znížená o štandardnú odchýlku (ŠO):</w:t>
            </w:r>
            <w:r w:rsidRPr="00901D85">
              <w:rPr>
                <w:rFonts w:ascii="Arial Narrow" w:eastAsia="Times New Roman" w:hAnsi="Arial Narrow" w:cs="Calibri"/>
                <w:color w:val="000000"/>
                <w:sz w:val="16"/>
                <w:szCs w:val="16"/>
              </w:rPr>
              <w:br/>
              <w:t>I&lt;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R (MZ SR) 3-01 o prístrojovej technike</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99</w:t>
            </w:r>
          </w:p>
        </w:tc>
        <w:tc>
          <w:tcPr>
            <w:tcW w:w="1493"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Bezpečnosť pacienta</w:t>
            </w:r>
          </w:p>
        </w:tc>
        <w:tc>
          <w:tcPr>
            <w:tcW w:w="108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ústavnú zdravotnú starostlivosť</w:t>
            </w:r>
          </w:p>
        </w:tc>
        <w:tc>
          <w:tcPr>
            <w:tcW w:w="106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Pomer počtu hospitalizácií a priemerného evidenčného počtu zdravotníckych pracovníkov v jednotlivých povolaniach </w:t>
            </w:r>
          </w:p>
        </w:tc>
        <w:tc>
          <w:tcPr>
            <w:tcW w:w="106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Hodnotí sa poskytovanie zdravotnej starostlivosti</w:t>
            </w:r>
          </w:p>
        </w:tc>
        <w:tc>
          <w:tcPr>
            <w:tcW w:w="155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Počet ukončených hospitalizácií na 1 FTE zdravotníckeho pracovníka</w:t>
            </w:r>
          </w:p>
        </w:tc>
        <w:tc>
          <w:tcPr>
            <w:tcW w:w="993"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Hodnota Indikátora (I) je väčšia ako stredná hodnota indikátora za porovnávanú skupinu vrátane štandardnej odchýlky (ŠO):</w:t>
            </w:r>
            <w:r w:rsidRPr="00901D85">
              <w:rPr>
                <w:rFonts w:ascii="Arial Narrow" w:eastAsia="Times New Roman" w:hAnsi="Arial Narrow" w:cs="Calibri"/>
                <w:color w:val="000000"/>
                <w:sz w:val="16"/>
                <w:szCs w:val="16"/>
              </w:rPr>
              <w:br/>
              <w:t>I &gt; (SH+ŠO)</w:t>
            </w:r>
          </w:p>
        </w:tc>
        <w:tc>
          <w:tcPr>
            <w:tcW w:w="1134"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 Ročný výkaz P (MZ SR) 1-01 o posteľovom fonde zdravotníckeho zariadenia (čitateľ) a Ročný výkaz M (MZ SR) 1-01 o počte a štruktúre pracovníkoch v zdravotníctve (menovateľ)</w:t>
            </w:r>
          </w:p>
        </w:tc>
        <w:tc>
          <w:tcPr>
            <w:tcW w:w="567"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bez štandardizácie</w:t>
            </w:r>
          </w:p>
        </w:tc>
        <w:tc>
          <w:tcPr>
            <w:tcW w:w="709" w:type="dxa"/>
            <w:tcBorders>
              <w:top w:val="nil"/>
              <w:left w:val="nil"/>
              <w:bottom w:val="single" w:sz="4" w:space="0" w:color="auto"/>
              <w:right w:val="single" w:sz="4" w:space="0" w:color="auto"/>
            </w:tcBorders>
            <w:shd w:val="clear" w:color="000000" w:fill="FFF2CC"/>
            <w:noWrap/>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010" w:type="dxa"/>
            <w:tcBorders>
              <w:top w:val="nil"/>
              <w:left w:val="nil"/>
              <w:bottom w:val="single" w:sz="4" w:space="0" w:color="auto"/>
              <w:right w:val="single" w:sz="4" w:space="0" w:color="auto"/>
            </w:tcBorders>
            <w:shd w:val="clear" w:color="000000" w:fill="FFF2CC"/>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IZP - Vybavenosť ZT, technika</w:t>
            </w:r>
          </w:p>
        </w:tc>
      </w:tr>
      <w:tr w:rsidR="00846796" w:rsidRPr="00901D85" w:rsidTr="00846796">
        <w:trPr>
          <w:trHeight w:val="30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100</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Vynechané konzultácie z finančných dôvodov</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nenavštívili zdravotníckeho pracovníka (napr. lekára, zdravotnú sestru alebo iného pracovníka v zdravotníctve z finančných dôvodov (t. j. skutočné priame platby za služby) k počtu respondentov prieskumu, ktorí uviedli, že v referenčnom roku mali zdravotný problém a odpovedali „Áno“ alebo „Nie“ na otázku v rámci prieskumu, či konzultáciu vynechali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6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101</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Lekárske vyšetrenie, liečba a následné sledovanie vynechané z finančných dôvodov</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vynechali lekárske vyšetrenie, liečbu (okrem liekov) alebo následné sledovanie, ktoré odporučil zdravotnícky pracovník (napr. lekár, sestra alebo nelekársky zdravotnícky personál), z finančných dôvodov (t. j. skutočné priame platby za služby) k počtu respondentov prieskumu, ktorí odpovedali „Áno“ alebo „Nie“ na otázku v rámci prieskumu, či v referenčnom roku vynechali odporúčané lekárske vyšetrenia, liečbu alebo následné sledovanie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102</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Predpísané lieky nevybrané z finančných dôvodov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si nevybrali lieky na recept alebo vynechali dávky liekov z finančných dôvodov (t. j. skutočné priame platby za služby) k počtu respondentov prieskumu, ktorí odpovedali „Áno“ alebo „Nie“ na otázku v rámci prieskumu, či v referenčnom roku vynechali užívanie predpísaného lieku z finančných dôvodov</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18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103</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Čakacia doba viac než 4 týždne na termín u špecialistu</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na termín u špecialistu čakali štyri týždne a viac k počtu respondentov prieskumu, ktorí odpovedali, že v referenčnom roku mali termín u špecialistu, a uviedli, koľko trvala čakacia doba</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1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104</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sa dostatočne dlho venuje pacientovi počas konzultácie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uviedli, že sa im lekár venoval dostatočne dlhý čas k počtu respondentov prieskumu, ktorí uviedli, že v referenčnom roku navštívili lekára a odpovedali „Áno“ alebo „Nie“ na otázku v rámci prieskumu, či sa im lekár venoval dostatočne dlhý čas</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846796" w:rsidP="00846796">
            <w:pPr>
              <w:spacing w:after="0" w:line="240" w:lineRule="auto"/>
              <w:rPr>
                <w:rFonts w:ascii="Arial Narrow" w:eastAsia="Times New Roman" w:hAnsi="Arial Narrow" w:cs="Calibri"/>
                <w:color w:val="000000"/>
                <w:sz w:val="16"/>
                <w:szCs w:val="16"/>
              </w:rPr>
            </w:pPr>
            <w:r>
              <w:rPr>
                <w:rFonts w:ascii="Arial Narrow" w:eastAsia="Times New Roman" w:hAnsi="Arial Narrow" w:cs="Calibri"/>
                <w:color w:val="000000"/>
                <w:sz w:val="16"/>
                <w:szCs w:val="16"/>
              </w:rPr>
              <w:t>Subjektí</w:t>
            </w:r>
            <w:r w:rsidR="00901D85"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105</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xml:space="preserve"> Všeobecný lekár  pre dospelých sa dostatočne dlho venuje pacientovi počas konzultácie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uviedli, že všeobecný lekár pre dospelých sa im vždy resp. často venoval dostatočne dlhý čas k počtu respondentov prieskumu, ktorí odpovedali, že v referenčnom roku navštívili všeobecného lekára pre dospelých , a uviedli frekvenciu v odpovedi na otázku v rámci prieskumu, ako často sa im všeobecný lekár pre dospelých  venoval dostatočne dlhý čas</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4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106</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vysvetľuje zdravotný problém ľahko pochopiteľným spôsobom</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im vysvetlil zdravotný problém ľahko pochopiteľným spôsobom k počtu respondentov prieskumu, ktorí uviedli, že v referenčnom roku navštívili lekára a odpovedali „Áno“ alebo „Nie“ na otázku v rámci prieskumu, či im lekár vysvetlil zdravotný problém ľahko pochopiteľným spôsobom</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0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107</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vysvetľuje zdravotný problém ľahko pochopiteľným spôsobom</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im všeobecný lekár pre dospelých vždy alebo často vysvetlí zdravotný problém ľahko pochopiteľným spôsobom k počtu respondentov prieskumu, ktorí uviedli, že v referenčnom roku navštívili všeobecného lekára pre dospelých a uviedli frekvenciu v odpovedi na otázku v rámci prieskumu, ako často im všeobecný lekár pre dospelých vysvetlil problém ľahko pochopiteľným spôsobom</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108</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necháva pacientovi priestor na otázky alebo vyjadrenie obáv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im nechal priestor na otázky alebo vyjadrenie obáv v súvislosti s odporúčanou liečbou k počtu respondentov prieskumu, ktorí uviedli, že v referenčnom roku navštívili lekára a odpovedali „Áno“ alebo „Nie“ na otázku v rámci prieskumu, či im lekár nechal priestor na otázky alebo vyjadrenie obáv v súvislosti s odporúčanou liečbou</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109</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necháva pacientovi priestor na otázky alebo vyjadrenie obáv</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všeobecný lekár pre dospelých im vždy alebo často necháva priestor na otázky alebo vyjadrenie obáv v súvislosti s odporúčanou liečbou k počtu respondentov prieskumu, ktorí uviedli, že v referenčnom roku navštívili všeobecného lekára pre dospelých, a uviedli frekvenciu v odpovedi na otázku v rámci prieskumu, ako často im všeobecný lekár pre dospelých necháva priestor na otázky alebo vyjadrenie obáv v súvislosti s odporúčanou liečbou</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27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110</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Lekár zapája pacienta do rozhodnutí o  starostlivosti a liečbe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ich zapájal do rozhodnutí o poskytovanej starostlivosti a liečbe v takej miere, v akej si želali k počtu respondentov prieskumu, ktorí uviedli, že v referenčnom roku navštívili lekára a odpovedali „Áno“ alebo „Nie“ na otázku v rámci prieskumu, či ich lekár zapájal do rozhodnutí o poskytovanej starostlivosti a liečbe v takej miere, v akej si želali</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r w:rsidR="00846796" w:rsidRPr="00901D85" w:rsidTr="00846796">
        <w:trPr>
          <w:trHeight w:val="3300"/>
        </w:trPr>
        <w:tc>
          <w:tcPr>
            <w:tcW w:w="546" w:type="dxa"/>
            <w:tcBorders>
              <w:top w:val="nil"/>
              <w:left w:val="single" w:sz="4" w:space="0" w:color="auto"/>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jc w:val="right"/>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111</w:t>
            </w:r>
          </w:p>
        </w:tc>
        <w:tc>
          <w:tcPr>
            <w:tcW w:w="14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Skúsenosti pacienta</w:t>
            </w:r>
          </w:p>
        </w:tc>
        <w:tc>
          <w:tcPr>
            <w:tcW w:w="108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Všeobecný lekár pre dospelých zapája pacienta do rozhodnutí o poskytovanej starostlivosti a liečbe</w:t>
            </w:r>
          </w:p>
        </w:tc>
        <w:tc>
          <w:tcPr>
            <w:tcW w:w="106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Poskytovateľ, ktorý poskytuje ambulantnú zdravotnú starostlivosť</w:t>
            </w:r>
          </w:p>
        </w:tc>
        <w:tc>
          <w:tcPr>
            <w:tcW w:w="1060"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Výsledky zdravotnej starostlivosti</w:t>
            </w:r>
          </w:p>
        </w:tc>
        <w:tc>
          <w:tcPr>
            <w:tcW w:w="155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Pomer počtu respondentov prieskumu z prípadov uvedených v menovateli, ktorí odpovedali, že lekár ich vždy alebo často zapájal do rozhodnutí o poskytovanej starostlivosti a liečbe v takej miere, v akej si želali k počtu respondentov prieskumu, ktorí uviedli, že v referenčnom roku navštívili všeobecného lekára pre dospelých a uviedli frekvenciu v odpovedi na otázku v rámci prieskumu, ako často ich lekár zapájal do rozhodnutí o poskytovanej starostlivosti a liečbe v takej miere, v akej si želali</w:t>
            </w:r>
          </w:p>
        </w:tc>
        <w:tc>
          <w:tcPr>
            <w:tcW w:w="993"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1 rok</w:t>
            </w:r>
          </w:p>
        </w:tc>
        <w:tc>
          <w:tcPr>
            <w:tcW w:w="481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 </w:t>
            </w:r>
          </w:p>
        </w:tc>
        <w:tc>
          <w:tcPr>
            <w:tcW w:w="1134"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NCZI</w:t>
            </w:r>
          </w:p>
        </w:tc>
        <w:tc>
          <w:tcPr>
            <w:tcW w:w="567" w:type="dxa"/>
            <w:tcBorders>
              <w:top w:val="nil"/>
              <w:left w:val="nil"/>
              <w:bottom w:val="single" w:sz="4" w:space="0" w:color="auto"/>
              <w:right w:val="single" w:sz="4" w:space="0" w:color="auto"/>
            </w:tcBorders>
            <w:shd w:val="clear" w:color="auto" w:fill="auto"/>
            <w:noWrap/>
            <w:vAlign w:val="bottom"/>
            <w:hideMark/>
          </w:tcPr>
          <w:p w:rsidR="00901D85" w:rsidRPr="00901D85" w:rsidRDefault="00901D85" w:rsidP="00901D85">
            <w:pPr>
              <w:spacing w:after="0" w:line="240" w:lineRule="auto"/>
              <w:rPr>
                <w:rFonts w:ascii="Arial Narrow" w:eastAsia="Times New Roman" w:hAnsi="Arial Narrow" w:cs="Arial"/>
                <w:color w:val="000000"/>
                <w:sz w:val="16"/>
                <w:szCs w:val="16"/>
              </w:rPr>
            </w:pPr>
            <w:r w:rsidRPr="00901D85">
              <w:rPr>
                <w:rFonts w:ascii="Arial Narrow" w:eastAsia="Times New Roman" w:hAnsi="Arial Narrow" w:cs="Arial"/>
                <w:color w:val="000000"/>
                <w:sz w:val="16"/>
                <w:szCs w:val="16"/>
              </w:rPr>
              <w:t> </w:t>
            </w:r>
          </w:p>
        </w:tc>
        <w:tc>
          <w:tcPr>
            <w:tcW w:w="709" w:type="dxa"/>
            <w:tcBorders>
              <w:top w:val="nil"/>
              <w:left w:val="nil"/>
              <w:bottom w:val="single" w:sz="4" w:space="0" w:color="auto"/>
              <w:right w:val="single" w:sz="4" w:space="0" w:color="auto"/>
            </w:tcBorders>
            <w:shd w:val="clear" w:color="000000" w:fill="D9E1F2"/>
            <w:vAlign w:val="center"/>
            <w:hideMark/>
          </w:tcPr>
          <w:p w:rsidR="00901D85" w:rsidRPr="00901D85" w:rsidRDefault="00901D85" w:rsidP="00901D85">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Dáta za rok /spracované v roku: 2019/2020</w:t>
            </w:r>
          </w:p>
        </w:tc>
        <w:tc>
          <w:tcPr>
            <w:tcW w:w="1010" w:type="dxa"/>
            <w:tcBorders>
              <w:top w:val="nil"/>
              <w:left w:val="nil"/>
              <w:bottom w:val="single" w:sz="4" w:space="0" w:color="auto"/>
              <w:right w:val="single" w:sz="4" w:space="0" w:color="auto"/>
            </w:tcBorders>
            <w:shd w:val="clear" w:color="000000" w:fill="D9E1F2"/>
            <w:noWrap/>
            <w:vAlign w:val="center"/>
            <w:hideMark/>
          </w:tcPr>
          <w:p w:rsidR="00901D85" w:rsidRPr="00901D85" w:rsidRDefault="00901D85" w:rsidP="00846796">
            <w:pPr>
              <w:spacing w:after="0" w:line="240" w:lineRule="auto"/>
              <w:rPr>
                <w:rFonts w:ascii="Arial Narrow" w:eastAsia="Times New Roman" w:hAnsi="Arial Narrow" w:cs="Calibri"/>
                <w:color w:val="000000"/>
                <w:sz w:val="16"/>
                <w:szCs w:val="16"/>
              </w:rPr>
            </w:pPr>
            <w:r w:rsidRPr="00901D85">
              <w:rPr>
                <w:rFonts w:ascii="Arial Narrow" w:eastAsia="Times New Roman" w:hAnsi="Arial Narrow" w:cs="Calibri"/>
                <w:color w:val="000000"/>
                <w:sz w:val="16"/>
                <w:szCs w:val="16"/>
              </w:rPr>
              <w:t>Subjekt</w:t>
            </w:r>
            <w:r w:rsidR="00846796">
              <w:rPr>
                <w:rFonts w:ascii="Arial Narrow" w:eastAsia="Times New Roman" w:hAnsi="Arial Narrow" w:cs="Calibri"/>
                <w:color w:val="000000"/>
                <w:sz w:val="16"/>
                <w:szCs w:val="16"/>
              </w:rPr>
              <w:t>í</w:t>
            </w:r>
            <w:r w:rsidRPr="00901D85">
              <w:rPr>
                <w:rFonts w:ascii="Arial Narrow" w:eastAsia="Times New Roman" w:hAnsi="Arial Narrow" w:cs="Calibri"/>
                <w:color w:val="000000"/>
                <w:sz w:val="16"/>
                <w:szCs w:val="16"/>
              </w:rPr>
              <w:t>vne hodnotenie</w:t>
            </w:r>
          </w:p>
        </w:tc>
      </w:tr>
    </w:tbl>
    <w:p w:rsidR="00901D85" w:rsidRPr="00901D85" w:rsidRDefault="00901D85" w:rsidP="00901D85">
      <w:pPr>
        <w:jc w:val="right"/>
        <w:rPr>
          <w:rFonts w:ascii="&amp;quot" w:hAnsi="&amp;quot"/>
          <w:sz w:val="21"/>
          <w:szCs w:val="21"/>
        </w:rPr>
      </w:pPr>
    </w:p>
    <w:sectPr w:rsidR="00901D85" w:rsidRPr="00901D85" w:rsidSect="00901D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mp;quo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62E"/>
    <w:multiLevelType w:val="hybridMultilevel"/>
    <w:tmpl w:val="B22EFEDA"/>
    <w:lvl w:ilvl="0" w:tplc="7FC62D0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35A77C5C"/>
    <w:multiLevelType w:val="hybridMultilevel"/>
    <w:tmpl w:val="6E36AAF8"/>
    <w:lvl w:ilvl="0" w:tplc="C9265ED8">
      <w:start w:val="1"/>
      <w:numFmt w:val="decimal"/>
      <w:lvlText w:val="%1."/>
      <w:lvlJc w:val="left"/>
      <w:pPr>
        <w:ind w:left="720" w:hanging="360"/>
      </w:pPr>
      <w:rPr>
        <w:b/>
      </w:rPr>
    </w:lvl>
    <w:lvl w:ilvl="1" w:tplc="04090019">
      <w:start w:val="1"/>
      <w:numFmt w:val="lowerLetter"/>
      <w:lvlText w:val="%2."/>
      <w:lvlJc w:val="left"/>
      <w:pPr>
        <w:ind w:left="1440" w:hanging="360"/>
      </w:pPr>
    </w:lvl>
    <w:lvl w:ilvl="2" w:tplc="8B5EFAA4">
      <w:start w:val="1"/>
      <w:numFmt w:val="decimal"/>
      <w:lvlText w:val="%3."/>
      <w:lvlJc w:val="right"/>
      <w:pPr>
        <w:ind w:left="2160" w:hanging="180"/>
      </w:pPr>
      <w:rPr>
        <w:rFonts w:ascii="Arial Narrow" w:eastAsiaTheme="minorEastAsia" w:hAnsi="Arial Narrow"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15BB"/>
    <w:multiLevelType w:val="hybridMultilevel"/>
    <w:tmpl w:val="5366E25C"/>
    <w:lvl w:ilvl="0" w:tplc="82E4F8B8">
      <w:start w:val="1"/>
      <w:numFmt w:val="decimal"/>
      <w:lvlText w:val="%1."/>
      <w:lvlJc w:val="left"/>
      <w:pPr>
        <w:ind w:left="720" w:hanging="360"/>
      </w:pPr>
      <w:rPr>
        <w:rFonts w:ascii="Arial Narrow" w:eastAsiaTheme="minorEastAsia" w:hAnsi="Arial Narrow" w:cs="Times New Roman"/>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A502BB9"/>
    <w:multiLevelType w:val="hybridMultilevel"/>
    <w:tmpl w:val="D33405F8"/>
    <w:lvl w:ilvl="0" w:tplc="AC2822F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9337B8"/>
    <w:multiLevelType w:val="hybridMultilevel"/>
    <w:tmpl w:val="A98CECAE"/>
    <w:lvl w:ilvl="0" w:tplc="E21A883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BCC514D"/>
    <w:multiLevelType w:val="hybridMultilevel"/>
    <w:tmpl w:val="E50EE0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21"/>
    <w:rsid w:val="001A6C73"/>
    <w:rsid w:val="005035CA"/>
    <w:rsid w:val="00534A0E"/>
    <w:rsid w:val="007A3121"/>
    <w:rsid w:val="00846796"/>
    <w:rsid w:val="00901D85"/>
    <w:rsid w:val="00AE4B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D44A0-11E0-493E-8983-60FE9B27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121"/>
    <w:pPr>
      <w:spacing w:after="200" w:line="276" w:lineRule="auto"/>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qFormat/>
    <w:rsid w:val="007A3121"/>
    <w:pPr>
      <w:ind w:left="720"/>
      <w:contextualSpacing/>
    </w:pPr>
  </w:style>
  <w:style w:type="character" w:customStyle="1" w:styleId="OdsekzoznamuChar">
    <w:name w:val="Odsek zoznamu Char"/>
    <w:aliases w:val="body Char,Odsek zoznamu2 Char,Odsek Char,Odsek zoznamu1 Char,List Paragraph Char,List Paragraph1 Char"/>
    <w:link w:val="Odsekzoznamu"/>
    <w:qFormat/>
    <w:locked/>
    <w:rsid w:val="007A3121"/>
    <w:rPr>
      <w:rFonts w:eastAsiaTheme="minorEastAsia" w:cs="Times New Roman"/>
      <w:lang w:eastAsia="sk-SK"/>
    </w:rPr>
  </w:style>
  <w:style w:type="table" w:styleId="Mriekatabuky">
    <w:name w:val="Table Grid"/>
    <w:basedOn w:val="Normlnatabuka"/>
    <w:uiPriority w:val="39"/>
    <w:rsid w:val="007A3121"/>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A3121"/>
    <w:rPr>
      <w:rFonts w:cs="Times New Roman"/>
      <w:color w:val="0000FF"/>
      <w:u w:val="single"/>
    </w:rPr>
  </w:style>
  <w:style w:type="paragraph" w:customStyle="1" w:styleId="Default">
    <w:name w:val="Default"/>
    <w:rsid w:val="007A3121"/>
    <w:pPr>
      <w:autoSpaceDE w:val="0"/>
      <w:autoSpaceDN w:val="0"/>
      <w:adjustRightInd w:val="0"/>
      <w:spacing w:after="0" w:line="240" w:lineRule="auto"/>
    </w:pPr>
    <w:rPr>
      <w:rFonts w:ascii="Times New Roman" w:hAnsi="Times New Roman" w:cs="Times New Roman"/>
      <w:color w:val="000000"/>
      <w:sz w:val="24"/>
      <w:szCs w:val="24"/>
    </w:rPr>
  </w:style>
  <w:style w:type="paragraph" w:styleId="Obyajntext">
    <w:name w:val="Plain Text"/>
    <w:basedOn w:val="Normlny"/>
    <w:link w:val="ObyajntextChar"/>
    <w:uiPriority w:val="99"/>
    <w:unhideWhenUsed/>
    <w:rsid w:val="007A3121"/>
    <w:pPr>
      <w:spacing w:after="0" w:line="240" w:lineRule="auto"/>
      <w:jc w:val="both"/>
    </w:pPr>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31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4345">
      <w:bodyDiv w:val="1"/>
      <w:marLeft w:val="0"/>
      <w:marRight w:val="0"/>
      <w:marTop w:val="0"/>
      <w:marBottom w:val="0"/>
      <w:divBdr>
        <w:top w:val="none" w:sz="0" w:space="0" w:color="auto"/>
        <w:left w:val="none" w:sz="0" w:space="0" w:color="auto"/>
        <w:bottom w:val="none" w:sz="0" w:space="0" w:color="auto"/>
        <w:right w:val="none" w:sz="0" w:space="0" w:color="auto"/>
      </w:divBdr>
      <w:divsChild>
        <w:div w:id="2073847754">
          <w:marLeft w:val="0"/>
          <w:marRight w:val="0"/>
          <w:marTop w:val="0"/>
          <w:marBottom w:val="240"/>
          <w:divBdr>
            <w:top w:val="none" w:sz="0" w:space="0" w:color="auto"/>
            <w:left w:val="none" w:sz="0" w:space="0" w:color="auto"/>
            <w:bottom w:val="none" w:sz="0" w:space="0" w:color="auto"/>
            <w:right w:val="none" w:sz="0" w:space="0" w:color="auto"/>
          </w:divBdr>
        </w:div>
        <w:div w:id="1702852825">
          <w:marLeft w:val="0"/>
          <w:marRight w:val="0"/>
          <w:marTop w:val="0"/>
          <w:marBottom w:val="300"/>
          <w:divBdr>
            <w:top w:val="none" w:sz="0" w:space="0" w:color="auto"/>
            <w:left w:val="none" w:sz="0" w:space="0" w:color="auto"/>
            <w:bottom w:val="single" w:sz="6" w:space="8" w:color="EFEFEF"/>
            <w:right w:val="none" w:sz="0" w:space="0" w:color="auto"/>
          </w:divBdr>
        </w:div>
        <w:div w:id="421217535">
          <w:marLeft w:val="75"/>
          <w:marRight w:val="0"/>
          <w:marTop w:val="75"/>
          <w:marBottom w:val="0"/>
          <w:divBdr>
            <w:top w:val="none" w:sz="0" w:space="0" w:color="auto"/>
            <w:left w:val="none" w:sz="0" w:space="0" w:color="auto"/>
            <w:bottom w:val="none" w:sz="0" w:space="0" w:color="auto"/>
            <w:right w:val="none" w:sz="0" w:space="0" w:color="auto"/>
          </w:divBdr>
          <w:divsChild>
            <w:div w:id="1338268462">
              <w:marLeft w:val="0"/>
              <w:marRight w:val="75"/>
              <w:marTop w:val="0"/>
              <w:marBottom w:val="0"/>
              <w:divBdr>
                <w:top w:val="none" w:sz="0" w:space="0" w:color="auto"/>
                <w:left w:val="none" w:sz="0" w:space="0" w:color="auto"/>
                <w:bottom w:val="none" w:sz="0" w:space="0" w:color="auto"/>
                <w:right w:val="none" w:sz="0" w:space="0" w:color="auto"/>
              </w:divBdr>
            </w:div>
            <w:div w:id="287246671">
              <w:marLeft w:val="75"/>
              <w:marRight w:val="0"/>
              <w:marTop w:val="75"/>
              <w:marBottom w:val="0"/>
              <w:divBdr>
                <w:top w:val="none" w:sz="0" w:space="0" w:color="auto"/>
                <w:left w:val="none" w:sz="0" w:space="0" w:color="auto"/>
                <w:bottom w:val="none" w:sz="0" w:space="0" w:color="auto"/>
                <w:right w:val="none" w:sz="0" w:space="0" w:color="auto"/>
              </w:divBdr>
            </w:div>
          </w:divsChild>
        </w:div>
        <w:div w:id="1407417683">
          <w:marLeft w:val="75"/>
          <w:marRight w:val="0"/>
          <w:marTop w:val="75"/>
          <w:marBottom w:val="0"/>
          <w:divBdr>
            <w:top w:val="none" w:sz="0" w:space="0" w:color="auto"/>
            <w:left w:val="none" w:sz="0" w:space="0" w:color="auto"/>
            <w:bottom w:val="none" w:sz="0" w:space="0" w:color="auto"/>
            <w:right w:val="none" w:sz="0" w:space="0" w:color="auto"/>
          </w:divBdr>
          <w:divsChild>
            <w:div w:id="34433841">
              <w:marLeft w:val="0"/>
              <w:marRight w:val="75"/>
              <w:marTop w:val="0"/>
              <w:marBottom w:val="0"/>
              <w:divBdr>
                <w:top w:val="none" w:sz="0" w:space="0" w:color="auto"/>
                <w:left w:val="none" w:sz="0" w:space="0" w:color="auto"/>
                <w:bottom w:val="none" w:sz="0" w:space="0" w:color="auto"/>
                <w:right w:val="none" w:sz="0" w:space="0" w:color="auto"/>
              </w:divBdr>
            </w:div>
            <w:div w:id="188541009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140981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P_indikatory_kvality"/>
    <f:field ref="objsubject" par="" edit="true" text=""/>
    <f:field ref="objcreatedby" par="" text="Szakácsová, Zuzana, Mgr."/>
    <f:field ref="objcreatedat" par="" text="4.6.2019 16:32:55"/>
    <f:field ref="objchangedby" par="" text="Administrator, System"/>
    <f:field ref="objmodifiedat" par="" text="4.6.2019 16:32: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16372</Words>
  <Characters>93327</Characters>
  <DocSecurity>0</DocSecurity>
  <Lines>777</Lines>
  <Paragraphs>218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2019-06-03T23:14:00Z</dcterms:created>
  <dcterms:modified xsi:type="dcterms:W3CDTF">2019-06-04T13:39:00Z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aktualnyrok" pid="4" fmtid="{D5CDD505-2E9C-101B-9397-08002B2CF9AE}">
    <vt:lpwstr>2019</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Zuzana Szakácsová</vt:lpwstr>
  </property>
  <property name="FSC#SKEDITIONSLOVLEX@103.510:zodppredkladatel" pid="12" fmtid="{D5CDD505-2E9C-101B-9397-08002B2CF9AE}">
    <vt:lpwstr>doc. MUDr. Andrea Kalavská</vt:lpwstr>
  </property>
  <property name="FSC#SKEDITIONSLOVLEX@103.510:dalsipredkladatel" pid="13" fmtid="{D5CDD505-2E9C-101B-9397-08002B2CF9AE}">
    <vt:lpwstr/>
  </property>
  <property name="FSC#SKEDITIONSLOVLEX@103.510:nazovpredpis" pid="14"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SR na rok 2019</vt:lpwstr>
  </property>
  <property name="FSC#SKEDITIONSLOVLEX@103.510:plnynazovpredpis" pid="23"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S06794-2019-OL</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LP/2019/453</vt:lpwstr>
  </property>
  <property name="FSC#SKEDITIONSLOVLEX@103.510:typsprievdok" pid="37" fmtid="{D5CDD505-2E9C-101B-9397-08002B2CF9AE}">
    <vt:lpwstr>Návrh vykonávacích predpisov</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upravený v práve Európskej únie</vt:lpwstr>
  </property>
  <property name="FSC#SKEDITIONSLOVLEX@103.510:AttrStrListDocPropPrimarnePravoEU" pid="46" fmtid="{D5CDD505-2E9C-101B-9397-08002B2CF9AE}">
    <vt:lpwstr>nie je</vt:lpwstr>
  </property>
  <property name="FSC#SKEDITIONSLOVLEX@103.510:AttrStrListDocPropSekundarneLegPravoPO" pid="47"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mie je</vt:lpwstr>
  </property>
  <property name="FSC#SKEDITIONSLOVLEX@103.510:AttrStrListDocPropLehotaPrebratieSmernice" pid="52" fmtid="{D5CDD505-2E9C-101B-9397-08002B2CF9AE}">
    <vt:lpwstr>Smernica prebratá do zákona č. 87/2018 Z. z. o radiačnej ochrane a o zmene a doplnení niektorých zákonov</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nezačalo</vt:lpwstr>
  </property>
  <property name="FSC#SKEDITIONSLOVLEX@103.510:AttrStrListDocPropInfoUzPreberanePP" pid="55" fmtid="{D5CDD505-2E9C-101B-9397-08002B2CF9AE}">
    <vt:lpwstr>- zákon č. 87/2018 Z. z. o radiačnej ochrane a o zmene a doplnení niektorých zákonov_x000d__x000a_</vt:lpwstr>
  </property>
  <property name="FSC#SKEDITIONSLOVLEX@103.510:AttrStrListDocPropStupenZlucitelnostiPP" pid="56" fmtid="{D5CDD505-2E9C-101B-9397-08002B2CF9AE}">
    <vt:lpwstr>úplne</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Negatívne</vt:lpwstr>
  </property>
  <property name="FSC#SKEDITIONSLOVLEX@103.510:AttrStrListDocPropPoznamkaVplyv" pid="65"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6"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7"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republiky_x000d__x000a_Ministerka zdravotníctva</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hlavnému štátnemu radcovi</vt:lpwstr>
  </property>
  <property name="FSC#SKEDITIONSLOVLEX@103.510:funkciaPredDativ" pid="140" fmtid="{D5CDD505-2E9C-101B-9397-08002B2CF9AE}">
    <vt:lpwstr>hlavného štátneho radcu</vt:lpwstr>
  </property>
  <property name="FSC#SKEDITIONSLOVLEX@103.510:funkciaZodpPred" pid="141" fmtid="{D5CDD505-2E9C-101B-9397-08002B2CF9AE}">
    <vt:lpwstr>Ministerka zdravotníctva</vt:lpwstr>
  </property>
  <property name="FSC#SKEDITIONSLOVLEX@103.510:funkciaZodpPredAkuzativ" pid="142" fmtid="{D5CDD505-2E9C-101B-9397-08002B2CF9AE}">
    <vt:lpwstr>Ministerky zdravotníctva</vt:lpwstr>
  </property>
  <property name="FSC#SKEDITIONSLOVLEX@103.510:funkciaZodpPredDativ" pid="143" fmtid="{D5CDD505-2E9C-101B-9397-08002B2CF9AE}">
    <vt:lpwstr>Ministerke zdravotníctva</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doc. MUDr. Andrea Kalavská_x000d__x000a_Ministerka zdravotníctva</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SKEDITIONSLOVLEX@103.510:vytvorenedna" pid="150" fmtid="{D5CDD505-2E9C-101B-9397-08002B2CF9AE}">
    <vt:lpwstr>4. 6. 2019</vt:lpwstr>
  </property>
  <property name="FSC#COOSYSTEM@1.1:Container" pid="151" fmtid="{D5CDD505-2E9C-101B-9397-08002B2CF9AE}">
    <vt:lpwstr>COO.2145.1000.3.3409838</vt:lpwstr>
  </property>
  <property name="FSC#FSCFOLIO@1.1001:docpropproject" pid="152" fmtid="{D5CDD505-2E9C-101B-9397-08002B2CF9AE}">
    <vt:lpwstr/>
  </property>
</Properties>
</file>