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31" w:rsidRPr="00D44831" w:rsidRDefault="00D44831" w:rsidP="00D44831">
      <w:pPr>
        <w:widowControl w:val="0"/>
        <w:autoSpaceDE w:val="0"/>
        <w:autoSpaceDN w:val="0"/>
        <w:adjustRightInd w:val="0"/>
        <w:spacing w:after="0" w:line="240" w:lineRule="auto"/>
        <w:jc w:val="center"/>
        <w:rPr>
          <w:rFonts w:ascii="Arial Narrow" w:hAnsi="Arial Narrow"/>
          <w:b/>
          <w:bCs/>
          <w:highlight w:val="red"/>
        </w:rPr>
      </w:pPr>
      <w:r w:rsidRPr="00D44831">
        <w:rPr>
          <w:rFonts w:ascii="Arial Narrow" w:hAnsi="Arial Narrow"/>
          <w:b/>
          <w:bCs/>
          <w:highlight w:val="red"/>
        </w:rPr>
        <w:t>Informatívny návrh vykonávacieho predpisu,</w:t>
      </w:r>
    </w:p>
    <w:p w:rsidR="00D44831" w:rsidRPr="00D44831" w:rsidRDefault="00D44831" w:rsidP="00D44831">
      <w:pPr>
        <w:widowControl w:val="0"/>
        <w:autoSpaceDE w:val="0"/>
        <w:autoSpaceDN w:val="0"/>
        <w:adjustRightInd w:val="0"/>
        <w:spacing w:after="0" w:line="240" w:lineRule="auto"/>
        <w:jc w:val="center"/>
        <w:rPr>
          <w:rFonts w:ascii="Arial Narrow" w:hAnsi="Arial Narrow"/>
          <w:b/>
          <w:bCs/>
        </w:rPr>
      </w:pPr>
      <w:r w:rsidRPr="00D44831">
        <w:rPr>
          <w:rFonts w:ascii="Arial Narrow" w:hAnsi="Arial Narrow"/>
          <w:b/>
          <w:bCs/>
          <w:highlight w:val="red"/>
        </w:rPr>
        <w:t>vykonávací predpis bude mať vlastné legislatívne konanie</w:t>
      </w:r>
    </w:p>
    <w:p w:rsidR="00D44831" w:rsidRPr="00D44831" w:rsidRDefault="00D44831" w:rsidP="00D44831">
      <w:pPr>
        <w:spacing w:after="0" w:line="240" w:lineRule="auto"/>
        <w:jc w:val="center"/>
        <w:rPr>
          <w:rFonts w:ascii="Arial Narrow" w:hAnsi="Arial Narrow"/>
          <w:b/>
          <w:color w:val="000000" w:themeColor="text1"/>
        </w:rPr>
      </w:pPr>
      <w:r w:rsidRPr="00D44831">
        <w:rPr>
          <w:rFonts w:ascii="Arial Narrow" w:hAnsi="Arial Narrow"/>
          <w:b/>
          <w:color w:val="000000" w:themeColor="text1"/>
        </w:rPr>
        <w:t xml:space="preserve"> </w:t>
      </w:r>
    </w:p>
    <w:p w:rsidR="00D44831" w:rsidRPr="00D44831" w:rsidRDefault="00D44831" w:rsidP="00D44831">
      <w:pPr>
        <w:spacing w:after="0" w:line="240" w:lineRule="auto"/>
        <w:jc w:val="center"/>
        <w:rPr>
          <w:rFonts w:ascii="Arial Narrow" w:hAnsi="Arial Narrow"/>
          <w:b/>
          <w:bCs/>
        </w:rPr>
      </w:pPr>
      <w:r w:rsidRPr="00D44831">
        <w:rPr>
          <w:rFonts w:ascii="Arial Narrow" w:hAnsi="Arial Narrow"/>
          <w:b/>
          <w:bCs/>
        </w:rPr>
        <w:t>Návrh</w:t>
      </w:r>
    </w:p>
    <w:p w:rsidR="00D44831" w:rsidRPr="00D44831" w:rsidRDefault="00D44831" w:rsidP="00D44831">
      <w:pPr>
        <w:spacing w:after="0" w:line="240" w:lineRule="auto"/>
        <w:jc w:val="center"/>
        <w:rPr>
          <w:rFonts w:ascii="Arial Narrow" w:hAnsi="Arial Narrow"/>
          <w:b/>
          <w:bCs/>
        </w:rPr>
      </w:pPr>
    </w:p>
    <w:p w:rsidR="00D44831" w:rsidRDefault="00D44831" w:rsidP="00D44831">
      <w:pPr>
        <w:spacing w:after="0" w:line="240" w:lineRule="auto"/>
        <w:jc w:val="center"/>
        <w:rPr>
          <w:rFonts w:ascii="Arial Narrow" w:hAnsi="Arial Narrow"/>
          <w:b/>
          <w:bCs/>
        </w:rPr>
      </w:pPr>
      <w:r w:rsidRPr="00D44831">
        <w:rPr>
          <w:rFonts w:ascii="Arial Narrow" w:hAnsi="Arial Narrow"/>
          <w:b/>
          <w:bCs/>
        </w:rPr>
        <w:t>VYHLÁŠKA</w:t>
      </w:r>
    </w:p>
    <w:p w:rsidR="00D44831" w:rsidRPr="00D44831" w:rsidRDefault="00D44831" w:rsidP="00D44831">
      <w:pPr>
        <w:spacing w:after="0" w:line="240" w:lineRule="auto"/>
        <w:jc w:val="center"/>
        <w:rPr>
          <w:rFonts w:ascii="Arial Narrow" w:hAnsi="Arial Narrow"/>
          <w:b/>
          <w:bCs/>
        </w:rPr>
      </w:pPr>
      <w:r>
        <w:rPr>
          <w:rFonts w:ascii="Arial Narrow" w:hAnsi="Arial Narrow"/>
          <w:b/>
          <w:bCs/>
        </w:rPr>
        <w:t>Ministerstva zdravotníctva Slovenskej republiky</w:t>
      </w:r>
    </w:p>
    <w:p w:rsidR="00D44831" w:rsidRPr="00D44831" w:rsidRDefault="00D44831" w:rsidP="00D44831">
      <w:pPr>
        <w:spacing w:after="0" w:line="240" w:lineRule="auto"/>
        <w:jc w:val="center"/>
        <w:rPr>
          <w:rFonts w:ascii="Arial Narrow" w:hAnsi="Arial Narrow"/>
          <w:b/>
          <w:bCs/>
        </w:rPr>
      </w:pPr>
    </w:p>
    <w:p w:rsidR="00D44831" w:rsidRPr="00D44831" w:rsidRDefault="00D44831" w:rsidP="00D44831">
      <w:pPr>
        <w:spacing w:after="0" w:line="240" w:lineRule="auto"/>
        <w:jc w:val="center"/>
        <w:rPr>
          <w:rFonts w:ascii="Arial Narrow" w:hAnsi="Arial Narrow"/>
          <w:b/>
          <w:bCs/>
        </w:rPr>
      </w:pPr>
      <w:r w:rsidRPr="00D44831">
        <w:rPr>
          <w:rFonts w:ascii="Arial Narrow" w:hAnsi="Arial Narrow"/>
          <w:b/>
          <w:bCs/>
        </w:rPr>
        <w:t>č. .../2019 Z. z.,</w:t>
      </w:r>
    </w:p>
    <w:p w:rsidR="00D44831" w:rsidRPr="00D44831" w:rsidRDefault="00D44831" w:rsidP="00D44831">
      <w:pPr>
        <w:spacing w:after="0" w:line="240" w:lineRule="auto"/>
        <w:jc w:val="center"/>
        <w:rPr>
          <w:rFonts w:ascii="Arial Narrow" w:hAnsi="Arial Narrow"/>
          <w:b/>
          <w:bCs/>
        </w:rPr>
      </w:pPr>
    </w:p>
    <w:p w:rsidR="00D44831" w:rsidRPr="00D44831" w:rsidRDefault="00D44831" w:rsidP="00D44831">
      <w:pPr>
        <w:spacing w:after="0" w:line="240" w:lineRule="auto"/>
        <w:jc w:val="center"/>
        <w:rPr>
          <w:rFonts w:ascii="Arial Narrow" w:hAnsi="Arial Narrow"/>
          <w:b/>
          <w:bCs/>
        </w:rPr>
      </w:pPr>
      <w:r w:rsidRPr="00D44831">
        <w:rPr>
          <w:rFonts w:ascii="Arial Narrow" w:hAnsi="Arial Narrow"/>
          <w:b/>
          <w:bCs/>
        </w:rPr>
        <w:t xml:space="preserve"> ktorou sa </w:t>
      </w:r>
      <w:r w:rsidRPr="00D44831">
        <w:rPr>
          <w:rFonts w:ascii="Arial Narrow" w:hAnsi="Arial Narrow"/>
          <w:b/>
          <w:bCs/>
        </w:rPr>
        <w:t>vydávajú minimálne počty zdravotných výkonov v skupinách zdravotných výkonov</w:t>
      </w:r>
    </w:p>
    <w:p w:rsidR="00D44831" w:rsidRPr="00D44831" w:rsidRDefault="00D44831" w:rsidP="00D44831">
      <w:pPr>
        <w:spacing w:after="0" w:line="240" w:lineRule="auto"/>
        <w:jc w:val="center"/>
        <w:rPr>
          <w:rFonts w:ascii="Arial Narrow" w:hAnsi="Arial Narrow"/>
          <w:b/>
          <w:bCs/>
        </w:rPr>
      </w:pPr>
    </w:p>
    <w:p w:rsidR="00D44831" w:rsidRPr="00D44831" w:rsidRDefault="00D44831" w:rsidP="00D44831">
      <w:pPr>
        <w:spacing w:after="0" w:line="240" w:lineRule="auto"/>
        <w:jc w:val="both"/>
        <w:rPr>
          <w:rFonts w:ascii="Arial Narrow" w:hAnsi="Arial Narrow"/>
          <w:b/>
          <w:bCs/>
        </w:rPr>
      </w:pPr>
      <w:r w:rsidRPr="00D44831">
        <w:rPr>
          <w:rFonts w:ascii="Arial Narrow" w:hAnsi="Arial Narrow"/>
          <w:b/>
          <w:bCs/>
        </w:rPr>
        <w:t xml:space="preserve">Ministerstvo zdravotníctva Slovenskej republiky podľa </w:t>
      </w:r>
      <w:r w:rsidRPr="00D44831">
        <w:rPr>
          <w:rFonts w:ascii="Arial Narrow" w:hAnsi="Arial Narrow"/>
          <w:b/>
          <w:color w:val="000000" w:themeColor="text1"/>
        </w:rPr>
        <w:t xml:space="preserve">§ 7 ods. </w:t>
      </w:r>
      <w:r w:rsidRPr="00D44831">
        <w:rPr>
          <w:rFonts w:ascii="Arial Narrow" w:hAnsi="Arial Narrow"/>
          <w:b/>
          <w:color w:val="000000" w:themeColor="text1"/>
        </w:rPr>
        <w:t>6</w:t>
      </w:r>
      <w:r w:rsidRPr="00D44831">
        <w:rPr>
          <w:rFonts w:ascii="Arial Narrow" w:hAnsi="Arial Narrow"/>
          <w:b/>
          <w:color w:val="000000" w:themeColor="text1"/>
        </w:rPr>
        <w:t xml:space="preserve"> zákona č. 581/2004 Z. z. o zdravotných poisťovniach, dohľade nad zdravotnou starostlivosťou a o zmene a doplnení niektorých zákonov v znení neskorších predpisov </w:t>
      </w:r>
      <w:r w:rsidRPr="00D44831">
        <w:rPr>
          <w:rFonts w:ascii="Arial Narrow" w:hAnsi="Arial Narrow"/>
          <w:b/>
          <w:bCs/>
        </w:rPr>
        <w:t>ustanovuje:</w:t>
      </w:r>
    </w:p>
    <w:p w:rsidR="00D44831" w:rsidRPr="00D44831" w:rsidRDefault="00D44831" w:rsidP="00D44831">
      <w:pPr>
        <w:spacing w:after="0" w:line="240" w:lineRule="auto"/>
        <w:jc w:val="both"/>
        <w:rPr>
          <w:rFonts w:ascii="Arial Narrow" w:hAnsi="Arial Narrow"/>
          <w:bCs/>
        </w:rPr>
      </w:pPr>
    </w:p>
    <w:p w:rsidR="00D44831" w:rsidRPr="00D44831" w:rsidRDefault="00D44831" w:rsidP="00D44831">
      <w:pPr>
        <w:spacing w:after="0" w:line="240" w:lineRule="auto"/>
        <w:jc w:val="center"/>
        <w:rPr>
          <w:rFonts w:ascii="Arial Narrow" w:hAnsi="Arial Narrow"/>
          <w:color w:val="000000" w:themeColor="text1"/>
        </w:rPr>
      </w:pPr>
      <w:r w:rsidRPr="00D44831">
        <w:rPr>
          <w:rFonts w:ascii="Arial Narrow" w:hAnsi="Arial Narrow"/>
          <w:color w:val="000000" w:themeColor="text1"/>
        </w:rPr>
        <w:t>§ 1</w:t>
      </w:r>
    </w:p>
    <w:p w:rsidR="00D44831" w:rsidRPr="00D44831" w:rsidRDefault="00D44831" w:rsidP="00D44831">
      <w:pPr>
        <w:pStyle w:val="Odsekzoznamu"/>
        <w:spacing w:after="0" w:line="240" w:lineRule="auto"/>
        <w:jc w:val="both"/>
        <w:rPr>
          <w:rFonts w:ascii="Arial Narrow" w:hAnsi="Arial Narrow"/>
          <w:color w:val="000000" w:themeColor="text1"/>
        </w:rPr>
      </w:pPr>
    </w:p>
    <w:p w:rsidR="003343D3" w:rsidRDefault="003343D3" w:rsidP="003343D3">
      <w:pPr>
        <w:pStyle w:val="Odsekzoznamu"/>
        <w:numPr>
          <w:ilvl w:val="0"/>
          <w:numId w:val="1"/>
        </w:numPr>
        <w:tabs>
          <w:tab w:val="left" w:pos="709"/>
        </w:tabs>
        <w:spacing w:after="0" w:line="240" w:lineRule="auto"/>
        <w:ind w:left="0" w:firstLine="426"/>
        <w:jc w:val="both"/>
        <w:rPr>
          <w:rFonts w:ascii="Arial Narrow" w:hAnsi="Arial Narrow"/>
          <w:color w:val="000000" w:themeColor="text1"/>
        </w:rPr>
      </w:pPr>
      <w:r>
        <w:rPr>
          <w:rFonts w:ascii="Arial Narrow" w:hAnsi="Arial Narrow"/>
          <w:color w:val="000000" w:themeColor="text1"/>
        </w:rPr>
        <w:t>M</w:t>
      </w:r>
      <w:r w:rsidR="00D44831" w:rsidRPr="00D44831">
        <w:rPr>
          <w:rFonts w:ascii="Arial Narrow" w:hAnsi="Arial Narrow"/>
          <w:color w:val="000000" w:themeColor="text1"/>
        </w:rPr>
        <w:t>inimálne počty zdravotných výkonov v skupinách zdravotných výkonov</w:t>
      </w:r>
      <w:r>
        <w:rPr>
          <w:rFonts w:ascii="Arial Narrow" w:hAnsi="Arial Narrow"/>
          <w:color w:val="000000" w:themeColor="text1"/>
        </w:rPr>
        <w:t xml:space="preserve"> </w:t>
      </w:r>
      <w:r w:rsidR="00D44831" w:rsidRPr="003343D3">
        <w:rPr>
          <w:rFonts w:ascii="Arial Narrow" w:hAnsi="Arial Narrow"/>
          <w:color w:val="000000" w:themeColor="text1"/>
        </w:rPr>
        <w:t xml:space="preserve">sú uvedené v prílohe č. </w:t>
      </w:r>
      <w:r>
        <w:rPr>
          <w:rFonts w:ascii="Arial Narrow" w:hAnsi="Arial Narrow"/>
          <w:color w:val="000000" w:themeColor="text1"/>
        </w:rPr>
        <w:t>1</w:t>
      </w:r>
      <w:r w:rsidR="00D44831" w:rsidRPr="003343D3">
        <w:rPr>
          <w:rFonts w:ascii="Arial Narrow" w:hAnsi="Arial Narrow"/>
          <w:color w:val="000000" w:themeColor="text1"/>
        </w:rPr>
        <w:t xml:space="preserve">. </w:t>
      </w:r>
    </w:p>
    <w:p w:rsidR="003343D3" w:rsidRDefault="003343D3" w:rsidP="003343D3">
      <w:pPr>
        <w:pStyle w:val="Odsekzoznamu"/>
        <w:tabs>
          <w:tab w:val="left" w:pos="709"/>
        </w:tabs>
        <w:spacing w:after="0" w:line="240" w:lineRule="auto"/>
        <w:ind w:left="426"/>
        <w:jc w:val="both"/>
        <w:rPr>
          <w:rFonts w:ascii="Arial Narrow" w:hAnsi="Arial Narrow"/>
          <w:color w:val="000000" w:themeColor="text1"/>
        </w:rPr>
      </w:pPr>
    </w:p>
    <w:p w:rsidR="00D44831" w:rsidRPr="003343D3" w:rsidRDefault="00D44831" w:rsidP="003343D3">
      <w:pPr>
        <w:pStyle w:val="Odsekzoznamu"/>
        <w:numPr>
          <w:ilvl w:val="0"/>
          <w:numId w:val="1"/>
        </w:numPr>
        <w:tabs>
          <w:tab w:val="left" w:pos="709"/>
        </w:tabs>
        <w:spacing w:after="0" w:line="240" w:lineRule="auto"/>
        <w:ind w:left="0" w:firstLine="426"/>
        <w:jc w:val="both"/>
        <w:rPr>
          <w:rFonts w:ascii="Arial Narrow" w:hAnsi="Arial Narrow"/>
          <w:color w:val="000000" w:themeColor="text1"/>
        </w:rPr>
      </w:pPr>
      <w:r w:rsidRPr="003343D3">
        <w:rPr>
          <w:rFonts w:ascii="Arial Narrow" w:hAnsi="Arial Narrow"/>
          <w:color w:val="000000" w:themeColor="text1"/>
        </w:rPr>
        <w:t xml:space="preserve">Ak poskytovateľ poskytuje vybrané výkony na viacerých nižších zložkách poskytovateľa (napr. pracoviská, oddelenia), minimálny počet zdravotných výkonov platí pre najnižšiu zložku, na ktorej sa poskytujú </w:t>
      </w:r>
      <w:r w:rsidR="003343D3">
        <w:rPr>
          <w:rFonts w:ascii="Arial Narrow" w:hAnsi="Arial Narrow"/>
          <w:color w:val="000000" w:themeColor="text1"/>
        </w:rPr>
        <w:t>skupiny zdravotných výkonov</w:t>
      </w:r>
      <w:r w:rsidRPr="003343D3">
        <w:rPr>
          <w:rFonts w:ascii="Arial Narrow" w:hAnsi="Arial Narrow"/>
          <w:color w:val="000000" w:themeColor="text1"/>
        </w:rPr>
        <w:t xml:space="preserve">. Minimálny počet zdravotných výkonov platí rovnako aj pre poskytovateľa jednodňovej zdravotnej starostlivosti, ktorý poskytuje </w:t>
      </w:r>
      <w:r w:rsidR="003343D3">
        <w:rPr>
          <w:rFonts w:ascii="Arial Narrow" w:hAnsi="Arial Narrow"/>
          <w:color w:val="000000" w:themeColor="text1"/>
        </w:rPr>
        <w:t>skupiny zdravotných výkonov</w:t>
      </w:r>
      <w:r w:rsidRPr="003343D3">
        <w:rPr>
          <w:rFonts w:ascii="Arial Narrow" w:hAnsi="Arial Narrow"/>
          <w:color w:val="000000" w:themeColor="text1"/>
        </w:rPr>
        <w:t xml:space="preserve">. Ak poskytovateľ poskytuje </w:t>
      </w:r>
      <w:r w:rsidR="003343D3">
        <w:rPr>
          <w:rFonts w:ascii="Arial Narrow" w:hAnsi="Arial Narrow"/>
          <w:color w:val="000000" w:themeColor="text1"/>
        </w:rPr>
        <w:t>skupiny zdravotných výkonov</w:t>
      </w:r>
      <w:r w:rsidRPr="003343D3">
        <w:rPr>
          <w:rFonts w:ascii="Arial Narrow" w:hAnsi="Arial Narrow"/>
          <w:color w:val="000000" w:themeColor="text1"/>
        </w:rPr>
        <w:t xml:space="preserve"> formou ústavnej zdravotnej starostlivosti a zároveň formou jednodňovej zdravotnej starostlivosti, zdravotné výkony vykonané na oboch pracoviskách sa na účely vyhodnotenia plnenia minimálneho počtu zdravotných výkonov sčítavajú.  </w:t>
      </w:r>
    </w:p>
    <w:p w:rsidR="00D44831" w:rsidRPr="00D44831" w:rsidRDefault="00D44831" w:rsidP="00D44831">
      <w:pPr>
        <w:pStyle w:val="Odsekzoznamu"/>
        <w:tabs>
          <w:tab w:val="left" w:pos="709"/>
        </w:tabs>
        <w:spacing w:after="0" w:line="240" w:lineRule="auto"/>
        <w:ind w:left="0" w:firstLine="426"/>
        <w:jc w:val="both"/>
        <w:rPr>
          <w:rFonts w:ascii="Arial Narrow" w:hAnsi="Arial Narrow"/>
          <w:color w:val="000000" w:themeColor="text1"/>
        </w:rPr>
      </w:pPr>
    </w:p>
    <w:p w:rsidR="003343D3" w:rsidRDefault="00D44831" w:rsidP="00D44831">
      <w:pPr>
        <w:pStyle w:val="Odsekzoznamu"/>
        <w:numPr>
          <w:ilvl w:val="0"/>
          <w:numId w:val="2"/>
        </w:numPr>
        <w:tabs>
          <w:tab w:val="left" w:pos="709"/>
        </w:tabs>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Minimál</w:t>
      </w:r>
      <w:r w:rsidR="003343D3">
        <w:rPr>
          <w:rFonts w:ascii="Arial Narrow" w:hAnsi="Arial Narrow"/>
          <w:color w:val="000000" w:themeColor="text1"/>
        </w:rPr>
        <w:t xml:space="preserve">ny počet zdravotných výkonov </w:t>
      </w:r>
      <w:r w:rsidRPr="00D44831">
        <w:rPr>
          <w:rFonts w:ascii="Arial Narrow" w:hAnsi="Arial Narrow"/>
          <w:color w:val="000000" w:themeColor="text1"/>
        </w:rPr>
        <w:t>sa určuje vždy na 12 kalendárnych mesiacov (</w:t>
      </w:r>
      <w:r w:rsidR="003343D3">
        <w:rPr>
          <w:rFonts w:ascii="Arial Narrow" w:hAnsi="Arial Narrow"/>
          <w:color w:val="000000" w:themeColor="text1"/>
        </w:rPr>
        <w:t>ďalej len „sledované obdobie“).</w:t>
      </w:r>
    </w:p>
    <w:p w:rsidR="003343D3" w:rsidRDefault="003343D3" w:rsidP="003343D3">
      <w:pPr>
        <w:pStyle w:val="Odsekzoznamu"/>
        <w:tabs>
          <w:tab w:val="left" w:pos="709"/>
        </w:tabs>
        <w:spacing w:after="0" w:line="240" w:lineRule="auto"/>
        <w:ind w:left="426"/>
        <w:jc w:val="both"/>
        <w:rPr>
          <w:rFonts w:ascii="Arial Narrow" w:hAnsi="Arial Narrow"/>
          <w:color w:val="000000" w:themeColor="text1"/>
        </w:rPr>
      </w:pPr>
    </w:p>
    <w:p w:rsidR="00D44831" w:rsidRPr="00D44831" w:rsidRDefault="00D44831" w:rsidP="00D44831">
      <w:pPr>
        <w:pStyle w:val="Odsekzoznamu"/>
        <w:numPr>
          <w:ilvl w:val="0"/>
          <w:numId w:val="2"/>
        </w:numPr>
        <w:tabs>
          <w:tab w:val="left" w:pos="709"/>
        </w:tabs>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 xml:space="preserve">Záväzný spôsob určenia a prehodnocovania minimálneho počtu zdravotných výkonov určuje metodológia </w:t>
      </w:r>
      <w:r w:rsidR="003343D3">
        <w:rPr>
          <w:rFonts w:ascii="Arial Narrow" w:hAnsi="Arial Narrow"/>
          <w:color w:val="000000" w:themeColor="text1"/>
        </w:rPr>
        <w:t>uvedená v prílohe č. 2</w:t>
      </w:r>
      <w:r w:rsidRPr="00D44831">
        <w:rPr>
          <w:rFonts w:ascii="Arial Narrow" w:hAnsi="Arial Narrow"/>
          <w:color w:val="000000" w:themeColor="text1"/>
        </w:rPr>
        <w:t>.</w:t>
      </w:r>
    </w:p>
    <w:p w:rsidR="00D44831" w:rsidRPr="00D44831" w:rsidRDefault="00D44831" w:rsidP="00D44831">
      <w:pPr>
        <w:pStyle w:val="Odsekzoznamu"/>
        <w:tabs>
          <w:tab w:val="left" w:pos="709"/>
        </w:tabs>
        <w:spacing w:after="0" w:line="240" w:lineRule="auto"/>
        <w:jc w:val="both"/>
        <w:rPr>
          <w:rFonts w:ascii="Arial Narrow" w:hAnsi="Arial Narrow"/>
          <w:color w:val="000000" w:themeColor="text1"/>
        </w:rPr>
      </w:pPr>
    </w:p>
    <w:p w:rsidR="00D44831" w:rsidRPr="00D44831" w:rsidRDefault="00D44831" w:rsidP="00D44831">
      <w:pPr>
        <w:pStyle w:val="Odsekzoznamu"/>
        <w:numPr>
          <w:ilvl w:val="0"/>
          <w:numId w:val="2"/>
        </w:numPr>
        <w:tabs>
          <w:tab w:val="left" w:pos="709"/>
        </w:tabs>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Selekčné kritériá v rámci poskytovanej zdravotnej starostl</w:t>
      </w:r>
      <w:r w:rsidR="003343D3">
        <w:rPr>
          <w:rFonts w:ascii="Arial Narrow" w:hAnsi="Arial Narrow"/>
          <w:color w:val="000000" w:themeColor="text1"/>
        </w:rPr>
        <w:t>ivosti sú uvedené v prílohe č. 3</w:t>
      </w:r>
      <w:r w:rsidRPr="00D44831">
        <w:rPr>
          <w:rFonts w:ascii="Arial Narrow" w:hAnsi="Arial Narrow"/>
          <w:color w:val="000000" w:themeColor="text1"/>
        </w:rPr>
        <w:t>.</w:t>
      </w:r>
    </w:p>
    <w:p w:rsidR="00D44831" w:rsidRPr="00D44831" w:rsidRDefault="00D44831" w:rsidP="00D44831">
      <w:pPr>
        <w:pStyle w:val="Odsekzoznamu"/>
        <w:spacing w:after="0" w:line="240" w:lineRule="auto"/>
        <w:rPr>
          <w:rFonts w:ascii="Arial Narrow" w:hAnsi="Arial Narrow"/>
          <w:color w:val="000000" w:themeColor="text1"/>
        </w:rPr>
      </w:pPr>
    </w:p>
    <w:p w:rsidR="00D44831" w:rsidRPr="00D44831" w:rsidRDefault="00D44831" w:rsidP="00D44831">
      <w:pPr>
        <w:pStyle w:val="Odsekzoznamu"/>
        <w:spacing w:after="0" w:line="240" w:lineRule="auto"/>
        <w:ind w:left="0"/>
        <w:jc w:val="center"/>
        <w:rPr>
          <w:rFonts w:ascii="Arial Narrow" w:hAnsi="Arial Narrow"/>
          <w:color w:val="000000" w:themeColor="text1"/>
        </w:rPr>
      </w:pPr>
      <w:r w:rsidRPr="00D44831">
        <w:rPr>
          <w:rFonts w:ascii="Arial Narrow" w:hAnsi="Arial Narrow"/>
          <w:color w:val="000000" w:themeColor="text1"/>
        </w:rPr>
        <w:t>§ 2</w:t>
      </w:r>
    </w:p>
    <w:p w:rsidR="00D44831" w:rsidRPr="00D44831" w:rsidRDefault="00D44831" w:rsidP="00D44831">
      <w:pPr>
        <w:pStyle w:val="Odsekzoznamu"/>
        <w:spacing w:after="0" w:line="240" w:lineRule="auto"/>
        <w:ind w:left="142"/>
        <w:jc w:val="center"/>
        <w:rPr>
          <w:rFonts w:ascii="Arial Narrow" w:hAnsi="Arial Narrow"/>
          <w:color w:val="000000" w:themeColor="text1"/>
        </w:rPr>
      </w:pPr>
      <w:r w:rsidRPr="00D44831">
        <w:rPr>
          <w:rFonts w:ascii="Arial Narrow" w:hAnsi="Arial Narrow"/>
          <w:color w:val="000000" w:themeColor="text1"/>
        </w:rPr>
        <w:t xml:space="preserve">Prechodné ustanovenia </w:t>
      </w:r>
    </w:p>
    <w:p w:rsidR="00D44831" w:rsidRPr="00D44831" w:rsidRDefault="00D44831" w:rsidP="00D44831">
      <w:pPr>
        <w:pStyle w:val="Odsekzoznamu"/>
        <w:spacing w:after="0" w:line="240" w:lineRule="auto"/>
        <w:ind w:left="142" w:firstLine="426"/>
        <w:jc w:val="center"/>
        <w:rPr>
          <w:rFonts w:ascii="Arial Narrow" w:hAnsi="Arial Narrow"/>
          <w:color w:val="000000" w:themeColor="text1"/>
        </w:rPr>
      </w:pP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 xml:space="preserve">(1) Minimálny počet zdravotných výkonov sa pre prvých 12 mesiacov od nadobudnutia účinnosti nariadenia (ďalej len „prechodné obdobie“) použije iba na sledovanie, vyhodnocovanie a zverejňovanie plnenia kritérií kvality poskytovateľmi, pričom kritérium kvality spĺňa poskytovateľ v prechodnom období, ak dosahuje aspoň 50 % hodnoty minimálneho počtu zdravotných výkonov pre sledované obdobie. </w:t>
      </w: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 xml:space="preserve">(2) Zdravotné poisťovne po prvýkrát zohľadnia plnenie kritérií kvality poskytovateľmi v zmluvách o poskytovaní zdravotnej starostlivosti, vrátane výšky úhrady za poskytnutú zdravotnú starostlivosť, po uplynutí prechodného obdobia. </w:t>
      </w: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 xml:space="preserve"> </w:t>
      </w: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(3) Na poskytovateľa, ktorý vznikne po nadobudnutí účinnosti nariadenia, sa v prvom roku poskytovania zdravotnej starostlivosti použijú podmienky plnenia kritérií kvality podľa odseku 1 a 2 ako v prechodnom období. Rovnaké podmienky platia v prvých 12 mesiacoch poskytovania vybraných zdravotných výkonov aj pre poskytovateľa, ktorý v predchádzajúcich piatich rokoch vybrané výkony, pre ktoré sa určuje minimálny počet zdravotných výkonov, neposkytoval.</w:t>
      </w: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p>
    <w:p w:rsidR="003343D3" w:rsidRDefault="003343D3" w:rsidP="00D44831">
      <w:pPr>
        <w:pStyle w:val="Odsekzoznamu"/>
        <w:spacing w:after="0" w:line="240" w:lineRule="auto"/>
        <w:ind w:left="0" w:firstLine="426"/>
        <w:jc w:val="center"/>
        <w:rPr>
          <w:rFonts w:ascii="Arial Narrow" w:hAnsi="Arial Narrow"/>
          <w:color w:val="000000" w:themeColor="text1"/>
        </w:rPr>
      </w:pPr>
    </w:p>
    <w:p w:rsidR="00D44831" w:rsidRPr="00D44831" w:rsidRDefault="00D44831" w:rsidP="00D44831">
      <w:pPr>
        <w:pStyle w:val="Odsekzoznamu"/>
        <w:spacing w:after="0" w:line="240" w:lineRule="auto"/>
        <w:ind w:left="0" w:firstLine="426"/>
        <w:jc w:val="center"/>
        <w:rPr>
          <w:rFonts w:ascii="Arial Narrow" w:hAnsi="Arial Narrow"/>
          <w:color w:val="000000" w:themeColor="text1"/>
        </w:rPr>
      </w:pPr>
      <w:r w:rsidRPr="00D44831">
        <w:rPr>
          <w:rFonts w:ascii="Arial Narrow" w:hAnsi="Arial Narrow"/>
          <w:color w:val="000000" w:themeColor="text1"/>
        </w:rPr>
        <w:lastRenderedPageBreak/>
        <w:t>§ 3</w:t>
      </w:r>
    </w:p>
    <w:p w:rsidR="00D44831" w:rsidRPr="00D44831" w:rsidRDefault="00D44831" w:rsidP="00D44831">
      <w:pPr>
        <w:spacing w:after="0" w:line="240" w:lineRule="auto"/>
        <w:jc w:val="center"/>
        <w:rPr>
          <w:rFonts w:ascii="Arial Narrow" w:hAnsi="Arial Narrow"/>
          <w:color w:val="000000" w:themeColor="text1"/>
        </w:rPr>
      </w:pPr>
      <w:r w:rsidRPr="00D44831">
        <w:rPr>
          <w:rFonts w:ascii="Arial Narrow" w:hAnsi="Arial Narrow"/>
          <w:color w:val="000000" w:themeColor="text1"/>
        </w:rPr>
        <w:t>Toto nariadenie vlády nadobúda účinnosť 1. januára 2020.</w:t>
      </w:r>
    </w:p>
    <w:p w:rsidR="00D44831" w:rsidRPr="00D44831" w:rsidRDefault="00D44831" w:rsidP="00D44831">
      <w:pPr>
        <w:pStyle w:val="Odsekzoznamu"/>
        <w:spacing w:after="0" w:line="240" w:lineRule="auto"/>
        <w:ind w:left="0" w:firstLine="426"/>
        <w:jc w:val="center"/>
        <w:rPr>
          <w:rFonts w:ascii="Arial Narrow" w:hAnsi="Arial Narrow"/>
          <w:b/>
          <w:color w:val="000000" w:themeColor="text1"/>
        </w:rPr>
      </w:pPr>
    </w:p>
    <w:p w:rsidR="00D44831" w:rsidRPr="00D44831" w:rsidRDefault="00D44831" w:rsidP="00D44831">
      <w:pPr>
        <w:pStyle w:val="Odsekzoznamu"/>
        <w:spacing w:after="0" w:line="240" w:lineRule="auto"/>
        <w:ind w:left="426"/>
        <w:jc w:val="both"/>
        <w:rPr>
          <w:rFonts w:ascii="Arial Narrow" w:hAnsi="Arial Narrow"/>
          <w:color w:val="000000" w:themeColor="text1"/>
        </w:rPr>
      </w:pPr>
    </w:p>
    <w:p w:rsidR="00D44831" w:rsidRPr="00D44831" w:rsidRDefault="00D44831" w:rsidP="00D44831">
      <w:pPr>
        <w:spacing w:after="0" w:line="240" w:lineRule="auto"/>
        <w:jc w:val="right"/>
        <w:rPr>
          <w:rFonts w:ascii="Arial Narrow" w:hAnsi="Arial Narrow"/>
          <w:b/>
          <w:color w:val="000000" w:themeColor="text1"/>
        </w:rPr>
      </w:pPr>
      <w:r w:rsidRPr="00D44831">
        <w:rPr>
          <w:rFonts w:ascii="Arial Narrow" w:hAnsi="Arial Narrow"/>
          <w:b/>
          <w:color w:val="000000" w:themeColor="text1"/>
        </w:rPr>
        <w:t xml:space="preserve">Príloha č. </w:t>
      </w:r>
      <w:r w:rsidR="003343D3">
        <w:rPr>
          <w:rFonts w:ascii="Arial Narrow" w:hAnsi="Arial Narrow"/>
          <w:b/>
          <w:color w:val="000000" w:themeColor="text1"/>
        </w:rPr>
        <w:t>1</w:t>
      </w:r>
    </w:p>
    <w:p w:rsidR="00D44831" w:rsidRPr="00D44831" w:rsidRDefault="00D44831" w:rsidP="00D44831">
      <w:pPr>
        <w:spacing w:after="0" w:line="240" w:lineRule="auto"/>
        <w:jc w:val="right"/>
        <w:rPr>
          <w:rFonts w:ascii="Arial Narrow" w:hAnsi="Arial Narrow"/>
          <w:b/>
          <w:color w:val="000000" w:themeColor="text1"/>
        </w:rPr>
      </w:pPr>
      <w:r w:rsidRPr="00D44831">
        <w:rPr>
          <w:rFonts w:ascii="Arial Narrow" w:hAnsi="Arial Narrow"/>
          <w:b/>
          <w:color w:val="000000" w:themeColor="text1"/>
        </w:rPr>
        <w:t>Parametre kvality a limity pre minimálny počet zdravotných výkonov</w:t>
      </w:r>
    </w:p>
    <w:p w:rsidR="00D44831" w:rsidRPr="00D44831" w:rsidRDefault="00D44831" w:rsidP="00D44831">
      <w:pPr>
        <w:spacing w:after="0" w:line="240" w:lineRule="auto"/>
        <w:rPr>
          <w:rFonts w:ascii="Arial Narrow" w:hAnsi="Arial Narrow"/>
          <w:b/>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 xml:space="preserve">Tabuľka č. 1 určuje požadovanú hodnotu parametra pre meranie kvality poskytovanej ústavnej zdravotnej starostlivosti, ako minimálny počet vybraných zdravotných výkonov, ktoré je poskytovateľ povinný vykonať v priebehu sledovaného obdobia.  </w:t>
      </w:r>
    </w:p>
    <w:p w:rsidR="00D44831" w:rsidRPr="00D44831" w:rsidRDefault="00D44831" w:rsidP="00D44831">
      <w:pPr>
        <w:spacing w:after="0" w:line="240" w:lineRule="auto"/>
        <w:rPr>
          <w:rFonts w:ascii="Arial Narrow" w:hAnsi="Arial Narrow"/>
          <w:color w:val="000000" w:themeColor="text1"/>
        </w:rPr>
      </w:pPr>
    </w:p>
    <w:tbl>
      <w:tblPr>
        <w:tblStyle w:val="Mriekatabu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44831" w:rsidRPr="00D44831" w:rsidTr="003B26DF">
        <w:tc>
          <w:tcPr>
            <w:tcW w:w="9639" w:type="dxa"/>
            <w:hideMark/>
          </w:tcPr>
          <w:p w:rsidR="00D44831" w:rsidRPr="00D44831" w:rsidRDefault="00D44831" w:rsidP="003B26DF">
            <w:pPr>
              <w:rPr>
                <w:rFonts w:ascii="Arial Narrow" w:hAnsi="Arial Narrow"/>
                <w:b/>
                <w:color w:val="000000" w:themeColor="text1"/>
              </w:rPr>
            </w:pPr>
            <w:r w:rsidRPr="00D44831">
              <w:rPr>
                <w:rFonts w:ascii="Arial Narrow" w:hAnsi="Arial Narrow"/>
                <w:b/>
                <w:color w:val="000000" w:themeColor="text1"/>
              </w:rPr>
              <w:t>Tabuľka č. 1</w:t>
            </w:r>
          </w:p>
          <w:tbl>
            <w:tblPr>
              <w:tblStyle w:val="Mriekatabuky"/>
              <w:tblpPr w:leftFromText="141" w:rightFromText="141" w:bottomFromText="160" w:vertAnchor="text" w:horzAnchor="margin" w:tblpX="-572" w:tblpY="-27"/>
              <w:tblW w:w="9351" w:type="dxa"/>
              <w:tblLook w:val="0600" w:firstRow="0" w:lastRow="0" w:firstColumn="0" w:lastColumn="0" w:noHBand="1" w:noVBand="1"/>
            </w:tblPr>
            <w:tblGrid>
              <w:gridCol w:w="697"/>
              <w:gridCol w:w="4620"/>
              <w:gridCol w:w="988"/>
              <w:gridCol w:w="841"/>
              <w:gridCol w:w="930"/>
              <w:gridCol w:w="1275"/>
            </w:tblGrid>
            <w:tr w:rsidR="00D44831" w:rsidRPr="00D44831" w:rsidTr="003B26DF">
              <w:trPr>
                <w:trHeight w:val="264"/>
              </w:trPr>
              <w:tc>
                <w:tcPr>
                  <w:tcW w:w="697" w:type="dxa"/>
                  <w:vMerge w:val="restart"/>
                </w:tcPr>
                <w:p w:rsidR="00D44831" w:rsidRPr="00D44831" w:rsidRDefault="00D44831" w:rsidP="003B26DF">
                  <w:pPr>
                    <w:spacing w:after="0" w:line="240" w:lineRule="auto"/>
                    <w:rPr>
                      <w:rFonts w:ascii="Arial Narrow" w:hAnsi="Arial Narrow"/>
                      <w:color w:val="000000" w:themeColor="text1"/>
                      <w:sz w:val="18"/>
                      <w:szCs w:val="18"/>
                    </w:rPr>
                  </w:pPr>
                </w:p>
              </w:tc>
              <w:tc>
                <w:tcPr>
                  <w:tcW w:w="4632" w:type="dxa"/>
                  <w:vMerge w:val="restart"/>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Názov skupiny zdravotného výkonu</w:t>
                  </w:r>
                </w:p>
              </w:tc>
              <w:tc>
                <w:tcPr>
                  <w:tcW w:w="982" w:type="dxa"/>
                  <w:vMerge w:val="restart"/>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Skratka komplikácie</w:t>
                  </w:r>
                </w:p>
              </w:tc>
              <w:tc>
                <w:tcPr>
                  <w:tcW w:w="842" w:type="dxa"/>
                  <w:vMerge w:val="restart"/>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Limit</w:t>
                  </w:r>
                </w:p>
              </w:tc>
              <w:tc>
                <w:tcPr>
                  <w:tcW w:w="2198" w:type="dxa"/>
                  <w:gridSpan w:val="2"/>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Minimálny počet zdravotných výkonov</w:t>
                  </w:r>
                </w:p>
              </w:tc>
            </w:tr>
            <w:tr w:rsidR="00D44831" w:rsidRPr="00D44831" w:rsidTr="003B26DF">
              <w:trPr>
                <w:trHeight w:val="11"/>
              </w:trPr>
              <w:tc>
                <w:tcPr>
                  <w:tcW w:w="0" w:type="auto"/>
                  <w:vMerge/>
                  <w:hideMark/>
                </w:tcPr>
                <w:p w:rsidR="00D44831" w:rsidRPr="00D44831" w:rsidRDefault="00D44831" w:rsidP="003B26DF">
                  <w:pPr>
                    <w:spacing w:after="0" w:line="256" w:lineRule="auto"/>
                    <w:rPr>
                      <w:rFonts w:ascii="Arial Narrow" w:hAnsi="Arial Narrow"/>
                      <w:color w:val="000000" w:themeColor="text1"/>
                      <w:sz w:val="18"/>
                      <w:szCs w:val="18"/>
                    </w:rPr>
                  </w:pPr>
                </w:p>
              </w:tc>
              <w:tc>
                <w:tcPr>
                  <w:tcW w:w="0" w:type="auto"/>
                  <w:vMerge/>
                  <w:vAlign w:val="center"/>
                  <w:hideMark/>
                </w:tcPr>
                <w:p w:rsidR="00D44831" w:rsidRPr="00D44831" w:rsidRDefault="00D44831" w:rsidP="003B26DF">
                  <w:pPr>
                    <w:spacing w:after="0" w:line="256" w:lineRule="auto"/>
                    <w:jc w:val="center"/>
                    <w:rPr>
                      <w:rFonts w:ascii="Arial Narrow" w:hAnsi="Arial Narrow"/>
                      <w:color w:val="000000" w:themeColor="text1"/>
                      <w:sz w:val="18"/>
                      <w:szCs w:val="18"/>
                    </w:rPr>
                  </w:pPr>
                </w:p>
              </w:tc>
              <w:tc>
                <w:tcPr>
                  <w:tcW w:w="0" w:type="auto"/>
                  <w:vMerge/>
                  <w:vAlign w:val="center"/>
                  <w:hideMark/>
                </w:tcPr>
                <w:p w:rsidR="00D44831" w:rsidRPr="00D44831" w:rsidRDefault="00D44831" w:rsidP="003B26DF">
                  <w:pPr>
                    <w:spacing w:after="0" w:line="256" w:lineRule="auto"/>
                    <w:jc w:val="center"/>
                    <w:rPr>
                      <w:rFonts w:ascii="Arial Narrow" w:hAnsi="Arial Narrow"/>
                      <w:color w:val="000000" w:themeColor="text1"/>
                      <w:sz w:val="18"/>
                      <w:szCs w:val="18"/>
                    </w:rPr>
                  </w:pPr>
                </w:p>
              </w:tc>
              <w:tc>
                <w:tcPr>
                  <w:tcW w:w="0" w:type="auto"/>
                  <w:vMerge/>
                  <w:vAlign w:val="center"/>
                  <w:hideMark/>
                </w:tcPr>
                <w:p w:rsidR="00D44831" w:rsidRPr="00D44831" w:rsidRDefault="00D44831" w:rsidP="003B26DF">
                  <w:pPr>
                    <w:spacing w:after="0" w:line="256" w:lineRule="auto"/>
                    <w:jc w:val="center"/>
                    <w:rPr>
                      <w:rFonts w:ascii="Arial Narrow" w:hAnsi="Arial Narrow"/>
                      <w:color w:val="000000" w:themeColor="text1"/>
                      <w:sz w:val="18"/>
                      <w:szCs w:val="18"/>
                    </w:rPr>
                  </w:pPr>
                </w:p>
              </w:tc>
              <w:tc>
                <w:tcPr>
                  <w:tcW w:w="922" w:type="dxa"/>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Prechodné obdobie</w:t>
                  </w:r>
                </w:p>
              </w:tc>
              <w:tc>
                <w:tcPr>
                  <w:tcW w:w="1276" w:type="dxa"/>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Ďalšie sledované</w:t>
                  </w:r>
                </w:p>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obdobia</w:t>
                  </w:r>
                </w:p>
              </w:tc>
            </w:tr>
            <w:tr w:rsidR="00D44831" w:rsidRPr="00D44831" w:rsidTr="003B26DF">
              <w:trPr>
                <w:trHeight w:val="298"/>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Skup.</w:t>
                  </w:r>
                  <w:r w:rsidRPr="00D44831">
                    <w:rPr>
                      <w:rFonts w:ascii="Arial Narrow" w:hAnsi="Arial Narrow"/>
                      <w:color w:val="000000" w:themeColor="text1"/>
                      <w:sz w:val="18"/>
                      <w:szCs w:val="18"/>
                      <w:vertAlign w:val="superscript"/>
                    </w:rPr>
                    <w:t>1)</w:t>
                  </w:r>
                  <w:r w:rsidRPr="00D44831">
                    <w:rPr>
                      <w:rFonts w:ascii="Arial Narrow" w:hAnsi="Arial Narrow"/>
                      <w:color w:val="000000" w:themeColor="text1"/>
                      <w:sz w:val="18"/>
                      <w:szCs w:val="18"/>
                    </w:rPr>
                    <w:t xml:space="preserve"> </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Pôrody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Indiv</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0.17%</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320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640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5T4</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Artroskopické</w:t>
                  </w:r>
                  <w:proofErr w:type="spellEnd"/>
                  <w:r w:rsidRPr="00D44831">
                    <w:rPr>
                      <w:rFonts w:ascii="Arial Narrow" w:hAnsi="Arial Narrow"/>
                      <w:color w:val="000000" w:themeColor="text1"/>
                      <w:sz w:val="18"/>
                      <w:szCs w:val="18"/>
                    </w:rPr>
                    <w:t xml:space="preserve"> operačné výkony na kĺboch</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Rehosp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1.52%</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45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90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5Q4</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Incízie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excízie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extirpácie</w:t>
                  </w:r>
                  <w:proofErr w:type="spellEnd"/>
                  <w:r w:rsidRPr="00D44831">
                    <w:rPr>
                      <w:rFonts w:ascii="Arial Narrow" w:hAnsi="Arial Narrow"/>
                      <w:color w:val="000000" w:themeColor="text1"/>
                      <w:sz w:val="18"/>
                      <w:szCs w:val="18"/>
                    </w:rPr>
                    <w:t xml:space="preserve"> maternice vr. </w:t>
                  </w:r>
                  <w:proofErr w:type="spellStart"/>
                  <w:r w:rsidRPr="00D44831">
                    <w:rPr>
                      <w:rFonts w:ascii="Arial Narrow" w:hAnsi="Arial Narrow"/>
                      <w:color w:val="000000" w:themeColor="text1"/>
                      <w:sz w:val="18"/>
                      <w:szCs w:val="18"/>
                    </w:rPr>
                    <w:t>exenterácie</w:t>
                  </w:r>
                  <w:proofErr w:type="spellEnd"/>
                  <w:r w:rsidRPr="00D44831">
                    <w:rPr>
                      <w:rFonts w:ascii="Arial Narrow" w:hAnsi="Arial Narrow"/>
                      <w:color w:val="000000" w:themeColor="text1"/>
                      <w:sz w:val="18"/>
                      <w:szCs w:val="18"/>
                    </w:rPr>
                    <w:t xml:space="preserve"> malej panvy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1.07%</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150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5T5</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Endoprotetické</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kĺbne</w:t>
                  </w:r>
                  <w:proofErr w:type="spellEnd"/>
                  <w:r w:rsidRPr="00D44831">
                    <w:rPr>
                      <w:rFonts w:ascii="Arial Narrow" w:hAnsi="Arial Narrow"/>
                      <w:color w:val="000000" w:themeColor="text1"/>
                      <w:sz w:val="18"/>
                      <w:szCs w:val="18"/>
                    </w:rPr>
                    <w:t xml:space="preserve"> alebo kostné náhrady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0.54%</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5N6</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žlčníku/žlčových cestách</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1.19%</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5N8</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Uzávery </w:t>
                  </w:r>
                  <w:proofErr w:type="spellStart"/>
                  <w:r w:rsidRPr="00D44831">
                    <w:rPr>
                      <w:rFonts w:ascii="Arial Narrow" w:hAnsi="Arial Narrow"/>
                      <w:color w:val="000000" w:themeColor="text1"/>
                      <w:sz w:val="18"/>
                      <w:szCs w:val="18"/>
                    </w:rPr>
                    <w:t>abdominálnych</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hernií</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0.37%</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65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130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5T0</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Všeobecné kostné operačné výkony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0.88%</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70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Otvorené </w:t>
                  </w:r>
                  <w:proofErr w:type="spellStart"/>
                  <w:r w:rsidRPr="00D44831">
                    <w:rPr>
                      <w:rFonts w:ascii="Arial Narrow" w:hAnsi="Arial Narrow"/>
                      <w:color w:val="000000" w:themeColor="text1"/>
                      <w:sz w:val="18"/>
                      <w:szCs w:val="18"/>
                    </w:rPr>
                    <w:t>repozície</w:t>
                  </w:r>
                  <w:proofErr w:type="spellEnd"/>
                  <w:r w:rsidRPr="00D44831">
                    <w:rPr>
                      <w:rFonts w:ascii="Arial Narrow" w:hAnsi="Arial Narrow"/>
                      <w:color w:val="000000" w:themeColor="text1"/>
                      <w:sz w:val="18"/>
                      <w:szCs w:val="18"/>
                    </w:rPr>
                    <w:t xml:space="preserve"> zlomenín a luxácií</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1.25%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40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80</w:t>
                  </w:r>
                </w:p>
              </w:tc>
            </w:tr>
            <w:tr w:rsidR="00D44831" w:rsidRPr="00D44831" w:rsidTr="003B26DF">
              <w:trPr>
                <w:trHeight w:val="298"/>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5N3</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Iné operačné výkony na tenkom, hrubom čreve a </w:t>
                  </w:r>
                  <w:proofErr w:type="spellStart"/>
                  <w:r w:rsidRPr="00D44831">
                    <w:rPr>
                      <w:rFonts w:ascii="Arial Narrow" w:hAnsi="Arial Narrow"/>
                      <w:color w:val="000000" w:themeColor="text1"/>
                      <w:sz w:val="18"/>
                      <w:szCs w:val="18"/>
                    </w:rPr>
                    <w:t>appendixe</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0.95%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30</w:t>
                  </w:r>
                </w:p>
              </w:tc>
            </w:tr>
            <w:tr w:rsidR="00D44831" w:rsidRPr="00D44831" w:rsidTr="003B26DF">
              <w:trPr>
                <w:trHeight w:val="298"/>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5G6</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v oblasti </w:t>
                  </w:r>
                  <w:proofErr w:type="spellStart"/>
                  <w:r w:rsidRPr="00D44831">
                    <w:rPr>
                      <w:rFonts w:ascii="Arial Narrow" w:hAnsi="Arial Narrow"/>
                      <w:color w:val="000000" w:themeColor="text1"/>
                      <w:sz w:val="18"/>
                      <w:szCs w:val="18"/>
                    </w:rPr>
                    <w:t>nazofarynxu</w:t>
                  </w:r>
                  <w:proofErr w:type="spellEnd"/>
                  <w:r w:rsidRPr="00D44831">
                    <w:rPr>
                      <w:rFonts w:ascii="Arial Narrow" w:hAnsi="Arial Narrow"/>
                      <w:color w:val="000000" w:themeColor="text1"/>
                      <w:sz w:val="18"/>
                      <w:szCs w:val="18"/>
                    </w:rPr>
                    <w:t xml:space="preserve"> a </w:t>
                  </w:r>
                  <w:proofErr w:type="spellStart"/>
                  <w:r w:rsidRPr="00D44831">
                    <w:rPr>
                      <w:rFonts w:ascii="Arial Narrow" w:hAnsi="Arial Narrow"/>
                      <w:color w:val="000000" w:themeColor="text1"/>
                      <w:sz w:val="18"/>
                      <w:szCs w:val="18"/>
                    </w:rPr>
                    <w:t>orofarynxu</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0.32%</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160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5K7</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Výkony pri </w:t>
                  </w:r>
                  <w:proofErr w:type="spellStart"/>
                  <w:r w:rsidRPr="00D44831">
                    <w:rPr>
                      <w:rFonts w:ascii="Arial Narrow" w:hAnsi="Arial Narrow"/>
                      <w:color w:val="000000" w:themeColor="text1"/>
                      <w:sz w:val="18"/>
                      <w:szCs w:val="18"/>
                    </w:rPr>
                    <w:t>arytmiách</w:t>
                  </w:r>
                  <w:proofErr w:type="spellEnd"/>
                  <w:r w:rsidRPr="00D44831">
                    <w:rPr>
                      <w:rFonts w:ascii="Arial Narrow" w:hAnsi="Arial Narrow"/>
                      <w:color w:val="000000" w:themeColor="text1"/>
                      <w:sz w:val="18"/>
                      <w:szCs w:val="18"/>
                    </w:rPr>
                    <w:t xml:space="preserve"> a iné výkony na srdci a </w:t>
                  </w:r>
                  <w:proofErr w:type="spellStart"/>
                  <w:r w:rsidRPr="00D44831">
                    <w:rPr>
                      <w:rFonts w:ascii="Arial Narrow" w:hAnsi="Arial Narrow"/>
                      <w:color w:val="000000" w:themeColor="text1"/>
                      <w:sz w:val="18"/>
                      <w:szCs w:val="18"/>
                    </w:rPr>
                    <w:t>perikarde</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0.55%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110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5O2</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močovode</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4.89%</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13</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25</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5N2</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Incízie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excízie</w:t>
                  </w:r>
                  <w:proofErr w:type="spellEnd"/>
                  <w:r w:rsidRPr="00D44831">
                    <w:rPr>
                      <w:rFonts w:ascii="Arial Narrow" w:hAnsi="Arial Narrow"/>
                      <w:color w:val="000000" w:themeColor="text1"/>
                      <w:sz w:val="18"/>
                      <w:szCs w:val="18"/>
                    </w:rPr>
                    <w:t xml:space="preserve">, resekcie a </w:t>
                  </w:r>
                  <w:proofErr w:type="spellStart"/>
                  <w:r w:rsidRPr="00D44831">
                    <w:rPr>
                      <w:rFonts w:ascii="Arial Narrow" w:hAnsi="Arial Narrow"/>
                      <w:color w:val="000000" w:themeColor="text1"/>
                      <w:sz w:val="18"/>
                      <w:szCs w:val="18"/>
                    </w:rPr>
                    <w:t>anastomózy</w:t>
                  </w:r>
                  <w:proofErr w:type="spellEnd"/>
                  <w:r w:rsidRPr="00D44831">
                    <w:rPr>
                      <w:rFonts w:ascii="Arial Narrow" w:hAnsi="Arial Narrow"/>
                      <w:color w:val="000000" w:themeColor="text1"/>
                      <w:sz w:val="18"/>
                      <w:szCs w:val="18"/>
                    </w:rPr>
                    <w:t xml:space="preserve"> na tenkom a hrubom čreve</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1.33%</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5O3</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na močovom </w:t>
                  </w:r>
                  <w:proofErr w:type="spellStart"/>
                  <w:r w:rsidRPr="00D44831">
                    <w:rPr>
                      <w:rFonts w:ascii="Arial Narrow" w:hAnsi="Arial Narrow"/>
                      <w:color w:val="000000" w:themeColor="text1"/>
                      <w:sz w:val="18"/>
                      <w:szCs w:val="18"/>
                    </w:rPr>
                    <w:t>mechúri</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1.59%</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140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5V2</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Operačná regenerácia a rekonštrukcia kože a podkožia</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2.25%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20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5L8</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na </w:t>
                  </w:r>
                  <w:proofErr w:type="spellStart"/>
                  <w:r w:rsidRPr="00D44831">
                    <w:rPr>
                      <w:rFonts w:ascii="Arial Narrow" w:hAnsi="Arial Narrow"/>
                      <w:color w:val="000000" w:themeColor="text1"/>
                      <w:sz w:val="18"/>
                      <w:szCs w:val="18"/>
                    </w:rPr>
                    <w:t>varikóznych</w:t>
                  </w:r>
                  <w:proofErr w:type="spellEnd"/>
                  <w:r w:rsidRPr="00D44831">
                    <w:rPr>
                      <w:rFonts w:ascii="Arial Narrow" w:hAnsi="Arial Narrow"/>
                      <w:color w:val="000000" w:themeColor="text1"/>
                      <w:sz w:val="18"/>
                      <w:szCs w:val="18"/>
                    </w:rPr>
                    <w:t xml:space="preserve"> vénach</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Rehosp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50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5U1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Excízie</w:t>
                  </w:r>
                  <w:proofErr w:type="spellEnd"/>
                  <w:r w:rsidRPr="00D44831">
                    <w:rPr>
                      <w:rFonts w:ascii="Arial Narrow" w:hAnsi="Arial Narrow"/>
                      <w:color w:val="000000" w:themeColor="text1"/>
                      <w:sz w:val="18"/>
                      <w:szCs w:val="18"/>
                    </w:rPr>
                    <w:t xml:space="preserve"> a resekcie prsníka</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1.30%</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5O1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obličke a obličkovej panvičke</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3.54%</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20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5Q0</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vaječníku</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0.48%</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70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5N4</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na </w:t>
                  </w:r>
                  <w:proofErr w:type="spellStart"/>
                  <w:r w:rsidRPr="00D44831">
                    <w:rPr>
                      <w:rFonts w:ascii="Arial Narrow" w:hAnsi="Arial Narrow"/>
                      <w:color w:val="000000" w:themeColor="text1"/>
                      <w:sz w:val="18"/>
                      <w:szCs w:val="18"/>
                    </w:rPr>
                    <w:t>anuse</w:t>
                  </w:r>
                  <w:proofErr w:type="spellEnd"/>
                  <w:r w:rsidRPr="00D44831">
                    <w:rPr>
                      <w:rFonts w:ascii="Arial Narrow" w:hAnsi="Arial Narrow"/>
                      <w:color w:val="000000" w:themeColor="text1"/>
                      <w:sz w:val="18"/>
                      <w:szCs w:val="18"/>
                    </w:rPr>
                    <w:t xml:space="preserve"> a konečníku</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1.16%</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60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5Q5</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Iné operačné výkony na maternici a operačné výkony </w:t>
                  </w:r>
                  <w:proofErr w:type="spellStart"/>
                  <w:r w:rsidRPr="00D44831">
                    <w:rPr>
                      <w:rFonts w:ascii="Arial Narrow" w:hAnsi="Arial Narrow"/>
                      <w:color w:val="000000" w:themeColor="text1"/>
                      <w:sz w:val="18"/>
                      <w:szCs w:val="18"/>
                    </w:rPr>
                    <w:t>parametrií</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1.90%</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12</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23</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5T8</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na svaloch, šľachách, </w:t>
                  </w:r>
                  <w:proofErr w:type="spellStart"/>
                  <w:r w:rsidRPr="00D44831">
                    <w:rPr>
                      <w:rFonts w:ascii="Arial Narrow" w:hAnsi="Arial Narrow"/>
                      <w:color w:val="000000" w:themeColor="text1"/>
                      <w:sz w:val="18"/>
                      <w:szCs w:val="18"/>
                    </w:rPr>
                    <w:t>fasciách</w:t>
                  </w:r>
                  <w:proofErr w:type="spellEnd"/>
                  <w:r w:rsidRPr="00D44831">
                    <w:rPr>
                      <w:rFonts w:ascii="Arial Narrow" w:hAnsi="Arial Narrow"/>
                      <w:color w:val="000000" w:themeColor="text1"/>
                      <w:sz w:val="18"/>
                      <w:szCs w:val="18"/>
                    </w:rPr>
                    <w:t xml:space="preserve"> a burzách</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1.14%</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30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žalúdku</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1.13%</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5N9</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Ďalšie operačné výkony v brušnej oblasti</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1.18%</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30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8R3</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Perkutánne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transluminálne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angioplastiky</w:t>
                  </w:r>
                  <w:proofErr w:type="spellEnd"/>
                  <w:r w:rsidRPr="00D44831">
                    <w:rPr>
                      <w:rFonts w:ascii="Arial Narrow" w:hAnsi="Arial Narrow"/>
                      <w:color w:val="000000" w:themeColor="text1"/>
                      <w:sz w:val="18"/>
                      <w:szCs w:val="18"/>
                    </w:rPr>
                    <w:t xml:space="preserve"> a iné </w:t>
                  </w:r>
                  <w:proofErr w:type="spellStart"/>
                  <w:r w:rsidRPr="00D44831">
                    <w:rPr>
                      <w:rFonts w:ascii="Arial Narrow" w:hAnsi="Arial Narrow"/>
                      <w:color w:val="000000" w:themeColor="text1"/>
                      <w:sz w:val="18"/>
                      <w:szCs w:val="18"/>
                    </w:rPr>
                    <w:t>katetrizácie</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Znovuposk</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50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8T2</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Intervenčné </w:t>
                  </w:r>
                  <w:proofErr w:type="spellStart"/>
                  <w:r w:rsidRPr="00D44831">
                    <w:rPr>
                      <w:rFonts w:ascii="Arial Narrow" w:hAnsi="Arial Narrow"/>
                      <w:color w:val="000000" w:themeColor="text1"/>
                      <w:sz w:val="18"/>
                      <w:szCs w:val="18"/>
                    </w:rPr>
                    <w:t>algeziologické</w:t>
                  </w:r>
                  <w:proofErr w:type="spellEnd"/>
                  <w:r w:rsidRPr="00D44831">
                    <w:rPr>
                      <w:rFonts w:ascii="Arial Narrow" w:hAnsi="Arial Narrow"/>
                      <w:color w:val="000000" w:themeColor="text1"/>
                      <w:sz w:val="18"/>
                      <w:szCs w:val="18"/>
                    </w:rPr>
                    <w:t xml:space="preserve"> metódy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Znovuposk</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0.1pp</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12</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23</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8R1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Eliminačné metódy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Znovuposk</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0.9%</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13</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8R5</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Perkutánne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embolizácie</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Rehosp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14.5%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10</w:t>
                  </w:r>
                </w:p>
              </w:tc>
            </w:tr>
          </w:tbl>
          <w:p w:rsidR="00D44831" w:rsidRPr="00D44831" w:rsidRDefault="00D44831" w:rsidP="003B26DF">
            <w:pPr>
              <w:rPr>
                <w:rFonts w:ascii="Arial Narrow" w:hAnsi="Arial Narrow"/>
                <w:b/>
                <w:color w:val="000000" w:themeColor="text1"/>
              </w:rPr>
            </w:pPr>
          </w:p>
        </w:tc>
      </w:tr>
    </w:tbl>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Vysvetlivky:</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pStyle w:val="Default"/>
        <w:jc w:val="both"/>
        <w:rPr>
          <w:rFonts w:ascii="Arial Narrow" w:hAnsi="Arial Narrow"/>
          <w:color w:val="000000" w:themeColor="text1"/>
          <w:sz w:val="18"/>
          <w:szCs w:val="18"/>
        </w:rPr>
      </w:pPr>
      <w:r w:rsidRPr="00D44831">
        <w:rPr>
          <w:rFonts w:ascii="Arial Narrow" w:hAnsi="Arial Narrow"/>
          <w:color w:val="000000" w:themeColor="text1"/>
          <w:sz w:val="18"/>
          <w:szCs w:val="18"/>
        </w:rPr>
        <w:t>1) Všetky hospitalizačné prípady s diagnózou O* podľa MKCH-10 a výkonmi 5* alebo 8* alebo 9* podľa ZZV-2017</w:t>
      </w:r>
    </w:p>
    <w:p w:rsidR="00D44831" w:rsidRPr="00D44831" w:rsidRDefault="00D44831" w:rsidP="00D44831">
      <w:pPr>
        <w:pStyle w:val="Default"/>
        <w:jc w:val="both"/>
        <w:rPr>
          <w:rFonts w:ascii="Arial Narrow" w:hAnsi="Arial Narrow"/>
          <w:color w:val="000000" w:themeColor="text1"/>
        </w:rPr>
      </w:pPr>
      <w:proofErr w:type="spellStart"/>
      <w:r w:rsidRPr="00D44831">
        <w:rPr>
          <w:rFonts w:ascii="Arial Narrow" w:hAnsi="Arial Narrow"/>
          <w:color w:val="000000" w:themeColor="text1"/>
          <w:sz w:val="18"/>
          <w:szCs w:val="18"/>
        </w:rPr>
        <w:t>Indiv</w:t>
      </w:r>
      <w:proofErr w:type="spellEnd"/>
      <w:r w:rsidRPr="00D44831">
        <w:rPr>
          <w:rFonts w:ascii="Arial Narrow" w:hAnsi="Arial Narrow"/>
          <w:color w:val="000000" w:themeColor="text1"/>
          <w:sz w:val="18"/>
          <w:szCs w:val="18"/>
        </w:rPr>
        <w:t xml:space="preserve">. = individuálny prístup na meranie kvality pôrodníckych výkonov vykázaných v 5*, 8* alebo 9* skupine ZZV prostredníctvom </w:t>
      </w:r>
      <w:proofErr w:type="spellStart"/>
      <w:r w:rsidRPr="00D44831">
        <w:rPr>
          <w:rFonts w:ascii="Arial Narrow" w:hAnsi="Arial Narrow"/>
          <w:color w:val="000000" w:themeColor="text1"/>
          <w:sz w:val="18"/>
          <w:szCs w:val="18"/>
        </w:rPr>
        <w:t>znovuposkytnutia</w:t>
      </w:r>
      <w:proofErr w:type="spellEnd"/>
      <w:r w:rsidRPr="00D44831">
        <w:rPr>
          <w:rFonts w:ascii="Arial Narrow" w:hAnsi="Arial Narrow"/>
          <w:color w:val="000000" w:themeColor="text1"/>
          <w:sz w:val="18"/>
          <w:szCs w:val="18"/>
        </w:rPr>
        <w:t xml:space="preserve"> operačného výkonu 5R* ktoré je v prípade poskytnutia zaznamenané pôvodnému poskytovateľovi, ak bol pacientovi výkon </w:t>
      </w:r>
      <w:proofErr w:type="spellStart"/>
      <w:r w:rsidRPr="00D44831">
        <w:rPr>
          <w:rFonts w:ascii="Arial Narrow" w:hAnsi="Arial Narrow"/>
          <w:color w:val="000000" w:themeColor="text1"/>
          <w:sz w:val="18"/>
          <w:szCs w:val="18"/>
        </w:rPr>
        <w:t>znovuposkytnutý</w:t>
      </w:r>
      <w:proofErr w:type="spellEnd"/>
      <w:r w:rsidRPr="00D44831">
        <w:rPr>
          <w:rFonts w:ascii="Arial Narrow" w:hAnsi="Arial Narrow"/>
          <w:color w:val="000000" w:themeColor="text1"/>
          <w:sz w:val="18"/>
          <w:szCs w:val="18"/>
        </w:rPr>
        <w:t xml:space="preserve"> u ktoréhokoľvek poskytovateľa do 30 dní od pôrodu</w:t>
      </w:r>
    </w:p>
    <w:p w:rsidR="00D44831" w:rsidRPr="00D44831" w:rsidRDefault="00D44831" w:rsidP="00D44831">
      <w:pPr>
        <w:pStyle w:val="Default"/>
        <w:jc w:val="both"/>
        <w:rPr>
          <w:rFonts w:ascii="Arial Narrow" w:hAnsi="Arial Narrow"/>
          <w:color w:val="000000" w:themeColor="text1"/>
        </w:rPr>
      </w:pPr>
      <w:proofErr w:type="spellStart"/>
      <w:r w:rsidRPr="00D44831">
        <w:rPr>
          <w:rFonts w:ascii="Arial Narrow" w:hAnsi="Arial Narrow"/>
          <w:color w:val="000000" w:themeColor="text1"/>
          <w:sz w:val="18"/>
          <w:szCs w:val="18"/>
        </w:rPr>
        <w:lastRenderedPageBreak/>
        <w:t>Reop</w:t>
      </w:r>
      <w:proofErr w:type="spellEnd"/>
      <w:r w:rsidRPr="00D44831">
        <w:rPr>
          <w:rFonts w:ascii="Arial Narrow" w:hAnsi="Arial Narrow"/>
          <w:color w:val="000000" w:themeColor="text1"/>
          <w:sz w:val="18"/>
          <w:szCs w:val="18"/>
        </w:rPr>
        <w:t xml:space="preserve">. = reoperácia zaznamenaná pôvodnému poskytovateľovi, ak bol pacient </w:t>
      </w:r>
      <w:proofErr w:type="spellStart"/>
      <w:r w:rsidRPr="00D44831">
        <w:rPr>
          <w:rFonts w:ascii="Arial Narrow" w:hAnsi="Arial Narrow"/>
          <w:color w:val="000000" w:themeColor="text1"/>
          <w:sz w:val="18"/>
          <w:szCs w:val="18"/>
        </w:rPr>
        <w:t>reoperovaný</w:t>
      </w:r>
      <w:proofErr w:type="spellEnd"/>
      <w:r w:rsidRPr="00D44831">
        <w:rPr>
          <w:rFonts w:ascii="Arial Narrow" w:hAnsi="Arial Narrow"/>
          <w:color w:val="000000" w:themeColor="text1"/>
          <w:sz w:val="18"/>
          <w:szCs w:val="18"/>
        </w:rPr>
        <w:t xml:space="preserve"> u ktoréhokoľvek poskytovateľa zdravotnej starostlivosti do 30 dní od pôvodného poskytnutia operačného výkonu. </w:t>
      </w:r>
    </w:p>
    <w:p w:rsidR="00D44831" w:rsidRPr="00D44831" w:rsidRDefault="00D44831" w:rsidP="00D44831">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Rehosp</w:t>
      </w:r>
      <w:proofErr w:type="spellEnd"/>
      <w:r w:rsidRPr="00D44831">
        <w:rPr>
          <w:rFonts w:ascii="Arial Narrow" w:hAnsi="Arial Narrow"/>
          <w:color w:val="000000" w:themeColor="text1"/>
          <w:sz w:val="18"/>
          <w:szCs w:val="18"/>
        </w:rPr>
        <w:t xml:space="preserve">. = </w:t>
      </w:r>
      <w:proofErr w:type="spellStart"/>
      <w:r w:rsidRPr="00D44831">
        <w:rPr>
          <w:rFonts w:ascii="Arial Narrow" w:hAnsi="Arial Narrow"/>
          <w:color w:val="000000" w:themeColor="text1"/>
          <w:sz w:val="18"/>
          <w:szCs w:val="18"/>
        </w:rPr>
        <w:t>rehospitalizácia</w:t>
      </w:r>
      <w:proofErr w:type="spellEnd"/>
      <w:r w:rsidRPr="00D44831">
        <w:rPr>
          <w:rFonts w:ascii="Arial Narrow" w:hAnsi="Arial Narrow"/>
          <w:color w:val="000000" w:themeColor="text1"/>
          <w:sz w:val="18"/>
          <w:szCs w:val="18"/>
        </w:rPr>
        <w:t xml:space="preserve"> zaznamenaná pôvodnému poskytovateľovi, ak bol pacient </w:t>
      </w:r>
      <w:proofErr w:type="spellStart"/>
      <w:r w:rsidRPr="00D44831">
        <w:rPr>
          <w:rFonts w:ascii="Arial Narrow" w:hAnsi="Arial Narrow"/>
          <w:color w:val="000000" w:themeColor="text1"/>
          <w:sz w:val="18"/>
          <w:szCs w:val="18"/>
        </w:rPr>
        <w:t>rehospitalizovaný</w:t>
      </w:r>
      <w:proofErr w:type="spellEnd"/>
      <w:r w:rsidRPr="00D44831">
        <w:rPr>
          <w:rFonts w:ascii="Arial Narrow" w:hAnsi="Arial Narrow"/>
          <w:color w:val="000000" w:themeColor="text1"/>
          <w:sz w:val="18"/>
          <w:szCs w:val="18"/>
        </w:rPr>
        <w:t xml:space="preserve"> u ktoréhokoľvek poskytovateľa do 30 dní od pôvodného poskytnutia operačného výkonu. </w:t>
      </w:r>
    </w:p>
    <w:p w:rsidR="00D44831" w:rsidRPr="00D44831" w:rsidRDefault="00D44831" w:rsidP="00D44831">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Znovuposk</w:t>
      </w:r>
      <w:proofErr w:type="spellEnd"/>
      <w:r w:rsidRPr="00D44831">
        <w:rPr>
          <w:rFonts w:ascii="Arial Narrow" w:hAnsi="Arial Narrow"/>
          <w:color w:val="000000" w:themeColor="text1"/>
          <w:sz w:val="18"/>
          <w:szCs w:val="18"/>
        </w:rPr>
        <w:t xml:space="preserve">. = </w:t>
      </w:r>
      <w:proofErr w:type="spellStart"/>
      <w:r w:rsidRPr="00D44831">
        <w:rPr>
          <w:rFonts w:ascii="Arial Narrow" w:hAnsi="Arial Narrow"/>
          <w:color w:val="000000" w:themeColor="text1"/>
          <w:sz w:val="18"/>
          <w:szCs w:val="18"/>
        </w:rPr>
        <w:t>znovuposkytnutie</w:t>
      </w:r>
      <w:proofErr w:type="spellEnd"/>
      <w:r w:rsidRPr="00D44831">
        <w:rPr>
          <w:rFonts w:ascii="Arial Narrow" w:hAnsi="Arial Narrow"/>
          <w:color w:val="000000" w:themeColor="text1"/>
          <w:sz w:val="18"/>
          <w:szCs w:val="18"/>
        </w:rPr>
        <w:t xml:space="preserve"> zdravotného výkonu zaznamenané pôvodnému poskytovateľovi, ak bol pacientovi opakovane poskytnutý rovnaký výkon do 30 dní od pôvodného poskytnutia zdravotného výkonu</w:t>
      </w:r>
    </w:p>
    <w:p w:rsidR="00D44831" w:rsidRPr="00D44831" w:rsidRDefault="00D44831" w:rsidP="00D44831">
      <w:pPr>
        <w:spacing w:after="0" w:line="240" w:lineRule="auto"/>
        <w:jc w:val="right"/>
        <w:rPr>
          <w:rFonts w:ascii="Arial Narrow" w:hAnsi="Arial Narrow"/>
          <w:b/>
          <w:color w:val="000000" w:themeColor="text1"/>
        </w:rPr>
      </w:pPr>
    </w:p>
    <w:p w:rsidR="00D44831" w:rsidRPr="00D44831" w:rsidRDefault="00D44831" w:rsidP="00D44831">
      <w:pPr>
        <w:spacing w:after="0" w:line="240" w:lineRule="auto"/>
        <w:jc w:val="right"/>
        <w:rPr>
          <w:rFonts w:ascii="Arial Narrow" w:hAnsi="Arial Narrow"/>
          <w:b/>
          <w:color w:val="000000" w:themeColor="text1"/>
        </w:rPr>
      </w:pPr>
    </w:p>
    <w:p w:rsidR="00D44831" w:rsidRPr="00D44831" w:rsidRDefault="003343D3" w:rsidP="00D44831">
      <w:pPr>
        <w:spacing w:after="0" w:line="240" w:lineRule="auto"/>
        <w:jc w:val="right"/>
        <w:rPr>
          <w:rFonts w:ascii="Arial Narrow" w:hAnsi="Arial Narrow"/>
          <w:b/>
          <w:color w:val="000000" w:themeColor="text1"/>
        </w:rPr>
      </w:pPr>
      <w:r>
        <w:rPr>
          <w:rFonts w:ascii="Arial Narrow" w:hAnsi="Arial Narrow"/>
          <w:b/>
          <w:color w:val="000000" w:themeColor="text1"/>
        </w:rPr>
        <w:t>Príloha č. 2</w:t>
      </w:r>
      <w:bookmarkStart w:id="0" w:name="_GoBack"/>
      <w:bookmarkEnd w:id="0"/>
    </w:p>
    <w:p w:rsidR="00D44831" w:rsidRPr="00D44831" w:rsidRDefault="00D44831" w:rsidP="00D44831">
      <w:pPr>
        <w:spacing w:after="0" w:line="240" w:lineRule="auto"/>
        <w:jc w:val="right"/>
        <w:rPr>
          <w:rFonts w:ascii="Arial Narrow" w:hAnsi="Arial Narrow"/>
          <w:b/>
          <w:color w:val="000000" w:themeColor="text1"/>
        </w:rPr>
      </w:pPr>
      <w:r w:rsidRPr="00D44831">
        <w:rPr>
          <w:rFonts w:ascii="Arial Narrow" w:hAnsi="Arial Narrow"/>
          <w:b/>
          <w:color w:val="000000" w:themeColor="text1"/>
        </w:rPr>
        <w:t>k nariadeniu vlády č.../2019 Z. z.</w:t>
      </w:r>
    </w:p>
    <w:p w:rsidR="00D44831" w:rsidRPr="00D44831" w:rsidRDefault="00D44831" w:rsidP="00D44831">
      <w:pPr>
        <w:spacing w:after="0" w:line="240" w:lineRule="auto"/>
        <w:jc w:val="right"/>
        <w:rPr>
          <w:rFonts w:ascii="Arial Narrow" w:hAnsi="Arial Narrow"/>
          <w:b/>
          <w:color w:val="000000" w:themeColor="text1"/>
        </w:rPr>
      </w:pPr>
    </w:p>
    <w:p w:rsidR="00D44831" w:rsidRPr="00D44831" w:rsidRDefault="00D44831" w:rsidP="00D44831">
      <w:pPr>
        <w:spacing w:after="0" w:line="240" w:lineRule="auto"/>
        <w:jc w:val="center"/>
        <w:rPr>
          <w:rFonts w:ascii="Arial Narrow" w:hAnsi="Arial Narrow"/>
          <w:b/>
          <w:color w:val="000000" w:themeColor="text1"/>
        </w:rPr>
      </w:pPr>
      <w:r w:rsidRPr="00D44831">
        <w:rPr>
          <w:rFonts w:ascii="Arial Narrow" w:hAnsi="Arial Narrow"/>
          <w:b/>
          <w:color w:val="000000" w:themeColor="text1"/>
        </w:rPr>
        <w:t>Metodológia výpočtu limitov pre minimálny počet zdravotných výkonov</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pStyle w:val="Odsekzoznamu"/>
        <w:numPr>
          <w:ilvl w:val="0"/>
          <w:numId w:val="3"/>
        </w:numPr>
        <w:spacing w:after="0" w:line="240" w:lineRule="auto"/>
        <w:jc w:val="both"/>
        <w:rPr>
          <w:rFonts w:ascii="Arial Narrow" w:hAnsi="Arial Narrow"/>
          <w:color w:val="000000" w:themeColor="text1"/>
        </w:rPr>
      </w:pPr>
      <w:r w:rsidRPr="00D44831">
        <w:rPr>
          <w:rFonts w:ascii="Arial Narrow" w:hAnsi="Arial Narrow"/>
          <w:color w:val="000000" w:themeColor="text1"/>
        </w:rPr>
        <w:t>Táto metodológia vysvetľuje spôsob určenia parametrov pre meranie kvality poskytovanej zdravotnej starostlivosti, ako i spôsob určenia minimálneho počtu zdravotných výkonov, ako prostriedku pre dosiahnutie požadovanej hodnoty parametra kvality poskytovanej zdravotnej starostlivosti.</w:t>
      </w:r>
    </w:p>
    <w:p w:rsidR="00D44831" w:rsidRPr="00D44831" w:rsidRDefault="00D44831" w:rsidP="00D44831">
      <w:pPr>
        <w:pStyle w:val="Odsekzoznamu"/>
        <w:numPr>
          <w:ilvl w:val="0"/>
          <w:numId w:val="3"/>
        </w:numPr>
        <w:spacing w:after="0" w:line="240" w:lineRule="auto"/>
        <w:jc w:val="both"/>
        <w:rPr>
          <w:rFonts w:ascii="Arial Narrow" w:hAnsi="Arial Narrow"/>
          <w:color w:val="000000" w:themeColor="text1"/>
        </w:rPr>
      </w:pPr>
      <w:r w:rsidRPr="00D44831">
        <w:rPr>
          <w:rFonts w:ascii="Arial Narrow" w:hAnsi="Arial Narrow"/>
          <w:color w:val="000000" w:themeColor="text1"/>
        </w:rPr>
        <w:t>Metodológia zároveň určuje záväzný spôsob prehodnocovania minimálneho počtu zdravotných výkonov potrebných pre dosiahnutie požadovaného parametra kvality poskytovanej zdravotnej starostlivosti.</w:t>
      </w:r>
    </w:p>
    <w:p w:rsidR="00D44831" w:rsidRPr="00D44831" w:rsidRDefault="00D44831" w:rsidP="00D44831">
      <w:pPr>
        <w:pStyle w:val="Odsekzoznamu"/>
        <w:numPr>
          <w:ilvl w:val="0"/>
          <w:numId w:val="3"/>
        </w:numPr>
        <w:spacing w:after="0" w:line="240" w:lineRule="auto"/>
        <w:jc w:val="both"/>
        <w:rPr>
          <w:rFonts w:ascii="Arial Narrow" w:hAnsi="Arial Narrow"/>
          <w:color w:val="000000" w:themeColor="text1"/>
        </w:rPr>
      </w:pPr>
      <w:r w:rsidRPr="00D44831">
        <w:rPr>
          <w:rFonts w:ascii="Arial Narrow" w:hAnsi="Arial Narrow"/>
          <w:color w:val="000000" w:themeColor="text1"/>
        </w:rPr>
        <w:t>Parametre kvality pre poskytovanie zdravotnej starostlivosti a minimálny počet zdravotných výkonov sa určí takto:</w:t>
      </w:r>
    </w:p>
    <w:p w:rsidR="00D44831" w:rsidRPr="00D44831" w:rsidRDefault="00D44831" w:rsidP="00D44831">
      <w:pPr>
        <w:pStyle w:val="Odsekzoznamu"/>
        <w:spacing w:after="0" w:line="240" w:lineRule="auto"/>
        <w:rPr>
          <w:rFonts w:ascii="Arial Narrow" w:hAnsi="Arial Narrow"/>
          <w:color w:val="000000" w:themeColor="text1"/>
        </w:rPr>
      </w:pPr>
    </w:p>
    <w:p w:rsidR="00D44831" w:rsidRPr="00D44831" w:rsidRDefault="00D44831" w:rsidP="00D44831">
      <w:pPr>
        <w:pStyle w:val="Odsekzoznamu"/>
        <w:numPr>
          <w:ilvl w:val="0"/>
          <w:numId w:val="4"/>
        </w:numPr>
        <w:spacing w:after="0" w:line="240" w:lineRule="auto"/>
        <w:jc w:val="both"/>
        <w:rPr>
          <w:rFonts w:ascii="Arial Narrow" w:hAnsi="Arial Narrow"/>
          <w:b/>
          <w:color w:val="000000" w:themeColor="text1"/>
        </w:rPr>
      </w:pPr>
      <w:r w:rsidRPr="00D44831">
        <w:rPr>
          <w:rFonts w:ascii="Arial Narrow" w:hAnsi="Arial Narrow"/>
          <w:b/>
          <w:color w:val="000000" w:themeColor="text1"/>
        </w:rPr>
        <w:t>metodológia prehodnotenia minimálneho počtu zdravotných výkonov</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určuje, kedy pristúpiť k prehodnoteniu minimálneho počtu zdravotných výkonov,</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prehodnotenie minimálneho počtu zdravotných výkonov pre vybraný zdravotný výkon sa vykoná, ak nie je splnený cieľ parametra pôvodného počtu zdravotných výkonov (cieľom sa rozumie dosiahnutie cieľového alebo nižšieho parametra kvality, napr. reoperácie, </w:t>
      </w:r>
      <w:proofErr w:type="spellStart"/>
      <w:r w:rsidRPr="00D44831">
        <w:rPr>
          <w:rFonts w:ascii="Arial Narrow" w:hAnsi="Arial Narrow"/>
          <w:color w:val="000000" w:themeColor="text1"/>
        </w:rPr>
        <w:t>rehospitalizácie</w:t>
      </w:r>
      <w:proofErr w:type="spellEnd"/>
      <w:r w:rsidRPr="00D44831">
        <w:rPr>
          <w:rFonts w:ascii="Arial Narrow" w:hAnsi="Arial Narrow"/>
          <w:color w:val="000000" w:themeColor="text1"/>
        </w:rPr>
        <w:t>),</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aktuálny stav hodnoty parametra kvality na účely zistenia potreby jeho prehodnotenia sa vypočíta ako celonárodný priemer parametra danej podskupiny (</w:t>
      </w:r>
      <w:proofErr w:type="spellStart"/>
      <w:r w:rsidRPr="00D44831">
        <w:rPr>
          <w:rFonts w:ascii="Arial Narrow" w:hAnsi="Arial Narrow"/>
          <w:color w:val="000000" w:themeColor="text1"/>
        </w:rPr>
        <w:t>reoperovanosti</w:t>
      </w:r>
      <w:proofErr w:type="spellEnd"/>
      <w:r w:rsidRPr="00D44831">
        <w:rPr>
          <w:rFonts w:ascii="Arial Narrow" w:hAnsi="Arial Narrow"/>
          <w:color w:val="000000" w:themeColor="text1"/>
        </w:rPr>
        <w:t xml:space="preserve">, </w:t>
      </w:r>
      <w:proofErr w:type="spellStart"/>
      <w:r w:rsidRPr="00D44831">
        <w:rPr>
          <w:rFonts w:ascii="Arial Narrow" w:hAnsi="Arial Narrow"/>
          <w:color w:val="000000" w:themeColor="text1"/>
        </w:rPr>
        <w:t>rehospitalizácie</w:t>
      </w:r>
      <w:proofErr w:type="spellEnd"/>
      <w:r w:rsidRPr="00D44831">
        <w:rPr>
          <w:rFonts w:ascii="Arial Narrow" w:hAnsi="Arial Narrow"/>
          <w:color w:val="000000" w:themeColor="text1"/>
        </w:rPr>
        <w:t xml:space="preserve"> alebo </w:t>
      </w:r>
      <w:proofErr w:type="spellStart"/>
      <w:r w:rsidRPr="00D44831">
        <w:rPr>
          <w:rFonts w:ascii="Arial Narrow" w:hAnsi="Arial Narrow"/>
          <w:color w:val="000000" w:themeColor="text1"/>
        </w:rPr>
        <w:t>znovuposkytnutia</w:t>
      </w:r>
      <w:proofErr w:type="spellEnd"/>
      <w:r w:rsidRPr="00D44831">
        <w:rPr>
          <w:rFonts w:ascii="Arial Narrow" w:hAnsi="Arial Narrow"/>
          <w:color w:val="000000" w:themeColor="text1"/>
        </w:rPr>
        <w:t xml:space="preserve">), (tzn. počet </w:t>
      </w:r>
      <w:proofErr w:type="spellStart"/>
      <w:r w:rsidRPr="00D44831">
        <w:rPr>
          <w:rFonts w:ascii="Arial Narrow" w:hAnsi="Arial Narrow"/>
          <w:color w:val="000000" w:themeColor="text1"/>
        </w:rPr>
        <w:t>reoperovanosti</w:t>
      </w:r>
      <w:proofErr w:type="spellEnd"/>
      <w:r w:rsidRPr="00D44831">
        <w:rPr>
          <w:rFonts w:ascii="Arial Narrow" w:hAnsi="Arial Narrow"/>
          <w:color w:val="000000" w:themeColor="text1"/>
        </w:rPr>
        <w:t xml:space="preserve">, </w:t>
      </w:r>
      <w:proofErr w:type="spellStart"/>
      <w:r w:rsidRPr="00D44831">
        <w:rPr>
          <w:rFonts w:ascii="Arial Narrow" w:hAnsi="Arial Narrow"/>
          <w:color w:val="000000" w:themeColor="text1"/>
        </w:rPr>
        <w:t>rehospitalizácie</w:t>
      </w:r>
      <w:proofErr w:type="spellEnd"/>
      <w:r w:rsidRPr="00D44831">
        <w:rPr>
          <w:rFonts w:ascii="Arial Narrow" w:hAnsi="Arial Narrow"/>
          <w:color w:val="000000" w:themeColor="text1"/>
        </w:rPr>
        <w:t xml:space="preserve">, </w:t>
      </w:r>
      <w:proofErr w:type="spellStart"/>
      <w:r w:rsidRPr="00D44831">
        <w:rPr>
          <w:rFonts w:ascii="Arial Narrow" w:hAnsi="Arial Narrow"/>
          <w:color w:val="000000" w:themeColor="text1"/>
        </w:rPr>
        <w:t>znovuposkytnutia</w:t>
      </w:r>
      <w:proofErr w:type="spellEnd"/>
      <w:r w:rsidRPr="00D44831">
        <w:rPr>
          <w:rFonts w:ascii="Arial Narrow" w:hAnsi="Arial Narrow"/>
          <w:color w:val="000000" w:themeColor="text1"/>
        </w:rPr>
        <w:t xml:space="preserve"> po poskytnutí danej podskupiny zdravotných výkonov/celkový počet poskytnutých zdravotných výkonov danej podskupiny),</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ak sa v čase prehodnocovania parameter kvality danej skupiny zdravotných výkonov nachádza pod cieľovou hodnotou parametra kvality, minimálny počet zdravotných výkonov sa ďalej nesprísňuje,</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pri prehodnotení minimálneho počtu vybraných zdravotných výkonov sa postupuje podľa metodológie uvedenej v písmene b),</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pri prehodnotení minimálneho počtu zdravotných výkonov sa použijú údaje o vykázanej zdravotnej starostlivosti poskytovateľmi za 12 mesiacov bezprostredne predchádzajúcich prehodnoteniu, zohľadňujúc čas potrebný pre vykázanie zdravotných výkonov zdravotnej starostlivosti.</w:t>
      </w:r>
    </w:p>
    <w:p w:rsidR="00D44831" w:rsidRPr="00D44831" w:rsidRDefault="00D44831" w:rsidP="00D44831">
      <w:pPr>
        <w:pStyle w:val="Odsekzoznamu"/>
        <w:spacing w:after="0" w:line="240" w:lineRule="auto"/>
        <w:ind w:left="284"/>
        <w:jc w:val="both"/>
        <w:rPr>
          <w:rFonts w:ascii="Arial Narrow" w:hAnsi="Arial Narrow"/>
          <w:color w:val="000000" w:themeColor="text1"/>
        </w:rPr>
      </w:pPr>
    </w:p>
    <w:p w:rsidR="00D44831" w:rsidRPr="00D44831" w:rsidRDefault="00D44831" w:rsidP="00D44831">
      <w:pPr>
        <w:pStyle w:val="Odsekzoznamu"/>
        <w:numPr>
          <w:ilvl w:val="0"/>
          <w:numId w:val="4"/>
        </w:numPr>
        <w:spacing w:after="0" w:line="240" w:lineRule="auto"/>
        <w:jc w:val="both"/>
        <w:rPr>
          <w:rFonts w:ascii="Arial Narrow" w:hAnsi="Arial Narrow"/>
          <w:b/>
          <w:color w:val="000000" w:themeColor="text1"/>
        </w:rPr>
      </w:pPr>
      <w:r w:rsidRPr="00D44831">
        <w:rPr>
          <w:rFonts w:ascii="Arial Narrow" w:hAnsi="Arial Narrow"/>
          <w:b/>
          <w:color w:val="000000" w:themeColor="text1"/>
        </w:rPr>
        <w:t>Metodológia výpočtu limitov pre minimálny počet vybraných zdravotných výkonov</w:t>
      </w:r>
    </w:p>
    <w:p w:rsidR="00D44831" w:rsidRPr="00D44831" w:rsidRDefault="00D44831" w:rsidP="00D44831">
      <w:pPr>
        <w:spacing w:after="0" w:line="240" w:lineRule="auto"/>
        <w:rPr>
          <w:rFonts w:ascii="Arial Narrow" w:hAnsi="Arial Narrow"/>
          <w:b/>
          <w:color w:val="000000" w:themeColor="text1"/>
        </w:rPr>
      </w:pPr>
    </w:p>
    <w:p w:rsidR="00D44831" w:rsidRPr="00D44831" w:rsidRDefault="00D44831" w:rsidP="00D44831">
      <w:pPr>
        <w:pStyle w:val="Odsekzoznamu"/>
        <w:numPr>
          <w:ilvl w:val="0"/>
          <w:numId w:val="6"/>
        </w:numPr>
        <w:spacing w:after="0" w:line="240" w:lineRule="auto"/>
        <w:rPr>
          <w:rFonts w:ascii="Arial Narrow" w:hAnsi="Arial Narrow"/>
          <w:b/>
          <w:color w:val="000000" w:themeColor="text1"/>
        </w:rPr>
      </w:pPr>
      <w:r w:rsidRPr="00D44831">
        <w:rPr>
          <w:rFonts w:ascii="Arial Narrow" w:hAnsi="Arial Narrow"/>
          <w:b/>
          <w:color w:val="000000" w:themeColor="text1"/>
        </w:rPr>
        <w:t>Spôsob určenia zdravotných výkonov, pre ktoré sa definuje limit počtu zdravotných výkonov</w:t>
      </w:r>
    </w:p>
    <w:p w:rsidR="00D44831" w:rsidRPr="00D44831" w:rsidRDefault="00D44831" w:rsidP="00D44831">
      <w:pPr>
        <w:spacing w:after="0" w:line="240" w:lineRule="auto"/>
        <w:ind w:left="360"/>
        <w:rPr>
          <w:rFonts w:ascii="Arial Narrow" w:hAnsi="Arial Narrow"/>
          <w:color w:val="000000" w:themeColor="text1"/>
        </w:rPr>
      </w:pP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1a) Limity pre počet zdravotných výkonov sa určia iba pre výkony uvedené v Zozname zdravotných výkonov pre klasifikačný systém diagnosticko-terapeutických skupín pre rok 2018 ustanovený opatrením MZ SR č. S00692-2017-OL (ďalej len „zoznam“).</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1b) Zistí sa celkový počet zdravotných výkonov, vykázaných všetkými poskytovateľmi v podskupine zdravotných výkonov na 3M úrovni podľa zoznamu (ďalej len „podskupina“) danej skupiny zdravotných výkonov. Skupinou zdravotných výkonov sa rozumejú výkony, ktorých kód uvedený v zozname začína rovnakým číslom (napr. 5),</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1c) Zistí sa celkový počet zdravotných výkonov v danej skupine na terminálnej (T) úrovni podľa zoznamu,</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1d) Celkový počet zdravotných výkonov v danej podskupine sa vydelí celkovým počtom zdravotných výkonov v danej skupine (na T úrovni),</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1e) Výsledné % sa vypočíta pre každú podskupinu v danej skupine zdravotných výkonov,</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1f) Zistí sa % priemer všetkých podskupín zdravotných výkonov za celú skupinu,</w:t>
      </w:r>
    </w:p>
    <w:p w:rsidR="00D44831" w:rsidRPr="00D44831" w:rsidRDefault="00D44831" w:rsidP="00D44831">
      <w:pPr>
        <w:spacing w:after="0" w:line="240" w:lineRule="auto"/>
        <w:jc w:val="both"/>
        <w:rPr>
          <w:rFonts w:ascii="Arial Narrow" w:hAnsi="Arial Narrow"/>
          <w:color w:val="000000" w:themeColor="text1"/>
        </w:rPr>
      </w:pP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1g) Pre ďalší výpočet sa použijú iba výkony tej podskupiny, ktorej % prevyšuje priemer danej skupiny. </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lastRenderedPageBreak/>
        <w:t>1h) Pre každú podskupinu zdravotných výkonov v danej skupine sa zistí počet poskytovateľov, ktorí v sledovanom období vykonali aspoň jeden zdravotný výkon v danej podskupine zdravotných výkonov,</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1i) Súčet všetkých poskytovateľov zistený podľa predchádzajúcej vety sa vydelí počtom podskupín, čím sa zistí priemerný počet poskytovateľov za danú skupinu,</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1j) Vyberú sa iba tie podskupiny zdravotných výkonov, ktoré boli vykonané u takého počtu poskytovateľov, ktorých počet prevyšuje priemerný počet poskytovateľov podľa predchádzajúcej vety. </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1k) Pri revízií môže ministerstvo zdravotníctva v záujme dosiahnutia vyššej kvality zdravotných výkonov namiesto všetkých podskupín zdravotných výkonov s nadpriemerným počtom poskytovateľov, použiť podskupiny s vopred určeným počtom poskytovateľov (avšak vždy najmenej 1,5-násobok počtu Regiónov, ak ide o výkony, ktoré majú byť dostupné do 60 minút alebo 2-násobok počtu Územných celkov, ak ide o výkony, ktoré majú byť dostupné do 120 minút </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1l) Ak nie je toľko poskytovateľov, tak sa pre danú skupinu zdravotných výkonov minimálny počet neurčí.</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1m) Limity pre minimálny počet zdravotných výkonov sa určia iba pre výkony, ktoré sú v oboch vyššie uvedených prípadoch podľa bodov 1b) až 1f) a 1g) až 1m) nadpriemerné. </w:t>
      </w:r>
    </w:p>
    <w:p w:rsidR="00D44831" w:rsidRPr="00D44831" w:rsidRDefault="00D44831" w:rsidP="00D44831">
      <w:pPr>
        <w:spacing w:after="0" w:line="240" w:lineRule="auto"/>
        <w:ind w:left="360"/>
        <w:rPr>
          <w:rFonts w:ascii="Arial Narrow" w:hAnsi="Arial Narrow"/>
          <w:color w:val="000000" w:themeColor="text1"/>
        </w:rPr>
      </w:pPr>
    </w:p>
    <w:p w:rsidR="00D44831" w:rsidRPr="00D44831" w:rsidRDefault="00D44831" w:rsidP="00D44831">
      <w:pPr>
        <w:pStyle w:val="Odsekzoznamu"/>
        <w:numPr>
          <w:ilvl w:val="0"/>
          <w:numId w:val="6"/>
        </w:numPr>
        <w:spacing w:after="0" w:line="240" w:lineRule="auto"/>
        <w:rPr>
          <w:rFonts w:ascii="Arial Narrow" w:hAnsi="Arial Narrow"/>
          <w:color w:val="000000" w:themeColor="text1"/>
        </w:rPr>
      </w:pPr>
      <w:r w:rsidRPr="00D44831">
        <w:rPr>
          <w:rFonts w:ascii="Arial Narrow" w:hAnsi="Arial Narrow"/>
          <w:b/>
          <w:color w:val="000000" w:themeColor="text1"/>
        </w:rPr>
        <w:t>Spôsob určenia limitu</w:t>
      </w:r>
    </w:p>
    <w:p w:rsidR="00D44831" w:rsidRPr="00D44831" w:rsidRDefault="00D44831" w:rsidP="00D44831">
      <w:pPr>
        <w:pStyle w:val="Odsekzoznamu"/>
        <w:spacing w:after="0" w:line="240" w:lineRule="auto"/>
        <w:rPr>
          <w:rFonts w:ascii="Arial Narrow" w:hAnsi="Arial Narrow"/>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 xml:space="preserve">2a) Pre všetkých poskytovateľov, ktorí v sledovanom období vykázali vykonanie zdravotných výkonov, určených podľa bodu 1 sa určí % plnenia vybraného parametra kvality (t. j. </w:t>
      </w:r>
      <w:proofErr w:type="spellStart"/>
      <w:r w:rsidRPr="00D44831">
        <w:rPr>
          <w:rFonts w:ascii="Arial Narrow" w:hAnsi="Arial Narrow"/>
          <w:color w:val="000000" w:themeColor="text1"/>
        </w:rPr>
        <w:t>rehosp</w:t>
      </w:r>
      <w:proofErr w:type="spellEnd"/>
      <w:r w:rsidRPr="00D44831">
        <w:rPr>
          <w:rFonts w:ascii="Arial Narrow" w:hAnsi="Arial Narrow"/>
          <w:color w:val="000000" w:themeColor="text1"/>
        </w:rPr>
        <w:t xml:space="preserve">., </w:t>
      </w:r>
      <w:proofErr w:type="spellStart"/>
      <w:r w:rsidRPr="00D44831">
        <w:rPr>
          <w:rFonts w:ascii="Arial Narrow" w:hAnsi="Arial Narrow"/>
          <w:color w:val="000000" w:themeColor="text1"/>
        </w:rPr>
        <w:t>reop</w:t>
      </w:r>
      <w:proofErr w:type="spellEnd"/>
      <w:r w:rsidRPr="00D44831">
        <w:rPr>
          <w:rFonts w:ascii="Arial Narrow" w:hAnsi="Arial Narrow"/>
          <w:color w:val="000000" w:themeColor="text1"/>
        </w:rPr>
        <w:t xml:space="preserve">. alebo </w:t>
      </w:r>
      <w:proofErr w:type="spellStart"/>
      <w:r w:rsidRPr="00D44831">
        <w:rPr>
          <w:rFonts w:ascii="Arial Narrow" w:hAnsi="Arial Narrow"/>
          <w:color w:val="000000" w:themeColor="text1"/>
        </w:rPr>
        <w:t>znovuposk</w:t>
      </w:r>
      <w:proofErr w:type="spellEnd"/>
      <w:r w:rsidRPr="00D44831">
        <w:rPr>
          <w:rFonts w:ascii="Arial Narrow" w:hAnsi="Arial Narrow"/>
          <w:color w:val="000000" w:themeColor="text1"/>
        </w:rPr>
        <w:t xml:space="preserve">.) u daného poskytovateľa (% = (počet </w:t>
      </w:r>
      <w:proofErr w:type="spellStart"/>
      <w:r w:rsidRPr="00D44831">
        <w:rPr>
          <w:rFonts w:ascii="Arial Narrow" w:hAnsi="Arial Narrow"/>
          <w:color w:val="000000" w:themeColor="text1"/>
        </w:rPr>
        <w:t>rehosp</w:t>
      </w:r>
      <w:proofErr w:type="spellEnd"/>
      <w:r w:rsidRPr="00D44831">
        <w:rPr>
          <w:rFonts w:ascii="Arial Narrow" w:hAnsi="Arial Narrow"/>
          <w:color w:val="000000" w:themeColor="text1"/>
        </w:rPr>
        <w:t>./celkový počet zdravotných výkonov u daného poskytovateľa) x 100);</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 xml:space="preserve">2b) Dáta sa zobrazia na grafe, kde na zvislej osi y je zobrazené % parametra kvality u daného poskytovateľa a na vodorovnej osi x počet zdravotných výkonov u daného poskytovateľa; </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 xml:space="preserve">2c) Dáta sa očistia o extrémne hodnoty, kedy sa vypustia poskytovatelia s extrémne malým počtom zdravotných výkonov a vynikajúcou kvalitou (počet zdravotných výkonov menší ako 15. </w:t>
      </w:r>
      <w:proofErr w:type="spellStart"/>
      <w:r w:rsidRPr="00D44831">
        <w:rPr>
          <w:rFonts w:ascii="Arial Narrow" w:hAnsi="Arial Narrow"/>
          <w:color w:val="000000" w:themeColor="text1"/>
        </w:rPr>
        <w:t>percentil</w:t>
      </w:r>
      <w:proofErr w:type="spellEnd"/>
      <w:r w:rsidRPr="00D44831">
        <w:rPr>
          <w:rFonts w:ascii="Arial Narrow" w:hAnsi="Arial Narrow"/>
          <w:color w:val="000000" w:themeColor="text1"/>
        </w:rPr>
        <w:t xml:space="preserve"> početnosti a parameter kvality =0%).</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2d) Limity sa určia nasledovnou metódou:</w:t>
      </w:r>
    </w:p>
    <w:p w:rsidR="00D44831" w:rsidRPr="00D44831" w:rsidRDefault="00D44831" w:rsidP="00D44831">
      <w:pPr>
        <w:pStyle w:val="Odsekzoznamu"/>
        <w:numPr>
          <w:ilvl w:val="1"/>
          <w:numId w:val="6"/>
        </w:numPr>
        <w:spacing w:after="0" w:line="240" w:lineRule="auto"/>
        <w:ind w:left="709"/>
        <w:jc w:val="both"/>
        <w:rPr>
          <w:rFonts w:ascii="Arial Narrow" w:hAnsi="Arial Narrow"/>
          <w:color w:val="000000" w:themeColor="text1"/>
        </w:rPr>
      </w:pPr>
      <w:r w:rsidRPr="00D44831">
        <w:rPr>
          <w:rFonts w:ascii="Arial Narrow" w:hAnsi="Arial Narrow"/>
          <w:color w:val="000000" w:themeColor="text1"/>
        </w:rPr>
        <w:t>Primárna metóda</w:t>
      </w:r>
    </w:p>
    <w:p w:rsidR="00D44831" w:rsidRPr="00D44831" w:rsidRDefault="00D44831" w:rsidP="00D44831">
      <w:pPr>
        <w:pStyle w:val="Odsekzoznamu"/>
        <w:numPr>
          <w:ilvl w:val="2"/>
          <w:numId w:val="6"/>
        </w:numPr>
        <w:spacing w:after="0" w:line="240" w:lineRule="auto"/>
        <w:ind w:left="993" w:hanging="142"/>
        <w:jc w:val="both"/>
        <w:rPr>
          <w:rFonts w:ascii="Arial Narrow" w:hAnsi="Arial Narrow"/>
          <w:color w:val="000000" w:themeColor="text1"/>
        </w:rPr>
      </w:pPr>
      <w:r w:rsidRPr="00D44831">
        <w:rPr>
          <w:rFonts w:ascii="Arial Narrow" w:hAnsi="Arial Narrow"/>
          <w:color w:val="000000" w:themeColor="text1"/>
        </w:rPr>
        <w:t>Na očistené dáta sa aplikuje exponenciálny trend (Y=a*</w:t>
      </w:r>
      <w:proofErr w:type="spellStart"/>
      <w:r w:rsidRPr="00D44831">
        <w:rPr>
          <w:rFonts w:ascii="Arial Narrow" w:hAnsi="Arial Narrow"/>
          <w:color w:val="000000" w:themeColor="text1"/>
        </w:rPr>
        <w:t>X^b</w:t>
      </w:r>
      <w:proofErr w:type="spellEnd"/>
      <w:r w:rsidRPr="00D44831">
        <w:rPr>
          <w:rFonts w:ascii="Arial Narrow" w:hAnsi="Arial Narrow"/>
          <w:color w:val="000000" w:themeColor="text1"/>
        </w:rPr>
        <w:t>)</w:t>
      </w:r>
    </w:p>
    <w:p w:rsidR="00D44831" w:rsidRPr="00D44831" w:rsidRDefault="00D44831" w:rsidP="00D44831">
      <w:pPr>
        <w:pStyle w:val="Odsekzoznamu"/>
        <w:numPr>
          <w:ilvl w:val="2"/>
          <w:numId w:val="6"/>
        </w:numPr>
        <w:spacing w:after="0" w:line="240" w:lineRule="auto"/>
        <w:ind w:left="993" w:hanging="142"/>
        <w:jc w:val="both"/>
        <w:rPr>
          <w:rFonts w:ascii="Arial Narrow" w:hAnsi="Arial Narrow"/>
          <w:color w:val="000000" w:themeColor="text1"/>
        </w:rPr>
      </w:pPr>
      <w:r w:rsidRPr="00D44831">
        <w:rPr>
          <w:rFonts w:ascii="Arial Narrow" w:hAnsi="Arial Narrow"/>
          <w:color w:val="000000" w:themeColor="text1"/>
        </w:rPr>
        <w:t xml:space="preserve">Dáta sa preložia 80. </w:t>
      </w:r>
      <w:proofErr w:type="spellStart"/>
      <w:r w:rsidRPr="00D44831">
        <w:rPr>
          <w:rFonts w:ascii="Arial Narrow" w:hAnsi="Arial Narrow"/>
          <w:color w:val="000000" w:themeColor="text1"/>
        </w:rPr>
        <w:t>percentilom</w:t>
      </w:r>
      <w:proofErr w:type="spellEnd"/>
      <w:r w:rsidRPr="00D44831">
        <w:rPr>
          <w:rFonts w:ascii="Arial Narrow" w:hAnsi="Arial Narrow"/>
          <w:color w:val="000000" w:themeColor="text1"/>
        </w:rPr>
        <w:t xml:space="preserve"> parametra kvality</w:t>
      </w:r>
    </w:p>
    <w:p w:rsidR="00D44831" w:rsidRPr="00D44831" w:rsidRDefault="00D44831" w:rsidP="00D44831">
      <w:pPr>
        <w:pStyle w:val="Odsekzoznamu"/>
        <w:numPr>
          <w:ilvl w:val="2"/>
          <w:numId w:val="6"/>
        </w:numPr>
        <w:spacing w:after="0" w:line="240" w:lineRule="auto"/>
        <w:ind w:left="993" w:hanging="142"/>
        <w:jc w:val="both"/>
        <w:rPr>
          <w:rFonts w:ascii="Arial Narrow" w:hAnsi="Arial Narrow"/>
          <w:color w:val="000000" w:themeColor="text1"/>
        </w:rPr>
      </w:pPr>
      <w:r w:rsidRPr="00D44831">
        <w:rPr>
          <w:rFonts w:ascii="Arial Narrow" w:hAnsi="Arial Narrow"/>
          <w:color w:val="000000" w:themeColor="text1"/>
        </w:rPr>
        <w:t xml:space="preserve">Hodnota 80. </w:t>
      </w:r>
      <w:proofErr w:type="spellStart"/>
      <w:r w:rsidRPr="00D44831">
        <w:rPr>
          <w:rFonts w:ascii="Arial Narrow" w:hAnsi="Arial Narrow"/>
          <w:color w:val="000000" w:themeColor="text1"/>
        </w:rPr>
        <w:t>percentilu</w:t>
      </w:r>
      <w:proofErr w:type="spellEnd"/>
      <w:r w:rsidRPr="00D44831">
        <w:rPr>
          <w:rFonts w:ascii="Arial Narrow" w:hAnsi="Arial Narrow"/>
          <w:color w:val="000000" w:themeColor="text1"/>
        </w:rPr>
        <w:t xml:space="preserve"> parametra kvality sa dosadí za Y do rovnice odhadnutého exponenciálneho trendu a vypočíta sa premenná X, ktorá určuje limit pre počet zdravotných výkonov)</w:t>
      </w:r>
    </w:p>
    <w:p w:rsidR="00D44831" w:rsidRPr="00D44831" w:rsidRDefault="00D44831" w:rsidP="00D44831">
      <w:pPr>
        <w:pStyle w:val="Odsekzoznamu"/>
        <w:numPr>
          <w:ilvl w:val="2"/>
          <w:numId w:val="6"/>
        </w:numPr>
        <w:spacing w:after="0" w:line="240" w:lineRule="auto"/>
        <w:ind w:left="993" w:hanging="142"/>
        <w:jc w:val="both"/>
        <w:rPr>
          <w:rFonts w:ascii="Arial Narrow" w:hAnsi="Arial Narrow"/>
          <w:color w:val="000000" w:themeColor="text1"/>
        </w:rPr>
      </w:pPr>
      <w:r w:rsidRPr="00D44831">
        <w:rPr>
          <w:rFonts w:ascii="Arial Narrow" w:hAnsi="Arial Narrow"/>
          <w:color w:val="000000" w:themeColor="text1"/>
        </w:rPr>
        <w:t>Pokiaľ je výsledok väčší ako 30, zaokrúhli sa výsledok matematicky na celé desiatky. Pokiaľ je výsledok menší ako 30, limit sa nezaokrúhľuje.</w:t>
      </w:r>
    </w:p>
    <w:p w:rsidR="00D44831" w:rsidRPr="00D44831" w:rsidRDefault="00D44831" w:rsidP="00D44831">
      <w:pPr>
        <w:pStyle w:val="Odsekzoznamu"/>
        <w:spacing w:after="0" w:line="240" w:lineRule="auto"/>
        <w:ind w:left="1440"/>
        <w:jc w:val="both"/>
        <w:rPr>
          <w:rFonts w:ascii="Arial Narrow" w:hAnsi="Arial Narrow"/>
          <w:color w:val="000000" w:themeColor="text1"/>
        </w:rPr>
      </w:pPr>
    </w:p>
    <w:p w:rsidR="00D44831" w:rsidRPr="00D44831" w:rsidRDefault="00D44831" w:rsidP="00D44831">
      <w:pPr>
        <w:pStyle w:val="Odsekzoznamu"/>
        <w:numPr>
          <w:ilvl w:val="1"/>
          <w:numId w:val="6"/>
        </w:numPr>
        <w:tabs>
          <w:tab w:val="left" w:pos="1701"/>
        </w:tabs>
        <w:spacing w:after="0" w:line="240" w:lineRule="auto"/>
        <w:ind w:left="709"/>
        <w:jc w:val="both"/>
        <w:rPr>
          <w:rFonts w:ascii="Arial Narrow" w:hAnsi="Arial Narrow"/>
          <w:color w:val="000000" w:themeColor="text1"/>
        </w:rPr>
      </w:pPr>
      <w:r w:rsidRPr="00D44831">
        <w:rPr>
          <w:rFonts w:ascii="Arial Narrow" w:hAnsi="Arial Narrow"/>
          <w:color w:val="000000" w:themeColor="text1"/>
        </w:rPr>
        <w:t xml:space="preserve">Sekundárna metóda – použije sa v prípadoch, ak nie je možné použiť prvú metódu (t. j. limit vychádza tak veľký, že je </w:t>
      </w:r>
      <w:proofErr w:type="spellStart"/>
      <w:r w:rsidRPr="00D44831">
        <w:rPr>
          <w:rFonts w:ascii="Arial Narrow" w:hAnsi="Arial Narrow"/>
          <w:color w:val="000000" w:themeColor="text1"/>
        </w:rPr>
        <w:t>vytesňujúci</w:t>
      </w:r>
      <w:proofErr w:type="spellEnd"/>
      <w:r w:rsidRPr="00D44831">
        <w:rPr>
          <w:rFonts w:ascii="Arial Narrow" w:hAnsi="Arial Narrow"/>
          <w:color w:val="000000" w:themeColor="text1"/>
        </w:rPr>
        <w:t xml:space="preserve"> alebo tak malý, že nemá zmysel ho zavádzať)</w:t>
      </w:r>
    </w:p>
    <w:p w:rsidR="00D44831" w:rsidRPr="00D44831" w:rsidRDefault="00D44831" w:rsidP="00D44831">
      <w:pPr>
        <w:pStyle w:val="Odsekzoznamu"/>
        <w:numPr>
          <w:ilvl w:val="2"/>
          <w:numId w:val="6"/>
        </w:numPr>
        <w:tabs>
          <w:tab w:val="left" w:pos="1701"/>
        </w:tabs>
        <w:spacing w:after="0" w:line="240" w:lineRule="auto"/>
        <w:ind w:left="1134"/>
        <w:jc w:val="both"/>
        <w:rPr>
          <w:rFonts w:ascii="Arial Narrow" w:hAnsi="Arial Narrow"/>
          <w:color w:val="000000" w:themeColor="text1"/>
        </w:rPr>
      </w:pPr>
      <w:r w:rsidRPr="00D44831">
        <w:rPr>
          <w:rFonts w:ascii="Arial Narrow" w:hAnsi="Arial Narrow"/>
          <w:color w:val="000000" w:themeColor="text1"/>
        </w:rPr>
        <w:t>Na očistené dáta sa aplikuje exponenciálny trend (Y=a*</w:t>
      </w:r>
      <w:proofErr w:type="spellStart"/>
      <w:r w:rsidRPr="00D44831">
        <w:rPr>
          <w:rFonts w:ascii="Arial Narrow" w:hAnsi="Arial Narrow"/>
          <w:color w:val="000000" w:themeColor="text1"/>
        </w:rPr>
        <w:t>X^b</w:t>
      </w:r>
      <w:proofErr w:type="spellEnd"/>
      <w:r w:rsidRPr="00D44831">
        <w:rPr>
          <w:rFonts w:ascii="Arial Narrow" w:hAnsi="Arial Narrow"/>
          <w:color w:val="000000" w:themeColor="text1"/>
        </w:rPr>
        <w:t>)</w:t>
      </w:r>
    </w:p>
    <w:p w:rsidR="00D44831" w:rsidRPr="00D44831" w:rsidRDefault="00D44831" w:rsidP="00D44831">
      <w:pPr>
        <w:pStyle w:val="Odsekzoznamu"/>
        <w:numPr>
          <w:ilvl w:val="2"/>
          <w:numId w:val="6"/>
        </w:numPr>
        <w:tabs>
          <w:tab w:val="left" w:pos="1701"/>
        </w:tabs>
        <w:spacing w:after="0" w:line="240" w:lineRule="auto"/>
        <w:ind w:left="1134"/>
        <w:jc w:val="both"/>
        <w:rPr>
          <w:rFonts w:ascii="Arial Narrow" w:hAnsi="Arial Narrow"/>
          <w:color w:val="000000" w:themeColor="text1"/>
        </w:rPr>
      </w:pPr>
      <w:r w:rsidRPr="00D44831">
        <w:rPr>
          <w:rFonts w:ascii="Arial Narrow" w:hAnsi="Arial Narrow"/>
          <w:color w:val="000000" w:themeColor="text1"/>
        </w:rPr>
        <w:t>Pokračuje sa, pokiaľ exponenciálny trend dostatočne vysvetľuje vzťah R</w:t>
      </w:r>
      <w:r w:rsidRPr="00D44831">
        <w:rPr>
          <w:rFonts w:ascii="Arial Narrow" w:hAnsi="Arial Narrow"/>
          <w:color w:val="000000" w:themeColor="text1"/>
          <w:vertAlign w:val="superscript"/>
        </w:rPr>
        <w:t xml:space="preserve">2 </w:t>
      </w:r>
      <w:r w:rsidRPr="00D44831">
        <w:rPr>
          <w:rFonts w:ascii="Arial Narrow" w:hAnsi="Arial Narrow"/>
          <w:color w:val="000000" w:themeColor="text1"/>
        </w:rPr>
        <w:t>&gt;15% (ak táto podmienka nie je splnená, limit sa neurčuje);</w:t>
      </w:r>
    </w:p>
    <w:p w:rsidR="00D44831" w:rsidRPr="00D44831" w:rsidRDefault="00D44831" w:rsidP="00D44831">
      <w:pPr>
        <w:pStyle w:val="Odsekzoznamu"/>
        <w:numPr>
          <w:ilvl w:val="2"/>
          <w:numId w:val="6"/>
        </w:numPr>
        <w:tabs>
          <w:tab w:val="left" w:pos="1701"/>
        </w:tabs>
        <w:spacing w:after="0" w:line="240" w:lineRule="auto"/>
        <w:ind w:left="1134"/>
        <w:jc w:val="both"/>
        <w:rPr>
          <w:rFonts w:ascii="Arial Narrow" w:hAnsi="Arial Narrow"/>
          <w:color w:val="000000" w:themeColor="text1"/>
        </w:rPr>
      </w:pPr>
      <w:r w:rsidRPr="00D44831">
        <w:rPr>
          <w:rFonts w:ascii="Arial Narrow" w:hAnsi="Arial Narrow"/>
          <w:color w:val="000000" w:themeColor="text1"/>
        </w:rPr>
        <w:t xml:space="preserve">Limit sa určí ako 30. </w:t>
      </w:r>
      <w:proofErr w:type="spellStart"/>
      <w:r w:rsidRPr="00D44831">
        <w:rPr>
          <w:rFonts w:ascii="Arial Narrow" w:hAnsi="Arial Narrow"/>
          <w:color w:val="000000" w:themeColor="text1"/>
        </w:rPr>
        <w:t>percentile</w:t>
      </w:r>
      <w:proofErr w:type="spellEnd"/>
      <w:r w:rsidRPr="00D44831">
        <w:rPr>
          <w:rFonts w:ascii="Arial Narrow" w:hAnsi="Arial Narrow"/>
          <w:color w:val="000000" w:themeColor="text1"/>
        </w:rPr>
        <w:t xml:space="preserve"> početnosti zdravotných výkonov;</w:t>
      </w:r>
    </w:p>
    <w:p w:rsidR="00D44831" w:rsidRPr="00D44831" w:rsidRDefault="00D44831" w:rsidP="00D44831">
      <w:pPr>
        <w:pStyle w:val="Odsekzoznamu"/>
        <w:numPr>
          <w:ilvl w:val="2"/>
          <w:numId w:val="6"/>
        </w:numPr>
        <w:tabs>
          <w:tab w:val="left" w:pos="1701"/>
        </w:tabs>
        <w:spacing w:after="0" w:line="240" w:lineRule="auto"/>
        <w:ind w:left="1134"/>
        <w:jc w:val="both"/>
        <w:rPr>
          <w:rFonts w:ascii="Arial Narrow" w:hAnsi="Arial Narrow"/>
          <w:color w:val="000000" w:themeColor="text1"/>
        </w:rPr>
      </w:pPr>
      <w:r w:rsidRPr="00D44831">
        <w:rPr>
          <w:rFonts w:ascii="Arial Narrow" w:hAnsi="Arial Narrow"/>
          <w:color w:val="000000" w:themeColor="text1"/>
        </w:rPr>
        <w:t>Pokiaľ je výsledok väčší ako 30, zaokrúhľuje sa matematicky na celé desiatky. Pokiaľ je výsledok menší ako 30, limit sa nezaokrúhľuje.</w:t>
      </w:r>
    </w:p>
    <w:p w:rsidR="00D44831" w:rsidRPr="00D44831" w:rsidRDefault="00D44831" w:rsidP="00D44831">
      <w:pPr>
        <w:rPr>
          <w:rFonts w:ascii="Arial Narrow" w:hAnsi="Arial Narrow"/>
        </w:rPr>
      </w:pPr>
    </w:p>
    <w:p w:rsidR="007D44D0" w:rsidRPr="00D44831" w:rsidRDefault="003343D3">
      <w:pPr>
        <w:rPr>
          <w:rFonts w:ascii="Arial Narrow" w:hAnsi="Arial Narrow"/>
        </w:rPr>
      </w:pPr>
    </w:p>
    <w:sectPr w:rsidR="007D44D0" w:rsidRPr="00D44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62E"/>
    <w:multiLevelType w:val="hybridMultilevel"/>
    <w:tmpl w:val="B22EFEDA"/>
    <w:lvl w:ilvl="0" w:tplc="7FC62D0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35A77C5C"/>
    <w:multiLevelType w:val="hybridMultilevel"/>
    <w:tmpl w:val="6E36AAF8"/>
    <w:lvl w:ilvl="0" w:tplc="C9265ED8">
      <w:start w:val="1"/>
      <w:numFmt w:val="decimal"/>
      <w:lvlText w:val="%1."/>
      <w:lvlJc w:val="left"/>
      <w:pPr>
        <w:ind w:left="720" w:hanging="360"/>
      </w:pPr>
      <w:rPr>
        <w:b/>
      </w:rPr>
    </w:lvl>
    <w:lvl w:ilvl="1" w:tplc="04090019">
      <w:start w:val="1"/>
      <w:numFmt w:val="lowerLetter"/>
      <w:lvlText w:val="%2."/>
      <w:lvlJc w:val="left"/>
      <w:pPr>
        <w:ind w:left="1440" w:hanging="360"/>
      </w:pPr>
    </w:lvl>
    <w:lvl w:ilvl="2" w:tplc="8B5EFAA4">
      <w:start w:val="1"/>
      <w:numFmt w:val="decimal"/>
      <w:lvlText w:val="%3."/>
      <w:lvlJc w:val="right"/>
      <w:pPr>
        <w:ind w:left="2160" w:hanging="180"/>
      </w:pPr>
      <w:rPr>
        <w:rFonts w:ascii="Arial Narrow" w:eastAsiaTheme="minorEastAsia" w:hAnsi="Arial Narrow"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E15BB"/>
    <w:multiLevelType w:val="hybridMultilevel"/>
    <w:tmpl w:val="5366E25C"/>
    <w:lvl w:ilvl="0" w:tplc="82E4F8B8">
      <w:start w:val="1"/>
      <w:numFmt w:val="decimal"/>
      <w:lvlText w:val="%1."/>
      <w:lvlJc w:val="left"/>
      <w:pPr>
        <w:ind w:left="720" w:hanging="360"/>
      </w:pPr>
      <w:rPr>
        <w:rFonts w:ascii="Arial Narrow" w:eastAsiaTheme="minorEastAsia" w:hAnsi="Arial Narrow"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502BB9"/>
    <w:multiLevelType w:val="hybridMultilevel"/>
    <w:tmpl w:val="D33405F8"/>
    <w:lvl w:ilvl="0" w:tplc="AC2822F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9337B8"/>
    <w:multiLevelType w:val="hybridMultilevel"/>
    <w:tmpl w:val="A98CECAE"/>
    <w:lvl w:ilvl="0" w:tplc="E21A883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CC514D"/>
    <w:multiLevelType w:val="hybridMultilevel"/>
    <w:tmpl w:val="E50EE0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31"/>
    <w:rsid w:val="003343D3"/>
    <w:rsid w:val="005035CA"/>
    <w:rsid w:val="00AE4B9D"/>
    <w:rsid w:val="00D448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9F0"/>
  <w15:chartTrackingRefBased/>
  <w15:docId w15:val="{0E1D6364-4E08-49D7-8721-2D3A8678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831"/>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qFormat/>
    <w:rsid w:val="00D44831"/>
    <w:pPr>
      <w:ind w:left="720"/>
      <w:contextualSpacing/>
    </w:pPr>
  </w:style>
  <w:style w:type="character" w:customStyle="1" w:styleId="OdsekzoznamuChar">
    <w:name w:val="Odsek zoznamu Char"/>
    <w:aliases w:val="body Char,Odsek zoznamu2 Char,Odsek Char,Odsek zoznamu1 Char,List Paragraph Char,List Paragraph1 Char"/>
    <w:link w:val="Odsekzoznamu"/>
    <w:qFormat/>
    <w:locked/>
    <w:rsid w:val="00D44831"/>
    <w:rPr>
      <w:rFonts w:eastAsiaTheme="minorEastAsia" w:cs="Times New Roman"/>
      <w:lang w:eastAsia="sk-SK"/>
    </w:rPr>
  </w:style>
  <w:style w:type="table" w:styleId="Mriekatabuky">
    <w:name w:val="Table Grid"/>
    <w:basedOn w:val="Normlnatabuka"/>
    <w:uiPriority w:val="39"/>
    <w:rsid w:val="00D44831"/>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44831"/>
    <w:rPr>
      <w:rFonts w:cs="Times New Roman"/>
      <w:color w:val="0000FF"/>
      <w:u w:val="single"/>
    </w:rPr>
  </w:style>
  <w:style w:type="paragraph" w:customStyle="1" w:styleId="Default">
    <w:name w:val="Default"/>
    <w:rsid w:val="00D44831"/>
    <w:pPr>
      <w:autoSpaceDE w:val="0"/>
      <w:autoSpaceDN w:val="0"/>
      <w:adjustRightInd w:val="0"/>
      <w:spacing w:after="0" w:line="240" w:lineRule="auto"/>
    </w:pPr>
    <w:rPr>
      <w:rFonts w:ascii="Times New Roman" w:hAnsi="Times New Roman" w:cs="Times New Roman"/>
      <w:color w:val="000000"/>
      <w:sz w:val="24"/>
      <w:szCs w:val="24"/>
    </w:rPr>
  </w:style>
  <w:style w:type="paragraph" w:styleId="Obyajntext">
    <w:name w:val="Plain Text"/>
    <w:basedOn w:val="Normlny"/>
    <w:link w:val="ObyajntextChar"/>
    <w:uiPriority w:val="99"/>
    <w:unhideWhenUsed/>
    <w:rsid w:val="00D44831"/>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D448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P_minimalny_pocet_vykonov"/>
    <f:field ref="objsubject" par="" edit="true" text=""/>
    <f:field ref="objcreatedby" par="" text="Szakácsová, Zuzana, Mgr."/>
    <f:field ref="objcreatedat" par="" text="4.6.2019 16:33:26"/>
    <f:field ref="objchangedby" par="" text="Administrator, System"/>
    <f:field ref="objmodifiedat" par="" text="4.6.2019 16:33: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1863</Words>
  <Characters>10623</Characters>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2019-06-03T23:29:00Z</dcterms:created>
  <dcterms:modified xsi:type="dcterms:W3CDTF">2019-06-03T23:50:00Z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COO.2145.1000.3.3409841</vt:lpwstr>
  </property>
  <property name="FSC#FSCFOLIO@1.1001:docpropproject" pid="152" fmtid="{D5CDD505-2E9C-101B-9397-08002B2CF9AE}">
    <vt:lpwstr/>
  </property>
</Properties>
</file>