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55" w:rsidRPr="00FF6ADA" w:rsidRDefault="00F75755" w:rsidP="00F75755">
      <w:pPr>
        <w:spacing w:line="276" w:lineRule="auto"/>
        <w:jc w:val="center"/>
        <w:rPr>
          <w:rFonts w:ascii="Times New Roman" w:hAnsi="Times New Roman"/>
          <w:b/>
        </w:rPr>
      </w:pPr>
      <w:r w:rsidRPr="00FF6ADA">
        <w:rPr>
          <w:rFonts w:ascii="Times New Roman" w:hAnsi="Times New Roman"/>
          <w:b/>
        </w:rPr>
        <w:t>Dôvodová správa</w:t>
      </w:r>
    </w:p>
    <w:p w:rsidR="00F75755" w:rsidRPr="00FF6ADA" w:rsidRDefault="00F75755" w:rsidP="00F75755">
      <w:pPr>
        <w:spacing w:line="276" w:lineRule="auto"/>
        <w:jc w:val="center"/>
        <w:rPr>
          <w:rFonts w:ascii="Times New Roman" w:hAnsi="Times New Roman"/>
          <w:b/>
          <w:lang w:eastAsia="sk-SK"/>
        </w:rPr>
      </w:pPr>
    </w:p>
    <w:p w:rsidR="00F75755" w:rsidRPr="00FF6ADA" w:rsidRDefault="00F75755" w:rsidP="00F75755">
      <w:pPr>
        <w:spacing w:line="276" w:lineRule="auto"/>
        <w:rPr>
          <w:rFonts w:ascii="Times New Roman" w:hAnsi="Times New Roman"/>
          <w:b/>
        </w:rPr>
      </w:pPr>
      <w:r w:rsidRPr="00FF6ADA">
        <w:rPr>
          <w:rFonts w:ascii="Times New Roman" w:hAnsi="Times New Roman"/>
          <w:b/>
        </w:rPr>
        <w:t xml:space="preserve">A. Všeobecná časť </w:t>
      </w:r>
    </w:p>
    <w:p w:rsidR="00F75755" w:rsidRPr="00FF6ADA" w:rsidRDefault="00F75755" w:rsidP="00F75755">
      <w:pPr>
        <w:pStyle w:val="Normlnywebov"/>
        <w:spacing w:before="0" w:beforeAutospacing="0" w:after="0" w:afterAutospacing="0" w:line="276" w:lineRule="auto"/>
        <w:jc w:val="both"/>
        <w:rPr>
          <w:bCs/>
          <w:sz w:val="22"/>
          <w:szCs w:val="22"/>
        </w:rPr>
      </w:pPr>
      <w:r w:rsidRPr="00FF6ADA">
        <w:rPr>
          <w:bCs/>
          <w:sz w:val="22"/>
          <w:szCs w:val="22"/>
        </w:rPr>
        <w:t xml:space="preserve"> </w:t>
      </w:r>
    </w:p>
    <w:p w:rsidR="005713F5" w:rsidRPr="00A331D1" w:rsidRDefault="005713F5" w:rsidP="005713F5">
      <w:pPr>
        <w:ind w:firstLine="709"/>
        <w:rPr>
          <w:rFonts w:ascii="Times New Roman" w:hAnsi="Times New Roman"/>
          <w:color w:val="000000" w:themeColor="text1"/>
        </w:rPr>
      </w:pPr>
      <w:r w:rsidRPr="00A331D1">
        <w:rPr>
          <w:rFonts w:ascii="Times New Roman" w:hAnsi="Times New Roman"/>
          <w:color w:val="000000" w:themeColor="text1"/>
        </w:rPr>
        <w: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w:t>
      </w:r>
    </w:p>
    <w:p w:rsidR="005713F5" w:rsidRPr="00A331D1" w:rsidRDefault="005713F5" w:rsidP="005713F5">
      <w:pPr>
        <w:ind w:firstLine="708"/>
        <w:rPr>
          <w:rFonts w:ascii="Times New Roman" w:hAnsi="Times New Roman"/>
          <w:color w:val="000000" w:themeColor="text1"/>
        </w:rPr>
      </w:pPr>
      <w:r w:rsidRPr="00A331D1">
        <w:rPr>
          <w:rFonts w:ascii="Times New Roman" w:hAnsi="Times New Roman"/>
          <w:color w:val="000000" w:themeColor="text1"/>
        </w:rPr>
        <w:t>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w:t>
      </w:r>
      <w:r>
        <w:rPr>
          <w:rFonts w:ascii="Times New Roman" w:hAnsi="Times New Roman"/>
          <w:color w:val="000000" w:themeColor="text1"/>
        </w:rPr>
        <w:t xml:space="preserve"> </w:t>
      </w:r>
      <w:r w:rsidRPr="00A331D1">
        <w:rPr>
          <w:rFonts w:ascii="Times New Roman" w:hAnsi="Times New Roman"/>
          <w:color w:val="000000" w:themeColor="text1"/>
        </w:rPr>
        <w:t>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w:t>
      </w:r>
      <w:r>
        <w:rPr>
          <w:rFonts w:ascii="Times New Roman" w:hAnsi="Times New Roman"/>
          <w:color w:val="000000" w:themeColor="text1"/>
        </w:rPr>
        <w:t xml:space="preserve"> infekcií a riziko úmrtnosti. </w:t>
      </w:r>
      <w:r w:rsidRPr="00A331D1">
        <w:rPr>
          <w:rFonts w:ascii="Times New Roman" w:hAnsi="Times New Roman"/>
          <w:color w:val="000000" w:themeColor="text1"/>
        </w:rPr>
        <w:t>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 </w:t>
      </w:r>
    </w:p>
    <w:p w:rsidR="005713F5" w:rsidRDefault="005713F5" w:rsidP="005713F5">
      <w:pPr>
        <w:ind w:firstLine="709"/>
        <w:rPr>
          <w:rFonts w:ascii="Times New Roman" w:hAnsi="Times New Roman"/>
          <w:color w:val="000000" w:themeColor="text1"/>
        </w:rPr>
      </w:pPr>
      <w:r w:rsidRPr="00A331D1">
        <w:rPr>
          <w:rFonts w:ascii="Times New Roman" w:hAnsi="Times New Roman"/>
          <w:color w:val="000000" w:themeColor="text1"/>
        </w:rPr>
        <w: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w:t>
      </w:r>
      <w:r>
        <w:rPr>
          <w:rFonts w:ascii="Times New Roman" w:hAnsi="Times New Roman"/>
          <w:color w:val="000000" w:themeColor="text1"/>
        </w:rPr>
        <w:t xml:space="preserve"> </w:t>
      </w:r>
    </w:p>
    <w:p w:rsidR="005713F5" w:rsidRPr="00A331D1" w:rsidRDefault="005713F5" w:rsidP="005713F5">
      <w:pPr>
        <w:ind w:firstLine="709"/>
        <w:rPr>
          <w:rFonts w:ascii="Times New Roman" w:hAnsi="Times New Roman"/>
          <w:color w:val="000000" w:themeColor="text1"/>
        </w:rPr>
      </w:pPr>
      <w:r w:rsidRPr="00A331D1">
        <w:rPr>
          <w:rFonts w:ascii="Times New Roman" w:hAnsi="Times New Roman"/>
          <w:color w:val="000000" w:themeColor="text1"/>
        </w:rPr>
        <w:t xml:space="preserve">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w:t>
      </w:r>
      <w:proofErr w:type="spellStart"/>
      <w:r w:rsidRPr="00A331D1">
        <w:rPr>
          <w:rFonts w:ascii="Times New Roman" w:hAnsi="Times New Roman"/>
          <w:color w:val="000000" w:themeColor="text1"/>
        </w:rPr>
        <w:t>neonatologických</w:t>
      </w:r>
      <w:proofErr w:type="spellEnd"/>
      <w:r w:rsidRPr="00A331D1">
        <w:rPr>
          <w:rFonts w:ascii="Times New Roman" w:hAnsi="Times New Roman"/>
          <w:color w:val="000000" w:themeColor="text1"/>
        </w:rPr>
        <w:t xml:space="preserve"> až o 21 % menej.</w:t>
      </w:r>
    </w:p>
    <w:p w:rsidR="005713F5" w:rsidRPr="00A331D1" w:rsidRDefault="005713F5" w:rsidP="005713F5">
      <w:pPr>
        <w:ind w:firstLine="709"/>
        <w:rPr>
          <w:rFonts w:ascii="Times New Roman" w:hAnsi="Times New Roman"/>
          <w:color w:val="000000" w:themeColor="text1"/>
        </w:rPr>
      </w:pPr>
      <w:r w:rsidRPr="00A331D1">
        <w:rPr>
          <w:rFonts w:ascii="Times New Roman" w:hAnsi="Times New Roman"/>
          <w:color w:val="000000" w:themeColor="text1"/>
        </w:rPr>
        <w:t>Zmyslom navrhovanej právnej úpravy je vykonať také nevyhnutné zmeny v ústavnej zdravotnej starostlivosti, ktoré zlepšia najmä kvalitu a efektivitu poskytovanej zdravotnej starostlivosti.</w:t>
      </w:r>
    </w:p>
    <w:p w:rsidR="005713F5" w:rsidRPr="00A331D1" w:rsidRDefault="005713F5" w:rsidP="005713F5">
      <w:pPr>
        <w:ind w:firstLine="709"/>
        <w:rPr>
          <w:rFonts w:ascii="Times New Roman" w:hAnsi="Times New Roman"/>
          <w:color w:val="000000" w:themeColor="text1"/>
        </w:rPr>
      </w:pPr>
      <w:r w:rsidRPr="00A331D1">
        <w:rPr>
          <w:rFonts w:ascii="Times New Roman" w:hAnsi="Times New Roman"/>
          <w:color w:val="000000" w:themeColor="text1"/>
        </w:rPr>
        <w:t xml:space="preserve">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w:t>
      </w:r>
      <w:r w:rsidRPr="00A331D1">
        <w:rPr>
          <w:rFonts w:ascii="Times New Roman" w:hAnsi="Times New Roman"/>
          <w:color w:val="000000" w:themeColor="text1"/>
        </w:rPr>
        <w:lastRenderedPageBreak/>
        <w:t>takého ústavného zdravotníckeho zariadenia, kde im bude poskytnutá zodpovedajúca urgentná zdravotná starostlivosť.</w:t>
      </w:r>
    </w:p>
    <w:p w:rsidR="005713F5" w:rsidRPr="00A331D1" w:rsidRDefault="005713F5" w:rsidP="005713F5">
      <w:pPr>
        <w:ind w:firstLine="709"/>
        <w:rPr>
          <w:rFonts w:ascii="Times New Roman" w:hAnsi="Times New Roman"/>
          <w:color w:val="000000" w:themeColor="text1"/>
        </w:rPr>
      </w:pPr>
      <w:r w:rsidRPr="00A331D1">
        <w:rPr>
          <w:rFonts w:ascii="Times New Roman" w:hAnsi="Times New Roman"/>
          <w:color w:val="000000" w:themeColor="text1"/>
        </w:rPr>
        <w:t>Na základe jasne stanovených pravidiel (selekčných kritérií) budú akútne prípady smerované v závislosti od potreby. Urgentný príjem druhého typu je pre 91% populácie dostupný do 1 hodiny. Do 30 min</w:t>
      </w:r>
      <w:r>
        <w:rPr>
          <w:rFonts w:ascii="Times New Roman" w:hAnsi="Times New Roman"/>
          <w:color w:val="000000" w:themeColor="text1"/>
        </w:rPr>
        <w:t>út</w:t>
      </w:r>
      <w:r w:rsidRPr="00A331D1">
        <w:rPr>
          <w:rFonts w:ascii="Times New Roman" w:hAnsi="Times New Roman"/>
          <w:color w:val="000000" w:themeColor="text1"/>
        </w:rPr>
        <w:t xml:space="preserve"> bude zabezpečená urgentná starostlivosť s dostupným neurológom, pediatrom, gynekológom-pôrodníkom a oddelením anestéziológie a intenzívnej medicíny. Takýmto spôsobom bude urgentná starostlivosť poskytovaná s omnoho vyššou efektivitou, pričom sa v plnej miere berie do úvahy personálny a technick</w:t>
      </w:r>
      <w:r>
        <w:rPr>
          <w:rFonts w:ascii="Times New Roman" w:hAnsi="Times New Roman"/>
          <w:color w:val="000000" w:themeColor="text1"/>
        </w:rPr>
        <w:t>ý</w:t>
      </w:r>
      <w:r w:rsidRPr="00A331D1">
        <w:rPr>
          <w:rFonts w:ascii="Times New Roman" w:hAnsi="Times New Roman"/>
          <w:color w:val="000000" w:themeColor="text1"/>
        </w:rPr>
        <w:t xml:space="preserve"> rozmer tejto starostlivosti.</w:t>
      </w:r>
    </w:p>
    <w:p w:rsidR="005713F5" w:rsidRPr="00A331D1" w:rsidRDefault="005713F5" w:rsidP="005713F5">
      <w:pPr>
        <w:ind w:firstLine="709"/>
        <w:rPr>
          <w:rFonts w:ascii="Times New Roman" w:hAnsi="Times New Roman"/>
          <w:color w:val="000000" w:themeColor="text1"/>
        </w:rPr>
      </w:pPr>
      <w:r w:rsidRPr="00A331D1">
        <w:rPr>
          <w:rFonts w:ascii="Times New Roman" w:hAnsi="Times New Roman"/>
          <w:color w:val="000000" w:themeColor="text1"/>
        </w:rPr>
        <w:t>Kvalita a efektívne využitie zdrojov bude tiež podporené vytvorením úrovní nemocníc (lokálna, regionálna, národná, špecializované a kompetenčné centrá) so zadefinovanými rozsahmi poskytovanej zdravotnej starostlivosti a minimálnymi počtami zdravotných výkonov ako kvalitatívnym indikátorom poskytovanej starostlivosti.</w:t>
      </w:r>
      <w:r>
        <w:rPr>
          <w:rFonts w:ascii="Times New Roman" w:hAnsi="Times New Roman"/>
          <w:color w:val="000000" w:themeColor="text1"/>
        </w:rPr>
        <w:t xml:space="preserve"> </w:t>
      </w:r>
      <w:r w:rsidRPr="00A331D1">
        <w:rPr>
          <w:rFonts w:ascii="Times New Roman" w:hAnsi="Times New Roman"/>
          <w:color w:val="000000" w:themeColor="text1"/>
        </w:rPr>
        <w:t>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w:t>
      </w:r>
    </w:p>
    <w:p w:rsidR="005713F5" w:rsidRPr="003E62BA" w:rsidRDefault="005713F5" w:rsidP="005713F5">
      <w:pPr>
        <w:ind w:firstLine="709"/>
        <w:rPr>
          <w:rFonts w:ascii="Times New Roman" w:hAnsi="Times New Roman"/>
          <w:bCs/>
        </w:rPr>
      </w:pPr>
      <w:r>
        <w:rPr>
          <w:rFonts w:ascii="Times New Roman" w:hAnsi="Times New Roman"/>
          <w:color w:val="000000" w:themeColor="text1"/>
        </w:rPr>
        <w:t xml:space="preserve">Návrh zákona taktiež zavádza možnosť vykonať </w:t>
      </w:r>
      <w:r w:rsidRPr="003E62BA">
        <w:rPr>
          <w:rFonts w:ascii="Times New Roman" w:hAnsi="Times New Roman"/>
          <w:bCs/>
        </w:rPr>
        <w:t>dočasnú</w:t>
      </w:r>
      <w:r w:rsidRPr="003E62BA">
        <w:rPr>
          <w:rFonts w:ascii="Times New Roman" w:hAnsi="Times New Roman"/>
          <w:bCs/>
          <w:lang w:eastAsia="sk-SK"/>
        </w:rPr>
        <w:t xml:space="preserve"> odborn</w:t>
      </w:r>
      <w:r w:rsidRPr="003E62BA">
        <w:rPr>
          <w:rFonts w:ascii="Times New Roman" w:hAnsi="Times New Roman"/>
          <w:bCs/>
        </w:rPr>
        <w:t>ú</w:t>
      </w:r>
      <w:r w:rsidRPr="003E62BA">
        <w:rPr>
          <w:rFonts w:ascii="Times New Roman" w:hAnsi="Times New Roman"/>
          <w:bCs/>
          <w:lang w:eastAsia="sk-SK"/>
        </w:rPr>
        <w:t xml:space="preserve"> stáž občanom z tretích štátov </w:t>
      </w:r>
      <w:r w:rsidRPr="003E62BA">
        <w:rPr>
          <w:rFonts w:ascii="Times New Roman" w:hAnsi="Times New Roman"/>
          <w:bCs/>
        </w:rPr>
        <w:t xml:space="preserve">alebo občanom z Európskej únie </w:t>
      </w:r>
      <w:r w:rsidRPr="003E62BA">
        <w:rPr>
          <w:rFonts w:ascii="Times New Roman" w:hAnsi="Times New Roman"/>
          <w:bCs/>
          <w:lang w:eastAsia="sk-SK"/>
        </w:rPr>
        <w:t>v prípade splnenia zákonom ustanovených podmienok.</w:t>
      </w:r>
    </w:p>
    <w:p w:rsidR="005713F5" w:rsidRPr="00FF6ADA" w:rsidRDefault="005713F5" w:rsidP="005713F5">
      <w:pPr>
        <w:ind w:firstLine="709"/>
        <w:rPr>
          <w:rFonts w:ascii="Times New Roman" w:hAnsi="Times New Roman"/>
          <w:bCs/>
          <w:lang w:eastAsia="sk-SK"/>
        </w:rPr>
      </w:pPr>
      <w:r w:rsidRPr="00FF6ADA">
        <w:rPr>
          <w:rFonts w:ascii="Times New Roman" w:hAnsi="Times New Roman"/>
          <w:bCs/>
          <w:lang w:eastAsia="sk-SK"/>
        </w:rPr>
        <w: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w:t>
      </w:r>
      <w:r>
        <w:rPr>
          <w:rFonts w:ascii="Times New Roman" w:hAnsi="Times New Roman"/>
          <w:bCs/>
        </w:rPr>
        <w:t>li</w:t>
      </w:r>
      <w:r w:rsidRPr="00FF6ADA">
        <w:rPr>
          <w:rFonts w:ascii="Times New Roman" w:hAnsi="Times New Roman"/>
          <w:bCs/>
          <w:lang w:eastAsia="sk-SK"/>
        </w:rPr>
        <w:t xml:space="preserve"> hradené podľa predpisov jedného alebo druhého rezortu. </w:t>
      </w:r>
    </w:p>
    <w:p w:rsidR="005713F5" w:rsidRPr="00FF6ADA" w:rsidRDefault="005713F5" w:rsidP="005713F5">
      <w:pPr>
        <w:ind w:firstLine="709"/>
        <w:rPr>
          <w:rFonts w:ascii="Times New Roman" w:hAnsi="Times New Roman"/>
          <w:bCs/>
          <w:lang w:eastAsia="sk-SK"/>
        </w:rPr>
      </w:pPr>
      <w:r w:rsidRPr="00FF6ADA">
        <w:rPr>
          <w:rFonts w:ascii="Times New Roman" w:hAnsi="Times New Roman"/>
          <w:bCs/>
          <w:lang w:eastAsia="sk-SK"/>
        </w:rPr>
        <w:t>Preto sa oba rezorty dohodli na úpravách vlastných systémov, pretože ich považujú za realizovateľnejšie z hľadiska časového (príprava právnej úpravy, uvedenie zmien do praxe) aj vecného (jednoduchšie a zrozumiteľnejšie zavedenie zmien do praxe).</w:t>
      </w:r>
    </w:p>
    <w:p w:rsidR="005713F5" w:rsidRPr="00FF6ADA" w:rsidRDefault="005713F5" w:rsidP="005713F5">
      <w:pPr>
        <w:ind w:firstLine="709"/>
        <w:rPr>
          <w:rFonts w:ascii="Times New Roman" w:hAnsi="Times New Roman"/>
          <w:bCs/>
          <w:lang w:eastAsia="sk-SK"/>
        </w:rPr>
      </w:pPr>
      <w:r w:rsidRPr="00FF6ADA">
        <w:rPr>
          <w:rFonts w:ascii="Times New Roman" w:hAnsi="Times New Roman"/>
          <w:bCs/>
          <w:lang w:eastAsia="sk-SK"/>
        </w:rPr>
        <w:t xml:space="preserve">Cieľom úprav, ktoré navrhuje Ministerstvo zdravotníctva SR je: </w:t>
      </w:r>
    </w:p>
    <w:p w:rsidR="005713F5" w:rsidRPr="00FF6ADA" w:rsidRDefault="005713F5" w:rsidP="005713F5">
      <w:pPr>
        <w:ind w:firstLine="709"/>
        <w:rPr>
          <w:rFonts w:ascii="Times New Roman" w:hAnsi="Times New Roman"/>
          <w:bCs/>
          <w:lang w:eastAsia="sk-SK"/>
        </w:rPr>
      </w:pPr>
      <w:r w:rsidRPr="00FF6ADA">
        <w:rPr>
          <w:rFonts w:ascii="Times New Roman" w:hAnsi="Times New Roman"/>
          <w:bCs/>
          <w:lang w:eastAsia="sk-SK"/>
        </w:rPr>
        <w:t>1.</w:t>
      </w:r>
      <w:r w:rsidRPr="00FF6ADA">
        <w:rPr>
          <w:rFonts w:ascii="Times New Roman" w:hAnsi="Times New Roman"/>
          <w:bCs/>
          <w:lang w:eastAsia="sk-SK"/>
        </w:rPr>
        <w:tab/>
        <w:t xml:space="preserve">posilnenie poskytovateľov ošetrovateľskej a paliatívnej starostlivosti v týchto zdravotníckych zariadeniach [dom ošetrovateľskej starostlivosti („DOS“), agentúra domácej ošetrovateľskej </w:t>
      </w:r>
      <w:r>
        <w:rPr>
          <w:rFonts w:ascii="Times New Roman" w:hAnsi="Times New Roman"/>
          <w:bCs/>
        </w:rPr>
        <w:t>starostlivosti („ADOS“), hospic</w:t>
      </w:r>
      <w:r w:rsidRPr="00FF6ADA">
        <w:rPr>
          <w:rFonts w:ascii="Times New Roman" w:hAnsi="Times New Roman"/>
          <w:bCs/>
          <w:lang w:eastAsia="sk-SK"/>
        </w:rPr>
        <w:t>)], a to týmito návrhmi:</w:t>
      </w:r>
    </w:p>
    <w:p w:rsidR="005713F5" w:rsidRPr="00FF6ADA" w:rsidRDefault="005713F5" w:rsidP="005713F5">
      <w:pPr>
        <w:ind w:left="284" w:hanging="284"/>
        <w:rPr>
          <w:rFonts w:ascii="Times New Roman" w:hAnsi="Times New Roman"/>
          <w:bCs/>
          <w:lang w:eastAsia="sk-SK"/>
        </w:rPr>
      </w:pPr>
      <w:r w:rsidRPr="00FF6ADA">
        <w:rPr>
          <w:rFonts w:ascii="Times New Roman" w:hAnsi="Times New Roman"/>
          <w:bCs/>
          <w:lang w:eastAsia="sk-SK"/>
        </w:rPr>
        <w:t>a)</w:t>
      </w:r>
      <w:r w:rsidRPr="00FF6ADA">
        <w:rPr>
          <w:rFonts w:ascii="Times New Roman" w:hAnsi="Times New Roman"/>
          <w:bCs/>
          <w:lang w:eastAsia="sk-SK"/>
        </w:rPr>
        <w:tab/>
        <w:t>rozšírením verejnej minimálnej siete (ADOS, DOS, následné lôžka, hospic,), resp. vytvorenie optimálnej siete podľa odhadovaného počtu osôb v potrebe ošetrovateľskej starostlivosti a v potrebe paliatívnej starostlivosti,</w:t>
      </w:r>
    </w:p>
    <w:p w:rsidR="005713F5" w:rsidRPr="00FF6ADA" w:rsidRDefault="005713F5" w:rsidP="005713F5">
      <w:pPr>
        <w:ind w:left="284" w:hanging="284"/>
        <w:rPr>
          <w:rFonts w:ascii="Times New Roman" w:hAnsi="Times New Roman"/>
          <w:bCs/>
          <w:lang w:eastAsia="sk-SK"/>
        </w:rPr>
      </w:pPr>
      <w:r w:rsidRPr="00FF6ADA">
        <w:rPr>
          <w:rFonts w:ascii="Times New Roman" w:hAnsi="Times New Roman"/>
          <w:bCs/>
          <w:lang w:eastAsia="sk-SK"/>
        </w:rPr>
        <w:t>b)</w:t>
      </w:r>
      <w:r w:rsidRPr="00FF6ADA">
        <w:rPr>
          <w:rFonts w:ascii="Times New Roman" w:hAnsi="Times New Roman"/>
          <w:bCs/>
          <w:lang w:eastAsia="sk-SK"/>
        </w:rPr>
        <w:tab/>
        <w:t>revíziou indikácie ošetrovateľskej starostlivosti v zariadeniach sociálnej pomoci,</w:t>
      </w:r>
    </w:p>
    <w:p w:rsidR="005713F5" w:rsidRPr="00FF6ADA" w:rsidRDefault="005713F5" w:rsidP="005713F5">
      <w:pPr>
        <w:ind w:left="284" w:hanging="284"/>
        <w:rPr>
          <w:rFonts w:ascii="Times New Roman" w:hAnsi="Times New Roman"/>
          <w:bCs/>
          <w:lang w:eastAsia="sk-SK"/>
        </w:rPr>
      </w:pPr>
      <w:r w:rsidRPr="00FF6ADA">
        <w:rPr>
          <w:rFonts w:ascii="Times New Roman" w:hAnsi="Times New Roman"/>
          <w:bCs/>
          <w:lang w:eastAsia="sk-SK"/>
        </w:rPr>
        <w:t>c)</w:t>
      </w:r>
      <w:r w:rsidRPr="00FF6ADA">
        <w:rPr>
          <w:rFonts w:ascii="Times New Roman" w:hAnsi="Times New Roman"/>
          <w:bCs/>
          <w:lang w:eastAsia="sk-SK"/>
        </w:rPr>
        <w:tab/>
        <w:t>rozšírením pôsobnosti Úradu pre dohľad nad zdravotnou starostlivosťou o kontrolu poskytovania ošetrovateľskej starostlivosti v zariadeniach sociálnej pomoci, ktoré nemajú uzatvorenú zmluvu so zdravotnou poisťovňou,</w:t>
      </w:r>
    </w:p>
    <w:p w:rsidR="005713F5" w:rsidRPr="00FF6ADA" w:rsidRDefault="005713F5" w:rsidP="005713F5">
      <w:pPr>
        <w:ind w:left="284" w:hanging="284"/>
        <w:rPr>
          <w:rFonts w:ascii="Times New Roman" w:hAnsi="Times New Roman"/>
          <w:bCs/>
          <w:lang w:eastAsia="sk-SK"/>
        </w:rPr>
      </w:pPr>
      <w:r w:rsidRPr="00FF6ADA">
        <w:rPr>
          <w:rFonts w:ascii="Times New Roman" w:hAnsi="Times New Roman"/>
          <w:bCs/>
          <w:lang w:eastAsia="sk-SK"/>
        </w:rPr>
        <w:t>d)</w:t>
      </w:r>
      <w:r w:rsidRPr="00FF6ADA">
        <w:rPr>
          <w:rFonts w:ascii="Times New Roman" w:hAnsi="Times New Roman"/>
          <w:bCs/>
          <w:lang w:eastAsia="sk-SK"/>
        </w:rPr>
        <w:tab/>
        <w:t>sprístupnením zdravotnej dokumentácie sociálnemu pracovníkovi pracujúcemu v zdravotníckom zariadení,</w:t>
      </w:r>
    </w:p>
    <w:p w:rsidR="005713F5" w:rsidRPr="00FF6ADA" w:rsidRDefault="005713F5" w:rsidP="005713F5">
      <w:pPr>
        <w:ind w:left="284" w:hanging="284"/>
        <w:rPr>
          <w:rFonts w:ascii="Times New Roman" w:hAnsi="Times New Roman"/>
          <w:bCs/>
          <w:lang w:eastAsia="sk-SK"/>
        </w:rPr>
      </w:pPr>
      <w:r w:rsidRPr="00FF6ADA">
        <w:rPr>
          <w:rFonts w:ascii="Times New Roman" w:hAnsi="Times New Roman"/>
          <w:bCs/>
          <w:lang w:eastAsia="sk-SK"/>
        </w:rPr>
        <w:t>e)</w:t>
      </w:r>
      <w:r w:rsidRPr="00FF6ADA">
        <w:rPr>
          <w:rFonts w:ascii="Times New Roman" w:hAnsi="Times New Roman"/>
          <w:bCs/>
          <w:lang w:eastAsia="sk-SK"/>
        </w:rPr>
        <w:tab/>
        <w:t>reguláciou cien výkonov a paušálov, úhradu dopravy za pacientom v súvislosti s návštevou pacienta,</w:t>
      </w:r>
    </w:p>
    <w:p w:rsidR="005713F5" w:rsidRPr="00FF6ADA" w:rsidRDefault="005713F5" w:rsidP="005713F5">
      <w:pPr>
        <w:ind w:left="284" w:hanging="284"/>
        <w:rPr>
          <w:rFonts w:ascii="Times New Roman" w:hAnsi="Times New Roman"/>
          <w:bCs/>
          <w:lang w:eastAsia="sk-SK"/>
        </w:rPr>
      </w:pPr>
      <w:r w:rsidRPr="00FF6ADA">
        <w:rPr>
          <w:rFonts w:ascii="Times New Roman" w:hAnsi="Times New Roman"/>
          <w:bCs/>
          <w:lang w:eastAsia="sk-SK"/>
        </w:rPr>
        <w:t>f)</w:t>
      </w:r>
      <w:r w:rsidRPr="00FF6ADA">
        <w:rPr>
          <w:rFonts w:ascii="Times New Roman" w:hAnsi="Times New Roman"/>
          <w:bCs/>
          <w:lang w:eastAsia="sk-SK"/>
        </w:rPr>
        <w:tab/>
        <w:t>prehodnotením súčasnej podoby poskytovania ošetrovateľskej starostlivosti v zariadeniach sociálnej pomoci,</w:t>
      </w:r>
    </w:p>
    <w:p w:rsidR="005713F5" w:rsidRPr="00FF6ADA" w:rsidRDefault="005713F5" w:rsidP="005713F5">
      <w:pPr>
        <w:ind w:firstLine="709"/>
        <w:rPr>
          <w:rFonts w:ascii="Times New Roman" w:hAnsi="Times New Roman"/>
          <w:bCs/>
          <w:lang w:eastAsia="sk-SK"/>
        </w:rPr>
      </w:pPr>
      <w:r w:rsidRPr="00FF6ADA">
        <w:rPr>
          <w:rFonts w:ascii="Times New Roman" w:hAnsi="Times New Roman"/>
          <w:bCs/>
          <w:lang w:eastAsia="sk-SK"/>
        </w:rPr>
        <w:t>2.</w:t>
      </w:r>
      <w:r w:rsidRPr="00FF6ADA">
        <w:rPr>
          <w:rFonts w:ascii="Times New Roman" w:hAnsi="Times New Roman"/>
          <w:bCs/>
          <w:lang w:eastAsia="sk-SK"/>
        </w:rPr>
        <w:tab/>
        <w:t>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5713F5" w:rsidRPr="00FF6ADA" w:rsidRDefault="005713F5" w:rsidP="005713F5">
      <w:pPr>
        <w:ind w:firstLine="709"/>
        <w:rPr>
          <w:rFonts w:ascii="Times New Roman" w:hAnsi="Times New Roman"/>
          <w:bCs/>
          <w:lang w:eastAsia="sk-SK"/>
        </w:rPr>
      </w:pPr>
      <w:r w:rsidRPr="00FF6ADA">
        <w:rPr>
          <w:rFonts w:ascii="Times New Roman" w:hAnsi="Times New Roman"/>
          <w:bCs/>
          <w:lang w:eastAsia="sk-SK"/>
        </w:rPr>
        <w:t>3.</w:t>
      </w:r>
      <w:r w:rsidRPr="00FF6ADA">
        <w:rPr>
          <w:rFonts w:ascii="Times New Roman" w:hAnsi="Times New Roman"/>
          <w:bCs/>
          <w:lang w:eastAsia="sk-SK"/>
        </w:rPr>
        <w:tab/>
        <w:t xml:space="preserve">úhradu zdravotnej a ošetrovateľskej starostlivosti formou regulácie cien a určením napríklad platby na každú osobu v potrebe zdravotnej a ošetrovateľskej starostlivosti alebo reguláciou cien výkonov (ADOS, DOS, následné </w:t>
      </w:r>
      <w:r>
        <w:rPr>
          <w:rFonts w:ascii="Times New Roman" w:hAnsi="Times New Roman"/>
          <w:bCs/>
        </w:rPr>
        <w:t>lôžka, hospic, mobilný hospic)</w:t>
      </w:r>
      <w:r w:rsidRPr="00FF6ADA">
        <w:rPr>
          <w:rFonts w:ascii="Times New Roman" w:hAnsi="Times New Roman"/>
          <w:bCs/>
          <w:lang w:eastAsia="sk-SK"/>
        </w:rPr>
        <w:t>.</w:t>
      </w:r>
    </w:p>
    <w:p w:rsidR="005713F5" w:rsidRPr="00FF6ADA" w:rsidRDefault="005713F5" w:rsidP="005713F5">
      <w:pPr>
        <w:ind w:firstLine="709"/>
        <w:rPr>
          <w:rFonts w:ascii="Times New Roman" w:hAnsi="Times New Roman"/>
          <w:bCs/>
          <w:lang w:eastAsia="sk-SK"/>
        </w:rPr>
      </w:pPr>
      <w:r w:rsidRPr="00FF6ADA">
        <w:rPr>
          <w:rFonts w:ascii="Times New Roman" w:hAnsi="Times New Roman"/>
          <w:bCs/>
          <w:lang w:eastAsia="sk-SK"/>
        </w:rPr>
        <w:t xml:space="preserve">V neposlednom rade sa navrhuje rozšírenie pôsobnosti Úradu pre dohľad nad zdravotnou starostlivosťou o kontrolu poskytovania ošetrovateľskej starostlivosti v zariadeniach sociálnej pomoci, ktoré nemajú uzatvorenú zmluvu so zdravotnou poisťovňou.  </w:t>
      </w:r>
    </w:p>
    <w:p w:rsidR="005713F5" w:rsidRPr="00FF6ADA" w:rsidRDefault="005713F5" w:rsidP="005713F5">
      <w:pPr>
        <w:ind w:firstLine="709"/>
        <w:rPr>
          <w:rFonts w:ascii="Times New Roman" w:hAnsi="Times New Roman"/>
          <w:bCs/>
          <w:lang w:eastAsia="sk-SK"/>
        </w:rPr>
      </w:pPr>
    </w:p>
    <w:p w:rsidR="005713F5" w:rsidRPr="00FF6ADA" w:rsidRDefault="005713F5" w:rsidP="005713F5">
      <w:pPr>
        <w:ind w:firstLine="709"/>
        <w:rPr>
          <w:rFonts w:ascii="Times New Roman" w:hAnsi="Times New Roman"/>
          <w:bCs/>
          <w:lang w:eastAsia="sk-SK"/>
        </w:rPr>
      </w:pPr>
      <w:r w:rsidRPr="00FF6ADA">
        <w:rPr>
          <w:rFonts w:ascii="Times New Roman" w:hAnsi="Times New Roman"/>
          <w:bCs/>
          <w:lang w:eastAsia="sk-SK"/>
        </w:rPr>
        <w:lastRenderedPageBreak/>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p>
    <w:p w:rsidR="005713F5" w:rsidRPr="00225ACA" w:rsidRDefault="005713F5" w:rsidP="005713F5">
      <w:pPr>
        <w:ind w:firstLine="709"/>
        <w:rPr>
          <w:rFonts w:ascii="Times New Roman" w:hAnsi="Times New Roman"/>
          <w:color w:val="FF0000"/>
        </w:rPr>
      </w:pPr>
    </w:p>
    <w:p w:rsidR="005713F5" w:rsidRPr="003E62BA" w:rsidRDefault="005713F5" w:rsidP="005713F5">
      <w:pPr>
        <w:ind w:firstLine="709"/>
        <w:rPr>
          <w:rFonts w:ascii="Times New Roman" w:hAnsi="Times New Roman"/>
          <w:bCs/>
          <w:lang w:eastAsia="sk-SK"/>
        </w:rPr>
      </w:pPr>
      <w:r w:rsidRPr="003E62BA">
        <w:rPr>
          <w:rFonts w:ascii="Times New Roman" w:hAnsi="Times New Roman"/>
          <w:bCs/>
          <w:lang w:eastAsia="sk-SK"/>
        </w:rPr>
        <w:t xml:space="preserve">Prijatie predloženého návrhu zákona bude mať vplyv na rozpočet verejnej správy, bude mať vplyv na podnikateľské prostredie, bude mať sociálne vplyvy, bude mať vplyvy na manželstvo, rodičovstvo a rodinu, </w:t>
      </w:r>
      <w:r w:rsidRPr="003E62BA">
        <w:rPr>
          <w:rFonts w:ascii="Times New Roman" w:hAnsi="Times New Roman"/>
          <w:bCs/>
        </w:rPr>
        <w:t>bude mať</w:t>
      </w:r>
      <w:r w:rsidRPr="003E62BA">
        <w:rPr>
          <w:rFonts w:ascii="Times New Roman" w:hAnsi="Times New Roman"/>
          <w:bCs/>
          <w:lang w:eastAsia="sk-SK"/>
        </w:rPr>
        <w:t xml:space="preserve"> vplyv na informatizáciu spoločnosti</w:t>
      </w:r>
      <w:r w:rsidRPr="003E62BA">
        <w:rPr>
          <w:rFonts w:ascii="Times New Roman" w:hAnsi="Times New Roman"/>
          <w:bCs/>
        </w:rPr>
        <w:t>,</w:t>
      </w:r>
      <w:r w:rsidRPr="003E62BA">
        <w:rPr>
          <w:rFonts w:ascii="Times New Roman" w:hAnsi="Times New Roman"/>
          <w:bCs/>
          <w:lang w:eastAsia="sk-SK"/>
        </w:rPr>
        <w:t xml:space="preserve"> nebude mať vplyv na životné prostredie, a ani vplyvy na služby verejnej správy pre občana.</w:t>
      </w:r>
      <w:r w:rsidRPr="003E62BA">
        <w:rPr>
          <w:rFonts w:ascii="Times New Roman" w:hAnsi="Times New Roman"/>
          <w:bCs/>
          <w:lang w:eastAsia="sk-SK"/>
        </w:rPr>
        <w:tab/>
      </w:r>
    </w:p>
    <w:p w:rsidR="005713F5" w:rsidRDefault="005713F5" w:rsidP="005713F5">
      <w:pPr>
        <w:ind w:firstLine="709"/>
        <w:rPr>
          <w:rFonts w:ascii="Times New Roman" w:hAnsi="Times New Roman"/>
          <w:color w:val="000000" w:themeColor="text1"/>
        </w:rPr>
      </w:pPr>
    </w:p>
    <w:p w:rsidR="005713F5" w:rsidRPr="00A331D1" w:rsidRDefault="005713F5" w:rsidP="005713F5">
      <w:pPr>
        <w:ind w:firstLine="709"/>
        <w:rPr>
          <w:rFonts w:ascii="Times New Roman" w:hAnsi="Times New Roman"/>
          <w:color w:val="000000" w:themeColor="text1"/>
        </w:rPr>
      </w:pPr>
      <w:r w:rsidRPr="00A331D1">
        <w:rPr>
          <w:rFonts w:ascii="Times New Roman" w:hAnsi="Times New Roman"/>
          <w:color w:val="000000" w:themeColor="text1"/>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rsidR="005713F5" w:rsidRPr="00A331D1" w:rsidRDefault="005713F5" w:rsidP="005713F5">
      <w:pPr>
        <w:ind w:firstLine="709"/>
        <w:rPr>
          <w:rFonts w:ascii="Times New Roman" w:hAnsi="Times New Roman"/>
          <w:color w:val="000000" w:themeColor="text1"/>
        </w:rPr>
      </w:pPr>
      <w:r w:rsidRPr="00A331D1">
        <w:rPr>
          <w:rFonts w:ascii="Times New Roman" w:hAnsi="Times New Roman"/>
          <w:color w:val="000000" w:themeColor="text1"/>
        </w:rPr>
        <w:t>Vzhľadom na dĺžku legislatívneho procesu sa navrhuje účinnosť návrhu zákona.</w:t>
      </w:r>
    </w:p>
    <w:p w:rsidR="005713F5" w:rsidRDefault="005713F5" w:rsidP="005713F5">
      <w:r w:rsidRPr="00A331D1">
        <w:rPr>
          <w:rFonts w:ascii="Times New Roman" w:hAnsi="Times New Roman"/>
          <w:color w:val="000000" w:themeColor="text1"/>
        </w:rPr>
        <w:t xml:space="preserve">Návrh zákona nie je predmetom </w:t>
      </w:r>
      <w:proofErr w:type="spellStart"/>
      <w:r w:rsidRPr="00A331D1">
        <w:rPr>
          <w:rFonts w:ascii="Times New Roman" w:hAnsi="Times New Roman"/>
          <w:color w:val="000000" w:themeColor="text1"/>
        </w:rPr>
        <w:t>vnútrokomunitárneho</w:t>
      </w:r>
      <w:proofErr w:type="spellEnd"/>
      <w:r w:rsidRPr="00A331D1">
        <w:rPr>
          <w:rFonts w:ascii="Times New Roman" w:hAnsi="Times New Roman"/>
          <w:color w:val="000000" w:themeColor="text1"/>
        </w:rPr>
        <w:t xml:space="preserve"> pripomienkového konania.</w:t>
      </w:r>
    </w:p>
    <w:p w:rsidR="007D44D0" w:rsidRPr="00FF6ADA" w:rsidRDefault="003144CD">
      <w:pPr>
        <w:rPr>
          <w:rFonts w:ascii="Times New Roman" w:hAnsi="Times New Roman"/>
        </w:rPr>
      </w:pPr>
      <w:bookmarkStart w:id="0" w:name="_GoBack"/>
      <w:bookmarkEnd w:id="0"/>
      <w:r w:rsidRPr="00FF6ADA">
        <w:rPr>
          <w:rFonts w:ascii="Times New Roman" w:hAnsi="Times New Roman"/>
        </w:rPr>
        <w:tab/>
      </w:r>
    </w:p>
    <w:sectPr w:rsidR="007D44D0" w:rsidRPr="00FF6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55"/>
    <w:rsid w:val="003144CD"/>
    <w:rsid w:val="005035CA"/>
    <w:rsid w:val="005713F5"/>
    <w:rsid w:val="005E0624"/>
    <w:rsid w:val="00681206"/>
    <w:rsid w:val="00830189"/>
    <w:rsid w:val="009E6B8B"/>
    <w:rsid w:val="00AE4B9D"/>
    <w:rsid w:val="00F75755"/>
    <w:rsid w:val="00FF6A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D58B3-282D-42A4-A8C1-B0049800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5755"/>
    <w:pPr>
      <w:spacing w:after="0" w:line="240" w:lineRule="auto"/>
      <w:jc w:val="both"/>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F75755"/>
    <w:pPr>
      <w:spacing w:before="100" w:beforeAutospacing="1" w:after="100" w:afterAutospacing="1"/>
      <w:jc w:val="left"/>
    </w:pPr>
    <w:rPr>
      <w:rFonts w:ascii="Times New Roman" w:hAnsi="Times New Roman"/>
      <w:sz w:val="24"/>
      <w:szCs w:val="24"/>
      <w:lang w:eastAsia="sk-SK"/>
    </w:rPr>
  </w:style>
  <w:style w:type="paragraph" w:styleId="Nzov">
    <w:name w:val="Title"/>
    <w:basedOn w:val="Normlny"/>
    <w:link w:val="NzovChar"/>
    <w:qFormat/>
    <w:rsid w:val="00F75755"/>
    <w:pPr>
      <w:jc w:val="center"/>
    </w:pPr>
    <w:rPr>
      <w:rFonts w:ascii="Arial" w:hAnsi="Arial" w:cs="Arial"/>
      <w:b/>
      <w:bCs/>
      <w:sz w:val="24"/>
      <w:szCs w:val="24"/>
      <w:lang w:eastAsia="sk-SK"/>
    </w:rPr>
  </w:style>
  <w:style w:type="character" w:customStyle="1" w:styleId="NzovChar">
    <w:name w:val="Názov Char"/>
    <w:basedOn w:val="Predvolenpsmoodseku"/>
    <w:link w:val="Nzov"/>
    <w:rsid w:val="00F75755"/>
    <w:rPr>
      <w:rFonts w:ascii="Arial" w:eastAsia="Times New Roman" w:hAnsi="Arial" w:cs="Arial"/>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_vseobecna"/>
    <f:field ref="objsubject" par="" edit="true" text=""/>
    <f:field ref="objcreatedby" par="" text="Szakácsová, Zuzana, Mgr."/>
    <f:field ref="objcreatedat" par="" text="4.6.2019 16:28:40"/>
    <f:field ref="objchangedby" par="" text="Administrator, System"/>
    <f:field ref="objmodifiedat" par="" text="4.6.2019 16:28: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8937</Characters>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2019-06-03T06:58:00Z</dcterms:created>
  <dcterms:modified xsi:type="dcterms:W3CDTF">2019-06-03T06:58:00Z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COO.2145.1000.3.3409829</vt:lpwstr>
  </property>
  <property name="FSC#FSCFOLIO@1.1001:docpropproject" pid="152" fmtid="{D5CDD505-2E9C-101B-9397-08002B2CF9AE}">
    <vt:lpwstr/>
  </property>
</Properties>
</file>