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9F" w:rsidRPr="00523BC4" w:rsidRDefault="0019069F" w:rsidP="00523BC4">
      <w:pPr>
        <w:spacing w:after="0" w:line="240" w:lineRule="auto"/>
        <w:jc w:val="both"/>
        <w:rPr>
          <w:rFonts w:ascii="Times New Roman" w:eastAsia="Times New Roman" w:hAnsi="Times New Roman"/>
          <w:sz w:val="20"/>
          <w:szCs w:val="20"/>
        </w:rPr>
      </w:pPr>
    </w:p>
    <w:p w:rsidR="0019069F" w:rsidRPr="00523BC4" w:rsidRDefault="0019069F" w:rsidP="00523BC4">
      <w:pPr>
        <w:spacing w:after="0" w:line="240" w:lineRule="auto"/>
        <w:jc w:val="both"/>
        <w:rPr>
          <w:rFonts w:ascii="Times New Roman" w:eastAsia="Times New Roman" w:hAnsi="Times New Roman"/>
          <w:sz w:val="20"/>
          <w:szCs w:val="20"/>
        </w:rPr>
      </w:pPr>
    </w:p>
    <w:tbl>
      <w:tblPr>
        <w:tblStyle w:val="Mriekatabuky"/>
        <w:tblW w:w="9217" w:type="dxa"/>
        <w:tblInd w:w="-108" w:type="dxa"/>
        <w:tblLayout w:type="fixed"/>
        <w:tblLook w:val="04A0" w:firstRow="1" w:lastRow="0" w:firstColumn="1" w:lastColumn="0" w:noHBand="0" w:noVBand="1"/>
      </w:tblPr>
      <w:tblGrid>
        <w:gridCol w:w="9217"/>
      </w:tblGrid>
      <w:tr w:rsidR="0019069F" w:rsidRPr="00523BC4" w:rsidTr="00501F81">
        <w:trPr>
          <w:trHeight w:val="567"/>
        </w:trPr>
        <w:tc>
          <w:tcPr>
            <w:tcW w:w="9217" w:type="dxa"/>
            <w:tcBorders>
              <w:top w:val="single" w:sz="4" w:space="0" w:color="auto"/>
              <w:left w:val="single" w:sz="4" w:space="0" w:color="auto"/>
              <w:right w:val="single" w:sz="4" w:space="0" w:color="auto"/>
            </w:tcBorders>
            <w:shd w:val="clear" w:color="auto" w:fill="D9D9D9"/>
          </w:tcPr>
          <w:p w:rsidR="0019069F" w:rsidRPr="00523BC4" w:rsidRDefault="0019069F" w:rsidP="00523BC4">
            <w:pPr>
              <w:spacing w:after="0" w:line="240" w:lineRule="auto"/>
              <w:jc w:val="center"/>
              <w:rPr>
                <w:rFonts w:ascii="Times New Roman" w:hAnsi="Times New Roman"/>
                <w:b/>
                <w:sz w:val="20"/>
                <w:szCs w:val="20"/>
              </w:rPr>
            </w:pPr>
            <w:r w:rsidRPr="00523BC4">
              <w:rPr>
                <w:rFonts w:ascii="Times New Roman" w:hAnsi="Times New Roman"/>
                <w:b/>
                <w:sz w:val="20"/>
                <w:szCs w:val="20"/>
              </w:rPr>
              <w:t xml:space="preserve">Analýza vplyvov na podnikateľské prostredie </w:t>
            </w:r>
          </w:p>
          <w:p w:rsidR="0019069F" w:rsidRPr="00523BC4" w:rsidRDefault="0019069F" w:rsidP="00523BC4">
            <w:pPr>
              <w:spacing w:after="0" w:line="240" w:lineRule="auto"/>
              <w:jc w:val="center"/>
              <w:rPr>
                <w:rFonts w:ascii="Times New Roman" w:hAnsi="Times New Roman"/>
                <w:b/>
                <w:sz w:val="20"/>
                <w:szCs w:val="20"/>
              </w:rPr>
            </w:pPr>
            <w:r w:rsidRPr="00523BC4">
              <w:rPr>
                <w:rFonts w:ascii="Times New Roman" w:hAnsi="Times New Roman"/>
                <w:b/>
                <w:sz w:val="20"/>
                <w:szCs w:val="20"/>
              </w:rPr>
              <w:t>(vrátane testu MSP)</w:t>
            </w:r>
          </w:p>
        </w:tc>
      </w:tr>
      <w:tr w:rsidR="0019069F" w:rsidRPr="00523BC4" w:rsidTr="00501F81">
        <w:trPr>
          <w:trHeight w:val="567"/>
        </w:trPr>
        <w:tc>
          <w:tcPr>
            <w:tcW w:w="9217" w:type="dxa"/>
            <w:tcBorders>
              <w:left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Materiál bude mať vplyv s ohľadom na veľkostnú kategóriu podnikov:</w:t>
            </w:r>
          </w:p>
        </w:tc>
      </w:tr>
      <w:tr w:rsidR="0019069F" w:rsidRPr="00523BC4" w:rsidTr="00501F81">
        <w:trPr>
          <w:trHeight w:val="567"/>
        </w:trPr>
        <w:tc>
          <w:tcPr>
            <w:tcW w:w="9217" w:type="dxa"/>
            <w:tcBorders>
              <w:left w:val="single" w:sz="4" w:space="0" w:color="auto"/>
              <w:right w:val="single" w:sz="4" w:space="0" w:color="auto"/>
            </w:tcBorders>
          </w:tcPr>
          <w:tbl>
            <w:tblPr>
              <w:tblStyle w:val="Mriekatabuky"/>
              <w:tblW w:w="0" w:type="auto"/>
              <w:tblLayout w:type="fixed"/>
              <w:tblLook w:val="04A0" w:firstRow="1" w:lastRow="0" w:firstColumn="1" w:lastColumn="0" w:noHBand="0" w:noVBand="1"/>
            </w:tblPr>
            <w:tblGrid>
              <w:gridCol w:w="436"/>
              <w:gridCol w:w="8545"/>
            </w:tblGrid>
            <w:tr w:rsidR="0019069F" w:rsidRPr="00523BC4" w:rsidTr="00501F81">
              <w:tc>
                <w:tcPr>
                  <w:tcW w:w="436" w:type="dxa"/>
                </w:tcPr>
                <w:p w:rsidR="0019069F" w:rsidRPr="00523BC4" w:rsidRDefault="0019069F" w:rsidP="00523BC4">
                  <w:pPr>
                    <w:spacing w:after="0" w:line="240" w:lineRule="auto"/>
                    <w:jc w:val="center"/>
                    <w:rPr>
                      <w:rFonts w:ascii="Times New Roman" w:hAnsi="Times New Roman"/>
                      <w:sz w:val="20"/>
                      <w:szCs w:val="20"/>
                    </w:rPr>
                  </w:pPr>
                  <w:r w:rsidRPr="00523BC4">
                    <w:rPr>
                      <w:rFonts w:ascii="Segoe UI Symbol" w:eastAsia="MS Mincho" w:hAnsi="Segoe UI Symbol" w:cs="Segoe UI Symbol"/>
                      <w:sz w:val="20"/>
                      <w:szCs w:val="20"/>
                    </w:rPr>
                    <w:t>☐</w:t>
                  </w:r>
                </w:p>
              </w:tc>
              <w:tc>
                <w:tcPr>
                  <w:tcW w:w="8545" w:type="dxa"/>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 xml:space="preserve">iba na MSP (0 - 249 zamestnancov) </w:t>
                  </w:r>
                </w:p>
              </w:tc>
            </w:tr>
            <w:tr w:rsidR="0019069F" w:rsidRPr="00523BC4" w:rsidTr="00501F81">
              <w:tc>
                <w:tcPr>
                  <w:tcW w:w="436" w:type="dxa"/>
                </w:tcPr>
                <w:p w:rsidR="0019069F" w:rsidRPr="00523BC4" w:rsidRDefault="0019069F" w:rsidP="00523BC4">
                  <w:pPr>
                    <w:spacing w:after="0" w:line="240" w:lineRule="auto"/>
                    <w:jc w:val="center"/>
                    <w:rPr>
                      <w:rFonts w:ascii="Times New Roman" w:hAnsi="Times New Roman"/>
                      <w:sz w:val="20"/>
                      <w:szCs w:val="20"/>
                    </w:rPr>
                  </w:pPr>
                  <w:r w:rsidRPr="00523BC4">
                    <w:rPr>
                      <w:rFonts w:ascii="Segoe UI Symbol" w:eastAsia="MS Gothic" w:hAnsi="Segoe UI Symbol" w:cs="Segoe UI Symbol"/>
                      <w:sz w:val="20"/>
                      <w:szCs w:val="20"/>
                    </w:rPr>
                    <w:t>☐</w:t>
                  </w:r>
                </w:p>
              </w:tc>
              <w:tc>
                <w:tcPr>
                  <w:tcW w:w="8545" w:type="dxa"/>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iba na veľké podniky (250 a viac zamestnancov)</w:t>
                  </w:r>
                </w:p>
              </w:tc>
            </w:tr>
            <w:tr w:rsidR="0019069F" w:rsidRPr="00523BC4" w:rsidTr="00501F81">
              <w:tc>
                <w:tcPr>
                  <w:tcW w:w="436" w:type="dxa"/>
                </w:tcPr>
                <w:p w:rsidR="0019069F" w:rsidRPr="00523BC4" w:rsidRDefault="0019069F" w:rsidP="00523BC4">
                  <w:pPr>
                    <w:spacing w:after="0" w:line="240" w:lineRule="auto"/>
                    <w:jc w:val="center"/>
                    <w:rPr>
                      <w:rFonts w:ascii="Times New Roman" w:hAnsi="Times New Roman"/>
                      <w:sz w:val="20"/>
                      <w:szCs w:val="20"/>
                    </w:rPr>
                  </w:pPr>
                  <w:r w:rsidRPr="00523BC4">
                    <w:rPr>
                      <w:rFonts w:ascii="Segoe UI Symbol" w:eastAsia="MS Gothic" w:hAnsi="Segoe UI Symbol" w:cs="Segoe UI Symbol"/>
                      <w:b/>
                      <w:sz w:val="20"/>
                      <w:szCs w:val="20"/>
                    </w:rPr>
                    <w:t>☒</w:t>
                  </w:r>
                </w:p>
              </w:tc>
              <w:tc>
                <w:tcPr>
                  <w:tcW w:w="8545" w:type="dxa"/>
                </w:tcPr>
                <w:p w:rsidR="0019069F" w:rsidRPr="00523BC4" w:rsidRDefault="0019069F" w:rsidP="00523BC4">
                  <w:pPr>
                    <w:spacing w:after="0" w:line="240" w:lineRule="auto"/>
                    <w:rPr>
                      <w:rFonts w:ascii="Times New Roman" w:hAnsi="Times New Roman"/>
                      <w:sz w:val="20"/>
                      <w:szCs w:val="20"/>
                    </w:rPr>
                  </w:pPr>
                  <w:r w:rsidRPr="00523BC4">
                    <w:rPr>
                      <w:rFonts w:ascii="Times New Roman" w:hAnsi="Times New Roman"/>
                      <w:b/>
                      <w:sz w:val="20"/>
                      <w:szCs w:val="20"/>
                    </w:rPr>
                    <w:t>na všetky kategórie podnikov</w:t>
                  </w:r>
                </w:p>
              </w:tc>
            </w:tr>
          </w:tbl>
          <w:p w:rsidR="0019069F" w:rsidRPr="00523BC4" w:rsidRDefault="0019069F" w:rsidP="00523BC4">
            <w:pPr>
              <w:spacing w:after="0" w:line="240" w:lineRule="auto"/>
              <w:rPr>
                <w:rFonts w:ascii="Times New Roman" w:hAnsi="Times New Roman"/>
                <w:b/>
                <w:sz w:val="20"/>
                <w:szCs w:val="20"/>
              </w:rPr>
            </w:pPr>
          </w:p>
        </w:tc>
      </w:tr>
      <w:tr w:rsidR="0019069F" w:rsidRPr="00523BC4" w:rsidTr="00501F81">
        <w:tc>
          <w:tcPr>
            <w:tcW w:w="9217" w:type="dxa"/>
            <w:tcBorders>
              <w:left w:val="single" w:sz="4" w:space="0" w:color="auto"/>
              <w:bottom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3.1 Dotknuté podnikateľské subjekty</w:t>
            </w:r>
          </w:p>
          <w:p w:rsidR="0019069F" w:rsidRPr="00523BC4" w:rsidRDefault="0019069F" w:rsidP="00523BC4">
            <w:pPr>
              <w:spacing w:after="0" w:line="240" w:lineRule="auto"/>
              <w:ind w:left="284"/>
              <w:rPr>
                <w:rFonts w:ascii="Times New Roman" w:hAnsi="Times New Roman"/>
                <w:b/>
                <w:sz w:val="20"/>
                <w:szCs w:val="20"/>
              </w:rPr>
            </w:pPr>
            <w:r w:rsidRPr="00523BC4">
              <w:rPr>
                <w:rFonts w:ascii="Times New Roman" w:hAnsi="Times New Roman"/>
                <w:sz w:val="20"/>
                <w:szCs w:val="20"/>
              </w:rPr>
              <w:t xml:space="preserve"> - </w:t>
            </w:r>
            <w:r w:rsidRPr="00523BC4">
              <w:rPr>
                <w:rFonts w:ascii="Times New Roman" w:hAnsi="Times New Roman"/>
                <w:b/>
                <w:sz w:val="20"/>
                <w:szCs w:val="20"/>
              </w:rPr>
              <w:t>z toho MSP</w:t>
            </w:r>
          </w:p>
        </w:tc>
      </w:tr>
      <w:tr w:rsidR="0019069F" w:rsidRPr="00523BC4" w:rsidTr="00501F81">
        <w:tc>
          <w:tcPr>
            <w:tcW w:w="9217" w:type="dxa"/>
            <w:tcBorders>
              <w:top w:val="single" w:sz="4" w:space="0" w:color="auto"/>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Uveďte, aké podnikateľské subjekty budú predkladaným návrhom ovplyvnené.</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Aký je ich počet?</w:t>
            </w:r>
          </w:p>
        </w:tc>
      </w:tr>
      <w:tr w:rsidR="0019069F" w:rsidRPr="00523BC4" w:rsidTr="00501F81">
        <w:trPr>
          <w:trHeight w:val="1129"/>
        </w:trPr>
        <w:tc>
          <w:tcPr>
            <w:tcW w:w="9217" w:type="dxa"/>
            <w:tcBorders>
              <w:left w:val="single" w:sz="4" w:space="0" w:color="auto"/>
              <w:bottom w:val="single" w:sz="4" w:space="0" w:color="auto"/>
              <w:right w:val="single" w:sz="4" w:space="0" w:color="auto"/>
            </w:tcBorders>
          </w:tcPr>
          <w:p w:rsidR="0019069F" w:rsidRDefault="0019069F" w:rsidP="000A2644">
            <w:pPr>
              <w:spacing w:after="0" w:line="240" w:lineRule="auto"/>
              <w:rPr>
                <w:rFonts w:ascii="Times New Roman" w:hAnsi="Times New Roman"/>
                <w:sz w:val="20"/>
                <w:szCs w:val="20"/>
              </w:rPr>
            </w:pPr>
            <w:r w:rsidRPr="00523BC4">
              <w:rPr>
                <w:rFonts w:ascii="Times New Roman" w:hAnsi="Times New Roman"/>
                <w:color w:val="000000"/>
                <w:sz w:val="20"/>
                <w:szCs w:val="20"/>
              </w:rPr>
              <w:t>Zdravotné poisťovne (3)</w:t>
            </w:r>
            <w:r w:rsidR="000A2644">
              <w:rPr>
                <w:rFonts w:ascii="Times New Roman" w:hAnsi="Times New Roman"/>
                <w:color w:val="000000"/>
                <w:sz w:val="20"/>
                <w:szCs w:val="20"/>
              </w:rPr>
              <w:t xml:space="preserve">, </w:t>
            </w:r>
            <w:r w:rsidRPr="00523BC4">
              <w:rPr>
                <w:rFonts w:ascii="Times New Roman" w:hAnsi="Times New Roman"/>
                <w:sz w:val="20"/>
                <w:szCs w:val="20"/>
              </w:rPr>
              <w:t>Poskytovatelia zdravotnej starostlivosti – zariadenia ústavnej zdravotnej starostlivosti</w:t>
            </w:r>
            <w:r w:rsidR="00523BC4">
              <w:rPr>
                <w:rFonts w:ascii="Times New Roman" w:hAnsi="Times New Roman"/>
                <w:sz w:val="20"/>
                <w:szCs w:val="20"/>
              </w:rPr>
              <w:t xml:space="preserve"> (114)</w:t>
            </w:r>
            <w:r w:rsidRPr="00523BC4">
              <w:rPr>
                <w:rFonts w:ascii="Times New Roman" w:hAnsi="Times New Roman"/>
                <w:sz w:val="20"/>
                <w:szCs w:val="20"/>
              </w:rPr>
              <w:t>,</w:t>
            </w:r>
            <w:r w:rsidR="000A2644">
              <w:rPr>
                <w:rFonts w:ascii="Times New Roman" w:hAnsi="Times New Roman"/>
                <w:sz w:val="20"/>
                <w:szCs w:val="20"/>
              </w:rPr>
              <w:t xml:space="preserve"> </w:t>
            </w:r>
            <w:r w:rsidR="00EB42AB">
              <w:rPr>
                <w:rFonts w:ascii="Times New Roman" w:hAnsi="Times New Roman"/>
                <w:sz w:val="20"/>
                <w:szCs w:val="20"/>
              </w:rPr>
              <w:t>Agentúry</w:t>
            </w:r>
            <w:r w:rsidR="00523BC4">
              <w:rPr>
                <w:rFonts w:ascii="Times New Roman" w:hAnsi="Times New Roman"/>
                <w:sz w:val="20"/>
                <w:szCs w:val="20"/>
              </w:rPr>
              <w:t xml:space="preserve"> domácej ošetrovateľskej starostlivosti (</w:t>
            </w:r>
            <w:r w:rsidR="00EB42AB">
              <w:rPr>
                <w:rFonts w:ascii="Times New Roman" w:hAnsi="Times New Roman"/>
                <w:sz w:val="20"/>
                <w:szCs w:val="20"/>
              </w:rPr>
              <w:t>870)</w:t>
            </w:r>
            <w:r w:rsidRPr="00523BC4">
              <w:rPr>
                <w:rFonts w:ascii="Times New Roman" w:hAnsi="Times New Roman"/>
                <w:sz w:val="20"/>
                <w:szCs w:val="20"/>
              </w:rPr>
              <w:t>, D</w:t>
            </w:r>
            <w:r w:rsidR="00EB42AB">
              <w:rPr>
                <w:rFonts w:ascii="Times New Roman" w:hAnsi="Times New Roman"/>
                <w:sz w:val="20"/>
                <w:szCs w:val="20"/>
              </w:rPr>
              <w:t>omy ošetrovateľskej starostlivosti (17)</w:t>
            </w:r>
            <w:r w:rsidRPr="00523BC4">
              <w:rPr>
                <w:rFonts w:ascii="Times New Roman" w:hAnsi="Times New Roman"/>
                <w:sz w:val="20"/>
                <w:szCs w:val="20"/>
              </w:rPr>
              <w:t xml:space="preserve">, </w:t>
            </w:r>
            <w:r w:rsidR="00EB42AB">
              <w:rPr>
                <w:rFonts w:ascii="Times New Roman" w:hAnsi="Times New Roman"/>
                <w:sz w:val="20"/>
                <w:szCs w:val="20"/>
              </w:rPr>
              <w:t>Hospice (12)</w:t>
            </w:r>
            <w:r w:rsidRPr="00523BC4">
              <w:rPr>
                <w:rFonts w:ascii="Times New Roman" w:hAnsi="Times New Roman"/>
                <w:sz w:val="20"/>
                <w:szCs w:val="20"/>
              </w:rPr>
              <w:t xml:space="preserve">, </w:t>
            </w:r>
            <w:r w:rsidR="00EB42AB">
              <w:rPr>
                <w:rFonts w:ascii="Times New Roman" w:hAnsi="Times New Roman"/>
                <w:sz w:val="20"/>
                <w:szCs w:val="20"/>
              </w:rPr>
              <w:t>M</w:t>
            </w:r>
            <w:r w:rsidRPr="00523BC4">
              <w:rPr>
                <w:rFonts w:ascii="Times New Roman" w:hAnsi="Times New Roman"/>
                <w:sz w:val="20"/>
                <w:szCs w:val="20"/>
              </w:rPr>
              <w:t>obilné hospice</w:t>
            </w:r>
            <w:r w:rsidR="00EB42AB">
              <w:rPr>
                <w:rFonts w:ascii="Times New Roman" w:hAnsi="Times New Roman"/>
                <w:sz w:val="20"/>
                <w:szCs w:val="20"/>
              </w:rPr>
              <w:t xml:space="preserve"> (8)</w:t>
            </w:r>
            <w:r w:rsidR="000A2644">
              <w:rPr>
                <w:rFonts w:ascii="Times New Roman" w:hAnsi="Times New Roman"/>
                <w:sz w:val="20"/>
                <w:szCs w:val="20"/>
              </w:rPr>
              <w:t xml:space="preserve"> – pokiaľ ide o následnú zdravotnú starostlivosť</w:t>
            </w:r>
          </w:p>
          <w:p w:rsidR="00EB42AB" w:rsidRDefault="00EB42AB" w:rsidP="00523B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Poskytovatelia zdravotnej starostlivosti – všeobecný lekár, gynekológ, </w:t>
            </w:r>
            <w:r w:rsidRPr="000A2644">
              <w:rPr>
                <w:rFonts w:ascii="Times New Roman" w:hAnsi="Times New Roman"/>
                <w:sz w:val="20"/>
                <w:szCs w:val="20"/>
              </w:rPr>
              <w:t xml:space="preserve">expertný </w:t>
            </w:r>
            <w:proofErr w:type="spellStart"/>
            <w:r w:rsidRPr="000A2644">
              <w:rPr>
                <w:rFonts w:ascii="Times New Roman" w:hAnsi="Times New Roman"/>
                <w:sz w:val="20"/>
                <w:szCs w:val="20"/>
              </w:rPr>
              <w:t>kolposkopista</w:t>
            </w:r>
            <w:proofErr w:type="spellEnd"/>
            <w:r w:rsidRPr="000A2644">
              <w:rPr>
                <w:rFonts w:ascii="Times New Roman" w:hAnsi="Times New Roman"/>
                <w:sz w:val="20"/>
                <w:szCs w:val="20"/>
              </w:rPr>
              <w:t xml:space="preserve">, gastroenterológ, onkológ, </w:t>
            </w:r>
            <w:proofErr w:type="spellStart"/>
            <w:r w:rsidR="000A2644" w:rsidRPr="000A2644">
              <w:rPr>
                <w:rFonts w:ascii="Times New Roman" w:hAnsi="Times New Roman"/>
                <w:sz w:val="20"/>
                <w:szCs w:val="20"/>
              </w:rPr>
              <w:t>rádiodiagnostických</w:t>
            </w:r>
            <w:proofErr w:type="spellEnd"/>
            <w:r w:rsidR="000A2644" w:rsidRPr="000A2644">
              <w:rPr>
                <w:rFonts w:ascii="Times New Roman" w:hAnsi="Times New Roman"/>
                <w:sz w:val="20"/>
                <w:szCs w:val="20"/>
              </w:rPr>
              <w:t xml:space="preserve"> pracovísk, cytologických pracovísk</w:t>
            </w:r>
            <w:r w:rsidR="000A2644">
              <w:rPr>
                <w:rFonts w:ascii="Times New Roman" w:hAnsi="Times New Roman"/>
                <w:sz w:val="20"/>
                <w:szCs w:val="20"/>
              </w:rPr>
              <w:t xml:space="preserve"> – pokiaľ ide o skríningy </w:t>
            </w:r>
          </w:p>
          <w:p w:rsidR="000A2644" w:rsidRPr="00523BC4" w:rsidRDefault="000A2644" w:rsidP="00523B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Poskytovatelia zdravotnej starostlivosti – 12 000 ambulantných a 114 nemocníc – pokiaľ ide o zavádzanie systému kvality, bezpečnosti pacienta a zber údajov na vyhodnotenie indikátorov kvality</w:t>
            </w:r>
          </w:p>
          <w:p w:rsidR="0019069F" w:rsidRPr="00523BC4" w:rsidRDefault="0019069F" w:rsidP="00523BC4">
            <w:pPr>
              <w:autoSpaceDE w:val="0"/>
              <w:autoSpaceDN w:val="0"/>
              <w:adjustRightInd w:val="0"/>
              <w:spacing w:after="0" w:line="240" w:lineRule="auto"/>
              <w:rPr>
                <w:rFonts w:ascii="Times New Roman" w:hAnsi="Times New Roman"/>
                <w:sz w:val="20"/>
                <w:szCs w:val="20"/>
              </w:rPr>
            </w:pPr>
          </w:p>
        </w:tc>
      </w:tr>
      <w:tr w:rsidR="0019069F" w:rsidRPr="00523BC4" w:rsidTr="00501F81">
        <w:trPr>
          <w:trHeight w:val="339"/>
        </w:trPr>
        <w:tc>
          <w:tcPr>
            <w:tcW w:w="9217" w:type="dxa"/>
            <w:tcBorders>
              <w:left w:val="single" w:sz="4" w:space="0" w:color="auto"/>
              <w:bottom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3.2 Vyhodnotenie konzultácií</w:t>
            </w:r>
          </w:p>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sz w:val="20"/>
                <w:szCs w:val="20"/>
              </w:rPr>
              <w:t xml:space="preserve">       - </w:t>
            </w:r>
            <w:r w:rsidRPr="00523BC4">
              <w:rPr>
                <w:rFonts w:ascii="Times New Roman" w:hAnsi="Times New Roman"/>
                <w:b/>
                <w:sz w:val="20"/>
                <w:szCs w:val="20"/>
              </w:rPr>
              <w:t>z toho MSP</w:t>
            </w:r>
          </w:p>
        </w:tc>
      </w:tr>
      <w:tr w:rsidR="0019069F" w:rsidRPr="00523BC4" w:rsidTr="00501F81">
        <w:trPr>
          <w:trHeight w:val="557"/>
        </w:trPr>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Uveďte, akou formou (verejné alebo cielené konzultácie a prečo) a s kým bol návrh konzultovaný.</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Ako dlho trvali konzultácie?</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 xml:space="preserve">Uveďte hlavné body konzultácií a výsledky konzultácií. </w:t>
            </w:r>
          </w:p>
        </w:tc>
      </w:tr>
      <w:tr w:rsidR="0019069F" w:rsidRPr="00523BC4" w:rsidTr="00501F81">
        <w:trPr>
          <w:trHeight w:val="548"/>
        </w:trPr>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jc w:val="both"/>
              <w:rPr>
                <w:rFonts w:ascii="Times New Roman" w:hAnsi="Times New Roman"/>
                <w:bCs/>
                <w:sz w:val="20"/>
                <w:szCs w:val="20"/>
              </w:rPr>
            </w:pPr>
            <w:r w:rsidRPr="00523BC4">
              <w:rPr>
                <w:rFonts w:ascii="Times New Roman" w:hAnsi="Times New Roman"/>
                <w:sz w:val="20"/>
                <w:szCs w:val="20"/>
              </w:rPr>
              <w:t xml:space="preserve">Problematika </w:t>
            </w:r>
            <w:r w:rsidRPr="00523BC4">
              <w:rPr>
                <w:rFonts w:ascii="Times New Roman" w:hAnsi="Times New Roman"/>
                <w:bCs/>
                <w:sz w:val="20"/>
                <w:szCs w:val="20"/>
              </w:rPr>
              <w:t>následnej zdravotnej starostlivosti</w:t>
            </w:r>
            <w:r w:rsidRPr="00523BC4">
              <w:rPr>
                <w:rFonts w:ascii="Times New Roman" w:hAnsi="Times New Roman"/>
                <w:sz w:val="20"/>
                <w:szCs w:val="20"/>
              </w:rPr>
              <w:t xml:space="preserve"> bola konzultovaná s dotknutými stranami – poskytovateľmi </w:t>
            </w:r>
            <w:r w:rsidRPr="00523BC4">
              <w:rPr>
                <w:rFonts w:ascii="Times New Roman" w:hAnsi="Times New Roman"/>
                <w:bCs/>
                <w:sz w:val="20"/>
                <w:szCs w:val="20"/>
              </w:rPr>
              <w:t xml:space="preserve">zdravotnej starostlivosti a zdravotnými poisťovňami. Konzultácie boli cielené z dôvodu, že zmeny sa týkajú výlučne týchto subjektov. Hlavné body konzultácii sa týkali dofinancovania uvedené segmentu zdravotnej starostlivosti. </w:t>
            </w:r>
            <w:r w:rsidR="00EA039A">
              <w:rPr>
                <w:rFonts w:ascii="Times New Roman" w:hAnsi="Times New Roman"/>
                <w:bCs/>
                <w:sz w:val="20"/>
                <w:szCs w:val="20"/>
              </w:rPr>
              <w:t>Všetky konzultácie sa týkali činnosti, organizácií, nákladov a výnosov a súčasného financovania jednotlivých subjektov.</w:t>
            </w:r>
          </w:p>
          <w:p w:rsidR="0019069F" w:rsidRPr="00523BC4" w:rsidRDefault="0019069F" w:rsidP="00523BC4">
            <w:pPr>
              <w:spacing w:after="0" w:line="240" w:lineRule="auto"/>
              <w:jc w:val="both"/>
              <w:rPr>
                <w:rFonts w:ascii="Times New Roman" w:hAnsi="Times New Roman"/>
                <w:bCs/>
                <w:sz w:val="20"/>
                <w:szCs w:val="20"/>
              </w:rPr>
            </w:pPr>
          </w:p>
          <w:p w:rsidR="0019069F" w:rsidRPr="00523BC4" w:rsidRDefault="0019069F" w:rsidP="00523BC4">
            <w:pPr>
              <w:spacing w:after="0" w:line="240" w:lineRule="auto"/>
              <w:jc w:val="both"/>
              <w:rPr>
                <w:rFonts w:ascii="Times New Roman" w:hAnsi="Times New Roman"/>
                <w:sz w:val="20"/>
                <w:szCs w:val="20"/>
              </w:rPr>
            </w:pPr>
            <w:r w:rsidRPr="00523BC4">
              <w:rPr>
                <w:rFonts w:ascii="Times New Roman" w:hAnsi="Times New Roman"/>
                <w:color w:val="000000" w:themeColor="text1"/>
                <w:sz w:val="20"/>
                <w:szCs w:val="20"/>
              </w:rPr>
              <w:t>Krytie negatívneho vplyvu na rozpočet verejnej správy nie je zabezpečené zo zdrojov verejného zdravotného poistenia. Dotknutým subjektom, ktorý zabezpečí realizáciu krytia z verejného zdravotného poistenia je štát cez platbu štátu.</w:t>
            </w:r>
          </w:p>
          <w:p w:rsidR="0019069F" w:rsidRPr="00523BC4" w:rsidRDefault="0019069F" w:rsidP="00523BC4">
            <w:pPr>
              <w:spacing w:after="0" w:line="240" w:lineRule="auto"/>
              <w:jc w:val="both"/>
              <w:rPr>
                <w:rFonts w:ascii="Times New Roman" w:hAnsi="Times New Roman"/>
                <w:sz w:val="20"/>
                <w:szCs w:val="20"/>
              </w:rPr>
            </w:pPr>
          </w:p>
          <w:p w:rsidR="0019069F" w:rsidRDefault="0019069F" w:rsidP="00523BC4">
            <w:pPr>
              <w:spacing w:after="0" w:line="240" w:lineRule="auto"/>
              <w:jc w:val="both"/>
              <w:rPr>
                <w:rFonts w:ascii="Times New Roman" w:hAnsi="Times New Roman"/>
                <w:sz w:val="20"/>
                <w:szCs w:val="20"/>
              </w:rPr>
            </w:pPr>
            <w:r w:rsidRPr="00523BC4">
              <w:rPr>
                <w:rFonts w:ascii="Times New Roman" w:hAnsi="Times New Roman"/>
                <w:sz w:val="20"/>
                <w:szCs w:val="20"/>
              </w:rPr>
              <w:t>Podľa záverov Európskej komisie z 15. 10. 2014, podľa ktorého v slovenskom systéme zdravotného poistenia prevládajú sociálne ciele, jedná sa o systém založený najmä na zásade solidarity, pričom Komisia dospela k</w:t>
            </w:r>
            <w:r w:rsidRPr="00523BC4">
              <w:rPr>
                <w:rFonts w:ascii="Times New Roman" w:eastAsia="Calibri" w:hAnsi="Times New Roman"/>
                <w:sz w:val="20"/>
                <w:szCs w:val="20"/>
                <w:lang w:eastAsia="en-US"/>
              </w:rPr>
              <w:t> </w:t>
            </w:r>
            <w:r w:rsidRPr="00523BC4">
              <w:rPr>
                <w:rFonts w:ascii="Times New Roman" w:hAnsi="Times New Roman"/>
                <w:sz w:val="20"/>
                <w:szCs w:val="20"/>
              </w:rPr>
              <w:t>záveru, že dotknuté činnosti (výkon verejného zdravotného poistenia) nemajú ekonomickú povahu. (</w:t>
            </w:r>
            <w:hyperlink r:id="rId6" w:history="1">
              <w:r w:rsidRPr="00523BC4">
                <w:rPr>
                  <w:rStyle w:val="Hypertextovprepojenie"/>
                  <w:rFonts w:ascii="Times New Roman" w:hAnsi="Times New Roman"/>
                  <w:sz w:val="20"/>
                  <w:szCs w:val="20"/>
                </w:rPr>
                <w:t>http://europa.eu/rapid/press-release_IP-14-1158_sk.htm</w:t>
              </w:r>
            </w:hyperlink>
            <w:r w:rsidRPr="00523BC4">
              <w:rPr>
                <w:rFonts w:ascii="Times New Roman" w:hAnsi="Times New Roman"/>
                <w:sz w:val="20"/>
                <w:szCs w:val="20"/>
              </w:rPr>
              <w:t>). Tento záver sa vzťahuje na osobitný spôsob, akým je táto činnosť na</w:t>
            </w:r>
            <w:r w:rsidRPr="00523BC4">
              <w:rPr>
                <w:rFonts w:ascii="Times New Roman" w:hAnsi="Times New Roman"/>
                <w:bCs/>
                <w:sz w:val="20"/>
                <w:szCs w:val="20"/>
              </w:rPr>
              <w:t> </w:t>
            </w:r>
            <w:r w:rsidRPr="00523BC4">
              <w:rPr>
                <w:rFonts w:ascii="Times New Roman" w:hAnsi="Times New Roman"/>
                <w:sz w:val="20"/>
                <w:szCs w:val="20"/>
              </w:rPr>
              <w:t>Slovensku organizovaná a vykonávaná, a týka sa preto tohto konkrétneho systému v</w:t>
            </w:r>
            <w:r w:rsidRPr="00523BC4">
              <w:rPr>
                <w:rFonts w:ascii="Times New Roman" w:hAnsi="Times New Roman"/>
                <w:bCs/>
                <w:sz w:val="20"/>
                <w:szCs w:val="20"/>
              </w:rPr>
              <w:t> </w:t>
            </w:r>
            <w:r w:rsidRPr="00523BC4">
              <w:rPr>
                <w:rFonts w:ascii="Times New Roman" w:hAnsi="Times New Roman"/>
                <w:sz w:val="20"/>
                <w:szCs w:val="20"/>
              </w:rPr>
              <w:t>Slovenskej republike.</w:t>
            </w:r>
          </w:p>
          <w:p w:rsidR="001513E4" w:rsidRPr="00523BC4" w:rsidRDefault="001513E4" w:rsidP="00523BC4">
            <w:pPr>
              <w:spacing w:after="0" w:line="240" w:lineRule="auto"/>
              <w:jc w:val="both"/>
              <w:rPr>
                <w:rFonts w:ascii="Times New Roman" w:hAnsi="Times New Roman"/>
                <w:i/>
                <w:sz w:val="20"/>
                <w:szCs w:val="20"/>
              </w:rPr>
            </w:pPr>
            <w:r w:rsidRPr="00523BC4">
              <w:rPr>
                <w:rFonts w:ascii="Times New Roman" w:hAnsi="Times New Roman"/>
                <w:sz w:val="20"/>
                <w:szCs w:val="20"/>
              </w:rPr>
              <w:t>Dopad na rozpočet verejnej správy je uvedený v doložke „Analýza vplyvov na rozpočet verejnej správy, na zamestnanosť vo verejnej správe a financovanie návrhu“.</w:t>
            </w:r>
          </w:p>
        </w:tc>
      </w:tr>
      <w:tr w:rsidR="0019069F" w:rsidRPr="00523BC4" w:rsidTr="00501F81">
        <w:tc>
          <w:tcPr>
            <w:tcW w:w="9217" w:type="dxa"/>
            <w:tcBorders>
              <w:left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3.3 Náklady regulácie</w:t>
            </w:r>
          </w:p>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sz w:val="20"/>
                <w:szCs w:val="20"/>
              </w:rPr>
              <w:t xml:space="preserve">      - </w:t>
            </w:r>
            <w:r w:rsidRPr="00523BC4">
              <w:rPr>
                <w:rFonts w:ascii="Times New Roman" w:hAnsi="Times New Roman"/>
                <w:b/>
                <w:sz w:val="20"/>
                <w:szCs w:val="20"/>
              </w:rPr>
              <w:t>z toho MSP</w:t>
            </w:r>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b/>
                <w:i/>
                <w:sz w:val="20"/>
                <w:szCs w:val="20"/>
              </w:rPr>
              <w:t>3.3.1 Priame finančné náklady</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rsidR="0019069F" w:rsidRPr="00523BC4" w:rsidTr="00501F81">
        <w:tc>
          <w:tcPr>
            <w:tcW w:w="9217" w:type="dxa"/>
            <w:tcBorders>
              <w:left w:val="single" w:sz="4" w:space="0" w:color="auto"/>
              <w:bottom w:val="single" w:sz="4" w:space="0" w:color="auto"/>
              <w:right w:val="single" w:sz="4" w:space="0" w:color="auto"/>
            </w:tcBorders>
          </w:tcPr>
          <w:p w:rsidR="0019069F" w:rsidRDefault="006F16D3" w:rsidP="000A2644">
            <w:pPr>
              <w:spacing w:after="0" w:line="240" w:lineRule="auto"/>
              <w:rPr>
                <w:rFonts w:ascii="Times New Roman" w:hAnsi="Times New Roman"/>
                <w:color w:val="000000"/>
                <w:sz w:val="20"/>
                <w:szCs w:val="20"/>
              </w:rPr>
            </w:pPr>
            <w:r>
              <w:rPr>
                <w:rFonts w:ascii="Times New Roman" w:hAnsi="Times New Roman"/>
                <w:color w:val="000000"/>
                <w:sz w:val="20"/>
                <w:szCs w:val="20"/>
              </w:rPr>
              <w:t>Nedochádza</w:t>
            </w:r>
            <w:r w:rsidR="0019069F" w:rsidRPr="00523BC4">
              <w:rPr>
                <w:rFonts w:ascii="Times New Roman" w:hAnsi="Times New Roman"/>
                <w:color w:val="000000"/>
                <w:sz w:val="20"/>
                <w:szCs w:val="20"/>
              </w:rPr>
              <w:t xml:space="preserve"> zvýšeniu priamych finančných nákladov </w:t>
            </w:r>
            <w:r>
              <w:rPr>
                <w:rFonts w:ascii="Times New Roman" w:hAnsi="Times New Roman"/>
                <w:color w:val="000000"/>
                <w:sz w:val="20"/>
                <w:szCs w:val="20"/>
              </w:rPr>
              <w:t>(poplatky, odvody, dane clá...)</w:t>
            </w:r>
            <w:r w:rsidR="0019069F" w:rsidRPr="00523BC4">
              <w:rPr>
                <w:rFonts w:ascii="Times New Roman" w:hAnsi="Times New Roman"/>
                <w:color w:val="000000"/>
                <w:sz w:val="20"/>
                <w:szCs w:val="20"/>
              </w:rPr>
              <w:t>.</w:t>
            </w:r>
          </w:p>
          <w:p w:rsidR="000A2644" w:rsidRPr="00523BC4" w:rsidRDefault="000A2644" w:rsidP="006F16D3">
            <w:pPr>
              <w:tabs>
                <w:tab w:val="left" w:pos="334"/>
              </w:tabs>
              <w:spacing w:after="0" w:line="240" w:lineRule="auto"/>
              <w:jc w:val="both"/>
              <w:rPr>
                <w:rFonts w:ascii="Times New Roman" w:hAnsi="Times New Roman"/>
                <w:color w:val="000000"/>
                <w:sz w:val="20"/>
                <w:szCs w:val="20"/>
              </w:rPr>
            </w:pPr>
            <w:bookmarkStart w:id="0" w:name="_GoBack"/>
            <w:bookmarkEnd w:id="0"/>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b/>
                <w:i/>
                <w:sz w:val="20"/>
                <w:szCs w:val="20"/>
              </w:rPr>
              <w:t>3.3.2 Nepriame finančné náklady</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jc w:val="both"/>
              <w:rPr>
                <w:rFonts w:ascii="Times New Roman" w:hAnsi="Times New Roman"/>
                <w:color w:val="000000"/>
                <w:sz w:val="20"/>
                <w:szCs w:val="20"/>
              </w:rPr>
            </w:pPr>
            <w:r w:rsidRPr="00523BC4">
              <w:rPr>
                <w:rFonts w:ascii="Times New Roman" w:hAnsi="Times New Roman"/>
                <w:color w:val="000000"/>
                <w:sz w:val="20"/>
                <w:szCs w:val="20"/>
              </w:rPr>
              <w:t>Návrh nevyžaduje vyššie dodatočné náklady pre podnikateľov.</w:t>
            </w:r>
          </w:p>
          <w:p w:rsidR="0019069F" w:rsidRPr="00523BC4" w:rsidRDefault="0019069F" w:rsidP="00523BC4">
            <w:pPr>
              <w:spacing w:after="0" w:line="240" w:lineRule="auto"/>
              <w:jc w:val="both"/>
              <w:rPr>
                <w:rFonts w:ascii="Times New Roman" w:hAnsi="Times New Roman"/>
                <w:sz w:val="20"/>
                <w:szCs w:val="20"/>
              </w:rPr>
            </w:pPr>
          </w:p>
          <w:p w:rsidR="0019069F" w:rsidRPr="00523BC4" w:rsidRDefault="0019069F" w:rsidP="00523BC4">
            <w:pPr>
              <w:spacing w:after="0" w:line="240" w:lineRule="auto"/>
              <w:jc w:val="both"/>
              <w:rPr>
                <w:rFonts w:ascii="Times New Roman" w:hAnsi="Times New Roman"/>
                <w:sz w:val="20"/>
                <w:szCs w:val="20"/>
              </w:rPr>
            </w:pPr>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b/>
                <w:i/>
                <w:sz w:val="20"/>
                <w:szCs w:val="20"/>
              </w:rPr>
              <w:t>3.3.3 Administratívne náklady</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color w:val="000000"/>
                <w:sz w:val="20"/>
                <w:szCs w:val="20"/>
              </w:rPr>
              <w:lastRenderedPageBreak/>
              <w:t>Nedochádza k zvýšeniu administratívnych nákladov.</w:t>
            </w:r>
          </w:p>
        </w:tc>
      </w:tr>
      <w:tr w:rsidR="0019069F" w:rsidRPr="00523BC4" w:rsidTr="00501F81">
        <w:trPr>
          <w:trHeight w:val="1408"/>
        </w:trPr>
        <w:tc>
          <w:tcPr>
            <w:tcW w:w="9217" w:type="dxa"/>
            <w:tcBorders>
              <w:top w:val="single" w:sz="4" w:space="0" w:color="auto"/>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b/>
                <w:i/>
                <w:sz w:val="20"/>
                <w:szCs w:val="20"/>
              </w:rPr>
              <w:t>3.3.4 Súhrnná tabuľka nákladov regulácie</w:t>
            </w:r>
          </w:p>
          <w:tbl>
            <w:tblPr>
              <w:tblStyle w:val="Mriekatabuky"/>
              <w:tblW w:w="0" w:type="auto"/>
              <w:tblInd w:w="5" w:type="dxa"/>
              <w:tblLayout w:type="fixed"/>
              <w:tblLook w:val="04A0" w:firstRow="1" w:lastRow="0" w:firstColumn="1" w:lastColumn="0" w:noHBand="0" w:noVBand="1"/>
            </w:tblPr>
            <w:tblGrid>
              <w:gridCol w:w="2993"/>
              <w:gridCol w:w="2994"/>
              <w:gridCol w:w="2994"/>
            </w:tblGrid>
            <w:tr w:rsidR="0019069F" w:rsidRPr="00523BC4" w:rsidTr="00501F81">
              <w:tc>
                <w:tcPr>
                  <w:tcW w:w="2993" w:type="dxa"/>
                </w:tcPr>
                <w:p w:rsidR="0019069F" w:rsidRPr="00523BC4" w:rsidRDefault="0019069F" w:rsidP="00523BC4">
                  <w:pPr>
                    <w:spacing w:after="0" w:line="240" w:lineRule="auto"/>
                    <w:rPr>
                      <w:rFonts w:ascii="Times New Roman" w:hAnsi="Times New Roman"/>
                      <w:i/>
                      <w:sz w:val="20"/>
                      <w:szCs w:val="20"/>
                    </w:rPr>
                  </w:pP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Náklady na 1 podnikateľa</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Náklady na celé podnikateľské prostredie</w:t>
                  </w:r>
                </w:p>
              </w:tc>
            </w:tr>
            <w:tr w:rsidR="0019069F" w:rsidRPr="00523BC4" w:rsidTr="00501F81">
              <w:tc>
                <w:tcPr>
                  <w:tcW w:w="2993" w:type="dxa"/>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Priame finančné náklady</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r>
            <w:tr w:rsidR="0019069F" w:rsidRPr="00523BC4" w:rsidTr="00501F81">
              <w:tc>
                <w:tcPr>
                  <w:tcW w:w="2993" w:type="dxa"/>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Nepriame finančné náklady</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r>
            <w:tr w:rsidR="0019069F" w:rsidRPr="00523BC4" w:rsidTr="00501F81">
              <w:tc>
                <w:tcPr>
                  <w:tcW w:w="2993" w:type="dxa"/>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Administratívne náklady</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c>
                <w:tcPr>
                  <w:tcW w:w="2994" w:type="dxa"/>
                </w:tcPr>
                <w:p w:rsidR="0019069F" w:rsidRPr="00523BC4" w:rsidRDefault="0019069F" w:rsidP="00523BC4">
                  <w:pPr>
                    <w:spacing w:after="0" w:line="240" w:lineRule="auto"/>
                    <w:jc w:val="center"/>
                    <w:rPr>
                      <w:rFonts w:ascii="Times New Roman" w:hAnsi="Times New Roman"/>
                      <w:i/>
                      <w:sz w:val="20"/>
                      <w:szCs w:val="20"/>
                    </w:rPr>
                  </w:pPr>
                  <w:r w:rsidRPr="00523BC4">
                    <w:rPr>
                      <w:rFonts w:ascii="Times New Roman" w:hAnsi="Times New Roman"/>
                      <w:i/>
                      <w:sz w:val="20"/>
                      <w:szCs w:val="20"/>
                    </w:rPr>
                    <w:t>0</w:t>
                  </w:r>
                </w:p>
              </w:tc>
            </w:tr>
            <w:tr w:rsidR="0019069F" w:rsidRPr="00523BC4" w:rsidTr="00501F81">
              <w:tc>
                <w:tcPr>
                  <w:tcW w:w="2993" w:type="dxa"/>
                </w:tcPr>
                <w:p w:rsidR="0019069F" w:rsidRPr="00523BC4" w:rsidRDefault="0019069F" w:rsidP="00523BC4">
                  <w:pPr>
                    <w:spacing w:after="0" w:line="240" w:lineRule="auto"/>
                    <w:rPr>
                      <w:rFonts w:ascii="Times New Roman" w:hAnsi="Times New Roman"/>
                      <w:b/>
                      <w:i/>
                      <w:sz w:val="20"/>
                      <w:szCs w:val="20"/>
                    </w:rPr>
                  </w:pPr>
                  <w:r w:rsidRPr="00523BC4">
                    <w:rPr>
                      <w:rFonts w:ascii="Times New Roman" w:hAnsi="Times New Roman"/>
                      <w:b/>
                      <w:i/>
                      <w:sz w:val="20"/>
                      <w:szCs w:val="20"/>
                    </w:rPr>
                    <w:t>Celkové náklady regulácie</w:t>
                  </w:r>
                </w:p>
              </w:tc>
              <w:tc>
                <w:tcPr>
                  <w:tcW w:w="2994" w:type="dxa"/>
                </w:tcPr>
                <w:p w:rsidR="0019069F" w:rsidRPr="00523BC4" w:rsidRDefault="0019069F" w:rsidP="00523BC4">
                  <w:pPr>
                    <w:spacing w:after="0" w:line="240" w:lineRule="auto"/>
                    <w:jc w:val="center"/>
                    <w:rPr>
                      <w:rFonts w:ascii="Times New Roman" w:hAnsi="Times New Roman"/>
                      <w:b/>
                      <w:i/>
                      <w:sz w:val="20"/>
                      <w:szCs w:val="20"/>
                    </w:rPr>
                  </w:pPr>
                  <w:r w:rsidRPr="00523BC4">
                    <w:rPr>
                      <w:rFonts w:ascii="Times New Roman" w:hAnsi="Times New Roman"/>
                      <w:b/>
                      <w:i/>
                      <w:sz w:val="20"/>
                      <w:szCs w:val="20"/>
                    </w:rPr>
                    <w:t>0</w:t>
                  </w:r>
                </w:p>
              </w:tc>
              <w:tc>
                <w:tcPr>
                  <w:tcW w:w="2994" w:type="dxa"/>
                </w:tcPr>
                <w:p w:rsidR="0019069F" w:rsidRPr="00523BC4" w:rsidRDefault="0019069F" w:rsidP="00523BC4">
                  <w:pPr>
                    <w:spacing w:after="0" w:line="240" w:lineRule="auto"/>
                    <w:jc w:val="center"/>
                    <w:rPr>
                      <w:rFonts w:ascii="Times New Roman" w:hAnsi="Times New Roman"/>
                      <w:b/>
                      <w:i/>
                      <w:sz w:val="20"/>
                      <w:szCs w:val="20"/>
                    </w:rPr>
                  </w:pPr>
                  <w:r w:rsidRPr="00523BC4">
                    <w:rPr>
                      <w:rFonts w:ascii="Times New Roman" w:hAnsi="Times New Roman"/>
                      <w:b/>
                      <w:i/>
                      <w:sz w:val="20"/>
                      <w:szCs w:val="20"/>
                    </w:rPr>
                    <w:t>0</w:t>
                  </w:r>
                </w:p>
              </w:tc>
            </w:tr>
          </w:tbl>
          <w:p w:rsidR="0019069F" w:rsidRPr="00523BC4" w:rsidRDefault="0019069F" w:rsidP="00523BC4">
            <w:pPr>
              <w:spacing w:after="0" w:line="240" w:lineRule="auto"/>
              <w:rPr>
                <w:rFonts w:ascii="Times New Roman" w:hAnsi="Times New Roman"/>
                <w:i/>
                <w:sz w:val="20"/>
                <w:szCs w:val="20"/>
              </w:rPr>
            </w:pPr>
          </w:p>
        </w:tc>
      </w:tr>
      <w:tr w:rsidR="0019069F" w:rsidRPr="00523BC4" w:rsidTr="00501F81">
        <w:tc>
          <w:tcPr>
            <w:tcW w:w="9217" w:type="dxa"/>
            <w:tcBorders>
              <w:top w:val="single" w:sz="4" w:space="0" w:color="auto"/>
              <w:left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3.4 Konkurencieschopnosť a správanie sa podnikov na trhu</w:t>
            </w:r>
          </w:p>
          <w:p w:rsidR="0019069F" w:rsidRPr="00523BC4" w:rsidRDefault="0019069F" w:rsidP="00523BC4">
            <w:pPr>
              <w:spacing w:after="0" w:line="240" w:lineRule="auto"/>
              <w:rPr>
                <w:rFonts w:ascii="Times New Roman" w:hAnsi="Times New Roman"/>
                <w:sz w:val="20"/>
                <w:szCs w:val="20"/>
              </w:rPr>
            </w:pPr>
            <w:r w:rsidRPr="00523BC4">
              <w:rPr>
                <w:rFonts w:ascii="Times New Roman" w:hAnsi="Times New Roman"/>
                <w:b/>
                <w:sz w:val="20"/>
                <w:szCs w:val="20"/>
              </w:rPr>
              <w:t xml:space="preserve">       </w:t>
            </w:r>
            <w:r w:rsidRPr="00523BC4">
              <w:rPr>
                <w:rFonts w:ascii="Times New Roman" w:hAnsi="Times New Roman"/>
                <w:sz w:val="20"/>
                <w:szCs w:val="20"/>
              </w:rPr>
              <w:t xml:space="preserve">- </w:t>
            </w:r>
            <w:r w:rsidRPr="00523BC4">
              <w:rPr>
                <w:rFonts w:ascii="Times New Roman" w:hAnsi="Times New Roman"/>
                <w:b/>
                <w:sz w:val="20"/>
                <w:szCs w:val="20"/>
              </w:rPr>
              <w:t>z toho MSP</w:t>
            </w:r>
          </w:p>
        </w:tc>
      </w:tr>
      <w:tr w:rsidR="0019069F" w:rsidRPr="00523BC4" w:rsidTr="00501F81">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523BC4">
              <w:rPr>
                <w:rFonts w:ascii="Times New Roman" w:hAnsi="Times New Roman"/>
                <w:i/>
                <w:sz w:val="20"/>
                <w:szCs w:val="20"/>
              </w:rPr>
              <w:t>mikro</w:t>
            </w:r>
            <w:proofErr w:type="spellEnd"/>
            <w:r w:rsidRPr="00523BC4">
              <w:rPr>
                <w:rFonts w:ascii="Times New Roman" w:hAnsi="Times New Roman"/>
                <w:i/>
                <w:sz w:val="20"/>
                <w:szCs w:val="20"/>
              </w:rPr>
              <w:t>, malé a stredné podniky tzv. MSP)? Ak áno, popíšte.</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Ako ovplyvní cenu alebo dostupnosť základných zdrojov (suroviny, mechanizmy, pracovná sila, energie atď.)?</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Ovplyvňuje prístup k financiám? Ak áno, ako?</w:t>
            </w:r>
          </w:p>
        </w:tc>
      </w:tr>
      <w:tr w:rsidR="0019069F" w:rsidRPr="00523BC4" w:rsidTr="00501F81">
        <w:trPr>
          <w:trHeight w:val="389"/>
        </w:trPr>
        <w:tc>
          <w:tcPr>
            <w:tcW w:w="9217" w:type="dxa"/>
            <w:tcBorders>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color w:val="000000"/>
                <w:sz w:val="20"/>
                <w:szCs w:val="20"/>
              </w:rPr>
              <w:t>Návrh neovplyvňuje konkurencieschopnosť a správanie sa na trhu.</w:t>
            </w:r>
          </w:p>
        </w:tc>
      </w:tr>
      <w:tr w:rsidR="0019069F" w:rsidRPr="00523BC4" w:rsidTr="00501F81">
        <w:tc>
          <w:tcPr>
            <w:tcW w:w="9217" w:type="dxa"/>
            <w:tcBorders>
              <w:top w:val="single" w:sz="4" w:space="0" w:color="auto"/>
              <w:left w:val="single" w:sz="4" w:space="0" w:color="auto"/>
              <w:right w:val="single" w:sz="4" w:space="0" w:color="auto"/>
            </w:tcBorders>
            <w:shd w:val="clear" w:color="auto" w:fill="D9D9D9"/>
          </w:tcPr>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b/>
                <w:sz w:val="20"/>
                <w:szCs w:val="20"/>
              </w:rPr>
              <w:t xml:space="preserve">3.5 Inovácie </w:t>
            </w:r>
          </w:p>
          <w:p w:rsidR="0019069F" w:rsidRPr="00523BC4" w:rsidRDefault="0019069F" w:rsidP="00523BC4">
            <w:pPr>
              <w:spacing w:after="0" w:line="240" w:lineRule="auto"/>
              <w:rPr>
                <w:rFonts w:ascii="Times New Roman" w:hAnsi="Times New Roman"/>
                <w:b/>
                <w:sz w:val="20"/>
                <w:szCs w:val="20"/>
              </w:rPr>
            </w:pPr>
            <w:r w:rsidRPr="00523BC4">
              <w:rPr>
                <w:rFonts w:ascii="Times New Roman" w:hAnsi="Times New Roman"/>
                <w:sz w:val="20"/>
                <w:szCs w:val="20"/>
              </w:rPr>
              <w:t xml:space="preserve">       - </w:t>
            </w:r>
            <w:r w:rsidRPr="00523BC4">
              <w:rPr>
                <w:rFonts w:ascii="Times New Roman" w:hAnsi="Times New Roman"/>
                <w:b/>
                <w:sz w:val="20"/>
                <w:szCs w:val="20"/>
              </w:rPr>
              <w:t>z toho MSP</w:t>
            </w:r>
          </w:p>
        </w:tc>
      </w:tr>
      <w:tr w:rsidR="0019069F" w:rsidRPr="00523BC4" w:rsidTr="00501F81">
        <w:tc>
          <w:tcPr>
            <w:tcW w:w="9217" w:type="dxa"/>
            <w:tcBorders>
              <w:left w:val="single" w:sz="4" w:space="0" w:color="auto"/>
              <w:right w:val="single" w:sz="4" w:space="0" w:color="auto"/>
            </w:tcBorders>
          </w:tcPr>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Uveďte, ako podporuje navrhovaná zmena inovácie.</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Zjednodušuje uvedenie alebo rozšírenie nových výrobných metód, technológií a výrobkov na trh?</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Uveďte, ako vplýva navrhovaná zmena na jednotlivé práva duševného vlastníctva (napr. patenty, ochranné známky, autorské práva, vlastníctvo know-how).</w:t>
            </w:r>
          </w:p>
          <w:p w:rsidR="0019069F" w:rsidRPr="00523BC4" w:rsidRDefault="0019069F" w:rsidP="00523BC4">
            <w:pPr>
              <w:spacing w:after="0" w:line="240" w:lineRule="auto"/>
              <w:rPr>
                <w:rFonts w:ascii="Times New Roman" w:hAnsi="Times New Roman"/>
                <w:i/>
                <w:sz w:val="20"/>
                <w:szCs w:val="20"/>
              </w:rPr>
            </w:pPr>
            <w:r w:rsidRPr="00523BC4">
              <w:rPr>
                <w:rFonts w:ascii="Times New Roman" w:hAnsi="Times New Roman"/>
                <w:i/>
                <w:sz w:val="20"/>
                <w:szCs w:val="20"/>
              </w:rPr>
              <w:t>Podporuje vyššiu efektivitu výroby/využívania zdrojov? Ak áno, ako?</w:t>
            </w:r>
          </w:p>
          <w:p w:rsidR="0019069F" w:rsidRPr="00523BC4" w:rsidRDefault="0019069F" w:rsidP="00523BC4">
            <w:pPr>
              <w:spacing w:after="0" w:line="240" w:lineRule="auto"/>
              <w:rPr>
                <w:rFonts w:ascii="Times New Roman" w:hAnsi="Times New Roman"/>
                <w:sz w:val="20"/>
                <w:szCs w:val="20"/>
              </w:rPr>
            </w:pPr>
            <w:r w:rsidRPr="00523BC4">
              <w:rPr>
                <w:rFonts w:ascii="Times New Roman" w:hAnsi="Times New Roman"/>
                <w:i/>
                <w:sz w:val="20"/>
                <w:szCs w:val="20"/>
              </w:rPr>
              <w:t>Vytvorí zmena nové pracovné miesta pre zamestnancov výskumu a vývoja v SR?</w:t>
            </w:r>
          </w:p>
        </w:tc>
      </w:tr>
      <w:tr w:rsidR="0019069F" w:rsidRPr="00523BC4" w:rsidTr="00501F81">
        <w:trPr>
          <w:trHeight w:val="429"/>
        </w:trPr>
        <w:tc>
          <w:tcPr>
            <w:tcW w:w="9217" w:type="dxa"/>
            <w:tcBorders>
              <w:top w:val="single" w:sz="4" w:space="0" w:color="auto"/>
              <w:left w:val="single" w:sz="4" w:space="0" w:color="auto"/>
              <w:bottom w:val="single" w:sz="4" w:space="0" w:color="auto"/>
              <w:right w:val="single" w:sz="4" w:space="0" w:color="auto"/>
            </w:tcBorders>
          </w:tcPr>
          <w:p w:rsidR="0019069F" w:rsidRPr="00523BC4" w:rsidRDefault="0019069F" w:rsidP="00523BC4">
            <w:pPr>
              <w:spacing w:after="0" w:line="240" w:lineRule="auto"/>
              <w:rPr>
                <w:rFonts w:ascii="Times New Roman" w:hAnsi="Times New Roman"/>
                <w:color w:val="000000"/>
                <w:sz w:val="20"/>
                <w:szCs w:val="20"/>
              </w:rPr>
            </w:pPr>
            <w:r w:rsidRPr="00523BC4">
              <w:rPr>
                <w:rFonts w:ascii="Times New Roman" w:hAnsi="Times New Roman"/>
                <w:color w:val="000000"/>
                <w:sz w:val="20"/>
                <w:szCs w:val="20"/>
              </w:rPr>
              <w:t>Navrhovaná zmena neovplyvňuje inovácie.</w:t>
            </w:r>
          </w:p>
        </w:tc>
      </w:tr>
    </w:tbl>
    <w:p w:rsidR="0019069F" w:rsidRPr="00523BC4" w:rsidRDefault="0019069F" w:rsidP="00523BC4">
      <w:pPr>
        <w:spacing w:after="0" w:line="240" w:lineRule="auto"/>
        <w:rPr>
          <w:rFonts w:ascii="Times New Roman" w:hAnsi="Times New Roman"/>
          <w:sz w:val="20"/>
          <w:szCs w:val="20"/>
        </w:rPr>
      </w:pPr>
    </w:p>
    <w:p w:rsidR="007D44D0" w:rsidRPr="00523BC4" w:rsidRDefault="006F16D3" w:rsidP="00523BC4">
      <w:pPr>
        <w:spacing w:after="0" w:line="240" w:lineRule="auto"/>
        <w:rPr>
          <w:rFonts w:ascii="Times New Roman" w:hAnsi="Times New Roman"/>
          <w:sz w:val="20"/>
          <w:szCs w:val="20"/>
        </w:rPr>
      </w:pPr>
    </w:p>
    <w:sectPr w:rsidR="007D44D0" w:rsidRPr="00523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A29"/>
    <w:multiLevelType w:val="hybridMultilevel"/>
    <w:tmpl w:val="86B8D1E4"/>
    <w:lvl w:ilvl="0" w:tplc="7792BED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9F"/>
    <w:rsid w:val="000A2644"/>
    <w:rsid w:val="00113956"/>
    <w:rsid w:val="001513E4"/>
    <w:rsid w:val="001672A2"/>
    <w:rsid w:val="0019069F"/>
    <w:rsid w:val="00492840"/>
    <w:rsid w:val="005035CA"/>
    <w:rsid w:val="00523BC4"/>
    <w:rsid w:val="006F16D3"/>
    <w:rsid w:val="008D113D"/>
    <w:rsid w:val="00963EBB"/>
    <w:rsid w:val="00A97807"/>
    <w:rsid w:val="00AE4B9D"/>
    <w:rsid w:val="00C14AB7"/>
    <w:rsid w:val="00EA039A"/>
    <w:rsid w:val="00EB42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49C1"/>
  <w15:chartTrackingRefBased/>
  <w15:docId w15:val="{86682DEB-056F-4B86-B85E-915AFBD2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069F"/>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9069F"/>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9069F"/>
    <w:rPr>
      <w:rFonts w:cs="Times New Roman"/>
      <w:color w:val="0000FF"/>
      <w:u w:val="single"/>
    </w:rPr>
  </w:style>
  <w:style w:type="paragraph" w:styleId="Odsekzoznamu">
    <w:name w:val="List Paragraph"/>
    <w:aliases w:val="body,Odsek zoznamu2,Odsek"/>
    <w:basedOn w:val="Normlny"/>
    <w:link w:val="OdsekzoznamuChar"/>
    <w:uiPriority w:val="34"/>
    <w:qFormat/>
    <w:rsid w:val="00EA039A"/>
    <w:pPr>
      <w:ind w:left="720"/>
      <w:contextualSpacing/>
    </w:pPr>
  </w:style>
  <w:style w:type="character" w:customStyle="1" w:styleId="OdsekzoznamuChar">
    <w:name w:val="Odsek zoznamu Char"/>
    <w:aliases w:val="body Char,Odsek zoznamu2 Char,Odsek Char"/>
    <w:link w:val="Odsekzoznamu"/>
    <w:uiPriority w:val="34"/>
    <w:qFormat/>
    <w:locked/>
    <w:rsid w:val="00EA039A"/>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eu/rapid/press-release_IP-14-1158_s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vplyvy_podnikatelske_prostredie"/>
    <f:field ref="objsubject" par="" edit="true" text=""/>
    <f:field ref="objcreatedby" par="" text="Szakácsová, Zuzana, Mgr."/>
    <f:field ref="objcreatedat" par="" text="4.6.2019 16:28:04"/>
    <f:field ref="objchangedby" par="" text="Administrator, System"/>
    <f:field ref="objmodifiedat" par="" text="4.6.2019 16:28: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2019-06-04T00:48:00Z</dcterms:created>
  <dcterms:modified xsi:type="dcterms:W3CDTF">2019-06-04T00:48:00Z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COO.2145.1000.3.3409828</vt:lpwstr>
  </property>
  <property name="FSC#FSCFOLIO@1.1001:docpropproject" pid="152" fmtid="{D5CDD505-2E9C-101B-9397-08002B2CF9AE}">
    <vt:lpwstr/>
  </property>
</Properties>
</file>