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D8784" w14:textId="77777777"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14:paraId="531D8785" w14:textId="77777777" w:rsidR="003B648A" w:rsidRDefault="003B648A"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3B648A" w14:paraId="531D8787" w14:textId="77777777" w:rsidTr="5E5449DC">
        <w:trPr>
          <w:divId w:val="412438823"/>
          <w:jc w:val="center"/>
        </w:trPr>
        <w:tc>
          <w:tcPr>
            <w:tcW w:w="250" w:type="pct"/>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86" w14:textId="77777777" w:rsidR="003B648A" w:rsidRDefault="003B648A">
            <w:pPr>
              <w:rPr>
                <w:rFonts w:ascii="Times" w:hAnsi="Times" w:cs="Times"/>
                <w:b/>
                <w:bCs/>
                <w:sz w:val="22"/>
                <w:szCs w:val="22"/>
              </w:rPr>
            </w:pPr>
            <w:r>
              <w:rPr>
                <w:rFonts w:ascii="Times" w:hAnsi="Times" w:cs="Times"/>
                <w:b/>
                <w:bCs/>
                <w:sz w:val="22"/>
                <w:szCs w:val="22"/>
              </w:rPr>
              <w:t>  1.  Základné údaje</w:t>
            </w:r>
          </w:p>
        </w:tc>
      </w:tr>
      <w:tr w:rsidR="003B648A" w14:paraId="531D8789" w14:textId="77777777" w:rsidTr="5E5449DC">
        <w:trPr>
          <w:divId w:val="412438823"/>
          <w:trHeight w:val="450"/>
          <w:jc w:val="center"/>
        </w:trPr>
        <w:tc>
          <w:tcPr>
            <w:tcW w:w="250" w:type="pct"/>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88" w14:textId="77777777" w:rsidR="003B648A" w:rsidRDefault="003B648A">
            <w:pPr>
              <w:rPr>
                <w:rFonts w:ascii="Times" w:hAnsi="Times" w:cs="Times"/>
                <w:b/>
                <w:bCs/>
                <w:sz w:val="22"/>
                <w:szCs w:val="22"/>
              </w:rPr>
            </w:pPr>
            <w:r>
              <w:rPr>
                <w:rFonts w:ascii="Times" w:hAnsi="Times" w:cs="Times"/>
                <w:b/>
                <w:bCs/>
                <w:sz w:val="22"/>
                <w:szCs w:val="22"/>
              </w:rPr>
              <w:t>  Názov materiálu</w:t>
            </w:r>
          </w:p>
        </w:tc>
      </w:tr>
      <w:tr w:rsidR="003B648A" w14:paraId="531D878B" w14:textId="77777777" w:rsidTr="5E5449DC">
        <w:trPr>
          <w:divId w:val="412438823"/>
          <w:trHeight w:val="450"/>
          <w:jc w:val="center"/>
        </w:trPr>
        <w:tc>
          <w:tcPr>
            <w:tcW w:w="250" w:type="pct"/>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8A" w14:textId="4D701828" w:rsidR="003B648A" w:rsidRDefault="00F70471" w:rsidP="00F70471">
            <w:pPr>
              <w:rPr>
                <w:rFonts w:ascii="Times" w:hAnsi="Times" w:cs="Times"/>
                <w:sz w:val="20"/>
                <w:szCs w:val="20"/>
              </w:rPr>
            </w:pPr>
            <w:r>
              <w:rPr>
                <w:rFonts w:ascii="Times" w:hAnsi="Times" w:cs="Times"/>
                <w:sz w:val="20"/>
                <w:szCs w:val="20"/>
              </w:rPr>
              <w:t xml:space="preserve">Návrh </w:t>
            </w:r>
            <w:r w:rsidRPr="00F70471">
              <w:rPr>
                <w:rFonts w:ascii="Times" w:hAnsi="Times" w:cs="Times"/>
                <w:sz w:val="20"/>
                <w:szCs w:val="20"/>
              </w:rPr>
              <w:t>Akčn</w:t>
            </w:r>
            <w:r>
              <w:rPr>
                <w:rFonts w:ascii="Times" w:hAnsi="Times" w:cs="Times"/>
                <w:sz w:val="20"/>
                <w:szCs w:val="20"/>
              </w:rPr>
              <w:t>ého</w:t>
            </w:r>
            <w:r w:rsidRPr="00F70471">
              <w:rPr>
                <w:rFonts w:ascii="Times" w:hAnsi="Times" w:cs="Times"/>
                <w:sz w:val="20"/>
                <w:szCs w:val="20"/>
              </w:rPr>
              <w:t xml:space="preserve"> plán</w:t>
            </w:r>
            <w:r>
              <w:rPr>
                <w:rFonts w:ascii="Times" w:hAnsi="Times" w:cs="Times"/>
                <w:sz w:val="20"/>
                <w:szCs w:val="20"/>
              </w:rPr>
              <w:t>u</w:t>
            </w:r>
            <w:r w:rsidRPr="00F70471">
              <w:rPr>
                <w:rFonts w:ascii="Times" w:hAnsi="Times" w:cs="Times"/>
                <w:sz w:val="20"/>
                <w:szCs w:val="20"/>
              </w:rPr>
              <w:t xml:space="preserve"> digitálnej transformácie Slovenska na roky 2019 – 2022</w:t>
            </w:r>
          </w:p>
        </w:tc>
      </w:tr>
      <w:tr w:rsidR="003B648A" w14:paraId="531D878D" w14:textId="77777777" w:rsidTr="5E5449DC">
        <w:trPr>
          <w:divId w:val="412438823"/>
          <w:trHeight w:val="450"/>
          <w:jc w:val="center"/>
        </w:trPr>
        <w:tc>
          <w:tcPr>
            <w:tcW w:w="250" w:type="pct"/>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8C" w14:textId="2991A5D5" w:rsidR="003B648A" w:rsidRDefault="00F70471" w:rsidP="00F70471">
            <w:pPr>
              <w:rPr>
                <w:rFonts w:ascii="Times" w:hAnsi="Times" w:cs="Times"/>
                <w:b/>
                <w:bCs/>
                <w:sz w:val="22"/>
                <w:szCs w:val="22"/>
              </w:rPr>
            </w:pPr>
            <w:r>
              <w:rPr>
                <w:rFonts w:ascii="Times" w:hAnsi="Times" w:cs="Times"/>
                <w:b/>
                <w:bCs/>
                <w:sz w:val="22"/>
                <w:szCs w:val="22"/>
              </w:rPr>
              <w:t xml:space="preserve">  </w:t>
            </w:r>
            <w:r w:rsidR="003B648A">
              <w:rPr>
                <w:rFonts w:ascii="Times" w:hAnsi="Times" w:cs="Times"/>
                <w:b/>
                <w:bCs/>
                <w:sz w:val="22"/>
                <w:szCs w:val="22"/>
              </w:rPr>
              <w:t>Predkladateľ (a spolupredkladateľ)</w:t>
            </w:r>
          </w:p>
        </w:tc>
      </w:tr>
      <w:tr w:rsidR="003B648A" w14:paraId="531D878F" w14:textId="77777777" w:rsidTr="5E5449DC">
        <w:trPr>
          <w:divId w:val="412438823"/>
          <w:trHeight w:val="450"/>
          <w:jc w:val="center"/>
        </w:trPr>
        <w:tc>
          <w:tcPr>
            <w:tcW w:w="250" w:type="pct"/>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8E" w14:textId="019F6400" w:rsidR="003B648A" w:rsidRDefault="00F70471" w:rsidP="002621D3">
            <w:pPr>
              <w:rPr>
                <w:rFonts w:ascii="Times" w:hAnsi="Times" w:cs="Times"/>
                <w:sz w:val="20"/>
                <w:szCs w:val="20"/>
              </w:rPr>
            </w:pPr>
            <w:r>
              <w:rPr>
                <w:rFonts w:ascii="Times" w:hAnsi="Times" w:cs="Times"/>
                <w:sz w:val="20"/>
                <w:szCs w:val="20"/>
              </w:rPr>
              <w:t>Úrad podpredsedu vlády SR pre investície a informatizáciu</w:t>
            </w:r>
            <w:r w:rsidR="003B648A">
              <w:rPr>
                <w:rFonts w:ascii="Times" w:hAnsi="Times" w:cs="Times"/>
                <w:sz w:val="20"/>
                <w:szCs w:val="20"/>
              </w:rPr>
              <w:t xml:space="preserve"> </w:t>
            </w:r>
          </w:p>
        </w:tc>
      </w:tr>
      <w:tr w:rsidR="003B648A" w14:paraId="531D8792" w14:textId="77777777" w:rsidTr="5E5449DC">
        <w:trPr>
          <w:divId w:val="412438823"/>
          <w:trHeight w:val="255"/>
          <w:jc w:val="center"/>
        </w:trPr>
        <w:tc>
          <w:tcPr>
            <w:tcW w:w="2500" w:type="pct"/>
            <w:vMerge w:val="restar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vAlign w:val="center"/>
            <w:hideMark/>
          </w:tcPr>
          <w:p w14:paraId="531D8790" w14:textId="77777777" w:rsidR="003B648A" w:rsidRDefault="003B648A">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531D8791" w14:textId="5964B04E" w:rsidR="003B648A" w:rsidRDefault="003B648A">
            <w:pPr>
              <w:rPr>
                <w:rFonts w:ascii="Times" w:hAnsi="Times" w:cs="Times"/>
                <w:sz w:val="20"/>
                <w:szCs w:val="20"/>
              </w:rPr>
            </w:pPr>
            <w:r>
              <w:rPr>
                <w:rFonts w:ascii="Times" w:hAnsi="Times" w:cs="Times"/>
                <w:sz w:val="20"/>
                <w:szCs w:val="20"/>
              </w:rPr>
              <w:t> </w:t>
            </w:r>
            <w:r w:rsidR="00F70471">
              <w:rPr>
                <w:rFonts w:ascii="Wingdings 2" w:hAnsi="Wingdings 2" w:cs="Times"/>
                <w:sz w:val="20"/>
                <w:szCs w:val="20"/>
              </w:rPr>
              <w:t></w:t>
            </w:r>
            <w:r>
              <w:rPr>
                <w:rFonts w:ascii="Times" w:hAnsi="Times" w:cs="Times"/>
                <w:sz w:val="20"/>
                <w:szCs w:val="20"/>
              </w:rPr>
              <w:t>  Materiál nelegislatívnej povahy</w:t>
            </w:r>
          </w:p>
        </w:tc>
      </w:tr>
      <w:tr w:rsidR="003B648A" w14:paraId="531D8795" w14:textId="77777777" w:rsidTr="5E5449DC">
        <w:trPr>
          <w:divId w:val="412438823"/>
          <w:trHeight w:val="255"/>
          <w:jc w:val="center"/>
        </w:trPr>
        <w:tc>
          <w:tcPr>
            <w:tcW w:w="0" w:type="auto"/>
            <w:vMerge/>
            <w:vAlign w:val="center"/>
            <w:hideMark/>
          </w:tcPr>
          <w:p w14:paraId="531D8793" w14:textId="77777777" w:rsidR="003B648A" w:rsidRDefault="003B648A">
            <w:pPr>
              <w:rPr>
                <w:rFonts w:ascii="Times" w:hAnsi="Times" w:cs="Times"/>
                <w:b/>
                <w:bCs/>
                <w:sz w:val="22"/>
                <w:szCs w:val="22"/>
              </w:rPr>
            </w:pPr>
          </w:p>
        </w:tc>
        <w:tc>
          <w:tcPr>
            <w:tcW w:w="2500" w:type="pct"/>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531D8794" w14:textId="6170934D" w:rsidR="003B648A" w:rsidRDefault="003B648A">
            <w:pPr>
              <w:rPr>
                <w:rFonts w:ascii="Times" w:hAnsi="Times" w:cs="Times"/>
                <w:sz w:val="20"/>
                <w:szCs w:val="20"/>
              </w:rPr>
            </w:pPr>
            <w:r>
              <w:rPr>
                <w:rFonts w:ascii="Times" w:hAnsi="Times" w:cs="Times"/>
                <w:sz w:val="20"/>
                <w:szCs w:val="20"/>
              </w:rPr>
              <w:t> </w:t>
            </w:r>
            <w:r w:rsidR="00F70471">
              <w:rPr>
                <w:rFonts w:ascii="Wingdings 2" w:hAnsi="Wingdings 2" w:cs="Times"/>
                <w:sz w:val="28"/>
                <w:szCs w:val="28"/>
              </w:rPr>
              <w:t></w:t>
            </w:r>
            <w:r>
              <w:rPr>
                <w:rFonts w:ascii="Times" w:hAnsi="Times" w:cs="Times"/>
                <w:sz w:val="20"/>
                <w:szCs w:val="20"/>
              </w:rPr>
              <w:t xml:space="preserve">  Materiál legislatívnej povahy </w:t>
            </w:r>
          </w:p>
        </w:tc>
      </w:tr>
      <w:tr w:rsidR="003B648A" w14:paraId="531D8798" w14:textId="77777777" w:rsidTr="5E5449DC">
        <w:trPr>
          <w:divId w:val="412438823"/>
          <w:trHeight w:val="255"/>
          <w:jc w:val="center"/>
        </w:trPr>
        <w:tc>
          <w:tcPr>
            <w:tcW w:w="0" w:type="auto"/>
            <w:vMerge/>
            <w:vAlign w:val="center"/>
            <w:hideMark/>
          </w:tcPr>
          <w:p w14:paraId="531D8796" w14:textId="77777777" w:rsidR="003B648A" w:rsidRDefault="003B648A">
            <w:pPr>
              <w:rPr>
                <w:rFonts w:ascii="Times" w:hAnsi="Times" w:cs="Times"/>
                <w:b/>
                <w:bCs/>
                <w:sz w:val="22"/>
                <w:szCs w:val="22"/>
              </w:rPr>
            </w:pPr>
          </w:p>
        </w:tc>
        <w:tc>
          <w:tcPr>
            <w:tcW w:w="2500" w:type="pct"/>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531D8797" w14:textId="6359FF43" w:rsidR="003B648A" w:rsidRDefault="003B648A">
            <w:pPr>
              <w:rPr>
                <w:rFonts w:ascii="Times" w:hAnsi="Times" w:cs="Times"/>
                <w:sz w:val="20"/>
                <w:szCs w:val="20"/>
              </w:rPr>
            </w:pPr>
            <w:r>
              <w:rPr>
                <w:rFonts w:ascii="Times" w:hAnsi="Times" w:cs="Times"/>
                <w:sz w:val="20"/>
                <w:szCs w:val="20"/>
              </w:rPr>
              <w:t> </w:t>
            </w:r>
            <w:r w:rsidR="00F70471">
              <w:rPr>
                <w:rFonts w:ascii="Wingdings 2" w:hAnsi="Wingdings 2" w:cs="Times"/>
                <w:sz w:val="28"/>
                <w:szCs w:val="28"/>
              </w:rPr>
              <w:t></w:t>
            </w:r>
            <w:r>
              <w:rPr>
                <w:rFonts w:ascii="Times" w:hAnsi="Times" w:cs="Times"/>
                <w:sz w:val="20"/>
                <w:szCs w:val="20"/>
              </w:rPr>
              <w:t xml:space="preserve">  Transpozícia práva EÚ </w:t>
            </w:r>
          </w:p>
        </w:tc>
      </w:tr>
      <w:tr w:rsidR="003B648A" w14:paraId="531D879A" w14:textId="77777777" w:rsidTr="5E5449DC">
        <w:trPr>
          <w:divId w:val="412438823"/>
          <w:trHeight w:val="675"/>
          <w:jc w:val="center"/>
        </w:trPr>
        <w:tc>
          <w:tcPr>
            <w:tcW w:w="0" w:type="auto"/>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99" w14:textId="77777777" w:rsidR="003B648A" w:rsidRDefault="003B648A">
            <w:pPr>
              <w:rPr>
                <w:rFonts w:ascii="Times" w:hAnsi="Times" w:cs="Times"/>
                <w:sz w:val="20"/>
                <w:szCs w:val="20"/>
              </w:rPr>
            </w:pPr>
          </w:p>
        </w:tc>
      </w:tr>
      <w:tr w:rsidR="003B648A" w14:paraId="531D879D" w14:textId="77777777" w:rsidTr="5E5449DC">
        <w:trPr>
          <w:divId w:val="412438823"/>
          <w:trHeight w:val="450"/>
          <w:jc w:val="center"/>
        </w:trPr>
        <w:tc>
          <w:tcPr>
            <w:tcW w:w="300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9B" w14:textId="77777777" w:rsidR="003B648A" w:rsidRDefault="003B648A">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9C" w14:textId="622284C6" w:rsidR="003B648A" w:rsidRDefault="003B648A" w:rsidP="00F70471">
            <w:pPr>
              <w:rPr>
                <w:rFonts w:ascii="Times" w:hAnsi="Times" w:cs="Times"/>
                <w:sz w:val="20"/>
                <w:szCs w:val="20"/>
              </w:rPr>
            </w:pPr>
            <w:r>
              <w:rPr>
                <w:rFonts w:ascii="Times" w:hAnsi="Times" w:cs="Times"/>
                <w:sz w:val="20"/>
                <w:szCs w:val="20"/>
              </w:rPr>
              <w:t>Začiatok:    </w:t>
            </w:r>
            <w:r w:rsidR="006D5FDF">
              <w:rPr>
                <w:rFonts w:ascii="Times" w:hAnsi="Times" w:cs="Times"/>
                <w:sz w:val="20"/>
                <w:szCs w:val="20"/>
              </w:rPr>
              <w:t>15</w:t>
            </w:r>
            <w:r>
              <w:rPr>
                <w:rFonts w:ascii="Times" w:hAnsi="Times" w:cs="Times"/>
                <w:sz w:val="20"/>
                <w:szCs w:val="20"/>
              </w:rPr>
              <w:t>.</w:t>
            </w:r>
            <w:r w:rsidR="00F70471">
              <w:rPr>
                <w:rFonts w:ascii="Times" w:hAnsi="Times" w:cs="Times"/>
                <w:sz w:val="20"/>
                <w:szCs w:val="20"/>
              </w:rPr>
              <w:t xml:space="preserve"> 5</w:t>
            </w:r>
            <w:r>
              <w:rPr>
                <w:rFonts w:ascii="Times" w:hAnsi="Times" w:cs="Times"/>
                <w:sz w:val="20"/>
                <w:szCs w:val="20"/>
              </w:rPr>
              <w:t>.</w:t>
            </w:r>
            <w:r w:rsidR="00F70471">
              <w:rPr>
                <w:rFonts w:ascii="Times" w:hAnsi="Times" w:cs="Times"/>
                <w:sz w:val="20"/>
                <w:szCs w:val="20"/>
              </w:rPr>
              <w:t xml:space="preserve"> </w:t>
            </w:r>
            <w:r>
              <w:rPr>
                <w:rFonts w:ascii="Times" w:hAnsi="Times" w:cs="Times"/>
                <w:sz w:val="20"/>
                <w:szCs w:val="20"/>
              </w:rPr>
              <w:t>2019</w:t>
            </w:r>
            <w:r>
              <w:rPr>
                <w:rFonts w:ascii="Times" w:hAnsi="Times" w:cs="Times"/>
                <w:sz w:val="20"/>
                <w:szCs w:val="20"/>
              </w:rPr>
              <w:br/>
              <w:t>Ukončenie: 1</w:t>
            </w:r>
            <w:r w:rsidR="006D5FDF">
              <w:rPr>
                <w:rFonts w:ascii="Times" w:hAnsi="Times" w:cs="Times"/>
                <w:sz w:val="20"/>
                <w:szCs w:val="20"/>
              </w:rPr>
              <w:t>7</w:t>
            </w:r>
            <w:r>
              <w:rPr>
                <w:rFonts w:ascii="Times" w:hAnsi="Times" w:cs="Times"/>
                <w:sz w:val="20"/>
                <w:szCs w:val="20"/>
              </w:rPr>
              <w:t>.</w:t>
            </w:r>
            <w:r w:rsidR="00F70471">
              <w:rPr>
                <w:rFonts w:ascii="Times" w:hAnsi="Times" w:cs="Times"/>
                <w:sz w:val="20"/>
                <w:szCs w:val="20"/>
              </w:rPr>
              <w:t xml:space="preserve"> 5</w:t>
            </w:r>
            <w:r>
              <w:rPr>
                <w:rFonts w:ascii="Times" w:hAnsi="Times" w:cs="Times"/>
                <w:sz w:val="20"/>
                <w:szCs w:val="20"/>
              </w:rPr>
              <w:t>.</w:t>
            </w:r>
            <w:r w:rsidR="00F70471">
              <w:rPr>
                <w:rFonts w:ascii="Times" w:hAnsi="Times" w:cs="Times"/>
                <w:sz w:val="20"/>
                <w:szCs w:val="20"/>
              </w:rPr>
              <w:t xml:space="preserve"> </w:t>
            </w:r>
            <w:r>
              <w:rPr>
                <w:rFonts w:ascii="Times" w:hAnsi="Times" w:cs="Times"/>
                <w:sz w:val="20"/>
                <w:szCs w:val="20"/>
              </w:rPr>
              <w:t>2019</w:t>
            </w:r>
          </w:p>
        </w:tc>
      </w:tr>
      <w:tr w:rsidR="003B648A" w14:paraId="531D87A0" w14:textId="77777777" w:rsidTr="5E5449DC">
        <w:trPr>
          <w:divId w:val="412438823"/>
          <w:trHeight w:val="450"/>
          <w:jc w:val="center"/>
        </w:trPr>
        <w:tc>
          <w:tcPr>
            <w:tcW w:w="300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9E" w14:textId="2D32776A" w:rsidR="003B648A" w:rsidRDefault="003B648A" w:rsidP="00F70471">
            <w:pPr>
              <w:rPr>
                <w:rFonts w:ascii="Times" w:hAnsi="Times" w:cs="Times"/>
                <w:b/>
                <w:bCs/>
                <w:sz w:val="22"/>
                <w:szCs w:val="22"/>
              </w:rPr>
            </w:pPr>
            <w:r>
              <w:rPr>
                <w:rFonts w:ascii="Times" w:hAnsi="Times" w:cs="Times"/>
                <w:b/>
                <w:bCs/>
                <w:sz w:val="22"/>
                <w:szCs w:val="22"/>
              </w:rPr>
              <w:t>  Predpokladaný termín predloženia na MPK</w:t>
            </w:r>
            <w:r w:rsidR="00F70471">
              <w:rPr>
                <w:rStyle w:val="Odkaznapoznmkupodiarou"/>
                <w:rFonts w:ascii="Times" w:hAnsi="Times" w:cs="Times"/>
                <w:b/>
                <w:bCs/>
                <w:sz w:val="22"/>
                <w:szCs w:val="22"/>
              </w:rPr>
              <w:footnoteReference w:id="1"/>
            </w:r>
          </w:p>
        </w:tc>
        <w:tc>
          <w:tcPr>
            <w:tcW w:w="200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9F" w14:textId="21A541EA" w:rsidR="003B648A" w:rsidRDefault="5E5449DC" w:rsidP="5E5449DC">
            <w:pPr>
              <w:rPr>
                <w:rFonts w:ascii="Times" w:hAnsi="Times" w:cs="Times"/>
                <w:sz w:val="20"/>
                <w:szCs w:val="20"/>
              </w:rPr>
            </w:pPr>
            <w:r w:rsidRPr="5E5449DC">
              <w:rPr>
                <w:rFonts w:ascii="Times" w:hAnsi="Times" w:cs="Times"/>
                <w:sz w:val="20"/>
                <w:szCs w:val="20"/>
              </w:rPr>
              <w:t>24. 5. 2019</w:t>
            </w:r>
          </w:p>
        </w:tc>
      </w:tr>
      <w:tr w:rsidR="003B648A" w14:paraId="531D87A3" w14:textId="77777777" w:rsidTr="5E5449DC">
        <w:trPr>
          <w:divId w:val="412438823"/>
          <w:trHeight w:val="600"/>
          <w:jc w:val="center"/>
        </w:trPr>
        <w:tc>
          <w:tcPr>
            <w:tcW w:w="300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A1" w14:textId="77777777" w:rsidR="003B648A" w:rsidRDefault="003B648A">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A2" w14:textId="0FE51611" w:rsidR="003B648A" w:rsidRDefault="006D5FDF" w:rsidP="5E5449DC">
            <w:pPr>
              <w:rPr>
                <w:rFonts w:ascii="Times" w:hAnsi="Times" w:cs="Times"/>
                <w:sz w:val="20"/>
                <w:szCs w:val="20"/>
              </w:rPr>
            </w:pPr>
            <w:r>
              <w:rPr>
                <w:rFonts w:ascii="Times" w:hAnsi="Times" w:cs="Times"/>
                <w:sz w:val="20"/>
                <w:szCs w:val="20"/>
              </w:rPr>
              <w:t>3.7.</w:t>
            </w:r>
            <w:r w:rsidR="5E5449DC" w:rsidRPr="5E5449DC">
              <w:rPr>
                <w:rFonts w:ascii="Times" w:hAnsi="Times" w:cs="Times"/>
                <w:sz w:val="20"/>
                <w:szCs w:val="20"/>
              </w:rPr>
              <w:t xml:space="preserve"> 2019</w:t>
            </w:r>
          </w:p>
        </w:tc>
      </w:tr>
    </w:tbl>
    <w:p w14:paraId="531D87A4" w14:textId="77777777" w:rsidR="00325440" w:rsidRDefault="00325440" w:rsidP="00C579E9">
      <w:pPr>
        <w:pStyle w:val="Normlnywebov"/>
        <w:spacing w:before="0" w:beforeAutospacing="0" w:after="0" w:afterAutospacing="0"/>
        <w:rPr>
          <w:bCs/>
          <w:sz w:val="22"/>
          <w:szCs w:val="22"/>
        </w:rPr>
      </w:pPr>
    </w:p>
    <w:p w14:paraId="531D87A5" w14:textId="77777777" w:rsidR="003B648A" w:rsidRDefault="003B648A"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B648A" w14:paraId="531D87A7" w14:textId="77777777" w:rsidTr="5FAB9ACF">
        <w:trPr>
          <w:divId w:val="1106577942"/>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A6" w14:textId="77777777" w:rsidR="003B648A" w:rsidRDefault="003B648A">
            <w:pPr>
              <w:rPr>
                <w:rFonts w:ascii="Times" w:hAnsi="Times" w:cs="Times"/>
                <w:b/>
                <w:bCs/>
                <w:sz w:val="22"/>
                <w:szCs w:val="22"/>
              </w:rPr>
            </w:pPr>
            <w:r>
              <w:rPr>
                <w:rFonts w:ascii="Times" w:hAnsi="Times" w:cs="Times"/>
                <w:b/>
                <w:bCs/>
                <w:sz w:val="22"/>
                <w:szCs w:val="22"/>
              </w:rPr>
              <w:t>  2.  Definícia problému</w:t>
            </w:r>
          </w:p>
        </w:tc>
      </w:tr>
      <w:tr w:rsidR="003B648A" w14:paraId="531D87A9" w14:textId="77777777" w:rsidTr="5FAB9ACF">
        <w:trPr>
          <w:divId w:val="1106577942"/>
          <w:trHeight w:val="600"/>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tbl>
            <w:tblPr>
              <w:tblStyle w:val="Mriekatabuky"/>
              <w:tblW w:w="0" w:type="auto"/>
              <w:tblLook w:val="04A0" w:firstRow="1" w:lastRow="0" w:firstColumn="1" w:lastColumn="0" w:noHBand="0" w:noVBand="1"/>
            </w:tblPr>
            <w:tblGrid>
              <w:gridCol w:w="9026"/>
            </w:tblGrid>
            <w:tr w:rsidR="5E5449DC" w14:paraId="4B84672F" w14:textId="77777777" w:rsidTr="5E5449DC">
              <w:tc>
                <w:tcPr>
                  <w:tcW w:w="9026" w:type="dxa"/>
                </w:tcPr>
                <w:p w14:paraId="46D3FAF9" w14:textId="08C84F7D" w:rsidR="5E5449DC" w:rsidRDefault="5E5449DC" w:rsidP="5E5449DC">
                  <w:pPr>
                    <w:spacing w:after="120"/>
                    <w:jc w:val="both"/>
                    <w:rPr>
                      <w:color w:val="000000" w:themeColor="text1"/>
                      <w:sz w:val="21"/>
                      <w:szCs w:val="21"/>
                    </w:rPr>
                  </w:pPr>
                  <w:r w:rsidRPr="5E5449DC">
                    <w:rPr>
                      <w:color w:val="000000" w:themeColor="text1"/>
                      <w:sz w:val="21"/>
                      <w:szCs w:val="21"/>
                    </w:rPr>
                    <w:t xml:space="preserve">Akčný plán digitálnej transformácie Slovenska na roky 2019 až 2022 vykonáva </w:t>
                  </w:r>
                  <w:r w:rsidRPr="5E5449DC">
                    <w:rPr>
                      <w:b/>
                      <w:bCs/>
                      <w:color w:val="000000" w:themeColor="text1"/>
                      <w:sz w:val="21"/>
                      <w:szCs w:val="21"/>
                    </w:rPr>
                    <w:t xml:space="preserve">Stratégiu digitálnej transformácie Slovenska 2030, </w:t>
                  </w:r>
                  <w:r w:rsidRPr="5E5449DC">
                    <w:rPr>
                      <w:color w:val="000000" w:themeColor="text1"/>
                      <w:sz w:val="21"/>
                      <w:szCs w:val="21"/>
                    </w:rPr>
                    <w:t>pričom pokrýva opatrenia, ktoré je možné uskutočniť v </w:t>
                  </w:r>
                  <w:r w:rsidRPr="5E5449DC">
                    <w:rPr>
                      <w:b/>
                      <w:bCs/>
                      <w:color w:val="000000" w:themeColor="text1"/>
                      <w:sz w:val="21"/>
                      <w:szCs w:val="21"/>
                    </w:rPr>
                    <w:t>krátkodobom časovom horizonte</w:t>
                  </w:r>
                  <w:r w:rsidRPr="5E5449DC">
                    <w:rPr>
                      <w:color w:val="000000" w:themeColor="text1"/>
                      <w:sz w:val="21"/>
                      <w:szCs w:val="21"/>
                    </w:rPr>
                    <w:t>, t.</w:t>
                  </w:r>
                  <w:r w:rsidR="006D5FDF">
                    <w:rPr>
                      <w:color w:val="000000" w:themeColor="text1"/>
                      <w:sz w:val="21"/>
                      <w:szCs w:val="21"/>
                    </w:rPr>
                    <w:t>j. od septembra 2019 do konca</w:t>
                  </w:r>
                  <w:r w:rsidRPr="5E5449DC">
                    <w:rPr>
                      <w:color w:val="000000" w:themeColor="text1"/>
                      <w:sz w:val="21"/>
                      <w:szCs w:val="21"/>
                    </w:rPr>
                    <w:t xml:space="preserve"> roka 2022. Ich financovanie je naviazané na programové obdobie 2014 – 2020. Úspešné naplnenie opatrení akčného plánu vyžaduje širokú politickú podporu nad hranicu mandátu súčasnej vlády.</w:t>
                  </w:r>
                </w:p>
                <w:p w14:paraId="7C42F368" w14:textId="5B0F84D1" w:rsidR="5E5449DC" w:rsidRDefault="5E5449DC" w:rsidP="5E5449DC">
                  <w:pPr>
                    <w:spacing w:after="120"/>
                    <w:jc w:val="both"/>
                    <w:rPr>
                      <w:color w:val="000000" w:themeColor="text1"/>
                      <w:sz w:val="21"/>
                      <w:szCs w:val="21"/>
                    </w:rPr>
                  </w:pPr>
                  <w:r w:rsidRPr="5E5449DC">
                    <w:rPr>
                      <w:color w:val="000000" w:themeColor="text1"/>
                      <w:sz w:val="21"/>
                      <w:szCs w:val="21"/>
                    </w:rPr>
                    <w:t xml:space="preserve">V oblasti inovatívnych technológií a v procese digitálnej transformácie je obdobie troch rokov pomerne dlhá perióda. Počas troch rokov sa s veľkou pravdepodobnosťou zmenia základné východiská, oblasť digitálnej agendy sa výrazne posunie a preukáže sa zmysel a využitie nových technológií a ich smerovania. Hlavným zámerom je preto odbúrať všetky prekážky, ktoré bránia prínosnému a zodpovednému zavádzaniu digitálnych inovácií do praxe v prioritných oblastiach a vytvoriť solídne predpoklady pre ďalší rozvoj. </w:t>
                  </w:r>
                </w:p>
                <w:p w14:paraId="6D80211C" w14:textId="669BAC22" w:rsidR="5E5449DC" w:rsidRPr="006D5FDF" w:rsidRDefault="5E5449DC" w:rsidP="5E5449DC">
                  <w:pPr>
                    <w:spacing w:before="240" w:after="120"/>
                    <w:jc w:val="both"/>
                    <w:rPr>
                      <w:color w:val="000000" w:themeColor="text1"/>
                      <w:sz w:val="21"/>
                      <w:szCs w:val="21"/>
                    </w:rPr>
                  </w:pPr>
                  <w:r w:rsidRPr="5E5449DC">
                    <w:rPr>
                      <w:color w:val="000000" w:themeColor="text1"/>
                      <w:sz w:val="21"/>
                      <w:szCs w:val="21"/>
                    </w:rPr>
                    <w:t>Odpočet implementácie Akčného plánu digitálnej transformácie Slovenska 2019 – 2022 bude predložený Vláde SR každoročne vždy ku koncu júna. Práve na základe plnenia tohto akčného plánu, rovnako aj na základe globálneho smerovania ako aj priorít EÚ budú vypracované budúce akčné plány vychádzajúce z prijatej Stratégie digitálnej transformácie Slovenska do 2030.</w:t>
                  </w:r>
                </w:p>
                <w:p w14:paraId="3C4DA138" w14:textId="14050D53" w:rsidR="5E5449DC" w:rsidRPr="006D5FDF" w:rsidRDefault="5E5449DC" w:rsidP="5E5449DC">
                  <w:pPr>
                    <w:jc w:val="both"/>
                    <w:rPr>
                      <w:color w:val="000000" w:themeColor="text1"/>
                      <w:sz w:val="21"/>
                      <w:szCs w:val="21"/>
                    </w:rPr>
                  </w:pPr>
                  <w:r w:rsidRPr="006D5FDF">
                    <w:rPr>
                      <w:color w:val="000000" w:themeColor="text1"/>
                      <w:sz w:val="21"/>
                      <w:szCs w:val="21"/>
                    </w:rPr>
                    <w:t>Prostrední</w:t>
                  </w:r>
                  <w:r w:rsidR="006D5FDF">
                    <w:rPr>
                      <w:color w:val="000000" w:themeColor="text1"/>
                      <w:sz w:val="21"/>
                      <w:szCs w:val="21"/>
                    </w:rPr>
                    <w:t>ctvom implementácie opatrení v A</w:t>
                  </w:r>
                  <w:r w:rsidRPr="006D5FDF">
                    <w:rPr>
                      <w:color w:val="000000" w:themeColor="text1"/>
                      <w:sz w:val="21"/>
                      <w:szCs w:val="21"/>
                    </w:rPr>
                    <w:t>kčnom pláne sa na Slovensku do roku 2022 postavia základy pre naplnenie strategických cieľov Stratégie digitálnej transformácie Slovenska 2030 a to:</w:t>
                  </w:r>
                </w:p>
                <w:p w14:paraId="27ED2313" w14:textId="422F7F50" w:rsidR="5E5449DC" w:rsidRPr="006D5FDF" w:rsidRDefault="5E5449DC" w:rsidP="5E5449DC">
                  <w:pPr>
                    <w:jc w:val="both"/>
                    <w:rPr>
                      <w:color w:val="000000" w:themeColor="text1"/>
                      <w:sz w:val="21"/>
                      <w:szCs w:val="21"/>
                    </w:rPr>
                  </w:pPr>
                  <w:r w:rsidRPr="006D5FDF">
                    <w:rPr>
                      <w:color w:val="000000" w:themeColor="text1"/>
                      <w:sz w:val="21"/>
                      <w:szCs w:val="21"/>
                    </w:rPr>
                    <w:t xml:space="preserve"> </w:t>
                  </w:r>
                </w:p>
                <w:p w14:paraId="0E3C9A9E" w14:textId="400E0833" w:rsidR="5E5449DC" w:rsidRPr="006D5FDF" w:rsidRDefault="006D5FDF" w:rsidP="5E5449DC">
                  <w:pPr>
                    <w:pStyle w:val="Odsekzoznamu"/>
                    <w:numPr>
                      <w:ilvl w:val="0"/>
                      <w:numId w:val="6"/>
                    </w:numPr>
                    <w:rPr>
                      <w:color w:val="000000" w:themeColor="text1"/>
                      <w:sz w:val="21"/>
                      <w:szCs w:val="21"/>
                    </w:rPr>
                  </w:pPr>
                  <w:r>
                    <w:rPr>
                      <w:color w:val="000000" w:themeColor="text1"/>
                      <w:sz w:val="21"/>
                      <w:szCs w:val="21"/>
                    </w:rPr>
                    <w:t>t</w:t>
                  </w:r>
                  <w:r w:rsidR="5E5449DC" w:rsidRPr="006D5FDF">
                    <w:rPr>
                      <w:color w:val="000000" w:themeColor="text1"/>
                      <w:sz w:val="21"/>
                      <w:szCs w:val="21"/>
                    </w:rPr>
                    <w:t>ransformácia tradičného priemyslu na inovačný digitálny priemysel (Smart Industry)</w:t>
                  </w:r>
                  <w:r>
                    <w:rPr>
                      <w:color w:val="000000" w:themeColor="text1"/>
                      <w:sz w:val="21"/>
                      <w:szCs w:val="21"/>
                    </w:rPr>
                    <w:t>,</w:t>
                  </w:r>
                </w:p>
                <w:p w14:paraId="71B12A4E" w14:textId="0E7A955B" w:rsidR="5E5449DC" w:rsidRPr="006D5FDF" w:rsidRDefault="006D5FDF" w:rsidP="5E5449DC">
                  <w:pPr>
                    <w:pStyle w:val="Odsekzoznamu"/>
                    <w:numPr>
                      <w:ilvl w:val="0"/>
                      <w:numId w:val="6"/>
                    </w:numPr>
                    <w:rPr>
                      <w:color w:val="000000" w:themeColor="text1"/>
                      <w:sz w:val="21"/>
                      <w:szCs w:val="21"/>
                    </w:rPr>
                  </w:pPr>
                  <w:r>
                    <w:rPr>
                      <w:color w:val="000000" w:themeColor="text1"/>
                      <w:sz w:val="21"/>
                      <w:szCs w:val="21"/>
                    </w:rPr>
                    <w:t>v</w:t>
                  </w:r>
                  <w:r w:rsidR="5E5449DC" w:rsidRPr="006D5FDF">
                    <w:rPr>
                      <w:color w:val="000000" w:themeColor="text1"/>
                      <w:sz w:val="21"/>
                      <w:szCs w:val="21"/>
                    </w:rPr>
                    <w:t>ybudovanie modernej, robustnej a funkčnej digitálnej infraštruktúry</w:t>
                  </w:r>
                  <w:r>
                    <w:rPr>
                      <w:color w:val="000000" w:themeColor="text1"/>
                      <w:sz w:val="21"/>
                      <w:szCs w:val="21"/>
                    </w:rPr>
                    <w:t>,</w:t>
                  </w:r>
                </w:p>
                <w:p w14:paraId="76ADE991" w14:textId="2CCF8C07" w:rsidR="5E5449DC" w:rsidRPr="006D5FDF" w:rsidRDefault="006D5FDF" w:rsidP="5E5449DC">
                  <w:pPr>
                    <w:pStyle w:val="Odsekzoznamu"/>
                    <w:numPr>
                      <w:ilvl w:val="0"/>
                      <w:numId w:val="6"/>
                    </w:numPr>
                    <w:rPr>
                      <w:color w:val="000000" w:themeColor="text1"/>
                      <w:sz w:val="21"/>
                      <w:szCs w:val="21"/>
                    </w:rPr>
                  </w:pPr>
                  <w:r>
                    <w:rPr>
                      <w:color w:val="000000" w:themeColor="text1"/>
                      <w:sz w:val="21"/>
                      <w:szCs w:val="21"/>
                    </w:rPr>
                    <w:t>v</w:t>
                  </w:r>
                  <w:r w:rsidR="5E5449DC" w:rsidRPr="006D5FDF">
                    <w:rPr>
                      <w:color w:val="000000" w:themeColor="text1"/>
                      <w:sz w:val="21"/>
                      <w:szCs w:val="21"/>
                    </w:rPr>
                    <w:t>ybudovanie fungujúceho dátové</w:t>
                  </w:r>
                  <w:r>
                    <w:rPr>
                      <w:color w:val="000000" w:themeColor="text1"/>
                      <w:sz w:val="21"/>
                      <w:szCs w:val="21"/>
                    </w:rPr>
                    <w:t>ho hospodárstva</w:t>
                  </w:r>
                  <w:r w:rsidR="5E5449DC" w:rsidRPr="006D5FDF">
                    <w:rPr>
                      <w:color w:val="000000" w:themeColor="text1"/>
                      <w:sz w:val="21"/>
                      <w:szCs w:val="21"/>
                    </w:rPr>
                    <w:t xml:space="preserve"> pre lepšie využívanie dát</w:t>
                  </w:r>
                  <w:r>
                    <w:rPr>
                      <w:color w:val="000000" w:themeColor="text1"/>
                      <w:sz w:val="21"/>
                      <w:szCs w:val="21"/>
                    </w:rPr>
                    <w:t>,</w:t>
                  </w:r>
                </w:p>
                <w:p w14:paraId="4631E245" w14:textId="7A0AD1E8" w:rsidR="5E5449DC" w:rsidRPr="006D5FDF" w:rsidRDefault="006D5FDF" w:rsidP="5E5449DC">
                  <w:pPr>
                    <w:pStyle w:val="Odsekzoznamu"/>
                    <w:numPr>
                      <w:ilvl w:val="0"/>
                      <w:numId w:val="6"/>
                    </w:numPr>
                    <w:rPr>
                      <w:color w:val="000000" w:themeColor="text1"/>
                      <w:sz w:val="21"/>
                      <w:szCs w:val="21"/>
                    </w:rPr>
                  </w:pPr>
                  <w:r>
                    <w:rPr>
                      <w:color w:val="000000" w:themeColor="text1"/>
                      <w:sz w:val="21"/>
                      <w:szCs w:val="21"/>
                    </w:rPr>
                    <w:t>v</w:t>
                  </w:r>
                  <w:r w:rsidR="5E5449DC" w:rsidRPr="006D5FDF">
                    <w:rPr>
                      <w:color w:val="000000" w:themeColor="text1"/>
                      <w:sz w:val="21"/>
                      <w:szCs w:val="21"/>
                    </w:rPr>
                    <w:t>yt</w:t>
                  </w:r>
                  <w:r>
                    <w:rPr>
                      <w:color w:val="000000" w:themeColor="text1"/>
                      <w:sz w:val="21"/>
                      <w:szCs w:val="21"/>
                    </w:rPr>
                    <w:t>vorenie ekosystému slovenských centier digitálnych inovácií</w:t>
                  </w:r>
                  <w:r w:rsidR="5E5449DC" w:rsidRPr="006D5FDF">
                    <w:rPr>
                      <w:color w:val="000000" w:themeColor="text1"/>
                      <w:sz w:val="21"/>
                      <w:szCs w:val="21"/>
                    </w:rPr>
                    <w:t xml:space="preserve"> (</w:t>
                  </w:r>
                  <w:r>
                    <w:rPr>
                      <w:color w:val="000000" w:themeColor="text1"/>
                      <w:sz w:val="21"/>
                      <w:szCs w:val="21"/>
                    </w:rPr>
                    <w:t>CDI/DIH</w:t>
                  </w:r>
                  <w:r w:rsidR="5E5449DC" w:rsidRPr="006D5FDF">
                    <w:rPr>
                      <w:color w:val="000000" w:themeColor="text1"/>
                      <w:sz w:val="21"/>
                      <w:szCs w:val="21"/>
                    </w:rPr>
                    <w:t>) a vybudovanie unikátneho inovačného hubu v</w:t>
                  </w:r>
                  <w:r>
                    <w:rPr>
                      <w:color w:val="000000" w:themeColor="text1"/>
                      <w:sz w:val="21"/>
                      <w:szCs w:val="21"/>
                    </w:rPr>
                    <w:t> </w:t>
                  </w:r>
                  <w:r w:rsidR="5E5449DC" w:rsidRPr="006D5FDF">
                    <w:rPr>
                      <w:color w:val="000000" w:themeColor="text1"/>
                      <w:sz w:val="21"/>
                      <w:szCs w:val="21"/>
                    </w:rPr>
                    <w:t>Bratislave</w:t>
                  </w:r>
                  <w:r>
                    <w:rPr>
                      <w:color w:val="000000" w:themeColor="text1"/>
                      <w:sz w:val="21"/>
                      <w:szCs w:val="21"/>
                    </w:rPr>
                    <w:t>,</w:t>
                  </w:r>
                </w:p>
                <w:p w14:paraId="7A68CEAE" w14:textId="18A5EE5A" w:rsidR="5E5449DC" w:rsidRPr="006D5FDF" w:rsidRDefault="006D5FDF" w:rsidP="5E5449DC">
                  <w:pPr>
                    <w:pStyle w:val="Odsekzoznamu"/>
                    <w:numPr>
                      <w:ilvl w:val="0"/>
                      <w:numId w:val="6"/>
                    </w:numPr>
                    <w:rPr>
                      <w:color w:val="000000" w:themeColor="text1"/>
                      <w:sz w:val="21"/>
                      <w:szCs w:val="21"/>
                    </w:rPr>
                  </w:pPr>
                  <w:r>
                    <w:rPr>
                      <w:color w:val="000000" w:themeColor="text1"/>
                      <w:sz w:val="21"/>
                      <w:szCs w:val="21"/>
                    </w:rPr>
                    <w:lastRenderedPageBreak/>
                    <w:t>p</w:t>
                  </w:r>
                  <w:r w:rsidR="5E5449DC" w:rsidRPr="006D5FDF">
                    <w:rPr>
                      <w:color w:val="000000" w:themeColor="text1"/>
                      <w:sz w:val="21"/>
                      <w:szCs w:val="21"/>
                    </w:rPr>
                    <w:t>ríprava a implementovanie novej legislatívnej a regulačnej politiky pre vytvorenie inovatívneho podnikateľského ekosystému</w:t>
                  </w:r>
                  <w:r>
                    <w:rPr>
                      <w:color w:val="000000" w:themeColor="text1"/>
                      <w:sz w:val="21"/>
                      <w:szCs w:val="21"/>
                    </w:rPr>
                    <w:t>,</w:t>
                  </w:r>
                </w:p>
                <w:p w14:paraId="17B884AA" w14:textId="4A754BE9" w:rsidR="5E5449DC" w:rsidRPr="006D5FDF" w:rsidRDefault="006D5FDF" w:rsidP="5E5449DC">
                  <w:pPr>
                    <w:pStyle w:val="Odsekzoznamu"/>
                    <w:numPr>
                      <w:ilvl w:val="0"/>
                      <w:numId w:val="6"/>
                    </w:numPr>
                    <w:rPr>
                      <w:color w:val="000000" w:themeColor="text1"/>
                      <w:sz w:val="21"/>
                      <w:szCs w:val="21"/>
                    </w:rPr>
                  </w:pPr>
                  <w:r>
                    <w:rPr>
                      <w:color w:val="000000" w:themeColor="text1"/>
                      <w:sz w:val="21"/>
                      <w:szCs w:val="21"/>
                    </w:rPr>
                    <w:t>z</w:t>
                  </w:r>
                  <w:r w:rsidR="5E5449DC" w:rsidRPr="006D5FDF">
                    <w:rPr>
                      <w:color w:val="000000" w:themeColor="text1"/>
                      <w:sz w:val="21"/>
                      <w:szCs w:val="21"/>
                    </w:rPr>
                    <w:t>lepšenie verejných politík v oblasti dopravy a zavádzanie inteligentnej mobility, vrátane autonómnych vozidiel</w:t>
                  </w:r>
                  <w:r>
                    <w:rPr>
                      <w:color w:val="000000" w:themeColor="text1"/>
                      <w:sz w:val="21"/>
                      <w:szCs w:val="21"/>
                    </w:rPr>
                    <w:t>,</w:t>
                  </w:r>
                </w:p>
                <w:p w14:paraId="140AAB45" w14:textId="71CA8E4F" w:rsidR="5E5449DC" w:rsidRPr="006D5FDF" w:rsidRDefault="006D5FDF" w:rsidP="5E5449DC">
                  <w:pPr>
                    <w:pStyle w:val="Odsekzoznamu"/>
                    <w:numPr>
                      <w:ilvl w:val="0"/>
                      <w:numId w:val="6"/>
                    </w:numPr>
                    <w:rPr>
                      <w:color w:val="000000" w:themeColor="text1"/>
                      <w:sz w:val="21"/>
                      <w:szCs w:val="21"/>
                    </w:rPr>
                  </w:pPr>
                  <w:r>
                    <w:rPr>
                      <w:color w:val="000000" w:themeColor="text1"/>
                      <w:sz w:val="21"/>
                      <w:szCs w:val="21"/>
                    </w:rPr>
                    <w:t>a</w:t>
                  </w:r>
                  <w:r w:rsidR="5E5449DC" w:rsidRPr="006D5FDF">
                    <w:rPr>
                      <w:color w:val="000000" w:themeColor="text1"/>
                      <w:sz w:val="21"/>
                      <w:szCs w:val="21"/>
                    </w:rPr>
                    <w:t>plikovanie udržateľné</w:t>
                  </w:r>
                  <w:r>
                    <w:rPr>
                      <w:color w:val="000000" w:themeColor="text1"/>
                      <w:sz w:val="21"/>
                      <w:szCs w:val="21"/>
                    </w:rPr>
                    <w:t>ho obrábania</w:t>
                  </w:r>
                  <w:r w:rsidR="5E5449DC" w:rsidRPr="006D5FDF">
                    <w:rPr>
                      <w:color w:val="000000" w:themeColor="text1"/>
                      <w:sz w:val="21"/>
                      <w:szCs w:val="21"/>
                    </w:rPr>
                    <w:t xml:space="preserve"> pôdy prostredníctvom využívania technológií presného poľnohospodárstva (</w:t>
                  </w:r>
                  <w:proofErr w:type="spellStart"/>
                  <w:r w:rsidR="5E5449DC" w:rsidRPr="006D5FDF">
                    <w:rPr>
                      <w:color w:val="000000" w:themeColor="text1"/>
                      <w:sz w:val="21"/>
                      <w:szCs w:val="21"/>
                    </w:rPr>
                    <w:t>Precision</w:t>
                  </w:r>
                  <w:proofErr w:type="spellEnd"/>
                  <w:r w:rsidR="5E5449DC" w:rsidRPr="006D5FDF">
                    <w:rPr>
                      <w:color w:val="000000" w:themeColor="text1"/>
                      <w:sz w:val="21"/>
                      <w:szCs w:val="21"/>
                    </w:rPr>
                    <w:t xml:space="preserve"> </w:t>
                  </w:r>
                  <w:proofErr w:type="spellStart"/>
                  <w:r w:rsidR="5E5449DC" w:rsidRPr="006D5FDF">
                    <w:rPr>
                      <w:color w:val="000000" w:themeColor="text1"/>
                      <w:sz w:val="21"/>
                      <w:szCs w:val="21"/>
                    </w:rPr>
                    <w:t>Farming</w:t>
                  </w:r>
                  <w:proofErr w:type="spellEnd"/>
                  <w:r w:rsidR="5E5449DC" w:rsidRPr="006D5FDF">
                    <w:rPr>
                      <w:color w:val="000000" w:themeColor="text1"/>
                      <w:sz w:val="21"/>
                      <w:szCs w:val="21"/>
                    </w:rPr>
                    <w:t xml:space="preserve">) a analýzou veľkých dát zo senzorov. </w:t>
                  </w:r>
                </w:p>
                <w:p w14:paraId="4E2B6CB6" w14:textId="0D01B358" w:rsidR="5E5449DC" w:rsidRPr="006D5FDF" w:rsidRDefault="5E5449DC" w:rsidP="5E5449DC">
                  <w:pPr>
                    <w:jc w:val="both"/>
                    <w:rPr>
                      <w:color w:val="000000" w:themeColor="text1"/>
                      <w:sz w:val="21"/>
                      <w:szCs w:val="21"/>
                    </w:rPr>
                  </w:pPr>
                  <w:r w:rsidRPr="006D5FDF">
                    <w:rPr>
                      <w:color w:val="000000" w:themeColor="text1"/>
                      <w:sz w:val="21"/>
                      <w:szCs w:val="21"/>
                    </w:rPr>
                    <w:t xml:space="preserve"> </w:t>
                  </w:r>
                </w:p>
                <w:p w14:paraId="4EC4745A" w14:textId="4EF68521" w:rsidR="5E5449DC" w:rsidRPr="006D5FDF" w:rsidRDefault="00B56047" w:rsidP="5E5449DC">
                  <w:pPr>
                    <w:jc w:val="both"/>
                    <w:rPr>
                      <w:color w:val="000000" w:themeColor="text1"/>
                      <w:sz w:val="21"/>
                      <w:szCs w:val="21"/>
                    </w:rPr>
                  </w:pPr>
                  <w:r>
                    <w:rPr>
                      <w:color w:val="000000" w:themeColor="text1"/>
                      <w:sz w:val="21"/>
                      <w:szCs w:val="21"/>
                    </w:rPr>
                    <w:t>Slovensko sa tak stane dynamickou dátovou ekonomikou</w:t>
                  </w:r>
                  <w:r w:rsidR="5E5449DC" w:rsidRPr="006D5FDF">
                    <w:rPr>
                      <w:color w:val="000000" w:themeColor="text1"/>
                      <w:sz w:val="21"/>
                      <w:szCs w:val="21"/>
                    </w:rPr>
                    <w:t xml:space="preserve"> v rámci EÚ. Legislatívne prostredie bude nastavané spôsobom, aby sa umožnila aplikácia nových biznis modelov, postavených na platformách a umelej inteligencii v praxi. V rámci ekonomiky bude tiež existovať dostatočný dopyt po inovatívnych riešeniach, aby bolo možné udržať dostatočný trh a vytvárať inovácie. Slovenské firmy tak budú zamestnávať rastúci počet dátových vedcov. Dá sa očakávať, že vzniknuté inovácie budú exportované v rámci jednotného digitálneho trhu a ďalej. </w:t>
                  </w:r>
                </w:p>
                <w:p w14:paraId="283260E6" w14:textId="5ED82385" w:rsidR="5E5449DC" w:rsidRDefault="5E5449DC" w:rsidP="5E5449DC">
                  <w:pPr>
                    <w:jc w:val="both"/>
                  </w:pPr>
                  <w:r w:rsidRPr="5E5449DC">
                    <w:rPr>
                      <w:color w:val="000000" w:themeColor="text1"/>
                      <w:sz w:val="20"/>
                      <w:szCs w:val="20"/>
                    </w:rPr>
                    <w:t xml:space="preserve"> </w:t>
                  </w:r>
                </w:p>
              </w:tc>
            </w:tr>
          </w:tbl>
          <w:p w14:paraId="531D87A8" w14:textId="0A42D8DF" w:rsidR="003B648A" w:rsidRDefault="003B648A">
            <w:pPr>
              <w:rPr>
                <w:rFonts w:ascii="Times" w:hAnsi="Times" w:cs="Times"/>
                <w:sz w:val="20"/>
                <w:szCs w:val="20"/>
              </w:rPr>
            </w:pPr>
          </w:p>
        </w:tc>
      </w:tr>
      <w:tr w:rsidR="003B648A" w14:paraId="531D87AB" w14:textId="77777777" w:rsidTr="5FAB9ACF">
        <w:trPr>
          <w:divId w:val="1106577942"/>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AA" w14:textId="77777777" w:rsidR="003B648A" w:rsidRDefault="003B648A">
            <w:pPr>
              <w:rPr>
                <w:rFonts w:ascii="Times" w:hAnsi="Times" w:cs="Times"/>
                <w:b/>
                <w:bCs/>
                <w:sz w:val="22"/>
                <w:szCs w:val="22"/>
              </w:rPr>
            </w:pPr>
            <w:r>
              <w:rPr>
                <w:rFonts w:ascii="Times" w:hAnsi="Times" w:cs="Times"/>
                <w:b/>
                <w:bCs/>
                <w:sz w:val="22"/>
                <w:szCs w:val="22"/>
              </w:rPr>
              <w:lastRenderedPageBreak/>
              <w:t>  3.  Ciele a výsledný stav</w:t>
            </w:r>
          </w:p>
        </w:tc>
      </w:tr>
      <w:tr w:rsidR="003B648A" w14:paraId="531D87AD" w14:textId="77777777" w:rsidTr="5FAB9ACF">
        <w:trPr>
          <w:divId w:val="1106577942"/>
          <w:trHeight w:val="600"/>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24E8825D" w14:textId="4DD735B5" w:rsidR="003B648A" w:rsidRDefault="5E5449DC" w:rsidP="5E5449DC">
            <w:pPr>
              <w:rPr>
                <w:color w:val="000000" w:themeColor="text1"/>
                <w:sz w:val="21"/>
                <w:szCs w:val="21"/>
              </w:rPr>
            </w:pPr>
            <w:r w:rsidRPr="5E5449DC">
              <w:rPr>
                <w:color w:val="000000" w:themeColor="text1"/>
                <w:sz w:val="21"/>
                <w:szCs w:val="21"/>
              </w:rPr>
              <w:t xml:space="preserve">Opatrenia sú rozdelené na nasledujúce strategické oblasti </w:t>
            </w:r>
            <w:r w:rsidRPr="5E5449DC">
              <w:rPr>
                <w:b/>
                <w:bCs/>
                <w:color w:val="000000" w:themeColor="text1"/>
                <w:sz w:val="21"/>
                <w:szCs w:val="21"/>
              </w:rPr>
              <w:t>(strategické ciele),</w:t>
            </w:r>
            <w:r w:rsidRPr="5E5449DC">
              <w:rPr>
                <w:color w:val="000000" w:themeColor="text1"/>
                <w:sz w:val="21"/>
                <w:szCs w:val="21"/>
              </w:rPr>
              <w:t xml:space="preserve"> v ktorých dokáže Slovensko dosiahnuť v sledovanom časovom horizonte badateľný úspech. Tieto pokrývajú všetky oblasti vízie digitálnej transformácie Slovenska, t.j. </w:t>
            </w:r>
            <w:r w:rsidRPr="5E5449DC">
              <w:rPr>
                <w:b/>
                <w:bCs/>
                <w:color w:val="000000" w:themeColor="text1"/>
                <w:sz w:val="21"/>
                <w:szCs w:val="21"/>
              </w:rPr>
              <w:t>hospodárstvo, s</w:t>
            </w:r>
            <w:r w:rsidR="00B56047">
              <w:rPr>
                <w:b/>
                <w:bCs/>
                <w:color w:val="000000" w:themeColor="text1"/>
                <w:sz w:val="21"/>
                <w:szCs w:val="21"/>
              </w:rPr>
              <w:t>poločnosť a vzdelávanie, verejná správa</w:t>
            </w:r>
            <w:r w:rsidRPr="5E5449DC">
              <w:rPr>
                <w:b/>
                <w:bCs/>
                <w:color w:val="000000" w:themeColor="text1"/>
                <w:sz w:val="21"/>
                <w:szCs w:val="21"/>
              </w:rPr>
              <w:t>, rozvoj územia a výskum</w:t>
            </w:r>
            <w:r w:rsidRPr="5E5449DC">
              <w:rPr>
                <w:color w:val="000000" w:themeColor="text1"/>
                <w:sz w:val="21"/>
                <w:szCs w:val="21"/>
              </w:rPr>
              <w:t>:</w:t>
            </w:r>
          </w:p>
          <w:p w14:paraId="133EAD44" w14:textId="2C51503E" w:rsidR="003B648A" w:rsidRDefault="003B648A" w:rsidP="5E5449DC">
            <w:pPr>
              <w:rPr>
                <w:color w:val="000000" w:themeColor="text1"/>
                <w:sz w:val="21"/>
                <w:szCs w:val="21"/>
              </w:rPr>
            </w:pPr>
          </w:p>
          <w:p w14:paraId="69227DF4" w14:textId="7B0DEFB1" w:rsidR="003B648A" w:rsidRDefault="5E5449DC" w:rsidP="5E5449DC">
            <w:pPr>
              <w:pStyle w:val="Odsekzoznamu"/>
              <w:numPr>
                <w:ilvl w:val="0"/>
                <w:numId w:val="4"/>
              </w:numPr>
              <w:spacing w:before="60" w:after="120"/>
              <w:jc w:val="both"/>
              <w:rPr>
                <w:color w:val="000000" w:themeColor="text1"/>
                <w:sz w:val="21"/>
                <w:szCs w:val="21"/>
              </w:rPr>
            </w:pPr>
            <w:r w:rsidRPr="5E5449DC">
              <w:rPr>
                <w:color w:val="000000" w:themeColor="text1"/>
                <w:sz w:val="21"/>
                <w:szCs w:val="21"/>
              </w:rPr>
              <w:t xml:space="preserve">Podporíme digitálnu transformáciu škôl a vzdelávania na skvalitnenie a zlepšenie predpokladov zamestnanosti a získanie </w:t>
            </w:r>
            <w:r w:rsidR="00B56047">
              <w:rPr>
                <w:color w:val="000000" w:themeColor="text1"/>
                <w:sz w:val="21"/>
                <w:szCs w:val="21"/>
              </w:rPr>
              <w:t xml:space="preserve">digitálnych zručností a </w:t>
            </w:r>
            <w:r w:rsidRPr="5E5449DC">
              <w:rPr>
                <w:color w:val="000000" w:themeColor="text1"/>
                <w:sz w:val="21"/>
                <w:szCs w:val="21"/>
              </w:rPr>
              <w:t>kompetencií potrebných pre digitálnu éru,</w:t>
            </w:r>
          </w:p>
          <w:p w14:paraId="755078D0" w14:textId="23C6FDEA" w:rsidR="003B648A" w:rsidRDefault="5E5449DC" w:rsidP="5E5449DC">
            <w:pPr>
              <w:pStyle w:val="Odsekzoznamu"/>
              <w:numPr>
                <w:ilvl w:val="0"/>
                <w:numId w:val="4"/>
              </w:numPr>
              <w:spacing w:before="60" w:after="120"/>
              <w:jc w:val="both"/>
              <w:rPr>
                <w:color w:val="000000" w:themeColor="text1"/>
                <w:sz w:val="21"/>
                <w:szCs w:val="21"/>
              </w:rPr>
            </w:pPr>
            <w:r w:rsidRPr="5E5449DC">
              <w:rPr>
                <w:color w:val="000000" w:themeColor="text1"/>
                <w:sz w:val="21"/>
                <w:szCs w:val="21"/>
              </w:rPr>
              <w:t>Vytvoríme základy pre moderné digitálne a údajové hospodárstvo a pre digitálnu transformáciu širšej ekonomiky,</w:t>
            </w:r>
          </w:p>
          <w:p w14:paraId="2EB56D20" w14:textId="10B1B54C" w:rsidR="003B648A" w:rsidRDefault="5E5449DC" w:rsidP="5E5449DC">
            <w:pPr>
              <w:pStyle w:val="Odsekzoznamu"/>
              <w:numPr>
                <w:ilvl w:val="0"/>
                <w:numId w:val="4"/>
              </w:numPr>
              <w:spacing w:before="60" w:after="120"/>
              <w:jc w:val="both"/>
              <w:rPr>
                <w:color w:val="000000" w:themeColor="text1"/>
                <w:sz w:val="21"/>
                <w:szCs w:val="21"/>
              </w:rPr>
            </w:pPr>
            <w:r w:rsidRPr="5E5449DC">
              <w:rPr>
                <w:color w:val="000000" w:themeColor="text1"/>
                <w:sz w:val="21"/>
                <w:szCs w:val="21"/>
              </w:rPr>
              <w:t>Zlepšíme schopnosti verejnej</w:t>
            </w:r>
            <w:r w:rsidR="00B56047">
              <w:rPr>
                <w:color w:val="000000" w:themeColor="text1"/>
                <w:sz w:val="21"/>
                <w:szCs w:val="21"/>
              </w:rPr>
              <w:t xml:space="preserve"> správy inovovať a využívať údaje</w:t>
            </w:r>
            <w:r w:rsidRPr="5E5449DC">
              <w:rPr>
                <w:color w:val="000000" w:themeColor="text1"/>
                <w:sz w:val="21"/>
                <w:szCs w:val="21"/>
              </w:rPr>
              <w:t xml:space="preserve"> v prospech občanov, </w:t>
            </w:r>
          </w:p>
          <w:p w14:paraId="048B34A8" w14:textId="08900959" w:rsidR="003B648A" w:rsidRDefault="5E5449DC" w:rsidP="5E5449DC">
            <w:pPr>
              <w:pStyle w:val="Odsekzoznamu"/>
              <w:numPr>
                <w:ilvl w:val="0"/>
                <w:numId w:val="4"/>
              </w:numPr>
              <w:spacing w:before="60" w:after="120"/>
              <w:jc w:val="both"/>
              <w:rPr>
                <w:color w:val="000000" w:themeColor="text1"/>
                <w:sz w:val="21"/>
                <w:szCs w:val="21"/>
              </w:rPr>
            </w:pPr>
            <w:r w:rsidRPr="5E5449DC">
              <w:rPr>
                <w:color w:val="000000" w:themeColor="text1"/>
                <w:sz w:val="21"/>
                <w:szCs w:val="21"/>
              </w:rPr>
              <w:t>Podporíme rozvoj umelej inteligencie.</w:t>
            </w:r>
          </w:p>
          <w:p w14:paraId="531D87AC" w14:textId="6273F081" w:rsidR="003B648A" w:rsidRDefault="5FAB9ACF" w:rsidP="5FAB9ACF">
            <w:pPr>
              <w:jc w:val="both"/>
              <w:rPr>
                <w:color w:val="000000" w:themeColor="text1"/>
                <w:sz w:val="21"/>
                <w:szCs w:val="21"/>
              </w:rPr>
            </w:pPr>
            <w:r w:rsidRPr="5FAB9ACF">
              <w:rPr>
                <w:color w:val="000000" w:themeColor="text1"/>
                <w:sz w:val="21"/>
                <w:szCs w:val="21"/>
              </w:rPr>
              <w:t>Okrem vyššie uvedeného posilníme inštitucionálne zázemie na zvýšenie inovatívnej výkonnosti Slovenska.</w:t>
            </w:r>
          </w:p>
        </w:tc>
      </w:tr>
      <w:tr w:rsidR="003B648A" w14:paraId="531D87AF" w14:textId="77777777" w:rsidTr="5FAB9ACF">
        <w:trPr>
          <w:divId w:val="1106577942"/>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AE" w14:textId="77777777" w:rsidR="003B648A" w:rsidRDefault="003B648A">
            <w:pPr>
              <w:rPr>
                <w:rFonts w:ascii="Times" w:hAnsi="Times" w:cs="Times"/>
                <w:b/>
                <w:bCs/>
                <w:sz w:val="22"/>
                <w:szCs w:val="22"/>
              </w:rPr>
            </w:pPr>
            <w:r>
              <w:rPr>
                <w:rFonts w:ascii="Times" w:hAnsi="Times" w:cs="Times"/>
                <w:b/>
                <w:bCs/>
                <w:sz w:val="22"/>
                <w:szCs w:val="22"/>
              </w:rPr>
              <w:t>  4.  Dotknuté subjekty</w:t>
            </w:r>
          </w:p>
        </w:tc>
      </w:tr>
      <w:tr w:rsidR="003B648A" w14:paraId="531D87B1" w14:textId="77777777" w:rsidTr="5FAB9ACF">
        <w:trPr>
          <w:divId w:val="1106577942"/>
          <w:trHeight w:val="600"/>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4ABE6883" w14:textId="6B18CB3E" w:rsidR="003B648A" w:rsidRPr="00B56047" w:rsidRDefault="00B56047" w:rsidP="5E5449DC">
            <w:pPr>
              <w:pStyle w:val="Odsekzoznamu"/>
              <w:numPr>
                <w:ilvl w:val="0"/>
                <w:numId w:val="2"/>
              </w:numPr>
              <w:rPr>
                <w:color w:val="000000" w:themeColor="text1"/>
                <w:sz w:val="21"/>
                <w:szCs w:val="21"/>
              </w:rPr>
            </w:pPr>
            <w:r>
              <w:rPr>
                <w:color w:val="000000" w:themeColor="text1"/>
                <w:sz w:val="21"/>
                <w:szCs w:val="21"/>
              </w:rPr>
              <w:t>ú</w:t>
            </w:r>
            <w:r w:rsidR="5E5449DC" w:rsidRPr="00B56047">
              <w:rPr>
                <w:color w:val="000000" w:themeColor="text1"/>
                <w:sz w:val="21"/>
                <w:szCs w:val="21"/>
              </w:rPr>
              <w:t>stredné orgány štátnej správy,</w:t>
            </w:r>
          </w:p>
          <w:p w14:paraId="459A8450" w14:textId="6040266D" w:rsidR="003B648A" w:rsidRPr="00B56047" w:rsidRDefault="00B56047" w:rsidP="5E5449DC">
            <w:pPr>
              <w:pStyle w:val="Odsekzoznamu"/>
              <w:numPr>
                <w:ilvl w:val="0"/>
                <w:numId w:val="2"/>
              </w:numPr>
              <w:rPr>
                <w:color w:val="000000" w:themeColor="text1"/>
                <w:sz w:val="21"/>
                <w:szCs w:val="21"/>
              </w:rPr>
            </w:pPr>
            <w:r>
              <w:rPr>
                <w:color w:val="000000" w:themeColor="text1"/>
                <w:sz w:val="21"/>
                <w:szCs w:val="21"/>
              </w:rPr>
              <w:t>h</w:t>
            </w:r>
            <w:r w:rsidR="5E5449DC" w:rsidRPr="00B56047">
              <w:rPr>
                <w:color w:val="000000" w:themeColor="text1"/>
                <w:sz w:val="21"/>
                <w:szCs w:val="21"/>
              </w:rPr>
              <w:t>ospodárske a priemyselné subjekty, podnikateľský sektor,</w:t>
            </w:r>
          </w:p>
          <w:p w14:paraId="08641F89" w14:textId="47BD4EAB" w:rsidR="003B648A" w:rsidRPr="00B56047" w:rsidRDefault="00B56047" w:rsidP="5E5449DC">
            <w:pPr>
              <w:pStyle w:val="Odsekzoznamu"/>
              <w:numPr>
                <w:ilvl w:val="0"/>
                <w:numId w:val="2"/>
              </w:numPr>
              <w:rPr>
                <w:color w:val="000000" w:themeColor="text1"/>
                <w:sz w:val="21"/>
                <w:szCs w:val="21"/>
              </w:rPr>
            </w:pPr>
            <w:r>
              <w:rPr>
                <w:color w:val="000000" w:themeColor="text1"/>
                <w:sz w:val="21"/>
                <w:szCs w:val="21"/>
              </w:rPr>
              <w:t>a</w:t>
            </w:r>
            <w:r w:rsidR="5E5449DC" w:rsidRPr="00B56047">
              <w:rPr>
                <w:color w:val="000000" w:themeColor="text1"/>
                <w:sz w:val="21"/>
                <w:szCs w:val="21"/>
              </w:rPr>
              <w:t>kademický sektor,</w:t>
            </w:r>
          </w:p>
          <w:p w14:paraId="00D00C6A" w14:textId="167C6633" w:rsidR="003B648A" w:rsidRPr="00B56047" w:rsidRDefault="00B56047" w:rsidP="5E5449DC">
            <w:pPr>
              <w:pStyle w:val="Odsekzoznamu"/>
              <w:numPr>
                <w:ilvl w:val="0"/>
                <w:numId w:val="2"/>
              </w:numPr>
              <w:rPr>
                <w:color w:val="000000" w:themeColor="text1"/>
                <w:sz w:val="21"/>
                <w:szCs w:val="21"/>
              </w:rPr>
            </w:pPr>
            <w:r>
              <w:rPr>
                <w:color w:val="000000" w:themeColor="text1"/>
                <w:sz w:val="21"/>
                <w:szCs w:val="21"/>
              </w:rPr>
              <w:t>o</w:t>
            </w:r>
            <w:r w:rsidR="5E5449DC" w:rsidRPr="00B56047">
              <w:rPr>
                <w:color w:val="000000" w:themeColor="text1"/>
                <w:sz w:val="21"/>
                <w:szCs w:val="21"/>
              </w:rPr>
              <w:t>bčania a občiansky sektor.</w:t>
            </w:r>
          </w:p>
          <w:p w14:paraId="531D87B0" w14:textId="448CD0A8" w:rsidR="003B648A" w:rsidRDefault="003B648A" w:rsidP="5E5449DC">
            <w:pPr>
              <w:rPr>
                <w:rFonts w:ascii="Times" w:hAnsi="Times" w:cs="Times"/>
                <w:sz w:val="20"/>
                <w:szCs w:val="20"/>
              </w:rPr>
            </w:pPr>
          </w:p>
        </w:tc>
      </w:tr>
      <w:tr w:rsidR="003B648A" w14:paraId="531D87B3" w14:textId="77777777" w:rsidTr="5FAB9ACF">
        <w:trPr>
          <w:divId w:val="1106577942"/>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B2" w14:textId="77777777" w:rsidR="003B648A" w:rsidRDefault="003B648A">
            <w:pPr>
              <w:rPr>
                <w:rFonts w:ascii="Times" w:hAnsi="Times" w:cs="Times"/>
                <w:b/>
                <w:bCs/>
                <w:sz w:val="22"/>
                <w:szCs w:val="22"/>
              </w:rPr>
            </w:pPr>
            <w:r>
              <w:rPr>
                <w:rFonts w:ascii="Times" w:hAnsi="Times" w:cs="Times"/>
                <w:b/>
                <w:bCs/>
                <w:sz w:val="22"/>
                <w:szCs w:val="22"/>
              </w:rPr>
              <w:t>  5.  Alternatívne riešenia</w:t>
            </w:r>
          </w:p>
        </w:tc>
      </w:tr>
      <w:tr w:rsidR="003B648A" w14:paraId="531D87B5" w14:textId="77777777" w:rsidTr="5FAB9ACF">
        <w:trPr>
          <w:divId w:val="1106577942"/>
          <w:trHeight w:val="600"/>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2EA16095" w14:textId="228FC248" w:rsidR="003B648A" w:rsidRPr="00B56047" w:rsidRDefault="5E5449DC" w:rsidP="5E5449DC">
            <w:pPr>
              <w:rPr>
                <w:color w:val="000000" w:themeColor="text1"/>
                <w:sz w:val="21"/>
                <w:szCs w:val="21"/>
              </w:rPr>
            </w:pPr>
            <w:r w:rsidRPr="00B56047">
              <w:rPr>
                <w:color w:val="000000" w:themeColor="text1"/>
                <w:sz w:val="21"/>
                <w:szCs w:val="21"/>
              </w:rPr>
              <w:t xml:space="preserve">Alternatívne riešenia neboli posudzované. Akčný plán </w:t>
            </w:r>
            <w:r w:rsidRPr="5E5449DC">
              <w:rPr>
                <w:color w:val="000000" w:themeColor="text1"/>
                <w:sz w:val="21"/>
                <w:szCs w:val="21"/>
              </w:rPr>
              <w:t xml:space="preserve">digitálnej transformácie Slovenska </w:t>
            </w:r>
            <w:r w:rsidR="00B56047">
              <w:rPr>
                <w:color w:val="000000" w:themeColor="text1"/>
                <w:sz w:val="21"/>
                <w:szCs w:val="21"/>
              </w:rPr>
              <w:t>na roky 2019 -</w:t>
            </w:r>
            <w:r w:rsidRPr="5E5449DC">
              <w:rPr>
                <w:color w:val="000000" w:themeColor="text1"/>
                <w:sz w:val="21"/>
                <w:szCs w:val="21"/>
              </w:rPr>
              <w:t xml:space="preserve"> 2022</w:t>
            </w:r>
            <w:r w:rsidRPr="00B56047">
              <w:rPr>
                <w:color w:val="000000" w:themeColor="text1"/>
                <w:sz w:val="21"/>
                <w:szCs w:val="21"/>
              </w:rPr>
              <w:t xml:space="preserve"> definuje op</w:t>
            </w:r>
            <w:r w:rsidR="00B56047">
              <w:rPr>
                <w:color w:val="000000" w:themeColor="text1"/>
                <w:sz w:val="21"/>
                <w:szCs w:val="21"/>
              </w:rPr>
              <w:t>atrenia, ako reagovať na výzvy j</w:t>
            </w:r>
            <w:r w:rsidRPr="00B56047">
              <w:rPr>
                <w:color w:val="000000" w:themeColor="text1"/>
                <w:sz w:val="21"/>
                <w:szCs w:val="21"/>
              </w:rPr>
              <w:t>ednotného digitálneho trhu v EÚ. Alternatívnym riešením by bolo nezav</w:t>
            </w:r>
            <w:r w:rsidR="00B56047">
              <w:rPr>
                <w:color w:val="000000" w:themeColor="text1"/>
                <w:sz w:val="21"/>
                <w:szCs w:val="21"/>
              </w:rPr>
              <w:t>edenie opatrení pre vytvorenie j</w:t>
            </w:r>
            <w:r w:rsidRPr="00B56047">
              <w:rPr>
                <w:color w:val="000000" w:themeColor="text1"/>
                <w:sz w:val="21"/>
                <w:szCs w:val="21"/>
              </w:rPr>
              <w:t>ednotného digitálneho trhu a ponechanie digitálne</w:t>
            </w:r>
            <w:r w:rsidR="00B56047">
              <w:rPr>
                <w:color w:val="000000" w:themeColor="text1"/>
                <w:sz w:val="21"/>
                <w:szCs w:val="21"/>
              </w:rPr>
              <w:t>j ekonomiky zastaranej regulácii</w:t>
            </w:r>
            <w:r w:rsidRPr="00B56047">
              <w:rPr>
                <w:color w:val="000000" w:themeColor="text1"/>
                <w:sz w:val="21"/>
                <w:szCs w:val="21"/>
              </w:rPr>
              <w:t>, čo nie je želaný stav.</w:t>
            </w:r>
          </w:p>
          <w:p w14:paraId="531D87B4" w14:textId="6EB4A7C5" w:rsidR="003B648A" w:rsidRDefault="003B648A" w:rsidP="5E5449DC">
            <w:pPr>
              <w:rPr>
                <w:rFonts w:ascii="Times" w:hAnsi="Times" w:cs="Times"/>
                <w:sz w:val="20"/>
                <w:szCs w:val="20"/>
              </w:rPr>
            </w:pPr>
          </w:p>
        </w:tc>
      </w:tr>
      <w:tr w:rsidR="003B648A" w14:paraId="531D87B7" w14:textId="77777777" w:rsidTr="5FAB9ACF">
        <w:trPr>
          <w:divId w:val="1106577942"/>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B6" w14:textId="77777777" w:rsidR="003B648A" w:rsidRDefault="003B648A">
            <w:pPr>
              <w:rPr>
                <w:rFonts w:ascii="Times" w:hAnsi="Times" w:cs="Times"/>
                <w:b/>
                <w:bCs/>
                <w:sz w:val="22"/>
                <w:szCs w:val="22"/>
              </w:rPr>
            </w:pPr>
            <w:r>
              <w:rPr>
                <w:rFonts w:ascii="Times" w:hAnsi="Times" w:cs="Times"/>
                <w:b/>
                <w:bCs/>
                <w:sz w:val="22"/>
                <w:szCs w:val="22"/>
              </w:rPr>
              <w:t>  6.  Vykonávacie predpisy</w:t>
            </w:r>
          </w:p>
        </w:tc>
      </w:tr>
      <w:tr w:rsidR="003B648A" w14:paraId="531D87B9" w14:textId="77777777" w:rsidTr="5FAB9ACF">
        <w:trPr>
          <w:divId w:val="1106577942"/>
          <w:trHeight w:val="600"/>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66203D83" w14:textId="79E4CC0D" w:rsidR="003B648A" w:rsidRPr="00B56047" w:rsidRDefault="5E5449DC" w:rsidP="5E5449DC">
            <w:pPr>
              <w:rPr>
                <w:rFonts w:ascii="Times" w:hAnsi="Times" w:cs="Times"/>
                <w:sz w:val="21"/>
                <w:szCs w:val="21"/>
              </w:rPr>
            </w:pPr>
            <w:r w:rsidRPr="00B56047">
              <w:rPr>
                <w:rFonts w:ascii="Times" w:hAnsi="Times" w:cs="Times"/>
                <w:sz w:val="21"/>
                <w:szCs w:val="21"/>
              </w:rPr>
              <w:t>Predpokladá sa prijatie/zmena vykonávacích predpisov?                          </w:t>
            </w:r>
            <w:r w:rsidRPr="00B56047">
              <w:rPr>
                <w:rFonts w:ascii="Wingdings 2" w:hAnsi="Wingdings 2" w:cs="Times"/>
                <w:sz w:val="21"/>
                <w:szCs w:val="21"/>
              </w:rPr>
              <w:t></w:t>
            </w:r>
            <w:r w:rsidRPr="00B56047">
              <w:rPr>
                <w:rFonts w:ascii="Times" w:hAnsi="Times" w:cs="Times"/>
                <w:sz w:val="21"/>
                <w:szCs w:val="21"/>
              </w:rPr>
              <w:t xml:space="preserve">   Áno            </w:t>
            </w:r>
            <w:r w:rsidRPr="00B56047">
              <w:rPr>
                <w:rFonts w:ascii="Wingdings 2" w:hAnsi="Wingdings 2" w:cs="Times"/>
                <w:sz w:val="21"/>
                <w:szCs w:val="21"/>
              </w:rPr>
              <w:t></w:t>
            </w:r>
            <w:r w:rsidRPr="00B56047">
              <w:rPr>
                <w:rFonts w:ascii="Times" w:hAnsi="Times" w:cs="Times"/>
                <w:sz w:val="21"/>
                <w:szCs w:val="21"/>
              </w:rPr>
              <w:t xml:space="preserve"> Nie</w:t>
            </w:r>
          </w:p>
          <w:p w14:paraId="42601997" w14:textId="65130339" w:rsidR="003B648A" w:rsidRPr="00B56047" w:rsidRDefault="5E5449DC" w:rsidP="5E5449DC">
            <w:pPr>
              <w:jc w:val="both"/>
              <w:rPr>
                <w:sz w:val="21"/>
                <w:szCs w:val="21"/>
              </w:rPr>
            </w:pPr>
            <w:r w:rsidRPr="00B56047">
              <w:rPr>
                <w:rFonts w:ascii="Times" w:eastAsia="Times" w:hAnsi="Times" w:cs="Times"/>
                <w:sz w:val="21"/>
                <w:szCs w:val="21"/>
              </w:rPr>
              <w:t>Zmodernizovanie a zjednodušenie právneho rámca údajov v súlade s Nariadením 2016/68 Európskeho parlamentu a Rady o ochrane fyzických osôb pri spracúvaní osobných údajov a o voľnom pohybe takýchto údajov, a ktorým sa zrušuje smernica 95/46/ES .</w:t>
            </w:r>
          </w:p>
          <w:p w14:paraId="4410AD1F" w14:textId="30A3C105" w:rsidR="5FAB9ACF" w:rsidRPr="00B56047" w:rsidRDefault="5FAB9ACF" w:rsidP="5FAB9ACF">
            <w:pPr>
              <w:jc w:val="both"/>
              <w:rPr>
                <w:rFonts w:ascii="Times" w:eastAsia="Times" w:hAnsi="Times" w:cs="Times"/>
                <w:sz w:val="21"/>
                <w:szCs w:val="21"/>
              </w:rPr>
            </w:pPr>
            <w:r w:rsidRPr="00B56047">
              <w:rPr>
                <w:rFonts w:ascii="Times" w:eastAsia="Times" w:hAnsi="Times" w:cs="Times"/>
                <w:sz w:val="21"/>
                <w:szCs w:val="21"/>
              </w:rPr>
              <w:t xml:space="preserve">Preskúmanie možností pre regulovanie umelej inteligencie, technológie blockchain, zriadenie regulačných </w:t>
            </w:r>
            <w:proofErr w:type="spellStart"/>
            <w:r w:rsidRPr="00B56047">
              <w:rPr>
                <w:rFonts w:ascii="Times" w:eastAsia="Times" w:hAnsi="Times" w:cs="Times"/>
                <w:sz w:val="21"/>
                <w:szCs w:val="21"/>
              </w:rPr>
              <w:t>sandboxov</w:t>
            </w:r>
            <w:proofErr w:type="spellEnd"/>
            <w:r w:rsidRPr="00B56047">
              <w:rPr>
                <w:rFonts w:ascii="Times" w:eastAsia="Times" w:hAnsi="Times" w:cs="Times"/>
                <w:sz w:val="21"/>
                <w:szCs w:val="21"/>
              </w:rPr>
              <w:t xml:space="preserve"> alebo regulácie </w:t>
            </w:r>
            <w:proofErr w:type="spellStart"/>
            <w:r w:rsidRPr="00B56047">
              <w:rPr>
                <w:rFonts w:ascii="Times" w:eastAsia="Times" w:hAnsi="Times" w:cs="Times"/>
                <w:sz w:val="21"/>
                <w:szCs w:val="21"/>
              </w:rPr>
              <w:t>crowdfundingu</w:t>
            </w:r>
            <w:proofErr w:type="spellEnd"/>
            <w:r w:rsidRPr="00B56047">
              <w:rPr>
                <w:rFonts w:ascii="Times" w:eastAsia="Times" w:hAnsi="Times" w:cs="Times"/>
                <w:sz w:val="21"/>
                <w:szCs w:val="21"/>
              </w:rPr>
              <w:t>.</w:t>
            </w:r>
          </w:p>
          <w:p w14:paraId="531D87B8" w14:textId="12C872E6" w:rsidR="003B648A" w:rsidRDefault="003B648A" w:rsidP="5E5449DC">
            <w:pPr>
              <w:rPr>
                <w:rFonts w:ascii="Times" w:hAnsi="Times" w:cs="Times"/>
                <w:sz w:val="20"/>
                <w:szCs w:val="20"/>
              </w:rPr>
            </w:pPr>
          </w:p>
        </w:tc>
      </w:tr>
      <w:tr w:rsidR="003B648A" w14:paraId="531D87BB" w14:textId="77777777" w:rsidTr="5FAB9ACF">
        <w:trPr>
          <w:divId w:val="1106577942"/>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BA" w14:textId="77777777" w:rsidR="003B648A" w:rsidRDefault="003B648A">
            <w:pPr>
              <w:rPr>
                <w:rFonts w:ascii="Times" w:hAnsi="Times" w:cs="Times"/>
                <w:b/>
                <w:bCs/>
                <w:sz w:val="22"/>
                <w:szCs w:val="22"/>
              </w:rPr>
            </w:pPr>
            <w:r>
              <w:rPr>
                <w:rFonts w:ascii="Times" w:hAnsi="Times" w:cs="Times"/>
                <w:b/>
                <w:bCs/>
                <w:sz w:val="22"/>
                <w:szCs w:val="22"/>
              </w:rPr>
              <w:t xml:space="preserve">  7.  Transpozícia práva EÚ </w:t>
            </w:r>
          </w:p>
        </w:tc>
      </w:tr>
      <w:tr w:rsidR="003B648A" w14:paraId="531D87BD" w14:textId="77777777" w:rsidTr="5FAB9ACF">
        <w:trPr>
          <w:divId w:val="1106577942"/>
          <w:trHeight w:val="600"/>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BC" w14:textId="09E7FE77" w:rsidR="003B648A" w:rsidRDefault="5E5449DC" w:rsidP="5E5449DC">
            <w:pPr>
              <w:rPr>
                <w:rFonts w:ascii="Times" w:hAnsi="Times" w:cs="Times"/>
                <w:sz w:val="22"/>
                <w:szCs w:val="22"/>
              </w:rPr>
            </w:pPr>
            <w:r w:rsidRPr="5E5449DC">
              <w:rPr>
                <w:rFonts w:ascii="Times" w:hAnsi="Times" w:cs="Times"/>
                <w:sz w:val="22"/>
                <w:szCs w:val="22"/>
              </w:rPr>
              <w:t>Nie.</w:t>
            </w:r>
          </w:p>
        </w:tc>
      </w:tr>
      <w:tr w:rsidR="003B648A" w14:paraId="531D87BF" w14:textId="77777777" w:rsidTr="5FAB9ACF">
        <w:trPr>
          <w:divId w:val="1106577942"/>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BE" w14:textId="78EF462F" w:rsidR="003B648A" w:rsidRDefault="00F70471">
            <w:pPr>
              <w:rPr>
                <w:rFonts w:ascii="Times" w:hAnsi="Times" w:cs="Times"/>
                <w:b/>
                <w:bCs/>
                <w:sz w:val="22"/>
                <w:szCs w:val="22"/>
              </w:rPr>
            </w:pPr>
            <w:r>
              <w:rPr>
                <w:rFonts w:ascii="Times" w:hAnsi="Times" w:cs="Times"/>
                <w:b/>
                <w:bCs/>
                <w:sz w:val="22"/>
                <w:szCs w:val="22"/>
              </w:rPr>
              <w:t>  8.  Preskúmanie účelnosti</w:t>
            </w:r>
          </w:p>
        </w:tc>
      </w:tr>
      <w:tr w:rsidR="003B648A" w14:paraId="531D87C1" w14:textId="77777777" w:rsidTr="5FAB9ACF">
        <w:trPr>
          <w:divId w:val="1106577942"/>
          <w:trHeight w:val="600"/>
          <w:jc w:val="center"/>
        </w:trPr>
        <w:tc>
          <w:tcPr>
            <w:tcW w:w="25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7C0" w14:textId="27484E3F" w:rsidR="003B648A" w:rsidRPr="00F70471" w:rsidRDefault="5E5449DC" w:rsidP="5E5449DC">
            <w:pPr>
              <w:rPr>
                <w:rFonts w:ascii="Times" w:hAnsi="Times" w:cs="Times"/>
                <w:sz w:val="22"/>
                <w:szCs w:val="22"/>
              </w:rPr>
            </w:pPr>
            <w:r w:rsidRPr="5E5449DC">
              <w:rPr>
                <w:rFonts w:ascii="Times" w:hAnsi="Times" w:cs="Times"/>
                <w:sz w:val="22"/>
                <w:szCs w:val="22"/>
              </w:rPr>
              <w:t xml:space="preserve"> Neaplikuje sa.</w:t>
            </w:r>
          </w:p>
        </w:tc>
      </w:tr>
    </w:tbl>
    <w:p w14:paraId="531D87C2" w14:textId="77777777" w:rsidR="00325440" w:rsidRDefault="00325440"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387"/>
        <w:gridCol w:w="1552"/>
        <w:gridCol w:w="1554"/>
        <w:gridCol w:w="1563"/>
      </w:tblGrid>
      <w:tr w:rsidR="003B648A" w14:paraId="531D87C8" w14:textId="77777777" w:rsidTr="00F70471">
        <w:trPr>
          <w:divId w:val="706640807"/>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531D87C7" w14:textId="77777777" w:rsidR="003B648A" w:rsidRDefault="003B648A">
            <w:pPr>
              <w:rPr>
                <w:rFonts w:ascii="Times" w:hAnsi="Times" w:cs="Times"/>
                <w:b/>
                <w:bCs/>
                <w:sz w:val="20"/>
                <w:szCs w:val="20"/>
              </w:rPr>
            </w:pPr>
            <w:r>
              <w:rPr>
                <w:rFonts w:ascii="Times" w:hAnsi="Times" w:cs="Times"/>
                <w:b/>
                <w:bCs/>
                <w:sz w:val="20"/>
                <w:szCs w:val="20"/>
              </w:rPr>
              <w:lastRenderedPageBreak/>
              <w:t>  9.   Vplyvy navrhovaného materiálu</w:t>
            </w:r>
          </w:p>
        </w:tc>
      </w:tr>
      <w:tr w:rsidR="003B648A" w14:paraId="531D87CD" w14:textId="77777777" w:rsidTr="000C4886">
        <w:trPr>
          <w:divId w:val="706640807"/>
          <w:trHeight w:val="270"/>
          <w:jc w:val="center"/>
        </w:trPr>
        <w:tc>
          <w:tcPr>
            <w:tcW w:w="2422"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1D87C9" w14:textId="77777777" w:rsidR="003B648A" w:rsidRDefault="003B648A">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CA"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CB"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CC"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3B648A" w14:paraId="531D87D2" w14:textId="77777777" w:rsidTr="000C4886">
        <w:trPr>
          <w:divId w:val="706640807"/>
          <w:trHeight w:val="270"/>
          <w:jc w:val="center"/>
        </w:trPr>
        <w:tc>
          <w:tcPr>
            <w:tcW w:w="2422" w:type="pct"/>
            <w:vMerge/>
            <w:tcBorders>
              <w:top w:val="outset" w:sz="6" w:space="0" w:color="000000"/>
              <w:left w:val="outset" w:sz="6" w:space="0" w:color="000000"/>
              <w:bottom w:val="outset" w:sz="6" w:space="0" w:color="000000"/>
              <w:right w:val="outset" w:sz="6" w:space="0" w:color="000000"/>
            </w:tcBorders>
            <w:vAlign w:val="center"/>
            <w:hideMark/>
          </w:tcPr>
          <w:p w14:paraId="531D87CE" w14:textId="77777777" w:rsidR="003B648A" w:rsidRDefault="003B648A">
            <w:pPr>
              <w:rPr>
                <w:rFonts w:ascii="Times" w:hAnsi="Times" w:cs="Times"/>
                <w:sz w:val="20"/>
                <w:szCs w:val="20"/>
              </w:rPr>
            </w:pP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CF" w14:textId="4E511972" w:rsidR="003B648A" w:rsidRDefault="003B648A" w:rsidP="00EA7F2B">
            <w:pPr>
              <w:rPr>
                <w:rFonts w:ascii="Times" w:hAnsi="Times" w:cs="Times"/>
                <w:sz w:val="20"/>
                <w:szCs w:val="20"/>
              </w:rPr>
            </w:pPr>
            <w:r>
              <w:rPr>
                <w:rFonts w:ascii="Times" w:hAnsi="Times" w:cs="Times"/>
                <w:sz w:val="20"/>
                <w:szCs w:val="20"/>
              </w:rPr>
              <w:t>  </w:t>
            </w:r>
            <w:r w:rsidR="00EA7F2B">
              <w:rPr>
                <w:rFonts w:ascii="Wingdings 2" w:hAnsi="Wingdings 2" w:cs="Times"/>
                <w:sz w:val="28"/>
                <w:szCs w:val="28"/>
              </w:rPr>
              <w:t></w:t>
            </w:r>
            <w:r w:rsidR="00EA7F2B">
              <w:rPr>
                <w:rFonts w:ascii="Wingdings 2" w:hAnsi="Wingdings 2" w:cs="Times"/>
                <w:sz w:val="28"/>
                <w:szCs w:val="28"/>
              </w:rPr>
              <w:t></w:t>
            </w:r>
            <w:r>
              <w:rPr>
                <w:rFonts w:ascii="Times" w:hAnsi="Times" w:cs="Times"/>
                <w:sz w:val="20"/>
                <w:szCs w:val="20"/>
              </w:rPr>
              <w:t>Áno</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D0"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D1" w14:textId="0BF86886" w:rsidR="003B648A" w:rsidRDefault="003B648A">
            <w:pPr>
              <w:rPr>
                <w:rFonts w:ascii="Times" w:hAnsi="Times" w:cs="Times"/>
                <w:sz w:val="20"/>
                <w:szCs w:val="20"/>
              </w:rPr>
            </w:pPr>
            <w:r>
              <w:rPr>
                <w:rFonts w:ascii="Times" w:hAnsi="Times" w:cs="Times"/>
                <w:sz w:val="20"/>
                <w:szCs w:val="20"/>
              </w:rPr>
              <w:t> </w:t>
            </w:r>
            <w:r w:rsidR="00EA7F2B">
              <w:rPr>
                <w:rFonts w:ascii="Times" w:hAnsi="Times" w:cs="Times"/>
                <w:sz w:val="20"/>
                <w:szCs w:val="20"/>
              </w:rPr>
              <w:t xml:space="preserve"> </w:t>
            </w:r>
            <w:r w:rsidR="00EA7F2B">
              <w:rPr>
                <w:rFonts w:ascii="Wingdings 2" w:hAnsi="Wingdings 2" w:cs="Times"/>
                <w:sz w:val="20"/>
                <w:szCs w:val="20"/>
              </w:rPr>
              <w:t></w:t>
            </w:r>
            <w:r>
              <w:rPr>
                <w:rFonts w:ascii="Times" w:hAnsi="Times" w:cs="Times"/>
                <w:sz w:val="20"/>
                <w:szCs w:val="20"/>
              </w:rPr>
              <w:t xml:space="preserve">   Čiastočne</w:t>
            </w:r>
          </w:p>
        </w:tc>
      </w:tr>
      <w:tr w:rsidR="00B57136" w14:paraId="531D87D7" w14:textId="77777777" w:rsidTr="000C4886">
        <w:trPr>
          <w:divId w:val="706640807"/>
          <w:trHeight w:val="270"/>
          <w:jc w:val="center"/>
        </w:trPr>
        <w:tc>
          <w:tcPr>
            <w:tcW w:w="2422"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1D87D3" w14:textId="77777777" w:rsidR="00B57136" w:rsidRDefault="00B57136" w:rsidP="00B57136">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D4" w14:textId="18C13BED" w:rsidR="00B57136" w:rsidRDefault="00B57136" w:rsidP="00B571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D5" w14:textId="77777777" w:rsidR="00B57136" w:rsidRDefault="00B57136" w:rsidP="00B571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D6" w14:textId="337EEA1B" w:rsidR="00B57136" w:rsidRDefault="00B57136" w:rsidP="00B571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B57136" w14:paraId="531D87DC" w14:textId="77777777" w:rsidTr="000C4886">
        <w:trPr>
          <w:divId w:val="706640807"/>
          <w:trHeight w:val="270"/>
          <w:jc w:val="center"/>
        </w:trPr>
        <w:tc>
          <w:tcPr>
            <w:tcW w:w="2422" w:type="pct"/>
            <w:vMerge/>
            <w:tcBorders>
              <w:top w:val="outset" w:sz="6" w:space="0" w:color="000000"/>
              <w:left w:val="outset" w:sz="6" w:space="0" w:color="000000"/>
              <w:bottom w:val="outset" w:sz="6" w:space="0" w:color="000000"/>
              <w:right w:val="outset" w:sz="6" w:space="0" w:color="000000"/>
            </w:tcBorders>
            <w:vAlign w:val="center"/>
            <w:hideMark/>
          </w:tcPr>
          <w:p w14:paraId="531D87D8" w14:textId="77777777" w:rsidR="00B57136" w:rsidRDefault="00B57136" w:rsidP="00B57136">
            <w:pPr>
              <w:rPr>
                <w:rFonts w:ascii="Times" w:hAnsi="Times" w:cs="Times"/>
                <w:sz w:val="20"/>
                <w:szCs w:val="20"/>
              </w:rPr>
            </w:pP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D9" w14:textId="40BA4874" w:rsidR="00B57136" w:rsidRDefault="00B57136" w:rsidP="00B571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DA" w14:textId="77777777" w:rsidR="00B57136" w:rsidRDefault="00B57136" w:rsidP="00B5713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DB" w14:textId="03705455" w:rsidR="00B57136" w:rsidRDefault="00B57136" w:rsidP="00B5713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F53933" w14:paraId="531D87E1" w14:textId="77777777" w:rsidTr="000C4886">
        <w:trPr>
          <w:divId w:val="706640807"/>
          <w:trHeight w:val="270"/>
          <w:jc w:val="center"/>
        </w:trPr>
        <w:tc>
          <w:tcPr>
            <w:tcW w:w="2422"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1D87DD" w14:textId="77777777" w:rsidR="00F53933" w:rsidRDefault="00F53933" w:rsidP="00F53933">
            <w:pPr>
              <w:rPr>
                <w:rFonts w:ascii="Times" w:hAnsi="Times" w:cs="Times"/>
                <w:sz w:val="20"/>
                <w:szCs w:val="20"/>
              </w:rPr>
            </w:pPr>
            <w:r>
              <w:rPr>
                <w:rFonts w:ascii="Times" w:hAnsi="Times" w:cs="Times"/>
                <w:b/>
                <w:bCs/>
                <w:sz w:val="20"/>
                <w:szCs w:val="20"/>
              </w:rPr>
              <w:t>  Sociálne vplyvy</w:t>
            </w: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DE" w14:textId="357E9B69" w:rsidR="00F53933" w:rsidRDefault="00F53933" w:rsidP="00F5393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DF" w14:textId="61F6EF0C" w:rsidR="00F53933" w:rsidRDefault="00F53933" w:rsidP="00425B2A">
            <w:pPr>
              <w:rPr>
                <w:rFonts w:ascii="Times" w:hAnsi="Times" w:cs="Times"/>
                <w:sz w:val="20"/>
                <w:szCs w:val="20"/>
              </w:rPr>
            </w:pPr>
            <w:r>
              <w:rPr>
                <w:rFonts w:ascii="Times" w:hAnsi="Times" w:cs="Times"/>
                <w:sz w:val="20"/>
                <w:szCs w:val="20"/>
              </w:rPr>
              <w:t> </w:t>
            </w:r>
            <w:r w:rsidR="00425B2A">
              <w:rPr>
                <w:rFonts w:ascii="Times" w:hAnsi="Times" w:cs="Times"/>
                <w:sz w:val="20"/>
                <w:szCs w:val="20"/>
              </w:rPr>
              <w:t xml:space="preserve"> </w:t>
            </w:r>
            <w:r w:rsidR="00425B2A">
              <w:rPr>
                <w:rFonts w:ascii="Wingdings 2" w:hAnsi="Wingdings 2" w:cs="Times"/>
                <w:sz w:val="28"/>
                <w:szCs w:val="28"/>
              </w:rPr>
              <w:t></w:t>
            </w:r>
            <w:r w:rsidR="00425B2A">
              <w:rPr>
                <w:rFonts w:ascii="Times" w:hAnsi="Times" w:cs="Times"/>
                <w:sz w:val="20"/>
                <w:szCs w:val="20"/>
              </w:rPr>
              <w:t xml:space="preserve">     </w:t>
            </w:r>
            <w:r>
              <w:rPr>
                <w:rFonts w:ascii="Times" w:hAnsi="Times" w:cs="Times"/>
                <w:sz w:val="20"/>
                <w:szCs w:val="20"/>
              </w:rPr>
              <w:t>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E0" w14:textId="6F14BE7A" w:rsidR="00F53933" w:rsidRDefault="00104EC7" w:rsidP="00F53933">
            <w:pPr>
              <w:rPr>
                <w:rFonts w:ascii="Times" w:hAnsi="Times" w:cs="Times"/>
                <w:sz w:val="20"/>
                <w:szCs w:val="20"/>
              </w:rPr>
            </w:pPr>
            <w:r>
              <w:rPr>
                <w:rFonts w:ascii="Times" w:hAnsi="Times" w:cs="Times"/>
                <w:sz w:val="20"/>
                <w:szCs w:val="20"/>
              </w:rPr>
              <w:t xml:space="preserve"> </w:t>
            </w:r>
            <w:r w:rsidR="00F53933">
              <w:rPr>
                <w:rFonts w:ascii="Times" w:hAnsi="Times" w:cs="Times"/>
                <w:sz w:val="20"/>
                <w:szCs w:val="20"/>
              </w:rPr>
              <w:t> </w:t>
            </w:r>
            <w:r w:rsidR="00425B2A">
              <w:rPr>
                <w:rFonts w:ascii="Wingdings 2" w:hAnsi="Wingdings 2" w:cs="Times"/>
                <w:sz w:val="20"/>
                <w:szCs w:val="20"/>
              </w:rPr>
              <w:t></w:t>
            </w:r>
            <w:r w:rsidR="00425B2A">
              <w:rPr>
                <w:rFonts w:ascii="Times" w:hAnsi="Times" w:cs="Times"/>
                <w:sz w:val="20"/>
                <w:szCs w:val="20"/>
              </w:rPr>
              <w:t xml:space="preserve">   </w:t>
            </w:r>
            <w:r w:rsidR="00F53933">
              <w:rPr>
                <w:rFonts w:ascii="Times" w:hAnsi="Times" w:cs="Times"/>
                <w:sz w:val="20"/>
                <w:szCs w:val="20"/>
              </w:rPr>
              <w:t>Negatívne</w:t>
            </w:r>
          </w:p>
        </w:tc>
      </w:tr>
      <w:tr w:rsidR="003B648A" w14:paraId="531D87E6" w14:textId="77777777" w:rsidTr="000C4886">
        <w:trPr>
          <w:divId w:val="706640807"/>
          <w:trHeight w:val="270"/>
          <w:jc w:val="center"/>
        </w:trPr>
        <w:tc>
          <w:tcPr>
            <w:tcW w:w="2422"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1D87E2" w14:textId="77777777" w:rsidR="003B648A" w:rsidRDefault="003B648A">
            <w:pPr>
              <w:rPr>
                <w:rFonts w:ascii="Times" w:hAnsi="Times" w:cs="Times"/>
                <w:sz w:val="20"/>
                <w:szCs w:val="20"/>
              </w:rPr>
            </w:pPr>
            <w:r>
              <w:rPr>
                <w:rFonts w:ascii="Times" w:hAnsi="Times" w:cs="Times"/>
                <w:b/>
                <w:bCs/>
                <w:sz w:val="20"/>
                <w:szCs w:val="20"/>
              </w:rPr>
              <w:t>  Vplyvy na životné prostredie</w:t>
            </w: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E3"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E4"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E5"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B648A" w14:paraId="531D87EB" w14:textId="77777777" w:rsidTr="000C4886">
        <w:trPr>
          <w:divId w:val="706640807"/>
          <w:trHeight w:val="270"/>
          <w:jc w:val="center"/>
        </w:trPr>
        <w:tc>
          <w:tcPr>
            <w:tcW w:w="2422"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1D87E7" w14:textId="77777777" w:rsidR="003B648A" w:rsidRDefault="003B648A">
            <w:pPr>
              <w:rPr>
                <w:rFonts w:ascii="Times" w:hAnsi="Times" w:cs="Times"/>
                <w:sz w:val="20"/>
                <w:szCs w:val="20"/>
              </w:rPr>
            </w:pPr>
            <w:r>
              <w:rPr>
                <w:rFonts w:ascii="Times" w:hAnsi="Times" w:cs="Times"/>
                <w:b/>
                <w:bCs/>
                <w:sz w:val="20"/>
                <w:szCs w:val="20"/>
              </w:rPr>
              <w:t>  Vplyvy na informatizáciu</w:t>
            </w: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E8" w14:textId="65CCB8E0" w:rsidR="003B648A" w:rsidRDefault="00F53933">
            <w:pPr>
              <w:rPr>
                <w:rFonts w:ascii="Times" w:hAnsi="Times" w:cs="Times"/>
                <w:sz w:val="20"/>
                <w:szCs w:val="20"/>
              </w:rPr>
            </w:pPr>
            <w:r>
              <w:rPr>
                <w:rFonts w:ascii="Times" w:hAnsi="Times" w:cs="Times"/>
                <w:sz w:val="20"/>
                <w:szCs w:val="20"/>
              </w:rPr>
              <w:t xml:space="preserve"> </w:t>
            </w:r>
            <w:r w:rsidR="003B648A">
              <w:rPr>
                <w:rFonts w:ascii="Times" w:hAnsi="Times" w:cs="Times"/>
                <w:sz w:val="20"/>
                <w:szCs w:val="20"/>
              </w:rPr>
              <w:t> </w:t>
            </w:r>
            <w:r>
              <w:rPr>
                <w:rFonts w:ascii="Wingdings 2" w:hAnsi="Wingdings 2" w:cs="Times"/>
                <w:sz w:val="20"/>
                <w:szCs w:val="20"/>
              </w:rPr>
              <w:t></w:t>
            </w:r>
            <w:r w:rsidR="003B648A">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E9" w14:textId="10B71137" w:rsidR="003B648A" w:rsidRDefault="00F53933">
            <w:pPr>
              <w:rPr>
                <w:rFonts w:ascii="Times" w:hAnsi="Times" w:cs="Times"/>
                <w:sz w:val="20"/>
                <w:szCs w:val="20"/>
              </w:rPr>
            </w:pPr>
            <w:r>
              <w:rPr>
                <w:rFonts w:ascii="Times" w:hAnsi="Times" w:cs="Times"/>
                <w:sz w:val="20"/>
                <w:szCs w:val="20"/>
              </w:rPr>
              <w:t xml:space="preserve"> </w:t>
            </w:r>
            <w:r w:rsidR="003B648A">
              <w:rPr>
                <w:rFonts w:ascii="Times" w:hAnsi="Times" w:cs="Times"/>
                <w:sz w:val="20"/>
                <w:szCs w:val="20"/>
              </w:rPr>
              <w:t> </w:t>
            </w:r>
            <w:r>
              <w:rPr>
                <w:rFonts w:ascii="Wingdings 2" w:hAnsi="Wingdings 2" w:cs="Times"/>
                <w:sz w:val="28"/>
                <w:szCs w:val="28"/>
              </w:rPr>
              <w:t></w:t>
            </w:r>
            <w:r w:rsidR="003B648A">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EA"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0C4886" w14:paraId="531D87F0" w14:textId="77777777" w:rsidTr="000C4886">
        <w:trPr>
          <w:divId w:val="706640807"/>
          <w:trHeight w:val="471"/>
          <w:jc w:val="center"/>
        </w:trPr>
        <w:tc>
          <w:tcPr>
            <w:tcW w:w="2422"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1D87EC" w14:textId="018E8CB9" w:rsidR="000C4886" w:rsidRDefault="000C4886" w:rsidP="000C4886">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 správe</w:t>
            </w:r>
          </w:p>
        </w:tc>
        <w:tc>
          <w:tcPr>
            <w:tcW w:w="857" w:type="pct"/>
            <w:tcBorders>
              <w:top w:val="outset" w:sz="6" w:space="0" w:color="000000"/>
              <w:left w:val="outset" w:sz="6" w:space="0" w:color="000000"/>
              <w:bottom w:val="outset" w:sz="6" w:space="0" w:color="000000"/>
              <w:right w:val="outset" w:sz="6" w:space="0" w:color="000000"/>
            </w:tcBorders>
            <w:vAlign w:val="bottom"/>
            <w:hideMark/>
          </w:tcPr>
          <w:p w14:paraId="531D87ED" w14:textId="3BD60A99" w:rsidR="000C4886" w:rsidRDefault="000C4886" w:rsidP="000C488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bottom"/>
            <w:hideMark/>
          </w:tcPr>
          <w:p w14:paraId="531D87EE" w14:textId="394F653B" w:rsidR="000C4886" w:rsidRDefault="000C4886" w:rsidP="000C488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EF" w14:textId="70D9A8D9" w:rsidR="000C4886" w:rsidRDefault="000C4886" w:rsidP="000C488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C4886" w14:paraId="531D87F5" w14:textId="77777777" w:rsidTr="000C4886">
        <w:trPr>
          <w:divId w:val="706640807"/>
          <w:trHeight w:val="197"/>
          <w:jc w:val="center"/>
        </w:trPr>
        <w:tc>
          <w:tcPr>
            <w:tcW w:w="2422" w:type="pct"/>
            <w:vMerge/>
            <w:tcBorders>
              <w:top w:val="outset" w:sz="6" w:space="0" w:color="000000"/>
              <w:left w:val="outset" w:sz="6" w:space="0" w:color="000000"/>
              <w:bottom w:val="outset" w:sz="6" w:space="0" w:color="000000"/>
              <w:right w:val="outset" w:sz="6" w:space="0" w:color="000000"/>
            </w:tcBorders>
            <w:vAlign w:val="center"/>
            <w:hideMark/>
          </w:tcPr>
          <w:p w14:paraId="531D87F1" w14:textId="77777777" w:rsidR="000C4886" w:rsidRDefault="000C4886" w:rsidP="000C4886">
            <w:pPr>
              <w:rPr>
                <w:rFonts w:ascii="Times" w:hAnsi="Times" w:cs="Times"/>
                <w:sz w:val="20"/>
                <w:szCs w:val="20"/>
              </w:rPr>
            </w:pP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F2" w14:textId="55E5DBD9" w:rsidR="000C4886" w:rsidRDefault="000C4886" w:rsidP="000C488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F3" w14:textId="43E2139C" w:rsidR="000C4886" w:rsidRDefault="000C4886" w:rsidP="000C4886">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F4" w14:textId="5C7AFD8B" w:rsidR="000C4886" w:rsidRDefault="000C4886" w:rsidP="000C4886">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3B648A" w14:paraId="531D87FA" w14:textId="77777777" w:rsidTr="000C4886">
        <w:trPr>
          <w:divId w:val="706640807"/>
          <w:trHeight w:val="270"/>
          <w:jc w:val="center"/>
        </w:trPr>
        <w:tc>
          <w:tcPr>
            <w:tcW w:w="2422"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1D87F6" w14:textId="77777777" w:rsidR="003B648A" w:rsidRDefault="003B648A">
            <w:pPr>
              <w:rPr>
                <w:rFonts w:ascii="Times" w:hAnsi="Times" w:cs="Times"/>
                <w:sz w:val="20"/>
                <w:szCs w:val="20"/>
              </w:rPr>
            </w:pPr>
            <w:r>
              <w:rPr>
                <w:rFonts w:ascii="Times" w:hAnsi="Times" w:cs="Times"/>
                <w:b/>
                <w:bCs/>
                <w:sz w:val="20"/>
                <w:szCs w:val="20"/>
              </w:rPr>
              <w:t>  Vplyvy na manželstvo, rodičovstvo a rodinu</w:t>
            </w:r>
          </w:p>
        </w:tc>
        <w:tc>
          <w:tcPr>
            <w:tcW w:w="857" w:type="pct"/>
            <w:tcBorders>
              <w:top w:val="outset" w:sz="6" w:space="0" w:color="000000"/>
              <w:left w:val="outset" w:sz="6" w:space="0" w:color="000000"/>
              <w:bottom w:val="outset" w:sz="6" w:space="0" w:color="000000"/>
              <w:right w:val="outset" w:sz="6" w:space="0" w:color="000000"/>
            </w:tcBorders>
            <w:vAlign w:val="center"/>
            <w:hideMark/>
          </w:tcPr>
          <w:p w14:paraId="531D87F7"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31D87F8"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863" w:type="pct"/>
            <w:tcBorders>
              <w:top w:val="outset" w:sz="6" w:space="0" w:color="000000"/>
              <w:left w:val="outset" w:sz="6" w:space="0" w:color="000000"/>
              <w:bottom w:val="outset" w:sz="6" w:space="0" w:color="000000"/>
              <w:right w:val="outset" w:sz="6" w:space="0" w:color="000000"/>
            </w:tcBorders>
            <w:vAlign w:val="center"/>
            <w:hideMark/>
          </w:tcPr>
          <w:p w14:paraId="531D87F9" w14:textId="77777777" w:rsidR="003B648A" w:rsidRDefault="003B648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14:paraId="531D87FC" w14:textId="77777777" w:rsidR="003B648A" w:rsidRDefault="003B648A"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B648A" w14:paraId="531D87FE" w14:textId="77777777" w:rsidTr="00F73923">
        <w:trPr>
          <w:divId w:val="1003624051"/>
          <w:jc w:val="center"/>
        </w:trPr>
        <w:tc>
          <w:tcPr>
            <w:tcW w:w="500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7FD" w14:textId="77777777" w:rsidR="003B648A" w:rsidRDefault="003B648A">
            <w:pPr>
              <w:rPr>
                <w:rFonts w:ascii="Times" w:hAnsi="Times" w:cs="Times"/>
                <w:b/>
                <w:bCs/>
                <w:sz w:val="22"/>
                <w:szCs w:val="22"/>
              </w:rPr>
            </w:pPr>
            <w:r>
              <w:rPr>
                <w:rFonts w:ascii="Times" w:hAnsi="Times" w:cs="Times"/>
                <w:b/>
                <w:bCs/>
                <w:sz w:val="22"/>
                <w:szCs w:val="22"/>
              </w:rPr>
              <w:t>  10.  Poznámky</w:t>
            </w:r>
          </w:p>
        </w:tc>
      </w:tr>
      <w:tr w:rsidR="003B648A" w14:paraId="531D8816" w14:textId="77777777" w:rsidTr="00F73923">
        <w:trPr>
          <w:divId w:val="1003624051"/>
          <w:trHeight w:val="600"/>
          <w:jc w:val="center"/>
        </w:trPr>
        <w:tc>
          <w:tcPr>
            <w:tcW w:w="500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807" w14:textId="77777777" w:rsidR="003B648A" w:rsidRPr="00404D34" w:rsidRDefault="5FAB9ACF" w:rsidP="00F70471">
            <w:pPr>
              <w:pStyle w:val="Normlnywebov"/>
              <w:spacing w:before="0" w:beforeAutospacing="0" w:after="120" w:afterAutospacing="0"/>
              <w:rPr>
                <w:rFonts w:ascii="Times" w:hAnsi="Times" w:cs="Times"/>
                <w:sz w:val="20"/>
                <w:szCs w:val="20"/>
              </w:rPr>
            </w:pPr>
            <w:r w:rsidRPr="5FAB9ACF">
              <w:rPr>
                <w:rStyle w:val="Siln"/>
                <w:rFonts w:ascii="Times" w:hAnsi="Times" w:cs="Times"/>
                <w:sz w:val="20"/>
                <w:szCs w:val="20"/>
              </w:rPr>
              <w:t>Vplyv na rozpočet verejnej správy</w:t>
            </w:r>
          </w:p>
          <w:p w14:paraId="4C36F0F1" w14:textId="0CE7445E" w:rsidR="5FAB9ACF" w:rsidRPr="00587B4A" w:rsidRDefault="5FAB9ACF" w:rsidP="00587B4A">
            <w:pPr>
              <w:jc w:val="both"/>
              <w:rPr>
                <w:rFonts w:ascii="Times" w:hAnsi="Times" w:cs="Times"/>
                <w:sz w:val="21"/>
                <w:szCs w:val="21"/>
              </w:rPr>
            </w:pPr>
            <w:r w:rsidRPr="00587B4A">
              <w:rPr>
                <w:rFonts w:ascii="Times" w:hAnsi="Times" w:cs="Times"/>
                <w:sz w:val="21"/>
                <w:szCs w:val="21"/>
              </w:rPr>
              <w:t xml:space="preserve">Návrh bude mať negatívny vplyv na rozpočet verejnej správy, ktorý bude čiastočne rozpočtovo zabezpečený. Jednotlivé rezorty si budú potrebné finančné prostriedky nárokovať aj v príprave rozpočtu na roky 2020 až 2022. Viaceré opatrenia nepredpokladajú vplyv na rozpočet verejnej správy. Ostatné opatrenia budú mať vplyv na rozpočet verejnej správy a budú hradené </w:t>
            </w:r>
          </w:p>
          <w:p w14:paraId="3CF20D81" w14:textId="49496CE5" w:rsidR="5FAB9ACF" w:rsidRPr="00587B4A" w:rsidRDefault="5FAB9ACF" w:rsidP="00587B4A">
            <w:pPr>
              <w:pStyle w:val="Odsekzoznamu"/>
              <w:numPr>
                <w:ilvl w:val="0"/>
                <w:numId w:val="1"/>
              </w:numPr>
              <w:jc w:val="both"/>
              <w:rPr>
                <w:sz w:val="21"/>
                <w:szCs w:val="21"/>
              </w:rPr>
            </w:pPr>
            <w:r w:rsidRPr="00587B4A">
              <w:rPr>
                <w:rFonts w:ascii="Times" w:hAnsi="Times" w:cs="Times"/>
                <w:sz w:val="21"/>
                <w:szCs w:val="21"/>
              </w:rPr>
              <w:t xml:space="preserve">z rozpočtových kapitol príslušných rezortov, a to </w:t>
            </w:r>
            <w:r w:rsidR="00587B4A">
              <w:rPr>
                <w:rFonts w:ascii="Times" w:hAnsi="Times" w:cs="Times"/>
                <w:sz w:val="21"/>
                <w:szCs w:val="21"/>
              </w:rPr>
              <w:t xml:space="preserve">z </w:t>
            </w:r>
            <w:r w:rsidRPr="00587B4A">
              <w:rPr>
                <w:rFonts w:ascii="Times" w:hAnsi="Times" w:cs="Times"/>
                <w:sz w:val="21"/>
                <w:szCs w:val="21"/>
              </w:rPr>
              <w:t xml:space="preserve">buď už alokovaných prostriedkov alebo následne požadovaných pri tvorbe rozpočtov na ďalšie kalendárne roky a  </w:t>
            </w:r>
          </w:p>
          <w:p w14:paraId="3EDFD564" w14:textId="4145DEC2" w:rsidR="5FAB9ACF" w:rsidRPr="00587B4A" w:rsidRDefault="5FAB9ACF" w:rsidP="00587B4A">
            <w:pPr>
              <w:pStyle w:val="Normlnywebov"/>
              <w:numPr>
                <w:ilvl w:val="0"/>
                <w:numId w:val="1"/>
              </w:numPr>
              <w:spacing w:before="0" w:beforeAutospacing="0" w:after="120" w:afterAutospacing="0"/>
              <w:jc w:val="both"/>
              <w:rPr>
                <w:sz w:val="21"/>
                <w:szCs w:val="21"/>
              </w:rPr>
            </w:pPr>
            <w:r w:rsidRPr="00587B4A">
              <w:rPr>
                <w:rFonts w:ascii="Times" w:hAnsi="Times" w:cs="Times"/>
                <w:sz w:val="21"/>
                <w:szCs w:val="21"/>
              </w:rPr>
              <w:t>európskych štrukturálnych a investičných fondov, a to prostredníctvom Operačného programu Integrovaná infraštruktúra, Operačného programu Výskum a inovácie, Operačného programu Efektívna verejná správa a programov CEF, resp. Horizon</w:t>
            </w:r>
            <w:r w:rsidR="00425B2A" w:rsidRPr="00587B4A">
              <w:rPr>
                <w:rFonts w:ascii="Times" w:hAnsi="Times" w:cs="Times"/>
                <w:sz w:val="21"/>
                <w:szCs w:val="21"/>
              </w:rPr>
              <w:t>t</w:t>
            </w:r>
            <w:r w:rsidRPr="00587B4A">
              <w:rPr>
                <w:rFonts w:ascii="Times" w:hAnsi="Times" w:cs="Times"/>
                <w:sz w:val="21"/>
                <w:szCs w:val="21"/>
              </w:rPr>
              <w:t xml:space="preserve"> 2020. Financovanie opatrení z EŠIF alebo priamo riadených programov je pokryté finančnými prostriedkami vyčlenenými pre tieto programy. Riadiace orgány, resp. sprostredkovateľské orgány majú zabezpečené finančné zdroje z EÚ, finančné zdroje na spolufinancovanie, ako </w:t>
            </w:r>
            <w:r w:rsidR="00587B4A">
              <w:rPr>
                <w:rFonts w:ascii="Times" w:hAnsi="Times" w:cs="Times"/>
                <w:sz w:val="21"/>
                <w:szCs w:val="21"/>
              </w:rPr>
              <w:t>aj finančné zdroje pre princíp p</w:t>
            </w:r>
            <w:r w:rsidRPr="00587B4A">
              <w:rPr>
                <w:rFonts w:ascii="Times" w:hAnsi="Times" w:cs="Times"/>
                <w:sz w:val="21"/>
                <w:szCs w:val="21"/>
              </w:rPr>
              <w:t>ro-rata, ktorý sa uplatňuje ako pri OP Integrovaná infraštruktúra tak aj pre OP Efektívna verejná správa. Z hľadiska programu CEF a Horizon</w:t>
            </w:r>
            <w:r w:rsidR="00425B2A" w:rsidRPr="00587B4A">
              <w:rPr>
                <w:rFonts w:ascii="Times" w:hAnsi="Times" w:cs="Times"/>
                <w:sz w:val="21"/>
                <w:szCs w:val="21"/>
              </w:rPr>
              <w:t>t</w:t>
            </w:r>
            <w:r w:rsidRPr="00587B4A">
              <w:rPr>
                <w:rFonts w:ascii="Times" w:hAnsi="Times" w:cs="Times"/>
                <w:sz w:val="21"/>
                <w:szCs w:val="21"/>
              </w:rPr>
              <w:t xml:space="preserve"> 2020 nie je potrebné financovanie zo zdroja pro-rata.</w:t>
            </w:r>
          </w:p>
          <w:p w14:paraId="40D61288" w14:textId="77777777" w:rsidR="00104EC7" w:rsidRPr="00587B4A" w:rsidRDefault="00104EC7" w:rsidP="00587B4A">
            <w:pPr>
              <w:pStyle w:val="Normlnywebov"/>
              <w:spacing w:before="0" w:beforeAutospacing="0" w:after="120" w:afterAutospacing="0"/>
              <w:jc w:val="both"/>
              <w:rPr>
                <w:rFonts w:ascii="Times" w:hAnsi="Times" w:cs="Times"/>
                <w:sz w:val="21"/>
                <w:szCs w:val="21"/>
              </w:rPr>
            </w:pPr>
            <w:r w:rsidRPr="00587B4A">
              <w:rPr>
                <w:rStyle w:val="Siln"/>
                <w:rFonts w:ascii="Times" w:hAnsi="Times" w:cs="Times"/>
                <w:sz w:val="21"/>
                <w:szCs w:val="21"/>
              </w:rPr>
              <w:t xml:space="preserve">Vplyvy na podnikateľské prostredie </w:t>
            </w:r>
          </w:p>
          <w:p w14:paraId="6F91BCDA" w14:textId="07600332" w:rsidR="00104EC7" w:rsidRDefault="00621B2F" w:rsidP="00587B4A">
            <w:pPr>
              <w:pStyle w:val="Normlnywebov"/>
              <w:spacing w:before="0" w:beforeAutospacing="0" w:after="120" w:afterAutospacing="0"/>
              <w:jc w:val="both"/>
              <w:rPr>
                <w:rFonts w:ascii="Times" w:hAnsi="Times" w:cs="Times"/>
                <w:sz w:val="21"/>
                <w:szCs w:val="21"/>
              </w:rPr>
            </w:pPr>
            <w:r w:rsidRPr="00587B4A">
              <w:rPr>
                <w:rFonts w:ascii="Times" w:hAnsi="Times" w:cs="Times"/>
                <w:sz w:val="21"/>
                <w:szCs w:val="21"/>
              </w:rPr>
              <w:t>Pozitívne</w:t>
            </w:r>
            <w:r w:rsidR="00104EC7" w:rsidRPr="00587B4A">
              <w:rPr>
                <w:rFonts w:ascii="Times" w:hAnsi="Times" w:cs="Times"/>
                <w:sz w:val="21"/>
                <w:szCs w:val="21"/>
              </w:rPr>
              <w:t xml:space="preserve"> vypl</w:t>
            </w:r>
            <w:r w:rsidRPr="00587B4A">
              <w:rPr>
                <w:rFonts w:ascii="Times" w:hAnsi="Times" w:cs="Times"/>
                <w:sz w:val="21"/>
                <w:szCs w:val="21"/>
              </w:rPr>
              <w:t>ývajú</w:t>
            </w:r>
            <w:r w:rsidR="00104EC7" w:rsidRPr="00587B4A">
              <w:rPr>
                <w:rFonts w:ascii="Times" w:hAnsi="Times" w:cs="Times"/>
                <w:sz w:val="21"/>
                <w:szCs w:val="21"/>
              </w:rPr>
              <w:t xml:space="preserve"> zo </w:t>
            </w:r>
            <w:r w:rsidRPr="00587B4A">
              <w:rPr>
                <w:rFonts w:ascii="Times" w:hAnsi="Times" w:cs="Times"/>
                <w:sz w:val="21"/>
                <w:szCs w:val="21"/>
              </w:rPr>
              <w:t>zavádzania nových legislatívnych nástrojov, ktoré umožnia jednoduchšie zavádzanie inovácií vo verejnej správe aj pre malé a stredné podniky a zjednodušia prístup zamestnávateľov ku kvalifikovanej pracovnej sile s pokročilými digitálnymi zručnosťami. Ďalšie opatrenia sú zamerané na rozvoj údajového hospodárstva, ktoré je predpokladom na rozvoj nového odvetvia analýzy veľkých objemov údajov a rozvoja umelej inteligencie</w:t>
            </w:r>
            <w:r w:rsidR="00104EC7" w:rsidRPr="00587B4A">
              <w:rPr>
                <w:rFonts w:ascii="Times" w:hAnsi="Times" w:cs="Times"/>
                <w:sz w:val="21"/>
                <w:szCs w:val="21"/>
              </w:rPr>
              <w:t xml:space="preserve">. V súčasnosti sa nedá presne konkretizovať dopad na výdavky, predpokladané náklady na </w:t>
            </w:r>
            <w:r w:rsidRPr="00587B4A">
              <w:rPr>
                <w:rFonts w:ascii="Times" w:hAnsi="Times" w:cs="Times"/>
                <w:sz w:val="21"/>
                <w:szCs w:val="21"/>
              </w:rPr>
              <w:t>implementáciu opatrení,</w:t>
            </w:r>
            <w:r w:rsidR="00104EC7" w:rsidRPr="00587B4A">
              <w:rPr>
                <w:rFonts w:ascii="Times" w:hAnsi="Times" w:cs="Times"/>
                <w:sz w:val="21"/>
                <w:szCs w:val="21"/>
              </w:rPr>
              <w:t xml:space="preserve"> ani počet dotknutých subjektov.</w:t>
            </w:r>
            <w:r w:rsidR="00EB2F6A" w:rsidRPr="00587B4A">
              <w:rPr>
                <w:rFonts w:ascii="Times" w:hAnsi="Times" w:cs="Times"/>
                <w:sz w:val="21"/>
                <w:szCs w:val="21"/>
              </w:rPr>
              <w:t xml:space="preserve"> Podrobnejšia analýza sa nachádza v samostatnej prílohe.</w:t>
            </w:r>
          </w:p>
          <w:p w14:paraId="09673F21" w14:textId="29934379" w:rsidR="00B57136" w:rsidRDefault="00B57136" w:rsidP="00587B4A">
            <w:pPr>
              <w:pStyle w:val="Normlnywebov"/>
              <w:spacing w:before="0" w:beforeAutospacing="0" w:after="120" w:afterAutospacing="0"/>
              <w:jc w:val="both"/>
              <w:rPr>
                <w:rFonts w:ascii="Times" w:hAnsi="Times" w:cs="Times"/>
                <w:sz w:val="21"/>
                <w:szCs w:val="21"/>
              </w:rPr>
            </w:pPr>
            <w:r>
              <w:rPr>
                <w:rFonts w:ascii="Times" w:hAnsi="Times" w:cs="Times"/>
                <w:sz w:val="21"/>
                <w:szCs w:val="21"/>
              </w:rPr>
              <w:t xml:space="preserve">Digitálna transformácia môže mať aj negatívny dopad na podnikateľské prostredie, a to ako na malé a stredné podniky, tak aj na veľké podniky. Podniky, ktoré nebudú schopné dostatočné inovovať svoje postupy či produkciu môžu stratiť konkurenčnú výhodu a tým výrazne znížiť svoju efektivitu a profit. Štát chce podporiť inovatívnu kapacitu podnikov cez centrá digitálnych inovácií, ktoré budú podporovať podniky v procese digitalizácie. </w:t>
            </w:r>
          </w:p>
          <w:p w14:paraId="531D880B" w14:textId="77777777" w:rsidR="003B648A" w:rsidRPr="00587B4A" w:rsidRDefault="003B648A" w:rsidP="00587B4A">
            <w:pPr>
              <w:pStyle w:val="Normlnywebov"/>
              <w:spacing w:before="0" w:beforeAutospacing="0" w:after="120" w:afterAutospacing="0"/>
              <w:jc w:val="both"/>
              <w:rPr>
                <w:rFonts w:ascii="Times" w:hAnsi="Times" w:cs="Times"/>
                <w:sz w:val="21"/>
                <w:szCs w:val="21"/>
              </w:rPr>
            </w:pPr>
            <w:r w:rsidRPr="00587B4A">
              <w:rPr>
                <w:rStyle w:val="Siln"/>
                <w:rFonts w:ascii="Times" w:hAnsi="Times" w:cs="Times"/>
                <w:sz w:val="21"/>
                <w:szCs w:val="21"/>
              </w:rPr>
              <w:t>Sociálne vplyvy</w:t>
            </w:r>
          </w:p>
          <w:p w14:paraId="5F885060" w14:textId="470A8B2F" w:rsidR="00104EC7" w:rsidRPr="00587B4A" w:rsidRDefault="003B648A" w:rsidP="00587B4A">
            <w:pPr>
              <w:pStyle w:val="Normlnywebov"/>
              <w:spacing w:before="0" w:beforeAutospacing="0" w:after="120" w:afterAutospacing="0"/>
              <w:jc w:val="both"/>
              <w:rPr>
                <w:rFonts w:ascii="Times" w:hAnsi="Times" w:cs="Times"/>
                <w:sz w:val="21"/>
                <w:szCs w:val="21"/>
              </w:rPr>
            </w:pPr>
            <w:r w:rsidRPr="00587B4A">
              <w:rPr>
                <w:rFonts w:ascii="Times" w:hAnsi="Times" w:cs="Times"/>
                <w:sz w:val="21"/>
                <w:szCs w:val="21"/>
              </w:rPr>
              <w:t xml:space="preserve">Návrh </w:t>
            </w:r>
            <w:r w:rsidR="00425B2A" w:rsidRPr="00587B4A">
              <w:rPr>
                <w:rFonts w:ascii="Times" w:hAnsi="Times" w:cs="Times"/>
                <w:sz w:val="21"/>
                <w:szCs w:val="21"/>
              </w:rPr>
              <w:t>nemá</w:t>
            </w:r>
            <w:r w:rsidRPr="00587B4A">
              <w:rPr>
                <w:rFonts w:ascii="Times" w:hAnsi="Times" w:cs="Times"/>
                <w:sz w:val="21"/>
                <w:szCs w:val="21"/>
              </w:rPr>
              <w:t xml:space="preserve"> pozitívne </w:t>
            </w:r>
            <w:r w:rsidR="00425B2A" w:rsidRPr="00587B4A">
              <w:rPr>
                <w:rFonts w:ascii="Times" w:hAnsi="Times" w:cs="Times"/>
                <w:sz w:val="21"/>
                <w:szCs w:val="21"/>
              </w:rPr>
              <w:t>ani</w:t>
            </w:r>
            <w:r w:rsidRPr="00587B4A">
              <w:rPr>
                <w:rFonts w:ascii="Times" w:hAnsi="Times" w:cs="Times"/>
                <w:sz w:val="21"/>
                <w:szCs w:val="21"/>
              </w:rPr>
              <w:t xml:space="preserve"> negatívne vplyvy prístup k zdrojom, právam, tovar</w:t>
            </w:r>
            <w:r w:rsidR="00621B2F" w:rsidRPr="00587B4A">
              <w:rPr>
                <w:rFonts w:ascii="Times" w:hAnsi="Times" w:cs="Times"/>
                <w:sz w:val="21"/>
                <w:szCs w:val="21"/>
              </w:rPr>
              <w:t>om a službám, sociálnu inklúziu a</w:t>
            </w:r>
            <w:r w:rsidRPr="00587B4A">
              <w:rPr>
                <w:rFonts w:ascii="Times" w:hAnsi="Times" w:cs="Times"/>
                <w:sz w:val="21"/>
                <w:szCs w:val="21"/>
              </w:rPr>
              <w:t xml:space="preserve"> </w:t>
            </w:r>
            <w:r w:rsidR="00F53933" w:rsidRPr="00587B4A">
              <w:rPr>
                <w:rFonts w:ascii="Times" w:hAnsi="Times" w:cs="Times"/>
                <w:sz w:val="21"/>
                <w:szCs w:val="21"/>
              </w:rPr>
              <w:t xml:space="preserve">životnú úroveň </w:t>
            </w:r>
            <w:r w:rsidR="00104EC7" w:rsidRPr="00587B4A">
              <w:rPr>
                <w:rFonts w:ascii="Times" w:hAnsi="Times" w:cs="Times"/>
                <w:sz w:val="21"/>
                <w:szCs w:val="21"/>
              </w:rPr>
              <w:t>obyvateľstva.</w:t>
            </w:r>
            <w:r w:rsidR="00425B2A" w:rsidRPr="00587B4A">
              <w:rPr>
                <w:rFonts w:ascii="Times" w:hAnsi="Times" w:cs="Times"/>
                <w:sz w:val="21"/>
                <w:szCs w:val="21"/>
              </w:rPr>
              <w:t xml:space="preserve"> Návrh môže mať pozitívne aj negatívne vplyvy na hospodárenie domácností. </w:t>
            </w:r>
          </w:p>
          <w:p w14:paraId="531D880C" w14:textId="6DB06FF2" w:rsidR="003B648A" w:rsidRPr="00587B4A" w:rsidRDefault="5FAB9ACF" w:rsidP="00587B4A">
            <w:pPr>
              <w:spacing w:after="120"/>
              <w:jc w:val="both"/>
              <w:rPr>
                <w:rFonts w:ascii="Times" w:hAnsi="Times" w:cs="Times"/>
                <w:sz w:val="21"/>
                <w:szCs w:val="21"/>
              </w:rPr>
            </w:pPr>
            <w:r w:rsidRPr="00587B4A">
              <w:rPr>
                <w:rFonts w:ascii="Times" w:hAnsi="Times" w:cs="Times"/>
                <w:sz w:val="21"/>
                <w:szCs w:val="21"/>
              </w:rPr>
              <w:t>Opatrenie “Podporíme aktivity vedúce k zvýšeniu podielu žien v IT a digitálnom sektore a odstráneniu rodových stereotypov” je priamo zamerané na zvýšenie podielu žien v IT a digitálnom sektore a na odstránenie rodových stereotypov, čiže má pozitívny sociálny vplyv.</w:t>
            </w:r>
          </w:p>
          <w:p w14:paraId="71CE22FE" w14:textId="6F7B66D5" w:rsidR="5FAB9ACF" w:rsidRPr="00587B4A" w:rsidRDefault="5FAB9ACF" w:rsidP="00587B4A">
            <w:pPr>
              <w:jc w:val="both"/>
              <w:rPr>
                <w:rFonts w:ascii="Times" w:hAnsi="Times" w:cs="Times"/>
                <w:sz w:val="21"/>
                <w:szCs w:val="21"/>
              </w:rPr>
            </w:pPr>
          </w:p>
          <w:p w14:paraId="17F9AA42" w14:textId="76230823" w:rsidR="00104EC7" w:rsidRPr="00587B4A" w:rsidRDefault="00104EC7" w:rsidP="00587B4A">
            <w:pPr>
              <w:pStyle w:val="Normlnywebov"/>
              <w:spacing w:before="0" w:beforeAutospacing="0" w:after="120" w:afterAutospacing="0"/>
              <w:jc w:val="both"/>
              <w:rPr>
                <w:rFonts w:ascii="Times" w:hAnsi="Times" w:cs="Times"/>
                <w:sz w:val="21"/>
                <w:szCs w:val="21"/>
              </w:rPr>
            </w:pPr>
            <w:r w:rsidRPr="00587B4A">
              <w:rPr>
                <w:rFonts w:ascii="Times" w:hAnsi="Times" w:cs="Times"/>
                <w:sz w:val="21"/>
                <w:szCs w:val="21"/>
              </w:rPr>
              <w:lastRenderedPageBreak/>
              <w:t>Viaceré opatrenia sú zamerané na zvyšovanie kompetencií absolventov a pracujúcich s cieľom zvýšiť ich uplatnenie na trhu práce a predchádzať potenciálnej budúcej nezamestnanosti, alebo uviaznutiu na pracovných pozíciách s nízkou pridanou hodnotou. Realizáciou navrhovaných opatrení sa pracovný trh pripravuje na nástup automatizácie, ktorá by bez ďalších opatrení mala negatívny vplyv na zamestnanosť a životnú úroveň.</w:t>
            </w:r>
            <w:r w:rsidR="00425B2A" w:rsidRPr="00587B4A">
              <w:rPr>
                <w:rFonts w:ascii="Times" w:hAnsi="Times" w:cs="Times"/>
                <w:sz w:val="21"/>
                <w:szCs w:val="21"/>
              </w:rPr>
              <w:t xml:space="preserve"> Napriek  tomu sa môže stať, že dané opatrenia nezabránia zrušeniu niektorých súčasných pracovných miest vplyvom automatizácie a robotizácie.  </w:t>
            </w:r>
          </w:p>
          <w:p w14:paraId="531D8810" w14:textId="77777777" w:rsidR="003B648A" w:rsidRPr="00404D34" w:rsidRDefault="003B648A" w:rsidP="00F70471">
            <w:pPr>
              <w:pStyle w:val="Normlnywebov"/>
              <w:spacing w:before="0" w:beforeAutospacing="0" w:after="120" w:afterAutospacing="0"/>
              <w:rPr>
                <w:rFonts w:ascii="Times" w:hAnsi="Times" w:cs="Times"/>
                <w:sz w:val="20"/>
                <w:szCs w:val="20"/>
              </w:rPr>
            </w:pPr>
            <w:r w:rsidRPr="00404D34">
              <w:rPr>
                <w:rStyle w:val="Siln"/>
                <w:rFonts w:ascii="Times" w:hAnsi="Times" w:cs="Times"/>
                <w:sz w:val="20"/>
                <w:szCs w:val="20"/>
              </w:rPr>
              <w:t>Vplyvy na životné prostredie</w:t>
            </w:r>
          </w:p>
          <w:p w14:paraId="531D8811" w14:textId="4802C73E" w:rsidR="003B648A" w:rsidRPr="00404D34" w:rsidRDefault="00621B2F" w:rsidP="00F70471">
            <w:pPr>
              <w:pStyle w:val="Normlnywebov"/>
              <w:spacing w:before="0" w:beforeAutospacing="0" w:after="120" w:afterAutospacing="0"/>
              <w:rPr>
                <w:rFonts w:ascii="Times" w:hAnsi="Times" w:cs="Times"/>
                <w:sz w:val="20"/>
                <w:szCs w:val="20"/>
              </w:rPr>
            </w:pPr>
            <w:r>
              <w:rPr>
                <w:rFonts w:ascii="Times" w:hAnsi="Times" w:cs="Times"/>
                <w:sz w:val="20"/>
                <w:szCs w:val="20"/>
              </w:rPr>
              <w:t>Opatrenia akčného plánu majú všeobecne neutrálny vplyv na životné prostredie. Nepriamo sa dá predpokladať priaznivý vplyv lepšej informačnej infraštruktúry a dostupnosti údajov na vývoj nástrojov a produktov s pozitívnym vplyvom na životné prostredie</w:t>
            </w:r>
            <w:r w:rsidR="003B648A" w:rsidRPr="00404D34">
              <w:rPr>
                <w:rFonts w:ascii="Times" w:hAnsi="Times" w:cs="Times"/>
                <w:sz w:val="20"/>
                <w:szCs w:val="20"/>
              </w:rPr>
              <w:t>.</w:t>
            </w:r>
          </w:p>
          <w:p w14:paraId="531D8812" w14:textId="77777777" w:rsidR="003B648A" w:rsidRPr="00404D34" w:rsidRDefault="003B648A" w:rsidP="00F70471">
            <w:pPr>
              <w:pStyle w:val="Normlnywebov"/>
              <w:spacing w:before="0" w:beforeAutospacing="0" w:after="120" w:afterAutospacing="0"/>
              <w:rPr>
                <w:rFonts w:ascii="Times" w:hAnsi="Times" w:cs="Times"/>
                <w:sz w:val="20"/>
                <w:szCs w:val="20"/>
              </w:rPr>
            </w:pPr>
            <w:r w:rsidRPr="00404D34">
              <w:rPr>
                <w:rStyle w:val="Siln"/>
                <w:rFonts w:ascii="Times" w:hAnsi="Times" w:cs="Times"/>
                <w:sz w:val="20"/>
                <w:szCs w:val="20"/>
              </w:rPr>
              <w:t>Vplyvy na informatizáciu</w:t>
            </w:r>
          </w:p>
          <w:p w14:paraId="6B84D4BB" w14:textId="56EC1EA8" w:rsidR="00EB2F6A" w:rsidRPr="00404D34" w:rsidRDefault="5FAB9ACF" w:rsidP="5FAB9ACF">
            <w:pPr>
              <w:pStyle w:val="Normlnywebov"/>
              <w:spacing w:before="0" w:beforeAutospacing="0" w:after="120" w:afterAutospacing="0"/>
              <w:rPr>
                <w:rFonts w:ascii="Times" w:hAnsi="Times" w:cs="Times"/>
                <w:sz w:val="20"/>
                <w:szCs w:val="20"/>
              </w:rPr>
            </w:pPr>
            <w:r w:rsidRPr="5FAB9ACF">
              <w:rPr>
                <w:rFonts w:ascii="Times" w:hAnsi="Times" w:cs="Times"/>
                <w:sz w:val="20"/>
                <w:szCs w:val="20"/>
              </w:rPr>
              <w:t>Návrh predpokladá podstatnú pozitívnu zmenu elektronických služieb verejnej správy a vytvorenie nových služieb v súlade s Národnou koncepciou informatizácie verejnej správy a v súlade so Stratégiou digitálnej transformácie Slovenska do roku 2030.</w:t>
            </w:r>
          </w:p>
          <w:p w14:paraId="4D04E65E" w14:textId="198175F4" w:rsidR="00EB2F6A" w:rsidRPr="00404D34" w:rsidRDefault="5FAB9ACF" w:rsidP="5FAB9ACF">
            <w:pPr>
              <w:pStyle w:val="Normlnywebov"/>
              <w:spacing w:before="0" w:beforeAutospacing="0" w:after="120" w:afterAutospacing="0"/>
            </w:pPr>
            <w:r w:rsidRPr="5FAB9ACF">
              <w:rPr>
                <w:rFonts w:ascii="Times" w:eastAsia="Times" w:hAnsi="Times" w:cs="Times"/>
                <w:b/>
                <w:bCs/>
                <w:color w:val="000000" w:themeColor="text1"/>
                <w:sz w:val="19"/>
                <w:szCs w:val="19"/>
              </w:rPr>
              <w:t>Vplyvy na služby pre občana</w:t>
            </w:r>
          </w:p>
          <w:p w14:paraId="531D8815" w14:textId="41EEE6CA" w:rsidR="00EB2F6A" w:rsidRPr="00404D34" w:rsidRDefault="5FAB9ACF" w:rsidP="5FAB9ACF">
            <w:pPr>
              <w:pStyle w:val="Normlnywebov"/>
              <w:spacing w:before="0" w:beforeAutospacing="0" w:after="120" w:afterAutospacing="0"/>
              <w:rPr>
                <w:rFonts w:ascii="Times" w:hAnsi="Times" w:cs="Times"/>
                <w:sz w:val="20"/>
                <w:szCs w:val="20"/>
              </w:rPr>
            </w:pPr>
            <w:r w:rsidRPr="5FAB9ACF">
              <w:rPr>
                <w:rFonts w:ascii="Times" w:hAnsi="Times" w:cs="Times"/>
                <w:sz w:val="20"/>
                <w:szCs w:val="20"/>
              </w:rPr>
              <w:t>Uvedený akčný plán predkladá viaceré opatrenia, ktoré budú mať pozitívny dopad z pohľadu digitálnych verejných služieb pre občana.</w:t>
            </w:r>
          </w:p>
        </w:tc>
      </w:tr>
      <w:tr w:rsidR="003B648A" w14:paraId="531D8818" w14:textId="77777777" w:rsidTr="00F73923">
        <w:trPr>
          <w:divId w:val="1003624051"/>
          <w:jc w:val="center"/>
        </w:trPr>
        <w:tc>
          <w:tcPr>
            <w:tcW w:w="500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817" w14:textId="77777777" w:rsidR="003B648A" w:rsidRDefault="003B648A">
            <w:pPr>
              <w:rPr>
                <w:rFonts w:ascii="Times" w:hAnsi="Times" w:cs="Times"/>
                <w:b/>
                <w:bCs/>
                <w:sz w:val="22"/>
                <w:szCs w:val="22"/>
              </w:rPr>
            </w:pPr>
            <w:r>
              <w:rPr>
                <w:rFonts w:ascii="Times" w:hAnsi="Times" w:cs="Times"/>
                <w:b/>
                <w:bCs/>
                <w:sz w:val="22"/>
                <w:szCs w:val="22"/>
              </w:rPr>
              <w:lastRenderedPageBreak/>
              <w:t>  11.  Kontakt na spracovateľa</w:t>
            </w:r>
          </w:p>
        </w:tc>
      </w:tr>
      <w:tr w:rsidR="003B648A" w14:paraId="531D881A" w14:textId="77777777" w:rsidTr="00F73923">
        <w:trPr>
          <w:divId w:val="1003624051"/>
          <w:trHeight w:val="600"/>
          <w:jc w:val="center"/>
        </w:trPr>
        <w:tc>
          <w:tcPr>
            <w:tcW w:w="500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31D8819" w14:textId="0EC58A0C" w:rsidR="003B648A" w:rsidRDefault="5E5449DC" w:rsidP="5E5449DC">
            <w:pPr>
              <w:rPr>
                <w:rFonts w:ascii="Times" w:hAnsi="Times" w:cs="Times"/>
                <w:sz w:val="20"/>
                <w:szCs w:val="20"/>
              </w:rPr>
            </w:pPr>
            <w:r w:rsidRPr="5E5449DC">
              <w:rPr>
                <w:sz w:val="20"/>
                <w:szCs w:val="20"/>
              </w:rPr>
              <w:t>Michal Číž</w:t>
            </w:r>
            <w:r w:rsidR="00F70471">
              <w:br/>
            </w:r>
            <w:r w:rsidRPr="5E5449DC">
              <w:rPr>
                <w:sz w:val="20"/>
                <w:szCs w:val="20"/>
              </w:rPr>
              <w:t xml:space="preserve"> </w:t>
            </w:r>
            <w:proofErr w:type="spellStart"/>
            <w:r w:rsidRPr="5E5449DC">
              <w:rPr>
                <w:color w:val="000000" w:themeColor="text1"/>
                <w:sz w:val="20"/>
                <w:szCs w:val="20"/>
              </w:rPr>
              <w:t>Tel.č</w:t>
            </w:r>
            <w:proofErr w:type="spellEnd"/>
            <w:r w:rsidRPr="5E5449DC">
              <w:rPr>
                <w:color w:val="000000" w:themeColor="text1"/>
                <w:sz w:val="20"/>
                <w:szCs w:val="20"/>
              </w:rPr>
              <w:t xml:space="preserve">.: +421 2 2092 8075, </w:t>
            </w:r>
            <w:proofErr w:type="spellStart"/>
            <w:r w:rsidRPr="5E5449DC">
              <w:rPr>
                <w:color w:val="000000" w:themeColor="text1"/>
                <w:sz w:val="20"/>
                <w:szCs w:val="20"/>
              </w:rPr>
              <w:t>Mob</w:t>
            </w:r>
            <w:proofErr w:type="spellEnd"/>
            <w:r w:rsidRPr="5E5449DC">
              <w:rPr>
                <w:color w:val="000000" w:themeColor="text1"/>
                <w:sz w:val="20"/>
                <w:szCs w:val="20"/>
              </w:rPr>
              <w:t xml:space="preserve">.: +421 948 317 900 </w:t>
            </w:r>
            <w:r w:rsidR="00F70471">
              <w:br/>
            </w:r>
            <w:r w:rsidRPr="5E5449DC">
              <w:rPr>
                <w:color w:val="000000" w:themeColor="text1"/>
                <w:sz w:val="20"/>
                <w:szCs w:val="20"/>
              </w:rPr>
              <w:t xml:space="preserve"> Email: </w:t>
            </w:r>
            <w:hyperlink r:id="rId9">
              <w:r w:rsidRPr="5E5449DC">
                <w:rPr>
                  <w:rStyle w:val="Hypertextovprepojenie"/>
                  <w:sz w:val="20"/>
                  <w:szCs w:val="20"/>
                </w:rPr>
                <w:t>michal.ciz@vicepremier.gov.sk</w:t>
              </w:r>
            </w:hyperlink>
          </w:p>
        </w:tc>
      </w:tr>
      <w:tr w:rsidR="003B648A" w14:paraId="531D881C" w14:textId="77777777" w:rsidTr="00F73923">
        <w:trPr>
          <w:divId w:val="1003624051"/>
          <w:jc w:val="center"/>
        </w:trPr>
        <w:tc>
          <w:tcPr>
            <w:tcW w:w="500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81B" w14:textId="77777777" w:rsidR="003B648A" w:rsidRDefault="003B648A">
            <w:pPr>
              <w:rPr>
                <w:rFonts w:ascii="Times" w:hAnsi="Times" w:cs="Times"/>
                <w:b/>
                <w:bCs/>
                <w:sz w:val="22"/>
                <w:szCs w:val="22"/>
              </w:rPr>
            </w:pPr>
            <w:r>
              <w:rPr>
                <w:rFonts w:ascii="Times" w:hAnsi="Times" w:cs="Times"/>
                <w:b/>
                <w:bCs/>
                <w:sz w:val="22"/>
                <w:szCs w:val="22"/>
              </w:rPr>
              <w:t>  12.  Zdroje</w:t>
            </w:r>
          </w:p>
        </w:tc>
      </w:tr>
      <w:tr w:rsidR="003B648A" w14:paraId="531D881E" w14:textId="77777777" w:rsidTr="00F73923">
        <w:trPr>
          <w:divId w:val="1003624051"/>
          <w:trHeight w:val="600"/>
          <w:jc w:val="center"/>
        </w:trPr>
        <w:tc>
          <w:tcPr>
            <w:tcW w:w="5000" w:type="pct"/>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4DAD222E" w14:textId="6980B2EB" w:rsidR="003B648A" w:rsidRDefault="5E5449DC" w:rsidP="5E5449DC">
            <w:pPr>
              <w:jc w:val="both"/>
            </w:pPr>
            <w:r w:rsidRPr="5E5449DC">
              <w:rPr>
                <w:rFonts w:ascii="Times" w:eastAsia="Times" w:hAnsi="Times" w:cs="Times"/>
                <w:sz w:val="20"/>
                <w:szCs w:val="20"/>
              </w:rPr>
              <w:t xml:space="preserve">Oznámenie Európskej komisie: Stratégia pre digitálny jednotný trh v Európe (COM(2015) 192 </w:t>
            </w:r>
            <w:proofErr w:type="spellStart"/>
            <w:r w:rsidRPr="5E5449DC">
              <w:rPr>
                <w:rFonts w:ascii="Times" w:eastAsia="Times" w:hAnsi="Times" w:cs="Times"/>
                <w:sz w:val="20"/>
                <w:szCs w:val="20"/>
              </w:rPr>
              <w:t>final</w:t>
            </w:r>
            <w:proofErr w:type="spellEnd"/>
            <w:r w:rsidRPr="5E5449DC">
              <w:rPr>
                <w:rFonts w:ascii="Times" w:eastAsia="Times" w:hAnsi="Times" w:cs="Times"/>
                <w:sz w:val="20"/>
                <w:szCs w:val="20"/>
              </w:rPr>
              <w:t>)</w:t>
            </w:r>
          </w:p>
          <w:p w14:paraId="51379385" w14:textId="7BCEA17A" w:rsidR="003B648A" w:rsidRDefault="5E5449DC" w:rsidP="5E5449DC">
            <w:pPr>
              <w:jc w:val="both"/>
            </w:pPr>
            <w:r w:rsidRPr="5E5449DC">
              <w:rPr>
                <w:rFonts w:ascii="Times" w:eastAsia="Times" w:hAnsi="Times" w:cs="Times"/>
                <w:sz w:val="20"/>
                <w:szCs w:val="20"/>
              </w:rPr>
              <w:t xml:space="preserve">Digital </w:t>
            </w:r>
            <w:proofErr w:type="spellStart"/>
            <w:r w:rsidRPr="5E5449DC">
              <w:rPr>
                <w:rFonts w:ascii="Times" w:eastAsia="Times" w:hAnsi="Times" w:cs="Times"/>
                <w:sz w:val="20"/>
                <w:szCs w:val="20"/>
              </w:rPr>
              <w:t>Economy</w:t>
            </w:r>
            <w:proofErr w:type="spellEnd"/>
            <w:r w:rsidRPr="5E5449DC">
              <w:rPr>
                <w:rFonts w:ascii="Times" w:eastAsia="Times" w:hAnsi="Times" w:cs="Times"/>
                <w:sz w:val="20"/>
                <w:szCs w:val="20"/>
              </w:rPr>
              <w:t xml:space="preserve"> and Society Index (DESI), 2018, Európska komisia.</w:t>
            </w:r>
          </w:p>
          <w:p w14:paraId="39AE1AD6" w14:textId="04909AAA" w:rsidR="003B648A" w:rsidRDefault="5E5449DC" w:rsidP="5E5449DC">
            <w:pPr>
              <w:jc w:val="both"/>
            </w:pPr>
            <w:r w:rsidRPr="5E5449DC">
              <w:rPr>
                <w:rFonts w:ascii="Times" w:eastAsia="Times" w:hAnsi="Times" w:cs="Times"/>
                <w:sz w:val="20"/>
                <w:szCs w:val="20"/>
              </w:rPr>
              <w:t xml:space="preserve"> </w:t>
            </w:r>
          </w:p>
          <w:p w14:paraId="279BDC6F" w14:textId="73602509" w:rsidR="003B648A" w:rsidRDefault="5E5449DC" w:rsidP="5E5449DC">
            <w:pPr>
              <w:jc w:val="both"/>
            </w:pPr>
            <w:r w:rsidRPr="5E5449DC">
              <w:rPr>
                <w:sz w:val="20"/>
                <w:szCs w:val="20"/>
              </w:rPr>
              <w:t xml:space="preserve">Porovnanie vyspelosti krajín v Európe z pohľadu pripravenosti na realizáciu </w:t>
            </w:r>
            <w:proofErr w:type="spellStart"/>
            <w:r w:rsidRPr="5E5449DC">
              <w:rPr>
                <w:sz w:val="20"/>
                <w:szCs w:val="20"/>
              </w:rPr>
              <w:t>Open</w:t>
            </w:r>
            <w:proofErr w:type="spellEnd"/>
            <w:r w:rsidRPr="5E5449DC">
              <w:rPr>
                <w:sz w:val="20"/>
                <w:szCs w:val="20"/>
              </w:rPr>
              <w:t xml:space="preserve"> Data (</w:t>
            </w:r>
            <w:proofErr w:type="spellStart"/>
            <w:r w:rsidRPr="5E5449DC">
              <w:rPr>
                <w:sz w:val="20"/>
                <w:szCs w:val="20"/>
              </w:rPr>
              <w:t>Open</w:t>
            </w:r>
            <w:proofErr w:type="spellEnd"/>
            <w:r w:rsidRPr="5E5449DC">
              <w:rPr>
                <w:sz w:val="20"/>
                <w:szCs w:val="20"/>
              </w:rPr>
              <w:t xml:space="preserve"> Data </w:t>
            </w:r>
            <w:proofErr w:type="spellStart"/>
            <w:r w:rsidRPr="5E5449DC">
              <w:rPr>
                <w:sz w:val="20"/>
                <w:szCs w:val="20"/>
              </w:rPr>
              <w:t>Readiness</w:t>
            </w:r>
            <w:proofErr w:type="spellEnd"/>
            <w:r w:rsidRPr="5E5449DC">
              <w:rPr>
                <w:sz w:val="20"/>
                <w:szCs w:val="20"/>
              </w:rPr>
              <w:t>) a vyspelosti národného portálu otvorených údajov (</w:t>
            </w:r>
            <w:proofErr w:type="spellStart"/>
            <w:r w:rsidRPr="5E5449DC">
              <w:rPr>
                <w:sz w:val="20"/>
                <w:szCs w:val="20"/>
              </w:rPr>
              <w:t>Portal</w:t>
            </w:r>
            <w:proofErr w:type="spellEnd"/>
            <w:r w:rsidRPr="5E5449DC">
              <w:rPr>
                <w:sz w:val="20"/>
                <w:szCs w:val="20"/>
              </w:rPr>
              <w:t xml:space="preserve"> Maturity). Zdroj: </w:t>
            </w:r>
            <w:hyperlink r:id="rId10">
              <w:r w:rsidRPr="5E5449DC">
                <w:rPr>
                  <w:rStyle w:val="Hypertextovprepojenie"/>
                  <w:sz w:val="20"/>
                  <w:szCs w:val="20"/>
                </w:rPr>
                <w:t>http://www.europeandataportal.eu/en/content/open-data-maturity-europe</w:t>
              </w:r>
            </w:hyperlink>
          </w:p>
          <w:p w14:paraId="255892F8" w14:textId="7E20A9AB" w:rsidR="003B648A" w:rsidRDefault="5E5449DC" w:rsidP="5E5449DC">
            <w:pPr>
              <w:jc w:val="both"/>
            </w:pPr>
            <w:r w:rsidRPr="5E5449DC">
              <w:rPr>
                <w:rFonts w:ascii="Times" w:eastAsia="Times" w:hAnsi="Times" w:cs="Times"/>
                <w:sz w:val="20"/>
                <w:szCs w:val="20"/>
              </w:rPr>
              <w:t xml:space="preserve"> </w:t>
            </w:r>
          </w:p>
          <w:p w14:paraId="3A26E6B6" w14:textId="182C0996" w:rsidR="003B648A" w:rsidRDefault="5E5449DC" w:rsidP="5E5449DC">
            <w:pPr>
              <w:jc w:val="both"/>
            </w:pPr>
            <w:r w:rsidRPr="5E5449DC">
              <w:rPr>
                <w:rFonts w:ascii="Times" w:eastAsia="Times" w:hAnsi="Times" w:cs="Times"/>
                <w:sz w:val="20"/>
                <w:szCs w:val="20"/>
              </w:rPr>
              <w:t xml:space="preserve">Dianie v EÚ v oblasti cezhranične </w:t>
            </w:r>
            <w:proofErr w:type="spellStart"/>
            <w:r w:rsidRPr="5E5449DC">
              <w:rPr>
                <w:rFonts w:ascii="Times" w:eastAsia="Times" w:hAnsi="Times" w:cs="Times"/>
                <w:sz w:val="20"/>
                <w:szCs w:val="20"/>
              </w:rPr>
              <w:t>interoperabilného</w:t>
            </w:r>
            <w:proofErr w:type="spellEnd"/>
            <w:r w:rsidRPr="5E5449DC">
              <w:rPr>
                <w:rFonts w:ascii="Times" w:eastAsia="Times" w:hAnsi="Times" w:cs="Times"/>
                <w:sz w:val="20"/>
                <w:szCs w:val="20"/>
              </w:rPr>
              <w:t xml:space="preserve"> eGovernmentu:</w:t>
            </w:r>
          </w:p>
          <w:p w14:paraId="6B6B79C5" w14:textId="0B63DE21" w:rsidR="003B648A" w:rsidRDefault="5E5449DC" w:rsidP="5E5449DC">
            <w:pPr>
              <w:jc w:val="both"/>
            </w:pPr>
            <w:r w:rsidRPr="5E5449DC">
              <w:rPr>
                <w:rFonts w:ascii="Times" w:eastAsia="Times" w:hAnsi="Times" w:cs="Times"/>
                <w:sz w:val="20"/>
                <w:szCs w:val="20"/>
              </w:rPr>
              <w:t xml:space="preserve">Závery Rady k Akčnému plánu pre elektronickú verejnú správu: </w:t>
            </w:r>
            <w:hyperlink r:id="rId11">
              <w:r w:rsidRPr="5E5449DC">
                <w:rPr>
                  <w:rStyle w:val="Hypertextovprepojenie"/>
                  <w:rFonts w:ascii="Times" w:eastAsia="Times" w:hAnsi="Times" w:cs="Times"/>
                  <w:sz w:val="20"/>
                  <w:szCs w:val="20"/>
                </w:rPr>
                <w:t>https://www.vicepremier.gov.sk/index.php/clenske-staty-sa-zhodli-na-zaveroch-rady-k-akcnemu-planu-pre-elektronicku-verejnu-spravu/index.html</w:t>
              </w:r>
            </w:hyperlink>
          </w:p>
          <w:p w14:paraId="6000910A" w14:textId="2B984767" w:rsidR="003B648A" w:rsidRDefault="5E5449DC" w:rsidP="5E5449DC">
            <w:pPr>
              <w:jc w:val="both"/>
            </w:pPr>
            <w:r w:rsidRPr="5E5449DC">
              <w:rPr>
                <w:rFonts w:ascii="Times" w:eastAsia="Times" w:hAnsi="Times" w:cs="Times"/>
                <w:sz w:val="20"/>
                <w:szCs w:val="20"/>
              </w:rPr>
              <w:t>Bratislavské vyhlásenie digitálnych lídrov o implementovaní eGovernmentu:</w:t>
            </w:r>
          </w:p>
          <w:p w14:paraId="1E2F2BCB" w14:textId="62DC0762" w:rsidR="003B648A" w:rsidRDefault="5E5449DC" w:rsidP="5E5449DC">
            <w:pPr>
              <w:jc w:val="both"/>
            </w:pPr>
            <w:r w:rsidRPr="5E5449DC">
              <w:rPr>
                <w:rFonts w:ascii="Times" w:eastAsia="Times" w:hAnsi="Times" w:cs="Times"/>
                <w:sz w:val="20"/>
                <w:szCs w:val="20"/>
              </w:rPr>
              <w:t xml:space="preserve"> </w:t>
            </w:r>
            <w:hyperlink r:id="rId12">
              <w:r w:rsidRPr="5E5449DC">
                <w:rPr>
                  <w:rStyle w:val="Hypertextovprepojenie"/>
                  <w:rFonts w:ascii="Times" w:eastAsia="Times" w:hAnsi="Times" w:cs="Times"/>
                  <w:sz w:val="20"/>
                  <w:szCs w:val="20"/>
                </w:rPr>
                <w:t>https://ec.europa.eu/digital-single-market/en/news/digital-champions-bratislava-statement-egovernment</w:t>
              </w:r>
            </w:hyperlink>
          </w:p>
          <w:p w14:paraId="44BD8205" w14:textId="39969B85" w:rsidR="003B648A" w:rsidRDefault="5E5449DC" w:rsidP="5E5449DC">
            <w:pPr>
              <w:jc w:val="both"/>
            </w:pPr>
            <w:r w:rsidRPr="5E5449DC">
              <w:rPr>
                <w:rFonts w:ascii="Times" w:eastAsia="Times" w:hAnsi="Times" w:cs="Times"/>
                <w:sz w:val="20"/>
                <w:szCs w:val="20"/>
              </w:rPr>
              <w:t xml:space="preserve"> </w:t>
            </w:r>
          </w:p>
          <w:p w14:paraId="2C60D5DD" w14:textId="10C024A3" w:rsidR="003B648A" w:rsidRDefault="5E5449DC" w:rsidP="5E5449DC">
            <w:pPr>
              <w:jc w:val="both"/>
            </w:pPr>
            <w:r w:rsidRPr="5E5449DC">
              <w:rPr>
                <w:rFonts w:ascii="Times" w:eastAsia="Times" w:hAnsi="Times" w:cs="Times"/>
                <w:sz w:val="20"/>
                <w:szCs w:val="20"/>
              </w:rPr>
              <w:t>Úrad podpredsedu vlády SR pre investície a informatizáciu tiež čerpal z mnohých odborných formálnych aj neformálnych stretnutí na Slovensku aj v zahraničí počas Slovenského predsedníctva v Rade Európskej únie.</w:t>
            </w:r>
          </w:p>
          <w:p w14:paraId="531D881D" w14:textId="79719702" w:rsidR="003B648A" w:rsidRDefault="003B648A" w:rsidP="5E5449DC">
            <w:pPr>
              <w:rPr>
                <w:rFonts w:ascii="Times" w:hAnsi="Times" w:cs="Times"/>
                <w:b/>
                <w:bCs/>
                <w:sz w:val="22"/>
                <w:szCs w:val="22"/>
              </w:rPr>
            </w:pPr>
          </w:p>
        </w:tc>
      </w:tr>
      <w:tr w:rsidR="003B648A" w14:paraId="531D8820" w14:textId="77777777" w:rsidTr="00F73923">
        <w:trPr>
          <w:divId w:val="1003624051"/>
          <w:jc w:val="center"/>
        </w:trPr>
        <w:tc>
          <w:tcPr>
            <w:tcW w:w="5000" w:type="pct"/>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E6E6E6"/>
            <w:hideMark/>
          </w:tcPr>
          <w:p w14:paraId="531D881F" w14:textId="77777777" w:rsidR="003B648A" w:rsidRDefault="003B648A">
            <w:pPr>
              <w:rPr>
                <w:rFonts w:ascii="Times" w:hAnsi="Times" w:cs="Times"/>
                <w:b/>
                <w:bCs/>
                <w:sz w:val="22"/>
                <w:szCs w:val="22"/>
              </w:rPr>
            </w:pPr>
            <w:r>
              <w:rPr>
                <w:rFonts w:ascii="Times" w:hAnsi="Times" w:cs="Times"/>
                <w:b/>
                <w:bCs/>
                <w:sz w:val="22"/>
                <w:szCs w:val="22"/>
              </w:rPr>
              <w:t>  13.  Stanovisko Komisie pre posudzovanie vybraných vplyvov z PPK</w:t>
            </w:r>
          </w:p>
        </w:tc>
      </w:tr>
    </w:tbl>
    <w:p w14:paraId="212C45AA" w14:textId="77777777" w:rsidR="00F73923" w:rsidRDefault="00F73923" w:rsidP="00F73923">
      <w:pPr>
        <w:pStyle w:val="Nadpis4"/>
        <w:numPr>
          <w:ilvl w:val="3"/>
          <w:numId w:val="12"/>
        </w:numPr>
        <w:rPr>
          <w:rFonts w:ascii="Arial" w:hAnsi="Arial"/>
          <w:sz w:val="22"/>
        </w:rPr>
      </w:pPr>
      <w:bookmarkStart w:id="0" w:name="_GoBack"/>
      <w:bookmarkEnd w:id="0"/>
    </w:p>
    <w:p w14:paraId="3A795A42" w14:textId="77777777" w:rsidR="00F73923" w:rsidRDefault="00F73923" w:rsidP="00F73923">
      <w:pPr>
        <w:pStyle w:val="Nadpis4"/>
        <w:numPr>
          <w:ilvl w:val="3"/>
          <w:numId w:val="12"/>
        </w:numPr>
        <w:rPr>
          <w:rFonts w:ascii="Arial" w:hAnsi="Arial"/>
          <w:sz w:val="22"/>
        </w:rPr>
      </w:pPr>
      <w:r>
        <w:rPr>
          <w:rFonts w:ascii="Arial" w:hAnsi="Arial"/>
          <w:spacing w:val="20"/>
          <w:sz w:val="32"/>
        </w:rPr>
        <w:t>stanovisko komisie</w:t>
      </w:r>
      <w:r>
        <w:rPr>
          <w:rFonts w:ascii="Arial" w:hAnsi="Arial"/>
          <w:sz w:val="22"/>
        </w:rPr>
        <w:t xml:space="preserve"> </w:t>
      </w:r>
    </w:p>
    <w:p w14:paraId="5C886519" w14:textId="77777777" w:rsidR="00F73923" w:rsidRDefault="00F73923" w:rsidP="00F73923">
      <w:pPr>
        <w:ind w:right="-2"/>
        <w:jc w:val="center"/>
        <w:rPr>
          <w:rFonts w:ascii="Arial" w:hAnsi="Arial"/>
          <w:b/>
          <w:smallCaps/>
          <w:sz w:val="22"/>
        </w:rPr>
      </w:pPr>
    </w:p>
    <w:p w14:paraId="779B6917" w14:textId="77777777" w:rsidR="00F73923" w:rsidRDefault="00F73923" w:rsidP="00F73923">
      <w:pPr>
        <w:ind w:right="-2"/>
        <w:jc w:val="center"/>
        <w:rPr>
          <w:rFonts w:ascii="Arial" w:hAnsi="Arial"/>
          <w:b/>
          <w:smallCaps/>
          <w:sz w:val="22"/>
        </w:rPr>
      </w:pPr>
      <w:r>
        <w:rPr>
          <w:rFonts w:ascii="Arial" w:hAnsi="Arial"/>
          <w:b/>
          <w:smallCaps/>
          <w:sz w:val="22"/>
        </w:rPr>
        <w:t>(predbežné pripomienkové konanie)</w:t>
      </w:r>
    </w:p>
    <w:p w14:paraId="201B7E9C" w14:textId="77777777" w:rsidR="00F73923" w:rsidRDefault="00F73923" w:rsidP="00F73923">
      <w:pPr>
        <w:ind w:right="-2"/>
        <w:jc w:val="center"/>
        <w:rPr>
          <w:rFonts w:ascii="Arial" w:hAnsi="Arial"/>
          <w:b/>
          <w:smallCaps/>
          <w:sz w:val="22"/>
        </w:rPr>
      </w:pPr>
    </w:p>
    <w:p w14:paraId="59D4E5D6" w14:textId="77777777" w:rsidR="00F73923" w:rsidRDefault="00F73923" w:rsidP="00F73923">
      <w:pPr>
        <w:ind w:right="-2"/>
        <w:jc w:val="center"/>
        <w:rPr>
          <w:rFonts w:ascii="Arial" w:hAnsi="Arial"/>
          <w:b/>
          <w:smallCaps/>
          <w:sz w:val="22"/>
        </w:rPr>
      </w:pPr>
      <w:r>
        <w:rPr>
          <w:rFonts w:ascii="Arial" w:hAnsi="Arial"/>
          <w:b/>
          <w:smallCaps/>
          <w:sz w:val="22"/>
        </w:rPr>
        <w:t>k materiálu</w:t>
      </w:r>
    </w:p>
    <w:p w14:paraId="5782214D" w14:textId="77777777" w:rsidR="00F73923" w:rsidRDefault="00F73923" w:rsidP="00F73923">
      <w:pPr>
        <w:ind w:right="-2"/>
        <w:jc w:val="center"/>
        <w:rPr>
          <w:rFonts w:ascii="Arial" w:hAnsi="Arial"/>
          <w:b/>
          <w:smallCaps/>
          <w:sz w:val="22"/>
        </w:rPr>
      </w:pPr>
    </w:p>
    <w:p w14:paraId="364469A7" w14:textId="77777777" w:rsidR="00F73923" w:rsidRDefault="00F73923" w:rsidP="00F73923">
      <w:pPr>
        <w:pBdr>
          <w:bottom w:val="single" w:sz="4" w:space="1" w:color="000000"/>
        </w:pBdr>
        <w:ind w:right="-2"/>
        <w:jc w:val="center"/>
        <w:rPr>
          <w:rFonts w:ascii="Arial" w:hAnsi="Arial" w:cs="Arial"/>
          <w:b/>
          <w:bCs/>
          <w:szCs w:val="22"/>
        </w:rPr>
      </w:pPr>
      <w:r w:rsidRPr="007662BA">
        <w:rPr>
          <w:rFonts w:ascii="Arial" w:hAnsi="Arial" w:cs="Arial"/>
          <w:b/>
          <w:smallCaps/>
          <w:sz w:val="22"/>
          <w:szCs w:val="22"/>
        </w:rPr>
        <w:t>Návrh Akčného plánu digitálnej transformácie Slovenska na roky 2019 – 2022</w:t>
      </w:r>
      <w:r>
        <w:rPr>
          <w:rFonts w:ascii="Arial" w:hAnsi="Arial" w:cs="Arial"/>
          <w:b/>
          <w:smallCaps/>
          <w:sz w:val="22"/>
          <w:szCs w:val="22"/>
        </w:rPr>
        <w:t xml:space="preserve"> </w:t>
      </w:r>
    </w:p>
    <w:p w14:paraId="79960DF8" w14:textId="77777777" w:rsidR="00F73923" w:rsidRDefault="00F73923" w:rsidP="00F73923">
      <w:pPr>
        <w:jc w:val="both"/>
        <w:rPr>
          <w:rFonts w:ascii="Arial" w:hAnsi="Arial" w:cs="Arial"/>
          <w:b/>
          <w:bCs/>
          <w:szCs w:val="22"/>
        </w:rPr>
      </w:pPr>
    </w:p>
    <w:p w14:paraId="0CA2EF4A" w14:textId="77777777" w:rsidR="00F73923" w:rsidRPr="007662BA" w:rsidRDefault="00F73923" w:rsidP="00F73923">
      <w:pPr>
        <w:jc w:val="both"/>
        <w:rPr>
          <w:rFonts w:ascii="Arial" w:hAnsi="Arial" w:cs="Arial"/>
          <w:bCs/>
          <w:szCs w:val="22"/>
        </w:rPr>
      </w:pPr>
      <w:r>
        <w:rPr>
          <w:rFonts w:ascii="Arial" w:hAnsi="Arial" w:cs="Arial"/>
          <w:b/>
          <w:bCs/>
          <w:szCs w:val="22"/>
        </w:rPr>
        <w:t xml:space="preserve">I. Úvod: </w:t>
      </w:r>
      <w:r>
        <w:rPr>
          <w:rFonts w:ascii="Arial" w:hAnsi="Arial" w:cs="Arial"/>
          <w:bCs/>
          <w:szCs w:val="22"/>
        </w:rPr>
        <w:t xml:space="preserve">Úrad podpredsedu vlády SR </w:t>
      </w:r>
      <w:r w:rsidRPr="007662BA">
        <w:rPr>
          <w:rFonts w:ascii="Arial" w:hAnsi="Arial" w:cs="Arial"/>
          <w:bCs/>
          <w:szCs w:val="22"/>
        </w:rPr>
        <w:t>pre investície a</w:t>
      </w:r>
      <w:r>
        <w:rPr>
          <w:rFonts w:ascii="Arial" w:hAnsi="Arial" w:cs="Arial"/>
          <w:bCs/>
          <w:szCs w:val="22"/>
        </w:rPr>
        <w:t> </w:t>
      </w:r>
      <w:r w:rsidRPr="007662BA">
        <w:rPr>
          <w:rFonts w:ascii="Arial" w:hAnsi="Arial" w:cs="Arial"/>
          <w:bCs/>
          <w:szCs w:val="22"/>
        </w:rPr>
        <w:t>informatizáciu</w:t>
      </w:r>
      <w:r>
        <w:rPr>
          <w:rFonts w:ascii="Arial" w:hAnsi="Arial" w:cs="Arial"/>
          <w:bCs/>
          <w:szCs w:val="22"/>
        </w:rPr>
        <w:t xml:space="preserve"> dňa 10. mája 2019 predložilo Stálej pracovnej komisii na posudzovanie vybr</w:t>
      </w:r>
      <w:r>
        <w:rPr>
          <w:rFonts w:ascii="Arial" w:hAnsi="Arial" w:cs="Arial"/>
          <w:iCs/>
          <w:szCs w:val="22"/>
        </w:rPr>
        <w:t>aných vplyvov (ďalej len „Komisia“) na predbežné pripomienkové konanie materiál:</w:t>
      </w:r>
      <w:r>
        <w:rPr>
          <w:rFonts w:ascii="Arial" w:hAnsi="Arial" w:cs="Arial"/>
          <w:i/>
          <w:iCs/>
          <w:szCs w:val="22"/>
        </w:rPr>
        <w:t xml:space="preserve"> „</w:t>
      </w:r>
      <w:r w:rsidRPr="007662BA">
        <w:rPr>
          <w:rFonts w:ascii="Arial" w:hAnsi="Arial" w:cs="Arial"/>
          <w:i/>
          <w:iCs/>
          <w:szCs w:val="22"/>
        </w:rPr>
        <w:t>Návrh Akčného plánu digitálnej transformácie Slovenska na roky 2019 – 2022</w:t>
      </w:r>
      <w:r w:rsidRPr="00B82213">
        <w:rPr>
          <w:rFonts w:ascii="Arial" w:hAnsi="Arial" w:cs="Arial"/>
          <w:i/>
          <w:iCs/>
          <w:szCs w:val="22"/>
        </w:rPr>
        <w:t>“</w:t>
      </w:r>
      <w:r>
        <w:rPr>
          <w:rFonts w:ascii="Arial" w:hAnsi="Arial" w:cs="Arial"/>
          <w:iCs/>
          <w:szCs w:val="22"/>
        </w:rPr>
        <w:t xml:space="preserve">, spolu so žiadosťou </w:t>
      </w:r>
      <w:r>
        <w:rPr>
          <w:rFonts w:ascii="Arial" w:hAnsi="Arial" w:cs="Arial"/>
          <w:iCs/>
          <w:szCs w:val="22"/>
        </w:rPr>
        <w:lastRenderedPageBreak/>
        <w:t xml:space="preserve">o skrátenie PPK na 3 pracovné dni; Komisia žiadosti vyhovela. </w:t>
      </w:r>
      <w:r w:rsidRPr="007662BA">
        <w:rPr>
          <w:rFonts w:ascii="Arial" w:hAnsi="Arial" w:cs="Arial"/>
          <w:iCs/>
          <w:szCs w:val="22"/>
        </w:rPr>
        <w:t>Materiál predpokladá negatívne vplyvy na rozpočet verejnej správy, ktoré sú rozpočtovo zabezpečené, pozitívne vplyvy na podnikateľské prostredie, vr</w:t>
      </w:r>
      <w:r>
        <w:rPr>
          <w:rFonts w:ascii="Arial" w:hAnsi="Arial" w:cs="Arial"/>
          <w:iCs/>
          <w:szCs w:val="22"/>
        </w:rPr>
        <w:t>átane pozitívnych vplyvov na malé a stredné podniky</w:t>
      </w:r>
      <w:r w:rsidRPr="007662BA">
        <w:rPr>
          <w:rFonts w:ascii="Arial" w:hAnsi="Arial" w:cs="Arial"/>
          <w:iCs/>
          <w:szCs w:val="22"/>
        </w:rPr>
        <w:t>, pozitívne sociálne vplyvy, pozitívne vplyvy na informatizáciu, pozitívne vplyvy služieb verejnej správy na občana a pozitívne vplyvy na procesy služieb vo verejnej správe.</w:t>
      </w:r>
    </w:p>
    <w:p w14:paraId="61C297AA" w14:textId="77777777" w:rsidR="00F73923" w:rsidRDefault="00F73923" w:rsidP="00F73923">
      <w:pPr>
        <w:jc w:val="both"/>
        <w:rPr>
          <w:rFonts w:ascii="Arial" w:hAnsi="Arial" w:cs="Arial"/>
          <w:b/>
          <w:bCs/>
        </w:rPr>
      </w:pPr>
    </w:p>
    <w:p w14:paraId="01412DED" w14:textId="77777777" w:rsidR="00F73923" w:rsidRDefault="00F73923" w:rsidP="00F73923">
      <w:pPr>
        <w:jc w:val="both"/>
        <w:rPr>
          <w:rFonts w:ascii="Arial" w:hAnsi="Arial" w:cs="Arial"/>
          <w:bCs/>
          <w:szCs w:val="22"/>
        </w:rPr>
      </w:pPr>
      <w:r>
        <w:rPr>
          <w:rFonts w:ascii="Arial" w:hAnsi="Arial" w:cs="Arial"/>
          <w:b/>
          <w:bCs/>
        </w:rPr>
        <w:t>II. P</w:t>
      </w:r>
      <w:r>
        <w:rPr>
          <w:rFonts w:ascii="Arial" w:hAnsi="Arial" w:cs="Arial"/>
          <w:b/>
        </w:rPr>
        <w:t>r</w:t>
      </w:r>
      <w:r>
        <w:rPr>
          <w:rFonts w:ascii="Arial" w:hAnsi="Arial" w:cs="Arial"/>
          <w:b/>
          <w:bCs/>
        </w:rPr>
        <w:t>ipomienky a návrhy zm</w:t>
      </w:r>
      <w:r>
        <w:rPr>
          <w:rFonts w:ascii="Arial" w:hAnsi="Arial" w:cs="Arial"/>
          <w:b/>
        </w:rPr>
        <w:t>ie</w:t>
      </w:r>
      <w:r>
        <w:rPr>
          <w:rFonts w:ascii="Arial" w:hAnsi="Arial" w:cs="Arial"/>
          <w:b/>
          <w:bCs/>
        </w:rPr>
        <w:t xml:space="preserve">n: </w:t>
      </w:r>
      <w:r>
        <w:rPr>
          <w:rFonts w:ascii="Arial" w:hAnsi="Arial" w:cs="Arial"/>
          <w:bCs/>
          <w:szCs w:val="22"/>
        </w:rPr>
        <w:t>Komisia uplatňuje k materiálu nasledovné pripomienky a odporúčania:</w:t>
      </w:r>
    </w:p>
    <w:p w14:paraId="3C8B966B" w14:textId="77777777" w:rsidR="00F73923" w:rsidRDefault="00F73923" w:rsidP="00F73923">
      <w:pPr>
        <w:tabs>
          <w:tab w:val="center" w:pos="6379"/>
        </w:tabs>
        <w:ind w:right="-2"/>
        <w:jc w:val="both"/>
        <w:rPr>
          <w:rFonts w:ascii="Arial" w:hAnsi="Arial" w:cs="Arial"/>
          <w:b/>
          <w:bCs/>
          <w:szCs w:val="22"/>
        </w:rPr>
      </w:pPr>
    </w:p>
    <w:p w14:paraId="52165EFD" w14:textId="77777777" w:rsidR="00F73923" w:rsidRPr="00673C31" w:rsidRDefault="00F73923" w:rsidP="00F73923">
      <w:pPr>
        <w:tabs>
          <w:tab w:val="center" w:pos="6379"/>
        </w:tabs>
        <w:spacing w:after="120"/>
        <w:ind w:right="-2"/>
        <w:jc w:val="both"/>
        <w:rPr>
          <w:rFonts w:ascii="Arial" w:hAnsi="Arial" w:cs="Arial"/>
          <w:bCs/>
          <w:szCs w:val="22"/>
        </w:rPr>
      </w:pPr>
      <w:r w:rsidRPr="00E378EC">
        <w:rPr>
          <w:rFonts w:ascii="Arial" w:hAnsi="Arial" w:cs="Arial"/>
          <w:b/>
          <w:bCs/>
          <w:szCs w:val="22"/>
        </w:rPr>
        <w:t xml:space="preserve">K vplyvom na </w:t>
      </w:r>
      <w:r>
        <w:rPr>
          <w:rFonts w:ascii="Arial" w:hAnsi="Arial" w:cs="Arial"/>
          <w:b/>
          <w:bCs/>
          <w:szCs w:val="22"/>
        </w:rPr>
        <w:t>rozpočet verejnej správy</w:t>
      </w:r>
    </w:p>
    <w:p w14:paraId="3F46E63A" w14:textId="77777777" w:rsidR="00F73923" w:rsidRPr="00E139F7" w:rsidRDefault="00F73923" w:rsidP="00F73923">
      <w:pPr>
        <w:jc w:val="both"/>
        <w:rPr>
          <w:rFonts w:ascii="Arial" w:hAnsi="Arial" w:cs="Arial"/>
          <w:bCs/>
          <w:szCs w:val="22"/>
        </w:rPr>
      </w:pPr>
      <w:r w:rsidRPr="00E139F7">
        <w:rPr>
          <w:rFonts w:ascii="Arial" w:hAnsi="Arial" w:cs="Arial"/>
          <w:bCs/>
          <w:szCs w:val="22"/>
        </w:rPr>
        <w:t>Predkladateľ v doložke vybraných vplyvov uvádza negatívne, rozpočtovo zabezpečené vplyvy na rozpočet verejnej správy. V Analýze vplyvov v tabuľke č. 1 je</w:t>
      </w:r>
      <w:r>
        <w:rPr>
          <w:rFonts w:ascii="Arial" w:hAnsi="Arial" w:cs="Arial"/>
          <w:bCs/>
          <w:szCs w:val="22"/>
        </w:rPr>
        <w:t> </w:t>
      </w:r>
      <w:r w:rsidRPr="00E139F7">
        <w:rPr>
          <w:rFonts w:ascii="Arial" w:hAnsi="Arial" w:cs="Arial"/>
          <w:bCs/>
          <w:szCs w:val="22"/>
        </w:rPr>
        <w:t xml:space="preserve">vplyv na rozpočet verejnej správy uvedený na obdobie (r) až (r+3), pričom nie je uvedené konkrétne obdobie – vzhľadom k obsahu materiálu je predpoklad, že sa jedná o obdobie 2019 </w:t>
      </w:r>
      <w:r>
        <w:rPr>
          <w:rFonts w:ascii="Arial" w:hAnsi="Arial" w:cs="Arial"/>
          <w:bCs/>
          <w:szCs w:val="22"/>
        </w:rPr>
        <w:t>–</w:t>
      </w:r>
      <w:r w:rsidRPr="00E139F7">
        <w:rPr>
          <w:rFonts w:ascii="Arial" w:hAnsi="Arial" w:cs="Arial"/>
          <w:bCs/>
          <w:szCs w:val="22"/>
        </w:rPr>
        <w:t xml:space="preserve"> 2022. Zároveň sú v analýze uvedené výdavky aj ako rozpočtovo zabezpečené aj ako rozpočtovo nekryté. Uvedené</w:t>
      </w:r>
      <w:r>
        <w:rPr>
          <w:rFonts w:ascii="Arial" w:hAnsi="Arial" w:cs="Arial"/>
          <w:bCs/>
          <w:szCs w:val="22"/>
        </w:rPr>
        <w:t xml:space="preserve"> Komisia žiada</w:t>
      </w:r>
      <w:r w:rsidRPr="00E139F7">
        <w:rPr>
          <w:rFonts w:ascii="Arial" w:hAnsi="Arial" w:cs="Arial"/>
          <w:bCs/>
          <w:szCs w:val="22"/>
        </w:rPr>
        <w:t xml:space="preserve"> upraviť a zosúladiť.</w:t>
      </w:r>
    </w:p>
    <w:p w14:paraId="1DFB2281" w14:textId="77777777" w:rsidR="00F73923" w:rsidRPr="00E139F7" w:rsidRDefault="00F73923" w:rsidP="00F73923">
      <w:pPr>
        <w:jc w:val="both"/>
        <w:rPr>
          <w:rFonts w:ascii="Arial" w:hAnsi="Arial" w:cs="Arial"/>
          <w:bCs/>
          <w:szCs w:val="22"/>
        </w:rPr>
      </w:pPr>
    </w:p>
    <w:p w14:paraId="466763C3" w14:textId="77777777" w:rsidR="00F73923" w:rsidRPr="00E139F7" w:rsidRDefault="00F73923" w:rsidP="00F73923">
      <w:pPr>
        <w:jc w:val="both"/>
        <w:rPr>
          <w:rFonts w:ascii="Arial" w:hAnsi="Arial" w:cs="Arial"/>
          <w:bCs/>
          <w:szCs w:val="22"/>
        </w:rPr>
      </w:pPr>
      <w:r w:rsidRPr="00E139F7">
        <w:rPr>
          <w:rFonts w:ascii="Arial" w:hAnsi="Arial" w:cs="Arial"/>
          <w:bCs/>
          <w:szCs w:val="22"/>
        </w:rPr>
        <w:t>Celkový dopad uvedený v tabuľke č. 1 analýzy vplyvov je na obdobie (r) v sume 14,7</w:t>
      </w:r>
      <w:r>
        <w:rPr>
          <w:rFonts w:ascii="Arial" w:hAnsi="Arial" w:cs="Arial"/>
          <w:bCs/>
          <w:szCs w:val="22"/>
        </w:rPr>
        <w:t> </w:t>
      </w:r>
      <w:r w:rsidRPr="00E139F7">
        <w:rPr>
          <w:rFonts w:ascii="Arial" w:hAnsi="Arial" w:cs="Arial"/>
          <w:bCs/>
          <w:szCs w:val="22"/>
        </w:rPr>
        <w:t>mil. eur, na obdobie (r+1) v sume 155,1 mil. eur, na obdobie (r+2) v sume 118,3</w:t>
      </w:r>
      <w:r>
        <w:rPr>
          <w:rFonts w:ascii="Arial" w:hAnsi="Arial" w:cs="Arial"/>
          <w:bCs/>
          <w:szCs w:val="22"/>
        </w:rPr>
        <w:t> </w:t>
      </w:r>
      <w:r w:rsidRPr="00E139F7">
        <w:rPr>
          <w:rFonts w:ascii="Arial" w:hAnsi="Arial" w:cs="Arial"/>
          <w:bCs/>
          <w:szCs w:val="22"/>
        </w:rPr>
        <w:t xml:space="preserve">mil. eur a na obdobie (r+3) v sume 22,0 mil. eur. V riadku financovanie zabezpečené v rozpočte sú uvedené celkové sumy výdavkov verejnej správy, avšak časť výdavkov je uvedených ako rozpočtovo nekrytý vplyv. Z uvedeného nie je možné posúdiť, aký celkový vplyv na verejnú správu predkladateľ predpokladá. </w:t>
      </w:r>
      <w:r>
        <w:rPr>
          <w:rFonts w:ascii="Arial" w:hAnsi="Arial" w:cs="Arial"/>
          <w:bCs/>
          <w:szCs w:val="22"/>
        </w:rPr>
        <w:t>Komisia žiada</w:t>
      </w:r>
      <w:r w:rsidRPr="00E139F7">
        <w:rPr>
          <w:rFonts w:ascii="Arial" w:hAnsi="Arial" w:cs="Arial"/>
          <w:bCs/>
          <w:szCs w:val="22"/>
        </w:rPr>
        <w:t xml:space="preserve">, aby predkladateľ analýzu vplyvov na rozpočet verejnej správy prepracoval a uviedol kvantifikáciu dopadov v členení podľa jednotlivých rokov, dotknutých kapitol štátneho rozpočtu, resp. subjektov verejnej správy a podľa zdrojov, t. j. prostriedky štátneho rozpočtu, EÚ zdroje  a spolufinancovanie. </w:t>
      </w:r>
      <w:r>
        <w:rPr>
          <w:rFonts w:ascii="Arial" w:hAnsi="Arial" w:cs="Arial"/>
          <w:bCs/>
          <w:szCs w:val="22"/>
        </w:rPr>
        <w:t>Komisia upozorňuje</w:t>
      </w:r>
      <w:r w:rsidRPr="00E139F7">
        <w:rPr>
          <w:rFonts w:ascii="Arial" w:hAnsi="Arial" w:cs="Arial"/>
          <w:bCs/>
          <w:szCs w:val="22"/>
        </w:rPr>
        <w:t>, že v prípade EÚ zdrojov a spolufinancovania k EÚ zdrojom je potrebné uviesť výdavky v kapitole, v ktorej sa nachádza platobná jednotka operačného programu, z ktorého sa bude akčný plán realizovať. V súhrnnej tabuľke č. 1 má byť zohľadnený vplyv na výdavky jednotlivých kapitol, resp. subjektov na základe podrobnejších údajov z tabuliek č. 4 a 5, tabuľky č. 4 a 5 však nie sú  vypracované vôbec.</w:t>
      </w:r>
    </w:p>
    <w:p w14:paraId="076B12D3" w14:textId="77777777" w:rsidR="00F73923" w:rsidRPr="00E139F7" w:rsidRDefault="00F73923" w:rsidP="00F73923">
      <w:pPr>
        <w:jc w:val="both"/>
        <w:rPr>
          <w:rFonts w:ascii="Arial" w:hAnsi="Arial" w:cs="Arial"/>
          <w:bCs/>
          <w:szCs w:val="22"/>
        </w:rPr>
      </w:pPr>
    </w:p>
    <w:p w14:paraId="31BDDA1B" w14:textId="77777777" w:rsidR="00F73923" w:rsidRPr="00E139F7" w:rsidRDefault="00F73923" w:rsidP="00F73923">
      <w:pPr>
        <w:jc w:val="both"/>
        <w:rPr>
          <w:rFonts w:ascii="Arial" w:hAnsi="Arial" w:cs="Arial"/>
          <w:bCs/>
          <w:szCs w:val="22"/>
        </w:rPr>
      </w:pPr>
      <w:r w:rsidRPr="00E139F7">
        <w:rPr>
          <w:rFonts w:ascii="Arial" w:hAnsi="Arial" w:cs="Arial"/>
          <w:bCs/>
          <w:szCs w:val="22"/>
        </w:rPr>
        <w:t xml:space="preserve">V analýze vplyvov predloženého návrhu materiálu sa v bode 2.1.1. uvádza, že materiál bude mať negatívny vplyv na rozpočet verejnej správy, ktorý bude čiastočne rozpočtovo zabezpečený a jednotlivé rezorty budú opatrenia hradiť z rozpočtových prostriedkov už alokovaných, z európskych a štrukturálnych fondov a zároveň je uvedené, že rezorty si potrebné finančné prostriedky budú nárokovať aj pri príprave rozpočtu na roky 2020 až 2022. V nadväznosti na uvedené je potrebné v takomto členení uviesť aj príslušné výdavky. </w:t>
      </w:r>
    </w:p>
    <w:p w14:paraId="5B651327" w14:textId="77777777" w:rsidR="00F73923" w:rsidRPr="00E139F7" w:rsidRDefault="00F73923" w:rsidP="00F73923">
      <w:pPr>
        <w:jc w:val="both"/>
        <w:rPr>
          <w:rFonts w:ascii="Arial" w:hAnsi="Arial" w:cs="Arial"/>
          <w:bCs/>
          <w:szCs w:val="22"/>
        </w:rPr>
      </w:pPr>
    </w:p>
    <w:p w14:paraId="4F9C94BC" w14:textId="77777777" w:rsidR="00F73923" w:rsidRPr="00E139F7" w:rsidRDefault="00F73923" w:rsidP="00F73923">
      <w:pPr>
        <w:jc w:val="both"/>
        <w:rPr>
          <w:rFonts w:ascii="Arial" w:hAnsi="Arial" w:cs="Arial"/>
          <w:bCs/>
          <w:szCs w:val="22"/>
        </w:rPr>
      </w:pPr>
      <w:r w:rsidRPr="00E139F7">
        <w:rPr>
          <w:rFonts w:ascii="Arial" w:hAnsi="Arial" w:cs="Arial"/>
          <w:bCs/>
          <w:szCs w:val="22"/>
        </w:rPr>
        <w:t xml:space="preserve">V tab. č. 1 predloženého návrhu je v rámci výdavkov </w:t>
      </w:r>
      <w:proofErr w:type="spellStart"/>
      <w:r w:rsidRPr="00E139F7">
        <w:rPr>
          <w:rFonts w:ascii="Arial" w:hAnsi="Arial" w:cs="Arial"/>
          <w:bCs/>
          <w:szCs w:val="22"/>
        </w:rPr>
        <w:t>vykvantifikovaný</w:t>
      </w:r>
      <w:proofErr w:type="spellEnd"/>
      <w:r w:rsidRPr="00E139F7">
        <w:rPr>
          <w:rFonts w:ascii="Arial" w:hAnsi="Arial" w:cs="Arial"/>
          <w:bCs/>
          <w:szCs w:val="22"/>
        </w:rPr>
        <w:t xml:space="preserve"> aj vplyv na mzdy v sume 252 518 eur a zamestnancov v počte 12 osôb na rok r a v sume 505</w:t>
      </w:r>
      <w:r>
        <w:rPr>
          <w:rFonts w:ascii="Arial" w:hAnsi="Arial" w:cs="Arial"/>
          <w:bCs/>
          <w:szCs w:val="22"/>
        </w:rPr>
        <w:t> </w:t>
      </w:r>
      <w:r w:rsidRPr="00E139F7">
        <w:rPr>
          <w:rFonts w:ascii="Arial" w:hAnsi="Arial" w:cs="Arial"/>
          <w:bCs/>
          <w:szCs w:val="22"/>
        </w:rPr>
        <w:t xml:space="preserve">036 eur a zamestnancov v počte 24 osôb na ďalšie roky bez bližšej špecifikácie požadovaných pracovných pozícií, resp. ktorých kapitol štátneho rozpočtu sa požiadavky dotýkajú. Tento vplyv je uvedený ako rozpočtovo nekrytý. Uvedenú požiadavku </w:t>
      </w:r>
      <w:r>
        <w:rPr>
          <w:rFonts w:ascii="Arial" w:hAnsi="Arial" w:cs="Arial"/>
          <w:bCs/>
          <w:szCs w:val="22"/>
        </w:rPr>
        <w:t>Komisia žiada</w:t>
      </w:r>
      <w:r w:rsidRPr="00E139F7">
        <w:rPr>
          <w:rFonts w:ascii="Arial" w:hAnsi="Arial" w:cs="Arial"/>
          <w:bCs/>
          <w:szCs w:val="22"/>
        </w:rPr>
        <w:t xml:space="preserve"> zabezpečiť v rámci schváleného limitu počtu zamestnancov a výdavkov na rok 2019, resp. v rámci návrhu rozpočtu verejnej správy na roky 2020 až 2022, a to predovšetkým z finančných prostriedkov európskych a štrukturálnych fondov.</w:t>
      </w:r>
    </w:p>
    <w:p w14:paraId="4502DAC5" w14:textId="77777777" w:rsidR="00F73923" w:rsidRDefault="00F73923" w:rsidP="00F73923">
      <w:pPr>
        <w:jc w:val="both"/>
        <w:rPr>
          <w:rFonts w:ascii="Arial" w:hAnsi="Arial" w:cs="Arial"/>
          <w:bCs/>
          <w:szCs w:val="22"/>
        </w:rPr>
      </w:pPr>
    </w:p>
    <w:p w14:paraId="198F95AE" w14:textId="77777777" w:rsidR="00F73923" w:rsidRPr="00E139F7" w:rsidRDefault="00F73923" w:rsidP="00F73923">
      <w:pPr>
        <w:jc w:val="both"/>
        <w:rPr>
          <w:rFonts w:ascii="Arial" w:hAnsi="Arial" w:cs="Arial"/>
          <w:bCs/>
          <w:szCs w:val="22"/>
        </w:rPr>
      </w:pPr>
      <w:r w:rsidRPr="00E139F7">
        <w:rPr>
          <w:rFonts w:ascii="Arial" w:hAnsi="Arial" w:cs="Arial"/>
          <w:bCs/>
          <w:szCs w:val="22"/>
        </w:rPr>
        <w:t>Predkladateľ návrhu materiálu uvádza, že konkrétna analýza vplyvov na rozpočet verejnej správy bude súčasťou dokumentov predkladaných na rokovanie vlády SR zo strany gestorov jednotlivých opatrení. V analýze vplyvov ani iných podkladoch nie je uvedené, ako bol kvantifikovaný negatívny dopad na rozpočet v celkovej výške 310</w:t>
      </w:r>
      <w:r>
        <w:rPr>
          <w:rFonts w:ascii="Arial" w:hAnsi="Arial" w:cs="Arial"/>
          <w:bCs/>
          <w:szCs w:val="22"/>
        </w:rPr>
        <w:t> </w:t>
      </w:r>
      <w:r w:rsidRPr="00E139F7">
        <w:rPr>
          <w:rFonts w:ascii="Arial" w:hAnsi="Arial" w:cs="Arial"/>
          <w:bCs/>
          <w:szCs w:val="22"/>
        </w:rPr>
        <w:t xml:space="preserve">mil. eur (z toho 1,8 mil. eur nekrytý vplyv). V bode 2.1.1 sú podrobnejšie uvedené len zdroje pre národné projekty EŠIF v celkovej hodnote 49,5 mil. eur. </w:t>
      </w:r>
      <w:r>
        <w:rPr>
          <w:rFonts w:ascii="Arial" w:hAnsi="Arial" w:cs="Arial"/>
          <w:bCs/>
          <w:szCs w:val="22"/>
        </w:rPr>
        <w:t>Komisia preto žiada</w:t>
      </w:r>
      <w:r w:rsidRPr="00E139F7">
        <w:rPr>
          <w:rFonts w:ascii="Arial" w:hAnsi="Arial" w:cs="Arial"/>
          <w:bCs/>
          <w:szCs w:val="22"/>
        </w:rPr>
        <w:t xml:space="preserve"> vyčísliť konkrétne dopady jednotlivých opatrení na rozpočet verejnej správy, metodiku, podľa ktorej boli dopady kvantifikované a zdroje ich financovania. Z informácií uvedených v analýze nie je možné overiť odhadovanú výšku dopadu opatrení na rozpočet verejnej správy. Vzhľadom na predpokladanú výšku nákladov 310 mil. eur </w:t>
      </w:r>
      <w:r>
        <w:rPr>
          <w:rFonts w:ascii="Arial" w:hAnsi="Arial" w:cs="Arial"/>
          <w:bCs/>
          <w:szCs w:val="22"/>
        </w:rPr>
        <w:t>Komisia považuje</w:t>
      </w:r>
      <w:r w:rsidRPr="00E139F7">
        <w:rPr>
          <w:rFonts w:ascii="Arial" w:hAnsi="Arial" w:cs="Arial"/>
          <w:bCs/>
          <w:szCs w:val="22"/>
        </w:rPr>
        <w:t xml:space="preserve"> za potrebné, aby boli pred schválením materiálu známe dopady jednotlivých opatrení na rozpočet a konkrétne zdroje ich financovania. Uvažované expertné odhady je potrebné zverejniť už vo fáze pripomienkovania akčného plánu, keďže pre konštruktívnu diskusiu a posúdenie požiadaviek je potrebné disponovať informáciami o finančných nárokoch každého opatrenia osobitne. </w:t>
      </w:r>
    </w:p>
    <w:p w14:paraId="346DED15" w14:textId="77777777" w:rsidR="00F73923" w:rsidRPr="00E139F7" w:rsidRDefault="00F73923" w:rsidP="00F73923">
      <w:pPr>
        <w:jc w:val="both"/>
        <w:rPr>
          <w:rFonts w:ascii="Arial" w:hAnsi="Arial" w:cs="Arial"/>
          <w:bCs/>
          <w:szCs w:val="22"/>
        </w:rPr>
      </w:pPr>
    </w:p>
    <w:p w14:paraId="782D134B" w14:textId="77777777" w:rsidR="00F73923" w:rsidRPr="00E139F7" w:rsidRDefault="00F73923" w:rsidP="00F73923">
      <w:pPr>
        <w:jc w:val="both"/>
        <w:rPr>
          <w:rFonts w:ascii="Arial" w:hAnsi="Arial" w:cs="Arial"/>
          <w:bCs/>
          <w:szCs w:val="22"/>
        </w:rPr>
      </w:pPr>
      <w:r w:rsidRPr="00E139F7">
        <w:rPr>
          <w:rFonts w:ascii="Arial" w:hAnsi="Arial" w:cs="Arial"/>
          <w:bCs/>
          <w:szCs w:val="22"/>
        </w:rPr>
        <w:t xml:space="preserve">Plnenie všetkých úloh v oblasti digitálnej transformácie Slovenska na roky 2019 až 2022 a zabezpečenie všetkých opatrení v kapitolách štátneho rozpočtu na roky 2019 až 2022 </w:t>
      </w:r>
      <w:r>
        <w:rPr>
          <w:rFonts w:ascii="Arial" w:hAnsi="Arial" w:cs="Arial"/>
          <w:bCs/>
          <w:szCs w:val="22"/>
        </w:rPr>
        <w:t>Komisia žiada</w:t>
      </w:r>
      <w:r w:rsidRPr="00E139F7">
        <w:rPr>
          <w:rFonts w:ascii="Arial" w:hAnsi="Arial" w:cs="Arial"/>
          <w:bCs/>
          <w:szCs w:val="22"/>
        </w:rPr>
        <w:t xml:space="preserve"> realizovať v rámci schválených limitov rozpočtu verejnej správy na roky 2019 až 2021, resp. v rámci Návrhu rozpočtu verejnej správy na roky 2020 až 2022, a to predovšetkým z finančných prostriedkov európskych štrukturálnych a investičných fondov. </w:t>
      </w:r>
    </w:p>
    <w:p w14:paraId="744A2E30" w14:textId="77777777" w:rsidR="00F73923" w:rsidRPr="00E139F7" w:rsidRDefault="00F73923" w:rsidP="00F73923">
      <w:pPr>
        <w:jc w:val="both"/>
        <w:rPr>
          <w:rFonts w:ascii="Arial" w:hAnsi="Arial" w:cs="Arial"/>
          <w:bCs/>
          <w:szCs w:val="22"/>
        </w:rPr>
      </w:pPr>
    </w:p>
    <w:p w14:paraId="5CDAD0B6" w14:textId="77777777" w:rsidR="00F73923" w:rsidRDefault="00F73923" w:rsidP="00F73923">
      <w:pPr>
        <w:jc w:val="both"/>
        <w:rPr>
          <w:rFonts w:ascii="Arial" w:hAnsi="Arial" w:cs="Arial"/>
          <w:bCs/>
          <w:szCs w:val="22"/>
        </w:rPr>
      </w:pPr>
      <w:r w:rsidRPr="00E139F7">
        <w:rPr>
          <w:rFonts w:ascii="Arial" w:hAnsi="Arial" w:cs="Arial"/>
          <w:bCs/>
          <w:szCs w:val="22"/>
        </w:rPr>
        <w:t xml:space="preserve">V predloženom materiáli je jedným z navrhovaných opatrení aj podpora vzniku a aktivít národného kompetenčného a koordinačného centra pre kybernetickú bezpečnosť. Z návrhu nie je zrejmé, či tento Akčný plán zahŕňa aj vznik centier na zabezpečenie kybernetickej bezpečnosti pre jednotlivé špecifické sektory v rezortoch. </w:t>
      </w:r>
      <w:r>
        <w:rPr>
          <w:rFonts w:ascii="Arial" w:hAnsi="Arial" w:cs="Arial"/>
          <w:bCs/>
          <w:szCs w:val="22"/>
        </w:rPr>
        <w:t>Komisia upozorňuje</w:t>
      </w:r>
      <w:r w:rsidRPr="00E139F7">
        <w:rPr>
          <w:rFonts w:ascii="Arial" w:hAnsi="Arial" w:cs="Arial"/>
          <w:bCs/>
          <w:szCs w:val="22"/>
        </w:rPr>
        <w:t xml:space="preserve"> predkladateľa, že v doložke k zákonu o kybernetickej bezpečnosti je exaktne uvedené, že financovanie kapitálových výdavkov vyplývajúcich z návrhu zákona (ako napríklad sieť jednotiek CSIRT) bude zabezpečené zo zdrojov európskych štrukturálnych a investičných fondov v programovom období 2014 – 2020, a to z Operačného programu Integrovaná infraštruktúra v rámci prioritnej osi č. 7 „Informačná spoločnosť“ špecifický cieľ 7.9 Zabezpečenie komplexnej kybernetickej bezpečnosti v spoločnosti.</w:t>
      </w:r>
    </w:p>
    <w:p w14:paraId="5185B7E6" w14:textId="77777777" w:rsidR="00F73923" w:rsidRDefault="00F73923" w:rsidP="00F73923">
      <w:pPr>
        <w:jc w:val="both"/>
        <w:rPr>
          <w:rFonts w:ascii="Arial" w:hAnsi="Arial" w:cs="Arial"/>
          <w:bCs/>
          <w:szCs w:val="22"/>
        </w:rPr>
      </w:pPr>
    </w:p>
    <w:p w14:paraId="11ECCDF8" w14:textId="77777777" w:rsidR="00F73923" w:rsidRPr="00F41446" w:rsidRDefault="00F73923" w:rsidP="00F73923">
      <w:pPr>
        <w:spacing w:after="120"/>
        <w:jc w:val="both"/>
        <w:rPr>
          <w:rFonts w:ascii="Arial" w:hAnsi="Arial" w:cs="Arial"/>
          <w:b/>
          <w:bCs/>
          <w:szCs w:val="22"/>
        </w:rPr>
      </w:pPr>
      <w:r w:rsidRPr="003B32C1">
        <w:rPr>
          <w:rFonts w:ascii="Arial" w:hAnsi="Arial" w:cs="Arial"/>
          <w:b/>
          <w:bCs/>
          <w:szCs w:val="22"/>
        </w:rPr>
        <w:t xml:space="preserve">K sociálnym </w:t>
      </w:r>
      <w:r>
        <w:rPr>
          <w:rFonts w:ascii="Arial" w:hAnsi="Arial" w:cs="Arial"/>
          <w:b/>
          <w:bCs/>
          <w:szCs w:val="22"/>
        </w:rPr>
        <w:t>vplyvom</w:t>
      </w:r>
    </w:p>
    <w:p w14:paraId="44A66DA6" w14:textId="77777777" w:rsidR="00F73923" w:rsidRPr="00F41446" w:rsidRDefault="00F73923" w:rsidP="00F73923">
      <w:pPr>
        <w:jc w:val="both"/>
        <w:rPr>
          <w:rFonts w:ascii="Arial" w:hAnsi="Arial" w:cs="Arial"/>
          <w:bCs/>
          <w:szCs w:val="22"/>
        </w:rPr>
      </w:pPr>
      <w:r w:rsidRPr="00F41446">
        <w:rPr>
          <w:rFonts w:ascii="Arial" w:hAnsi="Arial" w:cs="Arial"/>
          <w:bCs/>
          <w:szCs w:val="22"/>
        </w:rPr>
        <w:t xml:space="preserve">Z údajov uvádzaných predkladateľom okrem iného vyplýva, že prijatím materiálu „môže dôjsť k negatívnym vplyvom na hospodárenie domácností“, a taktiež, že „automatizácia a robotizácia spôsobia zrušenie niektorých súčasných pracovných miest“. Z daného vyplýva, že materiál predpokladá aj existenciu negatívnych sociálnych vplyvov, čo však nekorešponduje s údajmi uvádzanými v doložke vybraných vplyvov, kde sú označené iba pozitívne sociálne vplyvy. Preto </w:t>
      </w:r>
      <w:r>
        <w:rPr>
          <w:rFonts w:ascii="Arial" w:hAnsi="Arial" w:cs="Arial"/>
          <w:bCs/>
          <w:szCs w:val="22"/>
        </w:rPr>
        <w:t>Komisia žiada</w:t>
      </w:r>
      <w:r w:rsidRPr="00F41446">
        <w:rPr>
          <w:rFonts w:ascii="Arial" w:hAnsi="Arial" w:cs="Arial"/>
          <w:bCs/>
          <w:szCs w:val="22"/>
        </w:rPr>
        <w:t xml:space="preserve"> túto diskrepanciu odstrániť a v bode 9. Vplyvy navrhovaného materiálu doložky vybraných vplyvov uviesť nielen pozitívne sociálne vplyvy, ale aj negatívne sociálne vplyvy.  </w:t>
      </w:r>
    </w:p>
    <w:p w14:paraId="3FC948E1" w14:textId="77777777" w:rsidR="00F73923" w:rsidRPr="00F41446" w:rsidRDefault="00F73923" w:rsidP="00F73923">
      <w:pPr>
        <w:jc w:val="both"/>
        <w:rPr>
          <w:rFonts w:ascii="Arial" w:hAnsi="Arial" w:cs="Arial"/>
          <w:b/>
          <w:bCs/>
          <w:szCs w:val="22"/>
        </w:rPr>
      </w:pPr>
    </w:p>
    <w:p w14:paraId="27FDB5D5" w14:textId="77777777" w:rsidR="00F73923" w:rsidRDefault="00F73923" w:rsidP="00F73923">
      <w:pPr>
        <w:jc w:val="both"/>
        <w:rPr>
          <w:rFonts w:ascii="Arial" w:hAnsi="Arial" w:cs="Arial"/>
          <w:bCs/>
          <w:szCs w:val="22"/>
        </w:rPr>
      </w:pPr>
      <w:r w:rsidRPr="00F41446">
        <w:rPr>
          <w:rFonts w:ascii="Arial" w:hAnsi="Arial" w:cs="Arial"/>
          <w:bCs/>
          <w:szCs w:val="22"/>
        </w:rPr>
        <w:t>V bode 10. Poznámky doložky vybraných vplyvov sám predkladateľ konštatuje, že</w:t>
      </w:r>
      <w:r>
        <w:rPr>
          <w:rFonts w:ascii="Arial" w:hAnsi="Arial" w:cs="Arial"/>
          <w:bCs/>
          <w:szCs w:val="22"/>
        </w:rPr>
        <w:t> </w:t>
      </w:r>
      <w:r w:rsidRPr="00F41446">
        <w:rPr>
          <w:rFonts w:ascii="Arial" w:hAnsi="Arial" w:cs="Arial"/>
          <w:bCs/>
          <w:szCs w:val="22"/>
        </w:rPr>
        <w:t xml:space="preserve">predložený materiál predpokladá okrem iného, realizáciu opatrenia zameraného na zvýšenie podielu žien v IT a digitálnom sektore a na odstránenie rodových stereotypov </w:t>
      </w:r>
      <w:r w:rsidRPr="00F41446">
        <w:rPr>
          <w:rFonts w:ascii="Arial" w:hAnsi="Arial" w:cs="Arial"/>
          <w:bCs/>
          <w:szCs w:val="22"/>
        </w:rPr>
        <w:lastRenderedPageBreak/>
        <w:t>a že ide o pozitívny sociálny vplyv. Predmetné opatrenie je preto potrebné zhodnotiť aj v bode 4.3 analýzy sociálnych vplyvov -</w:t>
      </w:r>
      <w:r w:rsidRPr="00F41446">
        <w:rPr>
          <w:rFonts w:ascii="Arial" w:hAnsi="Arial" w:cs="Arial"/>
          <w:b/>
          <w:bCs/>
          <w:szCs w:val="22"/>
        </w:rPr>
        <w:t xml:space="preserve"> </w:t>
      </w:r>
      <w:r w:rsidRPr="00F41446">
        <w:rPr>
          <w:rFonts w:ascii="Arial" w:hAnsi="Arial" w:cs="Arial"/>
          <w:bCs/>
          <w:szCs w:val="22"/>
        </w:rPr>
        <w:t>vplyv na rovnosť príležitostí, kde daná skutočnosť momentálne absentuje.</w:t>
      </w:r>
    </w:p>
    <w:p w14:paraId="4B357AE7" w14:textId="77777777" w:rsidR="00F73923" w:rsidRDefault="00F73923" w:rsidP="00F73923">
      <w:pPr>
        <w:jc w:val="both"/>
        <w:rPr>
          <w:rFonts w:ascii="Arial" w:hAnsi="Arial" w:cs="Arial"/>
          <w:bCs/>
          <w:szCs w:val="22"/>
        </w:rPr>
      </w:pPr>
    </w:p>
    <w:p w14:paraId="5DB8D78B" w14:textId="77777777" w:rsidR="00F73923" w:rsidRPr="003B32C1" w:rsidRDefault="00F73923" w:rsidP="00F73923">
      <w:pPr>
        <w:spacing w:after="120"/>
        <w:jc w:val="both"/>
        <w:rPr>
          <w:rFonts w:ascii="Arial" w:hAnsi="Arial" w:cs="Arial"/>
          <w:b/>
          <w:bCs/>
          <w:szCs w:val="22"/>
        </w:rPr>
      </w:pPr>
      <w:r w:rsidRPr="003B32C1">
        <w:rPr>
          <w:rFonts w:ascii="Arial" w:hAnsi="Arial" w:cs="Arial"/>
          <w:b/>
          <w:bCs/>
          <w:szCs w:val="22"/>
        </w:rPr>
        <w:t xml:space="preserve">K vplyvom </w:t>
      </w:r>
      <w:r w:rsidRPr="00284167">
        <w:rPr>
          <w:rFonts w:ascii="Arial" w:hAnsi="Arial" w:cs="Arial"/>
          <w:b/>
          <w:bCs/>
          <w:szCs w:val="22"/>
        </w:rPr>
        <w:t>na služby verejnej správy pre občana</w:t>
      </w:r>
      <w:r>
        <w:rPr>
          <w:rFonts w:ascii="Arial" w:hAnsi="Arial" w:cs="Arial"/>
          <w:b/>
          <w:bCs/>
          <w:szCs w:val="22"/>
        </w:rPr>
        <w:t xml:space="preserve"> a </w:t>
      </w:r>
      <w:r w:rsidRPr="005A3730">
        <w:rPr>
          <w:rFonts w:ascii="Arial" w:hAnsi="Arial" w:cs="Arial"/>
          <w:b/>
          <w:bCs/>
          <w:szCs w:val="22"/>
        </w:rPr>
        <w:t>vplyvy na procesy služieb vo verejnej správe</w:t>
      </w:r>
    </w:p>
    <w:p w14:paraId="1731D15B" w14:textId="77777777" w:rsidR="00F73923" w:rsidRPr="00F41446" w:rsidRDefault="00F73923" w:rsidP="00F73923">
      <w:pPr>
        <w:jc w:val="both"/>
        <w:rPr>
          <w:rFonts w:ascii="Arial" w:hAnsi="Arial" w:cs="Arial"/>
          <w:bCs/>
        </w:rPr>
      </w:pPr>
      <w:r>
        <w:rPr>
          <w:rFonts w:ascii="Arial" w:hAnsi="Arial" w:cs="Arial"/>
          <w:bCs/>
        </w:rPr>
        <w:t>Komisia navrhuje</w:t>
      </w:r>
      <w:r w:rsidRPr="003B32C1">
        <w:rPr>
          <w:rFonts w:ascii="Arial" w:hAnsi="Arial" w:cs="Arial"/>
          <w:bCs/>
        </w:rPr>
        <w:t xml:space="preserve"> vyznačiť</w:t>
      </w:r>
      <w:r>
        <w:rPr>
          <w:rFonts w:ascii="Arial" w:hAnsi="Arial" w:cs="Arial"/>
          <w:bCs/>
        </w:rPr>
        <w:t xml:space="preserve"> v doložke vybraných vplyvov aj</w:t>
      </w:r>
      <w:r w:rsidRPr="003B32C1">
        <w:rPr>
          <w:rFonts w:ascii="Arial" w:hAnsi="Arial" w:cs="Arial"/>
          <w:bCs/>
        </w:rPr>
        <w:t xml:space="preserve"> negatívny vplyv na procesy služieb vo verejnej správe z dôvodu vzniku nových povinn</w:t>
      </w:r>
      <w:r>
        <w:rPr>
          <w:rFonts w:ascii="Arial" w:hAnsi="Arial" w:cs="Arial"/>
          <w:bCs/>
        </w:rPr>
        <w:t>ostí pre orgány verejnej moci (p</w:t>
      </w:r>
      <w:r w:rsidRPr="003B32C1">
        <w:rPr>
          <w:rFonts w:ascii="Arial" w:hAnsi="Arial" w:cs="Arial"/>
          <w:bCs/>
        </w:rPr>
        <w:t>ovinné osoby sa budú musieť integrovať s rozšíreným riešením pre správu osobných údajov a poskytovať dáta, ktoré o občanoch evidujú).</w:t>
      </w:r>
    </w:p>
    <w:p w14:paraId="6D394C13" w14:textId="77777777" w:rsidR="00F73923" w:rsidRDefault="00F73923" w:rsidP="00F73923">
      <w:pPr>
        <w:jc w:val="both"/>
        <w:rPr>
          <w:rFonts w:ascii="Arial" w:hAnsi="Arial" w:cs="Arial"/>
          <w:b/>
          <w:bCs/>
        </w:rPr>
      </w:pPr>
    </w:p>
    <w:p w14:paraId="4A2861B3" w14:textId="77777777" w:rsidR="00F73923" w:rsidRDefault="00F73923" w:rsidP="00F73923">
      <w:pPr>
        <w:jc w:val="both"/>
        <w:rPr>
          <w:rFonts w:ascii="Arial" w:hAnsi="Arial" w:cs="Arial"/>
          <w:bCs/>
        </w:rPr>
      </w:pPr>
      <w:r>
        <w:rPr>
          <w:rFonts w:ascii="Arial" w:hAnsi="Arial" w:cs="Arial"/>
          <w:b/>
          <w:bCs/>
        </w:rPr>
        <w:t xml:space="preserve">III. Záver: </w:t>
      </w:r>
      <w:r>
        <w:rPr>
          <w:rFonts w:ascii="Arial" w:hAnsi="Arial" w:cs="Arial"/>
          <w:bCs/>
        </w:rPr>
        <w:t xml:space="preserve">Stála pracovná komisia na posudzovanie vybraných vplyvov vyjadruje </w:t>
      </w:r>
    </w:p>
    <w:p w14:paraId="0A38DFFB" w14:textId="77777777" w:rsidR="00F73923" w:rsidRDefault="00F73923" w:rsidP="00F73923">
      <w:pPr>
        <w:tabs>
          <w:tab w:val="center" w:pos="6379"/>
        </w:tabs>
        <w:ind w:right="-2"/>
        <w:jc w:val="both"/>
        <w:rPr>
          <w:rFonts w:ascii="Arial" w:hAnsi="Arial" w:cs="Arial"/>
          <w:bCs/>
        </w:rPr>
      </w:pPr>
    </w:p>
    <w:p w14:paraId="42F54C64" w14:textId="77777777" w:rsidR="00F73923" w:rsidRDefault="00F73923" w:rsidP="00F73923">
      <w:pPr>
        <w:tabs>
          <w:tab w:val="center" w:pos="6379"/>
        </w:tabs>
        <w:ind w:right="-2"/>
        <w:jc w:val="both"/>
        <w:rPr>
          <w:rFonts w:ascii="Arial" w:hAnsi="Arial" w:cs="Arial"/>
          <w:bCs/>
        </w:rPr>
      </w:pPr>
    </w:p>
    <w:p w14:paraId="5780789C" w14:textId="77777777" w:rsidR="00F73923" w:rsidRDefault="00F73923" w:rsidP="00F73923">
      <w:pPr>
        <w:tabs>
          <w:tab w:val="center" w:pos="6379"/>
        </w:tabs>
        <w:jc w:val="center"/>
        <w:rPr>
          <w:rFonts w:ascii="Arial" w:hAnsi="Arial" w:cs="Arial"/>
          <w:bCs/>
          <w:szCs w:val="22"/>
        </w:rPr>
      </w:pPr>
      <w:r>
        <w:rPr>
          <w:rFonts w:ascii="Arial" w:hAnsi="Arial" w:cs="Arial"/>
          <w:b/>
          <w:bCs/>
          <w:szCs w:val="22"/>
        </w:rPr>
        <w:t>nesúhlasné stanovisko</w:t>
      </w:r>
    </w:p>
    <w:p w14:paraId="769FE22B" w14:textId="77777777" w:rsidR="00F73923" w:rsidRDefault="00F73923" w:rsidP="00F73923">
      <w:pPr>
        <w:tabs>
          <w:tab w:val="center" w:pos="6379"/>
        </w:tabs>
        <w:jc w:val="both"/>
        <w:rPr>
          <w:rFonts w:ascii="Arial" w:hAnsi="Arial" w:cs="Arial"/>
          <w:bCs/>
          <w:szCs w:val="22"/>
        </w:rPr>
      </w:pPr>
    </w:p>
    <w:p w14:paraId="6EB4823B" w14:textId="77777777" w:rsidR="00F73923" w:rsidRDefault="00F73923" w:rsidP="00F73923">
      <w:pPr>
        <w:tabs>
          <w:tab w:val="center" w:pos="6379"/>
        </w:tabs>
        <w:jc w:val="both"/>
        <w:rPr>
          <w:rFonts w:ascii="Arial" w:hAnsi="Arial" w:cs="Arial"/>
          <w:bCs/>
          <w:szCs w:val="22"/>
        </w:rPr>
      </w:pPr>
    </w:p>
    <w:p w14:paraId="1DF4FFF5" w14:textId="77777777" w:rsidR="00F73923" w:rsidRPr="00FF0598" w:rsidRDefault="00F73923" w:rsidP="00F73923">
      <w:pPr>
        <w:tabs>
          <w:tab w:val="center" w:pos="6379"/>
        </w:tabs>
        <w:jc w:val="both"/>
        <w:rPr>
          <w:rFonts w:ascii="Arial" w:hAnsi="Arial" w:cs="Arial"/>
          <w:bCs/>
        </w:rPr>
      </w:pPr>
      <w:r>
        <w:rPr>
          <w:rFonts w:ascii="Arial" w:hAnsi="Arial" w:cs="Arial"/>
          <w:bCs/>
        </w:rPr>
        <w:t>s materiálom predloženým na predbežné pripomienkové konanie s odporúčaním na jeho dopracovanie podľa pripomienok v bode II.</w:t>
      </w:r>
    </w:p>
    <w:p w14:paraId="5B0C0A7B" w14:textId="77777777" w:rsidR="00F73923" w:rsidRDefault="00F73923" w:rsidP="00F73923">
      <w:pPr>
        <w:rPr>
          <w:rFonts w:ascii="Arial" w:hAnsi="Arial" w:cs="Arial"/>
          <w:b/>
          <w:bCs/>
          <w:szCs w:val="22"/>
        </w:rPr>
      </w:pPr>
    </w:p>
    <w:p w14:paraId="77FAFE86" w14:textId="77777777" w:rsidR="00F73923" w:rsidRDefault="00F73923" w:rsidP="00F73923">
      <w:pPr>
        <w:jc w:val="both"/>
        <w:rPr>
          <w:rFonts w:ascii="Arial" w:hAnsi="Arial" w:cs="Arial"/>
          <w:iCs/>
          <w:szCs w:val="22"/>
        </w:rPr>
      </w:pPr>
      <w:r>
        <w:rPr>
          <w:rFonts w:ascii="Arial" w:hAnsi="Arial" w:cs="Arial"/>
          <w:b/>
          <w:bCs/>
          <w:szCs w:val="22"/>
        </w:rPr>
        <w:t>IV. Poznámka:</w:t>
      </w:r>
      <w:r>
        <w:rPr>
          <w:rFonts w:ascii="Arial" w:hAnsi="Arial" w:cs="Arial"/>
          <w:iCs/>
          <w:szCs w:val="22"/>
        </w:rPr>
        <w:t xml:space="preserve"> Predkladateľ zapracuje pripomienky a odporúčania na úpravu uvedené v bode II a uvedie stanovisko Komisie do doložky vybraných vplyvov spolu s vyhodnotením pripomienok.</w:t>
      </w:r>
    </w:p>
    <w:p w14:paraId="730365D2" w14:textId="77777777" w:rsidR="00F73923" w:rsidRDefault="00F73923" w:rsidP="00F73923">
      <w:pPr>
        <w:jc w:val="both"/>
        <w:rPr>
          <w:rFonts w:ascii="Arial" w:hAnsi="Arial" w:cs="Arial"/>
          <w:iCs/>
          <w:szCs w:val="22"/>
        </w:rPr>
      </w:pPr>
    </w:p>
    <w:p w14:paraId="64660EF7" w14:textId="77777777" w:rsidR="00F73923" w:rsidRDefault="00F73923" w:rsidP="00F73923">
      <w:pPr>
        <w:pStyle w:val="Zkladntext"/>
        <w:spacing w:after="0"/>
        <w:jc w:val="both"/>
        <w:rPr>
          <w:rFonts w:ascii="Arial" w:hAnsi="Arial"/>
        </w:rPr>
      </w:pPr>
      <w:r w:rsidRPr="00243C6A">
        <w:rPr>
          <w:rFonts w:ascii="Arial" w:hAnsi="Arial"/>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w:t>
      </w:r>
      <w:r>
        <w:rPr>
          <w:rFonts w:ascii="Arial" w:hAnsi="Arial"/>
        </w:rPr>
        <w:t> </w:t>
      </w:r>
      <w:r w:rsidRPr="00243C6A">
        <w:rPr>
          <w:rFonts w:ascii="Arial" w:hAnsi="Arial"/>
        </w:rPr>
        <w:t>na opätovné schválenie Komisie, ktorá môže následne zmeniť svoje stanovisko</w:t>
      </w:r>
      <w:r>
        <w:rPr>
          <w:rFonts w:ascii="Arial" w:hAnsi="Arial"/>
        </w:rPr>
        <w:t>.</w:t>
      </w:r>
    </w:p>
    <w:p w14:paraId="3A59064D" w14:textId="77777777" w:rsidR="00F73923" w:rsidRDefault="00F73923" w:rsidP="00F73923">
      <w:pPr>
        <w:tabs>
          <w:tab w:val="center" w:pos="6379"/>
        </w:tabs>
        <w:ind w:left="4536" w:right="-2"/>
        <w:jc w:val="center"/>
        <w:rPr>
          <w:rFonts w:ascii="Arial" w:hAnsi="Arial" w:cs="Arial"/>
          <w:b/>
          <w:bCs/>
        </w:rPr>
      </w:pPr>
    </w:p>
    <w:p w14:paraId="04539962" w14:textId="77777777" w:rsidR="00F73923" w:rsidRDefault="00F73923" w:rsidP="00F73923">
      <w:pPr>
        <w:tabs>
          <w:tab w:val="center" w:pos="6379"/>
        </w:tabs>
        <w:ind w:left="4536" w:right="-2"/>
        <w:jc w:val="center"/>
        <w:rPr>
          <w:rFonts w:ascii="Arial" w:hAnsi="Arial" w:cs="Arial"/>
          <w:b/>
          <w:bCs/>
        </w:rPr>
      </w:pPr>
    </w:p>
    <w:p w14:paraId="162FFD2D" w14:textId="77777777" w:rsidR="00F73923" w:rsidRDefault="00F73923" w:rsidP="00F73923">
      <w:pPr>
        <w:tabs>
          <w:tab w:val="center" w:pos="6379"/>
        </w:tabs>
        <w:ind w:left="4536" w:right="-2"/>
        <w:jc w:val="center"/>
        <w:rPr>
          <w:rFonts w:ascii="Arial" w:hAnsi="Arial" w:cs="Arial"/>
          <w:b/>
          <w:bCs/>
        </w:rPr>
      </w:pPr>
    </w:p>
    <w:p w14:paraId="4A106025" w14:textId="77777777" w:rsidR="00F73923" w:rsidRDefault="00F73923" w:rsidP="00F73923">
      <w:pPr>
        <w:tabs>
          <w:tab w:val="center" w:pos="6379"/>
        </w:tabs>
        <w:ind w:left="4536" w:right="-2"/>
        <w:jc w:val="center"/>
        <w:rPr>
          <w:rFonts w:ascii="Arial" w:hAnsi="Arial" w:cs="Arial"/>
          <w:b/>
          <w:bCs/>
        </w:rPr>
      </w:pPr>
    </w:p>
    <w:p w14:paraId="71453924" w14:textId="77777777" w:rsidR="00F73923" w:rsidRDefault="00F73923" w:rsidP="00F73923">
      <w:pPr>
        <w:tabs>
          <w:tab w:val="center" w:pos="6379"/>
        </w:tabs>
        <w:ind w:left="4536" w:right="-2"/>
        <w:jc w:val="center"/>
        <w:rPr>
          <w:rFonts w:ascii="Arial" w:hAnsi="Arial" w:cs="Arial"/>
          <w:b/>
          <w:bCs/>
        </w:rPr>
      </w:pPr>
    </w:p>
    <w:p w14:paraId="07AE01C8" w14:textId="77777777" w:rsidR="00F73923" w:rsidRDefault="00F73923" w:rsidP="00F73923">
      <w:pPr>
        <w:tabs>
          <w:tab w:val="center" w:pos="6379"/>
        </w:tabs>
        <w:ind w:left="4536" w:right="-2"/>
        <w:jc w:val="center"/>
        <w:rPr>
          <w:rFonts w:ascii="Arial" w:hAnsi="Arial" w:cs="Arial"/>
          <w:bCs/>
        </w:rPr>
      </w:pPr>
      <w:r>
        <w:rPr>
          <w:rFonts w:ascii="Arial" w:hAnsi="Arial" w:cs="Arial"/>
          <w:b/>
          <w:bCs/>
        </w:rPr>
        <w:t>Ing. Rastislav Chovanec, PhD.</w:t>
      </w:r>
    </w:p>
    <w:p w14:paraId="3987181E" w14:textId="77777777" w:rsidR="00F73923" w:rsidRDefault="00F73923" w:rsidP="00F73923">
      <w:pPr>
        <w:tabs>
          <w:tab w:val="center" w:pos="6379"/>
        </w:tabs>
        <w:ind w:left="4536" w:right="-2"/>
        <w:jc w:val="center"/>
      </w:pPr>
      <w:r>
        <w:rPr>
          <w:rFonts w:ascii="Arial" w:hAnsi="Arial" w:cs="Arial"/>
          <w:bCs/>
        </w:rPr>
        <w:t>predseda Komisie</w:t>
      </w:r>
    </w:p>
    <w:p w14:paraId="531D8828" w14:textId="77777777" w:rsidR="006931EC" w:rsidRPr="00543B8E" w:rsidRDefault="006931EC" w:rsidP="00543B8E">
      <w:pPr>
        <w:pStyle w:val="Normlnywebov"/>
        <w:spacing w:before="0" w:beforeAutospacing="0" w:after="0" w:afterAutospacing="0"/>
        <w:rPr>
          <w:bCs/>
          <w:sz w:val="20"/>
          <w:szCs w:val="20"/>
        </w:rPr>
      </w:pPr>
    </w:p>
    <w:sectPr w:rsidR="006931EC" w:rsidRPr="00543B8E">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4038B" w14:textId="77777777" w:rsidR="0014004E" w:rsidRDefault="0014004E">
      <w:r>
        <w:separator/>
      </w:r>
    </w:p>
  </w:endnote>
  <w:endnote w:type="continuationSeparator" w:id="0">
    <w:p w14:paraId="7310CFA1" w14:textId="77777777" w:rsidR="0014004E" w:rsidRDefault="0014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438E" w14:textId="77777777" w:rsidR="0014004E" w:rsidRDefault="0014004E">
      <w:r>
        <w:separator/>
      </w:r>
    </w:p>
  </w:footnote>
  <w:footnote w:type="continuationSeparator" w:id="0">
    <w:p w14:paraId="4CC06827" w14:textId="77777777" w:rsidR="0014004E" w:rsidRDefault="0014004E">
      <w:r>
        <w:continuationSeparator/>
      </w:r>
    </w:p>
  </w:footnote>
  <w:footnote w:id="1">
    <w:p w14:paraId="5E52AD46" w14:textId="3AC70A30" w:rsidR="00F70471" w:rsidRDefault="00F70471" w:rsidP="00F70471">
      <w:pPr>
        <w:ind w:left="142" w:hanging="142"/>
      </w:pPr>
      <w:r>
        <w:rPr>
          <w:rStyle w:val="Odkaznapoznmkupodiarou"/>
        </w:rPr>
        <w:footnoteRef/>
      </w:r>
      <w:r>
        <w:t xml:space="preserve"> </w:t>
      </w:r>
      <w:r w:rsidRPr="00543B8E">
        <w:rPr>
          <w:sz w:val="20"/>
          <w:szCs w:val="20"/>
        </w:rPr>
        <w:t>vyplniť iba v prípade, ak materiál nie je zahrnutý do Plánu práce vlády Slovenskej republiky alebo Plánu        legislatívnych úloh vlády Slovenskej republiky.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DF0998"/>
    <w:multiLevelType w:val="multilevel"/>
    <w:tmpl w:val="757EF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63C03"/>
    <w:multiLevelType w:val="hybridMultilevel"/>
    <w:tmpl w:val="13B695C0"/>
    <w:lvl w:ilvl="0" w:tplc="5BA0891A">
      <w:start w:val="1"/>
      <w:numFmt w:val="bullet"/>
      <w:lvlText w:val=""/>
      <w:lvlJc w:val="left"/>
      <w:pPr>
        <w:ind w:left="720" w:hanging="360"/>
      </w:pPr>
      <w:rPr>
        <w:rFonts w:ascii="Symbol" w:hAnsi="Symbol" w:hint="default"/>
      </w:rPr>
    </w:lvl>
    <w:lvl w:ilvl="1" w:tplc="168679A4">
      <w:start w:val="1"/>
      <w:numFmt w:val="bullet"/>
      <w:lvlText w:val="o"/>
      <w:lvlJc w:val="left"/>
      <w:pPr>
        <w:ind w:left="1440" w:hanging="360"/>
      </w:pPr>
      <w:rPr>
        <w:rFonts w:ascii="Courier New" w:hAnsi="Courier New" w:hint="default"/>
      </w:rPr>
    </w:lvl>
    <w:lvl w:ilvl="2" w:tplc="E40AF4F4">
      <w:start w:val="1"/>
      <w:numFmt w:val="bullet"/>
      <w:lvlText w:val=""/>
      <w:lvlJc w:val="left"/>
      <w:pPr>
        <w:ind w:left="2160" w:hanging="360"/>
      </w:pPr>
      <w:rPr>
        <w:rFonts w:ascii="Wingdings" w:hAnsi="Wingdings" w:hint="default"/>
      </w:rPr>
    </w:lvl>
    <w:lvl w:ilvl="3" w:tplc="C0609C42">
      <w:start w:val="1"/>
      <w:numFmt w:val="bullet"/>
      <w:lvlText w:val=""/>
      <w:lvlJc w:val="left"/>
      <w:pPr>
        <w:ind w:left="2880" w:hanging="360"/>
      </w:pPr>
      <w:rPr>
        <w:rFonts w:ascii="Symbol" w:hAnsi="Symbol" w:hint="default"/>
      </w:rPr>
    </w:lvl>
    <w:lvl w:ilvl="4" w:tplc="FCEA619C">
      <w:start w:val="1"/>
      <w:numFmt w:val="bullet"/>
      <w:lvlText w:val="o"/>
      <w:lvlJc w:val="left"/>
      <w:pPr>
        <w:ind w:left="3600" w:hanging="360"/>
      </w:pPr>
      <w:rPr>
        <w:rFonts w:ascii="Courier New" w:hAnsi="Courier New" w:hint="default"/>
      </w:rPr>
    </w:lvl>
    <w:lvl w:ilvl="5" w:tplc="221CD154">
      <w:start w:val="1"/>
      <w:numFmt w:val="bullet"/>
      <w:lvlText w:val=""/>
      <w:lvlJc w:val="left"/>
      <w:pPr>
        <w:ind w:left="4320" w:hanging="360"/>
      </w:pPr>
      <w:rPr>
        <w:rFonts w:ascii="Wingdings" w:hAnsi="Wingdings" w:hint="default"/>
      </w:rPr>
    </w:lvl>
    <w:lvl w:ilvl="6" w:tplc="3D80A2EE">
      <w:start w:val="1"/>
      <w:numFmt w:val="bullet"/>
      <w:lvlText w:val=""/>
      <w:lvlJc w:val="left"/>
      <w:pPr>
        <w:ind w:left="5040" w:hanging="360"/>
      </w:pPr>
      <w:rPr>
        <w:rFonts w:ascii="Symbol" w:hAnsi="Symbol" w:hint="default"/>
      </w:rPr>
    </w:lvl>
    <w:lvl w:ilvl="7" w:tplc="22988B84">
      <w:start w:val="1"/>
      <w:numFmt w:val="bullet"/>
      <w:lvlText w:val="o"/>
      <w:lvlJc w:val="left"/>
      <w:pPr>
        <w:ind w:left="5760" w:hanging="360"/>
      </w:pPr>
      <w:rPr>
        <w:rFonts w:ascii="Courier New" w:hAnsi="Courier New" w:hint="default"/>
      </w:rPr>
    </w:lvl>
    <w:lvl w:ilvl="8" w:tplc="A9EEAD66">
      <w:start w:val="1"/>
      <w:numFmt w:val="bullet"/>
      <w:lvlText w:val=""/>
      <w:lvlJc w:val="left"/>
      <w:pPr>
        <w:ind w:left="6480" w:hanging="360"/>
      </w:pPr>
      <w:rPr>
        <w:rFonts w:ascii="Wingdings" w:hAnsi="Wingdings" w:hint="default"/>
      </w:rPr>
    </w:lvl>
  </w:abstractNum>
  <w:abstractNum w:abstractNumId="3" w15:restartNumberingAfterBreak="0">
    <w:nsid w:val="249234CF"/>
    <w:multiLevelType w:val="hybridMultilevel"/>
    <w:tmpl w:val="2AD8E88A"/>
    <w:lvl w:ilvl="0" w:tplc="813EC9E2">
      <w:start w:val="1"/>
      <w:numFmt w:val="bullet"/>
      <w:lvlText w:val=""/>
      <w:lvlJc w:val="left"/>
      <w:pPr>
        <w:ind w:left="720" w:hanging="360"/>
      </w:pPr>
      <w:rPr>
        <w:rFonts w:ascii="Symbol" w:hAnsi="Symbol" w:hint="default"/>
      </w:rPr>
    </w:lvl>
    <w:lvl w:ilvl="1" w:tplc="9F4CCE2E">
      <w:start w:val="1"/>
      <w:numFmt w:val="bullet"/>
      <w:lvlText w:val="o"/>
      <w:lvlJc w:val="left"/>
      <w:pPr>
        <w:ind w:left="1440" w:hanging="360"/>
      </w:pPr>
      <w:rPr>
        <w:rFonts w:ascii="Courier New" w:hAnsi="Courier New" w:hint="default"/>
      </w:rPr>
    </w:lvl>
    <w:lvl w:ilvl="2" w:tplc="735ACBE6">
      <w:start w:val="1"/>
      <w:numFmt w:val="bullet"/>
      <w:lvlText w:val=""/>
      <w:lvlJc w:val="left"/>
      <w:pPr>
        <w:ind w:left="2160" w:hanging="360"/>
      </w:pPr>
      <w:rPr>
        <w:rFonts w:ascii="Wingdings" w:hAnsi="Wingdings" w:hint="default"/>
      </w:rPr>
    </w:lvl>
    <w:lvl w:ilvl="3" w:tplc="DE96A84E">
      <w:start w:val="1"/>
      <w:numFmt w:val="bullet"/>
      <w:lvlText w:val=""/>
      <w:lvlJc w:val="left"/>
      <w:pPr>
        <w:ind w:left="2880" w:hanging="360"/>
      </w:pPr>
      <w:rPr>
        <w:rFonts w:ascii="Symbol" w:hAnsi="Symbol" w:hint="default"/>
      </w:rPr>
    </w:lvl>
    <w:lvl w:ilvl="4" w:tplc="24E8311E">
      <w:start w:val="1"/>
      <w:numFmt w:val="bullet"/>
      <w:lvlText w:val="o"/>
      <w:lvlJc w:val="left"/>
      <w:pPr>
        <w:ind w:left="3600" w:hanging="360"/>
      </w:pPr>
      <w:rPr>
        <w:rFonts w:ascii="Courier New" w:hAnsi="Courier New" w:hint="default"/>
      </w:rPr>
    </w:lvl>
    <w:lvl w:ilvl="5" w:tplc="CA44428C">
      <w:start w:val="1"/>
      <w:numFmt w:val="bullet"/>
      <w:lvlText w:val=""/>
      <w:lvlJc w:val="left"/>
      <w:pPr>
        <w:ind w:left="4320" w:hanging="360"/>
      </w:pPr>
      <w:rPr>
        <w:rFonts w:ascii="Wingdings" w:hAnsi="Wingdings" w:hint="default"/>
      </w:rPr>
    </w:lvl>
    <w:lvl w:ilvl="6" w:tplc="7158BD70">
      <w:start w:val="1"/>
      <w:numFmt w:val="bullet"/>
      <w:lvlText w:val=""/>
      <w:lvlJc w:val="left"/>
      <w:pPr>
        <w:ind w:left="5040" w:hanging="360"/>
      </w:pPr>
      <w:rPr>
        <w:rFonts w:ascii="Symbol" w:hAnsi="Symbol" w:hint="default"/>
      </w:rPr>
    </w:lvl>
    <w:lvl w:ilvl="7" w:tplc="2A0ECF2C">
      <w:start w:val="1"/>
      <w:numFmt w:val="bullet"/>
      <w:lvlText w:val="o"/>
      <w:lvlJc w:val="left"/>
      <w:pPr>
        <w:ind w:left="5760" w:hanging="360"/>
      </w:pPr>
      <w:rPr>
        <w:rFonts w:ascii="Courier New" w:hAnsi="Courier New" w:hint="default"/>
      </w:rPr>
    </w:lvl>
    <w:lvl w:ilvl="8" w:tplc="4BB24916">
      <w:start w:val="1"/>
      <w:numFmt w:val="bullet"/>
      <w:lvlText w:val=""/>
      <w:lvlJc w:val="left"/>
      <w:pPr>
        <w:ind w:left="6480" w:hanging="360"/>
      </w:pPr>
      <w:rPr>
        <w:rFonts w:ascii="Wingdings" w:hAnsi="Wingdings" w:hint="default"/>
      </w:rPr>
    </w:lvl>
  </w:abstractNum>
  <w:abstractNum w:abstractNumId="4" w15:restartNumberingAfterBreak="0">
    <w:nsid w:val="327571B8"/>
    <w:multiLevelType w:val="hybridMultilevel"/>
    <w:tmpl w:val="C31CC446"/>
    <w:lvl w:ilvl="0" w:tplc="699AC2DC">
      <w:start w:val="1"/>
      <w:numFmt w:val="bullet"/>
      <w:lvlText w:val=""/>
      <w:lvlJc w:val="left"/>
      <w:pPr>
        <w:ind w:left="720" w:hanging="360"/>
      </w:pPr>
      <w:rPr>
        <w:rFonts w:ascii="Symbol" w:hAnsi="Symbol" w:hint="default"/>
      </w:rPr>
    </w:lvl>
    <w:lvl w:ilvl="1" w:tplc="F5382D16">
      <w:start w:val="1"/>
      <w:numFmt w:val="bullet"/>
      <w:lvlText w:val="o"/>
      <w:lvlJc w:val="left"/>
      <w:pPr>
        <w:ind w:left="1440" w:hanging="360"/>
      </w:pPr>
      <w:rPr>
        <w:rFonts w:ascii="Courier New" w:hAnsi="Courier New" w:hint="default"/>
      </w:rPr>
    </w:lvl>
    <w:lvl w:ilvl="2" w:tplc="2048B76C">
      <w:start w:val="1"/>
      <w:numFmt w:val="bullet"/>
      <w:lvlText w:val=""/>
      <w:lvlJc w:val="left"/>
      <w:pPr>
        <w:ind w:left="2160" w:hanging="360"/>
      </w:pPr>
      <w:rPr>
        <w:rFonts w:ascii="Wingdings" w:hAnsi="Wingdings" w:hint="default"/>
      </w:rPr>
    </w:lvl>
    <w:lvl w:ilvl="3" w:tplc="4DD2F02C">
      <w:start w:val="1"/>
      <w:numFmt w:val="bullet"/>
      <w:lvlText w:val=""/>
      <w:lvlJc w:val="left"/>
      <w:pPr>
        <w:ind w:left="2880" w:hanging="360"/>
      </w:pPr>
      <w:rPr>
        <w:rFonts w:ascii="Symbol" w:hAnsi="Symbol" w:hint="default"/>
      </w:rPr>
    </w:lvl>
    <w:lvl w:ilvl="4" w:tplc="67BC1942">
      <w:start w:val="1"/>
      <w:numFmt w:val="bullet"/>
      <w:lvlText w:val="o"/>
      <w:lvlJc w:val="left"/>
      <w:pPr>
        <w:ind w:left="3600" w:hanging="360"/>
      </w:pPr>
      <w:rPr>
        <w:rFonts w:ascii="Courier New" w:hAnsi="Courier New" w:hint="default"/>
      </w:rPr>
    </w:lvl>
    <w:lvl w:ilvl="5" w:tplc="571EA05C">
      <w:start w:val="1"/>
      <w:numFmt w:val="bullet"/>
      <w:lvlText w:val=""/>
      <w:lvlJc w:val="left"/>
      <w:pPr>
        <w:ind w:left="4320" w:hanging="360"/>
      </w:pPr>
      <w:rPr>
        <w:rFonts w:ascii="Wingdings" w:hAnsi="Wingdings" w:hint="default"/>
      </w:rPr>
    </w:lvl>
    <w:lvl w:ilvl="6" w:tplc="8F122990">
      <w:start w:val="1"/>
      <w:numFmt w:val="bullet"/>
      <w:lvlText w:val=""/>
      <w:lvlJc w:val="left"/>
      <w:pPr>
        <w:ind w:left="5040" w:hanging="360"/>
      </w:pPr>
      <w:rPr>
        <w:rFonts w:ascii="Symbol" w:hAnsi="Symbol" w:hint="default"/>
      </w:rPr>
    </w:lvl>
    <w:lvl w:ilvl="7" w:tplc="C0948F38">
      <w:start w:val="1"/>
      <w:numFmt w:val="bullet"/>
      <w:lvlText w:val="o"/>
      <w:lvlJc w:val="left"/>
      <w:pPr>
        <w:ind w:left="5760" w:hanging="360"/>
      </w:pPr>
      <w:rPr>
        <w:rFonts w:ascii="Courier New" w:hAnsi="Courier New" w:hint="default"/>
      </w:rPr>
    </w:lvl>
    <w:lvl w:ilvl="8" w:tplc="DEDACACC">
      <w:start w:val="1"/>
      <w:numFmt w:val="bullet"/>
      <w:lvlText w:val=""/>
      <w:lvlJc w:val="left"/>
      <w:pPr>
        <w:ind w:left="6480" w:hanging="360"/>
      </w:pPr>
      <w:rPr>
        <w:rFonts w:ascii="Wingdings" w:hAnsi="Wingdings" w:hint="default"/>
      </w:rPr>
    </w:lvl>
  </w:abstractNum>
  <w:abstractNum w:abstractNumId="5" w15:restartNumberingAfterBreak="0">
    <w:nsid w:val="33661F80"/>
    <w:multiLevelType w:val="hybridMultilevel"/>
    <w:tmpl w:val="71D43F1A"/>
    <w:lvl w:ilvl="0" w:tplc="1182F1FA">
      <w:start w:val="1"/>
      <w:numFmt w:val="decimal"/>
      <w:lvlText w:val="%1."/>
      <w:lvlJc w:val="left"/>
      <w:pPr>
        <w:ind w:left="720" w:hanging="360"/>
      </w:pPr>
    </w:lvl>
    <w:lvl w:ilvl="1" w:tplc="CDFCFB1A">
      <w:start w:val="1"/>
      <w:numFmt w:val="lowerLetter"/>
      <w:lvlText w:val="%2."/>
      <w:lvlJc w:val="left"/>
      <w:pPr>
        <w:ind w:left="1440" w:hanging="360"/>
      </w:pPr>
    </w:lvl>
    <w:lvl w:ilvl="2" w:tplc="E27648B6">
      <w:start w:val="1"/>
      <w:numFmt w:val="lowerRoman"/>
      <w:lvlText w:val="%3."/>
      <w:lvlJc w:val="right"/>
      <w:pPr>
        <w:ind w:left="2160" w:hanging="180"/>
      </w:pPr>
    </w:lvl>
    <w:lvl w:ilvl="3" w:tplc="D24A02EA">
      <w:start w:val="1"/>
      <w:numFmt w:val="decimal"/>
      <w:lvlText w:val="%4."/>
      <w:lvlJc w:val="left"/>
      <w:pPr>
        <w:ind w:left="2880" w:hanging="360"/>
      </w:pPr>
    </w:lvl>
    <w:lvl w:ilvl="4" w:tplc="4D180D1C">
      <w:start w:val="1"/>
      <w:numFmt w:val="lowerLetter"/>
      <w:lvlText w:val="%5."/>
      <w:lvlJc w:val="left"/>
      <w:pPr>
        <w:ind w:left="3600" w:hanging="360"/>
      </w:pPr>
    </w:lvl>
    <w:lvl w:ilvl="5" w:tplc="5CA0DD0E">
      <w:start w:val="1"/>
      <w:numFmt w:val="lowerRoman"/>
      <w:lvlText w:val="%6."/>
      <w:lvlJc w:val="right"/>
      <w:pPr>
        <w:ind w:left="4320" w:hanging="180"/>
      </w:pPr>
    </w:lvl>
    <w:lvl w:ilvl="6" w:tplc="1170665E">
      <w:start w:val="1"/>
      <w:numFmt w:val="decimal"/>
      <w:lvlText w:val="%7."/>
      <w:lvlJc w:val="left"/>
      <w:pPr>
        <w:ind w:left="5040" w:hanging="360"/>
      </w:pPr>
    </w:lvl>
    <w:lvl w:ilvl="7" w:tplc="A01CEA58">
      <w:start w:val="1"/>
      <w:numFmt w:val="lowerLetter"/>
      <w:lvlText w:val="%8."/>
      <w:lvlJc w:val="left"/>
      <w:pPr>
        <w:ind w:left="5760" w:hanging="360"/>
      </w:pPr>
    </w:lvl>
    <w:lvl w:ilvl="8" w:tplc="AF887DD2">
      <w:start w:val="1"/>
      <w:numFmt w:val="lowerRoman"/>
      <w:lvlText w:val="%9."/>
      <w:lvlJc w:val="right"/>
      <w:pPr>
        <w:ind w:left="6480" w:hanging="180"/>
      </w:pPr>
    </w:lvl>
  </w:abstractNum>
  <w:abstractNum w:abstractNumId="6" w15:restartNumberingAfterBreak="0">
    <w:nsid w:val="38AB3B85"/>
    <w:multiLevelType w:val="multilevel"/>
    <w:tmpl w:val="271C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73D74"/>
    <w:multiLevelType w:val="hybridMultilevel"/>
    <w:tmpl w:val="8F80BE94"/>
    <w:lvl w:ilvl="0" w:tplc="E81AAACC">
      <w:start w:val="1"/>
      <w:numFmt w:val="decimal"/>
      <w:lvlText w:val="%1."/>
      <w:lvlJc w:val="left"/>
      <w:pPr>
        <w:ind w:left="720" w:hanging="360"/>
      </w:pPr>
    </w:lvl>
    <w:lvl w:ilvl="1" w:tplc="FD7C0FA6">
      <w:start w:val="1"/>
      <w:numFmt w:val="lowerLetter"/>
      <w:lvlText w:val="%2."/>
      <w:lvlJc w:val="left"/>
      <w:pPr>
        <w:ind w:left="1440" w:hanging="360"/>
      </w:pPr>
    </w:lvl>
    <w:lvl w:ilvl="2" w:tplc="9C18B14E">
      <w:start w:val="1"/>
      <w:numFmt w:val="lowerRoman"/>
      <w:lvlText w:val="%3."/>
      <w:lvlJc w:val="right"/>
      <w:pPr>
        <w:ind w:left="2160" w:hanging="180"/>
      </w:pPr>
    </w:lvl>
    <w:lvl w:ilvl="3" w:tplc="97A65C34">
      <w:start w:val="1"/>
      <w:numFmt w:val="decimal"/>
      <w:lvlText w:val="%4."/>
      <w:lvlJc w:val="left"/>
      <w:pPr>
        <w:ind w:left="2880" w:hanging="360"/>
      </w:pPr>
    </w:lvl>
    <w:lvl w:ilvl="4" w:tplc="C2CA51AE">
      <w:start w:val="1"/>
      <w:numFmt w:val="lowerLetter"/>
      <w:lvlText w:val="%5."/>
      <w:lvlJc w:val="left"/>
      <w:pPr>
        <w:ind w:left="3600" w:hanging="360"/>
      </w:pPr>
    </w:lvl>
    <w:lvl w:ilvl="5" w:tplc="E8CEDA12">
      <w:start w:val="1"/>
      <w:numFmt w:val="lowerRoman"/>
      <w:lvlText w:val="%6."/>
      <w:lvlJc w:val="right"/>
      <w:pPr>
        <w:ind w:left="4320" w:hanging="180"/>
      </w:pPr>
    </w:lvl>
    <w:lvl w:ilvl="6" w:tplc="891ED8C8">
      <w:start w:val="1"/>
      <w:numFmt w:val="decimal"/>
      <w:lvlText w:val="%7."/>
      <w:lvlJc w:val="left"/>
      <w:pPr>
        <w:ind w:left="5040" w:hanging="360"/>
      </w:pPr>
    </w:lvl>
    <w:lvl w:ilvl="7" w:tplc="27BA8882">
      <w:start w:val="1"/>
      <w:numFmt w:val="lowerLetter"/>
      <w:lvlText w:val="%8."/>
      <w:lvlJc w:val="left"/>
      <w:pPr>
        <w:ind w:left="5760" w:hanging="360"/>
      </w:pPr>
    </w:lvl>
    <w:lvl w:ilvl="8" w:tplc="5DBC7BB8">
      <w:start w:val="1"/>
      <w:numFmt w:val="lowerRoman"/>
      <w:lvlText w:val="%9."/>
      <w:lvlJc w:val="right"/>
      <w:pPr>
        <w:ind w:left="6480" w:hanging="180"/>
      </w:pPr>
    </w:lvl>
  </w:abstractNum>
  <w:abstractNum w:abstractNumId="8" w15:restartNumberingAfterBreak="0">
    <w:nsid w:val="44146AF6"/>
    <w:multiLevelType w:val="multilevel"/>
    <w:tmpl w:val="7858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85439"/>
    <w:multiLevelType w:val="hybridMultilevel"/>
    <w:tmpl w:val="C3E8348C"/>
    <w:lvl w:ilvl="0" w:tplc="5EDE01EE">
      <w:start w:val="1"/>
      <w:numFmt w:val="bullet"/>
      <w:lvlText w:val=""/>
      <w:lvlJc w:val="left"/>
      <w:pPr>
        <w:ind w:left="720" w:hanging="360"/>
      </w:pPr>
      <w:rPr>
        <w:rFonts w:ascii="Symbol" w:hAnsi="Symbol" w:hint="default"/>
      </w:rPr>
    </w:lvl>
    <w:lvl w:ilvl="1" w:tplc="3E68A36E">
      <w:start w:val="1"/>
      <w:numFmt w:val="bullet"/>
      <w:lvlText w:val="o"/>
      <w:lvlJc w:val="left"/>
      <w:pPr>
        <w:ind w:left="1440" w:hanging="360"/>
      </w:pPr>
      <w:rPr>
        <w:rFonts w:ascii="Courier New" w:hAnsi="Courier New" w:hint="default"/>
      </w:rPr>
    </w:lvl>
    <w:lvl w:ilvl="2" w:tplc="6568B9FA">
      <w:start w:val="1"/>
      <w:numFmt w:val="bullet"/>
      <w:lvlText w:val=""/>
      <w:lvlJc w:val="left"/>
      <w:pPr>
        <w:ind w:left="2160" w:hanging="360"/>
      </w:pPr>
      <w:rPr>
        <w:rFonts w:ascii="Wingdings" w:hAnsi="Wingdings" w:hint="default"/>
      </w:rPr>
    </w:lvl>
    <w:lvl w:ilvl="3" w:tplc="5D68C8C8">
      <w:start w:val="1"/>
      <w:numFmt w:val="bullet"/>
      <w:lvlText w:val=""/>
      <w:lvlJc w:val="left"/>
      <w:pPr>
        <w:ind w:left="2880" w:hanging="360"/>
      </w:pPr>
      <w:rPr>
        <w:rFonts w:ascii="Symbol" w:hAnsi="Symbol" w:hint="default"/>
      </w:rPr>
    </w:lvl>
    <w:lvl w:ilvl="4" w:tplc="52865B1C">
      <w:start w:val="1"/>
      <w:numFmt w:val="bullet"/>
      <w:lvlText w:val="o"/>
      <w:lvlJc w:val="left"/>
      <w:pPr>
        <w:ind w:left="3600" w:hanging="360"/>
      </w:pPr>
      <w:rPr>
        <w:rFonts w:ascii="Courier New" w:hAnsi="Courier New" w:hint="default"/>
      </w:rPr>
    </w:lvl>
    <w:lvl w:ilvl="5" w:tplc="B5A2AB48">
      <w:start w:val="1"/>
      <w:numFmt w:val="bullet"/>
      <w:lvlText w:val=""/>
      <w:lvlJc w:val="left"/>
      <w:pPr>
        <w:ind w:left="4320" w:hanging="360"/>
      </w:pPr>
      <w:rPr>
        <w:rFonts w:ascii="Wingdings" w:hAnsi="Wingdings" w:hint="default"/>
      </w:rPr>
    </w:lvl>
    <w:lvl w:ilvl="6" w:tplc="6CA685AE">
      <w:start w:val="1"/>
      <w:numFmt w:val="bullet"/>
      <w:lvlText w:val=""/>
      <w:lvlJc w:val="left"/>
      <w:pPr>
        <w:ind w:left="5040" w:hanging="360"/>
      </w:pPr>
      <w:rPr>
        <w:rFonts w:ascii="Symbol" w:hAnsi="Symbol" w:hint="default"/>
      </w:rPr>
    </w:lvl>
    <w:lvl w:ilvl="7" w:tplc="FA2E7C92">
      <w:start w:val="1"/>
      <w:numFmt w:val="bullet"/>
      <w:lvlText w:val="o"/>
      <w:lvlJc w:val="left"/>
      <w:pPr>
        <w:ind w:left="5760" w:hanging="360"/>
      </w:pPr>
      <w:rPr>
        <w:rFonts w:ascii="Courier New" w:hAnsi="Courier New" w:hint="default"/>
      </w:rPr>
    </w:lvl>
    <w:lvl w:ilvl="8" w:tplc="6B481E90">
      <w:start w:val="1"/>
      <w:numFmt w:val="bullet"/>
      <w:lvlText w:val=""/>
      <w:lvlJc w:val="left"/>
      <w:pPr>
        <w:ind w:left="6480" w:hanging="360"/>
      </w:pPr>
      <w:rPr>
        <w:rFonts w:ascii="Wingdings" w:hAnsi="Wingdings" w:hint="default"/>
      </w:rPr>
    </w:lvl>
  </w:abstractNum>
  <w:abstractNum w:abstractNumId="10" w15:restartNumberingAfterBreak="0">
    <w:nsid w:val="658E360D"/>
    <w:multiLevelType w:val="hybridMultilevel"/>
    <w:tmpl w:val="AB0C7522"/>
    <w:lvl w:ilvl="0" w:tplc="0C42BFBC">
      <w:start w:val="1"/>
      <w:numFmt w:val="bullet"/>
      <w:lvlText w:val=""/>
      <w:lvlJc w:val="left"/>
      <w:pPr>
        <w:ind w:left="720" w:hanging="360"/>
      </w:pPr>
      <w:rPr>
        <w:rFonts w:ascii="Symbol" w:hAnsi="Symbol" w:hint="default"/>
      </w:rPr>
    </w:lvl>
    <w:lvl w:ilvl="1" w:tplc="019296B0">
      <w:start w:val="1"/>
      <w:numFmt w:val="bullet"/>
      <w:lvlText w:val="o"/>
      <w:lvlJc w:val="left"/>
      <w:pPr>
        <w:ind w:left="1440" w:hanging="360"/>
      </w:pPr>
      <w:rPr>
        <w:rFonts w:ascii="Courier New" w:hAnsi="Courier New" w:hint="default"/>
      </w:rPr>
    </w:lvl>
    <w:lvl w:ilvl="2" w:tplc="719CDFBA">
      <w:start w:val="1"/>
      <w:numFmt w:val="bullet"/>
      <w:lvlText w:val=""/>
      <w:lvlJc w:val="left"/>
      <w:pPr>
        <w:ind w:left="2160" w:hanging="360"/>
      </w:pPr>
      <w:rPr>
        <w:rFonts w:ascii="Wingdings" w:hAnsi="Wingdings" w:hint="default"/>
      </w:rPr>
    </w:lvl>
    <w:lvl w:ilvl="3" w:tplc="A3C0A1CA">
      <w:start w:val="1"/>
      <w:numFmt w:val="bullet"/>
      <w:lvlText w:val=""/>
      <w:lvlJc w:val="left"/>
      <w:pPr>
        <w:ind w:left="2880" w:hanging="360"/>
      </w:pPr>
      <w:rPr>
        <w:rFonts w:ascii="Symbol" w:hAnsi="Symbol" w:hint="default"/>
      </w:rPr>
    </w:lvl>
    <w:lvl w:ilvl="4" w:tplc="37AAFC06">
      <w:start w:val="1"/>
      <w:numFmt w:val="bullet"/>
      <w:lvlText w:val="o"/>
      <w:lvlJc w:val="left"/>
      <w:pPr>
        <w:ind w:left="3600" w:hanging="360"/>
      </w:pPr>
      <w:rPr>
        <w:rFonts w:ascii="Courier New" w:hAnsi="Courier New" w:hint="default"/>
      </w:rPr>
    </w:lvl>
    <w:lvl w:ilvl="5" w:tplc="0B146FD2">
      <w:start w:val="1"/>
      <w:numFmt w:val="bullet"/>
      <w:lvlText w:val=""/>
      <w:lvlJc w:val="left"/>
      <w:pPr>
        <w:ind w:left="4320" w:hanging="360"/>
      </w:pPr>
      <w:rPr>
        <w:rFonts w:ascii="Wingdings" w:hAnsi="Wingdings" w:hint="default"/>
      </w:rPr>
    </w:lvl>
    <w:lvl w:ilvl="6" w:tplc="3822F788">
      <w:start w:val="1"/>
      <w:numFmt w:val="bullet"/>
      <w:lvlText w:val=""/>
      <w:lvlJc w:val="left"/>
      <w:pPr>
        <w:ind w:left="5040" w:hanging="360"/>
      </w:pPr>
      <w:rPr>
        <w:rFonts w:ascii="Symbol" w:hAnsi="Symbol" w:hint="default"/>
      </w:rPr>
    </w:lvl>
    <w:lvl w:ilvl="7" w:tplc="E18E9BC4">
      <w:start w:val="1"/>
      <w:numFmt w:val="bullet"/>
      <w:lvlText w:val="o"/>
      <w:lvlJc w:val="left"/>
      <w:pPr>
        <w:ind w:left="5760" w:hanging="360"/>
      </w:pPr>
      <w:rPr>
        <w:rFonts w:ascii="Courier New" w:hAnsi="Courier New" w:hint="default"/>
      </w:rPr>
    </w:lvl>
    <w:lvl w:ilvl="8" w:tplc="4A506998">
      <w:start w:val="1"/>
      <w:numFmt w:val="bullet"/>
      <w:lvlText w:val=""/>
      <w:lvlJc w:val="left"/>
      <w:pPr>
        <w:ind w:left="6480" w:hanging="360"/>
      </w:pPr>
      <w:rPr>
        <w:rFonts w:ascii="Wingdings" w:hAnsi="Wingdings" w:hint="default"/>
      </w:rPr>
    </w:lvl>
  </w:abstractNum>
  <w:abstractNum w:abstractNumId="11" w15:restartNumberingAfterBreak="0">
    <w:nsid w:val="66C720E7"/>
    <w:multiLevelType w:val="hybridMultilevel"/>
    <w:tmpl w:val="CC1E4A20"/>
    <w:lvl w:ilvl="0" w:tplc="19A4F71E">
      <w:start w:val="1"/>
      <w:numFmt w:val="bullet"/>
      <w:lvlText w:val=""/>
      <w:lvlJc w:val="left"/>
      <w:pPr>
        <w:ind w:left="720" w:hanging="360"/>
      </w:pPr>
      <w:rPr>
        <w:rFonts w:ascii="Symbol" w:hAnsi="Symbol" w:hint="default"/>
      </w:rPr>
    </w:lvl>
    <w:lvl w:ilvl="1" w:tplc="D722ACEA">
      <w:start w:val="1"/>
      <w:numFmt w:val="bullet"/>
      <w:lvlText w:val="o"/>
      <w:lvlJc w:val="left"/>
      <w:pPr>
        <w:ind w:left="1440" w:hanging="360"/>
      </w:pPr>
      <w:rPr>
        <w:rFonts w:ascii="Courier New" w:hAnsi="Courier New" w:hint="default"/>
      </w:rPr>
    </w:lvl>
    <w:lvl w:ilvl="2" w:tplc="2B301DBA">
      <w:start w:val="1"/>
      <w:numFmt w:val="bullet"/>
      <w:lvlText w:val=""/>
      <w:lvlJc w:val="left"/>
      <w:pPr>
        <w:ind w:left="2160" w:hanging="360"/>
      </w:pPr>
      <w:rPr>
        <w:rFonts w:ascii="Wingdings" w:hAnsi="Wingdings" w:hint="default"/>
      </w:rPr>
    </w:lvl>
    <w:lvl w:ilvl="3" w:tplc="E24C23E6">
      <w:start w:val="1"/>
      <w:numFmt w:val="bullet"/>
      <w:lvlText w:val=""/>
      <w:lvlJc w:val="left"/>
      <w:pPr>
        <w:ind w:left="2880" w:hanging="360"/>
      </w:pPr>
      <w:rPr>
        <w:rFonts w:ascii="Symbol" w:hAnsi="Symbol" w:hint="default"/>
      </w:rPr>
    </w:lvl>
    <w:lvl w:ilvl="4" w:tplc="BADAD3A6">
      <w:start w:val="1"/>
      <w:numFmt w:val="bullet"/>
      <w:lvlText w:val="o"/>
      <w:lvlJc w:val="left"/>
      <w:pPr>
        <w:ind w:left="3600" w:hanging="360"/>
      </w:pPr>
      <w:rPr>
        <w:rFonts w:ascii="Courier New" w:hAnsi="Courier New" w:hint="default"/>
      </w:rPr>
    </w:lvl>
    <w:lvl w:ilvl="5" w:tplc="3378FC54">
      <w:start w:val="1"/>
      <w:numFmt w:val="bullet"/>
      <w:lvlText w:val=""/>
      <w:lvlJc w:val="left"/>
      <w:pPr>
        <w:ind w:left="4320" w:hanging="360"/>
      </w:pPr>
      <w:rPr>
        <w:rFonts w:ascii="Wingdings" w:hAnsi="Wingdings" w:hint="default"/>
      </w:rPr>
    </w:lvl>
    <w:lvl w:ilvl="6" w:tplc="D35E55D4">
      <w:start w:val="1"/>
      <w:numFmt w:val="bullet"/>
      <w:lvlText w:val=""/>
      <w:lvlJc w:val="left"/>
      <w:pPr>
        <w:ind w:left="5040" w:hanging="360"/>
      </w:pPr>
      <w:rPr>
        <w:rFonts w:ascii="Symbol" w:hAnsi="Symbol" w:hint="default"/>
      </w:rPr>
    </w:lvl>
    <w:lvl w:ilvl="7" w:tplc="2D380138">
      <w:start w:val="1"/>
      <w:numFmt w:val="bullet"/>
      <w:lvlText w:val="o"/>
      <w:lvlJc w:val="left"/>
      <w:pPr>
        <w:ind w:left="5760" w:hanging="360"/>
      </w:pPr>
      <w:rPr>
        <w:rFonts w:ascii="Courier New" w:hAnsi="Courier New" w:hint="default"/>
      </w:rPr>
    </w:lvl>
    <w:lvl w:ilvl="8" w:tplc="13E0EB5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5"/>
  </w:num>
  <w:num w:numId="5">
    <w:abstractNumId w:val="7"/>
  </w:num>
  <w:num w:numId="6">
    <w:abstractNumId w:val="11"/>
  </w:num>
  <w:num w:numId="7">
    <w:abstractNumId w:val="3"/>
  </w:num>
  <w:num w:numId="8">
    <w:abstractNumId w:val="4"/>
  </w:num>
  <w:num w:numId="9">
    <w:abstractNumId w:val="1"/>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4886"/>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4EC7"/>
    <w:rsid w:val="001072B2"/>
    <w:rsid w:val="001113E9"/>
    <w:rsid w:val="001113FA"/>
    <w:rsid w:val="00111539"/>
    <w:rsid w:val="00111D86"/>
    <w:rsid w:val="00115024"/>
    <w:rsid w:val="0012053A"/>
    <w:rsid w:val="00122243"/>
    <w:rsid w:val="0012230A"/>
    <w:rsid w:val="00123EE7"/>
    <w:rsid w:val="001265B8"/>
    <w:rsid w:val="00137343"/>
    <w:rsid w:val="0014004E"/>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621D3"/>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48A"/>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25B2A"/>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66707"/>
    <w:rsid w:val="00572E47"/>
    <w:rsid w:val="005738CA"/>
    <w:rsid w:val="00574338"/>
    <w:rsid w:val="00575A83"/>
    <w:rsid w:val="00577551"/>
    <w:rsid w:val="00577A30"/>
    <w:rsid w:val="00581F1A"/>
    <w:rsid w:val="0058207A"/>
    <w:rsid w:val="00587B4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1B2F"/>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D5FDF"/>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236D"/>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047"/>
    <w:rsid w:val="00B56678"/>
    <w:rsid w:val="00B57136"/>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2BF1"/>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A7F2B"/>
    <w:rsid w:val="00EB089E"/>
    <w:rsid w:val="00EB2F6A"/>
    <w:rsid w:val="00EB5E55"/>
    <w:rsid w:val="00EB7541"/>
    <w:rsid w:val="00EC026F"/>
    <w:rsid w:val="00EC3A1D"/>
    <w:rsid w:val="00EC4518"/>
    <w:rsid w:val="00EC7638"/>
    <w:rsid w:val="00ED687A"/>
    <w:rsid w:val="00ED69CC"/>
    <w:rsid w:val="00EE6192"/>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3933"/>
    <w:rsid w:val="00F57467"/>
    <w:rsid w:val="00F61282"/>
    <w:rsid w:val="00F66819"/>
    <w:rsid w:val="00F70471"/>
    <w:rsid w:val="00F704C6"/>
    <w:rsid w:val="00F73923"/>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 w:val="5E5449DC"/>
    <w:rsid w:val="5FAB9A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D8784"/>
  <w14:defaultImageDpi w14:val="96"/>
  <w15:docId w15:val="{9024D295-9F52-4943-A6C7-11CCD96D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paragraph" w:styleId="Nadpis4">
    <w:name w:val="heading 4"/>
    <w:basedOn w:val="Normlny"/>
    <w:next w:val="Zkladntext"/>
    <w:link w:val="Nadpis4Char"/>
    <w:qFormat/>
    <w:rsid w:val="00F73923"/>
    <w:pPr>
      <w:keepNext/>
      <w:numPr>
        <w:ilvl w:val="3"/>
        <w:numId w:val="1"/>
      </w:numPr>
      <w:suppressAutoHyphens/>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Siln">
    <w:name w:val="Strong"/>
    <w:uiPriority w:val="22"/>
    <w:qFormat/>
    <w:rsid w:val="003B648A"/>
    <w:rPr>
      <w:b/>
      <w:bCs/>
    </w:rPr>
  </w:style>
  <w:style w:type="character" w:styleId="Hypertextovprepojenie">
    <w:name w:val="Hyperlink"/>
    <w:uiPriority w:val="99"/>
    <w:unhideWhenUsed/>
    <w:rsid w:val="003B648A"/>
    <w:rPr>
      <w:color w:val="0000FF"/>
      <w:u w:val="single"/>
    </w:rPr>
  </w:style>
  <w:style w:type="character" w:styleId="Odkaznapoznmkupodiarou">
    <w:name w:val="footnote reference"/>
    <w:basedOn w:val="Predvolenpsmoodseku"/>
    <w:uiPriority w:val="99"/>
    <w:semiHidden/>
    <w:unhideWhenUsed/>
    <w:rsid w:val="00F70471"/>
    <w:rPr>
      <w:vertAlign w:val="superscript"/>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ekzoznamu">
    <w:name w:val="List Paragraph"/>
    <w:basedOn w:val="Normlny"/>
    <w:uiPriority w:val="34"/>
    <w:qFormat/>
    <w:pPr>
      <w:ind w:left="720"/>
      <w:contextualSpacing/>
    </w:pPr>
  </w:style>
  <w:style w:type="character" w:customStyle="1" w:styleId="Nadpis4Char">
    <w:name w:val="Nadpis 4 Char"/>
    <w:basedOn w:val="Predvolenpsmoodseku"/>
    <w:link w:val="Nadpis4"/>
    <w:rsid w:val="00F73923"/>
    <w:rPr>
      <w:b/>
      <w:smallCaps/>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38823">
      <w:bodyDiv w:val="1"/>
      <w:marLeft w:val="0"/>
      <w:marRight w:val="0"/>
      <w:marTop w:val="0"/>
      <w:marBottom w:val="0"/>
      <w:divBdr>
        <w:top w:val="none" w:sz="0" w:space="0" w:color="auto"/>
        <w:left w:val="none" w:sz="0" w:space="0" w:color="auto"/>
        <w:bottom w:val="none" w:sz="0" w:space="0" w:color="auto"/>
        <w:right w:val="none" w:sz="0" w:space="0" w:color="auto"/>
      </w:divBdr>
    </w:div>
    <w:div w:id="706640807">
      <w:bodyDiv w:val="1"/>
      <w:marLeft w:val="0"/>
      <w:marRight w:val="0"/>
      <w:marTop w:val="0"/>
      <w:marBottom w:val="0"/>
      <w:divBdr>
        <w:top w:val="none" w:sz="0" w:space="0" w:color="auto"/>
        <w:left w:val="none" w:sz="0" w:space="0" w:color="auto"/>
        <w:bottom w:val="none" w:sz="0" w:space="0" w:color="auto"/>
        <w:right w:val="none" w:sz="0" w:space="0" w:color="auto"/>
      </w:divBdr>
    </w:div>
    <w:div w:id="1003624051">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1065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digital-single-market/en/news/digital-champions-bratislava-statement-egovern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cepremier.gov.sk/index.php/clenske-staty-sa-zhodli-na-zaveroch-rady-k-akcnemu-planu-pre-elektronicku-verejnu-spravu/index.html" TargetMode="External"/><Relationship Id="rId5" Type="http://schemas.openxmlformats.org/officeDocument/2006/relationships/settings" Target="settings.xml"/><Relationship Id="rId10" Type="http://schemas.openxmlformats.org/officeDocument/2006/relationships/hyperlink" Target="http://www.europeandataportal.eu/en/content/open-data-maturity-europe" TargetMode="External"/><Relationship Id="rId4" Type="http://schemas.openxmlformats.org/officeDocument/2006/relationships/styles" Target="styles.xml"/><Relationship Id="rId9" Type="http://schemas.openxmlformats.org/officeDocument/2006/relationships/hyperlink" Target="mailto:michal.ciz@vicepremier.gov.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8.4.2019 12:03:43"/>
    <f:field ref="objchangedby" par="" text="Administrator, System"/>
    <f:field ref="objmodifiedat" par="" text="18.4.2019 12:03:46"/>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AA2C269-DE94-4796-9B97-E10F1FB9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3131</Words>
  <Characters>17853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Doložka vybraných vplyvov</vt:lpstr>
    </vt:vector>
  </TitlesOfParts>
  <Company>UVSR</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Michal Číž</dc:creator>
  <cp:lastModifiedBy>Michal Číž</cp:lastModifiedBy>
  <cp:revision>8</cp:revision>
  <dcterms:created xsi:type="dcterms:W3CDTF">2019-05-24T17:15:00Z</dcterms:created>
  <dcterms:modified xsi:type="dcterms:W3CDTF">2019-06-12T08:09:00Z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Ing. Anna Bäuml</vt:lpwstr>
  </property>
  <property fmtid="{D5CDD505-2E9C-101B-9397-08002B2CF9AE}" pid="9" name="FSC#SKEDITIONSLOVLEX@103.510:zodppredkladatel">
    <vt:lpwstr>Arpád Érsek</vt:lpwstr>
  </property>
  <property fmtid="{D5CDD505-2E9C-101B-9397-08002B2CF9AE}" pid="10" name="FSC#SKEDITIONSLOVLEX@103.510:nazovpredpis">
    <vt:lpwstr> Návrh zákona, ktorým sa mení a dopĺňa zákon č. 555/2005 Z. z. o energetickej hospodárnosti budov a o zmene a doplnení niektorých zákonov v znení neskorších predpisov</vt:lpwstr>
  </property>
  <property fmtid="{D5CDD505-2E9C-101B-9397-08002B2CF9AE}" pid="11" name="FSC#SKEDITIONSLOVLEX@103.510:cislopredpis">
    <vt:lpwstr/>
  </property>
  <property fmtid="{D5CDD505-2E9C-101B-9397-08002B2CF9AE}" pid="12" name="FSC#SKEDITIONSLOVLEX@103.510:zodpinstitucia">
    <vt:lpwstr>Ministerstvo dopravy a výstavby Slovenskej republiky</vt:lpwstr>
  </property>
  <property fmtid="{D5CDD505-2E9C-101B-9397-08002B2CF9AE}" pid="13" name="FSC#SKEDITIONSLOVLEX@103.510:pripomienkovatelia">
    <vt:lpwstr>Ministerstvo dopravy a výstavby Slovenskej republiky</vt:lpwstr>
  </property>
  <property fmtid="{D5CDD505-2E9C-101B-9397-08002B2CF9AE}" pid="14" name="FSC#SKEDITIONSLOVLEX@103.510:autorpredpis">
    <vt:lpwstr/>
  </property>
  <property fmtid="{D5CDD505-2E9C-101B-9397-08002B2CF9AE}" pid="15" name="FSC#SKEDITIONSLOVLEX@103.510:podnetpredpis">
    <vt:lpwstr>uznesenie vlády SR č. 469/2018 zo dňa 10. októbra 2018_x000d_
</vt:lpwstr>
  </property>
  <property fmtid="{D5CDD505-2E9C-101B-9397-08002B2CF9AE}" pid="16" name="FSC#SKEDITIONSLOVLEX@103.510:plnynazovpredpis">
    <vt:lpwstr> Zákon Návrh zákona, ktorým sa mení a dopĺňa zákon č. 555/2005 Z. z. o energetickej hospodárnosti budov a o zmene a doplnení niektorých zákonov v znení neskorších predpisov</vt:lpwstr>
  </property>
  <property fmtid="{D5CDD505-2E9C-101B-9397-08002B2CF9AE}" pid="17" name="FSC#SKEDITIONSLOVLEX@103.510:rezortcislopredpis">
    <vt:lpwstr>05896/2019/SV/22977</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LP/2019/219</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Zmluva o fungovaní Európskej únie (článok 194 ods. 2),</vt:lpwstr>
  </property>
  <property fmtid="{D5CDD505-2E9C-101B-9397-08002B2CF9AE}" pid="37" name="FSC#SKEDITIONSLOVLEX@103.510:AttrStrListDocPropSekundarneLegPravoPO">
    <vt:lpwstr>1.	legislatívne akty: smernica Európskeho parlamentu a Rady (EÚ) 2018/844 z 30. mája 2018, ktorou sa mení smernica 2010/31/EÚ o energetickej hospodárnosti budov a smernica 2012/27/EÚ o energetickej efektívnosti (Text s významom pre EHP) (Ú. v. EÚ L 156/75</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upravená.</vt:lpwstr>
  </property>
  <property fmtid="{D5CDD505-2E9C-101B-9397-08002B2CF9AE}" pid="42" name="FSC#SKEDITIONSLOVLEX@103.510:AttrStrListDocPropLehotaPrebratieSmernice">
    <vt:lpwstr>10. 03. 2020,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konanie nebolo začaté,</vt:lpwstr>
  </property>
  <property fmtid="{D5CDD505-2E9C-101B-9397-08002B2CF9AE}" pid="45" name="FSC#SKEDITIONSLOVLEX@103.510:AttrStrListDocPropInfoUzPreberanePP">
    <vt:lpwstr>1.	Návrh zákona, ktorým sa mení a dopĺňa zákon č. 555/2005 Z. z. o energetickej hospodárnosti budov a o zmene a doplnení niektorých zákonov v znení neskorších predpisov – rozsah prebratia úplný,                                                             </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1. 4. 2019</vt:lpwstr>
  </property>
  <property fmtid="{D5CDD505-2E9C-101B-9397-08002B2CF9AE}" pid="49" name="FSC#SKEDITIONSLOVLEX@103.510:AttrDateDocPropUkonceniePKK">
    <vt:lpwstr>15. 4. 2019</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Negatívne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&lt;ol&gt;	&lt;li&gt;	&lt;p&gt;Dlhodobá stratégia obnovy, bola zavedená zákonom č. 321/2014 Z. z. o&amp;nbsp;energetickej efektívnosti a o zmene a doplnení niektorých zákonov, nie je novou požiadavkou, a&amp;nbsp;preto nie je predmetom vyhodnotenia.&lt;/p&gt;	&lt;/li&gt;	&lt;li&gt;	&lt;p&gt;Nová povinnos</vt:lpwstr>
  </property>
  <property fmtid="{D5CDD505-2E9C-101B-9397-08002B2CF9AE}" pid="56" name="FSC#SKEDITIONSLOVLEX@103.510:AttrStrListDocPropAltRiesenia">
    <vt:lpwstr>Neboli zvažované alternatívne riešenia, nakoľko právna úprava je transpozíciou práva EÚ.</vt:lpwstr>
  </property>
  <property fmtid="{D5CDD505-2E9C-101B-9397-08002B2CF9AE}" pid="57" name="FSC#SKEDITIONSLOVLEX@103.510:AttrStrListDocPropStanoviskoGest">
    <vt:lpwstr>&lt;p&gt;&lt;strong&gt;K&amp;nbsp;vplyvom na podnikateľské prostredie &lt;/strong&gt;&lt;/p&gt;&lt;p&gt;Vzhľadom na fakt uvádzaný v časti 4. Dotknuté subjekty, a to, že sa návrh týka vlastníkov budov, ktoré sú vo&amp;nbsp;vlastníctve aj súkromného sektora, a z hľadiska povinností súvisiacich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dopravy a výstavby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dopravy a výstavby Slovenskej republiky (ďalej len „ministerstvo“) predkladá &lt;strong&gt;„&lt;/strong&gt;Návrh zákona, ktorým sa mení a dopĺňa zákon č.&amp;nbsp;555/2005 Z. z. o energetickej hospodárnosti budov a&amp;nbsp;o&amp;nbsp</vt:lpwstr>
  </property>
  <property fmtid="{D5CDD505-2E9C-101B-9397-08002B2CF9AE}" pid="130" name="FSC#COOSYSTEM@1.1:Container">
    <vt:lpwstr>COO.2145.1000.3.3312672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&lt;table border="1" cellpadding="0" cellspacing="0" width="0"&gt;	&lt;tbody&gt;		&lt;tr&gt;			&lt;td colspan="5" style="width: 671px; height: 16px;"&gt;&amp;nbsp;			&lt;p align="center"&gt;&lt;strong&gt;Správa o účasti verejnosti na tvorbe právneho predpisu&lt;/strong&gt;&lt;/p&gt;			&lt;p&gt;&lt;strong&gt;Scenár 1: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dopravy a výstavby Slovenskej republiky</vt:lpwstr>
  </property>
  <property fmtid="{D5CDD505-2E9C-101B-9397-08002B2CF9AE}" pid="145" name="FSC#SKEDITIONSLOVLEX@103.510:funkciaZodpPredAkuzativ">
    <vt:lpwstr>ministra dopravy a výstavby Slovenskej republiky</vt:lpwstr>
  </property>
  <property fmtid="{D5CDD505-2E9C-101B-9397-08002B2CF9AE}" pid="146" name="FSC#SKEDITIONSLOVLEX@103.510:funkciaZodpPredDativ">
    <vt:lpwstr>ministrovi dopravy a výstavby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Arpád Érsek_x000d_
minister dopravy a výstavby Slovenskej republiky</vt:lpwstr>
  </property>
  <property fmtid="{D5CDD505-2E9C-101B-9397-08002B2CF9AE}" pid="151" name="FSC#SKEDITIONSLOVLEX@103.510:aktualnyrok">
    <vt:lpwstr>2019</vt:lpwstr>
  </property>
  <property fmtid="{D5CDD505-2E9C-101B-9397-08002B2CF9AE}" pid="152" name="FSC#SKEDITIONSLOVLEX@103.510:vytvorenedna">
    <vt:lpwstr>18. 4. 2019</vt:lpwstr>
  </property>
</Properties>
</file>