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DFA" w:rsidRPr="00F04CCD" w14:paraId="18CE9B6E" w14:textId="77777777" w:rsidTr="65F47D3B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68EC53C7" w14:textId="77777777" w:rsidR="009F2DFA" w:rsidRPr="00042C66" w:rsidRDefault="008A1252" w:rsidP="00631300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14:paraId="4D56DFA5" w14:textId="77777777"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14:paraId="71A03D20" w14:textId="77777777" w:rsidTr="65F47D3B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492D804F" w14:textId="77777777" w:rsidR="009F2DFA" w:rsidRPr="00042C66" w:rsidRDefault="009F2DFA" w:rsidP="00631300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14:paraId="47DF0BF4" w14:textId="77777777" w:rsidTr="65F47D3B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9F2DFA" w:rsidRPr="00F04CCD" w14:paraId="5812601A" w14:textId="77777777" w:rsidTr="00631300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B55DA14" w14:textId="42231398" w:rsidR="009F2DFA" w:rsidRPr="00F04CCD" w:rsidRDefault="009F2DFA" w:rsidP="00631300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79C0902" w14:textId="77777777" w:rsidR="009F2DFA" w:rsidRPr="00F04CCD" w:rsidRDefault="009F2DFA" w:rsidP="00631300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14:paraId="6E79AE68" w14:textId="77777777" w:rsidTr="00631300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3FD9F22" w14:textId="56F16679" w:rsidR="009F2DFA" w:rsidRPr="00F04CCD" w:rsidRDefault="009F2DFA" w:rsidP="00631300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3CEC573" w14:textId="77777777" w:rsidR="009F2DFA" w:rsidRPr="00F04CCD" w:rsidRDefault="009F2DFA" w:rsidP="00631300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14:paraId="1BF94185" w14:textId="77777777" w:rsidTr="00631300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D24BF9F" w14:textId="5F02D17D" w:rsidR="009F2DFA" w:rsidRPr="00F04CCD" w:rsidRDefault="005B6225" w:rsidP="00631300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5D809B6" w14:textId="77777777" w:rsidR="009F2DFA" w:rsidRPr="00F04CCD" w:rsidRDefault="009F2DFA" w:rsidP="00631300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14:paraId="445339D9" w14:textId="77777777" w:rsidR="009F2DFA" w:rsidRPr="00F04CCD" w:rsidRDefault="009F2DFA" w:rsidP="00631300">
            <w:pPr>
              <w:rPr>
                <w:b/>
              </w:rPr>
            </w:pPr>
          </w:p>
        </w:tc>
      </w:tr>
      <w:tr w:rsidR="009F2DFA" w:rsidRPr="00F04CCD" w14:paraId="77F6B912" w14:textId="77777777" w:rsidTr="65F47D3B">
        <w:tc>
          <w:tcPr>
            <w:tcW w:w="9212" w:type="dxa"/>
            <w:shd w:val="clear" w:color="auto" w:fill="D9D9D9" w:themeFill="background1" w:themeFillShade="D9"/>
          </w:tcPr>
          <w:p w14:paraId="52DA6C7A" w14:textId="77777777" w:rsidR="009F2DFA" w:rsidRPr="00042C66" w:rsidRDefault="002B1108" w:rsidP="006313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14:paraId="2080602F" w14:textId="77777777" w:rsidR="009F2DFA" w:rsidRPr="00F04CCD" w:rsidRDefault="009F2DFA" w:rsidP="00631300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339A6422" w14:textId="77777777" w:rsidTr="65F47D3B">
        <w:tc>
          <w:tcPr>
            <w:tcW w:w="9212" w:type="dxa"/>
            <w:tcBorders>
              <w:bottom w:val="single" w:sz="4" w:space="0" w:color="auto"/>
            </w:tcBorders>
          </w:tcPr>
          <w:p w14:paraId="4F26EB1D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14:paraId="23168FE1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14:paraId="3B304C1E" w14:textId="77777777" w:rsidTr="65F47D3B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44456C5C" w14:textId="77777777" w:rsidR="00294CBF" w:rsidRDefault="00294CBF" w:rsidP="00F10906">
            <w:pPr>
              <w:ind w:left="174" w:right="171"/>
              <w:jc w:val="both"/>
            </w:pPr>
          </w:p>
          <w:p w14:paraId="018E2B8D" w14:textId="4C00A0D6" w:rsidR="006C4AAD" w:rsidRPr="006C4AAD" w:rsidRDefault="005B6225" w:rsidP="00584C97">
            <w:pPr>
              <w:ind w:left="174" w:right="171"/>
              <w:jc w:val="both"/>
            </w:pPr>
            <w:r w:rsidRPr="00FB156F">
              <w:t xml:space="preserve">Predložený materiál </w:t>
            </w:r>
            <w:r w:rsidR="00FE4748" w:rsidRPr="005F2DF7">
              <w:rPr>
                <w:b/>
              </w:rPr>
              <w:t>Akčn</w:t>
            </w:r>
            <w:r w:rsidR="0096180F" w:rsidRPr="005F2DF7">
              <w:rPr>
                <w:b/>
              </w:rPr>
              <w:t>ý</w:t>
            </w:r>
            <w:r w:rsidR="00FE4748" w:rsidRPr="005F2DF7">
              <w:rPr>
                <w:b/>
              </w:rPr>
              <w:t xml:space="preserve"> plán</w:t>
            </w:r>
            <w:r w:rsidR="0096180F" w:rsidRPr="005F2DF7">
              <w:rPr>
                <w:b/>
              </w:rPr>
              <w:t xml:space="preserve"> </w:t>
            </w:r>
            <w:r w:rsidR="00CB5505">
              <w:rPr>
                <w:b/>
              </w:rPr>
              <w:t>digitálnej</w:t>
            </w:r>
            <w:r w:rsidR="00250455">
              <w:rPr>
                <w:b/>
              </w:rPr>
              <w:t xml:space="preserve"> transformácia</w:t>
            </w:r>
            <w:r w:rsidR="00196568" w:rsidRPr="00196568">
              <w:rPr>
                <w:b/>
              </w:rPr>
              <w:t xml:space="preserve"> Slovenska</w:t>
            </w:r>
            <w:r w:rsidR="00FE4748" w:rsidRPr="00CB5505">
              <w:rPr>
                <w:b/>
              </w:rPr>
              <w:t xml:space="preserve"> </w:t>
            </w:r>
            <w:r w:rsidR="00CB5505">
              <w:rPr>
                <w:b/>
              </w:rPr>
              <w:t xml:space="preserve">na roky </w:t>
            </w:r>
            <w:r w:rsidR="0096180F" w:rsidRPr="005F2DF7">
              <w:rPr>
                <w:b/>
              </w:rPr>
              <w:t>2019-2022</w:t>
            </w:r>
            <w:r w:rsidR="006C4AAD">
              <w:rPr>
                <w:b/>
              </w:rPr>
              <w:t xml:space="preserve"> </w:t>
            </w:r>
            <w:r w:rsidR="006C4AAD" w:rsidRPr="009932F3">
              <w:t>(</w:t>
            </w:r>
            <w:r w:rsidR="006C4AAD" w:rsidRPr="006C4AAD">
              <w:t>ďalej ako aj „akčný plán“</w:t>
            </w:r>
            <w:r w:rsidR="006C4AAD" w:rsidRPr="009932F3">
              <w:t>)</w:t>
            </w:r>
            <w:r w:rsidR="007F67D7">
              <w:t xml:space="preserve"> </w:t>
            </w:r>
            <w:r w:rsidRPr="00FB156F">
              <w:t xml:space="preserve">sa dotýka </w:t>
            </w:r>
            <w:r w:rsidR="00CB5505">
              <w:t>viacerých</w:t>
            </w:r>
            <w:r w:rsidR="001A1104">
              <w:t xml:space="preserve"> hlavných sektorov hospodárstva, t.j. podnikateľský sektor, priemysel, doprava a finančné služby</w:t>
            </w:r>
            <w:r w:rsidR="00F10906">
              <w:t xml:space="preserve">. Prostredníctvom opatrení akčného plánu sa </w:t>
            </w:r>
            <w:r w:rsidR="006C4AAD">
              <w:t>podporí vytvorenie</w:t>
            </w:r>
            <w:r w:rsidR="00CC4222">
              <w:t xml:space="preserve"> </w:t>
            </w:r>
            <w:r w:rsidR="006C4AAD">
              <w:t>podnikateľského</w:t>
            </w:r>
            <w:r w:rsidR="00CC4222" w:rsidRPr="006C4AAD">
              <w:t xml:space="preserve"> ekosystém</w:t>
            </w:r>
            <w:r w:rsidR="006C4AAD">
              <w:t>u</w:t>
            </w:r>
            <w:r w:rsidR="00CC4222" w:rsidRPr="006C4AAD">
              <w:t xml:space="preserve">, ktorý </w:t>
            </w:r>
            <w:r w:rsidR="00F10906">
              <w:rPr>
                <w:rStyle w:val="normaltextrun"/>
                <w:shd w:val="clear" w:color="auto" w:fill="FFFFFF"/>
              </w:rPr>
              <w:t>bude</w:t>
            </w:r>
            <w:r w:rsidR="00CC4222" w:rsidRPr="006C4AAD">
              <w:t xml:space="preserve"> schopný čeliť svetovej konkurencii </w:t>
            </w:r>
            <w:r w:rsidR="006C4AAD" w:rsidRPr="006C4AAD">
              <w:t>a</w:t>
            </w:r>
            <w:r w:rsidR="006C4AAD">
              <w:rPr>
                <w:rStyle w:val="normaltextrun"/>
                <w:shd w:val="clear" w:color="auto" w:fill="FFFFFF"/>
              </w:rPr>
              <w:t xml:space="preserve"> bude</w:t>
            </w:r>
            <w:r w:rsidR="00CC4222" w:rsidRPr="006C4AAD">
              <w:rPr>
                <w:rStyle w:val="normaltextrun"/>
                <w:shd w:val="clear" w:color="auto" w:fill="FFFFFF"/>
              </w:rPr>
              <w:t xml:space="preserve"> </w:t>
            </w:r>
            <w:r w:rsidR="00CC4222" w:rsidRPr="006C4AAD">
              <w:t>produkovať inovácie úspešné v rámci jednotného digitálneho trhu</w:t>
            </w:r>
            <w:r w:rsidR="006C4AAD">
              <w:t xml:space="preserve"> a konkurencieschopné v digitálnej ére</w:t>
            </w:r>
            <w:r w:rsidR="00CC4222" w:rsidRPr="006C4AAD">
              <w:t>.</w:t>
            </w:r>
            <w:r w:rsidR="006C4AAD">
              <w:rPr>
                <w:rStyle w:val="eop"/>
                <w:color w:val="000000" w:themeColor="text1"/>
              </w:rPr>
              <w:t xml:space="preserve"> </w:t>
            </w:r>
            <w:r w:rsidR="00CC4222">
              <w:t xml:space="preserve">Technologický pokrok a investície prinášajú predovšetkým nadnárodné spoločnosti pôsobiace na Slovensku, ako aj malí a strední podnikatelia a </w:t>
            </w:r>
            <w:proofErr w:type="spellStart"/>
            <w:r w:rsidR="00CC4222">
              <w:t>startupy</w:t>
            </w:r>
            <w:proofErr w:type="spellEnd"/>
            <w:r w:rsidR="00CC4222">
              <w:t>. Z tohto dôvodu je nevyhnutné aby ich štát v čo najväčšej miere podporoval.</w:t>
            </w:r>
          </w:p>
          <w:p w14:paraId="1E03EC07" w14:textId="5FEAC80D" w:rsidR="00F10906" w:rsidRPr="00584C97" w:rsidRDefault="00F10906" w:rsidP="00584C97">
            <w:pPr>
              <w:pStyle w:val="paragraph"/>
              <w:shd w:val="clear" w:color="auto" w:fill="FFFFFF"/>
              <w:spacing w:before="0" w:beforeAutospacing="0" w:after="0" w:afterAutospacing="0"/>
              <w:ind w:left="173" w:right="315"/>
              <w:jc w:val="both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Opatrenia akčného plánu podnikateľským subjektom prinesú nasledovné zmeny, resp. naštartujú procesy, ktoré prinesú podnikateľskému sektoru nasledujúce zmeny</w:t>
            </w:r>
            <w:r w:rsidRPr="00F10906">
              <w:rPr>
                <w:rStyle w:val="normaltextrun"/>
                <w:sz w:val="20"/>
                <w:szCs w:val="20"/>
                <w:shd w:val="clear" w:color="auto" w:fill="FFFFFF"/>
              </w:rPr>
              <w:t>:</w:t>
            </w:r>
          </w:p>
          <w:p w14:paraId="11E612F6" w14:textId="6D367837" w:rsidR="00CC4222" w:rsidRPr="006C4AAD" w:rsidRDefault="00CC4222" w:rsidP="00950C1B">
            <w:pPr>
              <w:pStyle w:val="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315"/>
              <w:jc w:val="both"/>
              <w:textAlignment w:val="baseline"/>
              <w:rPr>
                <w:rStyle w:val="normaltextrun"/>
                <w:shd w:val="clear" w:color="auto" w:fill="FFFFFF"/>
              </w:rPr>
            </w:pPr>
            <w:r w:rsidRPr="00950C1B">
              <w:rPr>
                <w:rStyle w:val="normaltextrun"/>
                <w:sz w:val="20"/>
                <w:szCs w:val="20"/>
                <w:shd w:val="clear" w:color="auto" w:fill="FFFFFF"/>
              </w:rPr>
              <w:t>jednotné a zjednodušené procesy pre podnikanie v celej Európskej únii,</w:t>
            </w:r>
          </w:p>
          <w:p w14:paraId="42722855" w14:textId="158CD4C7" w:rsidR="00CC4222" w:rsidRPr="006C4AAD" w:rsidRDefault="00CC4222" w:rsidP="00950C1B">
            <w:pPr>
              <w:pStyle w:val="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315"/>
              <w:jc w:val="both"/>
              <w:textAlignment w:val="baseline"/>
              <w:rPr>
                <w:rStyle w:val="normaltextrun"/>
                <w:shd w:val="clear" w:color="auto" w:fill="FFFFFF"/>
              </w:rPr>
            </w:pPr>
            <w:r w:rsidRPr="00950C1B">
              <w:rPr>
                <w:rStyle w:val="normaltextrun"/>
                <w:sz w:val="20"/>
                <w:szCs w:val="20"/>
                <w:shd w:val="clear" w:color="auto" w:fill="FFFFFF"/>
              </w:rPr>
              <w:t>zníženie transakčných nákladov pri poskytovaní obsahu a služieb cezhranične (vďaka jednotným zmluvným pravidlám a dobre nastavenému daňovému režimu DPH),</w:t>
            </w:r>
          </w:p>
          <w:p w14:paraId="30820ADD" w14:textId="5BCCC114" w:rsidR="00CC4222" w:rsidRPr="006C4AAD" w:rsidRDefault="00CC4222" w:rsidP="00950C1B">
            <w:pPr>
              <w:pStyle w:val="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315"/>
              <w:jc w:val="both"/>
              <w:textAlignment w:val="baseline"/>
              <w:rPr>
                <w:rStyle w:val="normaltextrun"/>
                <w:shd w:val="clear" w:color="auto" w:fill="FFFFFF"/>
              </w:rPr>
            </w:pPr>
            <w:r w:rsidRPr="00950C1B">
              <w:rPr>
                <w:rStyle w:val="normaltextrun"/>
                <w:sz w:val="20"/>
                <w:szCs w:val="20"/>
                <w:shd w:val="clear" w:color="auto" w:fill="FFFFFF"/>
              </w:rPr>
              <w:t>regulácie prispôsobené digitálnej dobe, ktoré podporia férovú hospodársku súťaž, vyriešia problémy digitálnych monopolov a podporia inovatívne biznis modely,</w:t>
            </w:r>
          </w:p>
          <w:p w14:paraId="07E78CCA" w14:textId="63FEB704" w:rsidR="00CC4222" w:rsidRPr="006C4AAD" w:rsidRDefault="00CC4222" w:rsidP="00950C1B">
            <w:pPr>
              <w:pStyle w:val="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315"/>
              <w:jc w:val="both"/>
              <w:textAlignment w:val="baseline"/>
              <w:rPr>
                <w:rStyle w:val="normaltextrun"/>
                <w:shd w:val="clear" w:color="auto" w:fill="FFFFFF"/>
              </w:rPr>
            </w:pPr>
            <w:r w:rsidRPr="00950C1B">
              <w:rPr>
                <w:rStyle w:val="normaltextrun"/>
                <w:sz w:val="20"/>
                <w:szCs w:val="20"/>
                <w:shd w:val="clear" w:color="auto" w:fill="FFFFFF"/>
              </w:rPr>
              <w:t>efektívnu elektronickú komunikáciu s verejnou správou, ktorá bude šetriť čas a peniaze podnikateľov,</w:t>
            </w:r>
          </w:p>
          <w:p w14:paraId="11FCF07B" w14:textId="0C08895D" w:rsidR="00950C1B" w:rsidRPr="006C4AAD" w:rsidRDefault="00CC4222" w:rsidP="00950C1B">
            <w:pPr>
              <w:pStyle w:val="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315"/>
              <w:jc w:val="both"/>
              <w:textAlignment w:val="baseline"/>
              <w:rPr>
                <w:rStyle w:val="normaltextrun"/>
                <w:shd w:val="clear" w:color="auto" w:fill="FFFFFF"/>
              </w:rPr>
            </w:pPr>
            <w:r w:rsidRPr="00950C1B">
              <w:rPr>
                <w:rStyle w:val="normaltextrun"/>
                <w:sz w:val="20"/>
                <w:szCs w:val="20"/>
                <w:shd w:val="clear" w:color="auto" w:fill="FFFFFF"/>
              </w:rPr>
              <w:t>financovanie, ktoré podporí inovácie podnikateľov, a štátmi podporované „</w:t>
            </w:r>
            <w:proofErr w:type="spellStart"/>
            <w:r w:rsidRPr="006C4AAD">
              <w:rPr>
                <w:rStyle w:val="normaltextrun"/>
                <w:sz w:val="20"/>
                <w:szCs w:val="20"/>
                <w:shd w:val="clear" w:color="auto" w:fill="FFFFFF"/>
              </w:rPr>
              <w:t>living</w:t>
            </w:r>
            <w:proofErr w:type="spellEnd"/>
            <w:r w:rsidRPr="00950C1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4AAD">
              <w:rPr>
                <w:rStyle w:val="normaltextrun"/>
                <w:sz w:val="20"/>
                <w:szCs w:val="20"/>
                <w:shd w:val="clear" w:color="auto" w:fill="FFFFFF"/>
              </w:rPr>
              <w:t>labs</w:t>
            </w:r>
            <w:proofErr w:type="spellEnd"/>
            <w:r w:rsidRPr="00950C1B">
              <w:rPr>
                <w:rStyle w:val="normaltextrun"/>
                <w:sz w:val="20"/>
                <w:szCs w:val="20"/>
                <w:shd w:val="clear" w:color="auto" w:fill="FFFFFF"/>
              </w:rPr>
              <w:t>“, kde si inovatívne riešenia budú môcť vyskúšať v praxi a ďalej ich škálovať a zlepšovať,</w:t>
            </w:r>
          </w:p>
          <w:p w14:paraId="60E5FF5B" w14:textId="0968E138" w:rsidR="00F10906" w:rsidRPr="006C4AAD" w:rsidRDefault="00CC4222" w:rsidP="00950C1B">
            <w:pPr>
              <w:pStyle w:val="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315"/>
              <w:jc w:val="both"/>
              <w:textAlignment w:val="baseline"/>
              <w:rPr>
                <w:rStyle w:val="normaltextrun"/>
                <w:shd w:val="clear" w:color="auto" w:fill="FFFFFF"/>
              </w:rPr>
            </w:pPr>
            <w:r w:rsidRPr="00950C1B">
              <w:rPr>
                <w:rStyle w:val="normaltextrun"/>
                <w:sz w:val="20"/>
                <w:szCs w:val="20"/>
                <w:shd w:val="clear" w:color="auto" w:fill="FFFFFF"/>
              </w:rPr>
              <w:t>nové možnosti pre využitie a spracovanie dát, ako aj zabezpečenie voľného pohybu dát ako piatej slobody vnútorného trhu EÚ.</w:t>
            </w:r>
          </w:p>
          <w:p w14:paraId="375ACE6C" w14:textId="0C0D66CC" w:rsidR="00172C47" w:rsidRPr="006C4AAD" w:rsidRDefault="00172C47" w:rsidP="006C4AAD">
            <w:pPr>
              <w:ind w:left="174" w:right="171"/>
              <w:jc w:val="both"/>
            </w:pPr>
          </w:p>
          <w:p w14:paraId="5C5C629C" w14:textId="02463E55" w:rsidR="00C77047" w:rsidRPr="00584C97" w:rsidRDefault="00C77047" w:rsidP="00584C97">
            <w:pPr>
              <w:pStyle w:val="paragraph"/>
              <w:shd w:val="clear" w:color="auto" w:fill="FFFFFF"/>
              <w:spacing w:before="0" w:beforeAutospacing="0" w:after="0" w:afterAutospacing="0"/>
              <w:ind w:left="173"/>
              <w:jc w:val="both"/>
              <w:textAlignment w:val="baseline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090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Od zjednotenia pravidiel v Európskej únii je možné tiež očakávať výrazné zvýšenie konkurencie, čo prináša mnohé výzvy a príležitosti. Vo všeobecnosti sa dá predpokladať, že uspejú podniky, ktoré dokážu inovovať a digitalizovať svoje </w:t>
            </w:r>
            <w:r w:rsidRPr="005F2DF7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procesy, ale najmä ponúknuť služby a produkty s vysokou pridanou hodnotou. Je preto dôležité, aby takéto podniky dostali príslušnú podporu,</w:t>
            </w:r>
            <w:r w:rsidRPr="005F2DF7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ktoré má zabezpečiť práve implementácia opatrení v akčnom pláne – ide o nasledujúcu podporu</w:t>
            </w:r>
            <w:r w:rsidRPr="005F2DF7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5F3FDDCD" w14:textId="77777777" w:rsidR="00C77047" w:rsidRPr="00F10906" w:rsidRDefault="00C77047" w:rsidP="00C77047">
            <w:pPr>
              <w:pStyle w:val="paragraph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1090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podpora skúšať a vytvárať nové biznis modely,</w:t>
            </w:r>
            <w:r w:rsidRPr="00F10906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302CE73A" w14:textId="77777777" w:rsidR="00C77047" w:rsidRPr="00F10906" w:rsidRDefault="00C77047" w:rsidP="00C77047">
            <w:pPr>
              <w:pStyle w:val="paragraph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1090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podpora zavádzať riešenia umelej inteligencie v biznis procesoch,</w:t>
            </w:r>
            <w:r w:rsidRPr="00F10906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45AF692C" w14:textId="77777777" w:rsidR="00C77047" w:rsidRPr="00F10906" w:rsidRDefault="00C77047" w:rsidP="00C77047">
            <w:pPr>
              <w:pStyle w:val="paragraph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1090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podpora v prístupe k ľudskému kapitálu, znalostiam a technológiám,</w:t>
            </w:r>
            <w:r w:rsidRPr="00F10906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7562934D" w14:textId="77777777" w:rsidR="00C77047" w:rsidRDefault="00C77047" w:rsidP="00C77047">
            <w:pPr>
              <w:pStyle w:val="paragraph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 w:themeColor="text1"/>
                <w:sz w:val="20"/>
                <w:szCs w:val="20"/>
              </w:rPr>
            </w:pPr>
            <w:r w:rsidRPr="00F1090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a v neposlednom rade finančná podpora počas celého inovačného cyklu od aplikovaného výskumu až po škálovanie inovácií.</w:t>
            </w:r>
            <w:r w:rsidRPr="00F10906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443372DF" w14:textId="62DE18B3" w:rsidR="001C4D24" w:rsidRDefault="000E6B18" w:rsidP="00AD6145">
            <w:pPr>
              <w:pStyle w:val="paragraph"/>
              <w:ind w:left="173"/>
              <w:jc w:val="both"/>
              <w:textAlignment w:val="baseline"/>
              <w:rPr>
                <w:rStyle w:val="eop"/>
                <w:b/>
                <w:color w:val="000000" w:themeColor="text1"/>
                <w:sz w:val="20"/>
                <w:szCs w:val="20"/>
              </w:rPr>
            </w:pPr>
            <w:r w:rsidRPr="00FD5934">
              <w:rPr>
                <w:rStyle w:val="eop"/>
                <w:color w:val="000000" w:themeColor="text1"/>
                <w:sz w:val="20"/>
                <w:szCs w:val="20"/>
              </w:rPr>
              <w:t>Jedna</w:t>
            </w:r>
            <w:r w:rsidR="001C4D24">
              <w:rPr>
                <w:rStyle w:val="eop"/>
                <w:color w:val="000000" w:themeColor="text1"/>
                <w:sz w:val="20"/>
                <w:szCs w:val="20"/>
              </w:rPr>
              <w:t xml:space="preserve"> </w:t>
            </w:r>
            <w:r w:rsidR="00D54EAD">
              <w:rPr>
                <w:rStyle w:val="eop"/>
                <w:color w:val="000000" w:themeColor="text1"/>
                <w:sz w:val="20"/>
                <w:szCs w:val="20"/>
              </w:rPr>
              <w:t>z </w:t>
            </w:r>
            <w:r w:rsidRPr="00FD5934">
              <w:rPr>
                <w:rStyle w:val="eop"/>
                <w:color w:val="000000" w:themeColor="text1"/>
                <w:sz w:val="20"/>
                <w:szCs w:val="20"/>
              </w:rPr>
              <w:t xml:space="preserve">prioritných oblastí </w:t>
            </w:r>
            <w:r w:rsidR="006C4AAD">
              <w:rPr>
                <w:rStyle w:val="eop"/>
                <w:color w:val="000000" w:themeColor="text1"/>
                <w:sz w:val="20"/>
                <w:szCs w:val="20"/>
              </w:rPr>
              <w:t>a</w:t>
            </w:r>
            <w:r w:rsidRPr="00FD5934">
              <w:rPr>
                <w:rStyle w:val="eop"/>
                <w:color w:val="000000" w:themeColor="text1"/>
                <w:sz w:val="20"/>
                <w:szCs w:val="20"/>
              </w:rPr>
              <w:t>kčného plánu</w:t>
            </w:r>
            <w:r>
              <w:rPr>
                <w:rStyle w:val="eop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C4D24" w:rsidRPr="001C4D24">
              <w:rPr>
                <w:rStyle w:val="eop"/>
                <w:color w:val="000000" w:themeColor="text1"/>
                <w:sz w:val="20"/>
                <w:szCs w:val="20"/>
              </w:rPr>
              <w:t>je</w:t>
            </w:r>
            <w:r w:rsidR="001C4D24">
              <w:rPr>
                <w:rStyle w:val="eop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C4D24" w:rsidRPr="00584C97">
              <w:rPr>
                <w:rStyle w:val="eop"/>
                <w:b/>
                <w:color w:val="000000" w:themeColor="text1"/>
                <w:sz w:val="20"/>
                <w:szCs w:val="20"/>
              </w:rPr>
              <w:t>„Vytvoríme základy pre moderné digitálne a dátové hospodárstvo a pre digitálnu transformáciu širšej ekonomiky“.</w:t>
            </w:r>
          </w:p>
          <w:p w14:paraId="3AFB5EE1" w14:textId="51C66C3E" w:rsidR="00AD6145" w:rsidRPr="00AD6145" w:rsidRDefault="00AD6145" w:rsidP="00AD6145">
            <w:pPr>
              <w:pStyle w:val="paragraph"/>
              <w:ind w:left="173"/>
              <w:jc w:val="both"/>
              <w:textAlignment w:val="baseline"/>
              <w:rPr>
                <w:rStyle w:val="eop"/>
                <w:i/>
                <w:color w:val="000000" w:themeColor="text1"/>
                <w:sz w:val="20"/>
                <w:szCs w:val="20"/>
              </w:rPr>
            </w:pPr>
            <w:r w:rsidRPr="00AD6145">
              <w:rPr>
                <w:rStyle w:val="eop"/>
                <w:i/>
                <w:color w:val="000000" w:themeColor="text1"/>
                <w:sz w:val="20"/>
                <w:szCs w:val="20"/>
              </w:rPr>
              <w:t>Sektor: Hospodárstvo</w:t>
            </w:r>
          </w:p>
          <w:p w14:paraId="3A742ACC" w14:textId="5873C1EB" w:rsidR="00AD6145" w:rsidRPr="00AD6145" w:rsidRDefault="65F47D3B" w:rsidP="65F47D3B">
            <w:pPr>
              <w:pStyle w:val="paragraph"/>
              <w:spacing w:before="0" w:beforeAutospacing="0" w:after="0" w:afterAutospacing="0"/>
              <w:ind w:left="173"/>
              <w:jc w:val="both"/>
              <w:textAlignment w:val="baseline"/>
              <w:rPr>
                <w:rStyle w:val="eop"/>
                <w:i/>
                <w:iCs/>
                <w:color w:val="000000" w:themeColor="text1"/>
                <w:sz w:val="20"/>
                <w:szCs w:val="20"/>
              </w:rPr>
            </w:pPr>
            <w:r w:rsidRPr="65F47D3B">
              <w:rPr>
                <w:rStyle w:val="eop"/>
                <w:i/>
                <w:iCs/>
                <w:color w:val="000000" w:themeColor="text1"/>
                <w:sz w:val="20"/>
                <w:szCs w:val="20"/>
              </w:rPr>
              <w:t>Podsektory: Priemysel, Ekonomika a finančný sektor, Podnikanie, Infraštruktúra, Telekomunikácie, Doprava, Poľnohospodárstvo a pôdohospodárstvo.</w:t>
            </w:r>
          </w:p>
          <w:p w14:paraId="6B800465" w14:textId="77777777" w:rsidR="00AD6145" w:rsidRDefault="00AD6145" w:rsidP="00F10906">
            <w:pPr>
              <w:pStyle w:val="paragraph"/>
              <w:spacing w:before="0" w:beforeAutospacing="0" w:after="0" w:afterAutospacing="0"/>
              <w:ind w:left="173"/>
              <w:jc w:val="both"/>
              <w:textAlignment w:val="baseline"/>
              <w:rPr>
                <w:rStyle w:val="eop"/>
                <w:b/>
                <w:color w:val="000000" w:themeColor="text1"/>
                <w:sz w:val="20"/>
                <w:szCs w:val="20"/>
              </w:rPr>
            </w:pPr>
          </w:p>
          <w:p w14:paraId="30DD311F" w14:textId="1E54EC9D" w:rsidR="005F2DF7" w:rsidRPr="00F76117" w:rsidRDefault="00584C97" w:rsidP="005F2DF7">
            <w:pPr>
              <w:ind w:left="173"/>
              <w:jc w:val="both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Údaje</w:t>
            </w:r>
            <w:r w:rsidR="005F2DF7" w:rsidRPr="005F2DF7">
              <w:rPr>
                <w:rStyle w:val="normaltextrun"/>
                <w:color w:val="000000"/>
                <w:shd w:val="clear" w:color="auto" w:fill="FFFFFF"/>
              </w:rPr>
              <w:t xml:space="preserve"> predstavujú vzácny zdroj pre vytváranie hodnoty v dátovom hospodárstve a považujú sa za katalyzátor hospodárskeho rastu, inovácií a informatizácie vo všetkých odvetviach hospodárstva. Inteligentné telefóny a senzory zbierajú stále intímnejšie informácie o polohe a životnom štýle, zariadenia v internete vecí nahrávajú náš hlas pri ich ovládaní a posielajú ho na analýzu do vzdialených dátových centier. Kvantifikovateľná </w:t>
            </w:r>
            <w:r w:rsidR="005F2DF7" w:rsidRPr="005F2DF7">
              <w:rPr>
                <w:rStyle w:val="normaltextrun"/>
                <w:color w:val="000000"/>
                <w:shd w:val="clear" w:color="auto" w:fill="FFFFFF"/>
              </w:rPr>
              <w:lastRenderedPageBreak/>
              <w:t>hodnota aplikácií, ktoré využívajú osobné údaje, sa v Európe odhaduje na 1 trilión EUR ročne do roku 2020.</w:t>
            </w:r>
            <w:r w:rsidR="001C4D24">
              <w:rPr>
                <w:rStyle w:val="Odkaznapoznmkupodiarou"/>
                <w:color w:val="000000"/>
                <w:shd w:val="clear" w:color="auto" w:fill="FFFFFF"/>
              </w:rPr>
              <w:footnoteReference w:id="2"/>
            </w:r>
            <w:r w:rsidR="005F2DF7" w:rsidRPr="005F2DF7">
              <w:rPr>
                <w:rStyle w:val="normaltextrun"/>
                <w:color w:val="000000"/>
                <w:shd w:val="clear" w:color="auto" w:fill="FFFFFF"/>
              </w:rPr>
              <w:t xml:space="preserve"> Pre občanov Slovenska to znamená približne 5.5 miliardy EUR ročne, čo momentálne predstavuje okolo 7 % HDP. </w:t>
            </w:r>
          </w:p>
          <w:p w14:paraId="1FB0D8EE" w14:textId="77777777" w:rsidR="00E4434E" w:rsidRPr="005F2DF7" w:rsidRDefault="00E4434E" w:rsidP="005F2DF7">
            <w:pPr>
              <w:ind w:left="173"/>
              <w:jc w:val="both"/>
            </w:pPr>
          </w:p>
          <w:p w14:paraId="5A4B3F2F" w14:textId="5D1A758C" w:rsidR="00F10906" w:rsidRPr="00584C97" w:rsidRDefault="005F2DF7" w:rsidP="00584C97">
            <w:pPr>
              <w:pStyle w:val="paragraph"/>
              <w:shd w:val="clear" w:color="auto" w:fill="FFFFFF"/>
              <w:spacing w:before="0" w:beforeAutospacing="0" w:after="0" w:afterAutospacing="0"/>
              <w:ind w:left="173" w:right="173"/>
              <w:jc w:val="both"/>
              <w:textAlignment w:val="baseline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Prostredníctvom implementácie opatrení v akčnom pláne sa na Slovensku do roku 2022</w:t>
            </w:r>
            <w:r w:rsidR="005E7263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 postavia základy pre naplnenie strategických cieľov Stratégie digitálnej transformácie Slovenska 2030 a to</w:t>
            </w:r>
            <w:r w:rsidR="00F10906" w:rsidRPr="00F1090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45E76712" w14:textId="24B1852C" w:rsidR="00E4434E" w:rsidRDefault="00FE57F5" w:rsidP="00F10906">
            <w:pPr>
              <w:pStyle w:val="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FE57F5">
              <w:rPr>
                <w:rStyle w:val="normaltextrun"/>
                <w:color w:val="000000" w:themeColor="text1"/>
                <w:sz w:val="20"/>
                <w:szCs w:val="20"/>
              </w:rPr>
              <w:t>Transformácia tradičného priemyslu na inovačný digitálny priemysel (Smart Industry)</w:t>
            </w:r>
          </w:p>
          <w:p w14:paraId="691EC2B1" w14:textId="345204BD" w:rsidR="00FE57F5" w:rsidRDefault="00535AFC" w:rsidP="00F10906">
            <w:pPr>
              <w:pStyle w:val="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535AFC">
              <w:rPr>
                <w:rStyle w:val="normaltextrun"/>
                <w:color w:val="000000" w:themeColor="text1"/>
                <w:sz w:val="20"/>
                <w:szCs w:val="20"/>
              </w:rPr>
              <w:t>Vybudovanie modernej, robustnej</w:t>
            </w:r>
            <w:r w:rsidRPr="005E7263">
              <w:rPr>
                <w:rStyle w:val="normaltextrun"/>
                <w:color w:val="000000" w:themeColor="text1"/>
                <w:sz w:val="20"/>
              </w:rPr>
              <w:t xml:space="preserve"> a </w:t>
            </w:r>
            <w:r w:rsidRPr="00535AFC">
              <w:rPr>
                <w:rStyle w:val="normaltextrun"/>
                <w:color w:val="000000" w:themeColor="text1"/>
                <w:sz w:val="20"/>
                <w:szCs w:val="20"/>
              </w:rPr>
              <w:t>funkčnej digitálnej infraštruktúry</w:t>
            </w:r>
          </w:p>
          <w:p w14:paraId="61D5945E" w14:textId="2B978FAF" w:rsidR="00535AFC" w:rsidRPr="005E7263" w:rsidRDefault="002D3DFE" w:rsidP="005E7263">
            <w:pPr>
              <w:pStyle w:val="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2D3DFE">
              <w:rPr>
                <w:rStyle w:val="normaltextrun"/>
                <w:color w:val="000000" w:themeColor="text1"/>
                <w:sz w:val="20"/>
                <w:szCs w:val="20"/>
              </w:rPr>
              <w:t xml:space="preserve">Vybudovanie fungujúceho </w:t>
            </w:r>
            <w:r w:rsidRPr="005E7263">
              <w:rPr>
                <w:rStyle w:val="normaltextrun"/>
                <w:color w:val="000000" w:themeColor="text1"/>
                <w:sz w:val="20"/>
              </w:rPr>
              <w:t xml:space="preserve">dátové hospodárstvo </w:t>
            </w:r>
            <w:r w:rsidRPr="002D3DFE">
              <w:rPr>
                <w:rStyle w:val="normaltextrun"/>
                <w:color w:val="000000" w:themeColor="text1"/>
                <w:sz w:val="20"/>
                <w:szCs w:val="20"/>
              </w:rPr>
              <w:t>pre lepšie využívanie dát</w:t>
            </w:r>
          </w:p>
          <w:p w14:paraId="49A8770A" w14:textId="4A3D708B" w:rsidR="002D3DFE" w:rsidRDefault="004425C9" w:rsidP="00F10906">
            <w:pPr>
              <w:pStyle w:val="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4425C9">
              <w:rPr>
                <w:rStyle w:val="normaltextrun"/>
                <w:color w:val="000000" w:themeColor="text1"/>
                <w:sz w:val="20"/>
                <w:szCs w:val="20"/>
              </w:rPr>
              <w:t>Vytvorenie ekosystému slovenských Digitálnych inovačných hubov (DIHs) a vybudovanie unikátneho inovačného hubu v</w:t>
            </w:r>
            <w:r w:rsidR="00217848">
              <w:rPr>
                <w:rStyle w:val="normaltextrun"/>
                <w:color w:val="000000" w:themeColor="text1"/>
                <w:sz w:val="20"/>
                <w:szCs w:val="20"/>
              </w:rPr>
              <w:t> </w:t>
            </w:r>
            <w:r w:rsidRPr="004425C9">
              <w:rPr>
                <w:rStyle w:val="normaltextrun"/>
                <w:color w:val="000000" w:themeColor="text1"/>
                <w:sz w:val="20"/>
                <w:szCs w:val="20"/>
              </w:rPr>
              <w:t>Bratislave</w:t>
            </w:r>
          </w:p>
          <w:p w14:paraId="23D7417A" w14:textId="5F92B489" w:rsidR="00217848" w:rsidRDefault="00217848" w:rsidP="00F10906">
            <w:pPr>
              <w:pStyle w:val="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217848">
              <w:rPr>
                <w:rStyle w:val="normaltextrun"/>
                <w:color w:val="000000" w:themeColor="text1"/>
                <w:sz w:val="20"/>
                <w:szCs w:val="20"/>
              </w:rPr>
              <w:t>Príprava a implementovanie novej legislatívnej a regulačnej politiky pre vytvorenie inovatívneho podnikateľského ekosystému</w:t>
            </w:r>
          </w:p>
          <w:p w14:paraId="009B4FFE" w14:textId="70A23C01" w:rsidR="00217848" w:rsidRDefault="007263EA" w:rsidP="00F10906">
            <w:pPr>
              <w:pStyle w:val="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7263EA">
              <w:rPr>
                <w:rStyle w:val="normaltextrun"/>
                <w:color w:val="000000" w:themeColor="text1"/>
                <w:sz w:val="20"/>
                <w:szCs w:val="20"/>
              </w:rPr>
              <w:t>Zlepšenie verejných politík v oblasti dopravy a zavádzanie inteligentnej mobility, vrátane autonómnych vozidiel</w:t>
            </w:r>
          </w:p>
          <w:p w14:paraId="7EAB9BB8" w14:textId="13732DC6" w:rsidR="00F10906" w:rsidRPr="009840DE" w:rsidRDefault="004B5904" w:rsidP="003547C2">
            <w:pPr>
              <w:pStyle w:val="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 w:themeColor="text1"/>
                <w:sz w:val="20"/>
                <w:szCs w:val="20"/>
              </w:rPr>
            </w:pPr>
            <w:r w:rsidRPr="009840DE">
              <w:rPr>
                <w:rStyle w:val="normaltextrun"/>
                <w:color w:val="000000" w:themeColor="text1"/>
                <w:sz w:val="20"/>
                <w:szCs w:val="20"/>
              </w:rPr>
              <w:t xml:space="preserve">Aplikovanie udržateľné obrábanie pôdy prostredníctvom využívania technológií presného </w:t>
            </w:r>
            <w:r w:rsidR="009840DE" w:rsidRPr="009840DE">
              <w:rPr>
                <w:rStyle w:val="normaltextrun"/>
                <w:color w:val="000000" w:themeColor="text1"/>
                <w:sz w:val="20"/>
                <w:szCs w:val="20"/>
              </w:rPr>
              <w:t>poľno</w:t>
            </w:r>
            <w:r w:rsidRPr="009840DE">
              <w:rPr>
                <w:rStyle w:val="normaltextrun"/>
                <w:color w:val="000000" w:themeColor="text1"/>
                <w:sz w:val="20"/>
                <w:szCs w:val="20"/>
              </w:rPr>
              <w:t>hospodárstva (</w:t>
            </w:r>
            <w:proofErr w:type="spellStart"/>
            <w:r w:rsidRPr="009840DE">
              <w:rPr>
                <w:rStyle w:val="normaltextrun"/>
                <w:color w:val="000000" w:themeColor="text1"/>
                <w:sz w:val="20"/>
                <w:szCs w:val="20"/>
              </w:rPr>
              <w:t>Precision</w:t>
            </w:r>
            <w:proofErr w:type="spellEnd"/>
            <w:r w:rsidRPr="009840DE">
              <w:rPr>
                <w:rStyle w:val="normaltextru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40DE">
              <w:rPr>
                <w:rStyle w:val="normaltextrun"/>
                <w:color w:val="000000" w:themeColor="text1"/>
                <w:sz w:val="20"/>
                <w:szCs w:val="20"/>
              </w:rPr>
              <w:t>Farming</w:t>
            </w:r>
            <w:proofErr w:type="spellEnd"/>
            <w:r w:rsidRPr="009840DE">
              <w:rPr>
                <w:rStyle w:val="normaltextrun"/>
                <w:color w:val="000000" w:themeColor="text1"/>
                <w:sz w:val="20"/>
                <w:szCs w:val="20"/>
              </w:rPr>
              <w:t>) a analýzou veľkých dát zo senzorov</w:t>
            </w:r>
            <w:r w:rsidR="00F10906" w:rsidRPr="009840DE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F10906" w:rsidRPr="009840DE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241CE123" w14:textId="77777777" w:rsidR="009840DE" w:rsidRPr="005E7263" w:rsidRDefault="009840DE" w:rsidP="005E7263">
            <w:pPr>
              <w:pStyle w:val="paragraph"/>
              <w:shd w:val="clear" w:color="auto" w:fill="FFFFFF"/>
              <w:spacing w:before="0" w:beforeAutospacing="0" w:after="0" w:afterAutospacing="0"/>
              <w:ind w:right="173"/>
              <w:jc w:val="both"/>
              <w:textAlignment w:val="baseline"/>
              <w:rPr>
                <w:rStyle w:val="normaltextrun"/>
                <w:shd w:val="clear" w:color="auto" w:fill="FFFFFF"/>
              </w:rPr>
            </w:pPr>
          </w:p>
          <w:p w14:paraId="7731ABD7" w14:textId="1A55A3FC" w:rsidR="00DC684C" w:rsidRPr="005E7263" w:rsidRDefault="005F2DF7" w:rsidP="009840DE">
            <w:pPr>
              <w:pStyle w:val="paragraph"/>
              <w:shd w:val="clear" w:color="auto" w:fill="FFFFFF"/>
              <w:spacing w:before="0" w:beforeAutospacing="0" w:after="0" w:afterAutospacing="0"/>
              <w:ind w:left="173" w:right="173"/>
              <w:jc w:val="both"/>
              <w:textAlignment w:val="baseline"/>
              <w:rPr>
                <w:rStyle w:val="eop"/>
                <w:b/>
              </w:rPr>
            </w:pPr>
            <w:r w:rsidRPr="005F2DF7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Slovensko sa tak stane dynamická dátová ekonomika v rámci EÚ. Legislatívne prostredie bude nastavané spôsobom, aby </w:t>
            </w:r>
            <w:r w:rsidR="00191099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sa </w:t>
            </w:r>
            <w:r w:rsidRPr="005F2DF7">
              <w:rPr>
                <w:rStyle w:val="normaltextrun"/>
                <w:sz w:val="20"/>
                <w:szCs w:val="20"/>
                <w:shd w:val="clear" w:color="auto" w:fill="FFFFFF"/>
              </w:rPr>
              <w:t>umožnil</w:t>
            </w:r>
            <w:r w:rsidR="00191099">
              <w:rPr>
                <w:rStyle w:val="normaltextrun"/>
                <w:sz w:val="20"/>
                <w:szCs w:val="20"/>
                <w:shd w:val="clear" w:color="auto" w:fill="FFFFFF"/>
              </w:rPr>
              <w:t>a</w:t>
            </w:r>
            <w:r w:rsidRPr="005F2DF7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aplikáci</w:t>
            </w:r>
            <w:r w:rsidR="00191099">
              <w:rPr>
                <w:rStyle w:val="normaltextrun"/>
                <w:sz w:val="20"/>
                <w:szCs w:val="20"/>
                <w:shd w:val="clear" w:color="auto" w:fill="FFFFFF"/>
              </w:rPr>
              <w:t>a</w:t>
            </w:r>
            <w:r w:rsidRPr="005F2DF7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nových biznis modelov, postavených na platformách a umelej inteligencii v praxi. V rámci ekonomiky bude tiež existovať dostatočný dopyt po inovatívnych riešeniach, aby bolo možné udržať dostatočný trh a vytvárať inovácie. Slovenské firmy tak budú zamestnávať rastúci počet dátových vedcov. Dá sa očakávať, že vzniknuté inovácie budú exportované v rámci jednotného digitálneho trhu a ďalej.</w:t>
            </w:r>
            <w:r w:rsidR="009840DE">
              <w:rPr>
                <w:rStyle w:val="eop"/>
                <w:b/>
              </w:rPr>
              <w:t xml:space="preserve"> </w:t>
            </w:r>
          </w:p>
          <w:p w14:paraId="7B1A4E07" w14:textId="768F3A55" w:rsidR="005F2DF7" w:rsidRPr="005F2DF7" w:rsidRDefault="005F2DF7" w:rsidP="00F76117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</w:tr>
      <w:tr w:rsidR="009F2DFA" w:rsidRPr="00F04CCD" w14:paraId="2CF12DFD" w14:textId="77777777" w:rsidTr="65F47D3B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E4F231" w14:textId="77777777" w:rsidR="009F2DFA" w:rsidRPr="00042C66" w:rsidRDefault="002B1108" w:rsidP="006313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14:paraId="582C0CBA" w14:textId="77777777" w:rsidR="009F2DFA" w:rsidRPr="00F04CCD" w:rsidRDefault="009F2DFA" w:rsidP="00631300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0877F974" w14:textId="77777777" w:rsidTr="65F47D3B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14:paraId="3B7E0466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14:paraId="6C7B8D73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14:paraId="5AEE7128" w14:textId="77777777" w:rsidR="009F2DFA" w:rsidRPr="000D2622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14:paraId="6EE6A229" w14:textId="77777777" w:rsidTr="65F47D3B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14:paraId="1F38418D" w14:textId="77777777" w:rsidR="005F2DF7" w:rsidRDefault="005F2DF7" w:rsidP="00242F46">
            <w:pPr>
              <w:jc w:val="both"/>
            </w:pPr>
          </w:p>
          <w:p w14:paraId="184FCA86" w14:textId="1EDE11B0" w:rsidR="00242F46" w:rsidRDefault="005E7263" w:rsidP="005F2DF7">
            <w:pPr>
              <w:ind w:left="173" w:right="173"/>
              <w:jc w:val="both"/>
            </w:pPr>
            <w:r>
              <w:t>Predkladaný a</w:t>
            </w:r>
            <w:r w:rsidR="00242F46" w:rsidRPr="00242F46">
              <w:t xml:space="preserve">kčný plán bol konzultovaný v priestore zriadených expertných pracovných skupín v oblastiach ako </w:t>
            </w:r>
            <w:r>
              <w:t xml:space="preserve">napr. </w:t>
            </w:r>
            <w:r w:rsidR="00D647E1">
              <w:t>Lepšie údaje</w:t>
            </w:r>
            <w:r w:rsidR="00871D67">
              <w:t>, Lepšie služby VS</w:t>
            </w:r>
            <w:r w:rsidR="002B4E3E">
              <w:t>, digitálne platformy</w:t>
            </w:r>
            <w:r w:rsidR="00242F46" w:rsidRPr="00242F46">
              <w:t xml:space="preserve"> </w:t>
            </w:r>
            <w:r w:rsidR="00871D67">
              <w:t>a digitálne zručnosti</w:t>
            </w:r>
            <w:r w:rsidR="00242F46" w:rsidRPr="00242F46">
              <w:t>.</w:t>
            </w:r>
            <w:r w:rsidR="002F1B56">
              <w:t xml:space="preserve"> </w:t>
            </w:r>
            <w:r>
              <w:t>Opatrenia</w:t>
            </w:r>
            <w:r w:rsidR="002F1B56">
              <w:t xml:space="preserve"> boli tiež navrhnuté v súlade s diskusiami na Rade Európskej únie v procese schvaľovania Záverov Rady pre Akčný plán pre elektronickú verejnú správu na roky 2016 až 2020 ako aj s diskusiami v rámci pracovnej skupiny EK pre dátové hospodárstvo. </w:t>
            </w:r>
          </w:p>
          <w:p w14:paraId="48595205" w14:textId="77777777" w:rsidR="00383B11" w:rsidRPr="00242F46" w:rsidRDefault="00383B11" w:rsidP="005F2DF7">
            <w:pPr>
              <w:ind w:left="173" w:right="173"/>
              <w:jc w:val="both"/>
            </w:pPr>
          </w:p>
          <w:p w14:paraId="797AC776" w14:textId="6A440317" w:rsidR="007C3B72" w:rsidRDefault="00242F46" w:rsidP="005F2DF7">
            <w:pPr>
              <w:ind w:left="173" w:right="173"/>
              <w:jc w:val="both"/>
            </w:pPr>
            <w:r w:rsidRPr="00242F46">
              <w:t xml:space="preserve">Expertné pracovné skupiny boli zložené zo zástupcov vybraných ústredných orgánov štátnej správy, mimovládneho neziskového sektora, akademickej obce ako aj zo zástupov </w:t>
            </w:r>
            <w:r w:rsidR="006308B9">
              <w:t>veľkých podnikateľov, ako aj malých a stredných podnikateľov a start-upov</w:t>
            </w:r>
            <w:r w:rsidRPr="00242F46">
              <w:t>.</w:t>
            </w:r>
            <w:r>
              <w:t xml:space="preserve"> </w:t>
            </w:r>
            <w:r w:rsidR="007C3B72">
              <w:t xml:space="preserve">Navrhované </w:t>
            </w:r>
            <w:r w:rsidR="00AE2E50">
              <w:t xml:space="preserve">opatrenia </w:t>
            </w:r>
            <w:r w:rsidR="007C3B72">
              <w:t>boli prezentované</w:t>
            </w:r>
            <w:r w:rsidR="00C37675">
              <w:t>, diskutované a validované</w:t>
            </w:r>
            <w:r w:rsidR="007C3B72">
              <w:t xml:space="preserve"> na nasledujúcich podujatiach:</w:t>
            </w:r>
          </w:p>
          <w:p w14:paraId="039CE990" w14:textId="5A6D4D76" w:rsidR="007C3B72" w:rsidRPr="00C37675" w:rsidRDefault="007C3B72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>Na workshope o digitálnych platformách 11.03.2016</w:t>
            </w:r>
          </w:p>
          <w:p w14:paraId="1FF4EB71" w14:textId="4ED0E0E7" w:rsidR="007C3B72" w:rsidRPr="00C37675" w:rsidRDefault="007C3B72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>Na workshope o opatreniach Digitálneho jednotného trhu 17.03.2016</w:t>
            </w:r>
          </w:p>
          <w:p w14:paraId="2D97D799" w14:textId="15991AE9" w:rsidR="007C3B72" w:rsidRPr="00C37675" w:rsidRDefault="007C3B72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>Na stretnutí so zástupcami CCIA 15.04.2016</w:t>
            </w:r>
          </w:p>
          <w:p w14:paraId="2845C4AA" w14:textId="473D911D" w:rsidR="007C3B72" w:rsidRPr="00C37675" w:rsidRDefault="007C3B72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V rámci podujatí DSM </w:t>
            </w:r>
            <w:proofErr w:type="spellStart"/>
            <w:r w:rsidRPr="00C37675">
              <w:rPr>
                <w:rFonts w:ascii="Times New Roman" w:hAnsi="Times New Roman" w:cs="Times New Roman"/>
                <w:sz w:val="20"/>
                <w:szCs w:val="20"/>
              </w:rPr>
              <w:t>Roadshow</w:t>
            </w:r>
            <w:proofErr w:type="spellEnd"/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 po Slovensku</w:t>
            </w:r>
          </w:p>
          <w:p w14:paraId="2E6C7B9D" w14:textId="25D7793A" w:rsidR="00C37675" w:rsidRPr="00C37675" w:rsidRDefault="00C37675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Na konferencii </w:t>
            </w:r>
            <w:proofErr w:type="spellStart"/>
            <w:r w:rsidRPr="00C37675">
              <w:rPr>
                <w:rFonts w:ascii="Times New Roman" w:hAnsi="Times New Roman" w:cs="Times New Roman"/>
                <w:sz w:val="20"/>
                <w:szCs w:val="20"/>
              </w:rPr>
              <w:t>MyData</w:t>
            </w:r>
            <w:proofErr w:type="spellEnd"/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 v Helsinkách 01.09.2016</w:t>
            </w:r>
          </w:p>
          <w:p w14:paraId="44D0F190" w14:textId="6FA12F95" w:rsidR="00C37675" w:rsidRPr="00C37675" w:rsidRDefault="00C37675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Na podujatí </w:t>
            </w:r>
            <w:r w:rsidR="00A047B3" w:rsidRPr="00C37675">
              <w:rPr>
                <w:rFonts w:ascii="Times New Roman" w:hAnsi="Times New Roman" w:cs="Times New Roman"/>
                <w:sz w:val="20"/>
                <w:szCs w:val="20"/>
              </w:rPr>
              <w:t>Jarná</w:t>
            </w: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 ITAPA 09.06.2016</w:t>
            </w:r>
          </w:p>
          <w:p w14:paraId="2DAA0FAC" w14:textId="40DAE310" w:rsidR="007C3B72" w:rsidRPr="00C37675" w:rsidRDefault="007C3B72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>Na Rade vlády pre digitalizáciu 22.09.2016</w:t>
            </w:r>
          </w:p>
          <w:p w14:paraId="56527E43" w14:textId="2DA9F295" w:rsidR="00C37675" w:rsidRDefault="00C37675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spellStart"/>
            <w:r w:rsidRPr="00C37675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 Level konferencii o dátovom hospodárstve s komisárom </w:t>
            </w:r>
            <w:proofErr w:type="spellStart"/>
            <w:r w:rsidRPr="00C37675">
              <w:rPr>
                <w:rFonts w:ascii="Times New Roman" w:hAnsi="Times New Roman" w:cs="Times New Roman"/>
                <w:sz w:val="20"/>
                <w:szCs w:val="20"/>
              </w:rPr>
              <w:t>Oettingerom</w:t>
            </w:r>
            <w:proofErr w:type="spellEnd"/>
            <w:r w:rsidRPr="00C37675">
              <w:rPr>
                <w:rFonts w:ascii="Times New Roman" w:hAnsi="Times New Roman" w:cs="Times New Roman"/>
                <w:sz w:val="20"/>
                <w:szCs w:val="20"/>
              </w:rPr>
              <w:t xml:space="preserve"> v Bruseli 17.10.2016</w:t>
            </w:r>
          </w:p>
          <w:p w14:paraId="6BCC00E3" w14:textId="4B94AED6" w:rsidR="008D3887" w:rsidRDefault="008D3887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rámci online prieskumu „Jednotný digitálny trh na Slovensku: očakávania a priority“</w:t>
            </w:r>
          </w:p>
          <w:p w14:paraId="745837BB" w14:textId="08CC1706" w:rsidR="008D3887" w:rsidRDefault="008D3887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workshope o prioritách jednotného digitálneho trhu na Slovensku 21.06.2018</w:t>
            </w:r>
          </w:p>
          <w:p w14:paraId="189BEC31" w14:textId="78B9CF6A" w:rsidR="0046429B" w:rsidRDefault="0046429B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workshope Digitálne Slovensko 2030 </w:t>
            </w:r>
            <w:r w:rsidR="00AE2E50">
              <w:rPr>
                <w:rFonts w:ascii="Times New Roman" w:hAnsi="Times New Roman" w:cs="Times New Roman"/>
                <w:sz w:val="20"/>
                <w:szCs w:val="20"/>
              </w:rPr>
              <w:t xml:space="preserve">dňa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20.12.2018</w:t>
            </w:r>
          </w:p>
          <w:p w14:paraId="6E9AFEBE" w14:textId="7A194BE2" w:rsidR="0046429B" w:rsidRDefault="00C4407B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workshope Americkej ambasády</w:t>
            </w:r>
            <w:r w:rsidR="00B72F6B">
              <w:rPr>
                <w:rFonts w:ascii="Times New Roman" w:hAnsi="Times New Roman" w:cs="Times New Roman"/>
                <w:sz w:val="20"/>
                <w:szCs w:val="20"/>
              </w:rPr>
              <w:t xml:space="preserve"> k Stratégii Digitálnej transformácie 22.02.2019</w:t>
            </w:r>
          </w:p>
          <w:p w14:paraId="378118CF" w14:textId="70541351" w:rsidR="00B72F6B" w:rsidRPr="00C37675" w:rsidRDefault="00B72F6B" w:rsidP="005F2DF7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 početných pracovných stretnutiach Úradu podpredsedu vlády SR pre investície a informatizáciu </w:t>
            </w:r>
            <w:r w:rsidR="00501554">
              <w:rPr>
                <w:rFonts w:ascii="Times New Roman" w:hAnsi="Times New Roman" w:cs="Times New Roman"/>
                <w:sz w:val="20"/>
                <w:szCs w:val="20"/>
              </w:rPr>
              <w:t>s odbornou verejnosťou počas prvého kvartálu roku 2019.</w:t>
            </w:r>
          </w:p>
          <w:p w14:paraId="48B22B20" w14:textId="7AB9A7E1" w:rsidR="00965C38" w:rsidRDefault="00965C38" w:rsidP="00965C38">
            <w:pPr>
              <w:ind w:left="173" w:right="173"/>
              <w:jc w:val="both"/>
            </w:pPr>
            <w:r>
              <w:t xml:space="preserve">Základné princípy, na ktorých je založené dosahovanie hmatateľných výsledkov podľa </w:t>
            </w:r>
            <w:r w:rsidR="00383B11">
              <w:t xml:space="preserve">tohto akčného plánu s cieľom dosiahnuť strategické ciele </w:t>
            </w:r>
            <w:r w:rsidR="00383B11">
              <w:rPr>
                <w:rStyle w:val="normaltextrun"/>
                <w:color w:val="000000" w:themeColor="text1"/>
                <w:shd w:val="clear" w:color="auto" w:fill="FFFFFF"/>
              </w:rPr>
              <w:t xml:space="preserve">Stratégie digitálnej transformácie Slovenska 2030 </w:t>
            </w:r>
            <w:r>
              <w:t xml:space="preserve">a ktoré nezaťažujú podnikateľov, naopak zvyšujú ich </w:t>
            </w:r>
            <w:r w:rsidR="00383B11">
              <w:t>konkurencieschopnosť</w:t>
            </w:r>
            <w:r>
              <w:t>, sú:</w:t>
            </w:r>
          </w:p>
          <w:p w14:paraId="762D5386" w14:textId="32C8E85D" w:rsidR="00965C38" w:rsidRPr="00965C38" w:rsidRDefault="00965C38" w:rsidP="00965C38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38">
              <w:rPr>
                <w:rFonts w:ascii="Times New Roman" w:hAnsi="Times New Roman" w:cs="Times New Roman"/>
                <w:sz w:val="20"/>
                <w:szCs w:val="20"/>
              </w:rPr>
              <w:t>Koordinácia regulácie digitálnej ekonomiky, ktorá postupne transformuje všetky odvetvia,</w:t>
            </w:r>
          </w:p>
          <w:p w14:paraId="43EA20E8" w14:textId="60870569" w:rsidR="00965C38" w:rsidRPr="00965C38" w:rsidRDefault="00965C38" w:rsidP="00965C38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38">
              <w:rPr>
                <w:rFonts w:ascii="Times New Roman" w:hAnsi="Times New Roman" w:cs="Times New Roman"/>
                <w:sz w:val="20"/>
                <w:szCs w:val="20"/>
              </w:rPr>
              <w:t>Kombinácia dlhodobej stratégie a koncepčného prístupu s experimentovaním,</w:t>
            </w:r>
          </w:p>
          <w:p w14:paraId="07FD4D69" w14:textId="5E6D57C2" w:rsidR="00965C38" w:rsidRPr="00965C38" w:rsidRDefault="00965C38" w:rsidP="00965C38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38">
              <w:rPr>
                <w:rFonts w:ascii="Times New Roman" w:hAnsi="Times New Roman" w:cs="Times New Roman"/>
                <w:sz w:val="20"/>
                <w:szCs w:val="20"/>
              </w:rPr>
              <w:t>Podpora kapacity podnikov a</w:t>
            </w:r>
            <w:r w:rsidR="00383B11">
              <w:rPr>
                <w:rFonts w:ascii="Times New Roman" w:hAnsi="Times New Roman" w:cs="Times New Roman"/>
                <w:sz w:val="20"/>
                <w:szCs w:val="20"/>
              </w:rPr>
              <w:t xml:space="preserve"> investícií do výskumu a vývoja,</w:t>
            </w:r>
          </w:p>
          <w:p w14:paraId="32D9757B" w14:textId="7E5D249C" w:rsidR="00965C38" w:rsidRDefault="00965C38" w:rsidP="00965C38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C38">
              <w:rPr>
                <w:rFonts w:ascii="Times New Roman" w:hAnsi="Times New Roman" w:cs="Times New Roman"/>
                <w:sz w:val="20"/>
                <w:szCs w:val="20"/>
              </w:rPr>
              <w:t>Podpora otvorenosti produktov, metód, nástrojov a princípov slobodného prístupu k</w:t>
            </w:r>
            <w:r w:rsidR="00383B11">
              <w:rPr>
                <w:rFonts w:ascii="Times New Roman" w:hAnsi="Times New Roman" w:cs="Times New Roman"/>
                <w:sz w:val="20"/>
                <w:szCs w:val="20"/>
              </w:rPr>
              <w:t> softvéru, a</w:t>
            </w:r>
          </w:p>
          <w:p w14:paraId="7F54F3AD" w14:textId="3C8596E5" w:rsidR="00A120D0" w:rsidRPr="00965C38" w:rsidRDefault="00965C38" w:rsidP="00965C38">
            <w:pPr>
              <w:pStyle w:val="Odsekzoznamu"/>
              <w:numPr>
                <w:ilvl w:val="0"/>
                <w:numId w:val="21"/>
              </w:num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Podpora</w:t>
            </w:r>
            <w:r w:rsidR="00F24F21" w:rsidRPr="00965C38">
              <w:rPr>
                <w:rFonts w:ascii="Times New Roman" w:hAnsi="Times New Roman" w:cs="Times New Roman"/>
                <w:sz w:val="20"/>
                <w:szCs w:val="20"/>
              </w:rPr>
              <w:t xml:space="preserve"> inovačn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F24F21" w:rsidRPr="00965C38">
              <w:rPr>
                <w:rFonts w:ascii="Times New Roman" w:hAnsi="Times New Roman" w:cs="Times New Roman"/>
                <w:sz w:val="20"/>
                <w:szCs w:val="20"/>
              </w:rPr>
              <w:t xml:space="preserve"> kapacit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24F21" w:rsidRPr="00965C38">
              <w:rPr>
                <w:rFonts w:ascii="Times New Roman" w:hAnsi="Times New Roman" w:cs="Times New Roman"/>
                <w:sz w:val="20"/>
                <w:szCs w:val="20"/>
              </w:rPr>
              <w:t xml:space="preserve"> a zavádzanie riešení postavených na umelej inteligencii najmä na úrovni MSP.</w:t>
            </w:r>
          </w:p>
          <w:p w14:paraId="46249B29" w14:textId="77777777" w:rsidR="005F2DF7" w:rsidRDefault="000D1264" w:rsidP="009932F3">
            <w:pPr>
              <w:ind w:left="173" w:right="173"/>
              <w:jc w:val="both"/>
            </w:pPr>
            <w:r w:rsidRPr="00F76117">
              <w:t xml:space="preserve">Proces tvorby tohto materiálu bol </w:t>
            </w:r>
            <w:proofErr w:type="spellStart"/>
            <w:r w:rsidRPr="00F76117">
              <w:t>participatívny</w:t>
            </w:r>
            <w:proofErr w:type="spellEnd"/>
            <w:r w:rsidRPr="00F76117">
              <w:t xml:space="preserve"> a umožňoval zapojenie širokého spektra zainteresovaných aktérov, vrátane zástupcov podnikateľského sektoru.</w:t>
            </w:r>
          </w:p>
          <w:p w14:paraId="7DA99C85" w14:textId="7AFC8FC6" w:rsidR="009932F3" w:rsidRPr="009932F3" w:rsidRDefault="009932F3" w:rsidP="009932F3">
            <w:pPr>
              <w:ind w:left="173" w:right="173"/>
              <w:jc w:val="both"/>
            </w:pPr>
          </w:p>
        </w:tc>
      </w:tr>
      <w:tr w:rsidR="009F2DFA" w:rsidRPr="00F04CCD" w14:paraId="7FB666A3" w14:textId="77777777" w:rsidTr="65F47D3B">
        <w:tc>
          <w:tcPr>
            <w:tcW w:w="9212" w:type="dxa"/>
            <w:shd w:val="clear" w:color="auto" w:fill="D9D9D9" w:themeFill="background1" w:themeFillShade="D9"/>
          </w:tcPr>
          <w:p w14:paraId="20E7E4E0" w14:textId="77777777" w:rsidR="009F2DFA" w:rsidRPr="00042C66" w:rsidRDefault="002B1108" w:rsidP="006313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14:paraId="7B442117" w14:textId="77777777" w:rsidR="009F2DFA" w:rsidRPr="00F04CCD" w:rsidRDefault="009F2DFA" w:rsidP="00631300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7A4BB922" w14:textId="77777777" w:rsidTr="65F47D3B">
        <w:tc>
          <w:tcPr>
            <w:tcW w:w="9212" w:type="dxa"/>
            <w:tcBorders>
              <w:bottom w:val="single" w:sz="4" w:space="0" w:color="auto"/>
            </w:tcBorders>
          </w:tcPr>
          <w:p w14:paraId="138C8204" w14:textId="77777777" w:rsidR="009F2DFA" w:rsidRPr="00F04CCD" w:rsidRDefault="002B1108" w:rsidP="0063130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14:paraId="10647E3E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14:paraId="178A7FC4" w14:textId="77777777" w:rsidTr="65F47D3B">
        <w:tc>
          <w:tcPr>
            <w:tcW w:w="9212" w:type="dxa"/>
            <w:tcBorders>
              <w:bottom w:val="single" w:sz="4" w:space="0" w:color="auto"/>
            </w:tcBorders>
          </w:tcPr>
          <w:p w14:paraId="71177A77" w14:textId="77777777" w:rsidR="008D3887" w:rsidRDefault="008D3887" w:rsidP="00315FD5"/>
          <w:p w14:paraId="50592D38" w14:textId="25E07951" w:rsidR="005B570E" w:rsidRPr="00AB21D2" w:rsidRDefault="00315FD5" w:rsidP="00AB21D2">
            <w:pPr>
              <w:ind w:left="173" w:right="173"/>
              <w:jc w:val="both"/>
              <w:rPr>
                <w:rFonts w:asciiTheme="majorHAnsi" w:hAnsiTheme="majorHAnsi"/>
                <w:lang w:eastAsia="en-US"/>
              </w:rPr>
            </w:pPr>
            <w:r>
              <w:t xml:space="preserve">Akčný plán nepredstavuje žiadne ďalšie finančné zaťaženie podnikateľov na národnej úrovni. Práve naopak, </w:t>
            </w:r>
            <w:r w:rsidR="00960266">
              <w:t>vytvára predpoklady</w:t>
            </w:r>
            <w:r>
              <w:t xml:space="preserve"> k zjednodušovaniu procesu verejného obstarávania, k modernizácii regulačného prostredia využitím nových prístupov k regulácií a vytvára nové príležitosti pre podnikateľov, ako sa zapojiť do inovácií vo verejnom a súkromnom sektore. Veľký dôraz je tiež kladený na zvyšovanie zručností a rekvalifikáciu pracovnej sily. Hlavným cieľom bude nachádzať nové možnosti, ako reguláciu modernizovať, zjednodušovať a uľahčovať dodržiavanie pravidiel. Tento cieľ sa dosiahne prostredníctvom moderných regulačných nástrojov ako dynamická regulácia, posudzovanie vplyvov s využitím analytických dát či Test malých a stredných podnikateľov</w:t>
            </w:r>
            <w:r w:rsidR="00747D06">
              <w:t>.</w:t>
            </w:r>
          </w:p>
          <w:p w14:paraId="0828928A" w14:textId="77777777" w:rsidR="009F2DFA" w:rsidRPr="00F04CCD" w:rsidRDefault="009F2DFA" w:rsidP="00631300">
            <w:pPr>
              <w:rPr>
                <w:b/>
                <w:i/>
              </w:rPr>
            </w:pPr>
          </w:p>
        </w:tc>
      </w:tr>
      <w:tr w:rsidR="009F2DFA" w:rsidRPr="00F04CCD" w14:paraId="68B77C30" w14:textId="77777777" w:rsidTr="65F47D3B">
        <w:tc>
          <w:tcPr>
            <w:tcW w:w="9212" w:type="dxa"/>
            <w:tcBorders>
              <w:bottom w:val="single" w:sz="4" w:space="0" w:color="auto"/>
            </w:tcBorders>
          </w:tcPr>
          <w:p w14:paraId="37544E8E" w14:textId="77777777" w:rsidR="009F2DFA" w:rsidRPr="00F04CCD" w:rsidRDefault="002B1108" w:rsidP="0063130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14:paraId="38567AF3" w14:textId="77777777"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14:paraId="1B463B9B" w14:textId="77777777" w:rsidTr="65F47D3B">
        <w:tc>
          <w:tcPr>
            <w:tcW w:w="9212" w:type="dxa"/>
            <w:tcBorders>
              <w:bottom w:val="single" w:sz="4" w:space="0" w:color="auto"/>
            </w:tcBorders>
          </w:tcPr>
          <w:p w14:paraId="62243B51" w14:textId="77777777" w:rsidR="009F2DFA" w:rsidRPr="00F04CCD" w:rsidRDefault="009F2DFA" w:rsidP="00631300">
            <w:pPr>
              <w:rPr>
                <w:b/>
                <w:i/>
              </w:rPr>
            </w:pPr>
          </w:p>
          <w:p w14:paraId="6CCD39BE" w14:textId="0BF83493" w:rsidR="009F2DFA" w:rsidRDefault="00342A59" w:rsidP="008D3887">
            <w:pPr>
              <w:ind w:left="173" w:right="173"/>
              <w:jc w:val="both"/>
            </w:pPr>
            <w:r w:rsidRPr="00242F46">
              <w:t xml:space="preserve">Akčný plán </w:t>
            </w:r>
            <w:r w:rsidR="005B570E">
              <w:t xml:space="preserve">môže </w:t>
            </w:r>
            <w:r>
              <w:t>nepriamo spôsobiť</w:t>
            </w:r>
            <w:r w:rsidR="005B570E">
              <w:t xml:space="preserve"> dodatočné náklady podnikov</w:t>
            </w:r>
            <w:r w:rsidR="00BE0477" w:rsidRPr="00BE0477">
              <w:t xml:space="preserve"> na novú IKT infraštruktúru</w:t>
            </w:r>
            <w:r w:rsidR="005B570E">
              <w:t xml:space="preserve">, osvedčenia a príp. </w:t>
            </w:r>
            <w:r w:rsidR="00747D06">
              <w:t>kvalifikovaný personál pri prechode a</w:t>
            </w:r>
            <w:r w:rsidR="008C2470">
              <w:t> </w:t>
            </w:r>
            <w:r w:rsidR="00747D06">
              <w:t>spravovaní</w:t>
            </w:r>
            <w:r w:rsidR="008C2470">
              <w:t xml:space="preserve"> podnikovej</w:t>
            </w:r>
            <w:r w:rsidR="00747D06">
              <w:t xml:space="preserve"> infraštruktúry v e-society</w:t>
            </w:r>
            <w:r w:rsidR="00AB6E39">
              <w:t xml:space="preserve"> ako aj pri dodržiavaní nových pravidiel na správu osobných údajov zákazníkov</w:t>
            </w:r>
            <w:r w:rsidR="00747D06">
              <w:t>.</w:t>
            </w:r>
            <w:r w:rsidR="003D4D5D">
              <w:t xml:space="preserve"> Uvedené náklady môžu byť kompenzované zvýšením produktivity výroby alebo poskytovaním služieb v dôsledku optimalizácie a digitalizácie procesov, preto ich nie je možné konkrétne vyčísliť.</w:t>
            </w:r>
          </w:p>
          <w:p w14:paraId="6DBD8939" w14:textId="77777777" w:rsidR="009F2DFA" w:rsidRPr="00F04CCD" w:rsidRDefault="009F2DFA" w:rsidP="003D4D5D">
            <w:pPr>
              <w:ind w:left="173" w:right="173"/>
              <w:jc w:val="both"/>
              <w:rPr>
                <w:b/>
                <w:i/>
              </w:rPr>
            </w:pPr>
          </w:p>
        </w:tc>
      </w:tr>
      <w:tr w:rsidR="009F2DFA" w:rsidRPr="00F04CCD" w14:paraId="183CEC5B" w14:textId="77777777" w:rsidTr="65F47D3B">
        <w:tc>
          <w:tcPr>
            <w:tcW w:w="9212" w:type="dxa"/>
            <w:tcBorders>
              <w:bottom w:val="single" w:sz="4" w:space="0" w:color="auto"/>
            </w:tcBorders>
          </w:tcPr>
          <w:p w14:paraId="7069725C" w14:textId="77777777" w:rsidR="009F2DFA" w:rsidRPr="00F04CCD" w:rsidRDefault="002B1108" w:rsidP="0063130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14:paraId="18553773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14:paraId="6C5D8527" w14:textId="77777777" w:rsidTr="65F47D3B">
        <w:tc>
          <w:tcPr>
            <w:tcW w:w="9212" w:type="dxa"/>
            <w:tcBorders>
              <w:bottom w:val="single" w:sz="4" w:space="0" w:color="auto"/>
            </w:tcBorders>
          </w:tcPr>
          <w:p w14:paraId="2CBDBE1C" w14:textId="77777777" w:rsidR="008D3887" w:rsidRDefault="008D3887" w:rsidP="00631300"/>
          <w:p w14:paraId="194B77C5" w14:textId="77777777" w:rsidR="0075637E" w:rsidRPr="0075637E" w:rsidRDefault="0075637E" w:rsidP="008D3887">
            <w:pPr>
              <w:ind w:left="173" w:right="173"/>
              <w:jc w:val="both"/>
            </w:pPr>
            <w:r>
              <w:t xml:space="preserve">Všeobecne sa očakáva zníženie administratívnych nákladov vďaka </w:t>
            </w:r>
            <w:r w:rsidR="00342A59">
              <w:t xml:space="preserve">zvýšeniu používateľskej prívetivosti elektronických služieb, ich cezhraničnej </w:t>
            </w:r>
            <w:proofErr w:type="spellStart"/>
            <w:r w:rsidR="00342A59">
              <w:t>interoperabilite</w:t>
            </w:r>
            <w:proofErr w:type="spellEnd"/>
            <w:r w:rsidR="00342A59">
              <w:t xml:space="preserve">, </w:t>
            </w:r>
            <w:r>
              <w:t>odstráneniu informačných povinností podnikov</w:t>
            </w:r>
            <w:r w:rsidR="005C5B07">
              <w:t xml:space="preserve"> (</w:t>
            </w:r>
            <w:proofErr w:type="spellStart"/>
            <w:r w:rsidR="005C5B07">
              <w:t>reporting</w:t>
            </w:r>
            <w:proofErr w:type="spellEnd"/>
            <w:r w:rsidR="005C5B07">
              <w:t xml:space="preserve"> vo vzťahu k orgánom ve</w:t>
            </w:r>
            <w:r w:rsidR="00B24AC2">
              <w:t>rejnej správy, zjednodušenie procesu VO a bezpapierový styk</w:t>
            </w:r>
            <w:r w:rsidR="005C5B07">
              <w:t>)</w:t>
            </w:r>
            <w:r w:rsidR="00B24AC2">
              <w:t>.</w:t>
            </w:r>
          </w:p>
          <w:p w14:paraId="6FB77702" w14:textId="77777777" w:rsidR="009F2DFA" w:rsidRPr="00F04CCD" w:rsidRDefault="009F2DFA" w:rsidP="003D4D5D">
            <w:pPr>
              <w:ind w:left="173" w:right="173"/>
              <w:jc w:val="both"/>
              <w:rPr>
                <w:b/>
                <w:i/>
              </w:rPr>
            </w:pPr>
          </w:p>
        </w:tc>
      </w:tr>
      <w:tr w:rsidR="009F2DFA" w:rsidRPr="00F04CCD" w14:paraId="309AE93B" w14:textId="77777777" w:rsidTr="65F47D3B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14:paraId="5ACA2C11" w14:textId="77777777" w:rsidR="009F2DFA" w:rsidRPr="00F04CCD" w:rsidRDefault="002B1108" w:rsidP="00631300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14:paraId="19096E9B" w14:textId="77777777" w:rsidR="009F2DFA" w:rsidRPr="00F04CCD" w:rsidRDefault="009F2DFA" w:rsidP="00631300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941"/>
              <w:gridCol w:w="2946"/>
            </w:tblGrid>
            <w:tr w:rsidR="009F2DFA" w:rsidRPr="00F04CCD" w14:paraId="537A45F4" w14:textId="77777777" w:rsidTr="00631300">
              <w:tc>
                <w:tcPr>
                  <w:tcW w:w="2993" w:type="dxa"/>
                </w:tcPr>
                <w:p w14:paraId="19E4EF67" w14:textId="77777777" w:rsidR="009F2DFA" w:rsidRPr="00F04CCD" w:rsidRDefault="009F2DFA" w:rsidP="00631300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14:paraId="7EC0F3A4" w14:textId="77777777" w:rsidR="009F2DFA" w:rsidRPr="00F04CCD" w:rsidRDefault="009F2DFA" w:rsidP="00631300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14:paraId="4B4FE7BE" w14:textId="77777777" w:rsidR="009F2DFA" w:rsidRPr="00F04CCD" w:rsidRDefault="009F2DFA" w:rsidP="00631300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14:paraId="23FF96FA" w14:textId="77777777" w:rsidTr="00631300">
              <w:tc>
                <w:tcPr>
                  <w:tcW w:w="2993" w:type="dxa"/>
                </w:tcPr>
                <w:p w14:paraId="14DA8AFE" w14:textId="77777777" w:rsidR="009F2DFA" w:rsidRPr="00F04CCD" w:rsidRDefault="009F2DFA" w:rsidP="00631300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14:paraId="1F12F496" w14:textId="03B9B755" w:rsidR="009F2DFA" w:rsidRPr="00F04CCD" w:rsidRDefault="009F2DFA" w:rsidP="00631300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353DEED1" w14:textId="06BADBEC" w:rsidR="009F2DFA" w:rsidRPr="00F04CCD" w:rsidRDefault="009F2DFA" w:rsidP="00631300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14:paraId="1E241695" w14:textId="77777777" w:rsidTr="00631300">
              <w:tc>
                <w:tcPr>
                  <w:tcW w:w="2993" w:type="dxa"/>
                </w:tcPr>
                <w:p w14:paraId="1F4FC080" w14:textId="77777777" w:rsidR="009F2DFA" w:rsidRPr="00F04CCD" w:rsidRDefault="009F2DFA" w:rsidP="00631300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14:paraId="5198B382" w14:textId="4993AE5F" w:rsidR="009F2DFA" w:rsidRPr="00F04CCD" w:rsidRDefault="009F2DFA" w:rsidP="00631300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6A2B673A" w14:textId="419550D9" w:rsidR="009F2DFA" w:rsidRPr="00F04CCD" w:rsidRDefault="009F2DFA" w:rsidP="00631300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14:paraId="072F9DCE" w14:textId="77777777" w:rsidTr="00631300">
              <w:tc>
                <w:tcPr>
                  <w:tcW w:w="2993" w:type="dxa"/>
                </w:tcPr>
                <w:p w14:paraId="698304EE" w14:textId="77777777" w:rsidR="009F2DFA" w:rsidRPr="00F04CCD" w:rsidRDefault="009F2DFA" w:rsidP="00631300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14:paraId="6260FE25" w14:textId="184B629C" w:rsidR="009F2DFA" w:rsidRPr="00F04CCD" w:rsidRDefault="009F2DFA" w:rsidP="00631300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3E02A98F" w14:textId="1F12C2FB" w:rsidR="009F2DFA" w:rsidRPr="00F04CCD" w:rsidRDefault="009F2DFA" w:rsidP="00631300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14:paraId="6D5D63CF" w14:textId="77777777" w:rsidTr="00631300">
              <w:tc>
                <w:tcPr>
                  <w:tcW w:w="2993" w:type="dxa"/>
                </w:tcPr>
                <w:p w14:paraId="48C5ACEB" w14:textId="77777777" w:rsidR="009F2DFA" w:rsidRPr="00F04CCD" w:rsidRDefault="009F2DFA" w:rsidP="00631300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14:paraId="62879F57" w14:textId="2DCED586" w:rsidR="009F2DFA" w:rsidRPr="00F04CCD" w:rsidRDefault="009F2DFA" w:rsidP="00631300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14:paraId="07F8C2FF" w14:textId="72E25450" w:rsidR="009F2DFA" w:rsidRPr="00F04CCD" w:rsidRDefault="009F2DFA" w:rsidP="00631300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14:paraId="72EDFE6E" w14:textId="77777777" w:rsidR="009F2DFA" w:rsidRDefault="009F2DFA" w:rsidP="00631300">
            <w:pPr>
              <w:rPr>
                <w:i/>
              </w:rPr>
            </w:pPr>
          </w:p>
          <w:p w14:paraId="32CAFEBA" w14:textId="3DF8ACBC" w:rsidR="0015616F" w:rsidRPr="0015616F" w:rsidRDefault="0015616F" w:rsidP="0015616F">
            <w:r>
              <w:t xml:space="preserve">Dopad regulácií na trh a ich vplyv na podporu rastu údajového a digitálneho hospodárstva sa nedá exaktne vyčísliť, a to najmä pri malých a stredných podnikoch. Treba si uvedomiť, že digitálna transformácia bude mať rozdielny dopad na jednotlivé podnikateľské subjekty v závislosti od ich zamerania, produkcie či výroby. Digitálna transformácia je dynamický proces, ktorý je dnes veľmi ťažké predvídať a kvantifikovať. </w:t>
            </w:r>
            <w:bookmarkStart w:id="0" w:name="_GoBack"/>
            <w:bookmarkEnd w:id="0"/>
          </w:p>
        </w:tc>
      </w:tr>
      <w:tr w:rsidR="009F2DFA" w:rsidRPr="00F04CCD" w14:paraId="000C84A3" w14:textId="77777777" w:rsidTr="65F47D3B">
        <w:tc>
          <w:tcPr>
            <w:tcW w:w="9212" w:type="dxa"/>
            <w:shd w:val="clear" w:color="auto" w:fill="D9D9D9" w:themeFill="background1" w:themeFillShade="D9"/>
          </w:tcPr>
          <w:p w14:paraId="41F25719" w14:textId="77777777" w:rsidR="009F2DFA" w:rsidRPr="00042C66" w:rsidRDefault="002B1108" w:rsidP="006313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14:paraId="09042BAF" w14:textId="77777777" w:rsidR="009F2DFA" w:rsidRPr="00F04CCD" w:rsidRDefault="009F2DFA" w:rsidP="00631300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60B9652F" w14:textId="77777777" w:rsidTr="65F47D3B">
        <w:tc>
          <w:tcPr>
            <w:tcW w:w="9212" w:type="dxa"/>
            <w:tcBorders>
              <w:bottom w:val="single" w:sz="4" w:space="0" w:color="auto"/>
            </w:tcBorders>
          </w:tcPr>
          <w:p w14:paraId="7B490D32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 xml:space="preserve">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F04CCD">
              <w:rPr>
                <w:i/>
              </w:rPr>
              <w:t>mikro</w:t>
            </w:r>
            <w:proofErr w:type="spellEnd"/>
            <w:r w:rsidRPr="00F04CCD">
              <w:rPr>
                <w:i/>
              </w:rPr>
              <w:t>, malé a stredné podniky tzv. MSP)? Ak áno, popíšte.</w:t>
            </w:r>
          </w:p>
          <w:p w14:paraId="3C8C28E8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14:paraId="680A2991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14:paraId="68E97EFB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14:paraId="3F02B97D" w14:textId="77777777" w:rsidTr="65F47D3B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14:paraId="436B9B88" w14:textId="6B9800FB" w:rsidR="00933A40" w:rsidRPr="00FD5934" w:rsidRDefault="00933A40" w:rsidP="00933A40">
            <w:pPr>
              <w:jc w:val="both"/>
            </w:pPr>
          </w:p>
          <w:p w14:paraId="6740B450" w14:textId="0B66639F" w:rsidR="00FD5934" w:rsidRPr="00FD5934" w:rsidRDefault="00FD5934" w:rsidP="00FD5934">
            <w:pPr>
              <w:ind w:left="173" w:right="315"/>
              <w:jc w:val="both"/>
            </w:pPr>
            <w:r w:rsidRPr="00FD5934">
              <w:t xml:space="preserve">Implementácia </w:t>
            </w:r>
            <w:r w:rsidR="00513175">
              <w:t>a</w:t>
            </w:r>
            <w:r w:rsidRPr="00FD5934">
              <w:t>kčného plánu by mala prispieť k znižovaniu bariér pre vstup na trh pre nových dodávateľov alebo poskytovateľov služie</w:t>
            </w:r>
            <w:r w:rsidR="00A004CD">
              <w:t>b</w:t>
            </w:r>
            <w:r w:rsidRPr="00FD5934">
              <w:t xml:space="preserve">. Počíta sa so zosúladením podmienok cezhraničného podnikania, </w:t>
            </w:r>
            <w:proofErr w:type="spellStart"/>
            <w:r w:rsidRPr="00FD5934">
              <w:t>tj</w:t>
            </w:r>
            <w:proofErr w:type="spellEnd"/>
            <w:r w:rsidRPr="00FD5934">
              <w:t>. s rovnakým prístupom k podnikateľským subjektom ponúkajúcim rovnaké alebo obdobné produkty/služby. Odstraňovanie bariér cezhraničného podnikania, na jednej strane posilní konkurencieschopnosť cien za rovnaké/obdobné produkty/služby</w:t>
            </w:r>
            <w:r w:rsidR="00A004CD">
              <w:t xml:space="preserve"> a</w:t>
            </w:r>
            <w:r w:rsidRPr="00FD5934">
              <w:t xml:space="preserve"> rozšíri možnosti pôsobenia všetkých typov podnikov.  Na druhej strane však ovplyvní pôsobenie menej konkurenčných podnikov v dôsledku intenzívnejšej konkurencie. </w:t>
            </w:r>
          </w:p>
          <w:p w14:paraId="38525773" w14:textId="77777777" w:rsidR="00FD5934" w:rsidRPr="00FD5934" w:rsidRDefault="00FD5934" w:rsidP="00FD5934">
            <w:pPr>
              <w:ind w:left="173" w:right="315"/>
              <w:jc w:val="both"/>
            </w:pPr>
          </w:p>
          <w:p w14:paraId="49F1B051" w14:textId="02B93857" w:rsidR="00FD5934" w:rsidRPr="00FD5934" w:rsidRDefault="00FD5934" w:rsidP="00FD5934">
            <w:pPr>
              <w:ind w:left="173" w:right="315"/>
              <w:jc w:val="both"/>
            </w:pPr>
            <w:r w:rsidRPr="00FD5934">
              <w:t>Znižovanie cezhraničných bariér prispeje k zvýšeniu cezhraničných investícii (najmä od súkromných investorov) a k zjednodušeniu prístupu k existujúcim klasickým nástrojom financovania (bankové úvery). Zároveň predstavuje príležitosť k uplatneniu slovenských podnikov na zahraničných trhoch. Na druhej strane však môže negatívnym spôsobom ovplyvniť domácu ekonomiku a</w:t>
            </w:r>
            <w:r w:rsidR="00513175">
              <w:t> </w:t>
            </w:r>
            <w:r w:rsidRPr="00FD5934">
              <w:t>zamestnanosť</w:t>
            </w:r>
            <w:r w:rsidR="00513175">
              <w:t xml:space="preserve"> z dôvodu prílevu zahraničného kapitálu a spoločností</w:t>
            </w:r>
            <w:r w:rsidRPr="00FD5934">
              <w:t xml:space="preserve"> (likvidácia firiem, rušenie pracovných miest v menej konkurencieschopných podnikoch...).</w:t>
            </w:r>
          </w:p>
          <w:p w14:paraId="5805EF96" w14:textId="77777777" w:rsidR="00FD5934" w:rsidRPr="00FD5934" w:rsidRDefault="00FD5934" w:rsidP="00FD5934">
            <w:pPr>
              <w:ind w:left="173" w:right="315"/>
              <w:jc w:val="both"/>
            </w:pPr>
          </w:p>
          <w:p w14:paraId="76C5375D" w14:textId="3F1AA035" w:rsidR="00FD5934" w:rsidRPr="00FD5934" w:rsidRDefault="00FD5934" w:rsidP="00FD5934">
            <w:pPr>
              <w:ind w:left="173" w:right="315"/>
              <w:jc w:val="both"/>
              <w:rPr>
                <w:color w:val="000000" w:themeColor="text1"/>
              </w:rPr>
            </w:pPr>
            <w:r w:rsidRPr="00FD5934">
              <w:rPr>
                <w:color w:val="111111"/>
              </w:rPr>
              <w:t xml:space="preserve">Taktiež inovačný ekosystém na Slovensku naďalej výrazne zaostáva za inými krajinami Európskej únie. Neadekvátny ekosystém pre podporu inovácií negatívne ovplyvňuje úspešnosť a konkurencieschopnosť slovenských firiem na medzinárodnom trhu. Toto sa týka predovšetkým malých a stredných podnikateľov. Podpora, ktorá sa zväčša dostáva veľkým firmám sa musí </w:t>
            </w:r>
            <w:r w:rsidR="00513175">
              <w:rPr>
                <w:color w:val="111111"/>
              </w:rPr>
              <w:t xml:space="preserve">primerane </w:t>
            </w:r>
            <w:r w:rsidRPr="00FD5934">
              <w:rPr>
                <w:color w:val="111111"/>
              </w:rPr>
              <w:t xml:space="preserve">orientovať na malých a stredných podnikateľov. </w:t>
            </w:r>
            <w:r w:rsidRPr="00FD5934">
              <w:rPr>
                <w:color w:val="000000" w:themeColor="text1"/>
              </w:rPr>
              <w:t xml:space="preserve">Musíme tiež podporiť nové biznis modely, aby na Slovensku mohli vznikať platformy pre nové sektory podporujúce posilnenie slovenskej digitálnej ekonomiky. </w:t>
            </w:r>
          </w:p>
          <w:p w14:paraId="06E9DDE1" w14:textId="77777777" w:rsidR="00FD5934" w:rsidRPr="00FD5934" w:rsidRDefault="00FD5934" w:rsidP="00FD5934">
            <w:pPr>
              <w:ind w:left="173" w:right="315"/>
              <w:jc w:val="both"/>
              <w:rPr>
                <w:color w:val="000000" w:themeColor="text1"/>
              </w:rPr>
            </w:pPr>
          </w:p>
          <w:p w14:paraId="5DEBE2B7" w14:textId="083EA53D" w:rsidR="00DC684C" w:rsidRPr="00513175" w:rsidRDefault="00FD5934" w:rsidP="00513175">
            <w:pPr>
              <w:pStyle w:val="paragraph"/>
              <w:spacing w:before="0" w:beforeAutospacing="0" w:after="0" w:afterAutospacing="0"/>
              <w:ind w:left="173" w:right="312"/>
              <w:jc w:val="both"/>
              <w:textAlignment w:val="baseline"/>
              <w:rPr>
                <w:color w:val="111111"/>
                <w:sz w:val="20"/>
                <w:szCs w:val="20"/>
              </w:rPr>
            </w:pPr>
            <w:r w:rsidRPr="00513175">
              <w:rPr>
                <w:color w:val="111111"/>
                <w:sz w:val="20"/>
                <w:szCs w:val="20"/>
              </w:rPr>
              <w:t>Zlepšenie konkurencieschopnosti a správanie sa podnikov na trhu sa zrealizuje</w:t>
            </w:r>
            <w:r w:rsidR="00A004CD" w:rsidRPr="00513175">
              <w:rPr>
                <w:color w:val="111111"/>
                <w:sz w:val="20"/>
                <w:szCs w:val="20"/>
              </w:rPr>
              <w:t xml:space="preserve"> prostredníctvom</w:t>
            </w:r>
            <w:r w:rsidRPr="00513175">
              <w:rPr>
                <w:color w:val="111111"/>
                <w:sz w:val="20"/>
                <w:szCs w:val="20"/>
              </w:rPr>
              <w:t xml:space="preserve"> nasledujúcich opatrení</w:t>
            </w:r>
            <w:r w:rsidR="00453665" w:rsidRPr="00513175">
              <w:rPr>
                <w:color w:val="111111"/>
                <w:sz w:val="20"/>
                <w:szCs w:val="20"/>
              </w:rPr>
              <w:t xml:space="preserve"> v rámci druhej prioritnej oblasti Akčného plánu </w:t>
            </w:r>
            <w:r w:rsidR="00453665" w:rsidRPr="00513175">
              <w:rPr>
                <w:b/>
                <w:color w:val="111111"/>
                <w:sz w:val="20"/>
                <w:szCs w:val="20"/>
              </w:rPr>
              <w:t>„</w:t>
            </w:r>
            <w:r w:rsidR="00513175" w:rsidRPr="00513175">
              <w:rPr>
                <w:b/>
                <w:color w:val="111111"/>
                <w:sz w:val="20"/>
                <w:szCs w:val="20"/>
              </w:rPr>
              <w:t xml:space="preserve">Vytvoríme základy pre moderné digitálne a dátové hospodárstvo a pre digitálnu </w:t>
            </w:r>
            <w:r w:rsidR="00513175">
              <w:rPr>
                <w:b/>
                <w:color w:val="111111"/>
                <w:sz w:val="20"/>
                <w:szCs w:val="20"/>
              </w:rPr>
              <w:t>transformáciu širšej ekonomiky“</w:t>
            </w:r>
            <w:r w:rsidR="00513175" w:rsidRPr="00846DFF">
              <w:rPr>
                <w:color w:val="111111"/>
                <w:sz w:val="20"/>
                <w:szCs w:val="20"/>
              </w:rPr>
              <w:t>:</w:t>
            </w:r>
          </w:p>
          <w:p w14:paraId="7105B8AC" w14:textId="3D996E6E" w:rsidR="00DC684C" w:rsidRPr="00846DFF" w:rsidRDefault="00DC684C" w:rsidP="00513175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Zavedieme systém dynamickej regulácie orientovanú na cieľ</w:t>
            </w:r>
          </w:p>
          <w:p w14:paraId="42983669" w14:textId="4115B26D" w:rsidR="00513175" w:rsidRPr="00846DFF" w:rsidRDefault="00513175" w:rsidP="00513175">
            <w:pPr>
              <w:pStyle w:val="Odsekzoznamu"/>
              <w:numPr>
                <w:ilvl w:val="0"/>
                <w:numId w:val="25"/>
              </w:num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Podporíme nové podnikateľské modely v digitálnej ekonomike</w:t>
            </w:r>
          </w:p>
          <w:p w14:paraId="786AE460" w14:textId="3BDB3573" w:rsidR="00513175" w:rsidRPr="009932F3" w:rsidRDefault="00513175" w:rsidP="00513175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9932F3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Zriadime Digitálne inovačné huby</w:t>
            </w:r>
          </w:p>
          <w:p w14:paraId="60C1397A" w14:textId="7F35678B" w:rsidR="00513175" w:rsidRDefault="00513175" w:rsidP="00513175">
            <w:pPr>
              <w:rPr>
                <w:rFonts w:eastAsiaTheme="majorEastAsia"/>
                <w:color w:val="000000" w:themeColor="text1"/>
                <w:shd w:val="clear" w:color="auto" w:fill="FFFFFF"/>
              </w:rPr>
            </w:pPr>
            <w:r w:rsidRPr="00513175">
              <w:rPr>
                <w:rFonts w:eastAsiaTheme="majorEastAsia"/>
                <w:color w:val="000000" w:themeColor="text1"/>
                <w:shd w:val="clear" w:color="auto" w:fill="FFFFFF"/>
              </w:rPr>
              <w:t>Akčný plán zároveň obsahuje viacero opatrení, ktoré môžu nepriamo, resp. následne zvýšiť konkurencieschopnosť podnikov a to napr.</w:t>
            </w:r>
          </w:p>
          <w:p w14:paraId="7CD230D2" w14:textId="563EB5BA" w:rsidR="00513175" w:rsidRPr="00846DFF" w:rsidRDefault="00513175" w:rsidP="00513175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Zmodernizujeme a zjednodušíme právny rámec v oblasti údajov – pripraví sa nový zákon o údajoch</w:t>
            </w:r>
          </w:p>
          <w:p w14:paraId="504766BD" w14:textId="41E6DD42" w:rsidR="00513175" w:rsidRPr="00846DFF" w:rsidRDefault="00513175" w:rsidP="00513175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Vyhodnotíme činnosť Inovačného hubu NBS</w:t>
            </w:r>
          </w:p>
          <w:p w14:paraId="4F76E75C" w14:textId="7F458543" w:rsidR="00513175" w:rsidRPr="00846DFF" w:rsidRDefault="00513175" w:rsidP="00513175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Analyzujeme možnosti využitia experimentálneho overovania regulácie finančných inovácií</w:t>
            </w:r>
          </w:p>
          <w:p w14:paraId="411A39E1" w14:textId="4F71EF0F" w:rsidR="00513175" w:rsidRPr="00846DFF" w:rsidRDefault="00513175" w:rsidP="00513175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lastRenderedPageBreak/>
              <w:t xml:space="preserve">Zanalyzujeme potreby regulácie </w:t>
            </w:r>
            <w:proofErr w:type="spellStart"/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crowdfundingu</w:t>
            </w:r>
            <w:proofErr w:type="spellEnd"/>
          </w:p>
          <w:p w14:paraId="118CFFC4" w14:textId="4771A7EF" w:rsidR="00513175" w:rsidRPr="00846DFF" w:rsidRDefault="00513175" w:rsidP="00513175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Zanalyzujeme možnosť využiteľnosti tokenizácie aktív</w:t>
            </w:r>
          </w:p>
          <w:p w14:paraId="20F867A6" w14:textId="30359B0E" w:rsidR="00513175" w:rsidRPr="00846DFF" w:rsidRDefault="00846DFF" w:rsidP="00513175">
            <w:pPr>
              <w:rPr>
                <w:rFonts w:eastAsiaTheme="majorEastAsia"/>
                <w:color w:val="000000" w:themeColor="text1"/>
                <w:shd w:val="clear" w:color="auto" w:fill="FFFFFF"/>
              </w:rPr>
            </w:pPr>
            <w:r w:rsidRPr="00846DFF">
              <w:rPr>
                <w:rFonts w:eastAsiaTheme="majorEastAsia"/>
                <w:color w:val="000000" w:themeColor="text1"/>
                <w:shd w:val="clear" w:color="auto" w:fill="FFFFFF"/>
              </w:rPr>
              <w:t>Následne, dôsledkom uvedených opatrení bude:</w:t>
            </w:r>
          </w:p>
          <w:p w14:paraId="1C5CD3C6" w14:textId="423C6A28" w:rsidR="000C2026" w:rsidRPr="00B114D6" w:rsidRDefault="00B114D6" w:rsidP="00B114D6">
            <w:pPr>
              <w:pStyle w:val="Nadpis6"/>
              <w:ind w:left="360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Z</w:t>
            </w:r>
            <w:r w:rsidR="00873FC7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níženi</w:t>
            </w:r>
            <w:r w:rsidR="00846DFF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e</w:t>
            </w:r>
            <w:r w:rsidR="00873FC7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transakčných nákladov pri poskytovaní obsahu a služieb cezhranične (vďaka jednotným zmluvným pravidlám a dobre nastavenému daňovému režimu DPH),</w:t>
            </w:r>
          </w:p>
          <w:p w14:paraId="09379AF7" w14:textId="21919CE4" w:rsidR="00CF3052" w:rsidRPr="00B114D6" w:rsidRDefault="00B114D6" w:rsidP="00B114D6">
            <w:pPr>
              <w:pStyle w:val="Nadpis6"/>
              <w:ind w:left="360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Zabezpečeni</w:t>
            </w:r>
            <w:r w:rsidR="00846DFF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e</w:t>
            </w:r>
            <w:r w:rsidR="00CF3052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voľn</w:t>
            </w:r>
            <w:r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ého</w:t>
            </w:r>
            <w:r w:rsidR="00CF3052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tok</w:t>
            </w:r>
            <w:r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u</w:t>
            </w:r>
            <w:r w:rsidR="00CF3052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iných ako osobných dát, čo podnikom uľahčí vyvíjať nové inovatívne služby a uľahčí cezhraničný online nákup a predaj pre ľudí a</w:t>
            </w:r>
            <w:r w:rsidR="00440293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 </w:t>
            </w:r>
            <w:r w:rsidR="00CF3052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podniky</w:t>
            </w:r>
            <w:r w:rsidR="00440293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,</w:t>
            </w:r>
          </w:p>
          <w:p w14:paraId="0569BF0B" w14:textId="2E18FAAD" w:rsidR="00440293" w:rsidRPr="00B114D6" w:rsidRDefault="00B114D6" w:rsidP="00B114D6">
            <w:pPr>
              <w:pStyle w:val="Nadpis6"/>
              <w:ind w:left="360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Vytvoreni</w:t>
            </w:r>
            <w:r w:rsidR="00846DFF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e</w:t>
            </w:r>
            <w:r w:rsidR="00440293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skutočne jednotn</w:t>
            </w:r>
            <w:r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ého</w:t>
            </w:r>
            <w:r w:rsidR="00440293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trh</w:t>
            </w:r>
            <w:r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u</w:t>
            </w:r>
            <w:r w:rsidR="00440293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, natívne digitáln</w:t>
            </w:r>
            <w:r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eho</w:t>
            </w:r>
            <w:r w:rsidR="00440293" w:rsidRPr="00B114D6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, ktorý umožní podnikateľom jednoducho podnikať cezhranične a škálovať svoj digitálny biznis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.</w:t>
            </w:r>
          </w:p>
          <w:p w14:paraId="3963A6CC" w14:textId="0E8D4F50" w:rsidR="008265E8" w:rsidRPr="00FD5934" w:rsidRDefault="008265E8" w:rsidP="00FD5934">
            <w:pPr>
              <w:ind w:left="173" w:right="315"/>
              <w:jc w:val="both"/>
            </w:pPr>
          </w:p>
        </w:tc>
      </w:tr>
      <w:tr w:rsidR="009F2DFA" w:rsidRPr="00F04CCD" w14:paraId="4C3BE265" w14:textId="77777777" w:rsidTr="65F47D3B">
        <w:tc>
          <w:tcPr>
            <w:tcW w:w="9212" w:type="dxa"/>
            <w:shd w:val="clear" w:color="auto" w:fill="D9D9D9" w:themeFill="background1" w:themeFillShade="D9"/>
          </w:tcPr>
          <w:p w14:paraId="6692D5B6" w14:textId="77777777" w:rsidR="009F2DFA" w:rsidRPr="00042C66" w:rsidRDefault="002B1108" w:rsidP="006313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14:paraId="2A1D9723" w14:textId="77777777" w:rsidR="009F2DFA" w:rsidRPr="00F04CCD" w:rsidRDefault="009F2DFA" w:rsidP="00631300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14:paraId="6AC74DBD" w14:textId="77777777" w:rsidTr="65F47D3B">
        <w:tc>
          <w:tcPr>
            <w:tcW w:w="9212" w:type="dxa"/>
          </w:tcPr>
          <w:p w14:paraId="30691DE0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14:paraId="4BABE467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14:paraId="1C662EF1" w14:textId="77777777" w:rsidR="009F2DFA" w:rsidRPr="00F04CCD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14:paraId="1723A021" w14:textId="77777777" w:rsidR="009F2DFA" w:rsidRDefault="009F2DFA" w:rsidP="00631300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14:paraId="4CC2DDE4" w14:textId="77777777" w:rsidR="00837639" w:rsidRPr="00F04CCD" w:rsidRDefault="00837639" w:rsidP="00631300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C756DC" w14:paraId="2B3D75AC" w14:textId="77777777" w:rsidTr="65F47D3B">
        <w:trPr>
          <w:trHeight w:val="1120"/>
        </w:trPr>
        <w:tc>
          <w:tcPr>
            <w:tcW w:w="9212" w:type="dxa"/>
          </w:tcPr>
          <w:p w14:paraId="295AADA9" w14:textId="77777777" w:rsidR="004823AC" w:rsidRPr="00C756DC" w:rsidRDefault="004823AC" w:rsidP="00F76117">
            <w:pPr>
              <w:tabs>
                <w:tab w:val="left" w:pos="1741"/>
              </w:tabs>
            </w:pPr>
          </w:p>
          <w:p w14:paraId="4620A6AC" w14:textId="77777777" w:rsidR="004823AC" w:rsidRPr="00C756DC" w:rsidRDefault="004823AC" w:rsidP="004823AC">
            <w:pPr>
              <w:ind w:left="173" w:right="173"/>
              <w:jc w:val="both"/>
              <w:rPr>
                <w:color w:val="000000" w:themeColor="text1"/>
              </w:rPr>
            </w:pPr>
            <w:r w:rsidRPr="00C756DC">
              <w:rPr>
                <w:color w:val="000000" w:themeColor="text1"/>
              </w:rPr>
              <w:t xml:space="preserve">Prvá vlna informatizácie a inovácii verejnej správy prostredníctvom digitálnych technológii prebehla v rokoch 2010 až 2015 v rámci Operačného programu Informatizácia spoločnosti. Informačné systémy a digitálne služby, ktoré boli výsledkom tohto snaženia, vo veľkej miere nesplnili očakávania: pretože sa netransformovali biznis procesy, riešenia časom zastarali a náklady boli zdanlivo príliš vysoké. Jedným z kľúčových problémov je proces verejného obstarávania, ktorý trvá dlho, je ťažkopádny a preferuje takzvaný </w:t>
            </w:r>
            <w:proofErr w:type="spellStart"/>
            <w:r w:rsidRPr="00C756DC">
              <w:rPr>
                <w:color w:val="000000" w:themeColor="text1"/>
              </w:rPr>
              <w:t>vodopádový</w:t>
            </w:r>
            <w:proofErr w:type="spellEnd"/>
            <w:r w:rsidRPr="00C756DC">
              <w:rPr>
                <w:color w:val="000000" w:themeColor="text1"/>
              </w:rPr>
              <w:t xml:space="preserve"> prístup, ktorý vedie k horším výsledkom. Mnoho iniciatív, ktoré sú predstavené v tejto stratégii sa pripravuje už niekoľko rokov a ešte sa nezačalo s procesom verejného obstarávania. Na druhej strane, prvá vlna informatizácie vytvorila vrstvu úradných záznamov a informačných systémov, nad ktorou je možné vytvárať nadstavbové služby s pridanou hodnotou.</w:t>
            </w:r>
          </w:p>
          <w:p w14:paraId="6DA6F3B7" w14:textId="77777777" w:rsidR="004823AC" w:rsidRPr="00C756DC" w:rsidRDefault="004823AC" w:rsidP="004823AC">
            <w:pPr>
              <w:ind w:left="173" w:right="173"/>
              <w:jc w:val="both"/>
              <w:rPr>
                <w:color w:val="000000" w:themeColor="text1"/>
              </w:rPr>
            </w:pPr>
          </w:p>
          <w:p w14:paraId="38E0AE83" w14:textId="77777777" w:rsidR="004823AC" w:rsidRPr="00C756DC" w:rsidRDefault="004823AC" w:rsidP="004823AC">
            <w:pPr>
              <w:ind w:left="173" w:right="173"/>
              <w:jc w:val="both"/>
              <w:rPr>
                <w:color w:val="000000" w:themeColor="text1"/>
              </w:rPr>
            </w:pPr>
            <w:r w:rsidRPr="00C756DC">
              <w:rPr>
                <w:color w:val="000000" w:themeColor="text1"/>
              </w:rPr>
              <w:t>Súčasný stav a pomalý postup zavádzania inovácií je nezlučiteľný s technologickým vývojom a je potrebné výrazne skrátiť procesy prípravy, ako i investičné náklady budúcich projektov. Jedným z riešení je podpora využívania metód inovačného obstarávania, experimentovanie vo verejnej správe a zmena kultúry, aby inovácie boli skutočne možné. Ak chceme modernizovať fungovanie verejnej správy a uspieť, v prvom rade je potrebné zmeniť spôsob, akým je verejná správa schopná inovovať.</w:t>
            </w:r>
          </w:p>
          <w:p w14:paraId="2BFF8817" w14:textId="1F7FF8A9" w:rsidR="00723D41" w:rsidRDefault="004823AC" w:rsidP="00C024EC">
            <w:pPr>
              <w:ind w:left="173" w:right="173"/>
              <w:jc w:val="both"/>
            </w:pPr>
            <w:r w:rsidRPr="00C756DC">
              <w:t>Akčný plán</w:t>
            </w:r>
            <w:r w:rsidR="007F67D7">
              <w:t xml:space="preserve"> </w:t>
            </w:r>
            <w:r w:rsidRPr="00C756DC">
              <w:t xml:space="preserve">zásadným spôsobom ovplyvňuje inovácie, a to zavedením opatrení, ktoré podporujú vznik nových služieb a biznis modelov predovšetkým v sektore </w:t>
            </w:r>
            <w:r w:rsidRPr="00C756DC">
              <w:rPr>
                <w:rStyle w:val="Siln"/>
                <w:b w:val="0"/>
              </w:rPr>
              <w:t xml:space="preserve">informačných a komunikačných služieb </w:t>
            </w:r>
            <w:r w:rsidRPr="00C756DC">
              <w:t xml:space="preserve">(štandardy, technologické riešenia na otvorenom aplikačnom rozhraní  - </w:t>
            </w:r>
            <w:proofErr w:type="spellStart"/>
            <w:r w:rsidRPr="00C756DC">
              <w:t>open</w:t>
            </w:r>
            <w:proofErr w:type="spellEnd"/>
            <w:r w:rsidRPr="00C756DC">
              <w:t xml:space="preserve"> API pre verejnú správu, nové produkty v dátovom hospodárstve a v platformovej ekonomike) a jeho prepojení aj na výrobnú  sféru - zavedenie Industry 4.0 a testovanie prepojených a autonómnych vozidiel na Slovensku. Akčný plán prispieva k zvyšovaniu efektívnosti využívania/výroby zdrojov na základe rozhodnutí tvorených pomocou inteligentných dát (a algoritmov umelej inteligencie). </w:t>
            </w:r>
          </w:p>
          <w:p w14:paraId="0B733D98" w14:textId="77777777" w:rsidR="00846DFF" w:rsidRPr="00C756DC" w:rsidRDefault="00846DFF" w:rsidP="00C024EC">
            <w:pPr>
              <w:ind w:left="173" w:right="173"/>
              <w:jc w:val="both"/>
            </w:pPr>
          </w:p>
          <w:p w14:paraId="7541D060" w14:textId="77777777" w:rsidR="00723D41" w:rsidRPr="00C756DC" w:rsidRDefault="00723D41" w:rsidP="008D3887">
            <w:pPr>
              <w:ind w:left="173" w:right="173"/>
              <w:jc w:val="both"/>
            </w:pPr>
            <w:r w:rsidRPr="00C756DC">
              <w:t>Digitálny boom prispieva a bude prispievať aj k rozvoju výskumu a vývoja pri hľadaní odpovedí na nové výzvy,</w:t>
            </w:r>
            <w:r w:rsidR="00AC2558" w:rsidRPr="00C756DC">
              <w:t xml:space="preserve"> </w:t>
            </w:r>
            <w:r w:rsidRPr="00C756DC">
              <w:t>ktoré prináša, k budovaniu nových interdisciplinárnych partnerstiev a k zvyšovaniu dopytu po kvalifikovaných pracovníkov R&amp;D.</w:t>
            </w:r>
            <w:r w:rsidR="00E36D5E" w:rsidRPr="00C756DC">
              <w:t xml:space="preserve"> Vo vybraných prioritných témach budú tiež grantami podporované inovatívne malé a stredné podniky.</w:t>
            </w:r>
          </w:p>
          <w:p w14:paraId="57C987DD" w14:textId="363627F7" w:rsidR="00C756DC" w:rsidRDefault="00C756DC" w:rsidP="00C756DC">
            <w:pPr>
              <w:pStyle w:val="paragraph"/>
              <w:spacing w:before="0" w:beforeAutospacing="0" w:after="0" w:afterAutospacing="0"/>
              <w:ind w:left="173" w:right="312"/>
              <w:jc w:val="both"/>
              <w:textAlignment w:val="baseline"/>
              <w:rPr>
                <w:rStyle w:val="eop"/>
                <w:color w:val="000000" w:themeColor="text1"/>
                <w:sz w:val="20"/>
                <w:szCs w:val="20"/>
              </w:rPr>
            </w:pPr>
            <w:r w:rsidRPr="00C756DC">
              <w:rPr>
                <w:color w:val="000000" w:themeColor="text1"/>
                <w:sz w:val="20"/>
                <w:szCs w:val="20"/>
              </w:rPr>
              <w:t xml:space="preserve">Zlepšenie využívania inovácií v podnikateľskom sektore sa zrealizuje prostredníctvom nasledujúcich opatrení </w:t>
            </w:r>
            <w:r w:rsidRPr="00C756DC">
              <w:rPr>
                <w:rStyle w:val="eop"/>
                <w:sz w:val="20"/>
                <w:szCs w:val="20"/>
              </w:rPr>
              <w:t xml:space="preserve">v rámci druhej </w:t>
            </w:r>
            <w:r w:rsidRPr="00C756DC">
              <w:rPr>
                <w:rStyle w:val="eop"/>
                <w:color w:val="000000" w:themeColor="text1"/>
                <w:sz w:val="20"/>
                <w:szCs w:val="20"/>
              </w:rPr>
              <w:t>prioritnej oblasti Akčného plánu</w:t>
            </w:r>
            <w:r w:rsidRPr="00C756DC">
              <w:rPr>
                <w:rStyle w:val="eop"/>
                <w:b/>
                <w:color w:val="000000" w:themeColor="text1"/>
                <w:sz w:val="20"/>
                <w:szCs w:val="20"/>
              </w:rPr>
              <w:t xml:space="preserve"> „</w:t>
            </w:r>
            <w:r w:rsidR="00846DFF" w:rsidRPr="00513175">
              <w:rPr>
                <w:b/>
                <w:color w:val="111111"/>
                <w:sz w:val="20"/>
                <w:szCs w:val="20"/>
              </w:rPr>
              <w:t xml:space="preserve">Vytvoríme základy pre moderné digitálne a dátové hospodárstvo a pre digitálnu </w:t>
            </w:r>
            <w:r w:rsidR="00846DFF">
              <w:rPr>
                <w:b/>
                <w:color w:val="111111"/>
                <w:sz w:val="20"/>
                <w:szCs w:val="20"/>
              </w:rPr>
              <w:t>transformáciu širšej ekonomiky</w:t>
            </w:r>
            <w:r w:rsidRPr="00C756DC">
              <w:rPr>
                <w:rStyle w:val="eop"/>
                <w:b/>
                <w:color w:val="000000" w:themeColor="text1"/>
                <w:sz w:val="20"/>
                <w:szCs w:val="20"/>
              </w:rPr>
              <w:t>“</w:t>
            </w:r>
            <w:r w:rsidRPr="00C756DC">
              <w:rPr>
                <w:rStyle w:val="eop"/>
                <w:color w:val="000000" w:themeColor="text1"/>
                <w:sz w:val="20"/>
                <w:szCs w:val="20"/>
              </w:rPr>
              <w:t xml:space="preserve">: </w:t>
            </w:r>
          </w:p>
          <w:p w14:paraId="56A807F8" w14:textId="40B59D2B" w:rsidR="00846DFF" w:rsidRDefault="00846DFF" w:rsidP="00C756DC">
            <w:pPr>
              <w:pStyle w:val="paragraph"/>
              <w:spacing w:before="0" w:beforeAutospacing="0" w:after="0" w:afterAutospacing="0"/>
              <w:ind w:left="173" w:right="312"/>
              <w:jc w:val="both"/>
              <w:textAlignment w:val="baseline"/>
              <w:rPr>
                <w:rStyle w:val="eop"/>
                <w:color w:val="000000" w:themeColor="text1"/>
                <w:sz w:val="20"/>
                <w:szCs w:val="20"/>
              </w:rPr>
            </w:pPr>
          </w:p>
          <w:p w14:paraId="125B57FC" w14:textId="49FC9878" w:rsidR="00846DFF" w:rsidRP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Zavedieme systematické hodnotenia vplyvov regulácií na inovácie a digitálne hospodárstvo</w:t>
            </w:r>
          </w:p>
          <w:p w14:paraId="21795F90" w14:textId="77AF69D6" w:rsidR="00E32A4F" w:rsidRPr="009932F3" w:rsidRDefault="00E32A4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9932F3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Zriadime Digitálny inovačný hub</w:t>
            </w:r>
          </w:p>
          <w:p w14:paraId="6497AB94" w14:textId="3F72CC20" w:rsidR="00846DFF" w:rsidRP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Zavedieme do praxe vybrané inovačné koncepty v doprave v pilotnom rozsahu, tzv. Proof of </w:t>
            </w:r>
            <w:proofErr w:type="spellStart"/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Concept</w:t>
            </w:r>
            <w:proofErr w:type="spellEnd"/>
          </w:p>
          <w:p w14:paraId="442E036C" w14:textId="041CDBF1" w:rsidR="00846DFF" w:rsidRP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Zavedieme systém dynamickej regulácie orientovanej na cieľ</w:t>
            </w:r>
          </w:p>
          <w:p w14:paraId="622E6D10" w14:textId="2B476969" w:rsidR="00846DFF" w:rsidRP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Vyhodnotíme činnosť Inovačného hubu NBS</w:t>
            </w:r>
          </w:p>
          <w:p w14:paraId="6526F2BE" w14:textId="77777777" w:rsidR="00846DFF" w:rsidRP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Analyzujeme možnosti využitia experimentálneho overovania regulácie finančných inovácií</w:t>
            </w:r>
          </w:p>
          <w:p w14:paraId="223B53F2" w14:textId="77777777" w:rsidR="00846DFF" w:rsidRP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lastRenderedPageBreak/>
              <w:t xml:space="preserve">Zanalyzujeme potreby regulácie </w:t>
            </w:r>
            <w:proofErr w:type="spellStart"/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crowdfundingu</w:t>
            </w:r>
            <w:proofErr w:type="spellEnd"/>
          </w:p>
          <w:p w14:paraId="59102B20" w14:textId="6DEFE7F0" w:rsid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Zanalyzujeme možnosť využiteľnosti tokenizácie aktív</w:t>
            </w:r>
          </w:p>
          <w:p w14:paraId="27A1E3F7" w14:textId="37E110BC" w:rsid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Podporíme inovačnú kapacitu podnikov a zavádzanie riešení postavených na umelej inteligencii v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 </w:t>
            </w: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praxi</w:t>
            </w:r>
          </w:p>
          <w:p w14:paraId="71E0D1D3" w14:textId="6698E6DB" w:rsid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Vypracujeme manuál pre firmy na zavedenie umelej inteligencie</w:t>
            </w:r>
          </w:p>
          <w:p w14:paraId="12DD4072" w14:textId="1B3A3A88" w:rsidR="00846DFF" w:rsidRPr="00846DFF" w:rsidRDefault="00846DFF" w:rsidP="00846DFF">
            <w:pPr>
              <w:pStyle w:val="Odsekzoznamu"/>
              <w:numPr>
                <w:ilvl w:val="0"/>
                <w:numId w:val="25"/>
              </w:numP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 w:rsidRPr="00846DFF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Zvýšime konkurencieschopnosť slovenského IT sektora v oblasti umelej inteligencie</w:t>
            </w:r>
          </w:p>
          <w:p w14:paraId="00D08931" w14:textId="03C13B53" w:rsidR="00C756DC" w:rsidRPr="00C756DC" w:rsidRDefault="65F47D3B" w:rsidP="65F47D3B">
            <w:pPr>
              <w:pStyle w:val="paragraph"/>
              <w:spacing w:before="0" w:beforeAutospacing="0" w:after="0" w:afterAutospacing="0"/>
              <w:ind w:left="173" w:right="312"/>
              <w:jc w:val="both"/>
              <w:textAlignment w:val="baseline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5F47D3B">
              <w:rPr>
                <w:color w:val="000000" w:themeColor="text1"/>
                <w:sz w:val="20"/>
                <w:szCs w:val="20"/>
              </w:rPr>
              <w:t>Súčasná legislatíva často vôbec nepočíta s novými technológiami. Dôležitým spôsobom, ako modernizovať hospodárstvo a verejnú správu je nastaviť legislatívne rámce pre potreby 21. storočia, či už zjednodušením, odstránením zastaraných pravidiel, alebo prijatím úplne nových konceptov, ak je to efektívne (napríklad v oblasti využívania dát):</w:t>
            </w:r>
          </w:p>
          <w:p w14:paraId="1983EB84" w14:textId="77777777" w:rsidR="00C5773C" w:rsidRPr="009E6034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Pri návrhu riešení problémov uprednostňujeme </w:t>
            </w:r>
            <w:r w:rsidRPr="65F47D3B">
              <w:rPr>
                <w:rFonts w:ascii="Times New Roman" w:hAnsi="Times New Roman" w:cs="Times New Roman"/>
                <w:color w:val="000000" w:themeColor="text1"/>
                <w:u w:val="none"/>
              </w:rPr>
              <w:t>zjednodušovanie a odstraňovanie súčasných regulácií</w:t>
            </w: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všade tam, kde je to možné. Iniciatívy jednotného digitálneho trhu vnímame ako príležitosť prispôsobiť regulačné rámce digitálnej dobe a eliminovať nepotrebné a duplicitné pravidlá. Všetky nové návrhy musia byť dôkladne vyhodnotené. Podporujeme najmä celoeurópske riešenia a elektronickú podporu pre preukazovanie zhody s reguláciami. Nové pravidlá by tak mali viesť k harmonizácii a odbúravaniu nepotrebných regulácií na národnej úrovni a eliminácii takzvaného „</w:t>
            </w:r>
            <w:proofErr w:type="spellStart"/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gold</w:t>
            </w:r>
            <w:proofErr w:type="spellEnd"/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</w:t>
            </w:r>
            <w:proofErr w:type="spellStart"/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platingu</w:t>
            </w:r>
            <w:proofErr w:type="spellEnd"/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“ .</w:t>
            </w:r>
          </w:p>
          <w:p w14:paraId="74EEEA16" w14:textId="77777777" w:rsidR="00C5773C" w:rsidRPr="009E6034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Postupne budeme v jednotlivých sektoroch </w:t>
            </w:r>
            <w:r w:rsidRPr="65F47D3B">
              <w:rPr>
                <w:rFonts w:ascii="Times New Roman" w:hAnsi="Times New Roman" w:cs="Times New Roman"/>
                <w:color w:val="000000" w:themeColor="text1"/>
                <w:u w:val="none"/>
              </w:rPr>
              <w:t>zavádzať dynamické regulácie</w:t>
            </w: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, ktoré umožňujú dotknutým subjektom experimentovať a inovovať postupy tak, aby dosiahli očakávaný cieľ regulácie. Dynamická regulácia tak nepredpisuje presný postup, ako ju dodržať, a tým necháva podnikateľskému prostrediu väčšiu voľnosť. Je obzvlášť vhodná pre odvetvia ako digitálna a platformová ekonomika, ktoré sa veľmi rýchlo vyvíjajú. </w:t>
            </w:r>
          </w:p>
          <w:p w14:paraId="0C97449B" w14:textId="092F3730" w:rsidR="00C5773C" w:rsidRPr="009E6034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Pre testovanie nového typu regulácie sa využije koncept takzvaného „</w:t>
            </w:r>
            <w:r w:rsidRPr="65F47D3B">
              <w:rPr>
                <w:rFonts w:ascii="Times New Roman" w:hAnsi="Times New Roman" w:cs="Times New Roman"/>
                <w:color w:val="000000" w:themeColor="text1"/>
                <w:u w:val="none"/>
              </w:rPr>
              <w:t>regulačného „sandboxu</w:t>
            </w: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“. V rámci neho štát navrhne kontrolovaný experiment, kde môžu firmy fungovať novým spôsobom legálne, kým zamestnanci štátnej správy neustále vyhodnocujú výsledky, konzultujú so spotrebiteľmi a účastníkmi trhu a získavajú tak znalosti pre širšie iniciatívy.</w:t>
            </w:r>
          </w:p>
          <w:p w14:paraId="49DF46D4" w14:textId="77777777" w:rsidR="000E3473" w:rsidRPr="000E3473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Posudzovanie a hodnotenie vplyvov regulácií bude postavené na </w:t>
            </w:r>
            <w:r w:rsidRPr="65F47D3B">
              <w:rPr>
                <w:rFonts w:ascii="Times New Roman" w:hAnsi="Times New Roman" w:cs="Times New Roman"/>
                <w:color w:val="000000" w:themeColor="text1"/>
                <w:u w:val="none"/>
              </w:rPr>
              <w:t>využití analytických modelov</w:t>
            </w: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 veľkých dát. Využitie „veľkých dát“ bude predovšetkým komerčná záležitosť. Využitie týchto dát bude možné aj pre potreby štátu a samospráv, ale na komerčnom základe. </w:t>
            </w:r>
          </w:p>
          <w:p w14:paraId="2BE412F2" w14:textId="77777777" w:rsidR="000E3473" w:rsidRDefault="000E3473" w:rsidP="000E3473">
            <w:pPr>
              <w:pStyle w:val="Nadpis6"/>
              <w:numPr>
                <w:ilvl w:val="0"/>
                <w:numId w:val="0"/>
              </w:numPr>
              <w:outlineLvl w:val="5"/>
              <w:rPr>
                <w:b w:val="0"/>
                <w:u w:val="none"/>
              </w:rPr>
            </w:pPr>
          </w:p>
          <w:p w14:paraId="2D829FC6" w14:textId="24BD7DEA" w:rsidR="000E3473" w:rsidRPr="000E3473" w:rsidRDefault="65F47D3B" w:rsidP="65F47D3B">
            <w:pPr>
              <w:pStyle w:val="Nadpis6"/>
              <w:numPr>
                <w:ilvl w:val="0"/>
                <w:numId w:val="0"/>
              </w:numPr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Preferovaným spôsobom, akým bude možné dosiahnuť výrazné zmeny je zavedenie inovačných laboratórií pre rôzne sektory verejnej správy s dopadom na činností MSP. Inovačné laboratórium by malo:</w:t>
            </w:r>
          </w:p>
          <w:p w14:paraId="07383E5C" w14:textId="77777777" w:rsidR="000E3473" w:rsidRPr="000E3473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Riešiť problémy v danom sektore,</w:t>
            </w:r>
          </w:p>
          <w:p w14:paraId="13BCF138" w14:textId="77777777" w:rsidR="000E3473" w:rsidRPr="000E3473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Navrhovať zmeny politík a odporúčaní v danom sektore (napríklad na úpravu legislatívy),</w:t>
            </w:r>
          </w:p>
          <w:p w14:paraId="527EA1BF" w14:textId="77777777" w:rsidR="000E3473" w:rsidRPr="000E3473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Navrhovať nové koncepty, pilotné projekty a experimenty,</w:t>
            </w:r>
          </w:p>
          <w:p w14:paraId="5F100343" w14:textId="77777777" w:rsidR="000E3473" w:rsidRPr="000E3473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Realizovať experimenty (na úrovni regulácií by išlo o regulačné sandboxy)</w:t>
            </w:r>
          </w:p>
          <w:p w14:paraId="045A0A3E" w14:textId="77777777" w:rsidR="000E3473" w:rsidRPr="000E3473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Monitorovať efektivitu regulačných režimov.</w:t>
            </w:r>
          </w:p>
          <w:p w14:paraId="0D47AB64" w14:textId="77777777" w:rsidR="000E3473" w:rsidRPr="000E3473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Inovačné laboratória by mali vnášať „start-upovú“ kultúru a štýl práce do inštitúcii verejného sektora. V rámci inovačných laboratórií by mali vznikať partnerstvá medzi verejným, súkromným a akademickým sektorom a mali by tvoriť ekosystémy (resp. byť súčasťou ekosystému).</w:t>
            </w:r>
          </w:p>
          <w:p w14:paraId="1186DE04" w14:textId="77777777" w:rsidR="000E3473" w:rsidRPr="000E3473" w:rsidRDefault="65F47D3B" w:rsidP="65F47D3B">
            <w:pPr>
              <w:pStyle w:val="Nadpis6"/>
              <w:outlineLvl w:val="5"/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Inovačné laboratória by mali vznikať vo všetkých dôležitých oblastiach, kde chceme dosiahnuť zlepšenie efektu verejných politík. Ide o pokračovanie konceptu Analytických jednotiek vo verejnej správe, ktoré sa už vo veľkej miere podarilo vytvoriť. Kým analytické jednotky sú schopné ponúknuť najmä nezávislý pohľad, kvalitné analytické materiály, hodnotenie politík a odporúčania; inovačné laboratória by mali priniesť výsledky v experimentovaní a overovaní myšlienok, ktoré budú následne pripravené na implementáciu v praxi. </w:t>
            </w:r>
          </w:p>
          <w:p w14:paraId="3258E35B" w14:textId="7F6F4328" w:rsidR="000E3473" w:rsidRPr="000E3473" w:rsidRDefault="65F47D3B" w:rsidP="000E3473">
            <w:pPr>
              <w:pStyle w:val="Nadpis6"/>
              <w:outlineLvl w:val="5"/>
            </w:pPr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Dôležitým aspektom konceptu inovačných laboratórií je zabezpečenie financovania pre sľubné projekty respektíve kapitálu pre zaujímavé </w:t>
            </w:r>
            <w:proofErr w:type="spellStart"/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startupy</w:t>
            </w:r>
            <w:proofErr w:type="spellEnd"/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 xml:space="preserve">, respektíve </w:t>
            </w:r>
            <w:proofErr w:type="spellStart"/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scaleupy</w:t>
            </w:r>
            <w:proofErr w:type="spellEnd"/>
            <w:r w:rsidRPr="65F47D3B">
              <w:rPr>
                <w:rFonts w:ascii="Times New Roman" w:hAnsi="Times New Roman" w:cs="Times New Roman"/>
                <w:b w:val="0"/>
                <w:color w:val="000000" w:themeColor="text1"/>
                <w:u w:val="none"/>
              </w:rPr>
              <w:t>, ktoré by dokázali riešiť problémy v danom sektore.</w:t>
            </w:r>
          </w:p>
          <w:p w14:paraId="041B6D51" w14:textId="32C699F1" w:rsidR="00E32A4F" w:rsidRPr="00E32A4F" w:rsidRDefault="00C756DC" w:rsidP="00E32A4F">
            <w:pPr>
              <w:ind w:left="449" w:right="312"/>
              <w:jc w:val="both"/>
              <w:rPr>
                <w:color w:val="000000" w:themeColor="text1"/>
              </w:rPr>
            </w:pPr>
            <w:r w:rsidRPr="00C756DC">
              <w:rPr>
                <w:color w:val="000000" w:themeColor="text1"/>
              </w:rPr>
              <w:t xml:space="preserve"> </w:t>
            </w:r>
          </w:p>
        </w:tc>
      </w:tr>
    </w:tbl>
    <w:p w14:paraId="3B25B0F3" w14:textId="77777777" w:rsidR="009F2DFA" w:rsidRPr="00C756DC" w:rsidRDefault="009F2DFA" w:rsidP="009F2DFA"/>
    <w:p w14:paraId="1417E556" w14:textId="41765BA9" w:rsidR="00CB3623" w:rsidRPr="00C756DC" w:rsidRDefault="00CB3623">
      <w:pPr>
        <w:rPr>
          <w:b/>
          <w:sz w:val="24"/>
        </w:rPr>
      </w:pPr>
    </w:p>
    <w:sectPr w:rsidR="00CB3623" w:rsidRPr="00C756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15971" w14:textId="77777777" w:rsidR="00951E02" w:rsidRDefault="00951E02" w:rsidP="009F2DFA">
      <w:r>
        <w:separator/>
      </w:r>
    </w:p>
  </w:endnote>
  <w:endnote w:type="continuationSeparator" w:id="0">
    <w:p w14:paraId="7E1D0A27" w14:textId="77777777" w:rsidR="00951E02" w:rsidRDefault="00951E02" w:rsidP="009F2DFA">
      <w:r>
        <w:continuationSeparator/>
      </w:r>
    </w:p>
  </w:endnote>
  <w:endnote w:type="continuationNotice" w:id="1">
    <w:p w14:paraId="275DA9D5" w14:textId="77777777" w:rsidR="00951E02" w:rsidRDefault="00951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381234"/>
      <w:docPartObj>
        <w:docPartGallery w:val="Page Numbers (Bottom of Page)"/>
        <w:docPartUnique/>
      </w:docPartObj>
    </w:sdtPr>
    <w:sdtEndPr/>
    <w:sdtContent>
      <w:p w14:paraId="0CC6C954" w14:textId="14B6E298" w:rsidR="00631300" w:rsidRDefault="006313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16F">
          <w:rPr>
            <w:noProof/>
          </w:rPr>
          <w:t>6</w:t>
        </w:r>
        <w:r>
          <w:fldChar w:fldCharType="end"/>
        </w:r>
      </w:p>
    </w:sdtContent>
  </w:sdt>
  <w:p w14:paraId="41264F97" w14:textId="77777777" w:rsidR="00631300" w:rsidRDefault="006313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9DAA" w14:textId="77777777" w:rsidR="00951E02" w:rsidRDefault="00951E02" w:rsidP="009F2DFA">
      <w:r>
        <w:separator/>
      </w:r>
    </w:p>
  </w:footnote>
  <w:footnote w:type="continuationSeparator" w:id="0">
    <w:p w14:paraId="271AA37F" w14:textId="77777777" w:rsidR="00951E02" w:rsidRDefault="00951E02" w:rsidP="009F2DFA">
      <w:r>
        <w:continuationSeparator/>
      </w:r>
    </w:p>
  </w:footnote>
  <w:footnote w:type="continuationNotice" w:id="1">
    <w:p w14:paraId="29D31E7F" w14:textId="77777777" w:rsidR="00951E02" w:rsidRDefault="00951E02"/>
  </w:footnote>
  <w:footnote w:id="2">
    <w:p w14:paraId="2BE450C6" w14:textId="7FD8E1D2" w:rsidR="001C4D24" w:rsidRDefault="001C4D2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C4D24">
        <w:rPr>
          <w:sz w:val="20"/>
          <w:szCs w:val="20"/>
        </w:rPr>
        <w:t>http://europa.eu/rapid/press-release_MEMO-17-1441_en.htm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24E7C" w14:textId="13B3433F" w:rsidR="00631300" w:rsidRDefault="00631300" w:rsidP="009F2DFA">
    <w:pPr>
      <w:pStyle w:val="Hlavika"/>
      <w:jc w:val="right"/>
      <w:rPr>
        <w:sz w:val="24"/>
        <w:szCs w:val="24"/>
      </w:rPr>
    </w:pPr>
  </w:p>
  <w:p w14:paraId="5849A8A3" w14:textId="77777777" w:rsidR="00631300" w:rsidRDefault="006313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6B4"/>
    <w:multiLevelType w:val="multilevel"/>
    <w:tmpl w:val="486E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6C2C63"/>
    <w:multiLevelType w:val="hybridMultilevel"/>
    <w:tmpl w:val="FB0EFD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2B49"/>
    <w:multiLevelType w:val="multilevel"/>
    <w:tmpl w:val="ABD6DF8E"/>
    <w:lvl w:ilvl="0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266B02"/>
    <w:multiLevelType w:val="multilevel"/>
    <w:tmpl w:val="0986CE42"/>
    <w:lvl w:ilvl="0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B810C2"/>
    <w:multiLevelType w:val="hybridMultilevel"/>
    <w:tmpl w:val="3FE2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65A20"/>
    <w:multiLevelType w:val="hybridMultilevel"/>
    <w:tmpl w:val="F71CB1E8"/>
    <w:lvl w:ilvl="0" w:tplc="8F6C9192">
      <w:start w:val="4"/>
      <w:numFmt w:val="bullet"/>
      <w:pStyle w:val="Nadpis6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C7058"/>
    <w:multiLevelType w:val="multilevel"/>
    <w:tmpl w:val="7968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33557D"/>
    <w:multiLevelType w:val="multilevel"/>
    <w:tmpl w:val="BD2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3F2860"/>
    <w:multiLevelType w:val="hybridMultilevel"/>
    <w:tmpl w:val="45FEAAD6"/>
    <w:lvl w:ilvl="0" w:tplc="041B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86F28"/>
    <w:multiLevelType w:val="hybridMultilevel"/>
    <w:tmpl w:val="45509134"/>
    <w:lvl w:ilvl="0" w:tplc="041B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 w15:restartNumberingAfterBreak="0">
    <w:nsid w:val="5D3E4EF3"/>
    <w:multiLevelType w:val="hybridMultilevel"/>
    <w:tmpl w:val="38BCEF2A"/>
    <w:lvl w:ilvl="0" w:tplc="DA847FA4"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9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1675F"/>
    <w:multiLevelType w:val="multilevel"/>
    <w:tmpl w:val="D89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9"/>
  </w:num>
  <w:num w:numId="5">
    <w:abstractNumId w:val="3"/>
  </w:num>
  <w:num w:numId="6">
    <w:abstractNumId w:val="11"/>
  </w:num>
  <w:num w:numId="7">
    <w:abstractNumId w:val="22"/>
  </w:num>
  <w:num w:numId="8">
    <w:abstractNumId w:val="6"/>
  </w:num>
  <w:num w:numId="9">
    <w:abstractNumId w:val="1"/>
  </w:num>
  <w:num w:numId="10">
    <w:abstractNumId w:val="23"/>
  </w:num>
  <w:num w:numId="11">
    <w:abstractNumId w:val="13"/>
  </w:num>
  <w:num w:numId="12">
    <w:abstractNumId w:val="8"/>
  </w:num>
  <w:num w:numId="13">
    <w:abstractNumId w:val="7"/>
  </w:num>
  <w:num w:numId="14">
    <w:abstractNumId w:val="0"/>
  </w:num>
  <w:num w:numId="15">
    <w:abstractNumId w:val="12"/>
  </w:num>
  <w:num w:numId="16">
    <w:abstractNumId w:val="21"/>
  </w:num>
  <w:num w:numId="17">
    <w:abstractNumId w:val="14"/>
  </w:num>
  <w:num w:numId="18">
    <w:abstractNumId w:val="17"/>
  </w:num>
  <w:num w:numId="19">
    <w:abstractNumId w:val="5"/>
  </w:num>
  <w:num w:numId="20">
    <w:abstractNumId w:val="4"/>
  </w:num>
  <w:num w:numId="21">
    <w:abstractNumId w:val="15"/>
  </w:num>
  <w:num w:numId="22">
    <w:abstractNumId w:val="10"/>
  </w:num>
  <w:num w:numId="23">
    <w:abstractNumId w:val="2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13"/>
    <w:rsid w:val="00020563"/>
    <w:rsid w:val="00051E57"/>
    <w:rsid w:val="000618FC"/>
    <w:rsid w:val="0006268E"/>
    <w:rsid w:val="000C0565"/>
    <w:rsid w:val="000C0890"/>
    <w:rsid w:val="000C2026"/>
    <w:rsid w:val="000D0A13"/>
    <w:rsid w:val="000D1264"/>
    <w:rsid w:val="000E3473"/>
    <w:rsid w:val="000E6B18"/>
    <w:rsid w:val="00101206"/>
    <w:rsid w:val="00120E19"/>
    <w:rsid w:val="00154881"/>
    <w:rsid w:val="0015616F"/>
    <w:rsid w:val="00172C47"/>
    <w:rsid w:val="00191099"/>
    <w:rsid w:val="00193979"/>
    <w:rsid w:val="00196521"/>
    <w:rsid w:val="00196568"/>
    <w:rsid w:val="001A1104"/>
    <w:rsid w:val="001A1F67"/>
    <w:rsid w:val="001C4D24"/>
    <w:rsid w:val="001F0EFB"/>
    <w:rsid w:val="00217071"/>
    <w:rsid w:val="00217848"/>
    <w:rsid w:val="002266E1"/>
    <w:rsid w:val="00227C37"/>
    <w:rsid w:val="00242F46"/>
    <w:rsid w:val="00250455"/>
    <w:rsid w:val="0028714D"/>
    <w:rsid w:val="00294CBF"/>
    <w:rsid w:val="002B1108"/>
    <w:rsid w:val="002B4E3E"/>
    <w:rsid w:val="002D3DFE"/>
    <w:rsid w:val="002F1B56"/>
    <w:rsid w:val="00315FD5"/>
    <w:rsid w:val="0032662E"/>
    <w:rsid w:val="00327DD2"/>
    <w:rsid w:val="00342A59"/>
    <w:rsid w:val="00383B11"/>
    <w:rsid w:val="003C587C"/>
    <w:rsid w:val="003D4D5D"/>
    <w:rsid w:val="003F7E51"/>
    <w:rsid w:val="00411FE0"/>
    <w:rsid w:val="00415876"/>
    <w:rsid w:val="00440293"/>
    <w:rsid w:val="004425C9"/>
    <w:rsid w:val="00453665"/>
    <w:rsid w:val="004615B8"/>
    <w:rsid w:val="0046429B"/>
    <w:rsid w:val="004823AC"/>
    <w:rsid w:val="004927A9"/>
    <w:rsid w:val="004B5904"/>
    <w:rsid w:val="004D329A"/>
    <w:rsid w:val="00501554"/>
    <w:rsid w:val="00513175"/>
    <w:rsid w:val="005132B6"/>
    <w:rsid w:val="0052297F"/>
    <w:rsid w:val="00535AFC"/>
    <w:rsid w:val="00545145"/>
    <w:rsid w:val="00584C97"/>
    <w:rsid w:val="005856BF"/>
    <w:rsid w:val="005B570E"/>
    <w:rsid w:val="005B6225"/>
    <w:rsid w:val="005C5B07"/>
    <w:rsid w:val="005E7263"/>
    <w:rsid w:val="005F2127"/>
    <w:rsid w:val="005F2DF7"/>
    <w:rsid w:val="00607976"/>
    <w:rsid w:val="00624375"/>
    <w:rsid w:val="006308B9"/>
    <w:rsid w:val="00631300"/>
    <w:rsid w:val="006C4AAD"/>
    <w:rsid w:val="006C5336"/>
    <w:rsid w:val="006D6831"/>
    <w:rsid w:val="00717CA9"/>
    <w:rsid w:val="00723D41"/>
    <w:rsid w:val="007263EA"/>
    <w:rsid w:val="00747D06"/>
    <w:rsid w:val="00751EF6"/>
    <w:rsid w:val="0075637E"/>
    <w:rsid w:val="00780BA6"/>
    <w:rsid w:val="007A1DC4"/>
    <w:rsid w:val="007B39FC"/>
    <w:rsid w:val="007C3B72"/>
    <w:rsid w:val="007D4266"/>
    <w:rsid w:val="007E7BF1"/>
    <w:rsid w:val="007F67D7"/>
    <w:rsid w:val="007F7585"/>
    <w:rsid w:val="008265E8"/>
    <w:rsid w:val="00830755"/>
    <w:rsid w:val="0083145E"/>
    <w:rsid w:val="00837639"/>
    <w:rsid w:val="00846DFF"/>
    <w:rsid w:val="00871D67"/>
    <w:rsid w:val="008720D7"/>
    <w:rsid w:val="00873FC7"/>
    <w:rsid w:val="0088494B"/>
    <w:rsid w:val="008876A0"/>
    <w:rsid w:val="008A1252"/>
    <w:rsid w:val="008B2853"/>
    <w:rsid w:val="008C2470"/>
    <w:rsid w:val="008D3887"/>
    <w:rsid w:val="009001D5"/>
    <w:rsid w:val="00904C9B"/>
    <w:rsid w:val="00933A40"/>
    <w:rsid w:val="00950C1B"/>
    <w:rsid w:val="00951E02"/>
    <w:rsid w:val="00960266"/>
    <w:rsid w:val="0096180F"/>
    <w:rsid w:val="00965C38"/>
    <w:rsid w:val="009840DE"/>
    <w:rsid w:val="009932F3"/>
    <w:rsid w:val="009E2EA7"/>
    <w:rsid w:val="009E6034"/>
    <w:rsid w:val="009F2DFA"/>
    <w:rsid w:val="00A004CD"/>
    <w:rsid w:val="00A047B3"/>
    <w:rsid w:val="00A120D0"/>
    <w:rsid w:val="00A37135"/>
    <w:rsid w:val="00A40910"/>
    <w:rsid w:val="00A54D6A"/>
    <w:rsid w:val="00A5636D"/>
    <w:rsid w:val="00A96731"/>
    <w:rsid w:val="00AB21D2"/>
    <w:rsid w:val="00AB6E39"/>
    <w:rsid w:val="00AC2558"/>
    <w:rsid w:val="00AC5E27"/>
    <w:rsid w:val="00AD6145"/>
    <w:rsid w:val="00AE2E50"/>
    <w:rsid w:val="00B114D6"/>
    <w:rsid w:val="00B17AD5"/>
    <w:rsid w:val="00B21B34"/>
    <w:rsid w:val="00B24AC2"/>
    <w:rsid w:val="00B254FC"/>
    <w:rsid w:val="00B31A8E"/>
    <w:rsid w:val="00B5131E"/>
    <w:rsid w:val="00B72F6B"/>
    <w:rsid w:val="00B77090"/>
    <w:rsid w:val="00B945A7"/>
    <w:rsid w:val="00BA073A"/>
    <w:rsid w:val="00BE0477"/>
    <w:rsid w:val="00BE718F"/>
    <w:rsid w:val="00BF53B5"/>
    <w:rsid w:val="00C024EC"/>
    <w:rsid w:val="00C108B4"/>
    <w:rsid w:val="00C25926"/>
    <w:rsid w:val="00C32E5D"/>
    <w:rsid w:val="00C37675"/>
    <w:rsid w:val="00C4407B"/>
    <w:rsid w:val="00C547B2"/>
    <w:rsid w:val="00C5773C"/>
    <w:rsid w:val="00C7075A"/>
    <w:rsid w:val="00C756DC"/>
    <w:rsid w:val="00C77047"/>
    <w:rsid w:val="00C97F60"/>
    <w:rsid w:val="00CA484B"/>
    <w:rsid w:val="00CB3623"/>
    <w:rsid w:val="00CB5505"/>
    <w:rsid w:val="00CC4222"/>
    <w:rsid w:val="00CF3052"/>
    <w:rsid w:val="00D014FB"/>
    <w:rsid w:val="00D203AE"/>
    <w:rsid w:val="00D21F57"/>
    <w:rsid w:val="00D225BE"/>
    <w:rsid w:val="00D46815"/>
    <w:rsid w:val="00D54EAD"/>
    <w:rsid w:val="00D647E1"/>
    <w:rsid w:val="00D66622"/>
    <w:rsid w:val="00DC684C"/>
    <w:rsid w:val="00E04232"/>
    <w:rsid w:val="00E32A4F"/>
    <w:rsid w:val="00E36D5E"/>
    <w:rsid w:val="00E4434E"/>
    <w:rsid w:val="00E633CE"/>
    <w:rsid w:val="00E666C0"/>
    <w:rsid w:val="00E86AD1"/>
    <w:rsid w:val="00E927B1"/>
    <w:rsid w:val="00EA167F"/>
    <w:rsid w:val="00EE2EE0"/>
    <w:rsid w:val="00F10906"/>
    <w:rsid w:val="00F1117A"/>
    <w:rsid w:val="00F24F21"/>
    <w:rsid w:val="00F32CCA"/>
    <w:rsid w:val="00F41620"/>
    <w:rsid w:val="00F448B7"/>
    <w:rsid w:val="00F76117"/>
    <w:rsid w:val="00F8412F"/>
    <w:rsid w:val="00F901BB"/>
    <w:rsid w:val="00FB156F"/>
    <w:rsid w:val="00FB5C13"/>
    <w:rsid w:val="00FB60A1"/>
    <w:rsid w:val="00FD5934"/>
    <w:rsid w:val="00FE236F"/>
    <w:rsid w:val="00FE4748"/>
    <w:rsid w:val="00FE57F5"/>
    <w:rsid w:val="00FF0249"/>
    <w:rsid w:val="65F4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CD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31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B254FC"/>
    <w:pPr>
      <w:keepNext/>
      <w:keepLines/>
      <w:numPr>
        <w:numId w:val="22"/>
      </w:numPr>
      <w:spacing w:before="200" w:after="120"/>
      <w:contextualSpacing/>
      <w:jc w:val="both"/>
      <w:outlineLvl w:val="5"/>
    </w:pPr>
    <w:rPr>
      <w:rFonts w:ascii="Roboto Slab" w:eastAsiaTheme="majorEastAsia" w:hAnsi="Roboto Slab" w:cstheme="majorBidi"/>
      <w:b/>
      <w:color w:val="595959" w:themeColor="text1" w:themeTint="A6"/>
      <w:u w:val="single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FF0249"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4615B8"/>
    <w:rPr>
      <w:sz w:val="24"/>
      <w:szCs w:val="24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615B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615B8"/>
    <w:rPr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615B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4615B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8494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494B"/>
    <w:rPr>
      <w:color w:val="800080" w:themeColor="followedHyperlink"/>
      <w:u w:val="single"/>
    </w:rPr>
  </w:style>
  <w:style w:type="paragraph" w:customStyle="1" w:styleId="paragraph">
    <w:name w:val="paragraph"/>
    <w:basedOn w:val="Normlny"/>
    <w:rsid w:val="0041587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redvolenpsmoodseku"/>
    <w:rsid w:val="00415876"/>
  </w:style>
  <w:style w:type="character" w:customStyle="1" w:styleId="eop">
    <w:name w:val="eop"/>
    <w:basedOn w:val="Predvolenpsmoodseku"/>
    <w:rsid w:val="00415876"/>
  </w:style>
  <w:style w:type="character" w:customStyle="1" w:styleId="spellingerror">
    <w:name w:val="spellingerror"/>
    <w:basedOn w:val="Predvolenpsmoodseku"/>
    <w:rsid w:val="00415876"/>
  </w:style>
  <w:style w:type="character" w:customStyle="1" w:styleId="scxw11661798">
    <w:name w:val="scxw11661798"/>
    <w:basedOn w:val="Predvolenpsmoodseku"/>
    <w:rsid w:val="00415876"/>
  </w:style>
  <w:style w:type="character" w:customStyle="1" w:styleId="Nadpis6Char">
    <w:name w:val="Nadpis 6 Char"/>
    <w:basedOn w:val="Predvolenpsmoodseku"/>
    <w:link w:val="Nadpis6"/>
    <w:uiPriority w:val="9"/>
    <w:rsid w:val="00DC684C"/>
    <w:rPr>
      <w:rFonts w:ascii="Roboto Slab" w:eastAsiaTheme="majorEastAsia" w:hAnsi="Roboto Slab" w:cstheme="majorBidi"/>
      <w:b/>
      <w:color w:val="595959" w:themeColor="text1" w:themeTint="A6"/>
      <w:sz w:val="20"/>
      <w:szCs w:val="20"/>
      <w:u w:val="single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C4A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C4AA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C4A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4A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4A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317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2783F7-C35D-4CE7-9C0A-54EF4A74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Číž</dc:creator>
  <cp:keywords/>
  <dc:description/>
  <cp:lastModifiedBy>Michal Číž</cp:lastModifiedBy>
  <cp:revision>3</cp:revision>
  <dcterms:created xsi:type="dcterms:W3CDTF">2019-05-24T17:31:00Z</dcterms:created>
  <dcterms:modified xsi:type="dcterms:W3CDTF">2019-06-12T08:08:00Z</dcterms:modified>
</cp:coreProperties>
</file>