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7D5748" w:rsidRDefault="007D5748" w:rsidP="00314D9D">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7D5748" w:rsidRPr="007D5748" w:rsidRDefault="007D5748" w:rsidP="00314D9D">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w:t>
      </w:r>
      <w:r w:rsidR="009E050C">
        <w:rPr>
          <w:rFonts w:ascii="Times New Roman" w:eastAsia="Times New Roman" w:hAnsi="Times New Roman" w:cs="Times New Roman"/>
          <w:b/>
          <w:bCs/>
          <w:sz w:val="28"/>
          <w:szCs w:val="28"/>
          <w:lang w:eastAsia="sk-SK"/>
        </w:rPr>
        <w:t>o verejnej správe a financovanie</w:t>
      </w:r>
      <w:r w:rsidRPr="007D5748">
        <w:rPr>
          <w:rFonts w:ascii="Times New Roman" w:eastAsia="Times New Roman" w:hAnsi="Times New Roman" w:cs="Times New Roman"/>
          <w:b/>
          <w:bCs/>
          <w:sz w:val="28"/>
          <w:szCs w:val="28"/>
          <w:lang w:eastAsia="sk-SK"/>
        </w:rPr>
        <w:t xml:space="preserve"> návrhu</w:t>
      </w:r>
    </w:p>
    <w:p w:rsidR="00E963A3" w:rsidRPr="00212894" w:rsidRDefault="00E963A3" w:rsidP="00314D9D">
      <w:pPr>
        <w:spacing w:after="0" w:line="240" w:lineRule="auto"/>
        <w:jc w:val="right"/>
        <w:rPr>
          <w:rFonts w:ascii="Times New Roman" w:eastAsia="Times New Roman" w:hAnsi="Times New Roman" w:cs="Times New Roman"/>
          <w:b/>
          <w:bCs/>
          <w:sz w:val="24"/>
          <w:szCs w:val="24"/>
          <w:lang w:eastAsia="sk-SK"/>
        </w:rPr>
      </w:pPr>
    </w:p>
    <w:p w:rsidR="00E963A3" w:rsidRDefault="00E963A3" w:rsidP="00314D9D">
      <w:pPr>
        <w:spacing w:after="0" w:line="240" w:lineRule="auto"/>
        <w:rPr>
          <w:rFonts w:ascii="Times New Roman" w:eastAsia="Times New Roman" w:hAnsi="Times New Roman" w:cs="Times New Roman"/>
          <w:b/>
          <w:bCs/>
          <w:sz w:val="24"/>
          <w:szCs w:val="24"/>
          <w:lang w:eastAsia="sk-SK"/>
        </w:rPr>
      </w:pPr>
      <w:r w:rsidRPr="00B134D4">
        <w:rPr>
          <w:rFonts w:ascii="Times New Roman" w:eastAsia="Times New Roman" w:hAnsi="Times New Roman" w:cs="Times New Roman"/>
          <w:b/>
          <w:bCs/>
          <w:sz w:val="24"/>
          <w:szCs w:val="24"/>
          <w:lang w:eastAsia="sk-SK"/>
        </w:rPr>
        <w:t>2.1 Zhrnutie vplyvov na rozpočet verejnej správy v</w:t>
      </w:r>
      <w:r w:rsidR="00E96A3C">
        <w:rPr>
          <w:rFonts w:ascii="Times New Roman" w:eastAsia="Times New Roman" w:hAnsi="Times New Roman" w:cs="Times New Roman"/>
          <w:b/>
          <w:bCs/>
          <w:sz w:val="24"/>
          <w:szCs w:val="24"/>
          <w:lang w:eastAsia="sk-SK"/>
        </w:rPr>
        <w:t> </w:t>
      </w:r>
      <w:r w:rsidRPr="00B134D4">
        <w:rPr>
          <w:rFonts w:ascii="Times New Roman" w:eastAsia="Times New Roman" w:hAnsi="Times New Roman" w:cs="Times New Roman"/>
          <w:b/>
          <w:bCs/>
          <w:sz w:val="24"/>
          <w:szCs w:val="24"/>
          <w:lang w:eastAsia="sk-SK"/>
        </w:rPr>
        <w:t>návrhu</w:t>
      </w:r>
    </w:p>
    <w:p w:rsidR="00E96A3C" w:rsidRDefault="009559E3" w:rsidP="009559E3">
      <w:pPr>
        <w:spacing w:after="0" w:line="240" w:lineRule="auto"/>
        <w:ind w:left="7080"/>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Tabuľka č. 1</w:t>
      </w:r>
    </w:p>
    <w:tbl>
      <w:tblPr>
        <w:tblW w:w="9660" w:type="dxa"/>
        <w:tblCellMar>
          <w:left w:w="70" w:type="dxa"/>
          <w:right w:w="70" w:type="dxa"/>
        </w:tblCellMar>
        <w:tblLook w:val="04A0" w:firstRow="1" w:lastRow="0" w:firstColumn="1" w:lastColumn="0" w:noHBand="0" w:noVBand="1"/>
      </w:tblPr>
      <w:tblGrid>
        <w:gridCol w:w="3140"/>
        <w:gridCol w:w="1630"/>
        <w:gridCol w:w="1630"/>
        <w:gridCol w:w="1630"/>
        <w:gridCol w:w="1630"/>
      </w:tblGrid>
      <w:tr w:rsidR="009559E3" w:rsidRPr="009559E3" w:rsidTr="009559E3">
        <w:trPr>
          <w:trHeight w:val="1189"/>
        </w:trPr>
        <w:tc>
          <w:tcPr>
            <w:tcW w:w="314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bookmarkStart w:id="0" w:name="RANGE!A1"/>
            <w:r w:rsidRPr="009559E3">
              <w:rPr>
                <w:rFonts w:ascii="Times New Roman" w:eastAsia="Times New Roman" w:hAnsi="Times New Roman" w:cs="Times New Roman"/>
                <w:b/>
                <w:bCs/>
                <w:color w:val="000000"/>
                <w:sz w:val="24"/>
                <w:szCs w:val="24"/>
                <w:lang w:eastAsia="sk-SK"/>
              </w:rPr>
              <w:t>Vplyvy na rozpočet verejnej správy</w:t>
            </w:r>
            <w:bookmarkEnd w:id="0"/>
          </w:p>
        </w:tc>
        <w:tc>
          <w:tcPr>
            <w:tcW w:w="6520" w:type="dxa"/>
            <w:gridSpan w:val="4"/>
            <w:tcBorders>
              <w:top w:val="single" w:sz="8" w:space="0" w:color="auto"/>
              <w:left w:val="nil"/>
              <w:bottom w:val="single" w:sz="8" w:space="0" w:color="auto"/>
              <w:right w:val="single" w:sz="8" w:space="0" w:color="000000"/>
            </w:tcBorders>
            <w:shd w:val="clear" w:color="000000" w:fill="BFBFBF"/>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Vplyv na rozpočet verejnej správy (v eurách)</w:t>
            </w:r>
          </w:p>
        </w:tc>
      </w:tr>
      <w:tr w:rsidR="009559E3" w:rsidRPr="009559E3" w:rsidTr="009559E3">
        <w:trPr>
          <w:trHeight w:val="330"/>
        </w:trPr>
        <w:tc>
          <w:tcPr>
            <w:tcW w:w="3140" w:type="dxa"/>
            <w:vMerge/>
            <w:tcBorders>
              <w:top w:val="single" w:sz="8" w:space="0" w:color="auto"/>
              <w:left w:val="single" w:sz="8" w:space="0" w:color="auto"/>
              <w:bottom w:val="single" w:sz="8" w:space="0" w:color="000000"/>
              <w:right w:val="single" w:sz="8" w:space="0" w:color="auto"/>
            </w:tcBorders>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2 019</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2 020</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2 021</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2 022</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000000" w:fill="C0C0C0"/>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xml:space="preserve">Príjmy verejnej správy celkom </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10 068 730,25</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20 385 243,76</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20 221 478,50</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center"/>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17 047 547,50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xml:space="preserve">v tom: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opatrenia ÚPVII</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7 800 000,00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15 200 000,00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14 500 000,00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10 200 000,00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 xml:space="preserve">opatrenia MŠVVŠ SR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1 068 730,25</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2 985 243,76</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3 321 478,50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4 247 547,50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opatrenia MDV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1 400 000,00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opatrenia MŽP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z toho: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91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ŠR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Rozpočtové prostriedky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EÚ zdroje</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10 068 730,25</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20 385 243,76</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20 221 478,50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17 047 547,50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obce</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vyššie územné celky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ostatné subjekty verejnej správy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000000" w:fill="C0C0C0"/>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Výdavky verejnej správy celkom</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11 105 125,00</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21 918 396,25</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21 597 000,00</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18 118 000,00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ÚPVII</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8 162 000,00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14 850 000,00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13 650 000,00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8 850 000,00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opatrenia MH SR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32 396,25</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opatrenia MŠVVŠ SR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1 743 125,00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4 836 000,00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5 547 000,00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6 668 000,00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MDV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1 400 000,00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MŽP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1 200 000,00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z toho: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ŠR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ÚPVII</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 xml:space="preserve">Rozpočtové prostriedky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530 000,00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750 000,00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750 000,00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750 000,00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Zdroje EÚ</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7 800 000,00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14 200 000,00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13 000 000,00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8 200 000,00</w:t>
            </w:r>
          </w:p>
        </w:tc>
      </w:tr>
      <w:tr w:rsidR="009559E3" w:rsidRPr="009559E3" w:rsidTr="009559E3">
        <w:trPr>
          <w:trHeight w:val="121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MH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 xml:space="preserve">Rozpočtové prostriedky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32 396,25</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Zdroje EÚ</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MŠVVŠ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 xml:space="preserve">Rozpočtové prostriedky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316 125,00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1 104 340,00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1 503 000,00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1 290 660,00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Zdroje EÚ</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1 068 730,25</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2 985 243,76</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3 321 478,50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4 247 547,50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000000" w:fill="FFFFFF"/>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Spolufinancovanie</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188 599,46</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392 926,55</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380 635,20</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594 742,50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000000" w:fill="FFFFFF"/>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Pro rata</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169 670,30</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353 489,70</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341 790,00</w:t>
            </w:r>
          </w:p>
        </w:tc>
        <w:tc>
          <w:tcPr>
            <w:tcW w:w="1630" w:type="dxa"/>
            <w:tcBorders>
              <w:top w:val="nil"/>
              <w:left w:val="nil"/>
              <w:bottom w:val="single" w:sz="8" w:space="0" w:color="auto"/>
              <w:right w:val="single" w:sz="8" w:space="0" w:color="auto"/>
            </w:tcBorders>
            <w:shd w:val="clear" w:color="000000" w:fill="FFFFFF"/>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535 050,00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opatrenia MDV SR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 xml:space="preserve">Rozpočtové prostriedky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Zdroje EÚ</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1 400 000,00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MŽP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 xml:space="preserve">Rozpočtové prostriedky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Zdroje EÚ</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obce</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vyššie územné celky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ostatné subjekty verejnej správy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000000" w:fill="BFBFBF"/>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xml:space="preserve">Vplyv na počet zamestnancov </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 vplyv na ŠR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obce</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vyššie územné celky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ostatné subjekty verejnej správy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000000" w:fill="BFBFBF"/>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Vplyv na mzdové výdavky</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 vplyv na ŠR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obce</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vyššie územné celky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vplyv na ostatné subjekty verejnej správy</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000000" w:fill="C0C0C0"/>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xml:space="preserve">Financovanie zabezpečené v rozpočte </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10 743 125,00</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21 855 396,30</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22 034 000,00</w:t>
            </w:r>
          </w:p>
        </w:tc>
        <w:tc>
          <w:tcPr>
            <w:tcW w:w="1630" w:type="dxa"/>
            <w:tcBorders>
              <w:top w:val="nil"/>
              <w:left w:val="nil"/>
              <w:bottom w:val="single" w:sz="8" w:space="0" w:color="auto"/>
              <w:right w:val="single" w:sz="8" w:space="0" w:color="auto"/>
            </w:tcBorders>
            <w:shd w:val="clear" w:color="000000" w:fill="C0C0C0"/>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19 055 000,00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ÚPVII</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7 800 000,00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15 200 000,00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14 500 000,00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10 200 000,00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opatrenia MH SR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32 396,30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 xml:space="preserve">opatrenia MŠVVŠ SR </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1 743 125,00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4 423 000,00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5 134 000,00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6 255 000,00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MDV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1 400 000,00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MŽP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1 000 000,00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1 200 000,00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000000" w:fill="BFBFBF"/>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xml:space="preserve">Iné ako rozpočtové zdroje </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 </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c>
          <w:tcPr>
            <w:tcW w:w="1630" w:type="dxa"/>
            <w:tcBorders>
              <w:top w:val="nil"/>
              <w:left w:val="nil"/>
              <w:bottom w:val="single" w:sz="8" w:space="0" w:color="auto"/>
              <w:right w:val="single" w:sz="8" w:space="0" w:color="auto"/>
            </w:tcBorders>
            <w:shd w:val="clear" w:color="000000" w:fill="BFBFBF"/>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 </w:t>
            </w:r>
          </w:p>
        </w:tc>
      </w:tr>
      <w:tr w:rsidR="009559E3" w:rsidRPr="009559E3" w:rsidTr="009559E3">
        <w:trPr>
          <w:trHeight w:val="645"/>
        </w:trPr>
        <w:tc>
          <w:tcPr>
            <w:tcW w:w="3140" w:type="dxa"/>
            <w:tcBorders>
              <w:top w:val="nil"/>
              <w:left w:val="single" w:sz="8" w:space="0" w:color="auto"/>
              <w:bottom w:val="single" w:sz="8" w:space="0" w:color="auto"/>
              <w:right w:val="single" w:sz="8" w:space="0" w:color="auto"/>
            </w:tcBorders>
            <w:shd w:val="clear" w:color="000000" w:fill="A6A6A6"/>
            <w:vAlign w:val="center"/>
            <w:hideMark/>
          </w:tcPr>
          <w:p w:rsidR="009559E3" w:rsidRPr="009559E3" w:rsidRDefault="009559E3" w:rsidP="009559E3">
            <w:pPr>
              <w:spacing w:after="0" w:line="240" w:lineRule="auto"/>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Rozpočtovo nekrytý vplyv / úspora</w:t>
            </w:r>
          </w:p>
        </w:tc>
        <w:tc>
          <w:tcPr>
            <w:tcW w:w="1630" w:type="dxa"/>
            <w:tcBorders>
              <w:top w:val="nil"/>
              <w:left w:val="nil"/>
              <w:bottom w:val="single" w:sz="8" w:space="0" w:color="auto"/>
              <w:right w:val="single" w:sz="8" w:space="0" w:color="auto"/>
            </w:tcBorders>
            <w:shd w:val="clear" w:color="000000" w:fill="A6A6A6"/>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362 000,00</w:t>
            </w:r>
          </w:p>
        </w:tc>
        <w:tc>
          <w:tcPr>
            <w:tcW w:w="1630" w:type="dxa"/>
            <w:tcBorders>
              <w:top w:val="nil"/>
              <w:left w:val="nil"/>
              <w:bottom w:val="single" w:sz="8" w:space="0" w:color="auto"/>
              <w:right w:val="single" w:sz="8" w:space="0" w:color="auto"/>
            </w:tcBorders>
            <w:shd w:val="clear" w:color="000000" w:fill="A6A6A6"/>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1 063 000,00</w:t>
            </w:r>
          </w:p>
        </w:tc>
        <w:tc>
          <w:tcPr>
            <w:tcW w:w="1630" w:type="dxa"/>
            <w:tcBorders>
              <w:top w:val="nil"/>
              <w:left w:val="nil"/>
              <w:bottom w:val="single" w:sz="8" w:space="0" w:color="auto"/>
              <w:right w:val="single" w:sz="8" w:space="0" w:color="auto"/>
            </w:tcBorders>
            <w:shd w:val="clear" w:color="000000" w:fill="A6A6A6"/>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1 063 000,00</w:t>
            </w:r>
          </w:p>
        </w:tc>
        <w:tc>
          <w:tcPr>
            <w:tcW w:w="1630" w:type="dxa"/>
            <w:tcBorders>
              <w:top w:val="nil"/>
              <w:left w:val="nil"/>
              <w:bottom w:val="single" w:sz="8" w:space="0" w:color="auto"/>
              <w:right w:val="single" w:sz="8" w:space="0" w:color="auto"/>
            </w:tcBorders>
            <w:shd w:val="clear" w:color="000000" w:fill="A6A6A6"/>
            <w:noWrap/>
            <w:vAlign w:val="center"/>
            <w:hideMark/>
          </w:tcPr>
          <w:p w:rsidR="009559E3" w:rsidRPr="009559E3" w:rsidRDefault="009559E3" w:rsidP="009559E3">
            <w:pPr>
              <w:spacing w:after="0" w:line="240" w:lineRule="auto"/>
              <w:jc w:val="right"/>
              <w:rPr>
                <w:rFonts w:ascii="Times New Roman" w:eastAsia="Times New Roman" w:hAnsi="Times New Roman" w:cs="Times New Roman"/>
                <w:b/>
                <w:bCs/>
                <w:color w:val="000000"/>
                <w:sz w:val="24"/>
                <w:szCs w:val="24"/>
                <w:lang w:eastAsia="sk-SK"/>
              </w:rPr>
            </w:pPr>
            <w:r w:rsidRPr="009559E3">
              <w:rPr>
                <w:rFonts w:ascii="Times New Roman" w:eastAsia="Times New Roman" w:hAnsi="Times New Roman" w:cs="Times New Roman"/>
                <w:b/>
                <w:bCs/>
                <w:color w:val="000000"/>
                <w:sz w:val="24"/>
                <w:szCs w:val="24"/>
                <w:lang w:eastAsia="sk-SK"/>
              </w:rPr>
              <w:t>1 063 000,00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ÚPVII</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362 000,00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650 000,00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650 000,00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650 000,00</w:t>
            </w:r>
          </w:p>
        </w:tc>
      </w:tr>
      <w:tr w:rsidR="009559E3" w:rsidRPr="009559E3" w:rsidTr="009559E3">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9559E3" w:rsidRPr="009559E3" w:rsidRDefault="009559E3" w:rsidP="009559E3">
            <w:pPr>
              <w:spacing w:after="0" w:line="240" w:lineRule="auto"/>
              <w:rPr>
                <w:rFonts w:ascii="Times New Roman" w:eastAsia="Times New Roman" w:hAnsi="Times New Roman" w:cs="Times New Roman"/>
                <w:b/>
                <w:bCs/>
                <w:i/>
                <w:iCs/>
                <w:color w:val="000000"/>
                <w:sz w:val="24"/>
                <w:szCs w:val="24"/>
                <w:lang w:eastAsia="sk-SK"/>
              </w:rPr>
            </w:pPr>
            <w:r w:rsidRPr="009559E3">
              <w:rPr>
                <w:rFonts w:ascii="Times New Roman" w:eastAsia="Times New Roman" w:hAnsi="Times New Roman" w:cs="Times New Roman"/>
                <w:b/>
                <w:bCs/>
                <w:i/>
                <w:iCs/>
                <w:color w:val="000000"/>
                <w:sz w:val="24"/>
                <w:szCs w:val="24"/>
                <w:lang w:eastAsia="sk-SK"/>
              </w:rPr>
              <w:t>opatrenia MŠVVŠ SR</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color w:val="000000"/>
                <w:sz w:val="24"/>
                <w:szCs w:val="24"/>
                <w:lang w:eastAsia="sk-SK"/>
              </w:rPr>
            </w:pPr>
            <w:r w:rsidRPr="009559E3">
              <w:rPr>
                <w:rFonts w:ascii="Times New Roman" w:eastAsia="Times New Roman" w:hAnsi="Times New Roman" w:cs="Times New Roman"/>
                <w:color w:val="000000"/>
                <w:sz w:val="24"/>
                <w:szCs w:val="24"/>
                <w:lang w:eastAsia="sk-SK"/>
              </w:rPr>
              <w:t>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413 000,00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413 000,00</w:t>
            </w:r>
          </w:p>
        </w:tc>
        <w:tc>
          <w:tcPr>
            <w:tcW w:w="1630" w:type="dxa"/>
            <w:tcBorders>
              <w:top w:val="nil"/>
              <w:left w:val="nil"/>
              <w:bottom w:val="single" w:sz="8" w:space="0" w:color="auto"/>
              <w:right w:val="single" w:sz="8" w:space="0" w:color="auto"/>
            </w:tcBorders>
            <w:shd w:val="clear" w:color="auto" w:fill="auto"/>
            <w:noWrap/>
            <w:vAlign w:val="center"/>
            <w:hideMark/>
          </w:tcPr>
          <w:p w:rsidR="009559E3" w:rsidRPr="009559E3" w:rsidRDefault="009559E3" w:rsidP="009559E3">
            <w:pPr>
              <w:spacing w:after="0" w:line="240" w:lineRule="auto"/>
              <w:jc w:val="right"/>
              <w:rPr>
                <w:rFonts w:ascii="Times New Roman" w:eastAsia="Times New Roman" w:hAnsi="Times New Roman" w:cs="Times New Roman"/>
                <w:i/>
                <w:iCs/>
                <w:color w:val="000000"/>
                <w:sz w:val="24"/>
                <w:szCs w:val="24"/>
                <w:lang w:eastAsia="sk-SK"/>
              </w:rPr>
            </w:pPr>
            <w:r w:rsidRPr="009559E3">
              <w:rPr>
                <w:rFonts w:ascii="Times New Roman" w:eastAsia="Times New Roman" w:hAnsi="Times New Roman" w:cs="Times New Roman"/>
                <w:i/>
                <w:iCs/>
                <w:color w:val="000000"/>
                <w:sz w:val="24"/>
                <w:szCs w:val="24"/>
                <w:lang w:eastAsia="sk-SK"/>
              </w:rPr>
              <w:t>413 000,00</w:t>
            </w:r>
          </w:p>
        </w:tc>
      </w:tr>
    </w:tbl>
    <w:p w:rsidR="00C32C48" w:rsidRDefault="00C32C48" w:rsidP="00314D9D">
      <w:pPr>
        <w:spacing w:after="0" w:line="240" w:lineRule="auto"/>
        <w:jc w:val="both"/>
        <w:rPr>
          <w:rFonts w:ascii="Times New Roman" w:eastAsia="Times New Roman" w:hAnsi="Times New Roman" w:cs="Times New Roman"/>
          <w:b/>
          <w:bCs/>
          <w:sz w:val="24"/>
          <w:szCs w:val="24"/>
          <w:lang w:eastAsia="sk-SK"/>
        </w:rPr>
      </w:pPr>
    </w:p>
    <w:p w:rsidR="00C32C48" w:rsidRDefault="00C32C48" w:rsidP="00314D9D">
      <w:pPr>
        <w:spacing w:after="0" w:line="240" w:lineRule="auto"/>
        <w:jc w:val="both"/>
        <w:rPr>
          <w:rFonts w:ascii="Times New Roman" w:eastAsia="Times New Roman" w:hAnsi="Times New Roman" w:cs="Times New Roman"/>
          <w:b/>
          <w:bCs/>
          <w:sz w:val="24"/>
          <w:szCs w:val="24"/>
          <w:lang w:eastAsia="sk-SK"/>
        </w:rPr>
      </w:pPr>
    </w:p>
    <w:p w:rsidR="007D5748" w:rsidRPr="007D5748" w:rsidRDefault="007D5748" w:rsidP="00314D9D">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7D5748" w:rsidRDefault="007D5748" w:rsidP="00314D9D">
      <w:pPr>
        <w:spacing w:after="0" w:line="240" w:lineRule="auto"/>
        <w:jc w:val="both"/>
        <w:rPr>
          <w:rFonts w:ascii="Times New Roman" w:eastAsia="Times New Roman" w:hAnsi="Times New Roman" w:cs="Times New Roman"/>
          <w:b/>
          <w:bCs/>
          <w:sz w:val="12"/>
          <w:szCs w:val="24"/>
          <w:lang w:eastAsia="sk-SK"/>
        </w:rPr>
      </w:pPr>
    </w:p>
    <w:p w:rsidR="005D45BA" w:rsidRDefault="005D45BA" w:rsidP="00996C4E">
      <w:pPr>
        <w:spacing w:before="120" w:after="0" w:line="240" w:lineRule="auto"/>
        <w:jc w:val="both"/>
        <w:rPr>
          <w:rFonts w:ascii="Times New Roman" w:hAnsi="Times New Roman" w:cs="Times New Roman"/>
          <w:sz w:val="24"/>
          <w:szCs w:val="24"/>
        </w:rPr>
      </w:pPr>
      <w:r w:rsidRPr="00445D52">
        <w:rPr>
          <w:rFonts w:ascii="Times New Roman" w:hAnsi="Times New Roman" w:cs="Times New Roman"/>
          <w:sz w:val="24"/>
          <w:szCs w:val="24"/>
        </w:rPr>
        <w:t>Jednotlivé rezorty si budú potrebné finančné prostriedky nárokovať</w:t>
      </w:r>
      <w:r w:rsidR="00FC3E44">
        <w:rPr>
          <w:rFonts w:ascii="Times New Roman" w:hAnsi="Times New Roman" w:cs="Times New Roman"/>
          <w:sz w:val="24"/>
          <w:szCs w:val="24"/>
        </w:rPr>
        <w:t xml:space="preserve"> aj</w:t>
      </w:r>
      <w:r w:rsidRPr="00445D52">
        <w:rPr>
          <w:rFonts w:ascii="Times New Roman" w:hAnsi="Times New Roman" w:cs="Times New Roman"/>
          <w:sz w:val="24"/>
          <w:szCs w:val="24"/>
        </w:rPr>
        <w:t xml:space="preserve"> </w:t>
      </w:r>
      <w:r w:rsidR="002C1609">
        <w:rPr>
          <w:rFonts w:ascii="Times New Roman" w:hAnsi="Times New Roman" w:cs="Times New Roman"/>
          <w:sz w:val="24"/>
          <w:szCs w:val="24"/>
        </w:rPr>
        <w:t xml:space="preserve">v príprave </w:t>
      </w:r>
      <w:r w:rsidR="00F12A4D">
        <w:rPr>
          <w:rFonts w:ascii="Times New Roman" w:hAnsi="Times New Roman" w:cs="Times New Roman"/>
          <w:sz w:val="24"/>
          <w:szCs w:val="24"/>
        </w:rPr>
        <w:t>tvorby rozpočtov</w:t>
      </w:r>
      <w:r w:rsidR="002C1609">
        <w:rPr>
          <w:rFonts w:ascii="Times New Roman" w:hAnsi="Times New Roman" w:cs="Times New Roman"/>
          <w:sz w:val="24"/>
          <w:szCs w:val="24"/>
        </w:rPr>
        <w:t xml:space="preserve"> na roky 2020 až 2022</w:t>
      </w:r>
      <w:r w:rsidRPr="00445D52">
        <w:rPr>
          <w:rFonts w:ascii="Times New Roman" w:hAnsi="Times New Roman" w:cs="Times New Roman"/>
          <w:sz w:val="24"/>
          <w:szCs w:val="24"/>
        </w:rPr>
        <w:t>.</w:t>
      </w:r>
    </w:p>
    <w:p w:rsidR="002C1609" w:rsidRDefault="002C1609" w:rsidP="00996C4E">
      <w:pPr>
        <w:spacing w:before="120" w:after="0" w:line="240" w:lineRule="auto"/>
        <w:jc w:val="both"/>
        <w:rPr>
          <w:rFonts w:ascii="Times New Roman" w:hAnsi="Times New Roman" w:cs="Times New Roman"/>
          <w:sz w:val="24"/>
          <w:szCs w:val="24"/>
        </w:rPr>
      </w:pPr>
    </w:p>
    <w:p w:rsidR="00FC3E44" w:rsidRDefault="00FC3E44" w:rsidP="00996C4E">
      <w:pPr>
        <w:spacing w:after="0" w:line="240" w:lineRule="auto"/>
        <w:rPr>
          <w:rFonts w:ascii="Times New Roman" w:eastAsia="Times New Roman" w:hAnsi="Times New Roman" w:cs="Times New Roman"/>
          <w:bCs/>
          <w:sz w:val="24"/>
          <w:szCs w:val="24"/>
          <w:lang w:eastAsia="sk-SK"/>
        </w:rPr>
      </w:pPr>
      <w:r w:rsidRPr="00FC3E44">
        <w:rPr>
          <w:rFonts w:ascii="Times New Roman" w:eastAsia="Times New Roman" w:hAnsi="Times New Roman" w:cs="Times New Roman"/>
          <w:bCs/>
          <w:sz w:val="24"/>
          <w:szCs w:val="24"/>
          <w:lang w:eastAsia="sk-SK"/>
        </w:rPr>
        <w:t xml:space="preserve">Opatrenia, ktoré </w:t>
      </w:r>
      <w:r w:rsidRPr="00FC3E44">
        <w:rPr>
          <w:rFonts w:ascii="Times New Roman" w:eastAsia="Times New Roman" w:hAnsi="Times New Roman" w:cs="Times New Roman"/>
          <w:b/>
          <w:bCs/>
          <w:sz w:val="24"/>
          <w:szCs w:val="24"/>
          <w:lang w:eastAsia="sk-SK"/>
        </w:rPr>
        <w:t>nepredpokladajú</w:t>
      </w:r>
      <w:r w:rsidRPr="00FC3E44">
        <w:rPr>
          <w:rFonts w:ascii="Times New Roman" w:eastAsia="Times New Roman" w:hAnsi="Times New Roman" w:cs="Times New Roman"/>
          <w:bCs/>
          <w:sz w:val="24"/>
          <w:szCs w:val="24"/>
          <w:lang w:eastAsia="sk-SK"/>
        </w:rPr>
        <w:t xml:space="preserve"> </w:t>
      </w:r>
      <w:r w:rsidRPr="00F12A4D">
        <w:rPr>
          <w:rFonts w:ascii="Times New Roman" w:eastAsia="Times New Roman" w:hAnsi="Times New Roman" w:cs="Times New Roman"/>
          <w:b/>
          <w:bCs/>
          <w:sz w:val="24"/>
          <w:szCs w:val="24"/>
          <w:lang w:eastAsia="sk-SK"/>
        </w:rPr>
        <w:t>vplyv na rozpočet verejnej správy</w:t>
      </w:r>
      <w:r w:rsidRPr="00FC3E44">
        <w:rPr>
          <w:rFonts w:ascii="Times New Roman" w:eastAsia="Times New Roman" w:hAnsi="Times New Roman" w:cs="Times New Roman"/>
          <w:bCs/>
          <w:sz w:val="24"/>
          <w:szCs w:val="24"/>
          <w:lang w:eastAsia="sk-SK"/>
        </w:rPr>
        <w:t>:</w:t>
      </w:r>
    </w:p>
    <w:p w:rsidR="001F269F" w:rsidRDefault="001F269F" w:rsidP="00996C4E">
      <w:pPr>
        <w:spacing w:after="0" w:line="240" w:lineRule="auto"/>
        <w:rPr>
          <w:rFonts w:ascii="Times New Roman" w:eastAsia="Times New Roman" w:hAnsi="Times New Roman" w:cs="Times New Roman"/>
          <w:bCs/>
          <w:sz w:val="24"/>
          <w:szCs w:val="24"/>
          <w:lang w:eastAsia="sk-SK"/>
        </w:rPr>
      </w:pPr>
    </w:p>
    <w:p w:rsidR="00817C9B" w:rsidRDefault="001F269F" w:rsidP="00817C9B">
      <w:pPr>
        <w:spacing w:after="0" w:line="240" w:lineRule="auto"/>
        <w:ind w:left="705" w:hanging="705"/>
        <w:rPr>
          <w:rFonts w:asciiTheme="majorHAnsi" w:hAnsiTheme="majorHAnsi" w:cstheme="majorHAnsi"/>
          <w:bCs/>
        </w:rPr>
      </w:pPr>
      <w:r>
        <w:rPr>
          <w:rFonts w:ascii="Times New Roman" w:eastAsia="Times New Roman" w:hAnsi="Times New Roman" w:cs="Times New Roman"/>
          <w:bCs/>
          <w:sz w:val="24"/>
          <w:szCs w:val="24"/>
          <w:lang w:eastAsia="sk-SK"/>
        </w:rPr>
        <w:t>2.1.1</w:t>
      </w:r>
      <w:r w:rsidR="00817C9B">
        <w:rPr>
          <w:rFonts w:ascii="Times New Roman" w:eastAsia="Times New Roman" w:hAnsi="Times New Roman" w:cs="Times New Roman"/>
          <w:bCs/>
          <w:sz w:val="24"/>
          <w:szCs w:val="24"/>
          <w:lang w:eastAsia="sk-SK"/>
        </w:rPr>
        <w:t xml:space="preserve"> </w:t>
      </w:r>
      <w:r w:rsidR="00817C9B">
        <w:rPr>
          <w:rFonts w:ascii="Times New Roman" w:eastAsia="Times New Roman" w:hAnsi="Times New Roman" w:cs="Times New Roman"/>
          <w:bCs/>
          <w:sz w:val="24"/>
          <w:szCs w:val="24"/>
          <w:lang w:eastAsia="sk-SK"/>
        </w:rPr>
        <w:tab/>
      </w:r>
      <w:r w:rsidR="00817C9B" w:rsidRPr="00DD47B8">
        <w:rPr>
          <w:rFonts w:asciiTheme="majorHAnsi" w:hAnsiTheme="majorHAnsi" w:cstheme="majorHAnsi"/>
          <w:bCs/>
        </w:rPr>
        <w:t>Zefektívnenie regulácie telekomunikačného trhu v prospech rastu pokrytia územia ultra-rýchlym pripojením</w:t>
      </w:r>
    </w:p>
    <w:p w:rsidR="00817C9B" w:rsidRDefault="001F269F" w:rsidP="00E80673">
      <w:pPr>
        <w:spacing w:after="0" w:line="240" w:lineRule="auto"/>
        <w:ind w:left="705" w:hanging="705"/>
        <w:rPr>
          <w:rFonts w:asciiTheme="majorHAnsi" w:hAnsiTheme="majorHAnsi" w:cstheme="majorHAnsi"/>
        </w:rPr>
      </w:pPr>
      <w:r>
        <w:rPr>
          <w:rFonts w:ascii="Times New Roman" w:eastAsia="Times New Roman" w:hAnsi="Times New Roman" w:cs="Times New Roman"/>
          <w:bCs/>
          <w:sz w:val="24"/>
          <w:szCs w:val="24"/>
          <w:lang w:eastAsia="sk-SK"/>
        </w:rPr>
        <w:t>2.1.3</w:t>
      </w:r>
      <w:r w:rsidR="00817C9B">
        <w:rPr>
          <w:rFonts w:ascii="Times New Roman" w:eastAsia="Times New Roman" w:hAnsi="Times New Roman" w:cs="Times New Roman"/>
          <w:bCs/>
          <w:sz w:val="24"/>
          <w:szCs w:val="24"/>
          <w:lang w:eastAsia="sk-SK"/>
        </w:rPr>
        <w:t xml:space="preserve"> </w:t>
      </w:r>
      <w:r w:rsidR="00817C9B">
        <w:rPr>
          <w:rFonts w:ascii="Times New Roman" w:eastAsia="Times New Roman" w:hAnsi="Times New Roman" w:cs="Times New Roman"/>
          <w:bCs/>
          <w:sz w:val="24"/>
          <w:szCs w:val="24"/>
          <w:lang w:eastAsia="sk-SK"/>
        </w:rPr>
        <w:tab/>
      </w:r>
      <w:r w:rsidR="00817C9B">
        <w:rPr>
          <w:rFonts w:asciiTheme="majorHAnsi" w:hAnsiTheme="majorHAnsi" w:cstheme="majorHAnsi"/>
          <w:bCs/>
        </w:rPr>
        <w:t xml:space="preserve">Podporíme opatrenia z </w:t>
      </w:r>
      <w:r w:rsidR="00817C9B" w:rsidRPr="00DD47B8">
        <w:rPr>
          <w:rFonts w:asciiTheme="majorHAnsi" w:hAnsiTheme="majorHAnsi" w:cstheme="majorHAnsi"/>
          <w:bCs/>
        </w:rPr>
        <w:t>Akčného plánu 5G pre Európu a Cestovnej mapy 5G z Tallinu mať do roku 2020 pokryté jedno veľké mesto 5G pripojením</w:t>
      </w:r>
    </w:p>
    <w:p w:rsidR="00817C9B" w:rsidRDefault="001F269F" w:rsidP="00996C4E">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2.4.1 </w:t>
      </w:r>
      <w:r w:rsidR="00817C9B">
        <w:rPr>
          <w:rFonts w:ascii="Times New Roman" w:eastAsia="Times New Roman" w:hAnsi="Times New Roman" w:cs="Times New Roman"/>
          <w:bCs/>
          <w:sz w:val="24"/>
          <w:szCs w:val="24"/>
          <w:lang w:eastAsia="sk-SK"/>
        </w:rPr>
        <w:tab/>
      </w:r>
      <w:r w:rsidR="00817C9B" w:rsidRPr="00DD47B8">
        <w:rPr>
          <w:rFonts w:asciiTheme="majorHAnsi" w:hAnsiTheme="majorHAnsi" w:cstheme="majorHAnsi"/>
        </w:rPr>
        <w:t>Vyhodnotíme činnosť Inovačného hubu NBS</w:t>
      </w:r>
      <w:r w:rsidR="00817C9B">
        <w:rPr>
          <w:rFonts w:ascii="Times New Roman" w:eastAsia="Times New Roman" w:hAnsi="Times New Roman" w:cs="Times New Roman"/>
          <w:bCs/>
          <w:sz w:val="24"/>
          <w:szCs w:val="24"/>
          <w:lang w:eastAsia="sk-SK"/>
        </w:rPr>
        <w:t xml:space="preserve"> </w:t>
      </w:r>
    </w:p>
    <w:p w:rsidR="00817C9B" w:rsidRDefault="00817C9B" w:rsidP="00996C4E">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2.4.2 </w:t>
      </w:r>
      <w:r>
        <w:rPr>
          <w:rFonts w:ascii="Times New Roman" w:eastAsia="Times New Roman" w:hAnsi="Times New Roman" w:cs="Times New Roman"/>
          <w:bCs/>
          <w:sz w:val="24"/>
          <w:szCs w:val="24"/>
          <w:lang w:eastAsia="sk-SK"/>
        </w:rPr>
        <w:tab/>
      </w:r>
      <w:r w:rsidRPr="00DD47B8">
        <w:rPr>
          <w:rFonts w:asciiTheme="majorHAnsi" w:hAnsiTheme="majorHAnsi" w:cstheme="majorHAnsi"/>
        </w:rPr>
        <w:t xml:space="preserve">Posilníme činnosti a postavenie Centra </w:t>
      </w:r>
      <w:r>
        <w:rPr>
          <w:rFonts w:asciiTheme="majorHAnsi" w:hAnsiTheme="majorHAnsi" w:cstheme="majorHAnsi"/>
        </w:rPr>
        <w:t>pre finančné inovácie</w:t>
      </w:r>
      <w:r>
        <w:rPr>
          <w:rFonts w:ascii="Times New Roman" w:eastAsia="Times New Roman" w:hAnsi="Times New Roman" w:cs="Times New Roman"/>
          <w:bCs/>
          <w:sz w:val="24"/>
          <w:szCs w:val="24"/>
          <w:lang w:eastAsia="sk-SK"/>
        </w:rPr>
        <w:t xml:space="preserve"> </w:t>
      </w:r>
    </w:p>
    <w:p w:rsidR="00817C9B" w:rsidRDefault="00817C9B" w:rsidP="00996C4E">
      <w:pPr>
        <w:spacing w:after="0" w:line="240" w:lineRule="auto"/>
        <w:rPr>
          <w:rFonts w:asciiTheme="majorHAnsi" w:hAnsiTheme="majorHAnsi" w:cstheme="majorHAnsi"/>
        </w:rPr>
      </w:pPr>
      <w:r>
        <w:rPr>
          <w:rFonts w:ascii="Times New Roman" w:eastAsia="Times New Roman" w:hAnsi="Times New Roman" w:cs="Times New Roman"/>
          <w:bCs/>
          <w:sz w:val="24"/>
          <w:szCs w:val="24"/>
          <w:lang w:eastAsia="sk-SK"/>
        </w:rPr>
        <w:t xml:space="preserve">2.4.3 </w:t>
      </w:r>
      <w:r>
        <w:rPr>
          <w:rFonts w:ascii="Times New Roman" w:eastAsia="Times New Roman" w:hAnsi="Times New Roman" w:cs="Times New Roman"/>
          <w:bCs/>
          <w:sz w:val="24"/>
          <w:szCs w:val="24"/>
          <w:lang w:eastAsia="sk-SK"/>
        </w:rPr>
        <w:tab/>
      </w:r>
      <w:r w:rsidRPr="00DD47B8">
        <w:rPr>
          <w:rFonts w:asciiTheme="majorHAnsi" w:hAnsiTheme="majorHAnsi" w:cstheme="majorHAnsi"/>
        </w:rPr>
        <w:t xml:space="preserve">Zanalyzujeme prínosy a možné využitie konceptu regulačného sandboxu </w:t>
      </w:r>
    </w:p>
    <w:p w:rsidR="00817C9B" w:rsidRDefault="00817C9B" w:rsidP="00996C4E">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2.4.4 </w:t>
      </w:r>
      <w:r>
        <w:rPr>
          <w:rFonts w:ascii="Times New Roman" w:eastAsia="Times New Roman" w:hAnsi="Times New Roman" w:cs="Times New Roman"/>
          <w:bCs/>
          <w:sz w:val="24"/>
          <w:szCs w:val="24"/>
          <w:lang w:eastAsia="sk-SK"/>
        </w:rPr>
        <w:tab/>
      </w:r>
      <w:r w:rsidRPr="00DD47B8">
        <w:rPr>
          <w:rFonts w:asciiTheme="majorHAnsi" w:hAnsiTheme="majorHAnsi" w:cstheme="majorHAnsi"/>
        </w:rPr>
        <w:t>Zanalyzujeme potreby regulácie crowdfundingu</w:t>
      </w:r>
      <w:r>
        <w:rPr>
          <w:rFonts w:ascii="Times New Roman" w:eastAsia="Times New Roman" w:hAnsi="Times New Roman" w:cs="Times New Roman"/>
          <w:bCs/>
          <w:sz w:val="24"/>
          <w:szCs w:val="24"/>
          <w:lang w:eastAsia="sk-SK"/>
        </w:rPr>
        <w:t xml:space="preserve"> </w:t>
      </w:r>
    </w:p>
    <w:p w:rsidR="00817C9B" w:rsidRDefault="001F269F" w:rsidP="00996C4E">
      <w:pPr>
        <w:spacing w:after="0" w:line="240" w:lineRule="auto"/>
        <w:rPr>
          <w:rFonts w:asciiTheme="majorHAnsi" w:hAnsiTheme="majorHAnsi" w:cstheme="majorHAnsi"/>
        </w:rPr>
      </w:pPr>
      <w:r>
        <w:rPr>
          <w:rFonts w:ascii="Times New Roman" w:eastAsia="Times New Roman" w:hAnsi="Times New Roman" w:cs="Times New Roman"/>
          <w:bCs/>
          <w:sz w:val="24"/>
          <w:szCs w:val="24"/>
          <w:lang w:eastAsia="sk-SK"/>
        </w:rPr>
        <w:t>2.4.5</w:t>
      </w:r>
      <w:r w:rsidR="00817C9B">
        <w:rPr>
          <w:rFonts w:ascii="Times New Roman" w:eastAsia="Times New Roman" w:hAnsi="Times New Roman" w:cs="Times New Roman"/>
          <w:bCs/>
          <w:sz w:val="24"/>
          <w:szCs w:val="24"/>
          <w:lang w:eastAsia="sk-SK"/>
        </w:rPr>
        <w:t xml:space="preserve"> </w:t>
      </w:r>
      <w:r w:rsidR="00817C9B">
        <w:rPr>
          <w:rFonts w:ascii="Times New Roman" w:eastAsia="Times New Roman" w:hAnsi="Times New Roman" w:cs="Times New Roman"/>
          <w:bCs/>
          <w:sz w:val="24"/>
          <w:szCs w:val="24"/>
          <w:lang w:eastAsia="sk-SK"/>
        </w:rPr>
        <w:tab/>
      </w:r>
      <w:r w:rsidR="00817C9B" w:rsidRPr="00DD47B8">
        <w:rPr>
          <w:rFonts w:asciiTheme="majorHAnsi" w:hAnsiTheme="majorHAnsi" w:cstheme="majorHAnsi"/>
        </w:rPr>
        <w:t>Zanalyzujeme možnosť využiteľnosti tokenizácie aktív</w:t>
      </w:r>
    </w:p>
    <w:p w:rsidR="00817C9B" w:rsidRDefault="001F269F" w:rsidP="00996C4E">
      <w:pPr>
        <w:spacing w:after="0" w:line="240" w:lineRule="auto"/>
        <w:rPr>
          <w:rFonts w:asciiTheme="majorHAnsi" w:hAnsiTheme="majorHAnsi" w:cstheme="majorHAnsi"/>
        </w:rPr>
      </w:pPr>
      <w:r>
        <w:rPr>
          <w:rFonts w:ascii="Times New Roman" w:eastAsia="Times New Roman" w:hAnsi="Times New Roman" w:cs="Times New Roman"/>
          <w:bCs/>
          <w:sz w:val="24"/>
          <w:szCs w:val="24"/>
          <w:lang w:eastAsia="sk-SK"/>
        </w:rPr>
        <w:t>3.2.</w:t>
      </w:r>
      <w:r w:rsidR="00E80673">
        <w:rPr>
          <w:rFonts w:ascii="Times New Roman" w:eastAsia="Times New Roman" w:hAnsi="Times New Roman" w:cs="Times New Roman"/>
          <w:bCs/>
          <w:sz w:val="24"/>
          <w:szCs w:val="24"/>
          <w:lang w:eastAsia="sk-SK"/>
        </w:rPr>
        <w:t>1</w:t>
      </w:r>
      <w:r w:rsidR="00817C9B">
        <w:rPr>
          <w:rFonts w:ascii="Times New Roman" w:eastAsia="Times New Roman" w:hAnsi="Times New Roman" w:cs="Times New Roman"/>
          <w:bCs/>
          <w:sz w:val="24"/>
          <w:szCs w:val="24"/>
          <w:lang w:eastAsia="sk-SK"/>
        </w:rPr>
        <w:t xml:space="preserve"> </w:t>
      </w:r>
      <w:r w:rsidR="00817C9B">
        <w:rPr>
          <w:rFonts w:ascii="Times New Roman" w:eastAsia="Times New Roman" w:hAnsi="Times New Roman" w:cs="Times New Roman"/>
          <w:bCs/>
          <w:sz w:val="24"/>
          <w:szCs w:val="24"/>
          <w:lang w:eastAsia="sk-SK"/>
        </w:rPr>
        <w:tab/>
      </w:r>
      <w:r w:rsidR="00E80673">
        <w:rPr>
          <w:rFonts w:asciiTheme="majorHAnsi" w:hAnsiTheme="majorHAnsi" w:cstheme="majorHAnsi"/>
        </w:rPr>
        <w:t>Navrhnutie</w:t>
      </w:r>
      <w:r w:rsidR="00817C9B" w:rsidRPr="00333F65">
        <w:rPr>
          <w:rFonts w:asciiTheme="majorHAnsi" w:hAnsiTheme="majorHAnsi" w:cstheme="majorHAnsi"/>
        </w:rPr>
        <w:t xml:space="preserve"> koncept</w:t>
      </w:r>
      <w:r w:rsidR="00E80673">
        <w:rPr>
          <w:rFonts w:asciiTheme="majorHAnsi" w:hAnsiTheme="majorHAnsi" w:cstheme="majorHAnsi"/>
        </w:rPr>
        <w:t>u</w:t>
      </w:r>
      <w:r w:rsidR="00817C9B" w:rsidRPr="00333F65">
        <w:rPr>
          <w:rFonts w:asciiTheme="majorHAnsi" w:hAnsiTheme="majorHAnsi" w:cstheme="majorHAnsi"/>
        </w:rPr>
        <w:t xml:space="preserve"> inovačného verejno-súkromného partnerstva</w:t>
      </w:r>
    </w:p>
    <w:p w:rsidR="00817C9B" w:rsidRDefault="00F12A4D" w:rsidP="00996C4E">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4.1.2</w:t>
      </w:r>
      <w:r w:rsidR="00817C9B">
        <w:rPr>
          <w:rFonts w:ascii="Times New Roman" w:eastAsia="Times New Roman" w:hAnsi="Times New Roman" w:cs="Times New Roman"/>
          <w:bCs/>
          <w:sz w:val="24"/>
          <w:szCs w:val="24"/>
          <w:lang w:eastAsia="sk-SK"/>
        </w:rPr>
        <w:t xml:space="preserve"> </w:t>
      </w:r>
      <w:r w:rsidR="00817C9B">
        <w:rPr>
          <w:rFonts w:ascii="Times New Roman" w:eastAsia="Times New Roman" w:hAnsi="Times New Roman" w:cs="Times New Roman"/>
          <w:bCs/>
          <w:sz w:val="24"/>
          <w:szCs w:val="24"/>
          <w:lang w:eastAsia="sk-SK"/>
        </w:rPr>
        <w:tab/>
      </w:r>
      <w:r w:rsidR="00817C9B" w:rsidRPr="00333F65">
        <w:rPr>
          <w:rFonts w:asciiTheme="majorHAnsi" w:hAnsiTheme="majorHAnsi" w:cstheme="majorHAnsi"/>
        </w:rPr>
        <w:t>Vytvoríme odbornú skupinu na koordináciu vzdelávacích aktivít v umelej inteligencii</w:t>
      </w:r>
    </w:p>
    <w:p w:rsidR="00817C9B" w:rsidRDefault="00F12A4D" w:rsidP="00996C4E">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4.2.1 </w:t>
      </w:r>
      <w:r w:rsidR="00817C9B">
        <w:rPr>
          <w:rFonts w:ascii="Times New Roman" w:eastAsia="Times New Roman" w:hAnsi="Times New Roman" w:cs="Times New Roman"/>
          <w:bCs/>
          <w:sz w:val="24"/>
          <w:szCs w:val="24"/>
          <w:lang w:eastAsia="sk-SK"/>
        </w:rPr>
        <w:tab/>
      </w:r>
      <w:r w:rsidR="00817C9B" w:rsidRPr="00333F65">
        <w:rPr>
          <w:rFonts w:asciiTheme="majorHAnsi" w:hAnsiTheme="majorHAnsi" w:cstheme="majorHAnsi"/>
        </w:rPr>
        <w:t>Analýza regulačného prostredia vo vzťahu k umelej inteligencii</w:t>
      </w:r>
      <w:r w:rsidR="00817C9B">
        <w:rPr>
          <w:rFonts w:ascii="Times New Roman" w:eastAsia="Times New Roman" w:hAnsi="Times New Roman" w:cs="Times New Roman"/>
          <w:bCs/>
          <w:sz w:val="24"/>
          <w:szCs w:val="24"/>
          <w:lang w:eastAsia="sk-SK"/>
        </w:rPr>
        <w:t xml:space="preserve"> </w:t>
      </w:r>
    </w:p>
    <w:p w:rsidR="00817C9B" w:rsidRDefault="00817C9B" w:rsidP="00817C9B">
      <w:pPr>
        <w:spacing w:after="0" w:line="240" w:lineRule="auto"/>
        <w:ind w:left="705" w:hanging="705"/>
        <w:rPr>
          <w:rFonts w:asciiTheme="majorHAnsi" w:hAnsiTheme="majorHAnsi" w:cstheme="majorHAnsi"/>
        </w:rPr>
      </w:pPr>
      <w:r>
        <w:rPr>
          <w:rFonts w:ascii="Times New Roman" w:eastAsia="Times New Roman" w:hAnsi="Times New Roman" w:cs="Times New Roman"/>
          <w:bCs/>
          <w:sz w:val="24"/>
          <w:szCs w:val="24"/>
          <w:lang w:eastAsia="sk-SK"/>
        </w:rPr>
        <w:t xml:space="preserve">4.2.2 </w:t>
      </w:r>
      <w:r>
        <w:rPr>
          <w:rFonts w:ascii="Times New Roman" w:eastAsia="Times New Roman" w:hAnsi="Times New Roman" w:cs="Times New Roman"/>
          <w:bCs/>
          <w:sz w:val="24"/>
          <w:szCs w:val="24"/>
          <w:lang w:eastAsia="sk-SK"/>
        </w:rPr>
        <w:tab/>
      </w:r>
      <w:r w:rsidRPr="00333F65">
        <w:rPr>
          <w:rFonts w:asciiTheme="majorHAnsi" w:hAnsiTheme="majorHAnsi" w:cstheme="majorHAnsi"/>
        </w:rPr>
        <w:t>Navrhneme a podporíme implementáciu princípov transparentného a etického používania AI</w:t>
      </w:r>
    </w:p>
    <w:p w:rsidR="00817C9B" w:rsidRDefault="00817C9B" w:rsidP="00996C4E">
      <w:pPr>
        <w:spacing w:after="0" w:line="240" w:lineRule="auto"/>
        <w:rPr>
          <w:rFonts w:asciiTheme="majorHAnsi" w:hAnsiTheme="majorHAnsi" w:cstheme="majorHAnsi"/>
        </w:rPr>
      </w:pPr>
      <w:r>
        <w:rPr>
          <w:rFonts w:ascii="Times New Roman" w:eastAsia="Times New Roman" w:hAnsi="Times New Roman" w:cs="Times New Roman"/>
          <w:bCs/>
          <w:sz w:val="24"/>
          <w:szCs w:val="24"/>
          <w:lang w:eastAsia="sk-SK"/>
        </w:rPr>
        <w:t xml:space="preserve">4.2.3 </w:t>
      </w:r>
      <w:r>
        <w:rPr>
          <w:rFonts w:ascii="Times New Roman" w:eastAsia="Times New Roman" w:hAnsi="Times New Roman" w:cs="Times New Roman"/>
          <w:bCs/>
          <w:sz w:val="24"/>
          <w:szCs w:val="24"/>
          <w:lang w:eastAsia="sk-SK"/>
        </w:rPr>
        <w:tab/>
      </w:r>
      <w:r w:rsidRPr="00333F65">
        <w:rPr>
          <w:rFonts w:asciiTheme="majorHAnsi" w:hAnsiTheme="majorHAnsi" w:cstheme="majorHAnsi"/>
        </w:rPr>
        <w:t xml:space="preserve">Podporíme rozvoj ekosystému umelej inteligencie </w:t>
      </w:r>
    </w:p>
    <w:p w:rsidR="001F269F" w:rsidRDefault="00F12A4D" w:rsidP="00996C4E">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4.2.4 </w:t>
      </w:r>
      <w:r w:rsidR="00817C9B">
        <w:rPr>
          <w:rFonts w:ascii="Times New Roman" w:eastAsia="Times New Roman" w:hAnsi="Times New Roman" w:cs="Times New Roman"/>
          <w:bCs/>
          <w:sz w:val="24"/>
          <w:szCs w:val="24"/>
          <w:lang w:eastAsia="sk-SK"/>
        </w:rPr>
        <w:tab/>
      </w:r>
      <w:r w:rsidR="00817C9B" w:rsidRPr="00333F65">
        <w:rPr>
          <w:rFonts w:asciiTheme="majorHAnsi" w:hAnsiTheme="majorHAnsi" w:cstheme="majorHAnsi"/>
        </w:rPr>
        <w:t>Založíme stálu komisiu pre etiku a reguláciu umelej inteligencie</w:t>
      </w:r>
    </w:p>
    <w:p w:rsidR="001F269F" w:rsidRDefault="001F269F" w:rsidP="00996C4E">
      <w:pPr>
        <w:spacing w:after="0" w:line="240" w:lineRule="auto"/>
        <w:rPr>
          <w:rFonts w:ascii="Times New Roman" w:eastAsia="Times New Roman" w:hAnsi="Times New Roman" w:cs="Times New Roman"/>
          <w:bCs/>
          <w:sz w:val="24"/>
          <w:szCs w:val="24"/>
          <w:lang w:eastAsia="sk-SK"/>
        </w:rPr>
      </w:pPr>
    </w:p>
    <w:p w:rsidR="00FC3E44" w:rsidRDefault="00FC3E44" w:rsidP="00996C4E">
      <w:pPr>
        <w:spacing w:after="0" w:line="240" w:lineRule="auto"/>
        <w:rPr>
          <w:rFonts w:ascii="Times New Roman" w:eastAsia="Times New Roman" w:hAnsi="Times New Roman" w:cs="Times New Roman"/>
          <w:bCs/>
          <w:sz w:val="24"/>
          <w:szCs w:val="24"/>
          <w:lang w:eastAsia="sk-SK"/>
        </w:rPr>
      </w:pPr>
    </w:p>
    <w:p w:rsidR="00BE129F" w:rsidRDefault="003E6EA2" w:rsidP="003E6EA2">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Ostatné opatrenia </w:t>
      </w:r>
      <w:r w:rsidRPr="00251BC6">
        <w:rPr>
          <w:rFonts w:ascii="Times New Roman" w:eastAsia="Times New Roman" w:hAnsi="Times New Roman" w:cs="Times New Roman"/>
          <w:b/>
          <w:bCs/>
          <w:sz w:val="24"/>
          <w:szCs w:val="24"/>
          <w:lang w:eastAsia="sk-SK"/>
        </w:rPr>
        <w:t xml:space="preserve">budú </w:t>
      </w:r>
      <w:r w:rsidR="00251BC6" w:rsidRPr="00251BC6">
        <w:rPr>
          <w:rFonts w:ascii="Times New Roman" w:eastAsia="Times New Roman" w:hAnsi="Times New Roman" w:cs="Times New Roman"/>
          <w:b/>
          <w:bCs/>
          <w:sz w:val="24"/>
          <w:szCs w:val="24"/>
          <w:lang w:eastAsia="sk-SK"/>
        </w:rPr>
        <w:t>mať vplyv na rozpočet verejnej správy</w:t>
      </w:r>
      <w:r w:rsidR="00BE129F">
        <w:rPr>
          <w:rFonts w:ascii="Times New Roman" w:eastAsia="Times New Roman" w:hAnsi="Times New Roman" w:cs="Times New Roman"/>
          <w:b/>
          <w:bCs/>
          <w:sz w:val="24"/>
          <w:szCs w:val="24"/>
          <w:lang w:eastAsia="sk-SK"/>
        </w:rPr>
        <w:t>, ale v tejto fáze ich nie je možné vyčísliť:</w:t>
      </w:r>
    </w:p>
    <w:p w:rsidR="00BE129F" w:rsidRDefault="00BE129F" w:rsidP="003E6EA2">
      <w:pPr>
        <w:spacing w:after="0" w:line="240" w:lineRule="auto"/>
        <w:jc w:val="both"/>
        <w:rPr>
          <w:rFonts w:ascii="Times New Roman" w:eastAsia="Times New Roman" w:hAnsi="Times New Roman" w:cs="Times New Roman"/>
          <w:bCs/>
          <w:sz w:val="24"/>
          <w:szCs w:val="24"/>
          <w:lang w:eastAsia="sk-SK"/>
        </w:rPr>
      </w:pPr>
    </w:p>
    <w:p w:rsidR="00FA79EA" w:rsidRDefault="00E44A5D" w:rsidP="00BE129F">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FA79EA">
        <w:rPr>
          <w:rFonts w:ascii="Times New Roman" w:eastAsia="Times New Roman" w:hAnsi="Times New Roman" w:cs="Times New Roman"/>
          <w:bCs/>
          <w:sz w:val="24"/>
          <w:szCs w:val="24"/>
          <w:lang w:eastAsia="sk-SK"/>
        </w:rPr>
        <w:t>Zabezpečíme priamu politickú podporu prioritným oblastiam Akčného plánu</w:t>
      </w:r>
    </w:p>
    <w:p w:rsidR="00FA79EA" w:rsidRDefault="001F269F" w:rsidP="00BE129F">
      <w:pPr>
        <w:spacing w:after="0" w:line="240" w:lineRule="auto"/>
        <w:jc w:val="both"/>
        <w:rPr>
          <w:rFonts w:ascii="Times New Roman" w:eastAsia="Times New Roman" w:hAnsi="Times New Roman" w:cs="Times New Roman"/>
          <w:bCs/>
          <w:sz w:val="24"/>
          <w:szCs w:val="24"/>
          <w:lang w:eastAsia="sk-SK"/>
        </w:rPr>
      </w:pPr>
      <w:r w:rsidRPr="00F12A4D">
        <w:rPr>
          <w:rFonts w:ascii="Times New Roman" w:eastAsia="Times New Roman" w:hAnsi="Times New Roman" w:cs="Times New Roman"/>
          <w:bCs/>
          <w:sz w:val="24"/>
          <w:szCs w:val="24"/>
          <w:lang w:eastAsia="sk-SK"/>
        </w:rPr>
        <w:t xml:space="preserve">D </w:t>
      </w:r>
      <w:r w:rsidR="00FA79EA">
        <w:rPr>
          <w:rFonts w:ascii="Times New Roman" w:eastAsia="Times New Roman" w:hAnsi="Times New Roman" w:cs="Times New Roman"/>
          <w:bCs/>
          <w:sz w:val="24"/>
          <w:szCs w:val="24"/>
          <w:lang w:eastAsia="sk-SK"/>
        </w:rPr>
        <w:tab/>
      </w:r>
      <w:r w:rsidR="00FA79EA" w:rsidRPr="00FA79EA">
        <w:rPr>
          <w:rFonts w:ascii="Times New Roman" w:eastAsia="Times New Roman" w:hAnsi="Times New Roman" w:cs="Times New Roman"/>
          <w:bCs/>
          <w:sz w:val="24"/>
          <w:szCs w:val="24"/>
          <w:lang w:eastAsia="sk-SK"/>
        </w:rPr>
        <w:t xml:space="preserve">Podpora vzniku a aktivít platforiem pre výskum a využitie umelej inteligencie </w:t>
      </w:r>
    </w:p>
    <w:p w:rsidR="00BE129F" w:rsidRDefault="001F269F" w:rsidP="00BE129F">
      <w:pPr>
        <w:spacing w:after="0" w:line="240" w:lineRule="auto"/>
        <w:jc w:val="both"/>
        <w:rPr>
          <w:rFonts w:ascii="Times New Roman" w:hAnsi="Times New Roman" w:cs="Times New Roman"/>
        </w:rPr>
      </w:pPr>
      <w:r w:rsidRPr="00F12A4D">
        <w:rPr>
          <w:rFonts w:ascii="Times New Roman" w:eastAsia="Times New Roman" w:hAnsi="Times New Roman" w:cs="Times New Roman"/>
          <w:bCs/>
          <w:sz w:val="24"/>
          <w:szCs w:val="24"/>
          <w:lang w:eastAsia="sk-SK"/>
        </w:rPr>
        <w:t>E</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F06FEB">
        <w:rPr>
          <w:rFonts w:ascii="Times New Roman" w:hAnsi="Times New Roman" w:cs="Times New Roman"/>
        </w:rPr>
        <w:t>Podpora vzniku a aktivít p</w:t>
      </w:r>
      <w:r w:rsidR="00FA79EA">
        <w:rPr>
          <w:rFonts w:ascii="Times New Roman" w:hAnsi="Times New Roman" w:cs="Times New Roman"/>
        </w:rPr>
        <w:t>latforiem pre výskum a využitie</w:t>
      </w:r>
      <w:r w:rsidR="00FA79EA" w:rsidRPr="00F06FEB">
        <w:rPr>
          <w:rFonts w:ascii="Times New Roman" w:hAnsi="Times New Roman" w:cs="Times New Roman"/>
        </w:rPr>
        <w:t xml:space="preserve"> technológie blockchain</w:t>
      </w:r>
    </w:p>
    <w:p w:rsidR="00595BED" w:rsidRPr="00F12A4D" w:rsidRDefault="00B05AB8" w:rsidP="00595BED">
      <w:pPr>
        <w:spacing w:after="0" w:line="240" w:lineRule="auto"/>
        <w:ind w:left="705" w:hanging="705"/>
        <w:jc w:val="both"/>
        <w:rPr>
          <w:rFonts w:ascii="Times New Roman" w:eastAsia="Times New Roman" w:hAnsi="Times New Roman" w:cs="Times New Roman"/>
          <w:bCs/>
          <w:sz w:val="24"/>
          <w:szCs w:val="24"/>
          <w:lang w:eastAsia="sk-SK"/>
        </w:rPr>
      </w:pPr>
      <w:r>
        <w:rPr>
          <w:rFonts w:ascii="Times New Roman" w:hAnsi="Times New Roman" w:cs="Times New Roman"/>
        </w:rPr>
        <w:t>G</w:t>
      </w:r>
      <w:r w:rsidR="00595BED">
        <w:rPr>
          <w:rFonts w:ascii="Times New Roman" w:hAnsi="Times New Roman" w:cs="Times New Roman"/>
        </w:rPr>
        <w:tab/>
      </w:r>
      <w:r w:rsidR="00595BED" w:rsidRPr="00595BED">
        <w:rPr>
          <w:rFonts w:ascii="Times New Roman" w:hAnsi="Times New Roman" w:cs="Times New Roman"/>
        </w:rPr>
        <w:t>Podpora vzniku a aktivít národného kompetenčného a koordinačného centra pre kybernetickú bezpečnosť</w:t>
      </w:r>
    </w:p>
    <w:p w:rsidR="00FA79EA" w:rsidRDefault="00FA79EA" w:rsidP="00BE129F">
      <w:pPr>
        <w:spacing w:after="0" w:line="240" w:lineRule="auto"/>
        <w:jc w:val="both"/>
        <w:rPr>
          <w:rFonts w:ascii="Times New Roman" w:eastAsia="Times New Roman" w:hAnsi="Times New Roman" w:cs="Times New Roman"/>
          <w:bCs/>
          <w:sz w:val="24"/>
          <w:szCs w:val="24"/>
          <w:lang w:eastAsia="sk-SK"/>
        </w:rPr>
      </w:pPr>
    </w:p>
    <w:p w:rsidR="00FA79EA" w:rsidRDefault="001F269F" w:rsidP="00BE129F">
      <w:pPr>
        <w:spacing w:after="0" w:line="240" w:lineRule="auto"/>
        <w:jc w:val="both"/>
        <w:rPr>
          <w:rFonts w:ascii="Times New Roman" w:hAnsi="Times New Roman" w:cs="Times New Roman"/>
        </w:rPr>
      </w:pPr>
      <w:r w:rsidRPr="00F12A4D">
        <w:rPr>
          <w:rFonts w:ascii="Times New Roman" w:eastAsia="Times New Roman" w:hAnsi="Times New Roman" w:cs="Times New Roman"/>
          <w:bCs/>
          <w:sz w:val="24"/>
          <w:szCs w:val="24"/>
          <w:lang w:eastAsia="sk-SK"/>
        </w:rPr>
        <w:t>1.1.4</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D8428B">
        <w:rPr>
          <w:rFonts w:ascii="Times New Roman" w:hAnsi="Times New Roman" w:cs="Times New Roman"/>
        </w:rPr>
        <w:t>Zriadime efektívny mechanizmus na boj proti dezinformáciám</w:t>
      </w:r>
    </w:p>
    <w:p w:rsidR="00FA79EA" w:rsidRDefault="001F269F" w:rsidP="00FA79EA">
      <w:pPr>
        <w:spacing w:after="0" w:line="240" w:lineRule="auto"/>
        <w:ind w:left="705" w:hanging="705"/>
        <w:jc w:val="both"/>
        <w:rPr>
          <w:rFonts w:ascii="Times New Roman" w:hAnsi="Times New Roman" w:cs="Times New Roman"/>
        </w:rPr>
      </w:pPr>
      <w:r w:rsidRPr="00F12A4D">
        <w:rPr>
          <w:rFonts w:ascii="Times New Roman" w:eastAsia="Times New Roman" w:hAnsi="Times New Roman" w:cs="Times New Roman"/>
          <w:bCs/>
          <w:sz w:val="24"/>
          <w:szCs w:val="24"/>
          <w:lang w:eastAsia="sk-SK"/>
        </w:rPr>
        <w:t>1.1.6</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D8428B">
        <w:rPr>
          <w:rFonts w:ascii="Times New Roman" w:hAnsi="Times New Roman" w:cs="Times New Roman"/>
        </w:rPr>
        <w:t>Podporíme aktivity vedúce k zvýšeniu podielu žien v IT a digitálnom sektore a odstráneniu rodových stereotypov</w:t>
      </w:r>
    </w:p>
    <w:p w:rsidR="00595BED" w:rsidRDefault="00595BED" w:rsidP="00FA79EA">
      <w:pPr>
        <w:spacing w:after="0" w:line="240" w:lineRule="auto"/>
        <w:ind w:left="705" w:hanging="705"/>
        <w:jc w:val="both"/>
        <w:rPr>
          <w:rFonts w:ascii="Times New Roman" w:hAnsi="Times New Roman" w:cs="Times New Roman"/>
        </w:rPr>
      </w:pPr>
      <w:r>
        <w:rPr>
          <w:rFonts w:ascii="Times New Roman" w:hAnsi="Times New Roman" w:cs="Times New Roman"/>
        </w:rPr>
        <w:t>1.1.7</w:t>
      </w:r>
      <w:r>
        <w:rPr>
          <w:rFonts w:ascii="Times New Roman" w:hAnsi="Times New Roman" w:cs="Times New Roman"/>
        </w:rPr>
        <w:tab/>
      </w:r>
      <w:r w:rsidRPr="00DA4833">
        <w:rPr>
          <w:rFonts w:ascii="Times New Roman" w:hAnsi="Times New Roman" w:cs="Times New Roman"/>
        </w:rPr>
        <w:t>Vypracovanie štúdie vplyvov digitálnej transformácie a odporúčaní na národnej úrovni v oblasti zamestnanosti, kvalifikácií a foriem práce – Práca 4.0</w:t>
      </w:r>
    </w:p>
    <w:p w:rsidR="00FA79EA" w:rsidRDefault="001F269F" w:rsidP="00BE129F">
      <w:pPr>
        <w:spacing w:after="0" w:line="240" w:lineRule="auto"/>
        <w:jc w:val="both"/>
        <w:rPr>
          <w:rFonts w:ascii="Times New Roman" w:hAnsi="Times New Roman" w:cs="Times New Roman"/>
        </w:rPr>
      </w:pPr>
      <w:r w:rsidRPr="00F12A4D">
        <w:rPr>
          <w:rFonts w:ascii="Times New Roman" w:eastAsia="Times New Roman" w:hAnsi="Times New Roman" w:cs="Times New Roman"/>
          <w:bCs/>
          <w:sz w:val="24"/>
          <w:szCs w:val="24"/>
          <w:lang w:eastAsia="sk-SK"/>
        </w:rPr>
        <w:t>1.1.8</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D8428B">
        <w:rPr>
          <w:rFonts w:ascii="Times New Roman" w:hAnsi="Times New Roman" w:cs="Times New Roman"/>
        </w:rPr>
        <w:t xml:space="preserve">Potreba zvýšenia </w:t>
      </w:r>
      <w:r w:rsidR="00FA79EA">
        <w:rPr>
          <w:rFonts w:ascii="Times New Roman" w:hAnsi="Times New Roman" w:cs="Times New Roman"/>
        </w:rPr>
        <w:t>kompetencií</w:t>
      </w:r>
      <w:r w:rsidR="00FA79EA" w:rsidRPr="00D8428B">
        <w:rPr>
          <w:rFonts w:ascii="Times New Roman" w:hAnsi="Times New Roman" w:cs="Times New Roman"/>
        </w:rPr>
        <w:t xml:space="preserve"> mladých ľudí pre digitálnu dobu v rámci formálneho vzdelávania</w:t>
      </w:r>
    </w:p>
    <w:p w:rsidR="00FA79EA" w:rsidRDefault="001F269F" w:rsidP="00FA79EA">
      <w:pPr>
        <w:spacing w:after="0" w:line="240" w:lineRule="auto"/>
        <w:ind w:left="705" w:hanging="705"/>
        <w:jc w:val="both"/>
        <w:rPr>
          <w:rFonts w:ascii="Times New Roman" w:hAnsi="Times New Roman" w:cs="Times New Roman"/>
        </w:rPr>
      </w:pPr>
      <w:r w:rsidRPr="00F12A4D">
        <w:rPr>
          <w:rFonts w:ascii="Times New Roman" w:eastAsia="Times New Roman" w:hAnsi="Times New Roman" w:cs="Times New Roman"/>
          <w:bCs/>
          <w:sz w:val="24"/>
          <w:szCs w:val="24"/>
          <w:lang w:eastAsia="sk-SK"/>
        </w:rPr>
        <w:t>1.1.9</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D8428B">
        <w:rPr>
          <w:rFonts w:ascii="Times New Roman" w:hAnsi="Times New Roman" w:cs="Times New Roman"/>
        </w:rPr>
        <w:t>Iniciujeme činnosti vedúce k posúdeniu dopadov využívania inteligentných systémov a digitálnych technológií na vývoj, zdravie a správanie človeka</w:t>
      </w:r>
    </w:p>
    <w:p w:rsidR="00FA79EA" w:rsidRDefault="001F269F" w:rsidP="00BE129F">
      <w:pPr>
        <w:spacing w:after="0" w:line="240" w:lineRule="auto"/>
        <w:jc w:val="both"/>
        <w:rPr>
          <w:rFonts w:ascii="Times New Roman" w:hAnsi="Times New Roman" w:cs="Times New Roman"/>
        </w:rPr>
      </w:pPr>
      <w:r w:rsidRPr="00F12A4D">
        <w:rPr>
          <w:rFonts w:ascii="Times New Roman" w:eastAsia="Times New Roman" w:hAnsi="Times New Roman" w:cs="Times New Roman"/>
          <w:bCs/>
          <w:sz w:val="24"/>
          <w:szCs w:val="24"/>
          <w:lang w:eastAsia="sk-SK"/>
        </w:rPr>
        <w:t>1.2.1</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6B60D3">
        <w:rPr>
          <w:rFonts w:ascii="Times New Roman" w:hAnsi="Times New Roman" w:cs="Times New Roman"/>
        </w:rPr>
        <w:t>Zatraktívnime podmienky zamestnávania informačných špecialistov v štátnej  a verejnej správe</w:t>
      </w:r>
    </w:p>
    <w:p w:rsidR="00B542E4" w:rsidRDefault="001F269F" w:rsidP="00FA79EA">
      <w:pPr>
        <w:spacing w:after="0" w:line="240" w:lineRule="auto"/>
        <w:ind w:left="705" w:hanging="705"/>
        <w:jc w:val="both"/>
        <w:rPr>
          <w:rFonts w:ascii="Times New Roman" w:hAnsi="Times New Roman" w:cs="Times New Roman"/>
        </w:rPr>
      </w:pPr>
      <w:r w:rsidRPr="00F12A4D">
        <w:rPr>
          <w:rFonts w:ascii="Times New Roman" w:eastAsia="Times New Roman" w:hAnsi="Times New Roman" w:cs="Times New Roman"/>
          <w:bCs/>
          <w:sz w:val="24"/>
          <w:szCs w:val="24"/>
          <w:lang w:eastAsia="sk-SK"/>
        </w:rPr>
        <w:t>1.2.2</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D8428B">
        <w:rPr>
          <w:rFonts w:ascii="Times New Roman" w:hAnsi="Times New Roman" w:cs="Times New Roman"/>
        </w:rPr>
        <w:t>Výrazne zjednodušíme procesy pre zamestnávanie expertov zo zahraničia</w:t>
      </w:r>
      <w:r w:rsidR="00FA79EA">
        <w:rPr>
          <w:rFonts w:ascii="Times New Roman" w:hAnsi="Times New Roman" w:cs="Times New Roman"/>
        </w:rPr>
        <w:t>, osobitne na vysokých školách</w:t>
      </w:r>
    </w:p>
    <w:p w:rsidR="00FA79EA" w:rsidRDefault="00B542E4" w:rsidP="00FA79EA">
      <w:pPr>
        <w:spacing w:after="0" w:line="240" w:lineRule="auto"/>
        <w:ind w:left="705" w:hanging="705"/>
        <w:jc w:val="both"/>
        <w:rPr>
          <w:rFonts w:ascii="Times New Roman" w:eastAsia="Times New Roman" w:hAnsi="Times New Roman" w:cs="Times New Roman"/>
          <w:bCs/>
          <w:sz w:val="24"/>
          <w:szCs w:val="24"/>
          <w:lang w:eastAsia="sk-SK"/>
        </w:rPr>
      </w:pPr>
      <w:r w:rsidRPr="00B542E4">
        <w:rPr>
          <w:rFonts w:ascii="Times New Roman" w:eastAsia="Times New Roman" w:hAnsi="Times New Roman" w:cs="Times New Roman"/>
          <w:bCs/>
          <w:sz w:val="24"/>
          <w:szCs w:val="24"/>
          <w:lang w:eastAsia="sk-SK"/>
        </w:rPr>
        <w:t xml:space="preserve">3.2.5 </w:t>
      </w:r>
      <w:r>
        <w:rPr>
          <w:rFonts w:ascii="Times New Roman" w:eastAsia="Times New Roman" w:hAnsi="Times New Roman" w:cs="Times New Roman"/>
          <w:bCs/>
          <w:sz w:val="24"/>
          <w:szCs w:val="24"/>
          <w:lang w:eastAsia="sk-SK"/>
        </w:rPr>
        <w:tab/>
      </w:r>
      <w:r w:rsidRPr="00B542E4">
        <w:rPr>
          <w:rFonts w:ascii="Times New Roman" w:eastAsia="Times New Roman" w:hAnsi="Times New Roman" w:cs="Times New Roman"/>
          <w:bCs/>
          <w:sz w:val="24"/>
          <w:szCs w:val="24"/>
          <w:lang w:eastAsia="sk-SK"/>
        </w:rPr>
        <w:t>Zriadenie kancelárie digitálnych inovácií v samospráve</w:t>
      </w:r>
    </w:p>
    <w:p w:rsidR="00FA79EA" w:rsidRDefault="00A80E6E" w:rsidP="00FA79EA">
      <w:pPr>
        <w:spacing w:after="0" w:line="240" w:lineRule="auto"/>
        <w:ind w:left="705" w:hanging="70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4.1.4</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FA79EA">
        <w:rPr>
          <w:rFonts w:ascii="Times New Roman" w:eastAsia="Times New Roman" w:hAnsi="Times New Roman" w:cs="Times New Roman"/>
          <w:bCs/>
          <w:sz w:val="24"/>
          <w:szCs w:val="24"/>
          <w:lang w:eastAsia="sk-SK"/>
        </w:rPr>
        <w:t>Definujeme témy so spoločenskou potrebou a pripravíme pilotné projekty so širokou podporou expertov na umelú inteligenciu</w:t>
      </w:r>
    </w:p>
    <w:p w:rsidR="00FA79EA" w:rsidRDefault="001F269F" w:rsidP="00FA79EA">
      <w:pPr>
        <w:spacing w:after="0" w:line="240" w:lineRule="auto"/>
        <w:ind w:left="705" w:hanging="705"/>
        <w:jc w:val="both"/>
        <w:rPr>
          <w:rFonts w:ascii="Times New Roman" w:eastAsia="Times New Roman" w:hAnsi="Times New Roman" w:cs="Times New Roman"/>
          <w:bCs/>
          <w:sz w:val="24"/>
          <w:szCs w:val="24"/>
          <w:lang w:eastAsia="sk-SK"/>
        </w:rPr>
      </w:pPr>
      <w:r w:rsidRPr="00F12A4D">
        <w:rPr>
          <w:rFonts w:ascii="Times New Roman" w:eastAsia="Times New Roman" w:hAnsi="Times New Roman" w:cs="Times New Roman"/>
          <w:bCs/>
          <w:sz w:val="24"/>
          <w:szCs w:val="24"/>
          <w:lang w:eastAsia="sk-SK"/>
        </w:rPr>
        <w:t>4.1.5</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FA79EA">
        <w:rPr>
          <w:rFonts w:ascii="Times New Roman" w:eastAsia="Times New Roman" w:hAnsi="Times New Roman" w:cs="Times New Roman"/>
          <w:bCs/>
          <w:sz w:val="24"/>
          <w:szCs w:val="24"/>
          <w:lang w:eastAsia="sk-SK"/>
        </w:rPr>
        <w:t>Definujeme a vyhlásime výzvy grantových schém pre základný a aplikovaný výskum zamerané na umelú inteligenciu</w:t>
      </w:r>
    </w:p>
    <w:p w:rsidR="001F269F" w:rsidRPr="00F12A4D" w:rsidRDefault="001F269F" w:rsidP="00BE129F">
      <w:pPr>
        <w:spacing w:after="0" w:line="240" w:lineRule="auto"/>
        <w:jc w:val="both"/>
        <w:rPr>
          <w:rFonts w:ascii="Times New Roman" w:eastAsia="Times New Roman" w:hAnsi="Times New Roman" w:cs="Times New Roman"/>
          <w:bCs/>
          <w:sz w:val="24"/>
          <w:szCs w:val="24"/>
          <w:lang w:eastAsia="sk-SK"/>
        </w:rPr>
      </w:pPr>
      <w:r w:rsidRPr="00F12A4D">
        <w:rPr>
          <w:rFonts w:ascii="Times New Roman" w:eastAsia="Times New Roman" w:hAnsi="Times New Roman" w:cs="Times New Roman"/>
          <w:bCs/>
          <w:sz w:val="24"/>
          <w:szCs w:val="24"/>
          <w:lang w:eastAsia="sk-SK"/>
        </w:rPr>
        <w:t>4.1.6</w:t>
      </w:r>
      <w:r w:rsidR="00FA79EA">
        <w:rPr>
          <w:rFonts w:ascii="Times New Roman" w:eastAsia="Times New Roman" w:hAnsi="Times New Roman" w:cs="Times New Roman"/>
          <w:bCs/>
          <w:sz w:val="24"/>
          <w:szCs w:val="24"/>
          <w:lang w:eastAsia="sk-SK"/>
        </w:rPr>
        <w:t xml:space="preserve"> </w:t>
      </w:r>
      <w:r w:rsidR="00FA79EA">
        <w:rPr>
          <w:rFonts w:ascii="Times New Roman" w:eastAsia="Times New Roman" w:hAnsi="Times New Roman" w:cs="Times New Roman"/>
          <w:bCs/>
          <w:sz w:val="24"/>
          <w:szCs w:val="24"/>
          <w:lang w:eastAsia="sk-SK"/>
        </w:rPr>
        <w:tab/>
      </w:r>
      <w:r w:rsidR="00FA79EA" w:rsidRPr="00FA79EA">
        <w:rPr>
          <w:rFonts w:ascii="Times New Roman" w:eastAsia="Times New Roman" w:hAnsi="Times New Roman" w:cs="Times New Roman"/>
          <w:bCs/>
          <w:sz w:val="24"/>
          <w:szCs w:val="24"/>
          <w:lang w:eastAsia="sk-SK"/>
        </w:rPr>
        <w:t>Zavedieme spoločné vzdelávanie expertov o vybraných aspektoch umelej inteligencie</w:t>
      </w:r>
    </w:p>
    <w:p w:rsidR="001F269F" w:rsidRDefault="001F269F" w:rsidP="00BE129F">
      <w:pPr>
        <w:spacing w:after="0" w:line="240" w:lineRule="auto"/>
        <w:jc w:val="both"/>
      </w:pPr>
    </w:p>
    <w:p w:rsidR="001F269F" w:rsidRPr="008F1E89" w:rsidRDefault="001F269F" w:rsidP="008F1E89">
      <w:pPr>
        <w:spacing w:after="0" w:line="240" w:lineRule="auto"/>
        <w:jc w:val="both"/>
        <w:rPr>
          <w:rFonts w:ascii="Times New Roman" w:hAnsi="Times New Roman" w:cs="Times New Roman"/>
          <w:sz w:val="24"/>
          <w:szCs w:val="24"/>
        </w:rPr>
      </w:pPr>
      <w:r w:rsidRPr="00F12A4D">
        <w:rPr>
          <w:rFonts w:ascii="Times New Roman" w:hAnsi="Times New Roman" w:cs="Times New Roman"/>
          <w:sz w:val="24"/>
          <w:szCs w:val="24"/>
        </w:rPr>
        <w:t>Dôvody, prečo v tejto fáze nie je možné vyčísliť rozpočet na uvedené opatrenia sú uvedené v časti 2.2.1.</w:t>
      </w:r>
      <w:r w:rsidR="008F1E89">
        <w:rPr>
          <w:rFonts w:ascii="Times New Roman" w:hAnsi="Times New Roman" w:cs="Times New Roman"/>
          <w:sz w:val="24"/>
          <w:szCs w:val="24"/>
        </w:rPr>
        <w:t xml:space="preserve"> Plnenie opatrení</w:t>
      </w:r>
      <w:r w:rsidR="00E84C91">
        <w:rPr>
          <w:rFonts w:ascii="Times New Roman" w:hAnsi="Times New Roman" w:cs="Times New Roman"/>
          <w:sz w:val="24"/>
          <w:szCs w:val="24"/>
        </w:rPr>
        <w:t xml:space="preserve">, </w:t>
      </w:r>
      <w:r w:rsidR="00C00B6D">
        <w:rPr>
          <w:rFonts w:ascii="Times New Roman" w:hAnsi="Times New Roman" w:cs="Times New Roman"/>
          <w:sz w:val="24"/>
          <w:szCs w:val="24"/>
        </w:rPr>
        <w:t xml:space="preserve">ktoré nie je možné v tejto fáze vyčísliť a </w:t>
      </w:r>
      <w:r w:rsidR="00E84C91">
        <w:rPr>
          <w:rFonts w:ascii="Times New Roman" w:hAnsi="Times New Roman" w:cs="Times New Roman"/>
          <w:sz w:val="24"/>
          <w:szCs w:val="24"/>
        </w:rPr>
        <w:t>ktoré sú</w:t>
      </w:r>
      <w:r w:rsidR="008F1E89">
        <w:rPr>
          <w:rFonts w:ascii="Times New Roman" w:hAnsi="Times New Roman" w:cs="Times New Roman"/>
          <w:sz w:val="24"/>
          <w:szCs w:val="24"/>
        </w:rPr>
        <w:t xml:space="preserve"> v gescii ÚPVII</w:t>
      </w:r>
      <w:r w:rsidR="008F1E89" w:rsidRPr="008F1E89">
        <w:rPr>
          <w:rFonts w:ascii="Times New Roman" w:hAnsi="Times New Roman" w:cs="Times New Roman"/>
          <w:sz w:val="24"/>
          <w:szCs w:val="24"/>
        </w:rPr>
        <w:t xml:space="preserve"> bude vykonané v závislosti od objemu disponibilných rozpočtových prostriedkov dotknutej kapitoly štátneho rozpo</w:t>
      </w:r>
      <w:r w:rsidR="008F1E89">
        <w:rPr>
          <w:rFonts w:ascii="Times New Roman" w:hAnsi="Times New Roman" w:cs="Times New Roman"/>
          <w:sz w:val="24"/>
          <w:szCs w:val="24"/>
        </w:rPr>
        <w:t xml:space="preserve">čtu na príslušný rozpočtový rok. Pri opatreniach </w:t>
      </w:r>
      <w:r w:rsidR="00E84C91">
        <w:rPr>
          <w:rFonts w:ascii="Times New Roman" w:hAnsi="Times New Roman" w:cs="Times New Roman"/>
          <w:sz w:val="24"/>
          <w:szCs w:val="24"/>
        </w:rPr>
        <w:t xml:space="preserve">v gescii iných </w:t>
      </w:r>
      <w:r w:rsidR="008F1E89">
        <w:rPr>
          <w:rFonts w:ascii="Times New Roman" w:hAnsi="Times New Roman" w:cs="Times New Roman"/>
          <w:sz w:val="24"/>
          <w:szCs w:val="24"/>
        </w:rPr>
        <w:t xml:space="preserve">ústredných orgánov štátnej správy ako </w:t>
      </w:r>
      <w:r w:rsidR="00E84C91">
        <w:rPr>
          <w:rFonts w:ascii="Times New Roman" w:hAnsi="Times New Roman" w:cs="Times New Roman"/>
          <w:sz w:val="24"/>
          <w:szCs w:val="24"/>
        </w:rPr>
        <w:t xml:space="preserve">je </w:t>
      </w:r>
      <w:r w:rsidR="008F1E89">
        <w:rPr>
          <w:rFonts w:ascii="Times New Roman" w:hAnsi="Times New Roman" w:cs="Times New Roman"/>
          <w:sz w:val="24"/>
          <w:szCs w:val="24"/>
        </w:rPr>
        <w:t>ÚPVII</w:t>
      </w:r>
      <w:r w:rsidR="00E84C91">
        <w:rPr>
          <w:rFonts w:ascii="Times New Roman" w:hAnsi="Times New Roman" w:cs="Times New Roman"/>
          <w:sz w:val="24"/>
          <w:szCs w:val="24"/>
        </w:rPr>
        <w:t>, ktoré nie je možné v tejto fáze vyčísliť</w:t>
      </w:r>
      <w:r w:rsidR="008F1E89">
        <w:rPr>
          <w:rFonts w:ascii="Times New Roman" w:hAnsi="Times New Roman" w:cs="Times New Roman"/>
          <w:sz w:val="24"/>
          <w:szCs w:val="24"/>
        </w:rPr>
        <w:t xml:space="preserve"> </w:t>
      </w:r>
      <w:r w:rsidR="00E84C91" w:rsidRPr="00E84C91">
        <w:rPr>
          <w:rFonts w:ascii="Times New Roman" w:hAnsi="Times New Roman" w:cs="Times New Roman"/>
          <w:sz w:val="24"/>
          <w:szCs w:val="24"/>
        </w:rPr>
        <w:t xml:space="preserve">bude </w:t>
      </w:r>
      <w:r w:rsidR="00E84C91">
        <w:rPr>
          <w:rFonts w:ascii="Times New Roman" w:hAnsi="Times New Roman" w:cs="Times New Roman"/>
          <w:sz w:val="24"/>
          <w:szCs w:val="24"/>
        </w:rPr>
        <w:t xml:space="preserve">pred </w:t>
      </w:r>
      <w:r w:rsidR="00C00B6D">
        <w:rPr>
          <w:rFonts w:ascii="Times New Roman" w:hAnsi="Times New Roman" w:cs="Times New Roman"/>
          <w:sz w:val="24"/>
          <w:szCs w:val="24"/>
        </w:rPr>
        <w:t xml:space="preserve">ich </w:t>
      </w:r>
      <w:r w:rsidR="00E84C91">
        <w:rPr>
          <w:rFonts w:ascii="Times New Roman" w:hAnsi="Times New Roman" w:cs="Times New Roman"/>
          <w:sz w:val="24"/>
          <w:szCs w:val="24"/>
        </w:rPr>
        <w:t xml:space="preserve">implementáciou vypracovaný </w:t>
      </w:r>
      <w:r w:rsidR="00E84C91" w:rsidRPr="00E84C91">
        <w:rPr>
          <w:rFonts w:ascii="Times New Roman" w:hAnsi="Times New Roman" w:cs="Times New Roman"/>
          <w:sz w:val="24"/>
          <w:szCs w:val="24"/>
        </w:rPr>
        <w:t>samostatný materiál so samostatnou doložkou vplyvov na rozpočet</w:t>
      </w:r>
      <w:r w:rsidR="00E84C91">
        <w:rPr>
          <w:rFonts w:ascii="Times New Roman" w:hAnsi="Times New Roman" w:cs="Times New Roman"/>
          <w:sz w:val="24"/>
          <w:szCs w:val="24"/>
        </w:rPr>
        <w:t xml:space="preserve"> verejnej správy</w:t>
      </w:r>
      <w:r w:rsidR="00E84C91" w:rsidRPr="00E84C91">
        <w:rPr>
          <w:rFonts w:ascii="Times New Roman" w:hAnsi="Times New Roman" w:cs="Times New Roman"/>
          <w:sz w:val="24"/>
          <w:szCs w:val="24"/>
        </w:rPr>
        <w:t>.</w:t>
      </w:r>
    </w:p>
    <w:p w:rsidR="00A52F26" w:rsidRDefault="00251BC6" w:rsidP="003E6EA2">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003E6EA2">
        <w:rPr>
          <w:rFonts w:ascii="Times New Roman" w:eastAsia="Times New Roman" w:hAnsi="Times New Roman" w:cs="Times New Roman"/>
          <w:bCs/>
          <w:sz w:val="24"/>
          <w:szCs w:val="24"/>
          <w:lang w:eastAsia="sk-SK"/>
        </w:rPr>
        <w:t xml:space="preserve"> </w:t>
      </w:r>
    </w:p>
    <w:p w:rsidR="00A52F26" w:rsidRDefault="00F12A4D" w:rsidP="003E6EA2">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financovanie jednotlivých opatrení budú použité zdroje:</w:t>
      </w:r>
    </w:p>
    <w:p w:rsidR="00F12A4D" w:rsidRDefault="00F12A4D" w:rsidP="003E6EA2">
      <w:pPr>
        <w:spacing w:after="0" w:line="240" w:lineRule="auto"/>
        <w:jc w:val="both"/>
        <w:rPr>
          <w:rFonts w:ascii="Times New Roman" w:eastAsia="Times New Roman" w:hAnsi="Times New Roman" w:cs="Times New Roman"/>
          <w:bCs/>
          <w:sz w:val="24"/>
          <w:szCs w:val="24"/>
          <w:lang w:eastAsia="sk-SK"/>
        </w:rPr>
      </w:pPr>
    </w:p>
    <w:p w:rsidR="00A52F26" w:rsidRDefault="003E6EA2" w:rsidP="00A52F26">
      <w:pPr>
        <w:pStyle w:val="Odsekzoznamu"/>
        <w:numPr>
          <w:ilvl w:val="0"/>
          <w:numId w:val="11"/>
        </w:numPr>
        <w:spacing w:after="0" w:line="240" w:lineRule="auto"/>
        <w:jc w:val="both"/>
        <w:rPr>
          <w:rFonts w:ascii="Times New Roman" w:eastAsia="Times New Roman" w:hAnsi="Times New Roman" w:cs="Times New Roman"/>
          <w:bCs/>
          <w:sz w:val="24"/>
          <w:szCs w:val="24"/>
          <w:lang w:eastAsia="sk-SK"/>
        </w:rPr>
      </w:pPr>
      <w:r w:rsidRPr="00A52F26">
        <w:rPr>
          <w:rFonts w:ascii="Times New Roman" w:eastAsia="Times New Roman" w:hAnsi="Times New Roman" w:cs="Times New Roman"/>
          <w:bCs/>
          <w:sz w:val="24"/>
          <w:szCs w:val="24"/>
          <w:lang w:eastAsia="sk-SK"/>
        </w:rPr>
        <w:t>z rozpočtových kapitol príslušných rezortov</w:t>
      </w:r>
      <w:r w:rsidR="00A52F26" w:rsidRPr="00A52F26">
        <w:rPr>
          <w:rFonts w:ascii="Times New Roman" w:eastAsia="Times New Roman" w:hAnsi="Times New Roman" w:cs="Times New Roman"/>
          <w:bCs/>
          <w:sz w:val="24"/>
          <w:szCs w:val="24"/>
          <w:lang w:eastAsia="sk-SK"/>
        </w:rPr>
        <w:t>, a to buď už alokovaných prostriedkov alebo následne požadovaných pri tvorbe rozpočtov na ďalšie kalendárne roky</w:t>
      </w:r>
      <w:r w:rsidRPr="00A52F26">
        <w:rPr>
          <w:rFonts w:ascii="Times New Roman" w:eastAsia="Times New Roman" w:hAnsi="Times New Roman" w:cs="Times New Roman"/>
          <w:bCs/>
          <w:sz w:val="24"/>
          <w:szCs w:val="24"/>
          <w:lang w:eastAsia="sk-SK"/>
        </w:rPr>
        <w:t xml:space="preserve"> a </w:t>
      </w:r>
    </w:p>
    <w:p w:rsidR="003E6EA2" w:rsidRPr="00A52F26" w:rsidRDefault="003E6EA2" w:rsidP="00A52F26">
      <w:pPr>
        <w:pStyle w:val="Odsekzoznamu"/>
        <w:numPr>
          <w:ilvl w:val="0"/>
          <w:numId w:val="11"/>
        </w:numPr>
        <w:spacing w:after="0" w:line="240" w:lineRule="auto"/>
        <w:jc w:val="both"/>
        <w:rPr>
          <w:rFonts w:ascii="Times New Roman" w:eastAsia="Times New Roman" w:hAnsi="Times New Roman" w:cs="Times New Roman"/>
          <w:bCs/>
          <w:sz w:val="24"/>
          <w:szCs w:val="24"/>
          <w:lang w:eastAsia="sk-SK"/>
        </w:rPr>
      </w:pPr>
      <w:r w:rsidRPr="00A52F26">
        <w:rPr>
          <w:rFonts w:ascii="Times New Roman" w:eastAsia="Times New Roman" w:hAnsi="Times New Roman" w:cs="Times New Roman"/>
          <w:bCs/>
          <w:sz w:val="24"/>
          <w:szCs w:val="24"/>
          <w:lang w:eastAsia="sk-SK"/>
        </w:rPr>
        <w:t xml:space="preserve">európskych štrukturálnych a investičných fondov, a to prostredníctvom Operačného programu Integrovaná infraštruktúra, Operačného programu Výskum a inovácie, Operačného programu Efektívna verejná správa a programov CEF, resp. Horizon 2020. </w:t>
      </w:r>
      <w:r w:rsidR="00A52F26">
        <w:rPr>
          <w:rFonts w:ascii="Times New Roman" w:eastAsia="Times New Roman" w:hAnsi="Times New Roman" w:cs="Times New Roman"/>
          <w:bCs/>
          <w:sz w:val="24"/>
          <w:szCs w:val="24"/>
          <w:lang w:eastAsia="sk-SK"/>
        </w:rPr>
        <w:t xml:space="preserve">Financovanie opatrení z EŠIF alebo priamo riadených programov je </w:t>
      </w:r>
      <w:r w:rsidRPr="00A52F26">
        <w:rPr>
          <w:rFonts w:ascii="Times New Roman" w:eastAsia="Times New Roman" w:hAnsi="Times New Roman" w:cs="Times New Roman"/>
          <w:bCs/>
          <w:sz w:val="24"/>
          <w:szCs w:val="24"/>
          <w:lang w:eastAsia="sk-SK"/>
        </w:rPr>
        <w:t>pokryté finančnými prostriedkami vyčlenenými pre tieto programy. Riadiace orgány, resp. sprostredkovateľské orgány majú zabezpečené finančné zdroje z EÚ, finančné zdroje na spolufinancovanie, ako aj finančné zdroje pre princíp Pro-rata, ktorý sa uplatňuje ako pri OP Integrovaná infraštruktúra tak aj pre OP Efektívna verejná správa. Z hľadiska programu CEF a Horizon 2020 nie je potrebné financovanie zo zdroja pro-rata.</w:t>
      </w:r>
    </w:p>
    <w:p w:rsidR="003E6EA2" w:rsidRDefault="003E6EA2" w:rsidP="003E6EA2">
      <w:pPr>
        <w:spacing w:after="0" w:line="240" w:lineRule="auto"/>
        <w:jc w:val="both"/>
        <w:rPr>
          <w:rFonts w:ascii="Times New Roman" w:eastAsia="Times New Roman" w:hAnsi="Times New Roman" w:cs="Times New Roman"/>
          <w:bCs/>
          <w:sz w:val="24"/>
          <w:szCs w:val="24"/>
          <w:lang w:eastAsia="sk-SK"/>
        </w:rPr>
      </w:pPr>
    </w:p>
    <w:p w:rsidR="003E6EA2" w:rsidRDefault="15821AB4" w:rsidP="15821AB4">
      <w:pPr>
        <w:spacing w:after="0" w:line="240" w:lineRule="auto"/>
        <w:jc w:val="both"/>
        <w:rPr>
          <w:rFonts w:ascii="Times New Roman" w:eastAsia="Times New Roman" w:hAnsi="Times New Roman" w:cs="Times New Roman"/>
          <w:sz w:val="24"/>
          <w:szCs w:val="24"/>
          <w:lang w:eastAsia="sk-SK"/>
        </w:rPr>
      </w:pPr>
      <w:r w:rsidRPr="15821AB4">
        <w:rPr>
          <w:rFonts w:ascii="Times New Roman" w:eastAsia="Times New Roman" w:hAnsi="Times New Roman" w:cs="Times New Roman"/>
          <w:sz w:val="24"/>
          <w:szCs w:val="24"/>
          <w:lang w:eastAsia="sk-SK"/>
        </w:rPr>
        <w:t>Pri financovaní opatrení budú využité už konkr</w:t>
      </w:r>
      <w:r w:rsidR="00F12A4D">
        <w:rPr>
          <w:rFonts w:ascii="Times New Roman" w:eastAsia="Times New Roman" w:hAnsi="Times New Roman" w:cs="Times New Roman"/>
          <w:sz w:val="24"/>
          <w:szCs w:val="24"/>
          <w:lang w:eastAsia="sk-SK"/>
        </w:rPr>
        <w:t>étne národné projekty EŠIF, ich bližšia špecifikácia je uvedená v časti 2.2.1.</w:t>
      </w:r>
    </w:p>
    <w:p w:rsidR="003E6EA2" w:rsidRDefault="003E6EA2" w:rsidP="003E6EA2">
      <w:pPr>
        <w:spacing w:after="0" w:line="240" w:lineRule="auto"/>
        <w:jc w:val="both"/>
        <w:rPr>
          <w:rFonts w:ascii="Times New Roman" w:eastAsia="Times New Roman" w:hAnsi="Times New Roman" w:cs="Times New Roman"/>
          <w:bCs/>
          <w:sz w:val="24"/>
          <w:szCs w:val="24"/>
          <w:lang w:eastAsia="sk-SK"/>
        </w:rPr>
      </w:pPr>
    </w:p>
    <w:p w:rsidR="00A52F26" w:rsidRDefault="00251BC6" w:rsidP="00251BC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Konkrétna</w:t>
      </w:r>
      <w:r w:rsidR="00A52F26" w:rsidRPr="00FC3E44">
        <w:rPr>
          <w:rFonts w:ascii="Times New Roman" w:eastAsia="Times New Roman" w:hAnsi="Times New Roman" w:cs="Times New Roman"/>
          <w:bCs/>
          <w:sz w:val="24"/>
          <w:szCs w:val="24"/>
          <w:lang w:eastAsia="sk-SK"/>
        </w:rPr>
        <w:t xml:space="preserve"> analýza vplyvov na rozpočet verejnej správy bude súčasťou dokumentov predkladaných na roko</w:t>
      </w:r>
      <w:r>
        <w:rPr>
          <w:rFonts w:ascii="Times New Roman" w:eastAsia="Times New Roman" w:hAnsi="Times New Roman" w:cs="Times New Roman"/>
          <w:bCs/>
          <w:sz w:val="24"/>
          <w:szCs w:val="24"/>
          <w:lang w:eastAsia="sk-SK"/>
        </w:rPr>
        <w:t>vanie vlády SR zo strany gestorov</w:t>
      </w:r>
      <w:r w:rsidR="00A52F26" w:rsidRPr="00FC3E44">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jednotlivých </w:t>
      </w:r>
      <w:r w:rsidR="00A52F26" w:rsidRPr="00FC3E44">
        <w:rPr>
          <w:rFonts w:ascii="Times New Roman" w:eastAsia="Times New Roman" w:hAnsi="Times New Roman" w:cs="Times New Roman"/>
          <w:bCs/>
          <w:sz w:val="24"/>
          <w:szCs w:val="24"/>
          <w:lang w:eastAsia="sk-SK"/>
        </w:rPr>
        <w:t>opatrení.</w:t>
      </w:r>
    </w:p>
    <w:p w:rsidR="00A52F26" w:rsidRDefault="00A52F26" w:rsidP="00A52F26">
      <w:pPr>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314D9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7D5748" w:rsidRPr="007D5748" w:rsidRDefault="007D5748" w:rsidP="00314D9D">
      <w:pPr>
        <w:spacing w:after="0" w:line="240" w:lineRule="auto"/>
        <w:rPr>
          <w:rFonts w:ascii="Times New Roman" w:eastAsia="Times New Roman" w:hAnsi="Times New Roman" w:cs="Times New Roman"/>
          <w:sz w:val="24"/>
          <w:szCs w:val="24"/>
          <w:lang w:eastAsia="sk-SK"/>
        </w:rPr>
      </w:pPr>
    </w:p>
    <w:p w:rsidR="007D5748" w:rsidRPr="007D5748" w:rsidRDefault="007D5748" w:rsidP="00314D9D">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7D5748" w:rsidRPr="007D5748" w:rsidRDefault="007D5748" w:rsidP="00314D9D">
      <w:pPr>
        <w:spacing w:after="0" w:line="240" w:lineRule="auto"/>
        <w:jc w:val="both"/>
        <w:rPr>
          <w:rFonts w:ascii="Times New Roman" w:eastAsia="Times New Roman" w:hAnsi="Times New Roman" w:cs="Times New Roman"/>
          <w:b/>
          <w:bCs/>
          <w:sz w:val="24"/>
          <w:szCs w:val="24"/>
          <w:lang w:eastAsia="sk-SK"/>
        </w:rPr>
      </w:pPr>
    </w:p>
    <w:p w:rsidR="007D5748" w:rsidRDefault="007D5748" w:rsidP="00314D9D">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DC25B0" w:rsidRDefault="00DC25B0" w:rsidP="00DC25B0">
      <w:pPr>
        <w:spacing w:after="0" w:line="240" w:lineRule="auto"/>
        <w:jc w:val="both"/>
        <w:rPr>
          <w:rFonts w:ascii="Times New Roman" w:eastAsia="Times New Roman" w:hAnsi="Times New Roman" w:cs="Times New Roman"/>
          <w:sz w:val="24"/>
          <w:szCs w:val="24"/>
          <w:lang w:eastAsia="sk-SK"/>
        </w:rPr>
      </w:pPr>
    </w:p>
    <w:p w:rsidR="00DC25B0" w:rsidRDefault="00DC25B0" w:rsidP="00DC25B0">
      <w:pPr>
        <w:pStyle w:val="paragraph"/>
        <w:shd w:val="clear" w:color="auto" w:fill="FFFFFF"/>
        <w:spacing w:before="0" w:beforeAutospacing="0" w:after="0" w:afterAutospacing="0"/>
        <w:jc w:val="both"/>
        <w:textAlignment w:val="baseline"/>
        <w:rPr>
          <w:rStyle w:val="normaltextrun"/>
          <w:color w:val="000000"/>
          <w:sz w:val="22"/>
          <w:szCs w:val="22"/>
          <w:shd w:val="clear" w:color="auto" w:fill="FFFFFF"/>
        </w:rPr>
      </w:pPr>
      <w:r w:rsidRPr="00DC25B0">
        <w:rPr>
          <w:rStyle w:val="normaltextrun"/>
          <w:color w:val="000000"/>
          <w:sz w:val="22"/>
          <w:szCs w:val="22"/>
          <w:shd w:val="clear" w:color="auto" w:fill="FFFFFF"/>
        </w:rPr>
        <w:t xml:space="preserve">Akčný plán digitálnej transformácie Slovenska 2019 – 2022 vykonáva Stratégiu digitálnej transformácie Slovenska 2030, pričom pokrýva opatrenia, ktoré je možné uskutočniť v krátkodobom časovom horizonte, </w:t>
      </w:r>
      <w:r w:rsidRPr="00DC25B0">
        <w:rPr>
          <w:rStyle w:val="normaltextrun"/>
        </w:rPr>
        <w:t>t.j</w:t>
      </w:r>
      <w:r w:rsidRPr="00DC25B0">
        <w:rPr>
          <w:rStyle w:val="normaltextrun"/>
          <w:color w:val="000000"/>
          <w:sz w:val="22"/>
          <w:szCs w:val="22"/>
          <w:shd w:val="clear" w:color="auto" w:fill="FFFFFF"/>
        </w:rPr>
        <w:t xml:space="preserve">. od septembra 2019 do </w:t>
      </w:r>
      <w:r>
        <w:rPr>
          <w:rStyle w:val="normaltextrun"/>
          <w:color w:val="000000"/>
          <w:sz w:val="22"/>
          <w:szCs w:val="22"/>
          <w:shd w:val="clear" w:color="auto" w:fill="FFFFFF"/>
        </w:rPr>
        <w:t>konca</w:t>
      </w:r>
      <w:r w:rsidRPr="00DC25B0">
        <w:rPr>
          <w:rStyle w:val="normaltextrun"/>
          <w:color w:val="000000"/>
          <w:sz w:val="22"/>
          <w:szCs w:val="22"/>
          <w:shd w:val="clear" w:color="auto" w:fill="FFFFFF"/>
        </w:rPr>
        <w:t xml:space="preserve"> roka 2022. Ich financovanie je naviazané na programové obdobie 2014 – 2020. Úspešné naplnenie opatrení akčného plánu vyžaduje širokú politickú podporu nad hranicu m</w:t>
      </w:r>
      <w:r>
        <w:rPr>
          <w:rStyle w:val="normaltextrun"/>
          <w:color w:val="000000"/>
          <w:sz w:val="22"/>
          <w:szCs w:val="22"/>
          <w:shd w:val="clear" w:color="auto" w:fill="FFFFFF"/>
        </w:rPr>
        <w:t>andátu súčasnej vlády ako aj rozhodnutie o podpore uvedených aktivít formou pridelenia prostriedkov zo štátneho rozpočtu.</w:t>
      </w:r>
    </w:p>
    <w:p w:rsidR="00DC25B0" w:rsidRDefault="00DC25B0" w:rsidP="00DC25B0">
      <w:pPr>
        <w:pStyle w:val="paragraph"/>
        <w:shd w:val="clear" w:color="auto" w:fill="FFFFFF"/>
        <w:spacing w:before="0" w:beforeAutospacing="0" w:after="0" w:afterAutospacing="0"/>
        <w:jc w:val="both"/>
        <w:textAlignment w:val="baseline"/>
        <w:rPr>
          <w:rStyle w:val="normaltextrun"/>
          <w:color w:val="000000"/>
          <w:sz w:val="22"/>
          <w:szCs w:val="22"/>
          <w:shd w:val="clear" w:color="auto" w:fill="FFFFFF"/>
        </w:rPr>
      </w:pPr>
    </w:p>
    <w:p w:rsidR="00DC25B0" w:rsidRPr="00DC25B0" w:rsidRDefault="00DC25B0" w:rsidP="00DC25B0">
      <w:pPr>
        <w:pStyle w:val="paragraph"/>
        <w:shd w:val="clear" w:color="auto" w:fill="FFFFFF"/>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Viaceré opatrenia najmä v súvislosti s podporou vzniku a fungovania inštitucionálneho zázemia</w:t>
      </w:r>
      <w:r w:rsidRPr="00DC25B0">
        <w:rPr>
          <w:rStyle w:val="normaltextrun"/>
          <w:color w:val="000000"/>
          <w:sz w:val="22"/>
          <w:szCs w:val="22"/>
          <w:shd w:val="clear" w:color="auto" w:fill="FFFFFF"/>
        </w:rPr>
        <w:t xml:space="preserve">  vyplývajú priamo z legislatívy, politik a iniciatív prijímaných na európskej úrovni, ktoré </w:t>
      </w:r>
      <w:r>
        <w:rPr>
          <w:rStyle w:val="normaltextrun"/>
          <w:color w:val="000000"/>
          <w:sz w:val="22"/>
          <w:szCs w:val="22"/>
          <w:shd w:val="clear" w:color="auto" w:fill="FFFFFF"/>
        </w:rPr>
        <w:t>je</w:t>
      </w:r>
      <w:r w:rsidRPr="00DC25B0">
        <w:rPr>
          <w:rStyle w:val="normaltextrun"/>
          <w:color w:val="000000"/>
          <w:sz w:val="22"/>
          <w:szCs w:val="22"/>
          <w:shd w:val="clear" w:color="auto" w:fill="FFFFFF"/>
        </w:rPr>
        <w:t xml:space="preserve"> nutné </w:t>
      </w:r>
      <w:r>
        <w:rPr>
          <w:rStyle w:val="normaltextrun"/>
          <w:color w:val="000000"/>
          <w:sz w:val="22"/>
          <w:szCs w:val="22"/>
          <w:shd w:val="clear" w:color="auto" w:fill="FFFFFF"/>
        </w:rPr>
        <w:t xml:space="preserve">alebo vysoko žiadané </w:t>
      </w:r>
      <w:r w:rsidRPr="00DC25B0">
        <w:rPr>
          <w:rStyle w:val="normaltextrun"/>
          <w:color w:val="000000"/>
          <w:sz w:val="22"/>
          <w:szCs w:val="22"/>
          <w:shd w:val="clear" w:color="auto" w:fill="FFFFFF"/>
        </w:rPr>
        <w:t>na</w:t>
      </w:r>
      <w:r>
        <w:rPr>
          <w:rStyle w:val="normaltextrun"/>
          <w:color w:val="000000"/>
          <w:sz w:val="22"/>
          <w:szCs w:val="22"/>
          <w:shd w:val="clear" w:color="auto" w:fill="FFFFFF"/>
        </w:rPr>
        <w:t xml:space="preserve"> národnej úrovni implementovať </w:t>
      </w:r>
      <w:r w:rsidRPr="00DC25B0">
        <w:rPr>
          <w:rStyle w:val="normaltextrun"/>
          <w:color w:val="000000"/>
          <w:sz w:val="22"/>
          <w:szCs w:val="22"/>
          <w:shd w:val="clear" w:color="auto" w:fill="FFFFFF"/>
        </w:rPr>
        <w:t>a na čo ako členský štát EU, ktorý si má zodpovedne plniť svoje záväzky potrebujeme primerane reagovať.</w:t>
      </w:r>
      <w:r>
        <w:rPr>
          <w:rStyle w:val="normaltextrun"/>
          <w:color w:val="000000"/>
          <w:sz w:val="22"/>
          <w:szCs w:val="22"/>
          <w:shd w:val="clear" w:color="auto" w:fill="FFFFFF"/>
        </w:rPr>
        <w:t xml:space="preserve"> Uvedené je bez primeranej podpory zo štátneho rozpočtu ťažko, ak vôbec realizovateľné, pričom sa oslabí pozícia Slovenska ako krajiny schopnej prispieť k aktívnej tvorbe a participácií na európskych politikách, projektoch a iniciatívach. Uvedené opatrenia majú za cieľ posilniť prípravu Slovenska</w:t>
      </w:r>
      <w:r w:rsidR="00E44A5D">
        <w:rPr>
          <w:rStyle w:val="normaltextrun"/>
          <w:color w:val="000000"/>
          <w:sz w:val="22"/>
          <w:szCs w:val="22"/>
          <w:shd w:val="clear" w:color="auto" w:fill="FFFFFF"/>
        </w:rPr>
        <w:t xml:space="preserve"> a všetkých jeho zložiek</w:t>
      </w:r>
      <w:r>
        <w:rPr>
          <w:rStyle w:val="normaltextrun"/>
          <w:color w:val="000000"/>
          <w:sz w:val="22"/>
          <w:szCs w:val="22"/>
          <w:shd w:val="clear" w:color="auto" w:fill="FFFFFF"/>
        </w:rPr>
        <w:t xml:space="preserve"> </w:t>
      </w:r>
      <w:r w:rsidR="00E44A5D">
        <w:rPr>
          <w:rStyle w:val="normaltextrun"/>
          <w:color w:val="000000"/>
          <w:sz w:val="22"/>
          <w:szCs w:val="22"/>
          <w:shd w:val="clear" w:color="auto" w:fill="FFFFFF"/>
        </w:rPr>
        <w:t xml:space="preserve">a ich schopnosť reagovať </w:t>
      </w:r>
      <w:r>
        <w:rPr>
          <w:rStyle w:val="normaltextrun"/>
          <w:color w:val="000000"/>
          <w:sz w:val="22"/>
          <w:szCs w:val="22"/>
          <w:shd w:val="clear" w:color="auto" w:fill="FFFFFF"/>
        </w:rPr>
        <w:t>na už prebiehajúce celospoločenské zmeny vyvolané 4. priemyselnou revolúciou a procesom digitálnej transformácie.</w:t>
      </w:r>
    </w:p>
    <w:p w:rsidR="00DC25B0" w:rsidRPr="00DC25B0" w:rsidRDefault="00DC25B0" w:rsidP="00DC25B0">
      <w:pPr>
        <w:pStyle w:val="paragraph"/>
        <w:shd w:val="clear" w:color="auto" w:fill="FFFFFF"/>
        <w:spacing w:before="0" w:beforeAutospacing="0" w:after="0" w:afterAutospacing="0"/>
        <w:jc w:val="both"/>
        <w:textAlignment w:val="baseline"/>
        <w:rPr>
          <w:rStyle w:val="normaltextrun"/>
          <w:sz w:val="22"/>
          <w:szCs w:val="22"/>
          <w:shd w:val="clear" w:color="auto" w:fill="FFFFFF"/>
        </w:rPr>
      </w:pPr>
    </w:p>
    <w:p w:rsidR="00DC25B0" w:rsidRPr="00DC25B0" w:rsidRDefault="00DC25B0" w:rsidP="00DC25B0">
      <w:pPr>
        <w:pStyle w:val="paragraph"/>
        <w:shd w:val="clear" w:color="auto" w:fill="FFFFFF"/>
        <w:spacing w:before="0" w:beforeAutospacing="0" w:after="0" w:afterAutospacing="0"/>
        <w:jc w:val="both"/>
        <w:textAlignment w:val="baseline"/>
        <w:rPr>
          <w:rStyle w:val="normaltextrun"/>
          <w:shd w:val="clear" w:color="auto" w:fill="FFFFFF"/>
        </w:rPr>
      </w:pPr>
      <w:r w:rsidRPr="00DC25B0">
        <w:rPr>
          <w:rStyle w:val="normaltextrun"/>
          <w:color w:val="000000"/>
          <w:sz w:val="22"/>
          <w:szCs w:val="22"/>
          <w:shd w:val="clear" w:color="auto" w:fill="FFFFFF"/>
        </w:rPr>
        <w:t>V oblasti inovatívnych technológií a v procese digitálnej transformácie je obdobie troch rokov pomerne dlhá perióda. Počas troch rokov sa s veľkou pravdepodobnosťou zmenia základné východiská, oblasť digitálnej agendy sa výrazne posunie a preukáže sa zmysel a využitie nových technológií a ich smerovania. Hlavným zámerom je preto odbúrať všetky prekážky, ktoré bránia prínosnému a zodpovednému zavádzaniu digitálnych inovácií do praxe v prioritných oblastiach a vytvoriť solídne predpoklady pre ďalší rozvoj. </w:t>
      </w:r>
      <w:r w:rsidRPr="00DC25B0">
        <w:rPr>
          <w:rStyle w:val="normaltextrun"/>
          <w:shd w:val="clear" w:color="auto" w:fill="FFFFFF"/>
        </w:rPr>
        <w:t> </w:t>
      </w:r>
    </w:p>
    <w:p w:rsidR="00DC25B0" w:rsidRPr="00DC25B0" w:rsidRDefault="00DC25B0" w:rsidP="00DC25B0">
      <w:pPr>
        <w:pStyle w:val="paragraph"/>
        <w:shd w:val="clear" w:color="auto" w:fill="FFFFFF"/>
        <w:spacing w:before="0" w:beforeAutospacing="0" w:after="0" w:afterAutospacing="0"/>
        <w:jc w:val="both"/>
        <w:textAlignment w:val="baseline"/>
        <w:rPr>
          <w:rStyle w:val="normaltextrun"/>
          <w:sz w:val="22"/>
          <w:szCs w:val="22"/>
          <w:shd w:val="clear" w:color="auto" w:fill="FFFFFF"/>
        </w:rPr>
      </w:pPr>
    </w:p>
    <w:p w:rsidR="00DC25B0" w:rsidRPr="00DC25B0" w:rsidRDefault="00DC25B0" w:rsidP="00DC25B0">
      <w:pPr>
        <w:pStyle w:val="paragraph"/>
        <w:shd w:val="clear" w:color="auto" w:fill="FFFFFF"/>
        <w:spacing w:before="0" w:beforeAutospacing="0" w:after="0" w:afterAutospacing="0"/>
        <w:jc w:val="both"/>
        <w:textAlignment w:val="baseline"/>
        <w:rPr>
          <w:rStyle w:val="normaltextrun"/>
          <w:shd w:val="clear" w:color="auto" w:fill="FFFFFF"/>
        </w:rPr>
      </w:pPr>
      <w:r w:rsidRPr="00DC25B0">
        <w:rPr>
          <w:rStyle w:val="normaltextrun"/>
          <w:color w:val="000000"/>
          <w:sz w:val="22"/>
          <w:szCs w:val="22"/>
          <w:shd w:val="clear" w:color="auto" w:fill="FFFFFF"/>
        </w:rPr>
        <w:t>Odpočet implementácie Akčného plánu digitálnej transformácie Slovenska 2019 – 2022 bude predložený Vláde SR každoročne vždy ku koncu júna. Práve na základe plnenia tohto akčného plánu, rovnako aj na základe globálneho smerovania ako aj priorít EÚ budú vypracované budúce akčné plány vychádzajúce z prijatej Stratégie digitálnej transformácie Slovenska do 2030.</w:t>
      </w:r>
      <w:r w:rsidRPr="00DC25B0">
        <w:rPr>
          <w:rStyle w:val="normaltextrun"/>
          <w:shd w:val="clear" w:color="auto" w:fill="FFFFFF"/>
        </w:rPr>
        <w:t> </w:t>
      </w:r>
    </w:p>
    <w:p w:rsidR="00DC25B0" w:rsidRPr="00DC25B0" w:rsidRDefault="00DC25B0" w:rsidP="00DC25B0">
      <w:pPr>
        <w:pStyle w:val="paragraph"/>
        <w:shd w:val="clear" w:color="auto" w:fill="FFFFFF"/>
        <w:spacing w:before="0" w:beforeAutospacing="0" w:after="0" w:afterAutospacing="0"/>
        <w:jc w:val="both"/>
        <w:textAlignment w:val="baseline"/>
        <w:rPr>
          <w:rStyle w:val="normaltextrun"/>
          <w:shd w:val="clear" w:color="auto" w:fill="FFFFFF"/>
        </w:rPr>
      </w:pPr>
    </w:p>
    <w:p w:rsidR="00DC25B0" w:rsidRPr="00DC25B0" w:rsidRDefault="00DC25B0" w:rsidP="00DC25B0">
      <w:pPr>
        <w:pStyle w:val="paragraph"/>
        <w:shd w:val="clear" w:color="auto" w:fill="FFFFFF"/>
        <w:spacing w:before="0" w:beforeAutospacing="0" w:after="0" w:afterAutospacing="0"/>
        <w:jc w:val="both"/>
        <w:textAlignment w:val="baseline"/>
        <w:rPr>
          <w:rStyle w:val="normaltextrun"/>
          <w:sz w:val="22"/>
          <w:szCs w:val="22"/>
          <w:shd w:val="clear" w:color="auto" w:fill="FFFFFF"/>
        </w:rPr>
      </w:pPr>
      <w:r w:rsidRPr="00DC25B0">
        <w:rPr>
          <w:rStyle w:val="normaltextrun"/>
          <w:shd w:val="clear" w:color="auto" w:fill="FFFFFF"/>
        </w:rPr>
        <w:t>Vzhľadom na rôznorodosť úloh bude návrh implementovať viacero rezortov v spolupráci s partnermi zo súkromného a akademického sektora.</w:t>
      </w:r>
    </w:p>
    <w:p w:rsidR="00DC25B0" w:rsidRDefault="00DC25B0" w:rsidP="00DC25B0">
      <w:pPr>
        <w:spacing w:after="0" w:line="240" w:lineRule="auto"/>
        <w:jc w:val="both"/>
        <w:rPr>
          <w:rFonts w:ascii="Times New Roman" w:eastAsia="Times New Roman" w:hAnsi="Times New Roman" w:cs="Times New Roman"/>
          <w:sz w:val="24"/>
          <w:szCs w:val="24"/>
          <w:lang w:eastAsia="sk-SK"/>
        </w:rPr>
      </w:pPr>
    </w:p>
    <w:p w:rsidR="003145C0" w:rsidRDefault="003145C0" w:rsidP="003145C0">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Opatrenia ÚPVII</w:t>
      </w:r>
    </w:p>
    <w:p w:rsidR="007F2EEB" w:rsidRDefault="007F2EEB" w:rsidP="004D1AE8">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Pokiaľ ide o opatrenia týkajúceho sa zriadenia inštitucionálneho zázemia </w:t>
      </w:r>
      <w:r w:rsidRPr="007F2EEB">
        <w:rPr>
          <w:rStyle w:val="normaltextrun"/>
          <w:color w:val="000000"/>
          <w:sz w:val="22"/>
          <w:szCs w:val="22"/>
          <w:shd w:val="clear" w:color="auto" w:fill="FFFFFF"/>
        </w:rPr>
        <w:t>na zvýšenie inovatívnej výkonnosti Slovenska</w:t>
      </w:r>
      <w:r>
        <w:rPr>
          <w:rStyle w:val="normaltextrun"/>
          <w:color w:val="000000"/>
          <w:sz w:val="22"/>
          <w:szCs w:val="22"/>
          <w:shd w:val="clear" w:color="auto" w:fill="FFFFFF"/>
        </w:rPr>
        <w:t xml:space="preserve"> uvádzame:</w:t>
      </w:r>
    </w:p>
    <w:p w:rsidR="007F2EEB" w:rsidRDefault="007F2EEB" w:rsidP="004A371B">
      <w:pPr>
        <w:pStyle w:val="paragraph"/>
        <w:shd w:val="clear" w:color="auto" w:fill="FFFFFF"/>
        <w:spacing w:after="0"/>
        <w:ind w:left="708"/>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Pri opatrení A </w:t>
      </w:r>
      <w:r w:rsidR="00527313">
        <w:rPr>
          <w:rStyle w:val="normaltextrun"/>
          <w:color w:val="000000"/>
          <w:sz w:val="22"/>
          <w:szCs w:val="22"/>
          <w:shd w:val="clear" w:color="auto" w:fill="FFFFFF"/>
          <w:lang w:val="en-AU"/>
        </w:rPr>
        <w:t>(</w:t>
      </w:r>
      <w:r w:rsidR="007D2CFB" w:rsidRPr="00F06FEB">
        <w:rPr>
          <w:sz w:val="22"/>
          <w:szCs w:val="22"/>
        </w:rPr>
        <w:t>Zabezpečíme priam</w:t>
      </w:r>
      <w:r w:rsidR="007D2CFB">
        <w:rPr>
          <w:sz w:val="22"/>
          <w:szCs w:val="22"/>
        </w:rPr>
        <w:t>u</w:t>
      </w:r>
      <w:r w:rsidR="007D2CFB" w:rsidRPr="00F06FEB">
        <w:rPr>
          <w:sz w:val="22"/>
          <w:szCs w:val="22"/>
        </w:rPr>
        <w:t xml:space="preserve"> politick</w:t>
      </w:r>
      <w:r w:rsidR="007D2CFB">
        <w:rPr>
          <w:sz w:val="22"/>
          <w:szCs w:val="22"/>
        </w:rPr>
        <w:t>ú podporu prioritným oblastiam A</w:t>
      </w:r>
      <w:r w:rsidR="007D2CFB" w:rsidRPr="00F06FEB">
        <w:rPr>
          <w:sz w:val="22"/>
          <w:szCs w:val="22"/>
        </w:rPr>
        <w:t>kčného plánu</w:t>
      </w:r>
      <w:r w:rsidR="00527313">
        <w:rPr>
          <w:rStyle w:val="normaltextrun"/>
          <w:color w:val="000000"/>
          <w:sz w:val="22"/>
          <w:szCs w:val="22"/>
          <w:shd w:val="clear" w:color="auto" w:fill="FFFFFF"/>
          <w:lang w:val="en-AU"/>
        </w:rPr>
        <w:t xml:space="preserve">) </w:t>
      </w:r>
      <w:r>
        <w:rPr>
          <w:rStyle w:val="normaltextrun"/>
          <w:color w:val="000000"/>
          <w:sz w:val="22"/>
          <w:szCs w:val="22"/>
          <w:shd w:val="clear" w:color="auto" w:fill="FFFFFF"/>
        </w:rPr>
        <w:t xml:space="preserve">je predpoklad vzniku nárokov na rozpočet verejnej správy, ktorý ale momentálne nie je možné kvalitatívne odhadnúť. Primárny záber takejto podpory z pohľadu verejných zdrojov by mal byť podporený prostriedkami zo štátneho rozpočtu a pôsobiť komplementárne voči podpore zo zdrojov EÚ. Presný finančný dopad sa bude líšiť od rezortu k rezortu a bude závisieť od rozsahu a komplexnosti úloh jednotlivých rezortov v spojitosti so zastrešení  tohto akčného plánu a procesu aktívneho podchytenia potrieb digitálnej transformácie celkovo ako aj prieniku týchto aktivít na aktivity financované z európskych štrukturálnych fondov. </w:t>
      </w:r>
    </w:p>
    <w:p w:rsidR="007F2EEB" w:rsidRDefault="007F2EEB" w:rsidP="004A371B">
      <w:pPr>
        <w:pStyle w:val="paragraph"/>
        <w:shd w:val="clear" w:color="auto" w:fill="FFFFFF"/>
        <w:spacing w:after="0"/>
        <w:ind w:left="708"/>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B </w:t>
      </w:r>
      <w:r w:rsidR="007D2CFB">
        <w:rPr>
          <w:rStyle w:val="normaltextrun"/>
          <w:color w:val="000000"/>
          <w:sz w:val="22"/>
          <w:szCs w:val="22"/>
          <w:shd w:val="clear" w:color="auto" w:fill="FFFFFF"/>
        </w:rPr>
        <w:t>(</w:t>
      </w:r>
      <w:r w:rsidR="007D2CFB" w:rsidRPr="00F06FEB">
        <w:rPr>
          <w:sz w:val="22"/>
          <w:szCs w:val="22"/>
        </w:rPr>
        <w:t>Podpora činnosti Digitálnej koalície</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 xml:space="preserve">bude okrem doterajšej podpory podporené aj finančne a personálne zo strany ÚPVII, pričom sa očakáva podpora zo strany štátneho rozpočtu vo výške </w:t>
      </w:r>
      <w:r w:rsidR="00C5030A">
        <w:rPr>
          <w:rStyle w:val="normaltextrun"/>
          <w:color w:val="000000"/>
          <w:sz w:val="22"/>
          <w:szCs w:val="22"/>
          <w:shd w:val="clear" w:color="auto" w:fill="FFFFFF"/>
        </w:rPr>
        <w:t>100</w:t>
      </w:r>
      <w:r>
        <w:rPr>
          <w:rStyle w:val="normaltextrun"/>
          <w:color w:val="000000"/>
          <w:sz w:val="22"/>
          <w:szCs w:val="22"/>
          <w:shd w:val="clear" w:color="auto" w:fill="FFFFFF"/>
        </w:rPr>
        <w:t> 000 eur ročne a to od roku 20</w:t>
      </w:r>
      <w:r w:rsidR="00C5030A">
        <w:rPr>
          <w:rStyle w:val="normaltextrun"/>
          <w:color w:val="000000"/>
          <w:sz w:val="22"/>
          <w:szCs w:val="22"/>
          <w:shd w:val="clear" w:color="auto" w:fill="FFFFFF"/>
        </w:rPr>
        <w:t>20</w:t>
      </w:r>
      <w:r>
        <w:rPr>
          <w:rStyle w:val="normaltextrun"/>
          <w:color w:val="000000"/>
          <w:sz w:val="22"/>
          <w:szCs w:val="22"/>
          <w:shd w:val="clear" w:color="auto" w:fill="FFFFFF"/>
        </w:rPr>
        <w:t>.</w:t>
      </w:r>
      <w:r w:rsidR="00C5030A">
        <w:rPr>
          <w:rStyle w:val="normaltextrun"/>
          <w:color w:val="000000"/>
          <w:sz w:val="22"/>
          <w:szCs w:val="22"/>
          <w:shd w:val="clear" w:color="auto" w:fill="FFFFFF"/>
        </w:rPr>
        <w:t xml:space="preserve"> V roku 2019 sa odhaduje financovanie vo výške 60 000 eur.</w:t>
      </w:r>
      <w:r>
        <w:rPr>
          <w:rStyle w:val="normaltextrun"/>
          <w:color w:val="000000"/>
          <w:sz w:val="22"/>
          <w:szCs w:val="22"/>
          <w:shd w:val="clear" w:color="auto" w:fill="FFFFFF"/>
        </w:rPr>
        <w:t xml:space="preserve"> Na podporu činností Digitálnej koalície sa zvažuje aj využitie prostriedkov EÚ, ktoré si ale</w:t>
      </w:r>
      <w:r w:rsidR="000C232C">
        <w:rPr>
          <w:rStyle w:val="normaltextrun"/>
          <w:color w:val="000000"/>
          <w:sz w:val="22"/>
          <w:szCs w:val="22"/>
          <w:shd w:val="clear" w:color="auto" w:fill="FFFFFF"/>
        </w:rPr>
        <w:t>, z dôvodu oprávnenosti a podmienok kladených na žiadateľa,</w:t>
      </w:r>
      <w:r>
        <w:rPr>
          <w:rStyle w:val="normaltextrun"/>
          <w:color w:val="000000"/>
          <w:sz w:val="22"/>
          <w:szCs w:val="22"/>
          <w:shd w:val="clear" w:color="auto" w:fill="FFFFFF"/>
        </w:rPr>
        <w:t xml:space="preserve"> </w:t>
      </w:r>
      <w:r w:rsidR="000C232C">
        <w:rPr>
          <w:rStyle w:val="normaltextrun"/>
          <w:color w:val="000000"/>
          <w:sz w:val="22"/>
          <w:szCs w:val="22"/>
          <w:shd w:val="clear" w:color="auto" w:fill="FFFFFF"/>
        </w:rPr>
        <w:t>môžu vyžadovať vykonanie organizačnej zmeny v právnej forme tejto platformy.</w:t>
      </w:r>
      <w:r>
        <w:rPr>
          <w:rStyle w:val="normaltextrun"/>
          <w:color w:val="000000"/>
          <w:sz w:val="22"/>
          <w:szCs w:val="22"/>
          <w:shd w:val="clear" w:color="auto" w:fill="FFFFFF"/>
        </w:rPr>
        <w:t xml:space="preserve"> </w:t>
      </w:r>
      <w:r w:rsidR="00F351FA">
        <w:rPr>
          <w:rStyle w:val="normaltextrun"/>
          <w:color w:val="000000"/>
          <w:sz w:val="22"/>
          <w:szCs w:val="22"/>
          <w:shd w:val="clear" w:color="auto" w:fill="FFFFFF"/>
        </w:rPr>
        <w:t>Aktivity Digitálnej koalície budú podporené aj zo zdrojov MŠVVŠ SR a to vo výške 1 323 000 eur, pričom z toho je dopad na štátny rozpočet 84 000 eur.</w:t>
      </w:r>
      <w:r w:rsidR="00417933">
        <w:rPr>
          <w:rStyle w:val="normaltextrun"/>
          <w:color w:val="000000"/>
          <w:sz w:val="22"/>
          <w:szCs w:val="22"/>
          <w:shd w:val="clear" w:color="auto" w:fill="FFFFFF"/>
        </w:rPr>
        <w:t xml:space="preserve"> Uvedená čiastka ale pokryje viacero aktivít ako podpora</w:t>
      </w:r>
      <w:r w:rsidR="00417933" w:rsidRPr="00417933">
        <w:rPr>
          <w:rStyle w:val="normaltextrun"/>
          <w:color w:val="000000"/>
          <w:sz w:val="22"/>
          <w:szCs w:val="22"/>
          <w:shd w:val="clear" w:color="auto" w:fill="FFFFFF"/>
        </w:rPr>
        <w:t xml:space="preserve"> IT Fitness test</w:t>
      </w:r>
      <w:r w:rsidR="00417933">
        <w:rPr>
          <w:rStyle w:val="normaltextrun"/>
          <w:color w:val="000000"/>
          <w:sz w:val="22"/>
          <w:szCs w:val="22"/>
          <w:shd w:val="clear" w:color="auto" w:fill="FFFFFF"/>
        </w:rPr>
        <w:t>u</w:t>
      </w:r>
      <w:r w:rsidR="00417933" w:rsidRPr="00417933">
        <w:rPr>
          <w:rStyle w:val="normaltextrun"/>
          <w:color w:val="000000"/>
          <w:sz w:val="22"/>
          <w:szCs w:val="22"/>
          <w:shd w:val="clear" w:color="auto" w:fill="FFFFFF"/>
        </w:rPr>
        <w:t xml:space="preserve">, </w:t>
      </w:r>
      <w:r w:rsidR="00417933">
        <w:rPr>
          <w:rStyle w:val="normaltextrun"/>
          <w:color w:val="000000"/>
          <w:sz w:val="22"/>
          <w:szCs w:val="22"/>
          <w:shd w:val="clear" w:color="auto" w:fill="FFFFFF"/>
        </w:rPr>
        <w:t xml:space="preserve">projektu </w:t>
      </w:r>
      <w:r w:rsidR="00417933" w:rsidRPr="00417933">
        <w:rPr>
          <w:rStyle w:val="normaltextrun"/>
          <w:color w:val="000000"/>
          <w:sz w:val="22"/>
          <w:szCs w:val="22"/>
          <w:shd w:val="clear" w:color="auto" w:fill="FFFFFF"/>
        </w:rPr>
        <w:t>Kry-sa, EU Code Week, Dievčatá v IT, odpočet Programu informatizácie 2030 v monitorovacej komisii, komunikácia a popularizácia cieľov a aktivít, vypracovanie návrhov na zlepšenie vzdelávania a podpora celkovej zmeny vzdelávania v konkrétnych aktivitách, a ďalšie aktivity</w:t>
      </w:r>
      <w:r w:rsidR="00417933">
        <w:rPr>
          <w:rStyle w:val="normaltextrun"/>
          <w:color w:val="000000"/>
          <w:sz w:val="22"/>
          <w:szCs w:val="22"/>
          <w:shd w:val="clear" w:color="auto" w:fill="FFFFFF"/>
        </w:rPr>
        <w:t>.</w:t>
      </w:r>
    </w:p>
    <w:p w:rsidR="000C232C" w:rsidRDefault="000C232C" w:rsidP="004A371B">
      <w:pPr>
        <w:pStyle w:val="paragraph"/>
        <w:shd w:val="clear" w:color="auto" w:fill="FFFFFF"/>
        <w:spacing w:after="0"/>
        <w:ind w:left="708"/>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C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Iniciovanie, podpora vzniku a prepájania centier digitálnych inovácií na Slovensku (DIH / CDI)</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nadväzuje na opatrenie v Akčnom pláne inteligentného priemyslu, kde je úloha pripraviť štúdiu uskutočniteľnosti podpory vzniku centier digitálnych inovácií. Následne, v závislosti od výsledkov tejto štúdie ako aj rozsahu jej implementácie je možné presnejšie odhadnúť podporu prepájania týchto centier tak na národnej úrovni ako aj v rámci EÚ. Predpokladané náklady na podporu sieťovania týchto centier navzájom ako aj s Digitálnou koalíciou sú 100 000 eur každoročne počnúc rokom 2020. Opätovne sa predpokladá komplementarita aj so zdrojmi EÚ.</w:t>
      </w:r>
    </w:p>
    <w:p w:rsidR="000C232C" w:rsidRDefault="000C232C" w:rsidP="004A371B">
      <w:pPr>
        <w:pStyle w:val="paragraph"/>
        <w:shd w:val="clear" w:color="auto" w:fill="FFFFFF"/>
        <w:spacing w:after="0"/>
        <w:ind w:left="708"/>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Na podporu opatrení D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Podpora vzniku a aktivít platforiem pre výskum a využitie umelej inteligencie</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a</w:t>
      </w:r>
      <w:r w:rsidR="007D2CFB">
        <w:rPr>
          <w:rStyle w:val="normaltextrun"/>
          <w:color w:val="000000"/>
          <w:sz w:val="22"/>
          <w:szCs w:val="22"/>
          <w:shd w:val="clear" w:color="auto" w:fill="FFFFFF"/>
        </w:rPr>
        <w:t> </w:t>
      </w:r>
      <w:r>
        <w:rPr>
          <w:rStyle w:val="normaltextrun"/>
          <w:color w:val="000000"/>
          <w:sz w:val="22"/>
          <w:szCs w:val="22"/>
          <w:shd w:val="clear" w:color="auto" w:fill="FFFFFF"/>
        </w:rPr>
        <w:t>E</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Podpora vzniku a aktivít platforiem pre výskum a využitie technológie blockchain</w:t>
      </w:r>
      <w:r w:rsidR="007D2CFB">
        <w:rPr>
          <w:rStyle w:val="normaltextrun"/>
          <w:color w:val="000000"/>
          <w:sz w:val="22"/>
          <w:szCs w:val="22"/>
          <w:shd w:val="clear" w:color="auto" w:fill="FFFFFF"/>
        </w:rPr>
        <w:t>)</w:t>
      </w:r>
      <w:r>
        <w:rPr>
          <w:rStyle w:val="normaltextrun"/>
          <w:color w:val="000000"/>
          <w:sz w:val="22"/>
          <w:szCs w:val="22"/>
          <w:shd w:val="clear" w:color="auto" w:fill="FFFFFF"/>
        </w:rPr>
        <w:t xml:space="preserve"> sa v tejto fáze predpokladá podpora zo zdrojov štátneho rozpočtu a to každoročne</w:t>
      </w:r>
      <w:r w:rsidR="00341AE0">
        <w:rPr>
          <w:rStyle w:val="normaltextrun"/>
          <w:color w:val="000000"/>
          <w:sz w:val="22"/>
          <w:szCs w:val="22"/>
          <w:shd w:val="clear" w:color="auto" w:fill="FFFFFF"/>
        </w:rPr>
        <w:t xml:space="preserve"> od roku 20</w:t>
      </w:r>
      <w:r>
        <w:rPr>
          <w:rStyle w:val="normaltextrun"/>
          <w:color w:val="000000"/>
          <w:sz w:val="22"/>
          <w:szCs w:val="22"/>
          <w:shd w:val="clear" w:color="auto" w:fill="FFFFFF"/>
        </w:rPr>
        <w:t>20, pričom presnejší odhad bude možné určiť až následne, po spustení činností uvedených platforiem.</w:t>
      </w:r>
    </w:p>
    <w:p w:rsidR="00A41257" w:rsidRDefault="00A41257" w:rsidP="004A371B">
      <w:pPr>
        <w:pStyle w:val="paragraph"/>
        <w:shd w:val="clear" w:color="auto" w:fill="FFFFFF"/>
        <w:spacing w:after="0"/>
        <w:ind w:left="708"/>
        <w:jc w:val="both"/>
        <w:textAlignment w:val="baseline"/>
        <w:rPr>
          <w:rStyle w:val="normaltextrun"/>
          <w:color w:val="000000"/>
          <w:sz w:val="22"/>
          <w:szCs w:val="22"/>
          <w:shd w:val="clear" w:color="auto" w:fill="FFFFFF"/>
        </w:rPr>
      </w:pPr>
      <w:r w:rsidRPr="00595BED">
        <w:rPr>
          <w:rStyle w:val="normaltextrun"/>
          <w:color w:val="000000"/>
          <w:sz w:val="22"/>
          <w:szCs w:val="22"/>
          <w:shd w:val="clear" w:color="auto" w:fill="FFFFFF"/>
        </w:rPr>
        <w:t xml:space="preserve">Podporu opatrenia F </w:t>
      </w:r>
      <w:r w:rsidR="007D2CFB" w:rsidRPr="00595BED">
        <w:rPr>
          <w:rStyle w:val="normaltextrun"/>
          <w:color w:val="000000"/>
          <w:sz w:val="22"/>
          <w:szCs w:val="22"/>
          <w:shd w:val="clear" w:color="auto" w:fill="FFFFFF"/>
        </w:rPr>
        <w:t>(Podpora vzniku a aktivít národného superpočítačového kompetenčného centra</w:t>
      </w:r>
      <w:r w:rsidR="00595BED" w:rsidRPr="00595BED">
        <w:rPr>
          <w:rStyle w:val="normaltextrun"/>
          <w:color w:val="000000"/>
          <w:sz w:val="22"/>
          <w:szCs w:val="22"/>
          <w:shd w:val="clear" w:color="auto" w:fill="FFFFFF"/>
        </w:rPr>
        <w:t>)</w:t>
      </w:r>
      <w:r w:rsidR="007D2CFB" w:rsidRPr="00595BED">
        <w:rPr>
          <w:rStyle w:val="normaltextrun"/>
          <w:color w:val="000000"/>
          <w:sz w:val="22"/>
          <w:szCs w:val="22"/>
          <w:shd w:val="clear" w:color="auto" w:fill="FFFFFF"/>
        </w:rPr>
        <w:t xml:space="preserve"> </w:t>
      </w:r>
      <w:r w:rsidRPr="00595BED">
        <w:rPr>
          <w:rStyle w:val="normaltextrun"/>
          <w:color w:val="000000"/>
          <w:sz w:val="22"/>
          <w:szCs w:val="22"/>
          <w:shd w:val="clear" w:color="auto" w:fill="FFFFFF"/>
        </w:rPr>
        <w:t>vidíme za kľúčovú a to z dôvodov uvedený v samotnom Akčnom pláne. Zriadenia a podpora oboch kompetenčných centier vyplýva z legislatívy, iniciatív a podpory odporúčaní Európskej únie s cieľom zabezpečiť schopnosť Slovenska prispieť k čeleniu výziev, ktoré digitálna transformácia prináša</w:t>
      </w:r>
      <w:r w:rsidR="00595BED" w:rsidRPr="00595BED">
        <w:rPr>
          <w:rStyle w:val="normaltextrun"/>
          <w:color w:val="000000"/>
          <w:sz w:val="22"/>
          <w:szCs w:val="22"/>
          <w:shd w:val="clear" w:color="auto" w:fill="FFFFFF"/>
        </w:rPr>
        <w:t xml:space="preserve"> </w:t>
      </w:r>
      <w:r w:rsidRPr="00595BED">
        <w:rPr>
          <w:rStyle w:val="normaltextrun"/>
          <w:color w:val="000000"/>
          <w:sz w:val="22"/>
          <w:szCs w:val="22"/>
          <w:shd w:val="clear" w:color="auto" w:fill="FFFFFF"/>
        </w:rPr>
        <w:t xml:space="preserve">ako aj využitie jej maximálnej prínosov (využívanie supervýkonného počítania). Na </w:t>
      </w:r>
      <w:r w:rsidR="00595BED" w:rsidRPr="00595BED">
        <w:rPr>
          <w:rStyle w:val="normaltextrun"/>
          <w:color w:val="000000"/>
          <w:sz w:val="22"/>
          <w:szCs w:val="22"/>
          <w:shd w:val="clear" w:color="auto" w:fill="FFFFFF"/>
        </w:rPr>
        <w:t xml:space="preserve">uvedené </w:t>
      </w:r>
      <w:r w:rsidR="00761DCA" w:rsidRPr="00595BED">
        <w:rPr>
          <w:rStyle w:val="normaltextrun"/>
          <w:color w:val="000000"/>
          <w:sz w:val="22"/>
          <w:szCs w:val="22"/>
          <w:shd w:val="clear" w:color="auto" w:fill="FFFFFF"/>
        </w:rPr>
        <w:t>opatren</w:t>
      </w:r>
      <w:r w:rsidR="00595BED" w:rsidRPr="00595BED">
        <w:rPr>
          <w:rStyle w:val="normaltextrun"/>
          <w:color w:val="000000"/>
          <w:sz w:val="22"/>
          <w:szCs w:val="22"/>
          <w:shd w:val="clear" w:color="auto" w:fill="FFFFFF"/>
        </w:rPr>
        <w:t>ie</w:t>
      </w:r>
      <w:r w:rsidRPr="00595BED">
        <w:rPr>
          <w:rStyle w:val="normaltextrun"/>
          <w:color w:val="000000"/>
          <w:sz w:val="22"/>
          <w:szCs w:val="22"/>
          <w:shd w:val="clear" w:color="auto" w:fill="FFFFFF"/>
        </w:rPr>
        <w:t xml:space="preserve"> sa odhadujú náklady zo štátneho rozpočtu 8</w:t>
      </w:r>
      <w:r w:rsidR="00E81E8F" w:rsidRPr="00595BED">
        <w:rPr>
          <w:rStyle w:val="normaltextrun"/>
          <w:color w:val="000000"/>
          <w:sz w:val="22"/>
          <w:szCs w:val="22"/>
          <w:shd w:val="clear" w:color="auto" w:fill="FFFFFF"/>
        </w:rPr>
        <w:t>4</w:t>
      </w:r>
      <w:r w:rsidRPr="00595BED">
        <w:rPr>
          <w:rStyle w:val="normaltextrun"/>
          <w:color w:val="000000"/>
          <w:sz w:val="22"/>
          <w:szCs w:val="22"/>
          <w:shd w:val="clear" w:color="auto" w:fill="FFFFFF"/>
        </w:rPr>
        <w:t> 000 eur na rok 2019</w:t>
      </w:r>
      <w:r w:rsidR="00E81E8F" w:rsidRPr="00595BED">
        <w:rPr>
          <w:rStyle w:val="normaltextrun"/>
          <w:color w:val="000000"/>
          <w:sz w:val="22"/>
          <w:szCs w:val="22"/>
          <w:shd w:val="clear" w:color="auto" w:fill="FFFFFF"/>
        </w:rPr>
        <w:t xml:space="preserve"> na vykonanie štúdií uskutočniteľnosti</w:t>
      </w:r>
      <w:r w:rsidRPr="00595BED">
        <w:rPr>
          <w:rStyle w:val="normaltextrun"/>
          <w:color w:val="000000"/>
          <w:sz w:val="22"/>
          <w:szCs w:val="22"/>
          <w:shd w:val="clear" w:color="auto" w:fill="FFFFFF"/>
        </w:rPr>
        <w:t xml:space="preserve"> a potom 100 000 eur každoročne primárne na zabezpečenie prvotných činností týchto centier. Uvedený odhad sa samozrejme, v závislosti od činností </w:t>
      </w:r>
      <w:r w:rsidR="00595BED">
        <w:rPr>
          <w:rStyle w:val="normaltextrun"/>
          <w:color w:val="000000"/>
          <w:sz w:val="22"/>
          <w:szCs w:val="22"/>
          <w:shd w:val="clear" w:color="auto" w:fill="FFFFFF"/>
        </w:rPr>
        <w:t>tohto</w:t>
      </w:r>
      <w:r w:rsidR="00595BED" w:rsidRPr="00595BED">
        <w:rPr>
          <w:rStyle w:val="normaltextrun"/>
          <w:color w:val="000000"/>
          <w:sz w:val="22"/>
          <w:szCs w:val="22"/>
          <w:shd w:val="clear" w:color="auto" w:fill="FFFFFF"/>
        </w:rPr>
        <w:t xml:space="preserve"> </w:t>
      </w:r>
      <w:r w:rsidRPr="00595BED">
        <w:rPr>
          <w:rStyle w:val="normaltextrun"/>
          <w:color w:val="000000"/>
          <w:sz w:val="22"/>
          <w:szCs w:val="22"/>
          <w:shd w:val="clear" w:color="auto" w:fill="FFFFFF"/>
        </w:rPr>
        <w:t>cent</w:t>
      </w:r>
      <w:r w:rsidR="00595BED">
        <w:rPr>
          <w:rStyle w:val="normaltextrun"/>
          <w:color w:val="000000"/>
          <w:sz w:val="22"/>
          <w:szCs w:val="22"/>
          <w:shd w:val="clear" w:color="auto" w:fill="FFFFFF"/>
        </w:rPr>
        <w:t>ra</w:t>
      </w:r>
      <w:r w:rsidRPr="00595BED">
        <w:rPr>
          <w:rStyle w:val="normaltextrun"/>
          <w:color w:val="000000"/>
          <w:sz w:val="22"/>
          <w:szCs w:val="22"/>
          <w:shd w:val="clear" w:color="auto" w:fill="FFFFFF"/>
        </w:rPr>
        <w:t xml:space="preserve"> a optimálnom nastavení </w:t>
      </w:r>
      <w:r w:rsidR="00595BED">
        <w:rPr>
          <w:rStyle w:val="normaltextrun"/>
          <w:color w:val="000000"/>
          <w:sz w:val="22"/>
          <w:szCs w:val="22"/>
          <w:shd w:val="clear" w:color="auto" w:fill="FFFFFF"/>
        </w:rPr>
        <w:t>jeho</w:t>
      </w:r>
      <w:r w:rsidR="00595BED" w:rsidRPr="00595BED">
        <w:rPr>
          <w:rStyle w:val="normaltextrun"/>
          <w:color w:val="000000"/>
          <w:sz w:val="22"/>
          <w:szCs w:val="22"/>
          <w:shd w:val="clear" w:color="auto" w:fill="FFFFFF"/>
        </w:rPr>
        <w:t xml:space="preserve"> </w:t>
      </w:r>
      <w:r w:rsidRPr="00595BED">
        <w:rPr>
          <w:rStyle w:val="normaltextrun"/>
          <w:color w:val="000000"/>
          <w:sz w:val="22"/>
          <w:szCs w:val="22"/>
          <w:shd w:val="clear" w:color="auto" w:fill="FFFFFF"/>
        </w:rPr>
        <w:t xml:space="preserve">fungovania môže </w:t>
      </w:r>
      <w:r w:rsidR="00706FB6" w:rsidRPr="00595BED">
        <w:rPr>
          <w:rStyle w:val="normaltextrun"/>
          <w:color w:val="000000"/>
          <w:sz w:val="22"/>
          <w:szCs w:val="22"/>
          <w:shd w:val="clear" w:color="auto" w:fill="FFFFFF"/>
        </w:rPr>
        <w:t>zmeniť</w:t>
      </w:r>
      <w:r w:rsidR="00A3223D" w:rsidRPr="00595BED">
        <w:rPr>
          <w:rStyle w:val="normaltextrun"/>
          <w:color w:val="000000"/>
          <w:sz w:val="22"/>
          <w:szCs w:val="22"/>
          <w:shd w:val="clear" w:color="auto" w:fill="FFFFFF"/>
        </w:rPr>
        <w:t>. Komplementarita</w:t>
      </w:r>
      <w:r w:rsidRPr="00595BED">
        <w:rPr>
          <w:rStyle w:val="normaltextrun"/>
          <w:color w:val="000000"/>
          <w:sz w:val="22"/>
          <w:szCs w:val="22"/>
          <w:shd w:val="clear" w:color="auto" w:fill="FFFFFF"/>
        </w:rPr>
        <w:t xml:space="preserve"> </w:t>
      </w:r>
      <w:r w:rsidR="00706FB6" w:rsidRPr="00595BED">
        <w:rPr>
          <w:rStyle w:val="normaltextrun"/>
          <w:color w:val="000000"/>
          <w:sz w:val="22"/>
          <w:szCs w:val="22"/>
          <w:shd w:val="clear" w:color="auto" w:fill="FFFFFF"/>
        </w:rPr>
        <w:t xml:space="preserve">finančnej podpory </w:t>
      </w:r>
      <w:r w:rsidRPr="00595BED">
        <w:rPr>
          <w:rStyle w:val="normaltextrun"/>
          <w:color w:val="000000"/>
          <w:sz w:val="22"/>
          <w:szCs w:val="22"/>
          <w:shd w:val="clear" w:color="auto" w:fill="FFFFFF"/>
        </w:rPr>
        <w:t xml:space="preserve">sa očakáva tak </w:t>
      </w:r>
      <w:r w:rsidR="00706FB6" w:rsidRPr="00595BED">
        <w:rPr>
          <w:rStyle w:val="normaltextrun"/>
          <w:color w:val="000000"/>
          <w:sz w:val="22"/>
          <w:szCs w:val="22"/>
          <w:shd w:val="clear" w:color="auto" w:fill="FFFFFF"/>
        </w:rPr>
        <w:t>aj</w:t>
      </w:r>
      <w:r w:rsidRPr="00595BED">
        <w:rPr>
          <w:rStyle w:val="normaltextrun"/>
          <w:color w:val="000000"/>
          <w:sz w:val="22"/>
          <w:szCs w:val="22"/>
          <w:shd w:val="clear" w:color="auto" w:fill="FFFFFF"/>
        </w:rPr>
        <w:t xml:space="preserve"> zdrojov E</w:t>
      </w:r>
      <w:r w:rsidR="00706FB6" w:rsidRPr="00595BED">
        <w:rPr>
          <w:rStyle w:val="normaltextrun"/>
          <w:color w:val="000000"/>
          <w:sz w:val="22"/>
          <w:szCs w:val="22"/>
          <w:shd w:val="clear" w:color="auto" w:fill="FFFFFF"/>
        </w:rPr>
        <w:t>Ú a to priamo riadených programov ako aj štrukturálnych fondov.</w:t>
      </w:r>
    </w:p>
    <w:p w:rsidR="001E6A1A" w:rsidRDefault="001E6A1A" w:rsidP="001E6A1A">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Na opatrenie 1.1.5.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Vypracujeme analýzu stavu digitálnych zručností na Slovensku s návrhom konkrétnych opatrení</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sa očakáva náklad na vypracovanie analýzy v rámci projektu služby</w:t>
      </w:r>
      <w:r w:rsidRPr="001E6A1A">
        <w:rPr>
          <w:rStyle w:val="normaltextrun"/>
          <w:color w:val="000000"/>
          <w:sz w:val="22"/>
          <w:szCs w:val="22"/>
          <w:shd w:val="clear" w:color="auto" w:fill="FFFFFF"/>
        </w:rPr>
        <w:t xml:space="preserve"> na podporu štrukturálnych reforiem</w:t>
      </w:r>
      <w:r>
        <w:rPr>
          <w:rStyle w:val="normaltextrun"/>
          <w:color w:val="000000"/>
          <w:sz w:val="22"/>
          <w:szCs w:val="22"/>
          <w:shd w:val="clear" w:color="auto" w:fill="FFFFFF"/>
        </w:rPr>
        <w:t xml:space="preserve"> EK, požiadavka č. </w:t>
      </w:r>
      <w:r w:rsidRPr="001E6A1A">
        <w:rPr>
          <w:rStyle w:val="normaltextrun"/>
          <w:color w:val="000000"/>
          <w:sz w:val="22"/>
          <w:szCs w:val="22"/>
          <w:shd w:val="clear" w:color="auto" w:fill="FFFFFF"/>
        </w:rPr>
        <w:t>18SK11 SRSS</w:t>
      </w:r>
      <w:r>
        <w:rPr>
          <w:rStyle w:val="normaltextrun"/>
          <w:color w:val="000000"/>
          <w:sz w:val="22"/>
          <w:szCs w:val="22"/>
          <w:shd w:val="clear" w:color="auto" w:fill="FFFFFF"/>
        </w:rPr>
        <w:t xml:space="preserve"> vo výške 200 000 eur a to v roku 2019.</w:t>
      </w:r>
    </w:p>
    <w:p w:rsidR="00E81E8F" w:rsidRDefault="00E81E8F" w:rsidP="004D1AE8">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Na opatrenie 2.1.2.</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Podporíme dobudovanie gigabitového optického pripojenia dostupného v zmysle stratégie gigabitovej spoločnosti EÚ</w:t>
      </w:r>
      <w:r w:rsidR="007D2CFB">
        <w:rPr>
          <w:rStyle w:val="normaltextrun"/>
          <w:color w:val="000000"/>
          <w:sz w:val="22"/>
          <w:szCs w:val="22"/>
          <w:shd w:val="clear" w:color="auto" w:fill="FFFFFF"/>
        </w:rPr>
        <w:t>)</w:t>
      </w:r>
      <w:r>
        <w:rPr>
          <w:rStyle w:val="normaltextrun"/>
          <w:color w:val="000000"/>
          <w:sz w:val="22"/>
          <w:szCs w:val="22"/>
          <w:shd w:val="clear" w:color="auto" w:fill="FFFFFF"/>
        </w:rPr>
        <w:t xml:space="preserve"> </w:t>
      </w:r>
      <w:r w:rsidR="00B05AB8">
        <w:rPr>
          <w:rStyle w:val="normaltextrun"/>
          <w:color w:val="000000"/>
          <w:sz w:val="22"/>
          <w:szCs w:val="22"/>
          <w:shd w:val="clear" w:color="auto" w:fill="FFFFFF"/>
        </w:rPr>
        <w:t>bude hradené z OP EVS projektu ...</w:t>
      </w:r>
      <w:r>
        <w:rPr>
          <w:rStyle w:val="normaltextrun"/>
          <w:color w:val="000000"/>
          <w:sz w:val="22"/>
          <w:szCs w:val="22"/>
          <w:shd w:val="clear" w:color="auto" w:fill="FFFFFF"/>
        </w:rPr>
        <w:t>.</w:t>
      </w:r>
    </w:p>
    <w:p w:rsidR="00A80E6E" w:rsidRDefault="00A80E6E" w:rsidP="00A80E6E">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Opatrenie 2.1.</w:t>
      </w:r>
      <w:r w:rsidR="00E80673">
        <w:rPr>
          <w:rStyle w:val="normaltextrun"/>
          <w:color w:val="000000"/>
          <w:sz w:val="22"/>
          <w:szCs w:val="22"/>
          <w:shd w:val="clear" w:color="auto" w:fill="FFFFFF"/>
        </w:rPr>
        <w:t>4</w:t>
      </w:r>
      <w:r>
        <w:rPr>
          <w:rStyle w:val="normaltextrun"/>
          <w:color w:val="000000"/>
          <w:sz w:val="22"/>
          <w:szCs w:val="22"/>
          <w:shd w:val="clear" w:color="auto" w:fill="FFFFFF"/>
        </w:rPr>
        <w:t xml:space="preserve">.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Zriadime inštitút pre sprístupňovanie dôveryhodných údajov</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 xml:space="preserve">a 2.1.8.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Zabezpečíme dôveryhodné verejné údaje na použitie v digitálnej ekonomike – pilotný projekt</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budú financované z národného projektu OP EVS „</w:t>
      </w:r>
      <w:r>
        <w:rPr>
          <w:bCs/>
        </w:rPr>
        <w:t>Verejný manažment otvorených a dôveryhodných dát</w:t>
      </w:r>
      <w:r>
        <w:rPr>
          <w:rStyle w:val="normaltextrun"/>
          <w:color w:val="000000"/>
          <w:sz w:val="22"/>
          <w:szCs w:val="22"/>
          <w:shd w:val="clear" w:color="auto" w:fill="FFFFFF"/>
        </w:rPr>
        <w:t xml:space="preserve">“ </w:t>
      </w:r>
      <w:r w:rsidRPr="00536B41">
        <w:rPr>
          <w:rStyle w:val="normaltextrun"/>
          <w:color w:val="000000"/>
          <w:sz w:val="22"/>
          <w:szCs w:val="22"/>
          <w:shd w:val="clear" w:color="auto" w:fill="FFFFFF"/>
        </w:rPr>
        <w:t xml:space="preserve">v odhadovanej </w:t>
      </w:r>
      <w:r>
        <w:rPr>
          <w:rStyle w:val="normaltextrun"/>
          <w:color w:val="000000"/>
          <w:sz w:val="22"/>
          <w:szCs w:val="22"/>
          <w:shd w:val="clear" w:color="auto" w:fill="FFFFFF"/>
        </w:rPr>
        <w:t xml:space="preserve">alokovanej </w:t>
      </w:r>
      <w:r w:rsidRPr="00536B41">
        <w:rPr>
          <w:rStyle w:val="normaltextrun"/>
          <w:color w:val="000000"/>
          <w:sz w:val="22"/>
          <w:szCs w:val="22"/>
          <w:shd w:val="clear" w:color="auto" w:fill="FFFFFF"/>
        </w:rPr>
        <w:t>výške</w:t>
      </w:r>
      <w:r>
        <w:rPr>
          <w:rStyle w:val="normaltextrun"/>
          <w:color w:val="000000"/>
          <w:sz w:val="22"/>
          <w:szCs w:val="22"/>
          <w:shd w:val="clear" w:color="auto" w:fill="FFFFFF"/>
        </w:rPr>
        <w:t xml:space="preserve"> na tieto opatrenia 3,6 mil eur a národného projektu OPII „</w:t>
      </w:r>
      <w:r>
        <w:t>Otvorené údaje 2.0 - Rozvoj centrálnych komponentov pre kvalitné zabezpečenie otvorených údajov</w:t>
      </w:r>
      <w:r>
        <w:rPr>
          <w:rStyle w:val="normaltextrun"/>
          <w:color w:val="000000"/>
          <w:sz w:val="22"/>
          <w:szCs w:val="22"/>
          <w:shd w:val="clear" w:color="auto" w:fill="FFFFFF"/>
        </w:rPr>
        <w:t xml:space="preserve">“ vo výške </w:t>
      </w:r>
      <w:r>
        <w:t>3,5 mil.</w:t>
      </w:r>
      <w:r>
        <w:rPr>
          <w:rStyle w:val="normaltextrun"/>
          <w:color w:val="000000"/>
          <w:sz w:val="22"/>
          <w:szCs w:val="22"/>
          <w:shd w:val="clear" w:color="auto" w:fill="FFFFFF"/>
        </w:rPr>
        <w:t xml:space="preserve"> eur. Uvedené náklady pokrývajú tak personálne náklady na zamestnancov ako aj požiadavky na externé služby.</w:t>
      </w:r>
    </w:p>
    <w:p w:rsidR="00A80E6E" w:rsidRPr="00E44A5D" w:rsidRDefault="00A80E6E" w:rsidP="00A80E6E">
      <w:pPr>
        <w:pStyle w:val="paragraph"/>
        <w:shd w:val="clear" w:color="auto" w:fill="FFFFFF"/>
        <w:spacing w:after="0"/>
        <w:jc w:val="both"/>
        <w:textAlignment w:val="baseline"/>
        <w:rPr>
          <w:rStyle w:val="normaltextrun"/>
          <w:color w:val="000000"/>
          <w:sz w:val="22"/>
          <w:szCs w:val="22"/>
          <w:shd w:val="clear" w:color="auto" w:fill="FFFFFF"/>
        </w:rPr>
      </w:pPr>
      <w:r w:rsidRPr="00E44A5D">
        <w:rPr>
          <w:rStyle w:val="normaltextrun"/>
          <w:color w:val="000000"/>
          <w:sz w:val="22"/>
          <w:szCs w:val="22"/>
          <w:shd w:val="clear" w:color="auto" w:fill="FFFFFF"/>
        </w:rPr>
        <w:t>Opatrenia 2.1.</w:t>
      </w:r>
      <w:r w:rsidR="00E80673">
        <w:rPr>
          <w:rStyle w:val="normaltextrun"/>
          <w:color w:val="000000"/>
          <w:sz w:val="22"/>
          <w:szCs w:val="22"/>
          <w:shd w:val="clear" w:color="auto" w:fill="FFFFFF"/>
        </w:rPr>
        <w:t>5</w:t>
      </w:r>
      <w:r w:rsidRPr="00E44A5D">
        <w:rPr>
          <w:rStyle w:val="normaltextrun"/>
          <w:color w:val="000000"/>
          <w:sz w:val="22"/>
          <w:szCs w:val="22"/>
          <w:shd w:val="clear" w:color="auto" w:fill="FFFFFF"/>
        </w:rPr>
        <w:t xml:space="preserve">. </w:t>
      </w:r>
      <w:r w:rsidR="007D2CFB">
        <w:rPr>
          <w:rStyle w:val="normaltextrun"/>
          <w:color w:val="000000"/>
          <w:sz w:val="22"/>
          <w:szCs w:val="22"/>
          <w:shd w:val="clear" w:color="auto" w:fill="FFFFFF"/>
        </w:rPr>
        <w:t>(</w:t>
      </w:r>
      <w:r w:rsidR="00E80673" w:rsidRPr="00DA4833">
        <w:t>Nasadenie pilotného riešenia pre správu osobných údajov</w:t>
      </w:r>
      <w:r w:rsidR="007D2CFB">
        <w:rPr>
          <w:rStyle w:val="normaltextrun"/>
          <w:color w:val="000000"/>
          <w:sz w:val="22"/>
          <w:szCs w:val="22"/>
          <w:shd w:val="clear" w:color="auto" w:fill="FFFFFF"/>
        </w:rPr>
        <w:t>)</w:t>
      </w:r>
      <w:r w:rsidR="007D2CFB">
        <w:rPr>
          <w:rStyle w:val="normaltextrun"/>
          <w:color w:val="000000"/>
          <w:sz w:val="22"/>
          <w:szCs w:val="22"/>
          <w:shd w:val="clear" w:color="auto" w:fill="FFFFFF"/>
        </w:rPr>
        <w:t xml:space="preserve"> </w:t>
      </w:r>
      <w:r w:rsidRPr="00E44A5D">
        <w:rPr>
          <w:rStyle w:val="normaltextrun"/>
          <w:color w:val="000000"/>
          <w:sz w:val="22"/>
          <w:szCs w:val="22"/>
          <w:shd w:val="clear" w:color="auto" w:fill="FFFFFF"/>
        </w:rPr>
        <w:t>bud</w:t>
      </w:r>
      <w:r w:rsidR="00E80673">
        <w:rPr>
          <w:rStyle w:val="normaltextrun"/>
          <w:color w:val="000000"/>
          <w:sz w:val="22"/>
          <w:szCs w:val="22"/>
          <w:shd w:val="clear" w:color="auto" w:fill="FFFFFF"/>
        </w:rPr>
        <w:t>e</w:t>
      </w:r>
      <w:r w:rsidRPr="00E44A5D">
        <w:rPr>
          <w:rStyle w:val="normaltextrun"/>
          <w:color w:val="000000"/>
          <w:sz w:val="22"/>
          <w:szCs w:val="22"/>
          <w:shd w:val="clear" w:color="auto" w:fill="FFFFFF"/>
        </w:rPr>
        <w:t xml:space="preserve"> financované z národného projektu národného projektu OPII „Rozvoj platformy integrácie údajov (centrálna integračná platforma) a Manažment osobných údajov“ vo výške 17,1 mil. eur zo zdrojov EÚ.</w:t>
      </w:r>
    </w:p>
    <w:p w:rsidR="00E62795" w:rsidRDefault="00E62795" w:rsidP="004D1AE8">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Opatrenia 2.2.3</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Podporíme nové podnikateľské modely v digitálnej ekonomike, identifikujeme segmenty pre ekonomiku platforiem a rozšírime portfólio aktivít Slovenského investičného holdingu</w:t>
      </w:r>
      <w:r w:rsidR="007D2CFB">
        <w:rPr>
          <w:rStyle w:val="normaltextrun"/>
          <w:color w:val="000000"/>
          <w:sz w:val="22"/>
          <w:szCs w:val="22"/>
          <w:shd w:val="clear" w:color="auto" w:fill="FFFFFF"/>
        </w:rPr>
        <w:t>)</w:t>
      </w:r>
      <w:r>
        <w:rPr>
          <w:rStyle w:val="normaltextrun"/>
          <w:color w:val="000000"/>
          <w:sz w:val="22"/>
          <w:szCs w:val="22"/>
          <w:shd w:val="clear" w:color="auto" w:fill="FFFFFF"/>
        </w:rPr>
        <w:t xml:space="preserve">, </w:t>
      </w:r>
      <w:r w:rsidR="004D1AE8">
        <w:rPr>
          <w:rStyle w:val="normaltextrun"/>
          <w:color w:val="000000"/>
          <w:sz w:val="22"/>
          <w:szCs w:val="22"/>
          <w:shd w:val="clear" w:color="auto" w:fill="FFFFFF"/>
        </w:rPr>
        <w:t>3.1.4</w:t>
      </w:r>
      <w:r w:rsidR="007D2CFB">
        <w:rPr>
          <w:rStyle w:val="normaltextrun"/>
          <w:color w:val="000000"/>
          <w:sz w:val="22"/>
          <w:szCs w:val="22"/>
          <w:shd w:val="clear" w:color="auto" w:fill="FFFFFF"/>
        </w:rPr>
        <w:t xml:space="preserve"> (</w:t>
      </w:r>
      <w:r w:rsidR="00E80673">
        <w:rPr>
          <w:rStyle w:val="normaltextrun"/>
          <w:color w:val="000000"/>
          <w:sz w:val="22"/>
          <w:szCs w:val="22"/>
          <w:shd w:val="clear" w:color="auto" w:fill="FFFFFF"/>
        </w:rPr>
        <w:t>Testovanie použitia technológie</w:t>
      </w:r>
      <w:r w:rsidR="007D2CFB" w:rsidRPr="007D2CFB">
        <w:rPr>
          <w:rStyle w:val="normaltextrun"/>
          <w:color w:val="000000"/>
          <w:sz w:val="22"/>
          <w:szCs w:val="22"/>
          <w:shd w:val="clear" w:color="auto" w:fill="FFFFFF"/>
        </w:rPr>
        <w:t xml:space="preserve"> blockchain vo verejnej správe v pilotných projektoch</w:t>
      </w:r>
      <w:r w:rsidR="007D2CFB">
        <w:rPr>
          <w:rStyle w:val="normaltextrun"/>
          <w:color w:val="000000"/>
          <w:sz w:val="22"/>
          <w:szCs w:val="22"/>
          <w:shd w:val="clear" w:color="auto" w:fill="FFFFFF"/>
        </w:rPr>
        <w:t>)</w:t>
      </w:r>
      <w:r w:rsidR="004D1AE8">
        <w:rPr>
          <w:rStyle w:val="normaltextrun"/>
          <w:color w:val="000000"/>
          <w:sz w:val="22"/>
          <w:szCs w:val="22"/>
          <w:shd w:val="clear" w:color="auto" w:fill="FFFFFF"/>
        </w:rPr>
        <w:t>, 3.2.</w:t>
      </w:r>
      <w:r w:rsidR="00E80673">
        <w:rPr>
          <w:rStyle w:val="normaltextrun"/>
          <w:color w:val="000000"/>
          <w:sz w:val="22"/>
          <w:szCs w:val="22"/>
          <w:shd w:val="clear" w:color="auto" w:fill="FFFFFF"/>
        </w:rPr>
        <w:t>2</w:t>
      </w:r>
      <w:r w:rsidR="007D2CFB">
        <w:rPr>
          <w:rStyle w:val="normaltextrun"/>
          <w:color w:val="000000"/>
          <w:sz w:val="22"/>
          <w:szCs w:val="22"/>
          <w:shd w:val="clear" w:color="auto" w:fill="FFFFFF"/>
        </w:rPr>
        <w:t xml:space="preserve"> (</w:t>
      </w:r>
      <w:r w:rsidR="00E80673">
        <w:rPr>
          <w:rStyle w:val="normaltextrun"/>
          <w:color w:val="000000"/>
          <w:sz w:val="22"/>
          <w:szCs w:val="22"/>
          <w:shd w:val="clear" w:color="auto" w:fill="FFFFFF"/>
        </w:rPr>
        <w:t>Zriadenie</w:t>
      </w:r>
      <w:r w:rsidR="007D2CFB" w:rsidRPr="007D2CFB">
        <w:rPr>
          <w:rStyle w:val="normaltextrun"/>
          <w:color w:val="000000"/>
          <w:sz w:val="22"/>
          <w:szCs w:val="22"/>
          <w:shd w:val="clear" w:color="auto" w:fill="FFFFFF"/>
        </w:rPr>
        <w:t xml:space="preserve"> laboratór</w:t>
      </w:r>
      <w:r w:rsidR="00E80673">
        <w:rPr>
          <w:rStyle w:val="normaltextrun"/>
          <w:color w:val="000000"/>
          <w:sz w:val="22"/>
          <w:szCs w:val="22"/>
          <w:shd w:val="clear" w:color="auto" w:fill="FFFFFF"/>
        </w:rPr>
        <w:t>a</w:t>
      </w:r>
      <w:r w:rsidR="007D2CFB" w:rsidRPr="007D2CFB">
        <w:rPr>
          <w:rStyle w:val="normaltextrun"/>
          <w:color w:val="000000"/>
          <w:sz w:val="22"/>
          <w:szCs w:val="22"/>
          <w:shd w:val="clear" w:color="auto" w:fill="FFFFFF"/>
        </w:rPr>
        <w:t xml:space="preserve"> lepších služieb a digitálnych inovácií</w:t>
      </w:r>
      <w:r w:rsidR="007D2CFB">
        <w:rPr>
          <w:rStyle w:val="normaltextrun"/>
          <w:color w:val="000000"/>
          <w:sz w:val="22"/>
          <w:szCs w:val="22"/>
          <w:shd w:val="clear" w:color="auto" w:fill="FFFFFF"/>
        </w:rPr>
        <w:t>)</w:t>
      </w:r>
      <w:r w:rsidR="004D1AE8">
        <w:rPr>
          <w:rStyle w:val="normaltextrun"/>
          <w:color w:val="000000"/>
          <w:sz w:val="22"/>
          <w:szCs w:val="22"/>
          <w:shd w:val="clear" w:color="auto" w:fill="FFFFFF"/>
        </w:rPr>
        <w:t>, 3.2</w:t>
      </w:r>
      <w:r w:rsidR="00B542E4">
        <w:rPr>
          <w:rStyle w:val="normaltextrun"/>
          <w:color w:val="000000"/>
          <w:sz w:val="22"/>
          <w:szCs w:val="22"/>
          <w:shd w:val="clear" w:color="auto" w:fill="FFFFFF"/>
        </w:rPr>
        <w:t>.6</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Vytvoríme platformu na hľadanie inovatívnych riešení</w:t>
      </w:r>
      <w:r w:rsidR="007D2CFB">
        <w:rPr>
          <w:rStyle w:val="normaltextrun"/>
          <w:color w:val="000000"/>
          <w:sz w:val="22"/>
          <w:szCs w:val="22"/>
          <w:shd w:val="clear" w:color="auto" w:fill="FFFFFF"/>
        </w:rPr>
        <w:t>)</w:t>
      </w:r>
      <w:r w:rsidR="004D1AE8">
        <w:rPr>
          <w:rStyle w:val="normaltextrun"/>
          <w:color w:val="000000"/>
          <w:sz w:val="22"/>
          <w:szCs w:val="22"/>
          <w:shd w:val="clear" w:color="auto" w:fill="FFFFFF"/>
        </w:rPr>
        <w:t>, 3.2.</w:t>
      </w:r>
      <w:r w:rsidR="00B542E4">
        <w:rPr>
          <w:rStyle w:val="normaltextrun"/>
          <w:color w:val="000000"/>
          <w:sz w:val="22"/>
          <w:szCs w:val="22"/>
          <w:shd w:val="clear" w:color="auto" w:fill="FFFFFF"/>
        </w:rPr>
        <w:t>7</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Umožníme nové príležitosti pre podnikanie a inovácie verejných služieb pomocou open API</w:t>
      </w:r>
      <w:r w:rsidR="007D2CFB">
        <w:rPr>
          <w:rStyle w:val="normaltextrun"/>
          <w:color w:val="000000"/>
          <w:sz w:val="22"/>
          <w:szCs w:val="22"/>
          <w:shd w:val="clear" w:color="auto" w:fill="FFFFFF"/>
        </w:rPr>
        <w:t>)</w:t>
      </w:r>
      <w:r w:rsidR="004D1AE8">
        <w:rPr>
          <w:rStyle w:val="normaltextrun"/>
          <w:color w:val="000000"/>
          <w:sz w:val="22"/>
          <w:szCs w:val="22"/>
          <w:shd w:val="clear" w:color="auto" w:fill="FFFFFF"/>
        </w:rPr>
        <w:t xml:space="preserve"> a 4.1.3.</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Rozvinieme nástroje na spracovanie prirodzeného jazyka</w:t>
      </w:r>
      <w:r w:rsidR="007D2CFB">
        <w:rPr>
          <w:rStyle w:val="normaltextrun"/>
          <w:color w:val="000000"/>
          <w:sz w:val="22"/>
          <w:szCs w:val="22"/>
          <w:shd w:val="clear" w:color="auto" w:fill="FFFFFF"/>
        </w:rPr>
        <w:t>)</w:t>
      </w:r>
      <w:r w:rsidR="004D1AE8">
        <w:rPr>
          <w:rStyle w:val="normaltextrun"/>
          <w:color w:val="000000"/>
          <w:sz w:val="22"/>
          <w:szCs w:val="22"/>
          <w:shd w:val="clear" w:color="auto" w:fill="FFFFFF"/>
        </w:rPr>
        <w:t xml:space="preserve"> budú financované z národného projektu OP EVS „Laboratórium lepších služieb a digitálnych inovácií.“ v alokovanej výške 3,</w:t>
      </w:r>
      <w:r w:rsidR="00A80E6E">
        <w:rPr>
          <w:rStyle w:val="normaltextrun"/>
          <w:color w:val="000000"/>
          <w:sz w:val="22"/>
          <w:szCs w:val="22"/>
          <w:shd w:val="clear" w:color="auto" w:fill="FFFFFF"/>
        </w:rPr>
        <w:t>6</w:t>
      </w:r>
      <w:r w:rsidR="004D1AE8">
        <w:rPr>
          <w:rStyle w:val="normaltextrun"/>
          <w:color w:val="000000"/>
          <w:sz w:val="22"/>
          <w:szCs w:val="22"/>
          <w:shd w:val="clear" w:color="auto" w:fill="FFFFFF"/>
        </w:rPr>
        <w:t xml:space="preserve"> mi</w:t>
      </w:r>
      <w:r w:rsidR="00341AE0">
        <w:rPr>
          <w:rStyle w:val="normaltextrun"/>
          <w:color w:val="000000"/>
          <w:sz w:val="22"/>
          <w:szCs w:val="22"/>
          <w:shd w:val="clear" w:color="auto" w:fill="FFFFFF"/>
        </w:rPr>
        <w:t>l</w:t>
      </w:r>
      <w:r w:rsidR="004D1AE8">
        <w:rPr>
          <w:rStyle w:val="normaltextrun"/>
          <w:color w:val="000000"/>
          <w:sz w:val="22"/>
          <w:szCs w:val="22"/>
          <w:shd w:val="clear" w:color="auto" w:fill="FFFFFF"/>
        </w:rPr>
        <w:t>. eur.</w:t>
      </w:r>
      <w:r w:rsidR="008C0C70">
        <w:rPr>
          <w:rStyle w:val="normaltextrun"/>
          <w:color w:val="000000"/>
          <w:sz w:val="22"/>
          <w:szCs w:val="22"/>
          <w:shd w:val="clear" w:color="auto" w:fill="FFFFFF"/>
        </w:rPr>
        <w:t xml:space="preserve"> Uvedené náklady pokrývajú tak personálne náklady na zamestnancov ako aj požiadavky na externé služby.</w:t>
      </w:r>
    </w:p>
    <w:p w:rsidR="00AE2596" w:rsidRDefault="00AE2596" w:rsidP="004D1AE8">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Pri opatrení 3.2.5.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Vytvoríme platformu na hľadanie inovatívnych riešení</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sa okrem vyššie uvedeného očakáva aj podpora prevádzky uvedenej platformy v odhadovanej výške 50 000 eur od roku 2019 a následne 150 000 eur ročne.</w:t>
      </w:r>
    </w:p>
    <w:p w:rsidR="004D1AE8" w:rsidRDefault="004D1AE8" w:rsidP="004D1AE8">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Opatrenie 3.2.</w:t>
      </w:r>
      <w:r w:rsidR="00E80673">
        <w:rPr>
          <w:rStyle w:val="normaltextrun"/>
          <w:color w:val="000000"/>
          <w:sz w:val="22"/>
          <w:szCs w:val="22"/>
          <w:shd w:val="clear" w:color="auto" w:fill="FFFFFF"/>
        </w:rPr>
        <w:t>3</w:t>
      </w:r>
      <w:r>
        <w:rPr>
          <w:rStyle w:val="normaltextrun"/>
          <w:color w:val="000000"/>
          <w:sz w:val="22"/>
          <w:szCs w:val="22"/>
          <w:shd w:val="clear" w:color="auto" w:fill="FFFFFF"/>
        </w:rPr>
        <w:t xml:space="preserve">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Realiz</w:t>
      </w:r>
      <w:r w:rsidR="00E80673">
        <w:rPr>
          <w:rStyle w:val="normaltextrun"/>
          <w:color w:val="000000"/>
          <w:sz w:val="22"/>
          <w:szCs w:val="22"/>
          <w:shd w:val="clear" w:color="auto" w:fill="FFFFFF"/>
        </w:rPr>
        <w:t>ovanie</w:t>
      </w:r>
      <w:r w:rsidR="007D2CFB" w:rsidRPr="007D2CFB">
        <w:rPr>
          <w:rStyle w:val="normaltextrun"/>
          <w:color w:val="000000"/>
          <w:sz w:val="22"/>
          <w:szCs w:val="22"/>
          <w:shd w:val="clear" w:color="auto" w:fill="FFFFFF"/>
        </w:rPr>
        <w:t xml:space="preserve"> činnosti laboratória behaviorálnych inovácií (BRISK)</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bude financované z národného projektu OP EVS „</w:t>
      </w:r>
      <w:r w:rsidRPr="004D1AE8">
        <w:rPr>
          <w:rStyle w:val="normaltextrun"/>
          <w:color w:val="000000"/>
          <w:sz w:val="22"/>
          <w:szCs w:val="22"/>
          <w:shd w:val="clear" w:color="auto" w:fill="FFFFFF"/>
        </w:rPr>
        <w:t>Zlepšenie digitálnych služieb vo verejnej správe prostredníctvom behaviorálnych inovácií</w:t>
      </w:r>
      <w:r>
        <w:rPr>
          <w:rStyle w:val="normaltextrun"/>
          <w:color w:val="000000"/>
          <w:sz w:val="22"/>
          <w:szCs w:val="22"/>
          <w:shd w:val="clear" w:color="auto" w:fill="FFFFFF"/>
        </w:rPr>
        <w:t>“ v alokovanej výške 1,6 mil. eur.</w:t>
      </w:r>
      <w:r w:rsidR="008C0C70">
        <w:rPr>
          <w:rStyle w:val="normaltextrun"/>
          <w:color w:val="000000"/>
          <w:sz w:val="22"/>
          <w:szCs w:val="22"/>
          <w:shd w:val="clear" w:color="auto" w:fill="FFFFFF"/>
        </w:rPr>
        <w:t xml:space="preserve"> Uvedené náklady pokrývajú tak personálne náklady na zamestnancov ako aj požiadavky na externé služby.</w:t>
      </w:r>
    </w:p>
    <w:p w:rsidR="00E80673" w:rsidRDefault="00E80673" w:rsidP="00E80673">
      <w:pPr>
        <w:pStyle w:val="Nadpis4"/>
        <w:rPr>
          <w:rStyle w:val="normaltextrun"/>
          <w:rFonts w:ascii="Times New Roman" w:eastAsia="Times New Roman" w:hAnsi="Times New Roman" w:cs="Times New Roman"/>
          <w:i w:val="0"/>
          <w:iCs w:val="0"/>
          <w:color w:val="000000"/>
          <w:shd w:val="clear" w:color="auto" w:fill="FFFFFF"/>
          <w:lang w:eastAsia="sk-SK"/>
        </w:rPr>
      </w:pPr>
      <w:r w:rsidRPr="00E80673">
        <w:rPr>
          <w:rStyle w:val="normaltextrun"/>
          <w:rFonts w:ascii="Times New Roman" w:eastAsia="Times New Roman" w:hAnsi="Times New Roman" w:cs="Times New Roman"/>
          <w:i w:val="0"/>
          <w:iCs w:val="0"/>
          <w:color w:val="000000"/>
          <w:shd w:val="clear" w:color="auto" w:fill="FFFFFF"/>
          <w:lang w:eastAsia="sk-SK"/>
        </w:rPr>
        <w:t>Opatrenie 3.2.4 (</w:t>
      </w:r>
      <w:r w:rsidRPr="00E80673">
        <w:rPr>
          <w:rStyle w:val="normaltextrun"/>
          <w:rFonts w:ascii="Times New Roman" w:hAnsi="Times New Roman"/>
          <w:i w:val="0"/>
          <w:color w:val="000000"/>
          <w:shd w:val="clear" w:color="auto" w:fill="FFFFFF"/>
          <w:lang w:eastAsia="sk-SK"/>
        </w:rPr>
        <w:t>Zriadenie metodicko-hodnotiacej jednotky a expertnej platformy pre podporu rozvoja inteligentných miest a regiónov</w:t>
      </w:r>
      <w:r w:rsidRPr="00E80673">
        <w:rPr>
          <w:rStyle w:val="normaltextrun"/>
          <w:rFonts w:ascii="Times New Roman" w:eastAsia="Times New Roman" w:hAnsi="Times New Roman" w:cs="Times New Roman"/>
          <w:i w:val="0"/>
          <w:iCs w:val="0"/>
          <w:color w:val="000000"/>
          <w:shd w:val="clear" w:color="auto" w:fill="FFFFFF"/>
          <w:lang w:eastAsia="sk-SK"/>
        </w:rPr>
        <w:t>)</w:t>
      </w:r>
      <w:r>
        <w:rPr>
          <w:rStyle w:val="normaltextrun"/>
          <w:rFonts w:ascii="Times New Roman" w:eastAsia="Times New Roman" w:hAnsi="Times New Roman" w:cs="Times New Roman"/>
          <w:i w:val="0"/>
          <w:iCs w:val="0"/>
          <w:color w:val="000000"/>
          <w:shd w:val="clear" w:color="auto" w:fill="FFFFFF"/>
          <w:lang w:eastAsia="sk-SK"/>
        </w:rPr>
        <w:t xml:space="preserve"> OP EVS projekt </w:t>
      </w:r>
      <w:r w:rsidRPr="00E80673">
        <w:rPr>
          <w:rStyle w:val="normaltextrun"/>
          <w:rFonts w:ascii="Times New Roman" w:eastAsia="Times New Roman" w:hAnsi="Times New Roman" w:cs="Times New Roman"/>
          <w:i w:val="0"/>
          <w:iCs w:val="0"/>
          <w:color w:val="000000"/>
          <w:shd w:val="clear" w:color="auto" w:fill="FFFFFF"/>
          <w:lang w:eastAsia="sk-SK"/>
        </w:rPr>
        <w:t>Analytická jednotka a expertná platforma pre podporu rozvoja inteligentných miest a</w:t>
      </w:r>
      <w:r>
        <w:rPr>
          <w:rStyle w:val="normaltextrun"/>
          <w:rFonts w:ascii="Times New Roman" w:eastAsia="Times New Roman" w:hAnsi="Times New Roman" w:cs="Times New Roman"/>
          <w:i w:val="0"/>
          <w:iCs w:val="0"/>
          <w:color w:val="000000"/>
          <w:shd w:val="clear" w:color="auto" w:fill="FFFFFF"/>
          <w:lang w:eastAsia="sk-SK"/>
        </w:rPr>
        <w:t> </w:t>
      </w:r>
      <w:r w:rsidRPr="00E80673">
        <w:rPr>
          <w:rStyle w:val="normaltextrun"/>
          <w:rFonts w:ascii="Times New Roman" w:eastAsia="Times New Roman" w:hAnsi="Times New Roman" w:cs="Times New Roman"/>
          <w:i w:val="0"/>
          <w:iCs w:val="0"/>
          <w:color w:val="000000"/>
          <w:shd w:val="clear" w:color="auto" w:fill="FFFFFF"/>
          <w:lang w:eastAsia="sk-SK"/>
        </w:rPr>
        <w:t>regióno</w:t>
      </w:r>
      <w:r>
        <w:rPr>
          <w:rStyle w:val="normaltextrun"/>
          <w:rFonts w:ascii="Times New Roman" w:eastAsia="Times New Roman" w:hAnsi="Times New Roman" w:cs="Times New Roman"/>
          <w:i w:val="0"/>
          <w:iCs w:val="0"/>
          <w:color w:val="000000"/>
          <w:shd w:val="clear" w:color="auto" w:fill="FFFFFF"/>
          <w:lang w:eastAsia="sk-SK"/>
        </w:rPr>
        <w:t xml:space="preserve"> vo výške 3,5 mil. eur.</w:t>
      </w:r>
    </w:p>
    <w:p w:rsidR="00536B41" w:rsidRDefault="00536B41" w:rsidP="003145C0">
      <w:pPr>
        <w:pStyle w:val="paragraph"/>
        <w:shd w:val="clear" w:color="auto" w:fill="FFFFFF"/>
        <w:spacing w:after="0"/>
        <w:jc w:val="both"/>
        <w:textAlignment w:val="baseline"/>
        <w:rPr>
          <w:rStyle w:val="normaltextrun"/>
          <w:color w:val="000000"/>
          <w:sz w:val="22"/>
          <w:szCs w:val="22"/>
          <w:shd w:val="clear" w:color="auto" w:fill="FFFFFF"/>
        </w:rPr>
      </w:pPr>
      <w:r w:rsidRPr="00536B41">
        <w:rPr>
          <w:rStyle w:val="normaltextrun"/>
          <w:color w:val="000000"/>
          <w:sz w:val="22"/>
          <w:szCs w:val="22"/>
          <w:shd w:val="clear" w:color="auto" w:fill="FFFFFF"/>
        </w:rPr>
        <w:t xml:space="preserve">Opatrenie 2.3.2.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Navrhneme koncept inovačného verejno-súkromného partnerstva pre riešenia inteligentnej mobility</w:t>
      </w:r>
      <w:r w:rsidR="007D2CFB">
        <w:rPr>
          <w:rStyle w:val="normaltextrun"/>
          <w:color w:val="000000"/>
          <w:sz w:val="22"/>
          <w:szCs w:val="22"/>
          <w:shd w:val="clear" w:color="auto" w:fill="FFFFFF"/>
        </w:rPr>
        <w:t xml:space="preserve">) </w:t>
      </w:r>
      <w:r w:rsidRPr="00536B41">
        <w:rPr>
          <w:rStyle w:val="normaltextrun"/>
          <w:color w:val="000000"/>
          <w:sz w:val="22"/>
          <w:szCs w:val="22"/>
          <w:shd w:val="clear" w:color="auto" w:fill="FFFFFF"/>
        </w:rPr>
        <w:t>bude financovan</w:t>
      </w:r>
      <w:r>
        <w:rPr>
          <w:rStyle w:val="normaltextrun"/>
          <w:color w:val="000000"/>
          <w:sz w:val="22"/>
          <w:szCs w:val="22"/>
          <w:shd w:val="clear" w:color="auto" w:fill="FFFFFF"/>
        </w:rPr>
        <w:t>é</w:t>
      </w:r>
      <w:r w:rsidRPr="00536B41">
        <w:rPr>
          <w:rStyle w:val="normaltextrun"/>
          <w:color w:val="000000"/>
          <w:sz w:val="22"/>
          <w:szCs w:val="22"/>
          <w:shd w:val="clear" w:color="auto" w:fill="FFFFFF"/>
        </w:rPr>
        <w:t xml:space="preserve"> z národného projektu OP EVS „Zlepšenie verejných politík v oblasti dopravy, inovačnej kapacity v doprave a podpora partnerstva v zavádzaní inteligentnej mobility v odhadovanej </w:t>
      </w:r>
      <w:r>
        <w:rPr>
          <w:rStyle w:val="normaltextrun"/>
          <w:color w:val="000000"/>
          <w:sz w:val="22"/>
          <w:szCs w:val="22"/>
          <w:shd w:val="clear" w:color="auto" w:fill="FFFFFF"/>
        </w:rPr>
        <w:t xml:space="preserve">alokovanej </w:t>
      </w:r>
      <w:r w:rsidRPr="00536B41">
        <w:rPr>
          <w:rStyle w:val="normaltextrun"/>
          <w:color w:val="000000"/>
          <w:sz w:val="22"/>
          <w:szCs w:val="22"/>
          <w:shd w:val="clear" w:color="auto" w:fill="FFFFFF"/>
        </w:rPr>
        <w:t xml:space="preserve">výške </w:t>
      </w:r>
      <w:r w:rsidR="00A80E6E">
        <w:rPr>
          <w:rStyle w:val="normaltextrun"/>
          <w:color w:val="000000"/>
          <w:sz w:val="22"/>
          <w:szCs w:val="22"/>
          <w:shd w:val="clear" w:color="auto" w:fill="FFFFFF"/>
        </w:rPr>
        <w:t xml:space="preserve">na túto aktivitu </w:t>
      </w:r>
      <w:r w:rsidR="00E50213">
        <w:rPr>
          <w:rStyle w:val="normaltextrun"/>
          <w:color w:val="000000"/>
          <w:sz w:val="22"/>
          <w:szCs w:val="22"/>
          <w:shd w:val="clear" w:color="auto" w:fill="FFFFFF"/>
        </w:rPr>
        <w:t>0,5 mil eur.</w:t>
      </w:r>
      <w:r w:rsidR="008C0C70">
        <w:rPr>
          <w:rStyle w:val="normaltextrun"/>
          <w:color w:val="000000"/>
          <w:sz w:val="22"/>
          <w:szCs w:val="22"/>
          <w:shd w:val="clear" w:color="auto" w:fill="FFFFFF"/>
        </w:rPr>
        <w:t xml:space="preserve"> Uvedené náklady pokrývajú tak personálne náklady na zamestnancov ako aj požiadavky na externé služby.</w:t>
      </w:r>
    </w:p>
    <w:p w:rsidR="007E33B9" w:rsidRDefault="007E33B9"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Opatrenie 3.1.1.</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Zmoderniz</w:t>
      </w:r>
      <w:r w:rsidR="00E80673">
        <w:rPr>
          <w:rStyle w:val="normaltextrun"/>
          <w:color w:val="000000"/>
          <w:sz w:val="22"/>
          <w:szCs w:val="22"/>
          <w:shd w:val="clear" w:color="auto" w:fill="FFFFFF"/>
        </w:rPr>
        <w:t>ovanie</w:t>
      </w:r>
      <w:r w:rsidR="007D2CFB" w:rsidRPr="007D2CFB">
        <w:rPr>
          <w:rStyle w:val="normaltextrun"/>
          <w:color w:val="000000"/>
          <w:sz w:val="22"/>
          <w:szCs w:val="22"/>
          <w:shd w:val="clear" w:color="auto" w:fill="FFFFFF"/>
        </w:rPr>
        <w:t xml:space="preserve"> a zjednoduš</w:t>
      </w:r>
      <w:r w:rsidR="00E80673">
        <w:rPr>
          <w:rStyle w:val="normaltextrun"/>
          <w:color w:val="000000"/>
          <w:sz w:val="22"/>
          <w:szCs w:val="22"/>
          <w:shd w:val="clear" w:color="auto" w:fill="FFFFFF"/>
        </w:rPr>
        <w:t>enie</w:t>
      </w:r>
      <w:r w:rsidR="007D2CFB" w:rsidRPr="007D2CFB">
        <w:rPr>
          <w:rStyle w:val="normaltextrun"/>
          <w:color w:val="000000"/>
          <w:sz w:val="22"/>
          <w:szCs w:val="22"/>
          <w:shd w:val="clear" w:color="auto" w:fill="FFFFFF"/>
        </w:rPr>
        <w:t xml:space="preserve"> právn</w:t>
      </w:r>
      <w:r w:rsidR="00E80673">
        <w:rPr>
          <w:rStyle w:val="normaltextrun"/>
          <w:color w:val="000000"/>
          <w:sz w:val="22"/>
          <w:szCs w:val="22"/>
          <w:shd w:val="clear" w:color="auto" w:fill="FFFFFF"/>
        </w:rPr>
        <w:t>eho rám</w:t>
      </w:r>
      <w:r w:rsidR="007D2CFB" w:rsidRPr="007D2CFB">
        <w:rPr>
          <w:rStyle w:val="normaltextrun"/>
          <w:color w:val="000000"/>
          <w:sz w:val="22"/>
          <w:szCs w:val="22"/>
          <w:shd w:val="clear" w:color="auto" w:fill="FFFFFF"/>
        </w:rPr>
        <w:t>c</w:t>
      </w:r>
      <w:r w:rsidR="00E80673">
        <w:rPr>
          <w:rStyle w:val="normaltextrun"/>
          <w:color w:val="000000"/>
          <w:sz w:val="22"/>
          <w:szCs w:val="22"/>
          <w:shd w:val="clear" w:color="auto" w:fill="FFFFFF"/>
        </w:rPr>
        <w:t>a</w:t>
      </w:r>
      <w:r w:rsidR="007D2CFB" w:rsidRPr="007D2CFB">
        <w:rPr>
          <w:rStyle w:val="normaltextrun"/>
          <w:color w:val="000000"/>
          <w:sz w:val="22"/>
          <w:szCs w:val="22"/>
          <w:shd w:val="clear" w:color="auto" w:fill="FFFFFF"/>
        </w:rPr>
        <w:t xml:space="preserve"> v oblasti údajov – pripraví sa nový zákon o údajoch</w:t>
      </w:r>
      <w:r w:rsidR="007D2CFB">
        <w:rPr>
          <w:rStyle w:val="normaltextrun"/>
          <w:color w:val="000000"/>
          <w:sz w:val="22"/>
          <w:szCs w:val="22"/>
          <w:shd w:val="clear" w:color="auto" w:fill="FFFFFF"/>
        </w:rPr>
        <w:t>)</w:t>
      </w:r>
      <w:r>
        <w:rPr>
          <w:rStyle w:val="normaltextrun"/>
          <w:color w:val="000000"/>
          <w:sz w:val="22"/>
          <w:szCs w:val="22"/>
          <w:shd w:val="clear" w:color="auto" w:fill="FFFFFF"/>
        </w:rPr>
        <w:t xml:space="preserve"> bude financované z národného projektu OP EVS „</w:t>
      </w:r>
      <w:r w:rsidRPr="007E33B9">
        <w:rPr>
          <w:rStyle w:val="normaltextrun"/>
          <w:color w:val="000000"/>
          <w:sz w:val="22"/>
          <w:szCs w:val="22"/>
          <w:shd w:val="clear" w:color="auto" w:fill="FFFFFF"/>
        </w:rPr>
        <w:t>Zlepšenie využívania údajov vo verejnej správe</w:t>
      </w:r>
      <w:r w:rsidR="00F03B28">
        <w:rPr>
          <w:rStyle w:val="normaltextrun"/>
          <w:color w:val="000000"/>
          <w:sz w:val="22"/>
          <w:szCs w:val="22"/>
          <w:shd w:val="clear" w:color="auto" w:fill="FFFFFF"/>
        </w:rPr>
        <w:t>“</w:t>
      </w:r>
      <w:r w:rsidRPr="007E33B9">
        <w:rPr>
          <w:rStyle w:val="normaltextrun"/>
          <w:color w:val="000000"/>
          <w:sz w:val="22"/>
          <w:szCs w:val="22"/>
          <w:shd w:val="clear" w:color="auto" w:fill="FFFFFF"/>
        </w:rPr>
        <w:t xml:space="preserve"> </w:t>
      </w:r>
      <w:r>
        <w:rPr>
          <w:rStyle w:val="normaltextrun"/>
          <w:color w:val="000000"/>
          <w:sz w:val="22"/>
          <w:szCs w:val="22"/>
          <w:shd w:val="clear" w:color="auto" w:fill="FFFFFF"/>
        </w:rPr>
        <w:t>v alokovanej výške 4,3 mil. eur.</w:t>
      </w:r>
      <w:r w:rsidR="008C0C70">
        <w:rPr>
          <w:rStyle w:val="normaltextrun"/>
          <w:color w:val="000000"/>
          <w:sz w:val="22"/>
          <w:szCs w:val="22"/>
          <w:shd w:val="clear" w:color="auto" w:fill="FFFFFF"/>
        </w:rPr>
        <w:t xml:space="preserve"> Uvedené náklady pokrývajú tak personálne náklady na zamestnancov ako aj požiadavky na externé služby.</w:t>
      </w:r>
    </w:p>
    <w:p w:rsidR="00F03B28" w:rsidRPr="009559E3" w:rsidRDefault="00F03B28" w:rsidP="003145C0">
      <w:pPr>
        <w:pStyle w:val="paragraph"/>
        <w:shd w:val="clear" w:color="auto" w:fill="FFFFFF"/>
        <w:spacing w:after="0"/>
        <w:jc w:val="both"/>
        <w:textAlignment w:val="baseline"/>
        <w:rPr>
          <w:rStyle w:val="normaltextrun"/>
          <w:color w:val="000000"/>
          <w:sz w:val="22"/>
          <w:shd w:val="clear" w:color="auto" w:fill="FFFFFF"/>
          <w:lang w:val="en-AU"/>
        </w:rPr>
      </w:pPr>
      <w:r>
        <w:rPr>
          <w:rStyle w:val="normaltextrun"/>
          <w:color w:val="000000"/>
          <w:sz w:val="22"/>
          <w:szCs w:val="22"/>
          <w:shd w:val="clear" w:color="auto" w:fill="FFFFFF"/>
        </w:rPr>
        <w:t xml:space="preserve">Opatrenie 3.1.2. </w:t>
      </w:r>
      <w:r w:rsidR="007D2CFB">
        <w:rPr>
          <w:rStyle w:val="normaltextrun"/>
          <w:color w:val="000000"/>
          <w:sz w:val="22"/>
          <w:szCs w:val="22"/>
          <w:shd w:val="clear" w:color="auto" w:fill="FFFFFF"/>
        </w:rPr>
        <w:t>(</w:t>
      </w:r>
      <w:r w:rsidR="00E80673" w:rsidRPr="00DA4833">
        <w:t>Vybudovanie konsolidovanej analytickej vrstvy a sprístupnenie dôležitých analytických nástrojov pre potreby inštitúcií verejnej správy na tvorbu verejných politík na základe údajov</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bude financované z národného projektu OPII „</w:t>
      </w:r>
      <w:r w:rsidRPr="00F03B28">
        <w:rPr>
          <w:rStyle w:val="normaltextrun"/>
          <w:color w:val="000000"/>
          <w:sz w:val="22"/>
          <w:szCs w:val="22"/>
          <w:shd w:val="clear" w:color="auto" w:fill="FFFFFF"/>
        </w:rPr>
        <w:t>Konsolidovaná analytická vrstva“</w:t>
      </w:r>
      <w:r>
        <w:rPr>
          <w:rStyle w:val="normaltextrun"/>
          <w:color w:val="000000"/>
          <w:sz w:val="22"/>
          <w:szCs w:val="22"/>
          <w:shd w:val="clear" w:color="auto" w:fill="FFFFFF"/>
        </w:rPr>
        <w:t xml:space="preserve"> v alokovanej výške </w:t>
      </w:r>
      <w:r w:rsidR="00125CF2">
        <w:rPr>
          <w:rStyle w:val="normaltextrun"/>
          <w:color w:val="000000"/>
          <w:sz w:val="22"/>
          <w:szCs w:val="22"/>
          <w:shd w:val="clear" w:color="auto" w:fill="FFFFFF"/>
          <w:lang w:val="en-AU"/>
        </w:rPr>
        <w:t xml:space="preserve"> 8,8</w:t>
      </w:r>
      <w:r>
        <w:rPr>
          <w:rStyle w:val="normaltextrun"/>
          <w:color w:val="000000"/>
          <w:sz w:val="22"/>
          <w:szCs w:val="22"/>
          <w:shd w:val="clear" w:color="auto" w:fill="FFFFFF"/>
        </w:rPr>
        <w:t xml:space="preserve"> mil. eur.</w:t>
      </w:r>
    </w:p>
    <w:p w:rsidR="00A3223D" w:rsidRDefault="00A3223D"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Na podporu opatrenia 4.1.1.</w:t>
      </w:r>
      <w:r w:rsidR="007D2CFB">
        <w:rPr>
          <w:rStyle w:val="normaltextrun"/>
          <w:color w:val="000000"/>
          <w:sz w:val="22"/>
          <w:szCs w:val="22"/>
          <w:shd w:val="clear" w:color="auto" w:fill="FFFFFF"/>
        </w:rPr>
        <w:t xml:space="preserve"> (</w:t>
      </w:r>
      <w:r w:rsidR="007D2CFB" w:rsidRPr="007D2CFB">
        <w:rPr>
          <w:rStyle w:val="normaltextrun"/>
          <w:color w:val="000000"/>
          <w:sz w:val="22"/>
          <w:szCs w:val="22"/>
          <w:shd w:val="clear" w:color="auto" w:fill="FFFFFF"/>
        </w:rPr>
        <w:t>Zapojíme SR do iniciatívy EÚ pri budovaní európskych centier excelentnosti pre umelú inteligenciu</w:t>
      </w:r>
      <w:r w:rsidR="007D2CFB">
        <w:rPr>
          <w:rStyle w:val="normaltextrun"/>
          <w:color w:val="000000"/>
          <w:sz w:val="22"/>
          <w:szCs w:val="22"/>
          <w:shd w:val="clear" w:color="auto" w:fill="FFFFFF"/>
        </w:rPr>
        <w:t>)</w:t>
      </w:r>
      <w:r>
        <w:rPr>
          <w:rStyle w:val="normaltextrun"/>
          <w:color w:val="000000"/>
          <w:sz w:val="22"/>
          <w:szCs w:val="22"/>
          <w:shd w:val="clear" w:color="auto" w:fill="FFFFFF"/>
        </w:rPr>
        <w:t xml:space="preserve"> sa predpokladá dopad vo výške 84 000 eur na štúdiu uskutočniteľnosti zo zdrojov štátneho rozpočtu v roku 2019 a následne 100 000 eur každoročne na samotnú podporu centra excelentnosti v SR ako aj jeho sieťovanie s relevantnými partnermi. Uvedený odhad sa samozrejme, v závislosti od činností tohto centra a optimálneho nastavenia jeho fungovania môže zmeniť. Komplementarita finančnej podpory sa očakáva tak aj zdrojov EÚ a to priamo riadených programov ako aj štrukturálnych fondov.</w:t>
      </w:r>
    </w:p>
    <w:p w:rsidR="002B1C12" w:rsidRDefault="002B1C12" w:rsidP="002B1C12">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4.1.4.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Definujeme témy so spoločenskou potrebou a pripravíme pilotné projekty so širokou podporou expertov na umelú inteligenciu</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bude závisieť od definovaných tém a následne od realizácie pilotných projektov, primárne financovaných zo zdrojov EÚ, v kombinácií projektov dopytových výziev a projektov pod OP EVS.</w:t>
      </w:r>
    </w:p>
    <w:p w:rsidR="00AE2596" w:rsidRDefault="00AE2596"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Na vykonanie opatrenia 4.2.5.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Vypracujeme manuál pre firmy na zavedenie umelej inteligencie</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sa očakáva náklad zo štátneho rozpočtu na rok 2019 vo výške 84 000 eur.</w:t>
      </w:r>
    </w:p>
    <w:p w:rsidR="00AE2596" w:rsidRDefault="00AE2596" w:rsidP="00AE2596">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Na vykonanie opatrenia 4.2.6.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Podporíme zvýšenie investícií zahraničných a slovenských spoločností do výskumných aktivít)</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sa očakáva náklad zo štátneho rozpočtu každoročne vo výške 100 000 eur</w:t>
      </w:r>
      <w:r w:rsidR="00002B98">
        <w:rPr>
          <w:rStyle w:val="normaltextrun"/>
          <w:color w:val="000000"/>
          <w:sz w:val="22"/>
          <w:szCs w:val="22"/>
          <w:shd w:val="clear" w:color="auto" w:fill="FFFFFF"/>
        </w:rPr>
        <w:t xml:space="preserve"> a to od roku 2020</w:t>
      </w:r>
      <w:r>
        <w:rPr>
          <w:rStyle w:val="normaltextrun"/>
          <w:color w:val="000000"/>
          <w:sz w:val="22"/>
          <w:szCs w:val="22"/>
          <w:shd w:val="clear" w:color="auto" w:fill="FFFFFF"/>
        </w:rPr>
        <w:t>.</w:t>
      </w:r>
    </w:p>
    <w:p w:rsidR="004A371B" w:rsidRDefault="004A371B" w:rsidP="004A371B">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Opatrenia MŠVVŠ SR</w:t>
      </w:r>
    </w:p>
    <w:p w:rsidR="004A371B" w:rsidRDefault="004A371B" w:rsidP="004A371B">
      <w:pPr>
        <w:pStyle w:val="paragraph"/>
        <w:shd w:val="clear" w:color="auto" w:fill="FFFFFF"/>
        <w:spacing w:after="0"/>
        <w:jc w:val="both"/>
        <w:textAlignment w:val="baseline"/>
        <w:rPr>
          <w:rStyle w:val="normaltextrun"/>
          <w:color w:val="000000"/>
          <w:sz w:val="22"/>
          <w:szCs w:val="22"/>
          <w:shd w:val="clear" w:color="auto" w:fill="FFFFFF"/>
        </w:rPr>
      </w:pPr>
      <w:r w:rsidRPr="00417933">
        <w:rPr>
          <w:rStyle w:val="normaltextrun"/>
          <w:color w:val="000000"/>
          <w:sz w:val="22"/>
          <w:szCs w:val="22"/>
          <w:shd w:val="clear" w:color="auto" w:fill="FFFFFF"/>
        </w:rPr>
        <w:t>Opatrenie 1.1.1.</w:t>
      </w:r>
      <w:r w:rsidR="007D2CFB">
        <w:rPr>
          <w:rStyle w:val="normaltextrun"/>
          <w:color w:val="000000"/>
          <w:sz w:val="22"/>
          <w:szCs w:val="22"/>
          <w:shd w:val="clear" w:color="auto" w:fill="FFFFFF"/>
        </w:rPr>
        <w:t xml:space="preserve"> (</w:t>
      </w:r>
      <w:r w:rsidR="007D2CFB" w:rsidRPr="00D8428B">
        <w:rPr>
          <w:sz w:val="22"/>
          <w:szCs w:val="22"/>
        </w:rPr>
        <w:t>Príprava programu informatizácie rezortu školstva do roku 2030</w:t>
      </w:r>
      <w:r w:rsidR="007D2CFB">
        <w:rPr>
          <w:rStyle w:val="normaltextrun"/>
          <w:color w:val="000000"/>
          <w:sz w:val="22"/>
          <w:szCs w:val="22"/>
          <w:shd w:val="clear" w:color="auto" w:fill="FFFFFF"/>
        </w:rPr>
        <w:t>)</w:t>
      </w:r>
      <w:r w:rsidRPr="00417933">
        <w:rPr>
          <w:rStyle w:val="normaltextrun"/>
          <w:color w:val="000000"/>
          <w:sz w:val="22"/>
          <w:szCs w:val="22"/>
          <w:shd w:val="clear" w:color="auto" w:fill="FFFFFF"/>
        </w:rPr>
        <w:t xml:space="preserve"> bude hradené zo štátneho rozpočtu a to vo výške 47 250 eur v roku 2019. </w:t>
      </w:r>
    </w:p>
    <w:p w:rsidR="004A371B" w:rsidRDefault="004A371B" w:rsidP="004A371B">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1.1.2.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Systémová zmena vzdelávacieho systému pripravujúceho pracovníkov pre potreby praxe a digitálnej ekonomiky</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 xml:space="preserve">bude financované v celkovej výške 5 459 000 eur, pričom </w:t>
      </w:r>
      <w:r w:rsidRPr="00417933">
        <w:rPr>
          <w:rStyle w:val="normaltextrun"/>
          <w:color w:val="000000"/>
          <w:sz w:val="22"/>
          <w:szCs w:val="22"/>
          <w:shd w:val="clear" w:color="auto" w:fill="FFFFFF"/>
        </w:rPr>
        <w:t xml:space="preserve">zo štátneho rozpočtu </w:t>
      </w:r>
      <w:r>
        <w:rPr>
          <w:rStyle w:val="normaltextrun"/>
          <w:color w:val="000000"/>
          <w:sz w:val="22"/>
          <w:szCs w:val="22"/>
          <w:shd w:val="clear" w:color="auto" w:fill="FFFFFF"/>
        </w:rPr>
        <w:t>je alokovaná čiastka 2 659 000 eur a z fondov EÚ 2 800 000 eur.</w:t>
      </w:r>
      <w:r w:rsidRPr="00417933">
        <w:rPr>
          <w:rStyle w:val="normaltextrun"/>
          <w:color w:val="000000"/>
          <w:sz w:val="22"/>
          <w:szCs w:val="22"/>
          <w:shd w:val="clear" w:color="auto" w:fill="FFFFFF"/>
        </w:rPr>
        <w:t xml:space="preserve"> </w:t>
      </w:r>
    </w:p>
    <w:p w:rsidR="004A371B" w:rsidRDefault="004A371B" w:rsidP="004A371B">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1.1.3 </w:t>
      </w:r>
      <w:r w:rsidR="007D2CFB">
        <w:rPr>
          <w:rStyle w:val="normaltextrun"/>
          <w:color w:val="000000"/>
          <w:sz w:val="22"/>
          <w:szCs w:val="22"/>
          <w:shd w:val="clear" w:color="auto" w:fill="FFFFFF"/>
        </w:rPr>
        <w:t>(</w:t>
      </w:r>
      <w:r w:rsidR="007D2CFB" w:rsidRPr="007D2CFB">
        <w:rPr>
          <w:rStyle w:val="normaltextrun"/>
          <w:color w:val="000000"/>
          <w:sz w:val="22"/>
          <w:szCs w:val="22"/>
          <w:shd w:val="clear" w:color="auto" w:fill="FFFFFF"/>
        </w:rPr>
        <w:t>Celoživotné vzdelávanie – komplexná systémová zmena, stratégia a implementácia legislatívnych opatrení</w:t>
      </w:r>
      <w:r w:rsidR="007D2CFB">
        <w:rPr>
          <w:rStyle w:val="normaltextrun"/>
          <w:color w:val="000000"/>
          <w:sz w:val="22"/>
          <w:szCs w:val="22"/>
          <w:shd w:val="clear" w:color="auto" w:fill="FFFFFF"/>
        </w:rPr>
        <w:t xml:space="preserve">) </w:t>
      </w:r>
      <w:r>
        <w:rPr>
          <w:rStyle w:val="normaltextrun"/>
          <w:color w:val="000000"/>
          <w:sz w:val="22"/>
          <w:szCs w:val="22"/>
          <w:shd w:val="clear" w:color="auto" w:fill="FFFFFF"/>
        </w:rPr>
        <w:t>bude financované z národného projektu OP ĽZ „</w:t>
      </w:r>
      <w:r w:rsidRPr="00417933">
        <w:rPr>
          <w:rStyle w:val="normaltextrun"/>
          <w:color w:val="000000"/>
          <w:sz w:val="22"/>
          <w:szCs w:val="22"/>
          <w:shd w:val="clear" w:color="auto" w:fill="FFFFFF"/>
        </w:rPr>
        <w:t>Systém overovania kvalifikácií v SR</w:t>
      </w:r>
      <w:r>
        <w:rPr>
          <w:rStyle w:val="normaltextrun"/>
          <w:color w:val="000000"/>
          <w:sz w:val="22"/>
          <w:szCs w:val="22"/>
          <w:shd w:val="clear" w:color="auto" w:fill="FFFFFF"/>
        </w:rPr>
        <w:t>“ v celkovej výške 1</w:t>
      </w:r>
      <w:r w:rsidR="00E1475A">
        <w:rPr>
          <w:rStyle w:val="normaltextrun"/>
          <w:color w:val="000000"/>
          <w:sz w:val="22"/>
          <w:szCs w:val="22"/>
          <w:shd w:val="clear" w:color="auto" w:fill="FFFFFF"/>
        </w:rPr>
        <w:t>1</w:t>
      </w:r>
      <w:r>
        <w:rPr>
          <w:rStyle w:val="normaltextrun"/>
          <w:color w:val="000000"/>
          <w:sz w:val="22"/>
          <w:szCs w:val="22"/>
          <w:shd w:val="clear" w:color="auto" w:fill="FFFFFF"/>
        </w:rPr>
        <w:t> 7</w:t>
      </w:r>
      <w:r w:rsidR="00E1475A">
        <w:rPr>
          <w:rStyle w:val="normaltextrun"/>
          <w:color w:val="000000"/>
          <w:sz w:val="22"/>
          <w:szCs w:val="22"/>
          <w:shd w:val="clear" w:color="auto" w:fill="FFFFFF"/>
        </w:rPr>
        <w:t>80</w:t>
      </w:r>
      <w:r>
        <w:rPr>
          <w:rStyle w:val="normaltextrun"/>
          <w:color w:val="000000"/>
          <w:sz w:val="22"/>
          <w:szCs w:val="22"/>
          <w:shd w:val="clear" w:color="auto" w:fill="FFFFFF"/>
        </w:rPr>
        <w:t xml:space="preserve"> 000 eur, pričom </w:t>
      </w:r>
      <w:r w:rsidRPr="00417933">
        <w:rPr>
          <w:rStyle w:val="normaltextrun"/>
          <w:color w:val="000000"/>
          <w:sz w:val="22"/>
          <w:szCs w:val="22"/>
          <w:shd w:val="clear" w:color="auto" w:fill="FFFFFF"/>
        </w:rPr>
        <w:t>z</w:t>
      </w:r>
      <w:r w:rsidR="006841A6">
        <w:rPr>
          <w:rStyle w:val="normaltextrun"/>
          <w:color w:val="000000"/>
          <w:sz w:val="22"/>
          <w:szCs w:val="22"/>
          <w:shd w:val="clear" w:color="auto" w:fill="FFFFFF"/>
        </w:rPr>
        <w:t xml:space="preserve"> Európskeho sociálneho fondu je alokovaná čiastka </w:t>
      </w:r>
      <w:r w:rsidR="006841A6" w:rsidRPr="006841A6">
        <w:rPr>
          <w:rStyle w:val="normaltextrun"/>
          <w:color w:val="000000"/>
          <w:sz w:val="22"/>
          <w:szCs w:val="22"/>
          <w:shd w:val="clear" w:color="auto" w:fill="FFFFFF"/>
        </w:rPr>
        <w:t>8</w:t>
      </w:r>
      <w:r w:rsidR="006841A6">
        <w:rPr>
          <w:rStyle w:val="normaltextrun"/>
          <w:color w:val="000000"/>
          <w:sz w:val="22"/>
          <w:szCs w:val="22"/>
          <w:shd w:val="clear" w:color="auto" w:fill="FFFFFF"/>
        </w:rPr>
        <w:t> </w:t>
      </w:r>
      <w:r w:rsidR="006841A6" w:rsidRPr="006841A6">
        <w:rPr>
          <w:rStyle w:val="normaltextrun"/>
          <w:color w:val="000000"/>
          <w:sz w:val="22"/>
          <w:szCs w:val="22"/>
          <w:shd w:val="clear" w:color="auto" w:fill="FFFFFF"/>
        </w:rPr>
        <w:t>82</w:t>
      </w:r>
      <w:r w:rsidR="006841A6">
        <w:rPr>
          <w:rStyle w:val="normaltextrun"/>
          <w:color w:val="000000"/>
          <w:sz w:val="22"/>
          <w:szCs w:val="22"/>
          <w:shd w:val="clear" w:color="auto" w:fill="FFFFFF"/>
        </w:rPr>
        <w:t>3 000,00</w:t>
      </w:r>
      <w:r w:rsidR="006841A6" w:rsidRPr="006841A6">
        <w:rPr>
          <w:rStyle w:val="normaltextrun"/>
          <w:color w:val="000000"/>
          <w:sz w:val="22"/>
          <w:szCs w:val="22"/>
          <w:shd w:val="clear" w:color="auto" w:fill="FFFFFF"/>
        </w:rPr>
        <w:t xml:space="preserve"> eur, </w:t>
      </w:r>
      <w:r w:rsidRPr="00417933">
        <w:rPr>
          <w:rStyle w:val="normaltextrun"/>
          <w:color w:val="000000"/>
          <w:sz w:val="22"/>
          <w:szCs w:val="22"/>
          <w:shd w:val="clear" w:color="auto" w:fill="FFFFFF"/>
        </w:rPr>
        <w:t xml:space="preserve">o štátneho rozpočtu </w:t>
      </w:r>
      <w:r>
        <w:rPr>
          <w:rStyle w:val="normaltextrun"/>
          <w:color w:val="000000"/>
          <w:sz w:val="22"/>
          <w:szCs w:val="22"/>
          <w:shd w:val="clear" w:color="auto" w:fill="FFFFFF"/>
        </w:rPr>
        <w:t xml:space="preserve">je alokovaná čiastka </w:t>
      </w:r>
      <w:r w:rsidR="006841A6">
        <w:rPr>
          <w:rStyle w:val="normaltextrun"/>
          <w:color w:val="000000"/>
          <w:sz w:val="22"/>
          <w:szCs w:val="22"/>
          <w:shd w:val="clear" w:color="auto" w:fill="FFFFFF"/>
        </w:rPr>
        <w:t>1 557</w:t>
      </w:r>
      <w:r w:rsidR="006841A6" w:rsidRPr="006841A6">
        <w:rPr>
          <w:rStyle w:val="normaltextrun"/>
          <w:color w:val="000000"/>
          <w:sz w:val="22"/>
          <w:szCs w:val="22"/>
          <w:shd w:val="clear" w:color="auto" w:fill="FFFFFF"/>
        </w:rPr>
        <w:t xml:space="preserve"> </w:t>
      </w:r>
      <w:r w:rsidR="006841A6">
        <w:rPr>
          <w:rStyle w:val="normaltextrun"/>
          <w:color w:val="000000"/>
          <w:sz w:val="22"/>
          <w:szCs w:val="22"/>
          <w:shd w:val="clear" w:color="auto" w:fill="FFFFFF"/>
        </w:rPr>
        <w:t>000</w:t>
      </w:r>
      <w:r w:rsidR="006841A6" w:rsidRPr="006841A6">
        <w:rPr>
          <w:rStyle w:val="normaltextrun"/>
          <w:color w:val="000000"/>
          <w:sz w:val="22"/>
          <w:szCs w:val="22"/>
          <w:shd w:val="clear" w:color="auto" w:fill="FFFFFF"/>
        </w:rPr>
        <w:t>,</w:t>
      </w:r>
      <w:r w:rsidR="006841A6">
        <w:rPr>
          <w:rStyle w:val="normaltextrun"/>
          <w:color w:val="000000"/>
          <w:sz w:val="22"/>
          <w:szCs w:val="22"/>
          <w:shd w:val="clear" w:color="auto" w:fill="FFFFFF"/>
        </w:rPr>
        <w:t>00</w:t>
      </w:r>
      <w:r w:rsidR="006841A6" w:rsidRPr="006841A6">
        <w:rPr>
          <w:rStyle w:val="normaltextrun"/>
          <w:color w:val="000000"/>
          <w:sz w:val="22"/>
          <w:szCs w:val="22"/>
          <w:shd w:val="clear" w:color="auto" w:fill="FFFFFF"/>
        </w:rPr>
        <w:t xml:space="preserve"> </w:t>
      </w:r>
      <w:r>
        <w:rPr>
          <w:rStyle w:val="normaltextrun"/>
          <w:color w:val="000000"/>
          <w:sz w:val="22"/>
          <w:szCs w:val="22"/>
          <w:shd w:val="clear" w:color="auto" w:fill="FFFFFF"/>
        </w:rPr>
        <w:t>eur a</w:t>
      </w:r>
      <w:r w:rsidR="006841A6">
        <w:rPr>
          <w:rStyle w:val="normaltextrun"/>
          <w:color w:val="000000"/>
          <w:sz w:val="22"/>
          <w:szCs w:val="22"/>
          <w:shd w:val="clear" w:color="auto" w:fill="FFFFFF"/>
        </w:rPr>
        <w:t> </w:t>
      </w:r>
      <w:r>
        <w:rPr>
          <w:rStyle w:val="normaltextrun"/>
          <w:color w:val="000000"/>
          <w:sz w:val="22"/>
          <w:szCs w:val="22"/>
          <w:shd w:val="clear" w:color="auto" w:fill="FFFFFF"/>
        </w:rPr>
        <w:t>z</w:t>
      </w:r>
      <w:r w:rsidR="006841A6">
        <w:rPr>
          <w:rStyle w:val="normaltextrun"/>
          <w:color w:val="000000"/>
          <w:sz w:val="22"/>
          <w:szCs w:val="22"/>
          <w:shd w:val="clear" w:color="auto" w:fill="FFFFFF"/>
        </w:rPr>
        <w:t xml:space="preserve">o zdroju pro rata </w:t>
      </w:r>
      <w:r w:rsidR="006841A6" w:rsidRPr="006841A6">
        <w:t xml:space="preserve"> </w:t>
      </w:r>
      <w:r w:rsidR="006841A6">
        <w:rPr>
          <w:rStyle w:val="normaltextrun"/>
          <w:color w:val="000000"/>
          <w:sz w:val="22"/>
          <w:szCs w:val="22"/>
          <w:shd w:val="clear" w:color="auto" w:fill="FFFFFF"/>
        </w:rPr>
        <w:t>1 400 000,00</w:t>
      </w:r>
      <w:r>
        <w:rPr>
          <w:rStyle w:val="normaltextrun"/>
          <w:color w:val="000000"/>
          <w:sz w:val="22"/>
          <w:szCs w:val="22"/>
          <w:shd w:val="clear" w:color="auto" w:fill="FFFFFF"/>
        </w:rPr>
        <w:t xml:space="preserve"> eur.</w:t>
      </w:r>
    </w:p>
    <w:p w:rsidR="004A371B" w:rsidRDefault="004A371B" w:rsidP="004A371B">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Finančné dopady na vykonanie opatrenia 1.1.6.</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Podporíme aktivity vedúce k zvýšeniu podielu žien v IT a digitálnom sektore a odstráneniu rodových stereotypov</w:t>
      </w:r>
      <w:r w:rsidR="00B50B3F">
        <w:rPr>
          <w:rStyle w:val="normaltextrun"/>
          <w:color w:val="000000"/>
          <w:sz w:val="22"/>
          <w:szCs w:val="22"/>
          <w:shd w:val="clear" w:color="auto" w:fill="FFFFFF"/>
        </w:rPr>
        <w:t>)</w:t>
      </w:r>
      <w:r>
        <w:rPr>
          <w:rStyle w:val="normaltextrun"/>
          <w:color w:val="000000"/>
          <w:sz w:val="22"/>
          <w:szCs w:val="22"/>
          <w:shd w:val="clear" w:color="auto" w:fill="FFFFFF"/>
        </w:rPr>
        <w:t xml:space="preserve"> nie je možné v tejto fáze presne vyčísliť, keďže budú závisieť od rozsahu aktivít, ako sú štipendiá, podpora projektov, popularizácia tém prostredníctvom konferencií, atď. Časť uvedených nákladov je ale súčasťou zdrojov vyčíslených na podporu aktivít Digitálnej koalície.</w:t>
      </w:r>
    </w:p>
    <w:p w:rsidR="004A371B" w:rsidRDefault="004A371B" w:rsidP="004A371B">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Opatrenie 1.1.8.</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Potreba zvýšenia kompetencií mladých ľudí pre digitálnu dobu v rámci formálneho vzdelávania</w:t>
      </w:r>
      <w:r w:rsidR="00B50B3F">
        <w:rPr>
          <w:rStyle w:val="normaltextrun"/>
          <w:color w:val="000000"/>
          <w:sz w:val="22"/>
          <w:szCs w:val="22"/>
          <w:shd w:val="clear" w:color="auto" w:fill="FFFFFF"/>
        </w:rPr>
        <w:t>)</w:t>
      </w:r>
      <w:r>
        <w:rPr>
          <w:rStyle w:val="normaltextrun"/>
          <w:color w:val="000000"/>
          <w:sz w:val="22"/>
          <w:szCs w:val="22"/>
          <w:shd w:val="clear" w:color="auto" w:fill="FFFFFF"/>
        </w:rPr>
        <w:t xml:space="preserve"> vyplýva z viacerých opatrení a aktivít, ktoré prispejú k jeho plneniu, preto nie je možné vyčísliť jeho dopady na rozpočet verejnej správy. Súvisiace opatrenia zahŕňajú projekty od vybudovania IKT infraštruktúry </w:t>
      </w:r>
      <w:r w:rsidRPr="00E83410">
        <w:rPr>
          <w:rStyle w:val="normaltextrun"/>
          <w:color w:val="000000"/>
          <w:sz w:val="22"/>
          <w:szCs w:val="22"/>
          <w:shd w:val="clear" w:color="auto" w:fill="FFFFFF"/>
        </w:rPr>
        <w:t>infraštruktú</w:t>
      </w:r>
      <w:r>
        <w:rPr>
          <w:rStyle w:val="normaltextrun"/>
          <w:color w:val="000000"/>
          <w:sz w:val="22"/>
          <w:szCs w:val="22"/>
          <w:shd w:val="clear" w:color="auto" w:fill="FFFFFF"/>
        </w:rPr>
        <w:t>ry v školstve a pre vzdelávanie ako je napr.</w:t>
      </w:r>
      <w:r w:rsidRPr="00E83410">
        <w:rPr>
          <w:rStyle w:val="normaltextrun"/>
          <w:color w:val="000000"/>
          <w:sz w:val="22"/>
          <w:szCs w:val="22"/>
          <w:shd w:val="clear" w:color="auto" w:fill="FFFFFF"/>
        </w:rPr>
        <w:t xml:space="preserve"> SANET – Akademická sieť – chrbtica komunikácie vysokých škôl</w:t>
      </w:r>
      <w:r>
        <w:rPr>
          <w:rStyle w:val="normaltextrun"/>
          <w:color w:val="000000"/>
          <w:sz w:val="22"/>
          <w:szCs w:val="22"/>
          <w:shd w:val="clear" w:color="auto" w:fill="FFFFFF"/>
        </w:rPr>
        <w:t xml:space="preserve">, </w:t>
      </w:r>
      <w:r w:rsidRPr="00E83410">
        <w:rPr>
          <w:rStyle w:val="normaltextrun"/>
          <w:color w:val="000000"/>
          <w:sz w:val="22"/>
          <w:szCs w:val="22"/>
          <w:shd w:val="clear" w:color="auto" w:fill="FFFFFF"/>
        </w:rPr>
        <w:t>EDUNET – projekt pre poskytovanie kapacitne dostatočného intern</w:t>
      </w:r>
      <w:r>
        <w:rPr>
          <w:rStyle w:val="normaltextrun"/>
          <w:color w:val="000000"/>
          <w:sz w:val="22"/>
          <w:szCs w:val="22"/>
          <w:shd w:val="clear" w:color="auto" w:fill="FFFFFF"/>
        </w:rPr>
        <w:t xml:space="preserve">etového prístupu školám, </w:t>
      </w:r>
      <w:r w:rsidRPr="00E83410">
        <w:rPr>
          <w:rStyle w:val="normaltextrun"/>
          <w:color w:val="000000"/>
          <w:sz w:val="22"/>
          <w:szCs w:val="22"/>
          <w:shd w:val="clear" w:color="auto" w:fill="FFFFFF"/>
        </w:rPr>
        <w:t>RIS – integrácia rezortného informačného systému</w:t>
      </w:r>
      <w:r>
        <w:rPr>
          <w:rStyle w:val="normaltextrun"/>
          <w:color w:val="000000"/>
          <w:sz w:val="22"/>
          <w:szCs w:val="22"/>
          <w:shd w:val="clear" w:color="auto" w:fill="FFFFFF"/>
        </w:rPr>
        <w:t xml:space="preserve">, </w:t>
      </w:r>
      <w:r w:rsidRPr="00E83410">
        <w:rPr>
          <w:rStyle w:val="normaltextrun"/>
          <w:color w:val="000000"/>
          <w:sz w:val="22"/>
          <w:szCs w:val="22"/>
          <w:shd w:val="clear" w:color="auto" w:fill="FFFFFF"/>
        </w:rPr>
        <w:t>CUDEO – Centrálne úložisko digitálneho vzdelávacieho obsahu</w:t>
      </w:r>
      <w:r>
        <w:rPr>
          <w:rStyle w:val="normaltextrun"/>
          <w:color w:val="000000"/>
          <w:sz w:val="22"/>
          <w:szCs w:val="22"/>
          <w:shd w:val="clear" w:color="auto" w:fill="FFFFFF"/>
        </w:rPr>
        <w:t xml:space="preserve">, </w:t>
      </w:r>
      <w:r w:rsidRPr="00E83410">
        <w:rPr>
          <w:rStyle w:val="normaltextrun"/>
          <w:color w:val="000000"/>
          <w:sz w:val="22"/>
          <w:szCs w:val="22"/>
          <w:shd w:val="clear" w:color="auto" w:fill="FFFFFF"/>
        </w:rPr>
        <w:t>RIAM – jednotný autentifikačný nástroj (na zváženie vzhľadom na infraštruktúrne služby)</w:t>
      </w:r>
      <w:r>
        <w:rPr>
          <w:rStyle w:val="normaltextrun"/>
          <w:color w:val="000000"/>
          <w:sz w:val="22"/>
          <w:szCs w:val="22"/>
          <w:shd w:val="clear" w:color="auto" w:fill="FFFFFF"/>
        </w:rPr>
        <w:t xml:space="preserve"> a</w:t>
      </w:r>
      <w:r w:rsidRPr="00E83410">
        <w:rPr>
          <w:rStyle w:val="normaltextrun"/>
          <w:color w:val="000000"/>
          <w:sz w:val="22"/>
          <w:szCs w:val="22"/>
          <w:shd w:val="clear" w:color="auto" w:fill="FFFFFF"/>
        </w:rPr>
        <w:t xml:space="preserve"> Projekt konsolidácia IKT  rezortu školstva a migrácia do vládneho cloudu</w:t>
      </w:r>
      <w:r>
        <w:rPr>
          <w:rStyle w:val="normaltextrun"/>
          <w:color w:val="000000"/>
          <w:sz w:val="22"/>
          <w:szCs w:val="22"/>
          <w:shd w:val="clear" w:color="auto" w:fill="FFFFFF"/>
        </w:rPr>
        <w:t>, ktorých plný rozsahu bude</w:t>
      </w:r>
      <w:r w:rsidRPr="00E83410">
        <w:rPr>
          <w:rStyle w:val="normaltextrun"/>
          <w:color w:val="000000"/>
          <w:sz w:val="22"/>
          <w:szCs w:val="22"/>
          <w:shd w:val="clear" w:color="auto" w:fill="FFFFFF"/>
        </w:rPr>
        <w:t xml:space="preserve"> vypracovaný v rámci Programu informatizácie š</w:t>
      </w:r>
      <w:r>
        <w:rPr>
          <w:rStyle w:val="normaltextrun"/>
          <w:color w:val="000000"/>
          <w:sz w:val="22"/>
          <w:szCs w:val="22"/>
          <w:shd w:val="clear" w:color="auto" w:fill="FFFFFF"/>
        </w:rPr>
        <w:t>kolstva s výhľadom do roku 2030. Ďalej v sebe zahŕňa prípravu</w:t>
      </w:r>
      <w:r w:rsidRPr="008F6003">
        <w:rPr>
          <w:rStyle w:val="normaltextrun"/>
          <w:color w:val="000000"/>
          <w:sz w:val="22"/>
          <w:szCs w:val="22"/>
          <w:shd w:val="clear" w:color="auto" w:fill="FFFFFF"/>
        </w:rPr>
        <w:t xml:space="preserve"> zámerov a implementácia projektov elektronických služieb a interných informačných systémov rezortu pre sprístupnenie a vybavenie elektronických žiadostí v r</w:t>
      </w:r>
      <w:r>
        <w:rPr>
          <w:rStyle w:val="normaltextrun"/>
          <w:color w:val="000000"/>
          <w:sz w:val="22"/>
          <w:szCs w:val="22"/>
          <w:shd w:val="clear" w:color="auto" w:fill="FFFFFF"/>
        </w:rPr>
        <w:t xml:space="preserve">ámci zásad politiky e-Government. </w:t>
      </w:r>
      <w:r w:rsidRPr="008F6003">
        <w:rPr>
          <w:rStyle w:val="normaltextrun"/>
          <w:color w:val="000000"/>
          <w:sz w:val="22"/>
          <w:szCs w:val="22"/>
          <w:shd w:val="clear" w:color="auto" w:fill="FFFFFF"/>
        </w:rPr>
        <w:t>Príprava ďalších zámerov a implementácia projektov využívania digitálnych technológií a digitálneho vzdelávacieho obsahu vo výučbe a IKT/IS pre riadenie škôl napríklad: IKT správa a prevádzka Centrálneho úložiska Digitálneho vzdelávacieho obsahu (DEO), Centrálny manažment DEO – správa DEO, import DEO,</w:t>
      </w:r>
      <w:r>
        <w:rPr>
          <w:rStyle w:val="normaltextrun"/>
          <w:color w:val="000000"/>
          <w:sz w:val="22"/>
          <w:szCs w:val="22"/>
          <w:shd w:val="clear" w:color="auto" w:fill="FFFFFF"/>
        </w:rPr>
        <w:t xml:space="preserve"> </w:t>
      </w:r>
      <w:r w:rsidRPr="008F6003">
        <w:rPr>
          <w:rStyle w:val="normaltextrun"/>
          <w:color w:val="000000"/>
          <w:sz w:val="22"/>
          <w:szCs w:val="22"/>
          <w:shd w:val="clear" w:color="auto" w:fill="FFFFFF"/>
        </w:rPr>
        <w:t>Individualizácia – knižnica a kolekcie DEO, úlohy (žiak, učiteľ), profil, skupiny, tvorba projektov, Analytiky a reporting, Mobilná aplikácia, Autorský nástroj na tvorbu DEO – tvorba lekcií, kvízov, interaktívnych kníh, publikovanie DEO, Systém hodnotenia DEO, register hodnotiteľov DEO, certifikát digitálnej učebnej pomôcky, Správa produktov a licencií – tvorba a správa balíčkov DEO, produktov, licencií, tvorba digitálnych kódov,</w:t>
      </w:r>
      <w:r>
        <w:rPr>
          <w:rStyle w:val="normaltextrun"/>
          <w:color w:val="000000"/>
          <w:sz w:val="22"/>
          <w:szCs w:val="22"/>
          <w:shd w:val="clear" w:color="auto" w:fill="FFFFFF"/>
        </w:rPr>
        <w:t xml:space="preserve"> </w:t>
      </w:r>
      <w:r w:rsidRPr="008F6003">
        <w:rPr>
          <w:rStyle w:val="normaltextrun"/>
          <w:color w:val="000000"/>
          <w:sz w:val="22"/>
          <w:szCs w:val="22"/>
          <w:shd w:val="clear" w:color="auto" w:fill="FFFFFF"/>
        </w:rPr>
        <w:t>Štandardy – Dublin Core Metadata Element, ISVS formáty DEO, vlastnosti cent</w:t>
      </w:r>
      <w:r>
        <w:rPr>
          <w:rStyle w:val="normaltextrun"/>
          <w:color w:val="000000"/>
          <w:sz w:val="22"/>
          <w:szCs w:val="22"/>
          <w:shd w:val="clear" w:color="auto" w:fill="FFFFFF"/>
        </w:rPr>
        <w:t xml:space="preserve">rálneho repozitára až po </w:t>
      </w:r>
      <w:r w:rsidRPr="008F6003">
        <w:rPr>
          <w:rStyle w:val="normaltextrun"/>
          <w:color w:val="000000"/>
          <w:sz w:val="22"/>
          <w:szCs w:val="22"/>
          <w:shd w:val="clear" w:color="auto" w:fill="FFFFFF"/>
        </w:rPr>
        <w:t xml:space="preserve">Podpora pre realizáciu Programu kybernetickej bezpečnosti </w:t>
      </w:r>
      <w:r>
        <w:rPr>
          <w:rStyle w:val="normaltextrun"/>
          <w:color w:val="000000"/>
          <w:sz w:val="22"/>
          <w:szCs w:val="22"/>
          <w:shd w:val="clear" w:color="auto" w:fill="FFFFFF"/>
        </w:rPr>
        <w:t>–</w:t>
      </w:r>
      <w:r w:rsidRPr="008F6003">
        <w:rPr>
          <w:rStyle w:val="normaltextrun"/>
          <w:color w:val="000000"/>
          <w:sz w:val="22"/>
          <w:szCs w:val="22"/>
          <w:shd w:val="clear" w:color="auto" w:fill="FFFFFF"/>
        </w:rPr>
        <w:t xml:space="preserve"> vzdelávanie</w:t>
      </w:r>
      <w:r>
        <w:rPr>
          <w:rStyle w:val="normaltextrun"/>
          <w:color w:val="000000"/>
          <w:sz w:val="22"/>
          <w:szCs w:val="22"/>
          <w:shd w:val="clear" w:color="auto" w:fill="FFFFFF"/>
        </w:rPr>
        <w:t xml:space="preserve">. </w:t>
      </w:r>
      <w:r w:rsidRPr="008F6003">
        <w:rPr>
          <w:rStyle w:val="normaltextrun"/>
          <w:color w:val="000000"/>
          <w:sz w:val="22"/>
          <w:szCs w:val="22"/>
          <w:shd w:val="clear" w:color="auto" w:fill="FFFFFF"/>
        </w:rPr>
        <w:t xml:space="preserve">Podpora pre realizáciu Programu kybernetickej bezpečnosti </w:t>
      </w:r>
      <w:r>
        <w:rPr>
          <w:rStyle w:val="normaltextrun"/>
          <w:color w:val="000000"/>
          <w:sz w:val="22"/>
          <w:szCs w:val="22"/>
          <w:shd w:val="clear" w:color="auto" w:fill="FFFFFF"/>
        </w:rPr>
        <w:t>–</w:t>
      </w:r>
      <w:r w:rsidRPr="008F6003">
        <w:rPr>
          <w:rStyle w:val="normaltextrun"/>
          <w:color w:val="000000"/>
          <w:sz w:val="22"/>
          <w:szCs w:val="22"/>
          <w:shd w:val="clear" w:color="auto" w:fill="FFFFFF"/>
        </w:rPr>
        <w:t xml:space="preserve"> vzdelávanie</w:t>
      </w:r>
      <w:r>
        <w:rPr>
          <w:rStyle w:val="normaltextrun"/>
          <w:color w:val="000000"/>
          <w:sz w:val="22"/>
          <w:szCs w:val="22"/>
          <w:shd w:val="clear" w:color="auto" w:fill="FFFFFF"/>
        </w:rPr>
        <w:t xml:space="preserve"> až po p</w:t>
      </w:r>
      <w:r w:rsidRPr="008F6003">
        <w:rPr>
          <w:rStyle w:val="normaltextrun"/>
          <w:color w:val="000000"/>
          <w:sz w:val="22"/>
          <w:szCs w:val="22"/>
          <w:shd w:val="clear" w:color="auto" w:fill="FFFFFF"/>
        </w:rPr>
        <w:t>odpora inštitútu Digitálnych koordinátorov v regionálnom školstve</w:t>
      </w:r>
      <w:r>
        <w:rPr>
          <w:rStyle w:val="normaltextrun"/>
          <w:color w:val="000000"/>
          <w:sz w:val="22"/>
          <w:szCs w:val="22"/>
          <w:shd w:val="clear" w:color="auto" w:fill="FFFFFF"/>
        </w:rPr>
        <w:t>, n</w:t>
      </w:r>
      <w:r w:rsidRPr="008F6003">
        <w:rPr>
          <w:rStyle w:val="normaltextrun"/>
          <w:color w:val="000000"/>
          <w:sz w:val="22"/>
          <w:szCs w:val="22"/>
          <w:shd w:val="clear" w:color="auto" w:fill="FFFFFF"/>
        </w:rPr>
        <w:t>árodný projekt zvyšovania digitálnych zručností učiteľov v základných školách a</w:t>
      </w:r>
      <w:r>
        <w:rPr>
          <w:rStyle w:val="normaltextrun"/>
          <w:color w:val="000000"/>
          <w:sz w:val="22"/>
          <w:szCs w:val="22"/>
          <w:shd w:val="clear" w:color="auto" w:fill="FFFFFF"/>
        </w:rPr>
        <w:t> </w:t>
      </w:r>
      <w:r w:rsidRPr="008F6003">
        <w:rPr>
          <w:rStyle w:val="normaltextrun"/>
          <w:color w:val="000000"/>
          <w:sz w:val="22"/>
          <w:szCs w:val="22"/>
          <w:shd w:val="clear" w:color="auto" w:fill="FFFFFF"/>
        </w:rPr>
        <w:t>gymnáziách</w:t>
      </w:r>
      <w:r>
        <w:rPr>
          <w:rStyle w:val="normaltextrun"/>
          <w:color w:val="000000"/>
          <w:sz w:val="22"/>
          <w:szCs w:val="22"/>
          <w:shd w:val="clear" w:color="auto" w:fill="FFFFFF"/>
        </w:rPr>
        <w:t xml:space="preserve">, </w:t>
      </w:r>
      <w:r w:rsidRPr="008F6003">
        <w:rPr>
          <w:rStyle w:val="normaltextrun"/>
          <w:color w:val="000000"/>
          <w:sz w:val="22"/>
          <w:szCs w:val="22"/>
          <w:shd w:val="clear" w:color="auto" w:fill="FFFFFF"/>
        </w:rPr>
        <w:t>Národný projekt digitálnej transformácie odborného vzdelávania a prípravy na stredných odborných školách</w:t>
      </w:r>
      <w:r>
        <w:rPr>
          <w:rStyle w:val="normaltextrun"/>
          <w:color w:val="000000"/>
          <w:sz w:val="22"/>
          <w:szCs w:val="22"/>
          <w:shd w:val="clear" w:color="auto" w:fill="FFFFFF"/>
        </w:rPr>
        <w:t xml:space="preserve">, </w:t>
      </w:r>
      <w:r w:rsidRPr="008F6003">
        <w:rPr>
          <w:rStyle w:val="normaltextrun"/>
          <w:color w:val="000000"/>
          <w:sz w:val="22"/>
          <w:szCs w:val="22"/>
          <w:shd w:val="clear" w:color="auto" w:fill="FFFFFF"/>
        </w:rPr>
        <w:t>Národný projekt digitálnej transformácie vysokých škôl</w:t>
      </w:r>
      <w:r>
        <w:rPr>
          <w:rStyle w:val="normaltextrun"/>
          <w:color w:val="000000"/>
          <w:sz w:val="22"/>
          <w:szCs w:val="22"/>
          <w:shd w:val="clear" w:color="auto" w:fill="FFFFFF"/>
        </w:rPr>
        <w:t>.</w:t>
      </w:r>
    </w:p>
    <w:p w:rsidR="004A371B" w:rsidRDefault="004A371B" w:rsidP="004A371B">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4.1.5.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Definujeme a vyhlásime výzvy grantových schém pre základný a aplikovaný výskum zamerané na umelú inteligenciu</w:t>
      </w:r>
      <w:r w:rsidR="00B50B3F">
        <w:rPr>
          <w:rStyle w:val="normaltextrun"/>
          <w:color w:val="000000"/>
          <w:sz w:val="22"/>
          <w:szCs w:val="22"/>
          <w:shd w:val="clear" w:color="auto" w:fill="FFFFFF"/>
        </w:rPr>
        <w:t xml:space="preserve">) </w:t>
      </w:r>
      <w:r>
        <w:rPr>
          <w:rStyle w:val="normaltextrun"/>
          <w:color w:val="000000"/>
          <w:sz w:val="22"/>
          <w:szCs w:val="22"/>
          <w:shd w:val="clear" w:color="auto" w:fill="FFFFFF"/>
        </w:rPr>
        <w:t xml:space="preserve">bude obsahovať pokrytie výziev na podporu </w:t>
      </w:r>
      <w:r w:rsidRPr="00406E75">
        <w:rPr>
          <w:rStyle w:val="normaltextrun"/>
          <w:color w:val="000000"/>
          <w:sz w:val="22"/>
          <w:szCs w:val="22"/>
          <w:shd w:val="clear" w:color="auto" w:fill="FFFFFF"/>
        </w:rPr>
        <w:t>grantových schém pre základný a aplikovaný výskum zamerané na umelú inteligenciu</w:t>
      </w:r>
      <w:r>
        <w:rPr>
          <w:rStyle w:val="normaltextrun"/>
          <w:color w:val="000000"/>
          <w:sz w:val="22"/>
          <w:szCs w:val="22"/>
          <w:shd w:val="clear" w:color="auto" w:fill="FFFFFF"/>
        </w:rPr>
        <w:t xml:space="preserve"> z OP Výskum a inovácie. Rozsah a počet vyhlásenia týchto výziev nie je v tejto fáze možné odhadnúť, vzhľadom na to, že prvotným krokom bude identifikácia tém a problémov, na ktoré bude uvedenými výzvami plnené.</w:t>
      </w:r>
    </w:p>
    <w:p w:rsidR="004A371B" w:rsidRPr="008F6003" w:rsidRDefault="004A371B" w:rsidP="004A371B">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4.1.6.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Zavedieme spoločné vzdelávanie expertov o vybraných aspektoch umelej inteligencie</w:t>
      </w:r>
      <w:r w:rsidR="00B50B3F">
        <w:rPr>
          <w:rStyle w:val="normaltextrun"/>
          <w:color w:val="000000"/>
          <w:sz w:val="22"/>
          <w:szCs w:val="22"/>
          <w:shd w:val="clear" w:color="auto" w:fill="FFFFFF"/>
        </w:rPr>
        <w:t xml:space="preserve">) </w:t>
      </w:r>
      <w:r>
        <w:rPr>
          <w:rStyle w:val="normaltextrun"/>
          <w:color w:val="000000"/>
          <w:sz w:val="22"/>
          <w:szCs w:val="22"/>
          <w:shd w:val="clear" w:color="auto" w:fill="FFFFFF"/>
        </w:rPr>
        <w:t>bude úzko prepojené ostatné opatrenia v gescii MŠVVŠ SR, pričom v tejto fáze nie je možné bližšie špecifikovať odhad alokácie na jeho plnenie.</w:t>
      </w:r>
    </w:p>
    <w:p w:rsidR="003145C0" w:rsidRDefault="003145C0" w:rsidP="003145C0">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Opatrenia ÚV SR</w:t>
      </w:r>
    </w:p>
    <w:p w:rsidR="003B3BB7" w:rsidRPr="003B3BB7" w:rsidRDefault="003B3BB7" w:rsidP="003B3BB7">
      <w:pPr>
        <w:pStyle w:val="paragraph"/>
        <w:shd w:val="clear" w:color="auto" w:fill="FFFFFF"/>
        <w:spacing w:after="0"/>
        <w:jc w:val="both"/>
        <w:textAlignment w:val="baseline"/>
        <w:rPr>
          <w:rStyle w:val="normaltextrun"/>
          <w:color w:val="000000"/>
          <w:sz w:val="22"/>
          <w:szCs w:val="22"/>
          <w:shd w:val="clear" w:color="auto" w:fill="FFFFFF"/>
          <w:lang w:val="en-AU"/>
        </w:rPr>
      </w:pPr>
      <w:r w:rsidRPr="00E30EE3">
        <w:t xml:space="preserve">Na posúdenie finančných dopadov na vykonanie opatrenia 1.2.1 </w:t>
      </w:r>
      <w:r w:rsidR="00B50B3F">
        <w:t>(</w:t>
      </w:r>
      <w:r w:rsidR="00B50B3F" w:rsidRPr="00B50B3F">
        <w:t>Zatraktívnime podmienky zamestnávania informačných špecialistov v štátnej  a verejnej správe</w:t>
      </w:r>
      <w:r w:rsidR="00B50B3F">
        <w:t xml:space="preserve">) </w:t>
      </w:r>
      <w:r w:rsidRPr="00E30EE3">
        <w:t xml:space="preserve">je potrebné vykonať analýzu požadovaných kvalifikácií z pohľadu </w:t>
      </w:r>
      <w:r w:rsidRPr="003B3BB7">
        <w:t>informačných špecialistov v štátnej  a verejnej správe a následne, od identifikácie požadovaných typov odborníkov ako aj ich predpokladaného počtu bude možné presnejšie vyčísliť požadované odhady.</w:t>
      </w:r>
      <w:r>
        <w:t xml:space="preserve"> </w:t>
      </w:r>
      <w:r w:rsidR="00E30EE3">
        <w:t>Uvedeným sa bude zaoberať koncepcia</w:t>
      </w:r>
      <w:r>
        <w:t xml:space="preserve"> odmeňovania, </w:t>
      </w:r>
      <w:r w:rsidR="00E30EE3">
        <w:t>ktorá bude, na základe dostupných dát a analýz, obsahovať opatrenia na plnenie podporujúce plnenie tohto opatrenia v Akčnom pláne</w:t>
      </w:r>
      <w:r>
        <w:t xml:space="preserve">. </w:t>
      </w:r>
    </w:p>
    <w:p w:rsidR="003145C0" w:rsidRPr="003145C0" w:rsidRDefault="003145C0" w:rsidP="003145C0">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 xml:space="preserve">Opatrenia MH SR </w:t>
      </w:r>
    </w:p>
    <w:p w:rsidR="003145C0" w:rsidRDefault="003145C0"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Pre opatrenie 2.2.1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Zavedieme systematické hodnotenia vplyvov regulácií na inovácie a digitálne hospodárstvo</w:t>
      </w:r>
      <w:r w:rsidR="00B50B3F">
        <w:rPr>
          <w:rStyle w:val="normaltextrun"/>
          <w:color w:val="000000"/>
          <w:sz w:val="22"/>
          <w:szCs w:val="22"/>
          <w:shd w:val="clear" w:color="auto" w:fill="FFFFFF"/>
        </w:rPr>
        <w:t xml:space="preserve">) </w:t>
      </w:r>
      <w:r>
        <w:rPr>
          <w:rStyle w:val="normaltextrun"/>
          <w:color w:val="000000"/>
          <w:sz w:val="22"/>
          <w:szCs w:val="22"/>
          <w:shd w:val="clear" w:color="auto" w:fill="FFFFFF"/>
        </w:rPr>
        <w:t>sa predpokladajú</w:t>
      </w:r>
      <w:r w:rsidRPr="003145C0">
        <w:rPr>
          <w:rStyle w:val="normaltextrun"/>
          <w:color w:val="000000"/>
          <w:sz w:val="22"/>
          <w:szCs w:val="22"/>
          <w:shd w:val="clear" w:color="auto" w:fill="FFFFFF"/>
        </w:rPr>
        <w:t xml:space="preserve"> finančné vplyvy 19 437,75 </w:t>
      </w:r>
      <w:r w:rsidR="00A80E6E">
        <w:rPr>
          <w:rStyle w:val="normaltextrun"/>
          <w:color w:val="000000"/>
          <w:sz w:val="22"/>
          <w:szCs w:val="22"/>
          <w:shd w:val="clear" w:color="auto" w:fill="FFFFFF"/>
        </w:rPr>
        <w:t>eur</w:t>
      </w:r>
      <w:r w:rsidRPr="003145C0">
        <w:rPr>
          <w:rStyle w:val="normaltextrun"/>
          <w:color w:val="000000"/>
          <w:sz w:val="22"/>
          <w:szCs w:val="22"/>
          <w:shd w:val="clear" w:color="auto" w:fill="FFFFFF"/>
        </w:rPr>
        <w:t>.</w:t>
      </w:r>
      <w:r>
        <w:rPr>
          <w:rStyle w:val="normaltextrun"/>
          <w:color w:val="000000"/>
          <w:sz w:val="22"/>
          <w:szCs w:val="22"/>
          <w:shd w:val="clear" w:color="auto" w:fill="FFFFFF"/>
        </w:rPr>
        <w:t xml:space="preserve"> Pre opatrenie 2.2.2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Zavedieme systém dynamickej regulácie orientovanej na cieľ</w:t>
      </w:r>
      <w:r w:rsidR="00B50B3F">
        <w:rPr>
          <w:rStyle w:val="normaltextrun"/>
          <w:color w:val="000000"/>
          <w:sz w:val="22"/>
          <w:szCs w:val="22"/>
          <w:shd w:val="clear" w:color="auto" w:fill="FFFFFF"/>
        </w:rPr>
        <w:t xml:space="preserve">) </w:t>
      </w:r>
      <w:r>
        <w:rPr>
          <w:rStyle w:val="normaltextrun"/>
          <w:color w:val="000000"/>
          <w:sz w:val="22"/>
          <w:szCs w:val="22"/>
          <w:shd w:val="clear" w:color="auto" w:fill="FFFFFF"/>
        </w:rPr>
        <w:t>sa predpokladajú</w:t>
      </w:r>
      <w:r w:rsidRPr="003145C0">
        <w:rPr>
          <w:rStyle w:val="normaltextrun"/>
          <w:color w:val="000000"/>
          <w:sz w:val="22"/>
          <w:szCs w:val="22"/>
          <w:shd w:val="clear" w:color="auto" w:fill="FFFFFF"/>
        </w:rPr>
        <w:t xml:space="preserve"> finančné vplyvy 12 958,5</w:t>
      </w:r>
      <w:r w:rsidR="00AC597C">
        <w:rPr>
          <w:rStyle w:val="normaltextrun"/>
          <w:color w:val="000000"/>
          <w:sz w:val="22"/>
          <w:szCs w:val="22"/>
          <w:shd w:val="clear" w:color="auto" w:fill="FFFFFF"/>
        </w:rPr>
        <w:t>0</w:t>
      </w:r>
      <w:r w:rsidR="00A80E6E">
        <w:rPr>
          <w:rStyle w:val="normaltextrun"/>
          <w:color w:val="000000"/>
          <w:sz w:val="22"/>
          <w:szCs w:val="22"/>
          <w:shd w:val="clear" w:color="auto" w:fill="FFFFFF"/>
        </w:rPr>
        <w:t xml:space="preserve"> eur</w:t>
      </w:r>
      <w:r w:rsidRPr="003145C0">
        <w:rPr>
          <w:rStyle w:val="normaltextrun"/>
          <w:color w:val="000000"/>
          <w:sz w:val="22"/>
          <w:szCs w:val="22"/>
          <w:shd w:val="clear" w:color="auto" w:fill="FFFFFF"/>
        </w:rPr>
        <w:t>.</w:t>
      </w:r>
      <w:r>
        <w:rPr>
          <w:rStyle w:val="normaltextrun"/>
          <w:color w:val="000000"/>
          <w:sz w:val="22"/>
          <w:szCs w:val="22"/>
          <w:shd w:val="clear" w:color="auto" w:fill="FFFFFF"/>
        </w:rPr>
        <w:t xml:space="preserve"> </w:t>
      </w:r>
      <w:r w:rsidRPr="003145C0">
        <w:rPr>
          <w:rStyle w:val="normaltextrun"/>
          <w:color w:val="000000"/>
          <w:sz w:val="22"/>
          <w:szCs w:val="22"/>
          <w:shd w:val="clear" w:color="auto" w:fill="FFFFFF"/>
        </w:rPr>
        <w:t xml:space="preserve">Obe opatrenia budú financované z národného projektu </w:t>
      </w:r>
      <w:r>
        <w:rPr>
          <w:rStyle w:val="normaltextrun"/>
          <w:color w:val="000000"/>
          <w:sz w:val="22"/>
          <w:szCs w:val="22"/>
          <w:shd w:val="clear" w:color="auto" w:fill="FFFFFF"/>
        </w:rPr>
        <w:t>„</w:t>
      </w:r>
      <w:r w:rsidRPr="003145C0">
        <w:rPr>
          <w:rStyle w:val="normaltextrun"/>
          <w:color w:val="000000"/>
          <w:sz w:val="22"/>
          <w:szCs w:val="22"/>
          <w:shd w:val="clear" w:color="auto" w:fill="FFFFFF"/>
        </w:rPr>
        <w:t xml:space="preserve">Zlepšovanie podnikateľského prostredia na Slovensku a hodnotenie politík v kompetencii </w:t>
      </w:r>
      <w:r w:rsidR="003E553E">
        <w:rPr>
          <w:rStyle w:val="normaltextrun"/>
          <w:color w:val="000000"/>
          <w:sz w:val="22"/>
          <w:szCs w:val="22"/>
          <w:shd w:val="clear" w:color="auto" w:fill="FFFFFF"/>
        </w:rPr>
        <w:t>Ministerstva hospodártsva</w:t>
      </w:r>
      <w:r w:rsidRPr="003145C0">
        <w:rPr>
          <w:rStyle w:val="normaltextrun"/>
          <w:color w:val="000000"/>
          <w:sz w:val="22"/>
          <w:szCs w:val="22"/>
          <w:shd w:val="clear" w:color="auto" w:fill="FFFFFF"/>
        </w:rPr>
        <w:t xml:space="preserve"> SR</w:t>
      </w:r>
      <w:r w:rsidR="003E553E">
        <w:rPr>
          <w:rStyle w:val="normaltextrun"/>
          <w:color w:val="000000"/>
          <w:sz w:val="22"/>
          <w:szCs w:val="22"/>
          <w:shd w:val="clear" w:color="auto" w:fill="FFFFFF"/>
        </w:rPr>
        <w:t>“</w:t>
      </w:r>
      <w:r w:rsidRPr="003145C0">
        <w:rPr>
          <w:rStyle w:val="normaltextrun"/>
          <w:color w:val="000000"/>
          <w:sz w:val="22"/>
          <w:szCs w:val="22"/>
          <w:shd w:val="clear" w:color="auto" w:fill="FFFFFF"/>
        </w:rPr>
        <w:t>. Čerpanie finančných prostriedkov bude počas roka 2020.</w:t>
      </w:r>
    </w:p>
    <w:p w:rsidR="003145C0" w:rsidRPr="00BD3822" w:rsidRDefault="00BD3822" w:rsidP="003145C0">
      <w:pPr>
        <w:pStyle w:val="paragraph"/>
        <w:shd w:val="clear" w:color="auto" w:fill="FFFFFF"/>
        <w:spacing w:after="0"/>
        <w:jc w:val="both"/>
        <w:textAlignment w:val="baseline"/>
        <w:rPr>
          <w:rStyle w:val="normaltextrun"/>
          <w:b/>
          <w:color w:val="000000"/>
          <w:sz w:val="22"/>
          <w:szCs w:val="22"/>
          <w:shd w:val="clear" w:color="auto" w:fill="FFFFFF"/>
        </w:rPr>
      </w:pPr>
      <w:r w:rsidRPr="00BD3822">
        <w:rPr>
          <w:rStyle w:val="normaltextrun"/>
          <w:b/>
          <w:color w:val="000000"/>
          <w:sz w:val="22"/>
          <w:szCs w:val="22"/>
          <w:shd w:val="clear" w:color="auto" w:fill="FFFFFF"/>
        </w:rPr>
        <w:t>Opatrenie MZ SR</w:t>
      </w:r>
    </w:p>
    <w:p w:rsidR="00BD3822" w:rsidRDefault="00BD3822"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Na vykonanie opatrenia 1.1.9. </w:t>
      </w:r>
      <w:r w:rsidR="00B50B3F">
        <w:rPr>
          <w:rStyle w:val="normaltextrun"/>
          <w:color w:val="000000"/>
          <w:sz w:val="22"/>
          <w:szCs w:val="22"/>
          <w:shd w:val="clear" w:color="auto" w:fill="FFFFFF"/>
        </w:rPr>
        <w:t>(</w:t>
      </w:r>
      <w:r w:rsidR="00B50B3F" w:rsidRPr="00D8428B">
        <w:rPr>
          <w:szCs w:val="22"/>
        </w:rPr>
        <w:t>Iniciujeme činnosti vedúce k posúdeniu dopadov využívania inteligentných systémov a digitálnych technológií na vývoj, zdravie a správanie človeka</w:t>
      </w:r>
      <w:r w:rsidR="00B50B3F">
        <w:rPr>
          <w:rStyle w:val="normaltextrun"/>
          <w:color w:val="000000"/>
          <w:sz w:val="22"/>
          <w:szCs w:val="22"/>
          <w:shd w:val="clear" w:color="auto" w:fill="FFFFFF"/>
        </w:rPr>
        <w:t xml:space="preserve">) </w:t>
      </w:r>
      <w:r>
        <w:rPr>
          <w:rStyle w:val="normaltextrun"/>
          <w:color w:val="000000"/>
          <w:sz w:val="22"/>
          <w:szCs w:val="22"/>
          <w:shd w:val="clear" w:color="auto" w:fill="FFFFFF"/>
        </w:rPr>
        <w:t xml:space="preserve">sa predpokladá dopad na rozpočet verejnej správy, ale ten momentálne nie je možné vyčísliť vzhľadom na </w:t>
      </w:r>
      <w:r w:rsidR="00FB3963">
        <w:rPr>
          <w:rStyle w:val="normaltextrun"/>
          <w:color w:val="000000"/>
          <w:sz w:val="22"/>
          <w:szCs w:val="22"/>
          <w:shd w:val="clear" w:color="auto" w:fill="FFFFFF"/>
        </w:rPr>
        <w:t>to, že rozsah tohto opatrenia</w:t>
      </w:r>
      <w:r>
        <w:rPr>
          <w:rStyle w:val="normaltextrun"/>
          <w:color w:val="000000"/>
          <w:sz w:val="22"/>
          <w:szCs w:val="22"/>
          <w:shd w:val="clear" w:color="auto" w:fill="FFFFFF"/>
        </w:rPr>
        <w:t xml:space="preserve">, jeho komplexnosť, predpokladané úlohy </w:t>
      </w:r>
      <w:r w:rsidR="00FB3963">
        <w:rPr>
          <w:rStyle w:val="normaltextrun"/>
          <w:color w:val="000000"/>
          <w:sz w:val="22"/>
          <w:szCs w:val="22"/>
          <w:shd w:val="clear" w:color="auto" w:fill="FFFFFF"/>
        </w:rPr>
        <w:t>bude predmetom posúdenia expertnej skupiny</w:t>
      </w:r>
      <w:r>
        <w:rPr>
          <w:rStyle w:val="normaltextrun"/>
          <w:color w:val="000000"/>
          <w:sz w:val="22"/>
          <w:szCs w:val="22"/>
          <w:shd w:val="clear" w:color="auto" w:fill="FFFFFF"/>
        </w:rPr>
        <w:t>. Uvedené opatrenie si môže vyžiadať tak financovanie zo strany štátneho rozpočtu ako aj zdrojov EÚ, pričom sa využije už existujúca expertíza zo zahraničia a renomovaných inštitúcií a odborníkov, ktorá bude predmetom posúdenia zriadenej expertnej komisie.</w:t>
      </w:r>
    </w:p>
    <w:p w:rsidR="00C32C48" w:rsidRPr="00C32C48" w:rsidRDefault="00C32C48" w:rsidP="003145C0">
      <w:pPr>
        <w:pStyle w:val="paragraph"/>
        <w:shd w:val="clear" w:color="auto" w:fill="FFFFFF"/>
        <w:spacing w:after="0"/>
        <w:jc w:val="both"/>
        <w:textAlignment w:val="baseline"/>
        <w:rPr>
          <w:rStyle w:val="normaltextrun"/>
          <w:b/>
          <w:color w:val="000000"/>
          <w:sz w:val="22"/>
          <w:szCs w:val="22"/>
          <w:shd w:val="clear" w:color="auto" w:fill="FFFFFF"/>
        </w:rPr>
      </w:pPr>
      <w:r w:rsidRPr="00C32C48">
        <w:rPr>
          <w:rStyle w:val="normaltextrun"/>
          <w:b/>
          <w:color w:val="000000"/>
          <w:sz w:val="22"/>
          <w:szCs w:val="22"/>
          <w:shd w:val="clear" w:color="auto" w:fill="FFFFFF"/>
        </w:rPr>
        <w:t>Opatrenia NBÚ</w:t>
      </w:r>
    </w:p>
    <w:p w:rsidR="00595BED" w:rsidRPr="00595BED" w:rsidRDefault="00595BED" w:rsidP="00595BED">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G </w:t>
      </w:r>
      <w:r>
        <w:rPr>
          <w:rStyle w:val="normaltextrun"/>
          <w:color w:val="000000"/>
          <w:sz w:val="22"/>
          <w:szCs w:val="22"/>
          <w:shd w:val="clear" w:color="auto" w:fill="FFFFFF"/>
          <w:lang w:val="en-AU"/>
        </w:rPr>
        <w:t>(</w:t>
      </w:r>
      <w:r w:rsidRPr="00DA4833">
        <w:rPr>
          <w:szCs w:val="22"/>
        </w:rPr>
        <w:t>Podpora vzniku a aktivít národného kompetenčného a koordinačného centra pre kybernetickú bezpečnosť</w:t>
      </w:r>
      <w:r>
        <w:rPr>
          <w:rStyle w:val="normaltextrun"/>
          <w:color w:val="000000"/>
          <w:sz w:val="22"/>
          <w:szCs w:val="22"/>
          <w:shd w:val="clear" w:color="auto" w:fill="FFFFFF"/>
          <w:lang w:val="en-AU"/>
        </w:rPr>
        <w:t>)</w:t>
      </w:r>
      <w:r>
        <w:rPr>
          <w:rStyle w:val="normaltextrun"/>
          <w:color w:val="000000"/>
          <w:sz w:val="22"/>
          <w:szCs w:val="22"/>
          <w:shd w:val="clear" w:color="auto" w:fill="FFFFFF"/>
        </w:rPr>
        <w:t xml:space="preserve"> - </w:t>
      </w:r>
      <w:r w:rsidRPr="00595BED">
        <w:rPr>
          <w:rStyle w:val="normaltextrun"/>
          <w:color w:val="000000"/>
          <w:sz w:val="22"/>
          <w:szCs w:val="22"/>
          <w:shd w:val="clear" w:color="auto" w:fill="FFFFFF"/>
        </w:rPr>
        <w:t>N</w:t>
      </w:r>
      <w:r>
        <w:rPr>
          <w:rStyle w:val="normaltextrun"/>
          <w:color w:val="000000"/>
          <w:sz w:val="22"/>
          <w:szCs w:val="22"/>
          <w:shd w:val="clear" w:color="auto" w:fill="FFFFFF"/>
        </w:rPr>
        <w:t>BÚ</w:t>
      </w:r>
      <w:r w:rsidRPr="00595BED">
        <w:rPr>
          <w:rStyle w:val="normaltextrun"/>
          <w:color w:val="000000"/>
          <w:sz w:val="22"/>
          <w:szCs w:val="22"/>
          <w:shd w:val="clear" w:color="auto" w:fill="FFFFFF"/>
        </w:rPr>
        <w:t xml:space="preserve"> nedisponuje v rozpočte prostriedkami, ktoré by mohol vyčleniť na plnenie predmetného opatrenia</w:t>
      </w:r>
      <w:r>
        <w:rPr>
          <w:rStyle w:val="normaltextrun"/>
          <w:color w:val="000000"/>
          <w:sz w:val="22"/>
          <w:szCs w:val="22"/>
          <w:shd w:val="clear" w:color="auto" w:fill="FFFFFF"/>
        </w:rPr>
        <w:t>, pričom dopad uvedeného opatrenia na rozpočet verejnej správy v tejto fáze ani nie je možné vyčísliť</w:t>
      </w:r>
      <w:r w:rsidRPr="00595BED">
        <w:rPr>
          <w:rStyle w:val="normaltextrun"/>
          <w:color w:val="000000"/>
          <w:sz w:val="22"/>
          <w:szCs w:val="22"/>
          <w:shd w:val="clear" w:color="auto" w:fill="FFFFFF"/>
        </w:rPr>
        <w:t xml:space="preserve">. Podporu opatrenia G vnímame ako kľúčovú a to najmä z dôvodov uvedených v návrhu Akčného plánu. </w:t>
      </w:r>
    </w:p>
    <w:p w:rsidR="00595BED" w:rsidRDefault="00595BED"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NBÚ</w:t>
      </w:r>
      <w:r w:rsidRPr="00595BED">
        <w:rPr>
          <w:rStyle w:val="normaltextrun"/>
          <w:color w:val="000000"/>
          <w:sz w:val="22"/>
          <w:szCs w:val="22"/>
          <w:shd w:val="clear" w:color="auto" w:fill="FFFFFF"/>
        </w:rPr>
        <w:t xml:space="preserve"> je v štádiu príprav zriadenia príspevkovej organizácie od 1.1.2020, ktorá by mala zabezpečovať činnosti predmetného centra a finančné prostriedky by mali byť vyčlenené vo forme príspevku zo štátneho rozpočtu, keďže úrad voľnými zdrojmi ako zriaďovateľ centra nedisponuje. Za účelom správneho sledovania čerpania finančných prostriedkov vyčlenených vo forme príspevku je však nevyhnutné zriadenie nového programu v rámci programovej štruktúry úradu, čo bude rovnako potrebné uviesť do predkladaného materiálu. </w:t>
      </w:r>
    </w:p>
    <w:p w:rsidR="003145C0" w:rsidRDefault="003145C0" w:rsidP="003145C0">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Opatrenia MPSVR SR</w:t>
      </w:r>
    </w:p>
    <w:p w:rsidR="007A48B8" w:rsidRDefault="007A48B8"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Opatrenie 1.1.7.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Vypracovanie štúdie vplyvov digitálnej transformácie a odporúčaní na národnej úrovni v oblasti zamestnanosti, kvalifikácií a foriem práce – Práca 4.0</w:t>
      </w:r>
      <w:r w:rsidR="00B50B3F">
        <w:rPr>
          <w:rStyle w:val="normaltextrun"/>
          <w:color w:val="000000"/>
          <w:sz w:val="22"/>
          <w:szCs w:val="22"/>
          <w:shd w:val="clear" w:color="auto" w:fill="FFFFFF"/>
        </w:rPr>
        <w:t xml:space="preserve">) </w:t>
      </w:r>
      <w:r>
        <w:rPr>
          <w:rStyle w:val="normaltextrun"/>
          <w:color w:val="000000"/>
          <w:sz w:val="22"/>
          <w:szCs w:val="22"/>
          <w:shd w:val="clear" w:color="auto" w:fill="FFFFFF"/>
        </w:rPr>
        <w:t xml:space="preserve">bude financované </w:t>
      </w:r>
      <w:r w:rsidR="00BC3246">
        <w:rPr>
          <w:rStyle w:val="normaltextrun"/>
          <w:color w:val="000000"/>
          <w:sz w:val="22"/>
          <w:szCs w:val="22"/>
          <w:shd w:val="clear" w:color="auto" w:fill="FFFFFF"/>
        </w:rPr>
        <w:t xml:space="preserve">z </w:t>
      </w:r>
      <w:r w:rsidR="00BC3246" w:rsidRPr="00BC3246">
        <w:rPr>
          <w:rStyle w:val="normaltextrun"/>
          <w:color w:val="000000"/>
          <w:sz w:val="22"/>
          <w:szCs w:val="22"/>
          <w:shd w:val="clear" w:color="auto" w:fill="FFFFFF"/>
        </w:rPr>
        <w:t>národného projektu „Sektorovo riadenými inováciami k efektívnemu trhu práce v Slovenskej republike“</w:t>
      </w:r>
      <w:r w:rsidR="00595BED">
        <w:rPr>
          <w:rStyle w:val="normaltextrun"/>
          <w:color w:val="000000"/>
          <w:sz w:val="22"/>
          <w:szCs w:val="22"/>
          <w:shd w:val="clear" w:color="auto" w:fill="FFFFFF"/>
        </w:rPr>
        <w:t>, pričom presná alokácia na toto opatrenie sa nedá odhadnúť</w:t>
      </w:r>
      <w:r w:rsidR="004A371B" w:rsidRPr="00BC3246">
        <w:rPr>
          <w:rStyle w:val="normaltextrun"/>
          <w:color w:val="000000"/>
          <w:sz w:val="22"/>
          <w:szCs w:val="22"/>
          <w:shd w:val="clear" w:color="auto" w:fill="FFFFFF"/>
        </w:rPr>
        <w:t>.</w:t>
      </w:r>
    </w:p>
    <w:p w:rsidR="009F1385" w:rsidRPr="009F1385" w:rsidRDefault="009F1385" w:rsidP="003145C0">
      <w:pPr>
        <w:pStyle w:val="paragraph"/>
        <w:shd w:val="clear" w:color="auto" w:fill="FFFFFF"/>
        <w:spacing w:after="0"/>
        <w:jc w:val="both"/>
        <w:textAlignment w:val="baseline"/>
        <w:rPr>
          <w:rStyle w:val="normaltextrun"/>
          <w:color w:val="000000"/>
          <w:sz w:val="22"/>
          <w:szCs w:val="22"/>
          <w:shd w:val="clear" w:color="auto" w:fill="FFFFFF"/>
        </w:rPr>
      </w:pPr>
      <w:r w:rsidRPr="009F1385">
        <w:rPr>
          <w:rStyle w:val="normaltextrun"/>
          <w:color w:val="000000"/>
          <w:sz w:val="22"/>
          <w:szCs w:val="22"/>
          <w:shd w:val="clear" w:color="auto" w:fill="FFFFFF"/>
        </w:rPr>
        <w:t xml:space="preserve">Opatrenie 1.2.2.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Výrazne zjednodušíme procesy pre zamestnávanie expertov zo zahraničia, osobitne na vysokých školách</w:t>
      </w:r>
      <w:r w:rsidR="00B50B3F">
        <w:rPr>
          <w:rStyle w:val="normaltextrun"/>
          <w:color w:val="000000"/>
          <w:sz w:val="22"/>
          <w:szCs w:val="22"/>
          <w:shd w:val="clear" w:color="auto" w:fill="FFFFFF"/>
        </w:rPr>
        <w:t xml:space="preserve">) </w:t>
      </w:r>
      <w:r w:rsidRPr="009F1385">
        <w:rPr>
          <w:rStyle w:val="normaltextrun"/>
          <w:color w:val="000000"/>
          <w:sz w:val="22"/>
          <w:szCs w:val="22"/>
          <w:shd w:val="clear" w:color="auto" w:fill="FFFFFF"/>
        </w:rPr>
        <w:t>by okrem samotnej činnosti nastavenia vhodnej legislatívy ako aj procesov zahŕňať poskytovanie štipendií, poistení a krytí minimálnych výdavkov (internát) pre zahraničných študentov štúdií STEM v spoločných programo</w:t>
      </w:r>
      <w:r>
        <w:rPr>
          <w:rStyle w:val="normaltextrun"/>
          <w:color w:val="000000"/>
          <w:sz w:val="22"/>
          <w:szCs w:val="22"/>
          <w:shd w:val="clear" w:color="auto" w:fill="FFFFFF"/>
        </w:rPr>
        <w:t>c</w:t>
      </w:r>
      <w:r w:rsidR="00406E75">
        <w:rPr>
          <w:rStyle w:val="normaltextrun"/>
          <w:color w:val="000000"/>
          <w:sz w:val="22"/>
          <w:szCs w:val="22"/>
          <w:shd w:val="clear" w:color="auto" w:fill="FFFFFF"/>
        </w:rPr>
        <w:t>h so zapojením zamestnávateľov. Výšku týchto výdavkou ale momentálne nie je možné vyčísliť.</w:t>
      </w:r>
    </w:p>
    <w:p w:rsidR="003145C0" w:rsidRDefault="003145C0" w:rsidP="003145C0">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Opatrenia MZVaEZ SR</w:t>
      </w:r>
    </w:p>
    <w:p w:rsidR="003A1557" w:rsidRPr="003A1557" w:rsidRDefault="003A1557" w:rsidP="003145C0">
      <w:pPr>
        <w:pStyle w:val="paragraph"/>
        <w:shd w:val="clear" w:color="auto" w:fill="FFFFFF"/>
        <w:spacing w:after="0"/>
        <w:jc w:val="both"/>
        <w:textAlignment w:val="baseline"/>
        <w:rPr>
          <w:rStyle w:val="normaltextrun"/>
          <w:color w:val="000000"/>
          <w:sz w:val="22"/>
          <w:szCs w:val="22"/>
          <w:shd w:val="clear" w:color="auto" w:fill="FFFFFF"/>
        </w:rPr>
      </w:pPr>
      <w:r w:rsidRPr="003A1557">
        <w:rPr>
          <w:rStyle w:val="normaltextrun"/>
          <w:color w:val="000000"/>
          <w:sz w:val="22"/>
          <w:szCs w:val="22"/>
          <w:shd w:val="clear" w:color="auto" w:fill="FFFFFF"/>
        </w:rPr>
        <w:t xml:space="preserve">Opatrenie 1.1.4.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Zriadime efektívny mechanizmus na boj proti dezinformáciám</w:t>
      </w:r>
      <w:r w:rsidR="00B50B3F">
        <w:rPr>
          <w:rStyle w:val="normaltextrun"/>
          <w:color w:val="000000"/>
          <w:sz w:val="22"/>
          <w:szCs w:val="22"/>
          <w:shd w:val="clear" w:color="auto" w:fill="FFFFFF"/>
        </w:rPr>
        <w:t xml:space="preserve">) </w:t>
      </w:r>
      <w:r w:rsidRPr="003A1557">
        <w:rPr>
          <w:rStyle w:val="normaltextrun"/>
          <w:color w:val="000000"/>
          <w:sz w:val="22"/>
          <w:szCs w:val="22"/>
          <w:shd w:val="clear" w:color="auto" w:fill="FFFFFF"/>
        </w:rPr>
        <w:t xml:space="preserve">očakáva dopad na rozpočet verejnej správy, ale ten bude možné vyčísliť až pri progrese prác pri tvorbe, nastavovaní fungovania a identifikácií konkrétnych činností tohto mechanizmu. V závislosti od vyššie uvedeného nastavenia sa zváži komplementarita finančnej podpory tak </w:t>
      </w:r>
      <w:r w:rsidR="00BB1148">
        <w:rPr>
          <w:rStyle w:val="normaltextrun"/>
          <w:color w:val="000000"/>
          <w:sz w:val="22"/>
          <w:szCs w:val="22"/>
          <w:shd w:val="clear" w:color="auto" w:fill="FFFFFF"/>
        </w:rPr>
        <w:t>zo štátneho rozpočtu ako aj</w:t>
      </w:r>
      <w:r w:rsidRPr="003A1557">
        <w:rPr>
          <w:rStyle w:val="normaltextrun"/>
          <w:color w:val="000000"/>
          <w:sz w:val="22"/>
          <w:szCs w:val="22"/>
          <w:shd w:val="clear" w:color="auto" w:fill="FFFFFF"/>
        </w:rPr>
        <w:t xml:space="preserve"> zdrojov EÚ.</w:t>
      </w:r>
    </w:p>
    <w:p w:rsidR="003145C0" w:rsidRDefault="003145C0" w:rsidP="003145C0">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Opatrenia MDV SR</w:t>
      </w:r>
    </w:p>
    <w:p w:rsidR="003E553E" w:rsidRDefault="003E553E" w:rsidP="00B50B3F">
      <w:pPr>
        <w:pStyle w:val="paragraph"/>
        <w:shd w:val="clear" w:color="auto" w:fill="FFFFFF"/>
        <w:spacing w:after="0"/>
        <w:jc w:val="both"/>
        <w:textAlignment w:val="baseline"/>
        <w:rPr>
          <w:rStyle w:val="normaltextrun"/>
          <w:color w:val="000000"/>
          <w:sz w:val="22"/>
          <w:szCs w:val="22"/>
          <w:shd w:val="clear" w:color="auto" w:fill="FFFFFF"/>
        </w:rPr>
      </w:pPr>
      <w:r w:rsidRPr="003E553E">
        <w:rPr>
          <w:rStyle w:val="normaltextrun"/>
          <w:color w:val="000000"/>
          <w:sz w:val="22"/>
          <w:szCs w:val="22"/>
          <w:shd w:val="clear" w:color="auto" w:fill="FFFFFF"/>
        </w:rPr>
        <w:t xml:space="preserve">Opatrenia </w:t>
      </w:r>
      <w:r w:rsidR="00B50B3F" w:rsidRPr="00B50B3F">
        <w:rPr>
          <w:rStyle w:val="normaltextrun"/>
          <w:color w:val="000000"/>
          <w:sz w:val="22"/>
          <w:szCs w:val="22"/>
          <w:shd w:val="clear" w:color="auto" w:fill="FFFFFF"/>
        </w:rPr>
        <w:t>2.3.1</w:t>
      </w:r>
      <w:r w:rsidR="00B50B3F" w:rsidRPr="00B50B3F">
        <w:rPr>
          <w:rStyle w:val="normaltextrun"/>
          <w:color w:val="000000"/>
          <w:sz w:val="22"/>
          <w:szCs w:val="22"/>
          <w:shd w:val="clear" w:color="auto" w:fill="FFFFFF"/>
        </w:rPr>
        <w:tab/>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Prijmeme národnú Stratégiu pre inteligentnú mobilitu</w:t>
      </w:r>
      <w:r w:rsidR="00B50B3F">
        <w:rPr>
          <w:rStyle w:val="normaltextrun"/>
          <w:color w:val="000000"/>
          <w:sz w:val="22"/>
          <w:szCs w:val="22"/>
          <w:shd w:val="clear" w:color="auto" w:fill="FFFFFF"/>
          <w:lang w:val="en-AU"/>
        </w:rPr>
        <w:t xml:space="preserve">), </w:t>
      </w:r>
      <w:r w:rsidR="00B50B3F" w:rsidRPr="00B50B3F">
        <w:rPr>
          <w:rStyle w:val="normaltextrun"/>
          <w:color w:val="000000"/>
          <w:sz w:val="22"/>
          <w:szCs w:val="22"/>
          <w:shd w:val="clear" w:color="auto" w:fill="FFFFFF"/>
        </w:rPr>
        <w:t>2.3.2</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Navrhneme koncept inovačného verejno-súkromného partnerstva pre riešenia inteligentnej mobility</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2.3.3</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Navrhneme Akčný plán nasadenia inteligentnej mobility v</w:t>
      </w:r>
      <w:r w:rsidR="00B50B3F">
        <w:rPr>
          <w:rStyle w:val="normaltextrun"/>
          <w:color w:val="000000"/>
          <w:sz w:val="22"/>
          <w:szCs w:val="22"/>
          <w:shd w:val="clear" w:color="auto" w:fill="FFFFFF"/>
        </w:rPr>
        <w:t> </w:t>
      </w:r>
      <w:r w:rsidR="00B50B3F" w:rsidRPr="00B50B3F">
        <w:rPr>
          <w:rStyle w:val="normaltextrun"/>
          <w:color w:val="000000"/>
          <w:sz w:val="22"/>
          <w:szCs w:val="22"/>
          <w:shd w:val="clear" w:color="auto" w:fill="FFFFFF"/>
        </w:rPr>
        <w:t>SR</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2.3.4</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Pripravíme legislatívu na testovanie a prevádzku autonómnych vozidiel</w:t>
      </w:r>
      <w:r w:rsidR="00B50B3F">
        <w:rPr>
          <w:rStyle w:val="normaltextrun"/>
          <w:color w:val="000000"/>
          <w:sz w:val="22"/>
          <w:szCs w:val="22"/>
          <w:shd w:val="clear" w:color="auto" w:fill="FFFFFF"/>
        </w:rPr>
        <w:t>), 2</w:t>
      </w:r>
      <w:r w:rsidR="00B50B3F" w:rsidRPr="00B50B3F">
        <w:rPr>
          <w:rStyle w:val="normaltextrun"/>
          <w:color w:val="000000"/>
          <w:sz w:val="22"/>
          <w:szCs w:val="22"/>
          <w:shd w:val="clear" w:color="auto" w:fill="FFFFFF"/>
        </w:rPr>
        <w:t>.3.5</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Vytvoríme prostredie na experimentálne overovanie regulácie pre inteligentnú mobilitu</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2.3.6</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Realizujeme činnosti platformy pre inteligentnú mobilitu ako „Smart mobility lab“</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2.3.7</w:t>
      </w:r>
      <w:r w:rsidR="00B50B3F">
        <w:rPr>
          <w:rStyle w:val="normaltextrun"/>
          <w:color w:val="000000"/>
          <w:sz w:val="22"/>
          <w:szCs w:val="22"/>
          <w:shd w:val="clear" w:color="auto" w:fill="FFFFFF"/>
        </w:rPr>
        <w:t xml:space="preserve"> (</w:t>
      </w:r>
      <w:r w:rsidR="00B50B3F" w:rsidRPr="00B50B3F">
        <w:rPr>
          <w:rStyle w:val="normaltextrun"/>
          <w:color w:val="000000"/>
          <w:sz w:val="22"/>
          <w:szCs w:val="22"/>
          <w:shd w:val="clear" w:color="auto" w:fill="FFFFFF"/>
        </w:rPr>
        <w:t>Preskúmame vytvorenie inštitucionálnej podpory pre testovanie autonómnych vozidiel</w:t>
      </w:r>
      <w:r w:rsidR="00B50B3F">
        <w:rPr>
          <w:rStyle w:val="normaltextrun"/>
          <w:color w:val="000000"/>
          <w:sz w:val="22"/>
          <w:szCs w:val="22"/>
          <w:shd w:val="clear" w:color="auto" w:fill="FFFFFF"/>
        </w:rPr>
        <w:t>) a 2.3.8 (</w:t>
      </w:r>
      <w:r w:rsidR="00B50B3F" w:rsidRPr="00B50B3F">
        <w:rPr>
          <w:rStyle w:val="normaltextrun"/>
          <w:color w:val="000000"/>
          <w:sz w:val="22"/>
          <w:szCs w:val="22"/>
          <w:shd w:val="clear" w:color="auto" w:fill="FFFFFF"/>
        </w:rPr>
        <w:t>Zavedieme do praxe vybrané inovačné koncepty v doprave v pilotnom rozsahu, tzv. Proof of Concept</w:t>
      </w:r>
      <w:r w:rsidR="00B50B3F">
        <w:rPr>
          <w:rStyle w:val="normaltextrun"/>
          <w:color w:val="000000"/>
          <w:sz w:val="22"/>
          <w:szCs w:val="22"/>
          <w:shd w:val="clear" w:color="auto" w:fill="FFFFFF"/>
        </w:rPr>
        <w:t>)</w:t>
      </w:r>
      <w:r w:rsidRPr="003E553E">
        <w:rPr>
          <w:rStyle w:val="normaltextrun"/>
          <w:color w:val="000000"/>
          <w:sz w:val="22"/>
          <w:szCs w:val="22"/>
          <w:shd w:val="clear" w:color="auto" w:fill="FFFFFF"/>
        </w:rPr>
        <w:t xml:space="preserve"> </w:t>
      </w:r>
      <w:r>
        <w:rPr>
          <w:rStyle w:val="normaltextrun"/>
          <w:color w:val="000000"/>
          <w:sz w:val="22"/>
          <w:szCs w:val="22"/>
          <w:shd w:val="clear" w:color="auto" w:fill="FFFFFF"/>
        </w:rPr>
        <w:t>budú financované z národného projektu OP EVS „</w:t>
      </w:r>
      <w:r w:rsidRPr="003E553E">
        <w:rPr>
          <w:rStyle w:val="normaltextrun"/>
          <w:color w:val="000000"/>
          <w:sz w:val="22"/>
          <w:szCs w:val="22"/>
          <w:shd w:val="clear" w:color="auto" w:fill="FFFFFF"/>
        </w:rPr>
        <w:t>Zlepšenie verejných politík v oblasti dopravy, inovačnej kapacity v doprave a podpora partnerstva v za</w:t>
      </w:r>
      <w:r w:rsidR="00536B41">
        <w:rPr>
          <w:rStyle w:val="normaltextrun"/>
          <w:color w:val="000000"/>
          <w:sz w:val="22"/>
          <w:szCs w:val="22"/>
          <w:shd w:val="clear" w:color="auto" w:fill="FFFFFF"/>
        </w:rPr>
        <w:t xml:space="preserve">vádzaní inteligentnej mobility v odhadovanej alokovanej výške na uvedené opatrenia 4,8 mil. </w:t>
      </w:r>
      <w:r w:rsidR="00A80E6E">
        <w:rPr>
          <w:rStyle w:val="normaltextrun"/>
          <w:color w:val="000000"/>
          <w:sz w:val="22"/>
          <w:szCs w:val="22"/>
          <w:shd w:val="clear" w:color="auto" w:fill="FFFFFF"/>
        </w:rPr>
        <w:t>eur</w:t>
      </w:r>
      <w:r>
        <w:rPr>
          <w:rStyle w:val="normaltextrun"/>
          <w:color w:val="000000"/>
          <w:sz w:val="22"/>
          <w:szCs w:val="22"/>
          <w:shd w:val="clear" w:color="auto" w:fill="FFFFFF"/>
        </w:rPr>
        <w:t>.</w:t>
      </w:r>
      <w:r w:rsidR="008C0C70">
        <w:rPr>
          <w:rStyle w:val="normaltextrun"/>
          <w:color w:val="000000"/>
          <w:sz w:val="22"/>
          <w:szCs w:val="22"/>
          <w:shd w:val="clear" w:color="auto" w:fill="FFFFFF"/>
        </w:rPr>
        <w:t xml:space="preserve"> Uvedené náklady pokrývajú tak personálne náklady na zamestnancov ako aj požiadavky na externé služby. </w:t>
      </w:r>
    </w:p>
    <w:p w:rsidR="003145C0" w:rsidRDefault="003145C0" w:rsidP="003145C0">
      <w:pPr>
        <w:pStyle w:val="paragraph"/>
        <w:shd w:val="clear" w:color="auto" w:fill="FFFFFF"/>
        <w:spacing w:after="0"/>
        <w:jc w:val="both"/>
        <w:textAlignment w:val="baseline"/>
        <w:rPr>
          <w:rStyle w:val="normaltextrun"/>
          <w:b/>
          <w:color w:val="000000"/>
          <w:sz w:val="22"/>
          <w:szCs w:val="22"/>
          <w:shd w:val="clear" w:color="auto" w:fill="FFFFFF"/>
        </w:rPr>
      </w:pPr>
      <w:r w:rsidRPr="003145C0">
        <w:rPr>
          <w:rStyle w:val="normaltextrun"/>
          <w:b/>
          <w:color w:val="000000"/>
          <w:sz w:val="22"/>
          <w:szCs w:val="22"/>
          <w:shd w:val="clear" w:color="auto" w:fill="FFFFFF"/>
        </w:rPr>
        <w:t>Opatrenia MŽP SR</w:t>
      </w:r>
    </w:p>
    <w:p w:rsidR="00F03B28" w:rsidRDefault="00F03B28" w:rsidP="003145C0">
      <w:pPr>
        <w:pStyle w:val="paragraph"/>
        <w:shd w:val="clear" w:color="auto" w:fill="FFFFFF"/>
        <w:spacing w:after="0"/>
        <w:jc w:val="both"/>
        <w:textAlignment w:val="baseline"/>
        <w:rPr>
          <w:rStyle w:val="normaltextrun"/>
          <w:color w:val="000000"/>
          <w:sz w:val="22"/>
          <w:szCs w:val="22"/>
          <w:shd w:val="clear" w:color="auto" w:fill="FFFFFF"/>
        </w:rPr>
      </w:pPr>
      <w:r w:rsidRPr="00F03B28">
        <w:rPr>
          <w:rStyle w:val="normaltextrun"/>
          <w:color w:val="000000"/>
          <w:sz w:val="22"/>
          <w:szCs w:val="22"/>
          <w:shd w:val="clear" w:color="auto" w:fill="FFFFFF"/>
        </w:rPr>
        <w:t xml:space="preserve">Opatrenie 3.1.3. </w:t>
      </w:r>
      <w:r w:rsidR="00B50B3F">
        <w:rPr>
          <w:rStyle w:val="normaltextrun"/>
          <w:color w:val="000000"/>
          <w:sz w:val="22"/>
          <w:szCs w:val="22"/>
          <w:shd w:val="clear" w:color="auto" w:fill="FFFFFF"/>
        </w:rPr>
        <w:t>(</w:t>
      </w:r>
      <w:r w:rsidR="00B50B3F" w:rsidRPr="00B50B3F">
        <w:rPr>
          <w:rStyle w:val="normaltextrun"/>
          <w:color w:val="000000"/>
          <w:sz w:val="22"/>
          <w:szCs w:val="22"/>
          <w:shd w:val="clear" w:color="auto" w:fill="FFFFFF"/>
        </w:rPr>
        <w:t>Vytvor</w:t>
      </w:r>
      <w:r w:rsidR="00E80673">
        <w:rPr>
          <w:rStyle w:val="normaltextrun"/>
          <w:color w:val="000000"/>
          <w:sz w:val="22"/>
          <w:szCs w:val="22"/>
          <w:shd w:val="clear" w:color="auto" w:fill="FFFFFF"/>
        </w:rPr>
        <w:t>enie</w:t>
      </w:r>
      <w:r w:rsidR="00B50B3F" w:rsidRPr="00B50B3F">
        <w:rPr>
          <w:rStyle w:val="normaltextrun"/>
          <w:color w:val="000000"/>
          <w:sz w:val="22"/>
          <w:szCs w:val="22"/>
          <w:shd w:val="clear" w:color="auto" w:fill="FFFFFF"/>
        </w:rPr>
        <w:t xml:space="preserve"> systém</w:t>
      </w:r>
      <w:r w:rsidR="00E80673">
        <w:rPr>
          <w:rStyle w:val="normaltextrun"/>
          <w:color w:val="000000"/>
          <w:sz w:val="22"/>
          <w:szCs w:val="22"/>
          <w:shd w:val="clear" w:color="auto" w:fill="FFFFFF"/>
        </w:rPr>
        <w:t>u</w:t>
      </w:r>
      <w:r w:rsidR="00B50B3F" w:rsidRPr="00B50B3F">
        <w:rPr>
          <w:rStyle w:val="normaltextrun"/>
          <w:color w:val="000000"/>
          <w:sz w:val="22"/>
          <w:szCs w:val="22"/>
          <w:shd w:val="clear" w:color="auto" w:fill="FFFFFF"/>
        </w:rPr>
        <w:t xml:space="preserve"> na zdieľanie priestorových informácií</w:t>
      </w:r>
      <w:r w:rsidR="00B50B3F">
        <w:rPr>
          <w:rStyle w:val="normaltextrun"/>
          <w:color w:val="000000"/>
          <w:sz w:val="22"/>
          <w:szCs w:val="22"/>
          <w:shd w:val="clear" w:color="auto" w:fill="FFFFFF"/>
        </w:rPr>
        <w:t xml:space="preserve">) </w:t>
      </w:r>
      <w:r w:rsidRPr="00F03B28">
        <w:rPr>
          <w:rStyle w:val="normaltextrun"/>
          <w:color w:val="000000"/>
          <w:sz w:val="22"/>
          <w:szCs w:val="22"/>
          <w:shd w:val="clear" w:color="auto" w:fill="FFFFFF"/>
        </w:rPr>
        <w:t>bude financované  z národného projektu OP EVS „Efektívna správa priestorových údajov a služieb (ESPUS)“ v alokovanej výške 3,6 mil. eur.</w:t>
      </w:r>
      <w:r w:rsidR="008C0C70">
        <w:rPr>
          <w:rStyle w:val="normaltextrun"/>
          <w:color w:val="000000"/>
          <w:sz w:val="22"/>
          <w:szCs w:val="22"/>
          <w:shd w:val="clear" w:color="auto" w:fill="FFFFFF"/>
        </w:rPr>
        <w:t xml:space="preserve"> Uvedené náklady pokrývajú tak personálne náklady na zamestnancov ako aj požiadavky na externé služby.</w:t>
      </w:r>
    </w:p>
    <w:p w:rsidR="00B542E4" w:rsidRPr="00B542E4" w:rsidRDefault="00B542E4" w:rsidP="003145C0">
      <w:pPr>
        <w:pStyle w:val="paragraph"/>
        <w:shd w:val="clear" w:color="auto" w:fill="FFFFFF"/>
        <w:spacing w:after="0"/>
        <w:jc w:val="both"/>
        <w:textAlignment w:val="baseline"/>
        <w:rPr>
          <w:rStyle w:val="normaltextrun"/>
          <w:b/>
          <w:color w:val="000000"/>
          <w:sz w:val="22"/>
          <w:szCs w:val="22"/>
          <w:shd w:val="clear" w:color="auto" w:fill="FFFFFF"/>
        </w:rPr>
      </w:pPr>
      <w:r w:rsidRPr="00B542E4">
        <w:rPr>
          <w:rStyle w:val="normaltextrun"/>
          <w:b/>
          <w:color w:val="000000"/>
          <w:sz w:val="22"/>
          <w:szCs w:val="22"/>
          <w:shd w:val="clear" w:color="auto" w:fill="FFFFFF"/>
        </w:rPr>
        <w:t>DEUS</w:t>
      </w:r>
    </w:p>
    <w:p w:rsidR="00B542E4" w:rsidRPr="00F03B28" w:rsidRDefault="00B542E4" w:rsidP="003145C0">
      <w:pPr>
        <w:pStyle w:val="paragraph"/>
        <w:shd w:val="clear" w:color="auto" w:fill="FFFFFF"/>
        <w:spacing w:after="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Opatrenie 3.2.5 nevieme momentálne vyčísliť.</w:t>
      </w:r>
    </w:p>
    <w:p w:rsidR="003145C0" w:rsidRPr="00BE129F" w:rsidRDefault="003145C0" w:rsidP="00A52F26">
      <w:pPr>
        <w:pStyle w:val="paragraph"/>
        <w:shd w:val="clear" w:color="auto" w:fill="FFFFFF"/>
        <w:spacing w:before="0" w:beforeAutospacing="0" w:after="0" w:afterAutospacing="0"/>
        <w:jc w:val="both"/>
        <w:textAlignment w:val="baseline"/>
        <w:rPr>
          <w:rStyle w:val="normaltextrun"/>
          <w:color w:val="000000"/>
          <w:sz w:val="22"/>
          <w:szCs w:val="22"/>
          <w:highlight w:val="yellow"/>
          <w:shd w:val="clear" w:color="auto" w:fill="FFFFFF"/>
        </w:rPr>
      </w:pPr>
    </w:p>
    <w:p w:rsidR="007D5748" w:rsidRPr="007D5748" w:rsidRDefault="007D5748" w:rsidP="00E95432">
      <w:pPr>
        <w:spacing w:after="0" w:line="240" w:lineRule="auto"/>
        <w:jc w:val="both"/>
        <w:rPr>
          <w:rFonts w:ascii="Times New Roman" w:eastAsia="Times New Roman" w:hAnsi="Times New Roman" w:cs="Times New Roman"/>
          <w:b/>
          <w:bCs/>
          <w:sz w:val="24"/>
          <w:szCs w:val="24"/>
          <w:lang w:eastAsia="sk-SK"/>
        </w:rPr>
      </w:pPr>
      <w:r w:rsidRPr="00B134D4">
        <w:rPr>
          <w:rFonts w:ascii="Times New Roman" w:eastAsia="Times New Roman" w:hAnsi="Times New Roman" w:cs="Times New Roman"/>
          <w:b/>
          <w:bCs/>
          <w:sz w:val="24"/>
          <w:szCs w:val="24"/>
          <w:lang w:eastAsia="sk-SK"/>
        </w:rPr>
        <w:t>2.2.2. Charakteristika návrhu:</w:t>
      </w:r>
    </w:p>
    <w:p w:rsidR="007D5748" w:rsidRPr="007D5748" w:rsidRDefault="007D5748" w:rsidP="00314D9D">
      <w:pPr>
        <w:spacing w:after="0" w:line="240" w:lineRule="auto"/>
        <w:rPr>
          <w:rFonts w:ascii="Times New Roman" w:eastAsia="Times New Roman" w:hAnsi="Times New Roman" w:cs="Times New Roman"/>
          <w:sz w:val="24"/>
          <w:szCs w:val="24"/>
          <w:lang w:eastAsia="sk-SK"/>
        </w:rPr>
      </w:pPr>
    </w:p>
    <w:p w:rsidR="007D5748" w:rsidRPr="007D5748" w:rsidRDefault="007D5748" w:rsidP="00314D9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D5748" w:rsidRPr="007D5748" w:rsidRDefault="007D5748" w:rsidP="00314D9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D5748" w:rsidRPr="007D5748" w:rsidRDefault="007E1BC5" w:rsidP="00314D9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007D5748" w:rsidRPr="007D5748">
        <w:rPr>
          <w:rFonts w:ascii="Times New Roman" w:eastAsia="Times New Roman" w:hAnsi="Times New Roman" w:cs="Times New Roman"/>
          <w:sz w:val="24"/>
          <w:szCs w:val="24"/>
          <w:lang w:eastAsia="sk-SK"/>
        </w:rPr>
        <w:t xml:space="preserve">  nová služba alebo nariadenie (alebo ich zrušenie)</w:t>
      </w:r>
    </w:p>
    <w:p w:rsidR="007D5748" w:rsidRPr="007D5748" w:rsidRDefault="007E1BC5" w:rsidP="00314D9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002F0BB6">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kombinovaný návrh</w:t>
      </w:r>
    </w:p>
    <w:p w:rsidR="007D5748" w:rsidRPr="007D5748" w:rsidRDefault="007D5748" w:rsidP="00314D9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0C53DE">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lang w:eastAsia="sk-SK"/>
        </w:rPr>
        <w:t xml:space="preserve">  iné </w:t>
      </w:r>
    </w:p>
    <w:p w:rsidR="007D5748" w:rsidRPr="007D5748" w:rsidRDefault="007D5748" w:rsidP="00314D9D">
      <w:pPr>
        <w:spacing w:after="0" w:line="240" w:lineRule="auto"/>
        <w:rPr>
          <w:rFonts w:ascii="Times New Roman" w:eastAsia="Times New Roman" w:hAnsi="Times New Roman" w:cs="Times New Roman"/>
          <w:sz w:val="24"/>
          <w:szCs w:val="24"/>
          <w:lang w:eastAsia="sk-SK"/>
        </w:rPr>
      </w:pPr>
    </w:p>
    <w:p w:rsidR="007D5748" w:rsidRPr="007D5748" w:rsidRDefault="007D5748" w:rsidP="00314D9D">
      <w:pPr>
        <w:spacing w:after="0" w:line="240" w:lineRule="auto"/>
        <w:rPr>
          <w:rFonts w:ascii="Times New Roman" w:eastAsia="Times New Roman" w:hAnsi="Times New Roman" w:cs="Times New Roman"/>
          <w:sz w:val="24"/>
          <w:szCs w:val="24"/>
          <w:lang w:eastAsia="sk-SK"/>
        </w:rPr>
      </w:pPr>
    </w:p>
    <w:p w:rsidR="007D5748" w:rsidRPr="007D5748" w:rsidRDefault="007D5748" w:rsidP="00314D9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D5748" w:rsidRPr="007D5748" w:rsidRDefault="007D5748" w:rsidP="00314D9D">
      <w:pPr>
        <w:spacing w:after="0" w:line="240" w:lineRule="auto"/>
        <w:rPr>
          <w:rFonts w:ascii="Times New Roman" w:eastAsia="Times New Roman" w:hAnsi="Times New Roman" w:cs="Times New Roman"/>
          <w:sz w:val="24"/>
          <w:szCs w:val="24"/>
          <w:lang w:eastAsia="sk-SK"/>
        </w:rPr>
      </w:pPr>
    </w:p>
    <w:p w:rsidR="00556CE0" w:rsidRPr="007D5748" w:rsidRDefault="007D5748" w:rsidP="004D2A6B">
      <w:pPr>
        <w:spacing w:after="0" w:line="240" w:lineRule="auto"/>
        <w:ind w:firstLine="708"/>
        <w:jc w:val="both"/>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r w:rsidR="00FB277D">
        <w:rPr>
          <w:rFonts w:ascii="Times New Roman" w:eastAsia="Times New Roman" w:hAnsi="Times New Roman" w:cs="Times New Roman"/>
          <w:sz w:val="24"/>
          <w:szCs w:val="24"/>
          <w:lang w:eastAsia="sk-SK"/>
        </w:rPr>
        <w:t xml:space="preserve"> </w:t>
      </w:r>
      <w:r w:rsidR="00556CE0" w:rsidRPr="007D5748">
        <w:rPr>
          <w:rFonts w:ascii="Times New Roman" w:eastAsia="Times New Roman" w:hAnsi="Times New Roman" w:cs="Times New Roman"/>
          <w:sz w:val="20"/>
          <w:szCs w:val="20"/>
          <w:lang w:eastAsia="sk-SK"/>
        </w:rPr>
        <w:t xml:space="preserve">Tabuľka č. 2 </w:t>
      </w:r>
    </w:p>
    <w:p w:rsidR="00556CE0" w:rsidRPr="00135B32" w:rsidRDefault="00556CE0" w:rsidP="00314D9D">
      <w:pPr>
        <w:spacing w:after="0" w:line="240" w:lineRule="auto"/>
        <w:ind w:firstLine="708"/>
        <w:jc w:val="both"/>
        <w:rPr>
          <w:rFonts w:ascii="Times New Roman" w:eastAsia="Times New Roman" w:hAnsi="Times New Roman" w:cs="Times New Roman"/>
          <w:b/>
          <w:i/>
          <w:sz w:val="24"/>
          <w:szCs w:val="24"/>
          <w:lang w:eastAsia="sk-SK"/>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E1605" w:rsidRPr="00135B32" w:rsidTr="004D2A6B">
        <w:trPr>
          <w:cantSplit/>
          <w:trHeight w:val="70"/>
        </w:trPr>
        <w:tc>
          <w:tcPr>
            <w:tcW w:w="4530" w:type="dxa"/>
            <w:vMerge w:val="restart"/>
            <w:shd w:val="clear" w:color="auto" w:fill="BFBFBF" w:themeFill="background1" w:themeFillShade="BF"/>
            <w:vAlign w:val="center"/>
          </w:tcPr>
          <w:p w:rsidR="00556CE0" w:rsidRPr="00135B32" w:rsidRDefault="00556CE0" w:rsidP="00BD610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35B32">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556CE0" w:rsidRPr="00135B32" w:rsidRDefault="00556CE0" w:rsidP="00BD610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35B32">
              <w:rPr>
                <w:rFonts w:ascii="Times New Roman" w:eastAsia="Times New Roman" w:hAnsi="Times New Roman" w:cs="Times New Roman"/>
                <w:b/>
                <w:bCs/>
                <w:sz w:val="24"/>
                <w:szCs w:val="24"/>
                <w:lang w:eastAsia="sk-SK"/>
              </w:rPr>
              <w:t>Odhadované objemy</w:t>
            </w:r>
          </w:p>
        </w:tc>
      </w:tr>
      <w:tr w:rsidR="007E1605" w:rsidRPr="00135B32" w:rsidTr="004D2A6B">
        <w:trPr>
          <w:cantSplit/>
          <w:trHeight w:val="70"/>
        </w:trPr>
        <w:tc>
          <w:tcPr>
            <w:tcW w:w="4530" w:type="dxa"/>
            <w:vMerge/>
            <w:shd w:val="clear" w:color="auto" w:fill="BFBFBF" w:themeFill="background1" w:themeFillShade="BF"/>
          </w:tcPr>
          <w:p w:rsidR="00556CE0" w:rsidRPr="00135B32" w:rsidRDefault="00556CE0" w:rsidP="00BD610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556CE0" w:rsidRPr="00135B32" w:rsidRDefault="00556CE0" w:rsidP="00BD610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35B32">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556CE0" w:rsidRPr="00135B32" w:rsidRDefault="00556CE0" w:rsidP="00BD610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35B32">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556CE0" w:rsidRPr="00135B32" w:rsidRDefault="00556CE0" w:rsidP="00BD610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35B32">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556CE0" w:rsidRPr="00135B32" w:rsidRDefault="00556CE0" w:rsidP="00BD610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35B32">
              <w:rPr>
                <w:rFonts w:ascii="Times New Roman" w:eastAsia="Times New Roman" w:hAnsi="Times New Roman" w:cs="Times New Roman"/>
                <w:b/>
                <w:bCs/>
                <w:sz w:val="24"/>
                <w:szCs w:val="24"/>
                <w:lang w:eastAsia="sk-SK"/>
              </w:rPr>
              <w:t>r + 3</w:t>
            </w:r>
          </w:p>
        </w:tc>
      </w:tr>
      <w:tr w:rsidR="007E1605" w:rsidRPr="00135B32" w:rsidTr="004D2A6B">
        <w:trPr>
          <w:trHeight w:val="70"/>
        </w:trPr>
        <w:tc>
          <w:tcPr>
            <w:tcW w:w="4530" w:type="dxa"/>
          </w:tcPr>
          <w:p w:rsidR="00556CE0" w:rsidRPr="00135B32" w:rsidRDefault="00556CE0" w:rsidP="00BD610B">
            <w:pPr>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7E1605" w:rsidRPr="00135B32" w:rsidTr="004D2A6B">
        <w:trPr>
          <w:trHeight w:val="70"/>
        </w:trPr>
        <w:tc>
          <w:tcPr>
            <w:tcW w:w="4530" w:type="dxa"/>
          </w:tcPr>
          <w:p w:rsidR="00556CE0" w:rsidRPr="00135B32" w:rsidRDefault="00556CE0" w:rsidP="00BD610B">
            <w:pPr>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7E1605" w:rsidRPr="00135B32" w:rsidTr="004D2A6B">
        <w:trPr>
          <w:trHeight w:val="70"/>
        </w:trPr>
        <w:tc>
          <w:tcPr>
            <w:tcW w:w="4530" w:type="dxa"/>
          </w:tcPr>
          <w:p w:rsidR="00556CE0" w:rsidRPr="00135B32" w:rsidRDefault="00556CE0" w:rsidP="00BD610B">
            <w:pPr>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7E1605" w:rsidRPr="00135B32" w:rsidTr="004D2A6B">
        <w:trPr>
          <w:trHeight w:val="70"/>
        </w:trPr>
        <w:tc>
          <w:tcPr>
            <w:tcW w:w="4530" w:type="dxa"/>
          </w:tcPr>
          <w:p w:rsidR="00556CE0" w:rsidRPr="00135B32" w:rsidRDefault="00556CE0" w:rsidP="00BD610B">
            <w:pPr>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556CE0" w:rsidRPr="00135B32" w:rsidRDefault="00556CE0" w:rsidP="00BD610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rsidR="00556CE0" w:rsidRPr="007D5748" w:rsidRDefault="00556CE0" w:rsidP="00314D9D">
      <w:pPr>
        <w:spacing w:after="0" w:line="240" w:lineRule="auto"/>
        <w:ind w:firstLine="708"/>
        <w:jc w:val="both"/>
        <w:rPr>
          <w:rFonts w:ascii="Times New Roman" w:eastAsia="Times New Roman" w:hAnsi="Times New Roman" w:cs="Times New Roman"/>
          <w:sz w:val="24"/>
          <w:szCs w:val="24"/>
          <w:lang w:eastAsia="sk-SK"/>
        </w:rPr>
      </w:pPr>
    </w:p>
    <w:p w:rsidR="00D14FD0" w:rsidRPr="007D5748" w:rsidRDefault="00D14FD0" w:rsidP="00D14FD0">
      <w:pPr>
        <w:spacing w:after="0" w:line="240" w:lineRule="auto"/>
        <w:rPr>
          <w:rFonts w:ascii="Times New Roman" w:eastAsia="Times New Roman" w:hAnsi="Times New Roman" w:cs="Times New Roman"/>
          <w:b/>
          <w:bCs/>
          <w:sz w:val="24"/>
          <w:szCs w:val="24"/>
          <w:lang w:eastAsia="sk-SK"/>
        </w:rPr>
      </w:pPr>
      <w:r w:rsidRPr="001853DF">
        <w:rPr>
          <w:rFonts w:ascii="Times New Roman" w:eastAsia="Times New Roman" w:hAnsi="Times New Roman" w:cs="Times New Roman"/>
          <w:b/>
          <w:bCs/>
          <w:sz w:val="24"/>
          <w:szCs w:val="24"/>
          <w:lang w:eastAsia="sk-SK"/>
        </w:rPr>
        <w:t>2.2.4. Výpočty vplyvov na verejné financie</w:t>
      </w:r>
    </w:p>
    <w:p w:rsidR="00D14FD0" w:rsidRPr="007D5748" w:rsidRDefault="00D14FD0" w:rsidP="00D14FD0">
      <w:pPr>
        <w:spacing w:after="0" w:line="240" w:lineRule="auto"/>
        <w:rPr>
          <w:rFonts w:ascii="Times New Roman" w:eastAsia="Times New Roman" w:hAnsi="Times New Roman" w:cs="Times New Roman"/>
          <w:sz w:val="24"/>
          <w:szCs w:val="24"/>
          <w:lang w:eastAsia="sk-SK"/>
        </w:rPr>
      </w:pPr>
    </w:p>
    <w:p w:rsidR="00D14FD0" w:rsidRPr="00E44A5D" w:rsidRDefault="00D14FD0" w:rsidP="00D14FD0">
      <w:pPr>
        <w:spacing w:after="0" w:line="240" w:lineRule="auto"/>
        <w:ind w:firstLine="708"/>
        <w:jc w:val="both"/>
        <w:rPr>
          <w:rFonts w:ascii="Times New Roman" w:eastAsia="Times New Roman" w:hAnsi="Times New Roman" w:cs="Times New Roman"/>
          <w:sz w:val="24"/>
          <w:szCs w:val="24"/>
          <w:lang w:eastAsia="sk-SK"/>
        </w:rPr>
      </w:pPr>
      <w:r w:rsidRPr="00E44A5D">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D14FD0" w:rsidRPr="00D14FD0" w:rsidRDefault="00D14FD0" w:rsidP="00D14FD0">
      <w:pPr>
        <w:spacing w:after="0" w:line="240" w:lineRule="auto"/>
        <w:ind w:firstLine="708"/>
        <w:jc w:val="both"/>
        <w:rPr>
          <w:rFonts w:ascii="Times New Roman" w:eastAsia="Times New Roman" w:hAnsi="Times New Roman" w:cs="Times New Roman"/>
          <w:sz w:val="24"/>
          <w:szCs w:val="24"/>
          <w:highlight w:val="yellow"/>
          <w:lang w:eastAsia="sk-SK"/>
        </w:rPr>
      </w:pPr>
    </w:p>
    <w:p w:rsidR="00D14FD0" w:rsidRPr="00661268" w:rsidRDefault="00E44A5D" w:rsidP="00E44A5D">
      <w:pPr>
        <w:spacing w:after="0" w:line="240" w:lineRule="auto"/>
        <w:ind w:firstLine="708"/>
        <w:jc w:val="both"/>
        <w:rPr>
          <w:rFonts w:ascii="Times New Roman" w:eastAsia="Times New Roman" w:hAnsi="Times New Roman" w:cs="Times New Roman"/>
          <w:sz w:val="24"/>
          <w:szCs w:val="24"/>
          <w:lang w:eastAsia="sk-SK"/>
        </w:rPr>
      </w:pPr>
      <w:r w:rsidRPr="00E44A5D">
        <w:rPr>
          <w:rFonts w:ascii="Times New Roman" w:eastAsia="Times New Roman" w:hAnsi="Times New Roman" w:cs="Times New Roman"/>
          <w:sz w:val="24"/>
          <w:szCs w:val="24"/>
          <w:lang w:eastAsia="sk-SK"/>
        </w:rPr>
        <w:t xml:space="preserve">Výpočty vplyvov boli vykonané na základe dostupných informácií, </w:t>
      </w:r>
      <w:r>
        <w:rPr>
          <w:rFonts w:ascii="Times New Roman" w:eastAsia="Times New Roman" w:hAnsi="Times New Roman" w:cs="Times New Roman"/>
          <w:sz w:val="24"/>
          <w:szCs w:val="24"/>
          <w:lang w:eastAsia="sk-SK"/>
        </w:rPr>
        <w:t>ú</w:t>
      </w:r>
      <w:r w:rsidRPr="00E44A5D">
        <w:rPr>
          <w:rFonts w:ascii="Times New Roman" w:eastAsia="Times New Roman" w:hAnsi="Times New Roman" w:cs="Times New Roman"/>
          <w:sz w:val="24"/>
          <w:szCs w:val="24"/>
          <w:lang w:eastAsia="sk-SK"/>
        </w:rPr>
        <w:t xml:space="preserve">dajov z prebiehajúcich alebo pripravujúcich sa </w:t>
      </w:r>
      <w:r>
        <w:rPr>
          <w:rFonts w:ascii="Times New Roman" w:eastAsia="Times New Roman" w:hAnsi="Times New Roman" w:cs="Times New Roman"/>
          <w:sz w:val="24"/>
          <w:szCs w:val="24"/>
          <w:lang w:eastAsia="sk-SK"/>
        </w:rPr>
        <w:t xml:space="preserve">národných </w:t>
      </w:r>
      <w:r w:rsidRPr="00E44A5D">
        <w:rPr>
          <w:rFonts w:ascii="Times New Roman" w:eastAsia="Times New Roman" w:hAnsi="Times New Roman" w:cs="Times New Roman"/>
          <w:sz w:val="24"/>
          <w:szCs w:val="24"/>
          <w:lang w:eastAsia="sk-SK"/>
        </w:rPr>
        <w:t xml:space="preserve">projektov </w:t>
      </w:r>
      <w:r>
        <w:rPr>
          <w:rFonts w:ascii="Times New Roman" w:eastAsia="Times New Roman" w:hAnsi="Times New Roman" w:cs="Times New Roman"/>
          <w:sz w:val="24"/>
          <w:szCs w:val="24"/>
          <w:lang w:eastAsia="sk-SK"/>
        </w:rPr>
        <w:t xml:space="preserve">ako aj z </w:t>
      </w:r>
      <w:r w:rsidRPr="00E44A5D">
        <w:rPr>
          <w:rFonts w:ascii="Times New Roman" w:eastAsia="Times New Roman" w:hAnsi="Times New Roman" w:cs="Times New Roman"/>
          <w:sz w:val="24"/>
          <w:szCs w:val="24"/>
          <w:lang w:eastAsia="sk-SK"/>
        </w:rPr>
        <w:t>kvalifikovaných odhadov</w:t>
      </w:r>
      <w:r>
        <w:rPr>
          <w:rFonts w:ascii="Times New Roman" w:eastAsia="Times New Roman" w:hAnsi="Times New Roman" w:cs="Times New Roman"/>
          <w:sz w:val="24"/>
          <w:szCs w:val="24"/>
          <w:lang w:eastAsia="sk-SK"/>
        </w:rPr>
        <w:t xml:space="preserve"> v rámci diskusie s príslušnými rezortmi.</w:t>
      </w:r>
    </w:p>
    <w:p w:rsidR="000A0C59" w:rsidRPr="007E1605" w:rsidRDefault="000A0C59" w:rsidP="00314D9D">
      <w:pPr>
        <w:tabs>
          <w:tab w:val="num" w:pos="1080"/>
        </w:tabs>
        <w:spacing w:after="0" w:line="240" w:lineRule="auto"/>
        <w:jc w:val="both"/>
        <w:rPr>
          <w:rFonts w:ascii="Times New Roman" w:eastAsia="Times New Roman" w:hAnsi="Times New Roman" w:cs="Times New Roman"/>
          <w:b/>
          <w:bCs/>
          <w:color w:val="FF0000"/>
          <w:sz w:val="24"/>
          <w:szCs w:val="20"/>
          <w:lang w:eastAsia="sk-SK"/>
        </w:rPr>
        <w:sectPr w:rsidR="000A0C59" w:rsidRPr="007E1605" w:rsidSect="00661268">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pgNumType w:start="1"/>
          <w:cols w:space="708"/>
          <w:docGrid w:linePitch="360"/>
        </w:sectPr>
      </w:pPr>
    </w:p>
    <w:p w:rsidR="002F04B8" w:rsidRPr="007D5748" w:rsidRDefault="002F04B8" w:rsidP="002F04B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3 </w:t>
      </w:r>
    </w:p>
    <w:p w:rsidR="002F04B8" w:rsidRPr="007D5748" w:rsidRDefault="002F04B8" w:rsidP="002F04B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Layout w:type="fixed"/>
        <w:tblCellMar>
          <w:left w:w="70" w:type="dxa"/>
          <w:right w:w="70" w:type="dxa"/>
        </w:tblCellMar>
        <w:tblLook w:val="0000" w:firstRow="0" w:lastRow="0" w:firstColumn="0" w:lastColumn="0" w:noHBand="0" w:noVBand="0"/>
      </w:tblPr>
      <w:tblGrid>
        <w:gridCol w:w="4918"/>
        <w:gridCol w:w="1587"/>
        <w:gridCol w:w="1588"/>
        <w:gridCol w:w="1588"/>
        <w:gridCol w:w="1588"/>
        <w:gridCol w:w="2681"/>
      </w:tblGrid>
      <w:tr w:rsidR="002F04B8" w:rsidRPr="007D5748" w:rsidTr="002F04B8">
        <w:trPr>
          <w:cantSplit/>
          <w:trHeight w:val="255"/>
        </w:trPr>
        <w:tc>
          <w:tcPr>
            <w:tcW w:w="49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35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268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26259E" w:rsidRPr="007D5748" w:rsidTr="002F04B8">
        <w:trPr>
          <w:cantSplit/>
          <w:trHeight w:val="255"/>
        </w:trPr>
        <w:tc>
          <w:tcPr>
            <w:tcW w:w="4918" w:type="dxa"/>
            <w:vMerge/>
            <w:tcBorders>
              <w:top w:val="single" w:sz="4" w:space="0" w:color="auto"/>
              <w:left w:val="single" w:sz="4" w:space="0" w:color="auto"/>
              <w:bottom w:val="single" w:sz="4" w:space="0" w:color="auto"/>
              <w:right w:val="single" w:sz="4" w:space="0" w:color="auto"/>
            </w:tcBorders>
            <w:vAlign w:val="center"/>
          </w:tcPr>
          <w:p w:rsidR="0026259E" w:rsidRPr="007D5748" w:rsidRDefault="0026259E" w:rsidP="0026259E">
            <w:pPr>
              <w:spacing w:after="0" w:line="240" w:lineRule="auto"/>
              <w:rPr>
                <w:rFonts w:ascii="Times New Roman" w:eastAsia="Times New Roman" w:hAnsi="Times New Roman" w:cs="Times New Roman"/>
                <w:b/>
                <w:bCs/>
                <w:color w:val="FFFFFF"/>
                <w:sz w:val="24"/>
                <w:szCs w:val="24"/>
                <w:lang w:eastAsia="sk-SK"/>
              </w:rPr>
            </w:pPr>
          </w:p>
        </w:tc>
        <w:tc>
          <w:tcPr>
            <w:tcW w:w="1587" w:type="dxa"/>
            <w:tcBorders>
              <w:top w:val="nil"/>
              <w:left w:val="nil"/>
              <w:bottom w:val="single" w:sz="4" w:space="0" w:color="auto"/>
              <w:right w:val="single" w:sz="4" w:space="0" w:color="auto"/>
            </w:tcBorders>
            <w:shd w:val="clear" w:color="auto" w:fill="BFBFBF" w:themeFill="background1" w:themeFillShade="BF"/>
          </w:tcPr>
          <w:p w:rsidR="0026259E" w:rsidRPr="009559E3" w:rsidRDefault="0026259E" w:rsidP="0026259E">
            <w:pPr>
              <w:spacing w:after="0" w:line="240" w:lineRule="auto"/>
              <w:jc w:val="center"/>
              <w:rPr>
                <w:rFonts w:ascii="Times New Roman" w:hAnsi="Times New Roman"/>
                <w:b/>
                <w:sz w:val="20"/>
              </w:rPr>
            </w:pPr>
            <w:r>
              <w:rPr>
                <w:rFonts w:ascii="Times New Roman" w:eastAsia="Times New Roman" w:hAnsi="Times New Roman" w:cs="Times New Roman"/>
                <w:b/>
                <w:bCs/>
                <w:sz w:val="20"/>
                <w:szCs w:val="20"/>
                <w:lang w:eastAsia="sk-SK"/>
              </w:rPr>
              <w:t>2019</w:t>
            </w:r>
          </w:p>
        </w:tc>
        <w:tc>
          <w:tcPr>
            <w:tcW w:w="1588" w:type="dxa"/>
            <w:tcBorders>
              <w:top w:val="nil"/>
              <w:left w:val="nil"/>
              <w:bottom w:val="single" w:sz="4" w:space="0" w:color="auto"/>
              <w:right w:val="single" w:sz="4" w:space="0" w:color="auto"/>
            </w:tcBorders>
            <w:shd w:val="clear" w:color="auto" w:fill="BFBFBF" w:themeFill="background1" w:themeFillShade="BF"/>
          </w:tcPr>
          <w:p w:rsidR="0026259E" w:rsidRPr="009559E3" w:rsidRDefault="0026259E" w:rsidP="0026259E">
            <w:pPr>
              <w:spacing w:after="0" w:line="240" w:lineRule="auto"/>
              <w:jc w:val="center"/>
              <w:rPr>
                <w:rFonts w:ascii="Times New Roman" w:hAnsi="Times New Roman"/>
                <w:b/>
                <w:sz w:val="20"/>
              </w:rPr>
            </w:pPr>
            <w:r>
              <w:rPr>
                <w:rFonts w:ascii="Times New Roman" w:eastAsia="Times New Roman" w:hAnsi="Times New Roman" w:cs="Times New Roman"/>
                <w:b/>
                <w:bCs/>
                <w:sz w:val="20"/>
                <w:szCs w:val="20"/>
                <w:lang w:eastAsia="sk-SK"/>
              </w:rPr>
              <w:t>2020</w:t>
            </w:r>
          </w:p>
        </w:tc>
        <w:tc>
          <w:tcPr>
            <w:tcW w:w="1588" w:type="dxa"/>
            <w:tcBorders>
              <w:top w:val="nil"/>
              <w:left w:val="nil"/>
              <w:bottom w:val="single" w:sz="4" w:space="0" w:color="auto"/>
              <w:right w:val="single" w:sz="4" w:space="0" w:color="auto"/>
            </w:tcBorders>
            <w:shd w:val="clear" w:color="auto" w:fill="BFBFBF" w:themeFill="background1" w:themeFillShade="BF"/>
          </w:tcPr>
          <w:p w:rsidR="0026259E" w:rsidRPr="009559E3" w:rsidRDefault="0026259E" w:rsidP="0026259E">
            <w:pPr>
              <w:spacing w:after="0" w:line="240" w:lineRule="auto"/>
              <w:jc w:val="center"/>
              <w:rPr>
                <w:rFonts w:ascii="Times New Roman" w:hAnsi="Times New Roman"/>
                <w:b/>
                <w:sz w:val="20"/>
              </w:rPr>
            </w:pPr>
            <w:r>
              <w:rPr>
                <w:rFonts w:ascii="Times New Roman" w:eastAsia="Times New Roman" w:hAnsi="Times New Roman" w:cs="Times New Roman"/>
                <w:b/>
                <w:bCs/>
                <w:sz w:val="20"/>
                <w:szCs w:val="20"/>
                <w:lang w:eastAsia="sk-SK"/>
              </w:rPr>
              <w:t>2021</w:t>
            </w:r>
          </w:p>
        </w:tc>
        <w:tc>
          <w:tcPr>
            <w:tcW w:w="1588" w:type="dxa"/>
            <w:tcBorders>
              <w:top w:val="nil"/>
              <w:left w:val="nil"/>
              <w:bottom w:val="single" w:sz="4" w:space="0" w:color="auto"/>
              <w:right w:val="single" w:sz="4" w:space="0" w:color="auto"/>
            </w:tcBorders>
            <w:shd w:val="clear" w:color="auto" w:fill="BFBFBF" w:themeFill="background1" w:themeFillShade="BF"/>
          </w:tcPr>
          <w:p w:rsidR="0026259E" w:rsidRPr="007D5748" w:rsidRDefault="0026259E" w:rsidP="0026259E">
            <w:pPr>
              <w:spacing w:after="0" w:line="240" w:lineRule="auto"/>
              <w:jc w:val="center"/>
              <w:rPr>
                <w:rFonts w:ascii="Times New Roman" w:eastAsia="Times New Roman" w:hAnsi="Times New Roman" w:cs="Times New Roman"/>
                <w:b/>
                <w:bCs/>
                <w:sz w:val="24"/>
                <w:szCs w:val="24"/>
                <w:lang w:eastAsia="sk-SK"/>
              </w:rPr>
            </w:pPr>
            <w:r w:rsidRPr="0026259E">
              <w:rPr>
                <w:rFonts w:ascii="Times New Roman" w:eastAsia="Times New Roman" w:hAnsi="Times New Roman" w:cs="Times New Roman"/>
                <w:b/>
                <w:bCs/>
                <w:sz w:val="20"/>
                <w:szCs w:val="20"/>
                <w:lang w:eastAsia="sk-SK"/>
              </w:rPr>
              <w:t>2022</w:t>
            </w:r>
          </w:p>
        </w:tc>
        <w:tc>
          <w:tcPr>
            <w:tcW w:w="2681" w:type="dxa"/>
            <w:vMerge/>
            <w:tcBorders>
              <w:top w:val="single" w:sz="4" w:space="0" w:color="auto"/>
              <w:left w:val="single" w:sz="4" w:space="0" w:color="auto"/>
              <w:bottom w:val="single" w:sz="4" w:space="0" w:color="auto"/>
              <w:right w:val="single" w:sz="4" w:space="0" w:color="auto"/>
            </w:tcBorders>
            <w:vAlign w:val="center"/>
          </w:tcPr>
          <w:p w:rsidR="0026259E" w:rsidRPr="007D5748" w:rsidRDefault="0026259E" w:rsidP="0026259E">
            <w:pPr>
              <w:spacing w:after="0" w:line="240" w:lineRule="auto"/>
              <w:rPr>
                <w:rFonts w:ascii="Times New Roman" w:eastAsia="Times New Roman" w:hAnsi="Times New Roman" w:cs="Times New Roman"/>
                <w:b/>
                <w:bCs/>
                <w:color w:val="FFFFFF"/>
                <w:sz w:val="24"/>
                <w:szCs w:val="24"/>
                <w:lang w:eastAsia="sk-SK"/>
              </w:rPr>
            </w:pPr>
          </w:p>
        </w:tc>
      </w:tr>
      <w:tr w:rsidR="002F04B8" w:rsidRPr="007D5748" w:rsidTr="002F04B8">
        <w:trPr>
          <w:trHeight w:val="255"/>
        </w:trPr>
        <w:tc>
          <w:tcPr>
            <w:tcW w:w="4918" w:type="dxa"/>
            <w:tcBorders>
              <w:top w:val="nil"/>
              <w:left w:val="single" w:sz="4" w:space="0" w:color="auto"/>
              <w:bottom w:val="single" w:sz="4" w:space="0" w:color="auto"/>
              <w:right w:val="single" w:sz="4" w:space="0" w:color="auto"/>
            </w:tcBorders>
          </w:tcPr>
          <w:p w:rsidR="002F04B8" w:rsidRPr="007D5748" w:rsidRDefault="002F04B8" w:rsidP="00714355">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87"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1588"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1588"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1588"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2681" w:type="dxa"/>
            <w:tcBorders>
              <w:top w:val="nil"/>
              <w:left w:val="nil"/>
              <w:bottom w:val="single" w:sz="4" w:space="0" w:color="auto"/>
              <w:right w:val="single" w:sz="4" w:space="0" w:color="auto"/>
            </w:tcBorders>
            <w:noWrap/>
            <w:vAlign w:val="bottom"/>
          </w:tcPr>
          <w:p w:rsidR="002F04B8" w:rsidRPr="007D5748" w:rsidRDefault="002F04B8" w:rsidP="0071435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F04B8" w:rsidRPr="007D5748" w:rsidTr="002F04B8">
        <w:trPr>
          <w:trHeight w:val="255"/>
        </w:trPr>
        <w:tc>
          <w:tcPr>
            <w:tcW w:w="4918" w:type="dxa"/>
            <w:tcBorders>
              <w:top w:val="nil"/>
              <w:left w:val="single" w:sz="4" w:space="0" w:color="auto"/>
              <w:bottom w:val="single" w:sz="4" w:space="0" w:color="auto"/>
              <w:right w:val="single" w:sz="4" w:space="0" w:color="auto"/>
            </w:tcBorders>
          </w:tcPr>
          <w:p w:rsidR="002F04B8" w:rsidRPr="007D5748" w:rsidRDefault="002F04B8" w:rsidP="0071435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87"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1588"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1588"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1588" w:type="dxa"/>
            <w:tcBorders>
              <w:top w:val="nil"/>
              <w:left w:val="nil"/>
              <w:bottom w:val="single" w:sz="4" w:space="0" w:color="auto"/>
              <w:right w:val="single" w:sz="4" w:space="0" w:color="auto"/>
            </w:tcBorders>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p>
        </w:tc>
        <w:tc>
          <w:tcPr>
            <w:tcW w:w="2681" w:type="dxa"/>
            <w:tcBorders>
              <w:top w:val="nil"/>
              <w:left w:val="nil"/>
              <w:bottom w:val="single" w:sz="4" w:space="0" w:color="auto"/>
              <w:right w:val="single" w:sz="4" w:space="0" w:color="auto"/>
            </w:tcBorders>
            <w:noWrap/>
            <w:vAlign w:val="bottom"/>
          </w:tcPr>
          <w:p w:rsidR="002F04B8" w:rsidRPr="007D5748" w:rsidRDefault="002F04B8" w:rsidP="0071435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9559E3" w:rsidRPr="007D5748" w:rsidTr="009559E3">
        <w:trPr>
          <w:trHeight w:val="255"/>
        </w:trPr>
        <w:tc>
          <w:tcPr>
            <w:tcW w:w="4918" w:type="dxa"/>
            <w:tcBorders>
              <w:top w:val="nil"/>
              <w:left w:val="single" w:sz="4" w:space="0" w:color="auto"/>
              <w:bottom w:val="single" w:sz="4" w:space="0" w:color="auto"/>
              <w:right w:val="single" w:sz="4" w:space="0" w:color="auto"/>
            </w:tcBorders>
          </w:tcPr>
          <w:p w:rsidR="009559E3" w:rsidRPr="007D5748" w:rsidRDefault="009559E3" w:rsidP="009559E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87" w:type="dxa"/>
            <w:tcBorders>
              <w:top w:val="nil"/>
              <w:left w:val="nil"/>
              <w:bottom w:val="single" w:sz="4" w:space="0" w:color="auto"/>
              <w:right w:val="single" w:sz="4" w:space="0" w:color="auto"/>
            </w:tcBorders>
            <w:vAlign w:val="center"/>
          </w:tcPr>
          <w:p w:rsidR="009559E3" w:rsidRPr="009559E3" w:rsidRDefault="009559E3" w:rsidP="009559E3">
            <w:pPr>
              <w:jc w:val="right"/>
              <w:rPr>
                <w:color w:val="000000"/>
                <w:highlight w:val="yellow"/>
              </w:rPr>
            </w:pPr>
            <w:r w:rsidRPr="009559E3">
              <w:rPr>
                <w:rFonts w:ascii="Times New Roman" w:eastAsia="Times New Roman" w:hAnsi="Times New Roman" w:cs="Times New Roman"/>
                <w:color w:val="000000"/>
                <w:sz w:val="24"/>
                <w:szCs w:val="24"/>
                <w:lang w:eastAsia="sk-SK"/>
              </w:rPr>
              <w:t>10 068 730,25</w:t>
            </w:r>
          </w:p>
        </w:tc>
        <w:tc>
          <w:tcPr>
            <w:tcW w:w="1588" w:type="dxa"/>
            <w:tcBorders>
              <w:top w:val="nil"/>
              <w:left w:val="nil"/>
              <w:bottom w:val="single" w:sz="4" w:space="0" w:color="auto"/>
              <w:right w:val="single" w:sz="4" w:space="0" w:color="auto"/>
            </w:tcBorders>
            <w:vAlign w:val="center"/>
          </w:tcPr>
          <w:p w:rsidR="009559E3" w:rsidRPr="009559E3" w:rsidRDefault="009559E3" w:rsidP="009559E3">
            <w:pPr>
              <w:jc w:val="right"/>
              <w:rPr>
                <w:color w:val="000000"/>
                <w:highlight w:val="yellow"/>
              </w:rPr>
            </w:pPr>
            <w:r w:rsidRPr="009559E3">
              <w:rPr>
                <w:rFonts w:ascii="Times New Roman" w:eastAsia="Times New Roman" w:hAnsi="Times New Roman" w:cs="Times New Roman"/>
                <w:color w:val="000000"/>
                <w:sz w:val="24"/>
                <w:szCs w:val="24"/>
                <w:lang w:eastAsia="sk-SK"/>
              </w:rPr>
              <w:t>20 385 243,76</w:t>
            </w:r>
          </w:p>
        </w:tc>
        <w:tc>
          <w:tcPr>
            <w:tcW w:w="1588" w:type="dxa"/>
            <w:tcBorders>
              <w:top w:val="nil"/>
              <w:left w:val="nil"/>
              <w:bottom w:val="single" w:sz="4" w:space="0" w:color="auto"/>
              <w:right w:val="single" w:sz="4" w:space="0" w:color="auto"/>
            </w:tcBorders>
            <w:vAlign w:val="center"/>
          </w:tcPr>
          <w:p w:rsidR="009559E3" w:rsidRPr="009559E3" w:rsidRDefault="009559E3" w:rsidP="009559E3">
            <w:pPr>
              <w:jc w:val="right"/>
              <w:rPr>
                <w:color w:val="000000"/>
                <w:highlight w:val="yellow"/>
              </w:rPr>
            </w:pPr>
            <w:r w:rsidRPr="009559E3">
              <w:rPr>
                <w:rFonts w:ascii="Times New Roman" w:eastAsia="Times New Roman" w:hAnsi="Times New Roman" w:cs="Times New Roman"/>
                <w:color w:val="000000"/>
                <w:sz w:val="24"/>
                <w:szCs w:val="24"/>
                <w:lang w:eastAsia="sk-SK"/>
              </w:rPr>
              <w:t>20 221 478,50</w:t>
            </w:r>
          </w:p>
        </w:tc>
        <w:tc>
          <w:tcPr>
            <w:tcW w:w="1588" w:type="dxa"/>
            <w:tcBorders>
              <w:top w:val="nil"/>
              <w:left w:val="nil"/>
              <w:bottom w:val="single" w:sz="4" w:space="0" w:color="auto"/>
              <w:right w:val="single" w:sz="4" w:space="0" w:color="auto"/>
            </w:tcBorders>
            <w:vAlign w:val="center"/>
          </w:tcPr>
          <w:p w:rsidR="009559E3" w:rsidRPr="009559E3" w:rsidRDefault="009559E3" w:rsidP="009559E3">
            <w:pPr>
              <w:jc w:val="right"/>
              <w:rPr>
                <w:color w:val="000000"/>
                <w:highlight w:val="yellow"/>
              </w:rPr>
            </w:pPr>
            <w:r w:rsidRPr="009559E3">
              <w:rPr>
                <w:rFonts w:ascii="Times New Roman" w:eastAsia="Times New Roman" w:hAnsi="Times New Roman" w:cs="Times New Roman"/>
                <w:color w:val="000000"/>
                <w:sz w:val="24"/>
                <w:szCs w:val="24"/>
                <w:lang w:eastAsia="sk-SK"/>
              </w:rPr>
              <w:t>17 047 547,50</w:t>
            </w:r>
          </w:p>
        </w:tc>
        <w:tc>
          <w:tcPr>
            <w:tcW w:w="2681" w:type="dxa"/>
            <w:tcBorders>
              <w:top w:val="nil"/>
              <w:left w:val="nil"/>
              <w:bottom w:val="single" w:sz="4" w:space="0" w:color="auto"/>
              <w:right w:val="single" w:sz="4" w:space="0" w:color="auto"/>
            </w:tcBorders>
            <w:noWrap/>
            <w:vAlign w:val="center"/>
          </w:tcPr>
          <w:p w:rsidR="009559E3" w:rsidRPr="009559E3" w:rsidRDefault="009559E3" w:rsidP="009559E3">
            <w:pPr>
              <w:rPr>
                <w:color w:val="000000"/>
              </w:rPr>
            </w:pPr>
            <w:r>
              <w:rPr>
                <w:color w:val="000000"/>
              </w:rPr>
              <w:t>Prostriedky z eurofondov.</w:t>
            </w:r>
          </w:p>
        </w:tc>
      </w:tr>
      <w:tr w:rsidR="002F04B8" w:rsidRPr="007D5748" w:rsidTr="002F04B8">
        <w:trPr>
          <w:trHeight w:val="255"/>
        </w:trPr>
        <w:tc>
          <w:tcPr>
            <w:tcW w:w="4918" w:type="dxa"/>
            <w:tcBorders>
              <w:top w:val="nil"/>
              <w:left w:val="single" w:sz="4" w:space="0" w:color="auto"/>
              <w:bottom w:val="single" w:sz="4" w:space="0" w:color="auto"/>
              <w:right w:val="single" w:sz="4" w:space="0" w:color="auto"/>
            </w:tcBorders>
          </w:tcPr>
          <w:p w:rsidR="002F04B8" w:rsidRPr="007D5748" w:rsidRDefault="002F04B8" w:rsidP="0071435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87"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88"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88"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88"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2681" w:type="dxa"/>
            <w:tcBorders>
              <w:top w:val="nil"/>
              <w:left w:val="nil"/>
              <w:bottom w:val="single" w:sz="4" w:space="0" w:color="auto"/>
              <w:right w:val="single" w:sz="4" w:space="0" w:color="auto"/>
            </w:tcBorders>
            <w:noWrap/>
            <w:vAlign w:val="bottom"/>
          </w:tcPr>
          <w:p w:rsidR="002F04B8" w:rsidRPr="007D5748" w:rsidRDefault="002F04B8" w:rsidP="0071435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F04B8" w:rsidRPr="007D5748" w:rsidTr="002F04B8">
        <w:trPr>
          <w:trHeight w:val="255"/>
        </w:trPr>
        <w:tc>
          <w:tcPr>
            <w:tcW w:w="4918" w:type="dxa"/>
            <w:tcBorders>
              <w:top w:val="nil"/>
              <w:left w:val="single" w:sz="4" w:space="0" w:color="auto"/>
              <w:bottom w:val="single" w:sz="4" w:space="0" w:color="auto"/>
              <w:right w:val="single" w:sz="4" w:space="0" w:color="auto"/>
            </w:tcBorders>
          </w:tcPr>
          <w:p w:rsidR="002F04B8" w:rsidRPr="007D5748" w:rsidRDefault="002F04B8" w:rsidP="0071435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87"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88"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88"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88" w:type="dxa"/>
            <w:tcBorders>
              <w:top w:val="nil"/>
              <w:left w:val="nil"/>
              <w:bottom w:val="single" w:sz="4" w:space="0" w:color="auto"/>
              <w:right w:val="single" w:sz="4" w:space="0" w:color="auto"/>
            </w:tcBorders>
            <w:shd w:val="clear" w:color="auto" w:fill="FFFF99"/>
          </w:tcPr>
          <w:p w:rsidR="002F04B8" w:rsidRPr="007D5748" w:rsidRDefault="002F04B8" w:rsidP="0071435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2681" w:type="dxa"/>
            <w:tcBorders>
              <w:top w:val="nil"/>
              <w:left w:val="nil"/>
              <w:bottom w:val="single" w:sz="4" w:space="0" w:color="auto"/>
              <w:right w:val="single" w:sz="4" w:space="0" w:color="auto"/>
            </w:tcBorders>
            <w:noWrap/>
            <w:vAlign w:val="bottom"/>
          </w:tcPr>
          <w:p w:rsidR="002F04B8" w:rsidRPr="007D5748" w:rsidRDefault="002F04B8" w:rsidP="0071435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E5405" w:rsidRPr="007D5748" w:rsidTr="0026259E">
        <w:trPr>
          <w:trHeight w:val="255"/>
        </w:trPr>
        <w:tc>
          <w:tcPr>
            <w:tcW w:w="4918" w:type="dxa"/>
            <w:tcBorders>
              <w:top w:val="nil"/>
              <w:left w:val="single" w:sz="4" w:space="0" w:color="auto"/>
              <w:bottom w:val="single" w:sz="4" w:space="0" w:color="auto"/>
              <w:right w:val="single" w:sz="4" w:space="0" w:color="auto"/>
            </w:tcBorders>
            <w:shd w:val="clear" w:color="auto" w:fill="BFBFBF" w:themeFill="background1" w:themeFillShade="BF"/>
          </w:tcPr>
          <w:p w:rsidR="001C4CE8" w:rsidRPr="007D5748" w:rsidRDefault="001C4CE8" w:rsidP="001C4CE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87" w:type="dxa"/>
            <w:tcBorders>
              <w:top w:val="nil"/>
              <w:left w:val="nil"/>
              <w:bottom w:val="single" w:sz="4" w:space="0" w:color="auto"/>
              <w:right w:val="single" w:sz="4" w:space="0" w:color="auto"/>
            </w:tcBorders>
            <w:shd w:val="clear" w:color="auto" w:fill="BFBFBF" w:themeFill="background1" w:themeFillShade="BF"/>
            <w:vAlign w:val="center"/>
          </w:tcPr>
          <w:p w:rsidR="001C4CE8" w:rsidRPr="009559E3" w:rsidRDefault="001C4CE8" w:rsidP="009559E3">
            <w:pPr>
              <w:jc w:val="right"/>
              <w:rPr>
                <w:b/>
                <w:color w:val="000000"/>
              </w:rPr>
            </w:pPr>
            <w:r w:rsidRPr="001C4CE8">
              <w:rPr>
                <w:b/>
                <w:color w:val="000000"/>
              </w:rPr>
              <w:t>9 985 500,00</w:t>
            </w:r>
          </w:p>
        </w:tc>
        <w:tc>
          <w:tcPr>
            <w:tcW w:w="1588" w:type="dxa"/>
            <w:tcBorders>
              <w:top w:val="nil"/>
              <w:left w:val="nil"/>
              <w:bottom w:val="single" w:sz="4" w:space="0" w:color="auto"/>
              <w:right w:val="single" w:sz="4" w:space="0" w:color="auto"/>
            </w:tcBorders>
            <w:shd w:val="clear" w:color="auto" w:fill="BFBFBF" w:themeFill="background1" w:themeFillShade="BF"/>
            <w:vAlign w:val="center"/>
          </w:tcPr>
          <w:p w:rsidR="001C4CE8" w:rsidRPr="009559E3" w:rsidRDefault="001C4CE8" w:rsidP="009559E3">
            <w:pPr>
              <w:jc w:val="right"/>
              <w:rPr>
                <w:b/>
                <w:color w:val="000000"/>
              </w:rPr>
            </w:pPr>
            <w:r w:rsidRPr="001C4CE8">
              <w:rPr>
                <w:b/>
                <w:color w:val="000000"/>
              </w:rPr>
              <w:t>19 444 160,00</w:t>
            </w:r>
          </w:p>
        </w:tc>
        <w:tc>
          <w:tcPr>
            <w:tcW w:w="1588" w:type="dxa"/>
            <w:tcBorders>
              <w:top w:val="nil"/>
              <w:left w:val="nil"/>
              <w:bottom w:val="single" w:sz="4" w:space="0" w:color="auto"/>
              <w:right w:val="single" w:sz="4" w:space="0" w:color="auto"/>
            </w:tcBorders>
            <w:shd w:val="clear" w:color="auto" w:fill="BFBFBF" w:themeFill="background1" w:themeFillShade="BF"/>
            <w:vAlign w:val="center"/>
          </w:tcPr>
          <w:p w:rsidR="001C4CE8" w:rsidRPr="009559E3" w:rsidRDefault="001C4CE8" w:rsidP="009559E3">
            <w:pPr>
              <w:jc w:val="right"/>
              <w:rPr>
                <w:b/>
                <w:color w:val="000000"/>
              </w:rPr>
            </w:pPr>
            <w:r w:rsidRPr="001C4CE8">
              <w:rPr>
                <w:b/>
                <w:color w:val="000000"/>
              </w:rPr>
              <w:t>18 540 000,00</w:t>
            </w:r>
          </w:p>
        </w:tc>
        <w:tc>
          <w:tcPr>
            <w:tcW w:w="1588" w:type="dxa"/>
            <w:tcBorders>
              <w:top w:val="nil"/>
              <w:left w:val="nil"/>
              <w:bottom w:val="single" w:sz="4" w:space="0" w:color="auto"/>
              <w:right w:val="single" w:sz="4" w:space="0" w:color="auto"/>
            </w:tcBorders>
            <w:shd w:val="clear" w:color="auto" w:fill="BFBFBF" w:themeFill="background1" w:themeFillShade="BF"/>
            <w:vAlign w:val="center"/>
          </w:tcPr>
          <w:p w:rsidR="001C4CE8" w:rsidRPr="009559E3" w:rsidRDefault="001C4CE8" w:rsidP="009559E3">
            <w:pPr>
              <w:jc w:val="right"/>
              <w:rPr>
                <w:b/>
                <w:color w:val="000000"/>
              </w:rPr>
            </w:pPr>
            <w:r w:rsidRPr="001C4CE8">
              <w:rPr>
                <w:b/>
                <w:color w:val="000000"/>
              </w:rPr>
              <w:t>15 253 340,00</w:t>
            </w:r>
          </w:p>
        </w:tc>
        <w:tc>
          <w:tcPr>
            <w:tcW w:w="2681" w:type="dxa"/>
            <w:tcBorders>
              <w:top w:val="nil"/>
              <w:left w:val="nil"/>
              <w:bottom w:val="single" w:sz="4" w:space="0" w:color="auto"/>
              <w:right w:val="single" w:sz="4" w:space="0" w:color="auto"/>
            </w:tcBorders>
            <w:shd w:val="clear" w:color="auto" w:fill="BFBFBF" w:themeFill="background1" w:themeFillShade="BF"/>
            <w:noWrap/>
            <w:vAlign w:val="bottom"/>
          </w:tcPr>
          <w:p w:rsidR="001C4CE8" w:rsidRPr="007D5748" w:rsidRDefault="001C4CE8" w:rsidP="001C4CE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2F04B8" w:rsidRPr="007D5748" w:rsidRDefault="002F04B8" w:rsidP="002F04B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2F04B8" w:rsidRPr="007D5748" w:rsidRDefault="002F04B8" w:rsidP="002F04B8">
      <w:pPr>
        <w:tabs>
          <w:tab w:val="num" w:pos="1080"/>
        </w:tabs>
        <w:spacing w:after="0" w:line="240" w:lineRule="auto"/>
        <w:jc w:val="both"/>
        <w:rPr>
          <w:rFonts w:ascii="Times New Roman" w:eastAsia="Times New Roman" w:hAnsi="Times New Roman" w:cs="Times New Roman"/>
          <w:bCs/>
          <w:sz w:val="24"/>
          <w:szCs w:val="20"/>
          <w:lang w:eastAsia="sk-SK"/>
        </w:rPr>
      </w:pPr>
    </w:p>
    <w:p w:rsidR="002F04B8" w:rsidRPr="007D5748" w:rsidRDefault="002F04B8" w:rsidP="002F04B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7D5748" w:rsidRPr="00983DB6" w:rsidRDefault="002F04B8" w:rsidP="002500E7">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Default="007D5748"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145C0" w:rsidRDefault="003145C0"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11CDD" w:rsidRDefault="00E11CDD"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4CE8" w:rsidRPr="009559E3" w:rsidRDefault="003145C0" w:rsidP="009559E3">
      <w:pPr>
        <w:tabs>
          <w:tab w:val="num" w:pos="1080"/>
        </w:tabs>
        <w:spacing w:after="0" w:line="240" w:lineRule="auto"/>
        <w:ind w:right="-32"/>
        <w:jc w:val="right"/>
        <w:rPr>
          <w:rFonts w:ascii="Times New Roman" w:hAnsi="Times New Roman"/>
          <w:sz w:val="24"/>
        </w:rPr>
      </w:pPr>
      <w:r>
        <w:rPr>
          <w:rFonts w:ascii="Times New Roman" w:eastAsia="Times New Roman" w:hAnsi="Times New Roman" w:cs="Times New Roman"/>
          <w:b/>
          <w:bCs/>
          <w:i/>
          <w:sz w:val="24"/>
          <w:szCs w:val="20"/>
          <w:lang w:eastAsia="sk-SK"/>
        </w:rPr>
        <w:tab/>
      </w:r>
      <w:r w:rsidR="0026259E">
        <w:rPr>
          <w:rFonts w:ascii="Times New Roman" w:eastAsia="Times New Roman" w:hAnsi="Times New Roman" w:cs="Times New Roman"/>
          <w:b/>
          <w:bCs/>
          <w:i/>
          <w:sz w:val="24"/>
          <w:szCs w:val="20"/>
          <w:lang w:eastAsia="sk-SK"/>
        </w:rPr>
        <w:t>Opatrenia ÚPVII</w:t>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Pr>
          <w:rFonts w:ascii="Times New Roman" w:eastAsia="Times New Roman" w:hAnsi="Times New Roman" w:cs="Times New Roman"/>
          <w:b/>
          <w:bCs/>
          <w:i/>
          <w:sz w:val="24"/>
          <w:szCs w:val="20"/>
          <w:lang w:eastAsia="sk-SK"/>
        </w:rPr>
        <w:tab/>
      </w:r>
      <w:r w:rsidR="00E44A5D">
        <w:rPr>
          <w:rFonts w:ascii="Times New Roman" w:eastAsia="Times New Roman" w:hAnsi="Times New Roman" w:cs="Times New Roman"/>
          <w:b/>
          <w:bCs/>
          <w:i/>
          <w:sz w:val="24"/>
          <w:szCs w:val="20"/>
          <w:lang w:eastAsia="sk-SK"/>
        </w:rPr>
        <w:tab/>
      </w:r>
      <w:r w:rsidR="00E44A5D">
        <w:rPr>
          <w:rFonts w:ascii="Times New Roman" w:eastAsia="Times New Roman" w:hAnsi="Times New Roman" w:cs="Times New Roman"/>
          <w:b/>
          <w:bCs/>
          <w:i/>
          <w:sz w:val="24"/>
          <w:szCs w:val="20"/>
          <w:lang w:eastAsia="sk-SK"/>
        </w:rPr>
        <w:tab/>
      </w:r>
      <w:r w:rsidR="001C4CE8" w:rsidRPr="009559E3">
        <w:rPr>
          <w:rFonts w:ascii="Times New Roman" w:hAnsi="Times New Roman"/>
          <w:sz w:val="24"/>
        </w:rPr>
        <w:t>Tabuľka č. 4</w:t>
      </w:r>
      <w:r w:rsidR="002E7056">
        <w:rPr>
          <w:rFonts w:ascii="Times New Roman" w:eastAsia="Times New Roman" w:hAnsi="Times New Roman" w:cs="Times New Roman"/>
          <w:bCs/>
          <w:sz w:val="24"/>
          <w:szCs w:val="24"/>
          <w:lang w:eastAsia="sk-SK"/>
        </w:rPr>
        <w:t>.A</w:t>
      </w:r>
      <w:r w:rsidR="001C4CE8" w:rsidRPr="007D5748">
        <w:rPr>
          <w:rFonts w:ascii="Times New Roman" w:eastAsia="Times New Roman" w:hAnsi="Times New Roman" w:cs="Times New Roman"/>
          <w:bCs/>
          <w:sz w:val="24"/>
          <w:szCs w:val="24"/>
          <w:lang w:eastAsia="sk-SK"/>
        </w:rPr>
        <w:t xml:space="preserve"> </w:t>
      </w:r>
    </w:p>
    <w:p w:rsidR="001C4CE8" w:rsidRPr="009559E3" w:rsidRDefault="001C4CE8" w:rsidP="009559E3">
      <w:pPr>
        <w:tabs>
          <w:tab w:val="num" w:pos="1080"/>
        </w:tabs>
        <w:spacing w:after="0" w:line="240" w:lineRule="auto"/>
        <w:jc w:val="both"/>
        <w:rPr>
          <w:rFonts w:ascii="Times New Roman" w:hAnsi="Times New Roman"/>
          <w:sz w:val="24"/>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4E5405" w:rsidRPr="007D5748" w:rsidTr="00922C9D">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1C4CE8" w:rsidRPr="009559E3" w:rsidRDefault="001C4CE8" w:rsidP="0026259E">
            <w:pPr>
              <w:spacing w:after="0" w:line="240" w:lineRule="auto"/>
              <w:jc w:val="center"/>
              <w:rPr>
                <w:rFonts w:ascii="Times New Roman" w:hAnsi="Times New Roman"/>
                <w:b/>
                <w:sz w:val="24"/>
              </w:rPr>
            </w:pPr>
            <w:r w:rsidRPr="009559E3">
              <w:rPr>
                <w:rFonts w:ascii="Times New Roman" w:hAnsi="Times New Roman"/>
                <w:b/>
                <w:sz w:val="24"/>
              </w:rPr>
              <w:t>poznámka</w:t>
            </w:r>
          </w:p>
        </w:tc>
      </w:tr>
      <w:tr w:rsidR="004E5405" w:rsidRPr="007D5748" w:rsidTr="00922C9D">
        <w:trPr>
          <w:trHeight w:val="255"/>
        </w:trPr>
        <w:tc>
          <w:tcPr>
            <w:tcW w:w="7070" w:type="dxa"/>
            <w:vMerge/>
            <w:tcBorders>
              <w:top w:val="single" w:sz="4" w:space="0" w:color="auto"/>
              <w:left w:val="single" w:sz="4" w:space="0" w:color="auto"/>
              <w:bottom w:val="single" w:sz="4" w:space="0" w:color="000000"/>
              <w:right w:val="single" w:sz="4" w:space="0" w:color="auto"/>
            </w:tcBorders>
          </w:tcPr>
          <w:p w:rsidR="001C4CE8" w:rsidRPr="007D5748" w:rsidRDefault="001C4CE8" w:rsidP="0026259E">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1C4CE8"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1C4CE8"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1C4CE8"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1C4CE8" w:rsidRPr="009559E3" w:rsidRDefault="0026259E" w:rsidP="0026259E">
            <w:pPr>
              <w:spacing w:after="0" w:line="240" w:lineRule="auto"/>
              <w:jc w:val="center"/>
              <w:rPr>
                <w:rFonts w:ascii="Times New Roman" w:hAnsi="Times New Roman"/>
                <w:b/>
                <w:sz w:val="24"/>
              </w:rPr>
            </w:pPr>
            <w:r w:rsidRPr="0026259E">
              <w:rPr>
                <w:rFonts w:ascii="Times New Roman" w:eastAsia="Times New Roman" w:hAnsi="Times New Roman" w:cs="Times New Roman"/>
                <w:b/>
                <w:bCs/>
                <w:sz w:val="20"/>
                <w:szCs w:val="20"/>
                <w:lang w:eastAsia="sk-SK"/>
              </w:rPr>
              <w:t>2022</w:t>
            </w:r>
          </w:p>
        </w:tc>
        <w:tc>
          <w:tcPr>
            <w:tcW w:w="2220" w:type="dxa"/>
            <w:vMerge/>
            <w:tcBorders>
              <w:top w:val="single" w:sz="4" w:space="0" w:color="auto"/>
              <w:left w:val="single" w:sz="4" w:space="0" w:color="auto"/>
              <w:bottom w:val="single" w:sz="4" w:space="0" w:color="auto"/>
              <w:right w:val="single" w:sz="4" w:space="0" w:color="auto"/>
            </w:tcBorders>
          </w:tcPr>
          <w:p w:rsidR="001C4CE8" w:rsidRPr="009559E3" w:rsidRDefault="001C4CE8" w:rsidP="0026259E">
            <w:pPr>
              <w:spacing w:after="0" w:line="240" w:lineRule="auto"/>
              <w:rPr>
                <w:rFonts w:ascii="Times New Roman" w:hAnsi="Times New Roman"/>
                <w:b/>
                <w:color w:val="FFFFFF"/>
                <w:sz w:val="24"/>
              </w:rPr>
            </w:pP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b/>
                <w:sz w:val="20"/>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b/>
                <w:sz w:val="20"/>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b/>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9559E3">
              <w:rPr>
                <w:rFonts w:ascii="Times New Roman" w:hAnsi="Times New Roman"/>
                <w:sz w:val="24"/>
              </w:rPr>
              <w:t> </w:t>
            </w: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9559E3">
              <w:rPr>
                <w:rFonts w:ascii="Times New Roman" w:hAnsi="Times New Roman"/>
                <w:sz w:val="24"/>
              </w:rPr>
              <w:t> </w:t>
            </w: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9559E3">
              <w:rPr>
                <w:rFonts w:ascii="Times New Roman" w:hAnsi="Times New Roman"/>
                <w:sz w:val="24"/>
              </w:rPr>
              <w:t> </w:t>
            </w: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9559E3">
              <w:rPr>
                <w:rFonts w:ascii="Times New Roman" w:hAnsi="Times New Roman"/>
                <w:sz w:val="24"/>
              </w:rPr>
              <w:t> </w:t>
            </w: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B</w:t>
            </w:r>
          </w:p>
        </w:tc>
        <w:tc>
          <w:tcPr>
            <w:tcW w:w="1540" w:type="dxa"/>
            <w:tcBorders>
              <w:top w:val="nil"/>
              <w:left w:val="nil"/>
              <w:bottom w:val="single" w:sz="4" w:space="0" w:color="auto"/>
              <w:right w:val="single" w:sz="4" w:space="0" w:color="auto"/>
            </w:tcBorders>
          </w:tcPr>
          <w:p w:rsidR="001C4CE8" w:rsidRPr="009559E3" w:rsidRDefault="001C4CE8" w:rsidP="009559E3">
            <w:pPr>
              <w:spacing w:after="0" w:line="240" w:lineRule="auto"/>
              <w:jc w:val="right"/>
              <w:rPr>
                <w:rFonts w:ascii="Times New Roman" w:hAnsi="Times New Roman"/>
                <w:i/>
                <w:sz w:val="20"/>
              </w:rPr>
            </w:pPr>
            <w:r w:rsidRPr="0026259E">
              <w:rPr>
                <w:rFonts w:ascii="Calibri" w:hAnsi="Calibri" w:cs="Calibri"/>
                <w:i/>
              </w:rPr>
              <w:t>60 000,</w:t>
            </w:r>
            <w:r w:rsidR="0026259E" w:rsidRPr="0026259E">
              <w:rPr>
                <w:rFonts w:ascii="Calibri" w:hAnsi="Calibri" w:cs="Calibri"/>
                <w:i/>
              </w:rPr>
              <w:t>0</w:t>
            </w:r>
            <w:r w:rsidRPr="0026259E">
              <w:rPr>
                <w:rFonts w:ascii="Calibri" w:hAnsi="Calibri" w:cs="Calibri"/>
                <w:i/>
              </w:rPr>
              <w:t>0</w:t>
            </w:r>
          </w:p>
        </w:tc>
        <w:tc>
          <w:tcPr>
            <w:tcW w:w="1540" w:type="dxa"/>
            <w:tcBorders>
              <w:top w:val="nil"/>
              <w:left w:val="nil"/>
              <w:bottom w:val="single" w:sz="4" w:space="0" w:color="auto"/>
              <w:right w:val="single" w:sz="4" w:space="0" w:color="auto"/>
            </w:tcBorders>
          </w:tcPr>
          <w:p w:rsidR="001C4CE8" w:rsidRPr="009559E3" w:rsidRDefault="001C4CE8" w:rsidP="009559E3">
            <w:pPr>
              <w:spacing w:after="0" w:line="240" w:lineRule="auto"/>
              <w:jc w:val="right"/>
              <w:rPr>
                <w:rFonts w:ascii="Times New Roman" w:hAnsi="Times New Roman"/>
                <w:i/>
                <w:sz w:val="20"/>
              </w:rPr>
            </w:pPr>
            <w:r w:rsidRPr="0026259E">
              <w:rPr>
                <w:rFonts w:ascii="Calibri" w:hAnsi="Calibri" w:cs="Calibri"/>
                <w:i/>
              </w:rPr>
              <w:t>100 000,</w:t>
            </w:r>
            <w:r w:rsidR="0026259E" w:rsidRPr="0026259E">
              <w:rPr>
                <w:rFonts w:ascii="Calibri" w:hAnsi="Calibri" w:cs="Calibri"/>
                <w:i/>
              </w:rPr>
              <w:t>0</w:t>
            </w:r>
            <w:r w:rsidRPr="0026259E">
              <w:rPr>
                <w:rFonts w:ascii="Calibri" w:hAnsi="Calibri" w:cs="Calibri"/>
                <w:i/>
              </w:rPr>
              <w:t>0</w:t>
            </w:r>
          </w:p>
        </w:tc>
        <w:tc>
          <w:tcPr>
            <w:tcW w:w="1540" w:type="dxa"/>
            <w:tcBorders>
              <w:top w:val="nil"/>
              <w:left w:val="nil"/>
              <w:bottom w:val="single" w:sz="4" w:space="0" w:color="auto"/>
              <w:right w:val="single" w:sz="4" w:space="0" w:color="auto"/>
            </w:tcBorders>
          </w:tcPr>
          <w:p w:rsidR="001C4CE8" w:rsidRPr="009559E3" w:rsidRDefault="001C4CE8" w:rsidP="009559E3">
            <w:pPr>
              <w:spacing w:after="0" w:line="240" w:lineRule="auto"/>
              <w:jc w:val="right"/>
              <w:rPr>
                <w:rFonts w:ascii="Times New Roman" w:hAnsi="Times New Roman"/>
                <w:i/>
                <w:sz w:val="20"/>
              </w:rPr>
            </w:pPr>
            <w:r w:rsidRPr="0026259E">
              <w:rPr>
                <w:rFonts w:ascii="Calibri" w:hAnsi="Calibri" w:cs="Calibri"/>
                <w:i/>
              </w:rPr>
              <w:t>100 000,</w:t>
            </w:r>
            <w:r w:rsidR="0026259E" w:rsidRPr="0026259E">
              <w:rPr>
                <w:rFonts w:ascii="Calibri" w:hAnsi="Calibri" w:cs="Calibri"/>
                <w:i/>
              </w:rPr>
              <w:t>0</w:t>
            </w:r>
            <w:r w:rsidRPr="0026259E">
              <w:rPr>
                <w:rFonts w:ascii="Calibri" w:hAnsi="Calibri" w:cs="Calibri"/>
                <w:i/>
              </w:rPr>
              <w:t>0</w:t>
            </w:r>
          </w:p>
        </w:tc>
        <w:tc>
          <w:tcPr>
            <w:tcW w:w="1540" w:type="dxa"/>
            <w:tcBorders>
              <w:top w:val="nil"/>
              <w:left w:val="nil"/>
              <w:bottom w:val="single" w:sz="4" w:space="0" w:color="auto"/>
              <w:right w:val="single" w:sz="4" w:space="0" w:color="auto"/>
            </w:tcBorders>
          </w:tcPr>
          <w:p w:rsidR="001C4CE8" w:rsidRPr="009559E3" w:rsidRDefault="001C4CE8" w:rsidP="009559E3">
            <w:pPr>
              <w:spacing w:after="0" w:line="240" w:lineRule="auto"/>
              <w:jc w:val="right"/>
              <w:rPr>
                <w:rFonts w:ascii="Times New Roman" w:hAnsi="Times New Roman"/>
                <w:i/>
                <w:sz w:val="24"/>
              </w:rPr>
            </w:pPr>
            <w:r w:rsidRPr="0026259E">
              <w:rPr>
                <w:rFonts w:ascii="Calibri" w:hAnsi="Calibri" w:cs="Calibri"/>
                <w:i/>
              </w:rPr>
              <w:t>100 000,</w:t>
            </w:r>
            <w:r w:rsidR="0026259E" w:rsidRPr="0026259E">
              <w:rPr>
                <w:rFonts w:ascii="Calibri" w:hAnsi="Calibri" w:cs="Calibri"/>
                <w:i/>
              </w:rPr>
              <w:t>0</w:t>
            </w:r>
            <w:r w:rsidRPr="0026259E">
              <w:rPr>
                <w:rFonts w:ascii="Calibri" w:hAnsi="Calibri" w:cs="Calibri"/>
                <w:i/>
              </w:rPr>
              <w:t>0</w:t>
            </w: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p>
        </w:tc>
      </w:tr>
      <w:tr w:rsidR="001C4CE8" w:rsidRPr="007D5748" w:rsidTr="00922C9D">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C</w:t>
            </w:r>
          </w:p>
        </w:tc>
        <w:tc>
          <w:tcPr>
            <w:tcW w:w="1540" w:type="dxa"/>
            <w:tcBorders>
              <w:top w:val="nil"/>
              <w:left w:val="nil"/>
              <w:bottom w:val="single" w:sz="4" w:space="0" w:color="auto"/>
              <w:right w:val="single" w:sz="4" w:space="0" w:color="auto"/>
            </w:tcBorders>
          </w:tcPr>
          <w:p w:rsidR="001C4CE8" w:rsidRPr="0026259E" w:rsidRDefault="001C4CE8" w:rsidP="0026259E">
            <w:pPr>
              <w:spacing w:after="0" w:line="240" w:lineRule="auto"/>
              <w:jc w:val="right"/>
              <w:rPr>
                <w:rFonts w:ascii="Times New Roman" w:eastAsia="Times New Roman" w:hAnsi="Times New Roman" w:cs="Times New Roman"/>
                <w:i/>
                <w:sz w:val="20"/>
                <w:szCs w:val="20"/>
                <w:lang w:eastAsia="sk-SK"/>
              </w:rPr>
            </w:pPr>
            <w:r w:rsidRPr="0026259E">
              <w:rPr>
                <w:rFonts w:ascii="Calibri" w:hAnsi="Calibri" w:cs="Calibri"/>
                <w:i/>
              </w:rPr>
              <w:t>0,</w:t>
            </w:r>
            <w:r w:rsidR="0026259E" w:rsidRPr="0026259E">
              <w:rPr>
                <w:rFonts w:ascii="Calibri" w:hAnsi="Calibri" w:cs="Calibri"/>
                <w:i/>
              </w:rPr>
              <w:t>0</w:t>
            </w:r>
            <w:r w:rsidRPr="0026259E">
              <w:rPr>
                <w:rFonts w:ascii="Calibri" w:hAnsi="Calibri" w:cs="Calibri"/>
                <w:i/>
              </w:rPr>
              <w:t>0</w:t>
            </w:r>
          </w:p>
        </w:tc>
        <w:tc>
          <w:tcPr>
            <w:tcW w:w="1540" w:type="dxa"/>
            <w:tcBorders>
              <w:top w:val="nil"/>
              <w:left w:val="nil"/>
              <w:bottom w:val="single" w:sz="4" w:space="0" w:color="auto"/>
              <w:right w:val="single" w:sz="4" w:space="0" w:color="auto"/>
            </w:tcBorders>
          </w:tcPr>
          <w:p w:rsidR="001C4CE8" w:rsidRPr="0026259E" w:rsidRDefault="001C4CE8" w:rsidP="0026259E">
            <w:pPr>
              <w:spacing w:after="0" w:line="240" w:lineRule="auto"/>
              <w:jc w:val="right"/>
              <w:rPr>
                <w:rFonts w:ascii="Times New Roman" w:eastAsia="Times New Roman" w:hAnsi="Times New Roman" w:cs="Times New Roman"/>
                <w:i/>
                <w:sz w:val="20"/>
                <w:szCs w:val="20"/>
                <w:lang w:eastAsia="sk-SK"/>
              </w:rPr>
            </w:pPr>
            <w:r w:rsidRPr="0026259E">
              <w:rPr>
                <w:rFonts w:ascii="Calibri" w:hAnsi="Calibri" w:cs="Calibri"/>
                <w:i/>
              </w:rPr>
              <w:t>100 000,</w:t>
            </w:r>
            <w:r w:rsidR="0026259E" w:rsidRPr="0026259E">
              <w:rPr>
                <w:rFonts w:ascii="Calibri" w:hAnsi="Calibri" w:cs="Calibri"/>
                <w:i/>
              </w:rPr>
              <w:t>0</w:t>
            </w:r>
            <w:r w:rsidRPr="0026259E">
              <w:rPr>
                <w:rFonts w:ascii="Calibri" w:hAnsi="Calibri" w:cs="Calibri"/>
                <w:i/>
              </w:rPr>
              <w:t>0</w:t>
            </w:r>
          </w:p>
        </w:tc>
        <w:tc>
          <w:tcPr>
            <w:tcW w:w="1540" w:type="dxa"/>
            <w:tcBorders>
              <w:top w:val="nil"/>
              <w:left w:val="nil"/>
              <w:bottom w:val="single" w:sz="4" w:space="0" w:color="auto"/>
              <w:right w:val="single" w:sz="4" w:space="0" w:color="auto"/>
            </w:tcBorders>
          </w:tcPr>
          <w:p w:rsidR="001C4CE8" w:rsidRPr="0026259E" w:rsidRDefault="001C4CE8" w:rsidP="0026259E">
            <w:pPr>
              <w:spacing w:after="0" w:line="240" w:lineRule="auto"/>
              <w:jc w:val="right"/>
              <w:rPr>
                <w:rFonts w:ascii="Times New Roman" w:eastAsia="Times New Roman" w:hAnsi="Times New Roman" w:cs="Times New Roman"/>
                <w:i/>
                <w:sz w:val="20"/>
                <w:szCs w:val="20"/>
                <w:lang w:eastAsia="sk-SK"/>
              </w:rPr>
            </w:pPr>
            <w:r w:rsidRPr="0026259E">
              <w:rPr>
                <w:rFonts w:ascii="Calibri" w:hAnsi="Calibri" w:cs="Calibri"/>
                <w:i/>
              </w:rPr>
              <w:t>100 000,</w:t>
            </w:r>
            <w:r w:rsidR="0026259E" w:rsidRPr="0026259E">
              <w:rPr>
                <w:rFonts w:ascii="Calibri" w:hAnsi="Calibri" w:cs="Calibri"/>
                <w:i/>
              </w:rPr>
              <w:t>0</w:t>
            </w:r>
            <w:r w:rsidRPr="0026259E">
              <w:rPr>
                <w:rFonts w:ascii="Calibri" w:hAnsi="Calibri" w:cs="Calibri"/>
                <w:i/>
              </w:rPr>
              <w:t>0</w:t>
            </w:r>
          </w:p>
        </w:tc>
        <w:tc>
          <w:tcPr>
            <w:tcW w:w="1540" w:type="dxa"/>
            <w:tcBorders>
              <w:top w:val="nil"/>
              <w:left w:val="nil"/>
              <w:bottom w:val="single" w:sz="4" w:space="0" w:color="auto"/>
              <w:right w:val="single" w:sz="4" w:space="0" w:color="auto"/>
            </w:tcBorders>
          </w:tcPr>
          <w:p w:rsidR="001C4CE8" w:rsidRPr="0026259E" w:rsidRDefault="001C4CE8" w:rsidP="0026259E">
            <w:pPr>
              <w:spacing w:after="0" w:line="240" w:lineRule="auto"/>
              <w:jc w:val="right"/>
              <w:rPr>
                <w:rFonts w:ascii="Times New Roman" w:eastAsia="Times New Roman" w:hAnsi="Times New Roman" w:cs="Times New Roman"/>
                <w:i/>
                <w:sz w:val="24"/>
                <w:szCs w:val="24"/>
                <w:lang w:eastAsia="sk-SK"/>
              </w:rPr>
            </w:pPr>
            <w:r w:rsidRPr="0026259E">
              <w:rPr>
                <w:rFonts w:ascii="Calibri" w:hAnsi="Calibri" w:cs="Calibri"/>
                <w:i/>
              </w:rPr>
              <w:t>100 000,</w:t>
            </w:r>
            <w:r w:rsidR="0026259E" w:rsidRPr="0026259E">
              <w:rPr>
                <w:rFonts w:ascii="Calibri" w:hAnsi="Calibri" w:cs="Calibri"/>
                <w:i/>
              </w:rPr>
              <w:t>0</w:t>
            </w:r>
            <w:r w:rsidRPr="0026259E">
              <w:rPr>
                <w:rFonts w:ascii="Calibri" w:hAnsi="Calibri" w:cs="Calibri"/>
                <w:i/>
              </w:rPr>
              <w:t>0</w:t>
            </w:r>
          </w:p>
        </w:tc>
        <w:tc>
          <w:tcPr>
            <w:tcW w:w="2220" w:type="dxa"/>
            <w:tcBorders>
              <w:top w:val="nil"/>
              <w:left w:val="nil"/>
              <w:bottom w:val="single" w:sz="4" w:space="0" w:color="auto"/>
              <w:right w:val="single" w:sz="4" w:space="0" w:color="auto"/>
            </w:tcBorders>
            <w:noWrap/>
          </w:tcPr>
          <w:p w:rsidR="001C4CE8" w:rsidRPr="007D5748" w:rsidRDefault="001C4CE8" w:rsidP="0026259E">
            <w:pPr>
              <w:spacing w:after="0" w:line="240" w:lineRule="auto"/>
              <w:rPr>
                <w:rFonts w:ascii="Times New Roman" w:eastAsia="Times New Roman" w:hAnsi="Times New Roman" w:cs="Times New Roman"/>
                <w:sz w:val="24"/>
                <w:szCs w:val="24"/>
                <w:lang w:eastAsia="sk-SK"/>
              </w:rPr>
            </w:pPr>
          </w:p>
        </w:tc>
      </w:tr>
      <w:tr w:rsidR="004C5177" w:rsidRPr="007D5748" w:rsidTr="00922C9D">
        <w:trPr>
          <w:trHeight w:val="255"/>
        </w:trPr>
        <w:tc>
          <w:tcPr>
            <w:tcW w:w="7070" w:type="dxa"/>
            <w:tcBorders>
              <w:top w:val="nil"/>
              <w:left w:val="single" w:sz="4" w:space="0" w:color="auto"/>
              <w:bottom w:val="single" w:sz="4" w:space="0" w:color="auto"/>
              <w:right w:val="single" w:sz="4" w:space="0" w:color="auto"/>
            </w:tcBorders>
          </w:tcPr>
          <w:p w:rsidR="004C5177" w:rsidRPr="007D5748" w:rsidRDefault="004C5177" w:rsidP="004C517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F</w:t>
            </w:r>
          </w:p>
        </w:tc>
        <w:tc>
          <w:tcPr>
            <w:tcW w:w="1540" w:type="dxa"/>
            <w:tcBorders>
              <w:top w:val="nil"/>
              <w:left w:val="nil"/>
              <w:bottom w:val="single" w:sz="4" w:space="0" w:color="auto"/>
              <w:right w:val="single" w:sz="4" w:space="0" w:color="auto"/>
            </w:tcBorders>
          </w:tcPr>
          <w:p w:rsidR="004C5177" w:rsidRPr="004C5177" w:rsidRDefault="004C5177" w:rsidP="004C5177">
            <w:pPr>
              <w:spacing w:after="0" w:line="240" w:lineRule="auto"/>
              <w:jc w:val="right"/>
              <w:rPr>
                <w:rFonts w:ascii="Calibri" w:hAnsi="Calibri" w:cs="Calibri"/>
                <w:i/>
              </w:rPr>
            </w:pPr>
            <w:r w:rsidRPr="0026259E">
              <w:rPr>
                <w:rFonts w:ascii="Calibri" w:hAnsi="Calibri" w:cs="Calibri"/>
                <w:i/>
              </w:rPr>
              <w:t>84 000,00</w:t>
            </w:r>
          </w:p>
        </w:tc>
        <w:tc>
          <w:tcPr>
            <w:tcW w:w="1540" w:type="dxa"/>
            <w:tcBorders>
              <w:top w:val="nil"/>
              <w:left w:val="nil"/>
              <w:bottom w:val="single" w:sz="4" w:space="0" w:color="auto"/>
              <w:right w:val="single" w:sz="4" w:space="0" w:color="auto"/>
            </w:tcBorders>
          </w:tcPr>
          <w:p w:rsidR="004C5177" w:rsidRPr="0026259E" w:rsidRDefault="004C5177" w:rsidP="004C5177">
            <w:pPr>
              <w:jc w:val="right"/>
              <w:rPr>
                <w:rFonts w:ascii="Calibri" w:hAnsi="Calibri" w:cs="Calibri"/>
                <w:i/>
              </w:rPr>
            </w:pPr>
            <w:r w:rsidRPr="0026259E">
              <w:rPr>
                <w:rFonts w:ascii="Calibri" w:hAnsi="Calibri" w:cs="Calibri"/>
                <w:i/>
              </w:rPr>
              <w:t>0,00</w:t>
            </w:r>
          </w:p>
        </w:tc>
        <w:tc>
          <w:tcPr>
            <w:tcW w:w="1540" w:type="dxa"/>
            <w:tcBorders>
              <w:top w:val="nil"/>
              <w:left w:val="nil"/>
              <w:bottom w:val="single" w:sz="4" w:space="0" w:color="auto"/>
              <w:right w:val="single" w:sz="4" w:space="0" w:color="auto"/>
            </w:tcBorders>
          </w:tcPr>
          <w:p w:rsidR="004C5177" w:rsidRPr="0026259E" w:rsidRDefault="004C5177" w:rsidP="004C5177">
            <w:pPr>
              <w:jc w:val="right"/>
              <w:rPr>
                <w:rFonts w:ascii="Calibri" w:hAnsi="Calibri" w:cs="Calibri"/>
                <w:i/>
              </w:rPr>
            </w:pPr>
            <w:r w:rsidRPr="0026259E">
              <w:rPr>
                <w:rFonts w:ascii="Calibri" w:hAnsi="Calibri" w:cs="Calibri"/>
                <w:i/>
              </w:rPr>
              <w:t>0,00</w:t>
            </w:r>
          </w:p>
        </w:tc>
        <w:tc>
          <w:tcPr>
            <w:tcW w:w="1540" w:type="dxa"/>
            <w:tcBorders>
              <w:top w:val="nil"/>
              <w:left w:val="nil"/>
              <w:bottom w:val="single" w:sz="4" w:space="0" w:color="auto"/>
              <w:right w:val="single" w:sz="4" w:space="0" w:color="auto"/>
            </w:tcBorders>
          </w:tcPr>
          <w:p w:rsidR="004C5177" w:rsidRPr="0026259E" w:rsidRDefault="004C5177" w:rsidP="004C5177">
            <w:pPr>
              <w:jc w:val="right"/>
              <w:rPr>
                <w:rFonts w:ascii="Calibri" w:hAnsi="Calibri" w:cs="Calibri"/>
                <w:i/>
              </w:rPr>
            </w:pPr>
            <w:r w:rsidRPr="0026259E">
              <w:rPr>
                <w:rFonts w:ascii="Calibri" w:hAnsi="Calibri" w:cs="Calibri"/>
                <w:i/>
              </w:rPr>
              <w:t>0,00</w:t>
            </w:r>
          </w:p>
        </w:tc>
        <w:tc>
          <w:tcPr>
            <w:tcW w:w="2220" w:type="dxa"/>
            <w:tcBorders>
              <w:top w:val="nil"/>
              <w:left w:val="nil"/>
              <w:bottom w:val="single" w:sz="4" w:space="0" w:color="auto"/>
              <w:right w:val="single" w:sz="4" w:space="0" w:color="auto"/>
            </w:tcBorders>
            <w:noWrap/>
          </w:tcPr>
          <w:p w:rsidR="004C5177" w:rsidRPr="007D5748" w:rsidRDefault="004C5177" w:rsidP="004C5177">
            <w:pPr>
              <w:spacing w:after="0" w:line="240" w:lineRule="auto"/>
              <w:rPr>
                <w:rFonts w:ascii="Times New Roman" w:eastAsia="Times New Roman" w:hAnsi="Times New Roman" w:cs="Times New Roman"/>
                <w:sz w:val="24"/>
                <w:szCs w:val="24"/>
                <w:lang w:eastAsia="sk-SK"/>
              </w:rPr>
            </w:pPr>
          </w:p>
        </w:tc>
      </w:tr>
      <w:tr w:rsidR="0026259E" w:rsidRPr="007D5748" w:rsidTr="00922C9D">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3.2.5</w:t>
            </w:r>
          </w:p>
        </w:tc>
        <w:tc>
          <w:tcPr>
            <w:tcW w:w="1540" w:type="dxa"/>
            <w:tcBorders>
              <w:top w:val="nil"/>
              <w:left w:val="nil"/>
              <w:bottom w:val="single" w:sz="4" w:space="0" w:color="auto"/>
              <w:right w:val="single" w:sz="4" w:space="0" w:color="auto"/>
            </w:tcBorders>
          </w:tcPr>
          <w:p w:rsidR="0026259E" w:rsidRPr="0026259E" w:rsidRDefault="0026259E" w:rsidP="004C5177">
            <w:pPr>
              <w:spacing w:after="0" w:line="240" w:lineRule="auto"/>
              <w:jc w:val="right"/>
              <w:rPr>
                <w:rFonts w:ascii="Calibri" w:hAnsi="Calibri" w:cs="Calibri"/>
                <w:i/>
              </w:rPr>
            </w:pPr>
            <w:r w:rsidRPr="0026259E">
              <w:rPr>
                <w:rFonts w:ascii="Calibri" w:hAnsi="Calibri" w:cs="Calibri"/>
                <w:i/>
              </w:rPr>
              <w:t>50 000,00</w:t>
            </w:r>
          </w:p>
        </w:tc>
        <w:tc>
          <w:tcPr>
            <w:tcW w:w="1540" w:type="dxa"/>
            <w:tcBorders>
              <w:top w:val="nil"/>
              <w:left w:val="nil"/>
              <w:bottom w:val="single" w:sz="4" w:space="0" w:color="auto"/>
              <w:right w:val="single" w:sz="4" w:space="0" w:color="auto"/>
            </w:tcBorders>
          </w:tcPr>
          <w:p w:rsidR="0026259E" w:rsidRPr="0026259E" w:rsidRDefault="0026259E" w:rsidP="004C5177">
            <w:pPr>
              <w:spacing w:after="0" w:line="240" w:lineRule="auto"/>
              <w:jc w:val="right"/>
              <w:rPr>
                <w:rFonts w:ascii="Calibri" w:hAnsi="Calibri" w:cs="Calibri"/>
                <w:i/>
              </w:rPr>
            </w:pPr>
            <w:r w:rsidRPr="0026259E">
              <w:rPr>
                <w:rFonts w:ascii="Calibri" w:hAnsi="Calibri" w:cs="Calibri"/>
                <w:i/>
              </w:rPr>
              <w:t>150 000,00</w:t>
            </w:r>
          </w:p>
        </w:tc>
        <w:tc>
          <w:tcPr>
            <w:tcW w:w="1540" w:type="dxa"/>
            <w:tcBorders>
              <w:top w:val="nil"/>
              <w:left w:val="nil"/>
              <w:bottom w:val="single" w:sz="4" w:space="0" w:color="auto"/>
              <w:right w:val="single" w:sz="4" w:space="0" w:color="auto"/>
            </w:tcBorders>
          </w:tcPr>
          <w:p w:rsidR="0026259E" w:rsidRPr="0026259E" w:rsidRDefault="0026259E" w:rsidP="004C5177">
            <w:pPr>
              <w:spacing w:after="0" w:line="240" w:lineRule="auto"/>
              <w:jc w:val="right"/>
              <w:rPr>
                <w:rFonts w:ascii="Calibri" w:hAnsi="Calibri" w:cs="Calibri"/>
                <w:i/>
              </w:rPr>
            </w:pPr>
            <w:r w:rsidRPr="0026259E">
              <w:rPr>
                <w:rFonts w:ascii="Calibri" w:hAnsi="Calibri" w:cs="Calibri"/>
                <w:i/>
              </w:rPr>
              <w:t>150 000,00</w:t>
            </w:r>
          </w:p>
        </w:tc>
        <w:tc>
          <w:tcPr>
            <w:tcW w:w="1540" w:type="dxa"/>
            <w:tcBorders>
              <w:top w:val="nil"/>
              <w:left w:val="nil"/>
              <w:bottom w:val="single" w:sz="4" w:space="0" w:color="auto"/>
              <w:right w:val="single" w:sz="4" w:space="0" w:color="auto"/>
            </w:tcBorders>
          </w:tcPr>
          <w:p w:rsidR="0026259E" w:rsidRPr="0026259E" w:rsidRDefault="0026259E" w:rsidP="004C5177">
            <w:pPr>
              <w:spacing w:after="0" w:line="240" w:lineRule="auto"/>
              <w:jc w:val="right"/>
              <w:rPr>
                <w:rFonts w:ascii="Calibri" w:hAnsi="Calibri" w:cs="Calibri"/>
                <w:i/>
              </w:rPr>
            </w:pPr>
            <w:r w:rsidRPr="0026259E">
              <w:rPr>
                <w:rFonts w:ascii="Calibri" w:hAnsi="Calibri" w:cs="Calibri"/>
                <w:i/>
              </w:rPr>
              <w:t>150 000,00</w:t>
            </w:r>
          </w:p>
        </w:tc>
        <w:tc>
          <w:tcPr>
            <w:tcW w:w="2220" w:type="dxa"/>
            <w:tcBorders>
              <w:top w:val="nil"/>
              <w:left w:val="nil"/>
              <w:bottom w:val="single" w:sz="4" w:space="0" w:color="auto"/>
              <w:right w:val="single" w:sz="4" w:space="0" w:color="auto"/>
            </w:tcBorders>
            <w:noWrap/>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p>
        </w:tc>
      </w:tr>
      <w:tr w:rsidR="00922C9D" w:rsidRPr="007D5748" w:rsidTr="00922C9D">
        <w:trPr>
          <w:trHeight w:val="255"/>
        </w:trPr>
        <w:tc>
          <w:tcPr>
            <w:tcW w:w="7070" w:type="dxa"/>
            <w:tcBorders>
              <w:top w:val="nil"/>
              <w:left w:val="single" w:sz="4" w:space="0" w:color="auto"/>
              <w:bottom w:val="single" w:sz="4" w:space="0" w:color="auto"/>
              <w:right w:val="single" w:sz="4" w:space="0" w:color="auto"/>
            </w:tcBorders>
          </w:tcPr>
          <w:p w:rsidR="00922C9D" w:rsidRPr="0026259E" w:rsidRDefault="00922C9D" w:rsidP="00922C9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Opatrenie </w:t>
            </w:r>
            <w:r w:rsidRPr="0026259E">
              <w:rPr>
                <w:rFonts w:ascii="Times New Roman" w:eastAsia="Times New Roman" w:hAnsi="Times New Roman" w:cs="Times New Roman"/>
                <w:sz w:val="20"/>
                <w:szCs w:val="20"/>
                <w:lang w:eastAsia="sk-SK"/>
              </w:rPr>
              <w:t>4</w:t>
            </w:r>
            <w:r>
              <w:rPr>
                <w:rFonts w:ascii="Times New Roman" w:eastAsia="Times New Roman" w:hAnsi="Times New Roman" w:cs="Times New Roman"/>
                <w:sz w:val="20"/>
                <w:szCs w:val="20"/>
                <w:lang w:eastAsia="sk-SK"/>
              </w:rPr>
              <w:t>.</w:t>
            </w:r>
            <w:r w:rsidRPr="0026259E">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w:t>
            </w:r>
            <w:r w:rsidRPr="0026259E">
              <w:rPr>
                <w:rFonts w:ascii="Times New Roman" w:eastAsia="Times New Roman" w:hAnsi="Times New Roman" w:cs="Times New Roman"/>
                <w:sz w:val="20"/>
                <w:szCs w:val="20"/>
                <w:lang w:eastAsia="sk-SK"/>
              </w:rPr>
              <w:t>1</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84 000,00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0,00</w:t>
            </w:r>
          </w:p>
        </w:tc>
        <w:tc>
          <w:tcPr>
            <w:tcW w:w="2220" w:type="dxa"/>
            <w:tcBorders>
              <w:top w:val="nil"/>
              <w:left w:val="nil"/>
              <w:bottom w:val="single" w:sz="4" w:space="0" w:color="auto"/>
              <w:right w:val="single" w:sz="4" w:space="0" w:color="auto"/>
            </w:tcBorders>
            <w:noWrap/>
          </w:tcPr>
          <w:p w:rsidR="00922C9D" w:rsidRPr="007D5748" w:rsidRDefault="00922C9D" w:rsidP="00922C9D">
            <w:pPr>
              <w:spacing w:after="0" w:line="240" w:lineRule="auto"/>
              <w:rPr>
                <w:rFonts w:ascii="Times New Roman" w:eastAsia="Times New Roman" w:hAnsi="Times New Roman" w:cs="Times New Roman"/>
                <w:sz w:val="24"/>
                <w:szCs w:val="24"/>
                <w:lang w:eastAsia="sk-SK"/>
              </w:rPr>
            </w:pPr>
          </w:p>
        </w:tc>
      </w:tr>
      <w:tr w:rsidR="0026259E" w:rsidRPr="007D5748" w:rsidTr="00922C9D">
        <w:trPr>
          <w:trHeight w:val="255"/>
        </w:trPr>
        <w:tc>
          <w:tcPr>
            <w:tcW w:w="7070" w:type="dxa"/>
            <w:tcBorders>
              <w:top w:val="nil"/>
              <w:left w:val="single" w:sz="4" w:space="0" w:color="auto"/>
              <w:bottom w:val="single" w:sz="4" w:space="0" w:color="auto"/>
              <w:right w:val="single" w:sz="4" w:space="0" w:color="auto"/>
            </w:tcBorders>
          </w:tcPr>
          <w:p w:rsidR="0026259E" w:rsidRPr="0026259E" w:rsidRDefault="0026259E"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Opatrenie </w:t>
            </w:r>
            <w:r w:rsidRPr="0026259E">
              <w:rPr>
                <w:rFonts w:ascii="Times New Roman" w:eastAsia="Times New Roman" w:hAnsi="Times New Roman" w:cs="Times New Roman"/>
                <w:sz w:val="20"/>
                <w:szCs w:val="20"/>
                <w:lang w:eastAsia="sk-SK"/>
              </w:rPr>
              <w:t>4</w:t>
            </w:r>
            <w:r>
              <w:rPr>
                <w:rFonts w:ascii="Times New Roman" w:eastAsia="Times New Roman" w:hAnsi="Times New Roman" w:cs="Times New Roman"/>
                <w:sz w:val="20"/>
                <w:szCs w:val="20"/>
                <w:lang w:eastAsia="sk-SK"/>
              </w:rPr>
              <w:t>.</w:t>
            </w:r>
            <w:r w:rsidRPr="0026259E">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w:t>
            </w:r>
            <w:r w:rsidRPr="0026259E">
              <w:rPr>
                <w:rFonts w:ascii="Times New Roman" w:eastAsia="Times New Roman" w:hAnsi="Times New Roman" w:cs="Times New Roman"/>
                <w:sz w:val="20"/>
                <w:szCs w:val="20"/>
                <w:lang w:eastAsia="sk-SK"/>
              </w:rPr>
              <w:t>5</w:t>
            </w:r>
          </w:p>
        </w:tc>
        <w:tc>
          <w:tcPr>
            <w:tcW w:w="1540" w:type="dxa"/>
            <w:tcBorders>
              <w:top w:val="nil"/>
              <w:left w:val="nil"/>
              <w:bottom w:val="single" w:sz="4" w:space="0" w:color="auto"/>
              <w:right w:val="single" w:sz="4" w:space="0" w:color="auto"/>
            </w:tcBorders>
          </w:tcPr>
          <w:p w:rsidR="0026259E" w:rsidRPr="0026259E" w:rsidRDefault="0026259E" w:rsidP="0026259E">
            <w:pPr>
              <w:jc w:val="right"/>
              <w:rPr>
                <w:rFonts w:ascii="Calibri" w:hAnsi="Calibri" w:cs="Calibri"/>
                <w:i/>
              </w:rPr>
            </w:pPr>
            <w:r w:rsidRPr="0026259E">
              <w:rPr>
                <w:rFonts w:ascii="Calibri" w:hAnsi="Calibri" w:cs="Calibri"/>
                <w:i/>
              </w:rPr>
              <w:t>84 000,00</w:t>
            </w:r>
          </w:p>
        </w:tc>
        <w:tc>
          <w:tcPr>
            <w:tcW w:w="1540" w:type="dxa"/>
            <w:tcBorders>
              <w:top w:val="nil"/>
              <w:left w:val="nil"/>
              <w:bottom w:val="single" w:sz="4" w:space="0" w:color="auto"/>
              <w:right w:val="single" w:sz="4" w:space="0" w:color="auto"/>
            </w:tcBorders>
          </w:tcPr>
          <w:p w:rsidR="0026259E" w:rsidRPr="0026259E" w:rsidRDefault="0026259E" w:rsidP="0026259E">
            <w:pPr>
              <w:jc w:val="right"/>
              <w:rPr>
                <w:rFonts w:ascii="Calibri" w:hAnsi="Calibri" w:cs="Calibri"/>
                <w:i/>
              </w:rPr>
            </w:pPr>
            <w:r w:rsidRPr="0026259E">
              <w:rPr>
                <w:rFonts w:ascii="Calibri" w:hAnsi="Calibri" w:cs="Calibri"/>
                <w:i/>
              </w:rPr>
              <w:t>0,00</w:t>
            </w:r>
          </w:p>
        </w:tc>
        <w:tc>
          <w:tcPr>
            <w:tcW w:w="1540" w:type="dxa"/>
            <w:tcBorders>
              <w:top w:val="nil"/>
              <w:left w:val="nil"/>
              <w:bottom w:val="single" w:sz="4" w:space="0" w:color="auto"/>
              <w:right w:val="single" w:sz="4" w:space="0" w:color="auto"/>
            </w:tcBorders>
          </w:tcPr>
          <w:p w:rsidR="0026259E" w:rsidRPr="0026259E" w:rsidRDefault="0026259E" w:rsidP="0026259E">
            <w:pPr>
              <w:jc w:val="right"/>
              <w:rPr>
                <w:rFonts w:ascii="Calibri" w:hAnsi="Calibri" w:cs="Calibri"/>
                <w:i/>
              </w:rPr>
            </w:pPr>
            <w:r w:rsidRPr="0026259E">
              <w:rPr>
                <w:rFonts w:ascii="Calibri" w:hAnsi="Calibri" w:cs="Calibri"/>
                <w:i/>
              </w:rPr>
              <w:t>0,00</w:t>
            </w:r>
          </w:p>
        </w:tc>
        <w:tc>
          <w:tcPr>
            <w:tcW w:w="1540" w:type="dxa"/>
            <w:tcBorders>
              <w:top w:val="nil"/>
              <w:left w:val="nil"/>
              <w:bottom w:val="single" w:sz="4" w:space="0" w:color="auto"/>
              <w:right w:val="single" w:sz="4" w:space="0" w:color="auto"/>
            </w:tcBorders>
          </w:tcPr>
          <w:p w:rsidR="0026259E" w:rsidRPr="0026259E" w:rsidRDefault="0026259E" w:rsidP="0026259E">
            <w:pPr>
              <w:jc w:val="right"/>
              <w:rPr>
                <w:rFonts w:ascii="Calibri" w:hAnsi="Calibri" w:cs="Calibri"/>
                <w:i/>
              </w:rPr>
            </w:pPr>
            <w:r w:rsidRPr="0026259E">
              <w:rPr>
                <w:rFonts w:ascii="Calibri" w:hAnsi="Calibri" w:cs="Calibri"/>
                <w:i/>
              </w:rPr>
              <w:t>0,00</w:t>
            </w:r>
          </w:p>
        </w:tc>
        <w:tc>
          <w:tcPr>
            <w:tcW w:w="2220" w:type="dxa"/>
            <w:tcBorders>
              <w:top w:val="nil"/>
              <w:left w:val="nil"/>
              <w:bottom w:val="single" w:sz="4" w:space="0" w:color="auto"/>
              <w:right w:val="single" w:sz="4" w:space="0" w:color="auto"/>
            </w:tcBorders>
            <w:noWrap/>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9559E3">
              <w:rPr>
                <w:rFonts w:ascii="Times New Roman" w:hAnsi="Times New Roman"/>
                <w:sz w:val="24"/>
              </w:rPr>
              <w:t> </w:t>
            </w:r>
          </w:p>
        </w:tc>
      </w:tr>
      <w:tr w:rsidR="004C5177" w:rsidRPr="007D5748" w:rsidTr="00922C9D">
        <w:trPr>
          <w:trHeight w:val="255"/>
        </w:trPr>
        <w:tc>
          <w:tcPr>
            <w:tcW w:w="7070" w:type="dxa"/>
            <w:tcBorders>
              <w:top w:val="nil"/>
              <w:left w:val="single" w:sz="4" w:space="0" w:color="auto"/>
              <w:bottom w:val="single" w:sz="4" w:space="0" w:color="auto"/>
              <w:right w:val="single" w:sz="4" w:space="0" w:color="auto"/>
            </w:tcBorders>
          </w:tcPr>
          <w:p w:rsidR="004C5177" w:rsidRPr="007D5748" w:rsidRDefault="004C5177" w:rsidP="004C517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F</w:t>
            </w:r>
          </w:p>
        </w:tc>
        <w:tc>
          <w:tcPr>
            <w:tcW w:w="1540" w:type="dxa"/>
            <w:tcBorders>
              <w:top w:val="nil"/>
              <w:left w:val="nil"/>
              <w:bottom w:val="single" w:sz="4" w:space="0" w:color="auto"/>
              <w:right w:val="single" w:sz="4" w:space="0" w:color="auto"/>
            </w:tcBorders>
          </w:tcPr>
          <w:p w:rsidR="004C5177" w:rsidRPr="0026259E" w:rsidRDefault="004C5177" w:rsidP="004C5177">
            <w:pPr>
              <w:spacing w:after="0" w:line="240" w:lineRule="auto"/>
              <w:jc w:val="right"/>
              <w:rPr>
                <w:rFonts w:ascii="Times New Roman" w:eastAsia="Times New Roman" w:hAnsi="Times New Roman" w:cs="Times New Roman"/>
                <w:i/>
                <w:sz w:val="20"/>
                <w:szCs w:val="20"/>
                <w:lang w:eastAsia="sk-SK"/>
              </w:rPr>
            </w:pPr>
            <w:r>
              <w:rPr>
                <w:rFonts w:ascii="Calibri" w:hAnsi="Calibri" w:cs="Calibri"/>
                <w:i/>
              </w:rPr>
              <w:t>0</w:t>
            </w:r>
            <w:r w:rsidRPr="0026259E">
              <w:rPr>
                <w:rFonts w:ascii="Calibri" w:hAnsi="Calibri" w:cs="Calibri"/>
                <w:i/>
              </w:rPr>
              <w:t>,00</w:t>
            </w:r>
          </w:p>
        </w:tc>
        <w:tc>
          <w:tcPr>
            <w:tcW w:w="1540" w:type="dxa"/>
            <w:tcBorders>
              <w:top w:val="nil"/>
              <w:left w:val="nil"/>
              <w:bottom w:val="single" w:sz="4" w:space="0" w:color="auto"/>
              <w:right w:val="single" w:sz="4" w:space="0" w:color="auto"/>
            </w:tcBorders>
          </w:tcPr>
          <w:p w:rsidR="004C5177" w:rsidRPr="0026259E" w:rsidRDefault="004C5177" w:rsidP="004C5177">
            <w:pPr>
              <w:spacing w:after="0" w:line="240" w:lineRule="auto"/>
              <w:jc w:val="right"/>
              <w:rPr>
                <w:rFonts w:ascii="Times New Roman" w:eastAsia="Times New Roman" w:hAnsi="Times New Roman" w:cs="Times New Roman"/>
                <w:i/>
                <w:sz w:val="20"/>
                <w:szCs w:val="20"/>
                <w:lang w:eastAsia="sk-SK"/>
              </w:rPr>
            </w:pPr>
            <w:r w:rsidRPr="0026259E">
              <w:rPr>
                <w:rFonts w:ascii="Calibri" w:hAnsi="Calibri" w:cs="Calibri"/>
                <w:i/>
              </w:rPr>
              <w:t>100 000,00</w:t>
            </w:r>
          </w:p>
        </w:tc>
        <w:tc>
          <w:tcPr>
            <w:tcW w:w="1540" w:type="dxa"/>
            <w:tcBorders>
              <w:top w:val="nil"/>
              <w:left w:val="nil"/>
              <w:bottom w:val="single" w:sz="4" w:space="0" w:color="auto"/>
              <w:right w:val="single" w:sz="4" w:space="0" w:color="auto"/>
            </w:tcBorders>
          </w:tcPr>
          <w:p w:rsidR="004C5177" w:rsidRPr="0026259E" w:rsidRDefault="004C5177" w:rsidP="004C5177">
            <w:pPr>
              <w:spacing w:after="0" w:line="240" w:lineRule="auto"/>
              <w:jc w:val="right"/>
              <w:rPr>
                <w:rFonts w:ascii="Times New Roman" w:eastAsia="Times New Roman" w:hAnsi="Times New Roman" w:cs="Times New Roman"/>
                <w:i/>
                <w:sz w:val="20"/>
                <w:szCs w:val="20"/>
                <w:lang w:eastAsia="sk-SK"/>
              </w:rPr>
            </w:pPr>
            <w:r w:rsidRPr="0026259E">
              <w:rPr>
                <w:rFonts w:ascii="Calibri" w:hAnsi="Calibri" w:cs="Calibri"/>
                <w:i/>
              </w:rPr>
              <w:t>100 000,00</w:t>
            </w:r>
          </w:p>
        </w:tc>
        <w:tc>
          <w:tcPr>
            <w:tcW w:w="1540" w:type="dxa"/>
            <w:tcBorders>
              <w:top w:val="nil"/>
              <w:left w:val="nil"/>
              <w:bottom w:val="single" w:sz="4" w:space="0" w:color="auto"/>
              <w:right w:val="single" w:sz="4" w:space="0" w:color="auto"/>
            </w:tcBorders>
          </w:tcPr>
          <w:p w:rsidR="004C5177" w:rsidRPr="0026259E" w:rsidRDefault="004C5177" w:rsidP="004C5177">
            <w:pPr>
              <w:spacing w:after="0" w:line="240" w:lineRule="auto"/>
              <w:jc w:val="right"/>
              <w:rPr>
                <w:rFonts w:ascii="Times New Roman" w:eastAsia="Times New Roman" w:hAnsi="Times New Roman" w:cs="Times New Roman"/>
                <w:i/>
                <w:sz w:val="24"/>
                <w:szCs w:val="24"/>
                <w:lang w:eastAsia="sk-SK"/>
              </w:rPr>
            </w:pPr>
            <w:r w:rsidRPr="0026259E">
              <w:rPr>
                <w:rFonts w:ascii="Calibri" w:hAnsi="Calibri" w:cs="Calibri"/>
                <w:i/>
              </w:rPr>
              <w:t>100 000,00</w:t>
            </w:r>
          </w:p>
        </w:tc>
        <w:tc>
          <w:tcPr>
            <w:tcW w:w="2220" w:type="dxa"/>
            <w:tcBorders>
              <w:top w:val="nil"/>
              <w:left w:val="nil"/>
              <w:bottom w:val="single" w:sz="4" w:space="0" w:color="auto"/>
              <w:right w:val="single" w:sz="4" w:space="0" w:color="auto"/>
            </w:tcBorders>
            <w:noWrap/>
          </w:tcPr>
          <w:p w:rsidR="004C5177" w:rsidRPr="007D5748" w:rsidRDefault="004C5177" w:rsidP="004C5177">
            <w:pPr>
              <w:spacing w:after="0" w:line="240" w:lineRule="auto"/>
              <w:rPr>
                <w:rFonts w:ascii="Times New Roman" w:eastAsia="Times New Roman" w:hAnsi="Times New Roman" w:cs="Times New Roman"/>
                <w:sz w:val="24"/>
                <w:szCs w:val="24"/>
                <w:lang w:eastAsia="sk-SK"/>
              </w:rPr>
            </w:pPr>
          </w:p>
        </w:tc>
      </w:tr>
      <w:tr w:rsidR="00922C9D" w:rsidRPr="007D5748" w:rsidTr="00922C9D">
        <w:trPr>
          <w:trHeight w:val="255"/>
        </w:trPr>
        <w:tc>
          <w:tcPr>
            <w:tcW w:w="7070" w:type="dxa"/>
            <w:tcBorders>
              <w:top w:val="nil"/>
              <w:left w:val="single" w:sz="4" w:space="0" w:color="auto"/>
              <w:bottom w:val="single" w:sz="4" w:space="0" w:color="auto"/>
              <w:right w:val="single" w:sz="4" w:space="0" w:color="auto"/>
            </w:tcBorders>
          </w:tcPr>
          <w:p w:rsidR="00922C9D" w:rsidRPr="007D5748" w:rsidRDefault="00922C9D" w:rsidP="00922C9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4.1.1</w:t>
            </w:r>
          </w:p>
        </w:tc>
        <w:tc>
          <w:tcPr>
            <w:tcW w:w="1540" w:type="dxa"/>
            <w:tcBorders>
              <w:top w:val="nil"/>
              <w:left w:val="nil"/>
              <w:bottom w:val="single" w:sz="4" w:space="0" w:color="auto"/>
              <w:right w:val="single" w:sz="4" w:space="0" w:color="auto"/>
            </w:tcBorders>
          </w:tcPr>
          <w:p w:rsidR="00922C9D" w:rsidRPr="007D5748" w:rsidRDefault="00922C9D" w:rsidP="00922C9D">
            <w:pPr>
              <w:spacing w:after="0" w:line="240" w:lineRule="auto"/>
              <w:jc w:val="right"/>
              <w:rPr>
                <w:rFonts w:ascii="Times New Roman" w:eastAsia="Times New Roman" w:hAnsi="Times New Roman" w:cs="Times New Roman"/>
                <w:sz w:val="20"/>
                <w:szCs w:val="20"/>
                <w:lang w:eastAsia="sk-SK"/>
              </w:rPr>
            </w:pPr>
            <w:r w:rsidRPr="00922C9D">
              <w:rPr>
                <w:rFonts w:ascii="Calibri" w:hAnsi="Calibri" w:cs="Calibri"/>
                <w:i/>
              </w:rPr>
              <w:t>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100 000,00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100 000,00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100 000,00</w:t>
            </w:r>
          </w:p>
        </w:tc>
        <w:tc>
          <w:tcPr>
            <w:tcW w:w="2220" w:type="dxa"/>
            <w:tcBorders>
              <w:top w:val="nil"/>
              <w:left w:val="nil"/>
              <w:bottom w:val="single" w:sz="4" w:space="0" w:color="auto"/>
              <w:right w:val="single" w:sz="4" w:space="0" w:color="auto"/>
            </w:tcBorders>
            <w:noWrap/>
          </w:tcPr>
          <w:p w:rsidR="00922C9D" w:rsidRPr="007D5748" w:rsidRDefault="00922C9D" w:rsidP="00922C9D">
            <w:pPr>
              <w:spacing w:after="0" w:line="240" w:lineRule="auto"/>
              <w:rPr>
                <w:rFonts w:ascii="Times New Roman" w:eastAsia="Times New Roman" w:hAnsi="Times New Roman" w:cs="Times New Roman"/>
                <w:sz w:val="24"/>
                <w:szCs w:val="24"/>
                <w:lang w:eastAsia="sk-SK"/>
              </w:rPr>
            </w:pPr>
          </w:p>
        </w:tc>
      </w:tr>
      <w:tr w:rsidR="00922C9D" w:rsidRPr="007D5748" w:rsidTr="00922C9D">
        <w:trPr>
          <w:trHeight w:val="255"/>
        </w:trPr>
        <w:tc>
          <w:tcPr>
            <w:tcW w:w="7070" w:type="dxa"/>
            <w:tcBorders>
              <w:top w:val="nil"/>
              <w:left w:val="single" w:sz="4" w:space="0" w:color="auto"/>
              <w:bottom w:val="single" w:sz="4" w:space="0" w:color="auto"/>
              <w:right w:val="single" w:sz="4" w:space="0" w:color="auto"/>
            </w:tcBorders>
          </w:tcPr>
          <w:p w:rsidR="00922C9D" w:rsidRDefault="00922C9D" w:rsidP="00922C9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4.2.6</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100 000,00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100 000,00</w:t>
            </w:r>
          </w:p>
        </w:tc>
        <w:tc>
          <w:tcPr>
            <w:tcW w:w="1540" w:type="dxa"/>
            <w:tcBorders>
              <w:top w:val="nil"/>
              <w:left w:val="nil"/>
              <w:bottom w:val="single" w:sz="4" w:space="0" w:color="auto"/>
              <w:right w:val="single" w:sz="4" w:space="0" w:color="auto"/>
            </w:tcBorders>
          </w:tcPr>
          <w:p w:rsidR="00922C9D" w:rsidRPr="0026259E" w:rsidRDefault="00922C9D" w:rsidP="00922C9D">
            <w:pPr>
              <w:jc w:val="right"/>
              <w:rPr>
                <w:rFonts w:ascii="Calibri" w:hAnsi="Calibri" w:cs="Calibri"/>
                <w:i/>
              </w:rPr>
            </w:pPr>
            <w:r w:rsidRPr="0026259E">
              <w:rPr>
                <w:rFonts w:ascii="Calibri" w:hAnsi="Calibri" w:cs="Calibri"/>
                <w:i/>
              </w:rPr>
              <w:t>100 000,00</w:t>
            </w:r>
          </w:p>
        </w:tc>
        <w:tc>
          <w:tcPr>
            <w:tcW w:w="2220" w:type="dxa"/>
            <w:tcBorders>
              <w:top w:val="nil"/>
              <w:left w:val="nil"/>
              <w:bottom w:val="single" w:sz="4" w:space="0" w:color="auto"/>
              <w:right w:val="single" w:sz="4" w:space="0" w:color="auto"/>
            </w:tcBorders>
            <w:noWrap/>
          </w:tcPr>
          <w:p w:rsidR="00922C9D" w:rsidRPr="007D5748" w:rsidRDefault="00922C9D" w:rsidP="00922C9D">
            <w:pPr>
              <w:spacing w:after="0" w:line="240" w:lineRule="auto"/>
              <w:rPr>
                <w:rFonts w:ascii="Times New Roman" w:eastAsia="Times New Roman" w:hAnsi="Times New Roman" w:cs="Times New Roman"/>
                <w:sz w:val="24"/>
                <w:szCs w:val="24"/>
                <w:lang w:eastAsia="sk-SK"/>
              </w:rPr>
            </w:pP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rsidRPr="009559E3">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b/>
                <w:sz w:val="20"/>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b/>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7D5748">
              <w:rPr>
                <w:rFonts w:ascii="Times New Roman" w:eastAsia="Times New Roman" w:hAnsi="Times New Roman" w:cs="Times New Roman"/>
                <w:sz w:val="24"/>
                <w:szCs w:val="24"/>
                <w:lang w:eastAsia="sk-SK"/>
              </w:rPr>
              <w:t> </w:t>
            </w: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7D5748">
              <w:rPr>
                <w:rFonts w:ascii="Times New Roman" w:eastAsia="Times New Roman" w:hAnsi="Times New Roman" w:cs="Times New Roman"/>
                <w:sz w:val="24"/>
                <w:szCs w:val="24"/>
                <w:lang w:eastAsia="sk-SK"/>
              </w:rPr>
              <w:t> </w:t>
            </w:r>
          </w:p>
        </w:tc>
      </w:tr>
      <w:tr w:rsidR="001C4CE8" w:rsidRPr="007D5748" w:rsidTr="009559E3">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7D5748" w:rsidRDefault="001C4CE8"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4CE8" w:rsidRPr="009559E3" w:rsidRDefault="001C4CE8" w:rsidP="0026259E">
            <w:pPr>
              <w:spacing w:after="0" w:line="240" w:lineRule="auto"/>
              <w:jc w:val="center"/>
              <w:rPr>
                <w:rFonts w:ascii="Times New Roman" w:hAnsi="Times New Roman"/>
                <w:sz w:val="24"/>
              </w:rPr>
            </w:pP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9559E3">
              <w:rPr>
                <w:rFonts w:ascii="Times New Roman" w:hAnsi="Times New Roman"/>
                <w:sz w:val="24"/>
              </w:rPr>
              <w:t> </w:t>
            </w:r>
          </w:p>
        </w:tc>
      </w:tr>
      <w:tr w:rsidR="004E5405" w:rsidRPr="007D5748" w:rsidTr="00922C9D">
        <w:trPr>
          <w:trHeight w:val="255"/>
        </w:trPr>
        <w:tc>
          <w:tcPr>
            <w:tcW w:w="7070" w:type="dxa"/>
            <w:tcBorders>
              <w:top w:val="nil"/>
              <w:left w:val="single" w:sz="4" w:space="0" w:color="auto"/>
              <w:bottom w:val="single" w:sz="4" w:space="0" w:color="auto"/>
              <w:right w:val="single" w:sz="4" w:space="0" w:color="auto"/>
            </w:tcBorders>
          </w:tcPr>
          <w:p w:rsidR="001C4CE8" w:rsidRPr="007D5748" w:rsidRDefault="001C4CE8" w:rsidP="0026259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1C4CE8" w:rsidRPr="007D5748" w:rsidRDefault="001C4CE8" w:rsidP="0026259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1C4CE8" w:rsidRPr="009559E3" w:rsidRDefault="001C4CE8" w:rsidP="0026259E">
            <w:pPr>
              <w:spacing w:after="0" w:line="240" w:lineRule="auto"/>
              <w:jc w:val="center"/>
              <w:rPr>
                <w:rFonts w:ascii="Times New Roman" w:hAnsi="Times New Roman"/>
                <w:b/>
                <w:sz w:val="24"/>
              </w:rPr>
            </w:pPr>
            <w:r w:rsidRPr="009559E3">
              <w:rPr>
                <w:rFonts w:ascii="Times New Roman" w:hAnsi="Times New Roman"/>
                <w:b/>
                <w:sz w:val="24"/>
              </w:rPr>
              <w:t> </w:t>
            </w:r>
          </w:p>
        </w:tc>
        <w:tc>
          <w:tcPr>
            <w:tcW w:w="2220" w:type="dxa"/>
            <w:tcBorders>
              <w:top w:val="nil"/>
              <w:left w:val="nil"/>
              <w:bottom w:val="single" w:sz="4" w:space="0" w:color="auto"/>
              <w:right w:val="single" w:sz="4" w:space="0" w:color="auto"/>
            </w:tcBorders>
            <w:noWrap/>
          </w:tcPr>
          <w:p w:rsidR="001C4CE8" w:rsidRPr="009559E3" w:rsidRDefault="001C4CE8" w:rsidP="0026259E">
            <w:pPr>
              <w:spacing w:after="0" w:line="240" w:lineRule="auto"/>
              <w:rPr>
                <w:rFonts w:ascii="Times New Roman" w:hAnsi="Times New Roman"/>
                <w:sz w:val="24"/>
              </w:rPr>
            </w:pPr>
            <w:r w:rsidRPr="009559E3">
              <w:rPr>
                <w:rFonts w:ascii="Times New Roman" w:hAnsi="Times New Roman"/>
                <w:sz w:val="24"/>
              </w:rPr>
              <w:t> </w:t>
            </w:r>
          </w:p>
        </w:tc>
      </w:tr>
      <w:tr w:rsidR="009559E3" w:rsidRPr="007D5748" w:rsidTr="005F283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559E3" w:rsidRPr="007D5748" w:rsidRDefault="009559E3" w:rsidP="009559E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559E3" w:rsidRPr="002E7056" w:rsidRDefault="009559E3" w:rsidP="009559E3">
            <w:pPr>
              <w:spacing w:after="0" w:line="240" w:lineRule="auto"/>
              <w:jc w:val="center"/>
              <w:rPr>
                <w:rFonts w:ascii="Times New Roman" w:eastAsia="Times New Roman" w:hAnsi="Times New Roman" w:cs="Times New Roman"/>
                <w:b/>
                <w:bCs/>
                <w:sz w:val="20"/>
                <w:szCs w:val="20"/>
                <w:lang w:eastAsia="sk-SK"/>
              </w:rPr>
            </w:pPr>
            <w:r w:rsidRPr="009559E3">
              <w:rPr>
                <w:rFonts w:ascii="Times New Roman" w:eastAsia="Times New Roman" w:hAnsi="Times New Roman" w:cs="Times New Roman"/>
                <w:i/>
                <w:iCs/>
                <w:color w:val="000000"/>
                <w:sz w:val="24"/>
                <w:szCs w:val="24"/>
                <w:lang w:eastAsia="sk-SK"/>
              </w:rPr>
              <w:t>362 000,00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559E3" w:rsidRPr="009559E3" w:rsidRDefault="009559E3" w:rsidP="009559E3">
            <w:pPr>
              <w:spacing w:after="0" w:line="240" w:lineRule="auto"/>
              <w:jc w:val="center"/>
              <w:rPr>
                <w:rFonts w:ascii="Times New Roman" w:hAnsi="Times New Roman"/>
                <w:b/>
                <w:i/>
                <w:color w:val="000000"/>
                <w:sz w:val="24"/>
              </w:rPr>
            </w:pPr>
            <w:r w:rsidRPr="009559E3">
              <w:rPr>
                <w:rFonts w:ascii="Times New Roman" w:eastAsia="Times New Roman" w:hAnsi="Times New Roman" w:cs="Times New Roman"/>
                <w:i/>
                <w:iCs/>
                <w:color w:val="000000"/>
                <w:sz w:val="24"/>
                <w:szCs w:val="24"/>
                <w:lang w:eastAsia="sk-SK"/>
              </w:rPr>
              <w:t>650 000,00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559E3" w:rsidRPr="009559E3" w:rsidRDefault="009559E3" w:rsidP="009559E3">
            <w:pPr>
              <w:spacing w:after="0" w:line="240" w:lineRule="auto"/>
              <w:jc w:val="center"/>
              <w:rPr>
                <w:rFonts w:ascii="Times New Roman" w:hAnsi="Times New Roman"/>
                <w:b/>
                <w:i/>
                <w:color w:val="000000"/>
                <w:sz w:val="24"/>
              </w:rPr>
            </w:pPr>
            <w:r w:rsidRPr="009559E3">
              <w:rPr>
                <w:rFonts w:ascii="Times New Roman" w:eastAsia="Times New Roman" w:hAnsi="Times New Roman" w:cs="Times New Roman"/>
                <w:i/>
                <w:iCs/>
                <w:color w:val="000000"/>
                <w:sz w:val="24"/>
                <w:szCs w:val="24"/>
                <w:lang w:eastAsia="sk-SK"/>
              </w:rPr>
              <w:t>650 000,00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559E3" w:rsidRPr="009559E3" w:rsidRDefault="009559E3" w:rsidP="009559E3">
            <w:pPr>
              <w:spacing w:after="0" w:line="240" w:lineRule="auto"/>
              <w:jc w:val="center"/>
              <w:rPr>
                <w:rFonts w:ascii="Times New Roman" w:hAnsi="Times New Roman"/>
                <w:b/>
                <w:i/>
                <w:color w:val="000000"/>
                <w:sz w:val="24"/>
              </w:rPr>
            </w:pPr>
            <w:r w:rsidRPr="009559E3">
              <w:rPr>
                <w:rFonts w:ascii="Times New Roman" w:eastAsia="Times New Roman" w:hAnsi="Times New Roman" w:cs="Times New Roman"/>
                <w:i/>
                <w:iCs/>
                <w:color w:val="000000"/>
                <w:sz w:val="24"/>
                <w:szCs w:val="24"/>
                <w:lang w:eastAsia="sk-SK"/>
              </w:rPr>
              <w:t>650 000,00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tcPr>
          <w:p w:rsidR="009559E3" w:rsidRPr="009559E3" w:rsidRDefault="009559E3" w:rsidP="009559E3">
            <w:pPr>
              <w:spacing w:after="0" w:line="240" w:lineRule="auto"/>
              <w:rPr>
                <w:rFonts w:ascii="Times New Roman" w:hAnsi="Times New Roman"/>
                <w:sz w:val="24"/>
              </w:rPr>
            </w:pPr>
            <w:r w:rsidRPr="009559E3">
              <w:rPr>
                <w:rFonts w:ascii="Times New Roman" w:hAnsi="Times New Roman"/>
                <w:sz w:val="24"/>
              </w:rPr>
              <w:t> </w:t>
            </w:r>
          </w:p>
        </w:tc>
      </w:tr>
    </w:tbl>
    <w:p w:rsidR="001C4CE8" w:rsidRPr="007D5748" w:rsidRDefault="001C4CE8" w:rsidP="001C4CE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1C4CE8" w:rsidRPr="007D5748" w:rsidRDefault="001C4CE8" w:rsidP="001C4CE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1C4CE8" w:rsidRPr="009559E3" w:rsidRDefault="001C4CE8" w:rsidP="001C4CE8">
      <w:pPr>
        <w:tabs>
          <w:tab w:val="num" w:pos="1080"/>
        </w:tabs>
        <w:spacing w:after="0" w:line="240" w:lineRule="auto"/>
        <w:ind w:left="-900"/>
        <w:jc w:val="both"/>
        <w:rPr>
          <w:rFonts w:ascii="Times New Roman" w:hAnsi="Times New Roman"/>
          <w:b/>
          <w:sz w:val="20"/>
        </w:rPr>
      </w:pPr>
      <w:r w:rsidRPr="007D5748">
        <w:rPr>
          <w:rFonts w:ascii="Times New Roman" w:eastAsia="Times New Roman" w:hAnsi="Times New Roman" w:cs="Times New Roman"/>
          <w:b/>
          <w:bCs/>
          <w:sz w:val="24"/>
          <w:szCs w:val="20"/>
          <w:lang w:eastAsia="sk-SK"/>
        </w:rPr>
        <w:t>Poznámka:</w:t>
      </w:r>
    </w:p>
    <w:p w:rsidR="00E11CDD" w:rsidRDefault="0026259E" w:rsidP="001C4CE8">
      <w:pPr>
        <w:tabs>
          <w:tab w:val="num" w:pos="1080"/>
        </w:tabs>
        <w:spacing w:after="0" w:line="240" w:lineRule="auto"/>
        <w:ind w:left="-900"/>
        <w:jc w:val="both"/>
        <w:rPr>
          <w:rFonts w:ascii="Times New Roman" w:eastAsia="Times New Roman" w:hAnsi="Times New Roman" w:cs="Times New Roman"/>
          <w:bCs/>
          <w:sz w:val="24"/>
          <w:szCs w:val="20"/>
          <w:lang w:eastAsia="sk-SK"/>
        </w:rPr>
      </w:pPr>
      <w:r w:rsidRPr="0026259E">
        <w:rPr>
          <w:rFonts w:ascii="Times New Roman" w:eastAsia="Times New Roman" w:hAnsi="Times New Roman" w:cs="Times New Roman"/>
          <w:bCs/>
          <w:sz w:val="24"/>
          <w:szCs w:val="20"/>
          <w:lang w:eastAsia="sk-SK"/>
        </w:rPr>
        <w:t>Uvedené nezohľadňuje finančné prostriedky potrebné na opatrenia z eurofondov.</w:t>
      </w:r>
    </w:p>
    <w:p w:rsidR="00E11CDD" w:rsidRPr="009559E3" w:rsidRDefault="00E11CDD" w:rsidP="00E11CDD">
      <w:pPr>
        <w:tabs>
          <w:tab w:val="num" w:pos="1080"/>
        </w:tabs>
        <w:spacing w:after="0" w:line="240" w:lineRule="auto"/>
        <w:ind w:left="-900"/>
        <w:jc w:val="both"/>
        <w:rPr>
          <w:rFonts w:ascii="Times New Roman" w:hAnsi="Times New Roman"/>
          <w:sz w:val="20"/>
        </w:rPr>
      </w:pPr>
    </w:p>
    <w:p w:rsidR="0026259E" w:rsidRPr="0026259E" w:rsidRDefault="0026259E" w:rsidP="0026259E">
      <w:pPr>
        <w:tabs>
          <w:tab w:val="num" w:pos="1080"/>
        </w:tabs>
        <w:spacing w:after="0" w:line="240" w:lineRule="auto"/>
        <w:ind w:left="-900"/>
        <w:jc w:val="both"/>
        <w:rPr>
          <w:rFonts w:ascii="Times New Roman" w:eastAsia="Times New Roman" w:hAnsi="Times New Roman" w:cs="Times New Roman"/>
          <w:b/>
          <w:bCs/>
          <w:i/>
          <w:sz w:val="24"/>
          <w:szCs w:val="20"/>
          <w:lang w:eastAsia="sk-SK"/>
        </w:rPr>
      </w:pPr>
      <w:r w:rsidRPr="0026259E">
        <w:rPr>
          <w:rFonts w:ascii="Times New Roman" w:eastAsia="Times New Roman" w:hAnsi="Times New Roman" w:cs="Times New Roman"/>
          <w:b/>
          <w:bCs/>
          <w:i/>
          <w:sz w:val="24"/>
          <w:szCs w:val="20"/>
          <w:lang w:eastAsia="sk-SK"/>
        </w:rPr>
        <w:t xml:space="preserve">Opatrenia </w:t>
      </w:r>
      <w:r w:rsidRPr="00C32C48">
        <w:rPr>
          <w:rFonts w:ascii="Times New Roman" w:eastAsia="Times New Roman" w:hAnsi="Times New Roman" w:cs="Times New Roman"/>
          <w:b/>
          <w:bCs/>
          <w:i/>
          <w:iCs/>
          <w:color w:val="000000"/>
          <w:sz w:val="24"/>
          <w:szCs w:val="24"/>
          <w:lang w:eastAsia="sk-SK"/>
        </w:rPr>
        <w:t>MŠVVŠ SR</w:t>
      </w:r>
      <w:r w:rsidR="004C5177">
        <w:rPr>
          <w:rFonts w:ascii="Times New Roman" w:eastAsia="Times New Roman" w:hAnsi="Times New Roman" w:cs="Times New Roman"/>
          <w:b/>
          <w:bCs/>
          <w:i/>
          <w:iCs/>
          <w:color w:val="000000"/>
          <w:sz w:val="24"/>
          <w:szCs w:val="24"/>
          <w:lang w:eastAsia="sk-SK"/>
        </w:rPr>
        <w:t xml:space="preserve">                                                                                                                                                                                            </w:t>
      </w:r>
      <w:r w:rsidR="004C5177" w:rsidRPr="007D5748">
        <w:rPr>
          <w:rFonts w:ascii="Times New Roman" w:eastAsia="Times New Roman" w:hAnsi="Times New Roman" w:cs="Times New Roman"/>
          <w:bCs/>
          <w:sz w:val="24"/>
          <w:szCs w:val="24"/>
          <w:lang w:eastAsia="sk-SK"/>
        </w:rPr>
        <w:t>Tabuľka č. 4</w:t>
      </w:r>
      <w:r w:rsidR="00E84C91">
        <w:rPr>
          <w:rFonts w:ascii="Times New Roman" w:eastAsia="Times New Roman" w:hAnsi="Times New Roman" w:cs="Times New Roman"/>
          <w:bCs/>
          <w:sz w:val="24"/>
          <w:szCs w:val="24"/>
          <w:lang w:eastAsia="sk-SK"/>
        </w:rPr>
        <w:t>.B</w:t>
      </w:r>
    </w:p>
    <w:p w:rsidR="0026259E" w:rsidRPr="007D5748" w:rsidRDefault="0026259E" w:rsidP="0026259E">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26259E" w:rsidRPr="007D5748" w:rsidTr="0026259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6259E" w:rsidRPr="007D5748" w:rsidRDefault="0026259E" w:rsidP="0026259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26259E" w:rsidRPr="007D5748" w:rsidTr="0026259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26259E" w:rsidRPr="007D5748" w:rsidRDefault="0026259E" w:rsidP="0026259E">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26259E" w:rsidRPr="007D5748" w:rsidRDefault="0026259E" w:rsidP="0026259E">
            <w:pPr>
              <w:spacing w:after="0" w:line="240" w:lineRule="auto"/>
              <w:jc w:val="center"/>
              <w:rPr>
                <w:rFonts w:ascii="Times New Roman" w:eastAsia="Times New Roman" w:hAnsi="Times New Roman" w:cs="Times New Roman"/>
                <w:b/>
                <w:bCs/>
                <w:sz w:val="24"/>
                <w:szCs w:val="24"/>
                <w:lang w:eastAsia="sk-SK"/>
              </w:rPr>
            </w:pPr>
            <w:r w:rsidRPr="0026259E">
              <w:rPr>
                <w:rFonts w:ascii="Times New Roman" w:eastAsia="Times New Roman" w:hAnsi="Times New Roman" w:cs="Times New Roman"/>
                <w:b/>
                <w:bCs/>
                <w:sz w:val="20"/>
                <w:szCs w:val="20"/>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26259E" w:rsidRPr="007D5748" w:rsidRDefault="0026259E" w:rsidP="0026259E">
            <w:pPr>
              <w:spacing w:after="0" w:line="240" w:lineRule="auto"/>
              <w:rPr>
                <w:rFonts w:ascii="Times New Roman" w:eastAsia="Times New Roman" w:hAnsi="Times New Roman" w:cs="Times New Roman"/>
                <w:b/>
                <w:bCs/>
                <w:color w:val="FFFFFF"/>
                <w:sz w:val="24"/>
                <w:szCs w:val="24"/>
                <w:lang w:eastAsia="sk-SK"/>
              </w:rPr>
            </w:pP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7D5748" w:rsidRDefault="0026259E" w:rsidP="0026259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B</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84 000,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413 000,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413 000,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413 000,</w:t>
            </w:r>
            <w:r>
              <w:rPr>
                <w:rFonts w:ascii="Calibri" w:hAnsi="Calibri" w:cs="Calibri"/>
              </w:rPr>
              <w:t>0</w:t>
            </w:r>
            <w:r w:rsidRPr="0026259E">
              <w:rPr>
                <w:rFonts w:ascii="Calibri" w:hAnsi="Calibri" w:cs="Calibri"/>
              </w:rPr>
              <w:t>0</w:t>
            </w: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Default="0026259E"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1.1.2</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right"/>
              <w:rPr>
                <w:rFonts w:ascii="Calibri" w:hAnsi="Calibri" w:cs="Calibri"/>
              </w:rPr>
            </w:pPr>
            <w:r w:rsidRPr="0026259E">
              <w:rPr>
                <w:rFonts w:ascii="Calibri" w:hAnsi="Calibri" w:cs="Calibri"/>
              </w:rPr>
              <w:t>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right"/>
              <w:rPr>
                <w:rFonts w:ascii="Calibri" w:hAnsi="Calibri" w:cs="Calibri"/>
              </w:rPr>
            </w:pPr>
            <w:r w:rsidRPr="0026259E">
              <w:rPr>
                <w:rFonts w:ascii="Calibri" w:hAnsi="Calibri" w:cs="Calibri"/>
              </w:rPr>
              <w:t>691 340,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right"/>
              <w:rPr>
                <w:rFonts w:ascii="Calibri" w:hAnsi="Calibri" w:cs="Calibri"/>
              </w:rPr>
            </w:pPr>
            <w:r w:rsidRPr="0026259E">
              <w:rPr>
                <w:rFonts w:ascii="Calibri" w:hAnsi="Calibri" w:cs="Calibri"/>
              </w:rPr>
              <w:t>1 090 000,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right"/>
              <w:rPr>
                <w:rFonts w:ascii="Calibri" w:hAnsi="Calibri" w:cs="Calibri"/>
              </w:rPr>
            </w:pPr>
            <w:r w:rsidRPr="0026259E">
              <w:rPr>
                <w:rFonts w:ascii="Calibri" w:hAnsi="Calibri" w:cs="Calibri"/>
              </w:rPr>
              <w:t>877 660,</w:t>
            </w:r>
            <w:r>
              <w:rPr>
                <w:rFonts w:ascii="Calibri" w:hAnsi="Calibri" w:cs="Calibri"/>
              </w:rPr>
              <w:t>0</w:t>
            </w:r>
            <w:r w:rsidRPr="0026259E">
              <w:rPr>
                <w:rFonts w:ascii="Calibri" w:hAnsi="Calibri" w:cs="Calibri"/>
              </w:rPr>
              <w:t>0</w:t>
            </w: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Default="0026259E"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Opatrenie 1.1.3</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214 500,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487 500,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624 000,</w:t>
            </w:r>
            <w:r>
              <w:rPr>
                <w:rFonts w:ascii="Calibri" w:hAnsi="Calibri" w:cs="Calibri"/>
              </w:rPr>
              <w:t>0</w:t>
            </w:r>
            <w:r w:rsidRPr="0026259E">
              <w:rPr>
                <w:rFonts w:ascii="Calibri" w:hAnsi="Calibri" w:cs="Calibri"/>
              </w:rPr>
              <w:t>0</w:t>
            </w:r>
          </w:p>
        </w:tc>
        <w:tc>
          <w:tcPr>
            <w:tcW w:w="1540" w:type="dxa"/>
            <w:tcBorders>
              <w:top w:val="nil"/>
              <w:left w:val="nil"/>
              <w:bottom w:val="single" w:sz="4" w:space="0" w:color="auto"/>
              <w:right w:val="single" w:sz="4" w:space="0" w:color="auto"/>
            </w:tcBorders>
            <w:vAlign w:val="bottom"/>
          </w:tcPr>
          <w:p w:rsidR="0026259E" w:rsidRPr="0026259E" w:rsidRDefault="0026259E" w:rsidP="0026259E">
            <w:pPr>
              <w:spacing w:after="0" w:line="240" w:lineRule="auto"/>
              <w:jc w:val="right"/>
              <w:rPr>
                <w:rFonts w:ascii="Calibri" w:hAnsi="Calibri" w:cs="Calibri"/>
              </w:rPr>
            </w:pPr>
            <w:r w:rsidRPr="0026259E">
              <w:rPr>
                <w:rFonts w:ascii="Calibri" w:hAnsi="Calibri" w:cs="Calibri"/>
              </w:rPr>
              <w:t>624 000,</w:t>
            </w:r>
            <w:r>
              <w:rPr>
                <w:rFonts w:ascii="Calibri" w:hAnsi="Calibri" w:cs="Calibri"/>
              </w:rPr>
              <w:t>0</w:t>
            </w:r>
            <w:r w:rsidRPr="0026259E">
              <w:rPr>
                <w:rFonts w:ascii="Calibri" w:hAnsi="Calibri" w:cs="Calibri"/>
              </w:rPr>
              <w:t>0</w:t>
            </w: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vAlign w:val="center"/>
          </w:tcPr>
          <w:p w:rsidR="0026259E" w:rsidRPr="007D5748" w:rsidRDefault="0026259E"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6259E" w:rsidRPr="0026259E" w:rsidRDefault="0026259E" w:rsidP="0026259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nil"/>
              <w:left w:val="single" w:sz="4" w:space="0" w:color="auto"/>
              <w:bottom w:val="single" w:sz="4" w:space="0" w:color="auto"/>
              <w:right w:val="single" w:sz="4" w:space="0" w:color="auto"/>
            </w:tcBorders>
          </w:tcPr>
          <w:p w:rsidR="0026259E" w:rsidRPr="007D5748" w:rsidRDefault="0026259E" w:rsidP="0026259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26259E" w:rsidRPr="0026259E" w:rsidRDefault="0026259E" w:rsidP="0026259E">
            <w:pPr>
              <w:spacing w:after="0" w:line="240" w:lineRule="auto"/>
              <w:jc w:val="center"/>
              <w:rPr>
                <w:rFonts w:ascii="Times New Roman" w:eastAsia="Times New Roman" w:hAnsi="Times New Roman" w:cs="Times New Roman"/>
                <w:b/>
                <w:bCs/>
                <w:sz w:val="20"/>
                <w:szCs w:val="20"/>
                <w:lang w:eastAsia="sk-SK"/>
              </w:rPr>
            </w:pPr>
            <w:r w:rsidRPr="0026259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26259E" w:rsidRPr="0026259E" w:rsidRDefault="0026259E" w:rsidP="0026259E">
            <w:pPr>
              <w:spacing w:after="0" w:line="240" w:lineRule="auto"/>
              <w:jc w:val="center"/>
              <w:rPr>
                <w:rFonts w:ascii="Times New Roman" w:eastAsia="Times New Roman" w:hAnsi="Times New Roman" w:cs="Times New Roman"/>
                <w:b/>
                <w:bCs/>
                <w:sz w:val="20"/>
                <w:szCs w:val="20"/>
                <w:lang w:eastAsia="sk-SK"/>
              </w:rPr>
            </w:pPr>
            <w:r w:rsidRPr="0026259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26259E" w:rsidRPr="0026259E" w:rsidRDefault="0026259E" w:rsidP="0026259E">
            <w:pPr>
              <w:spacing w:after="0" w:line="240" w:lineRule="auto"/>
              <w:jc w:val="center"/>
              <w:rPr>
                <w:rFonts w:ascii="Times New Roman" w:eastAsia="Times New Roman" w:hAnsi="Times New Roman" w:cs="Times New Roman"/>
                <w:b/>
                <w:bCs/>
                <w:sz w:val="20"/>
                <w:szCs w:val="20"/>
                <w:lang w:eastAsia="sk-SK"/>
              </w:rPr>
            </w:pPr>
            <w:r w:rsidRPr="0026259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26259E" w:rsidRPr="0026259E" w:rsidRDefault="0026259E" w:rsidP="0026259E">
            <w:pPr>
              <w:spacing w:after="0" w:line="240" w:lineRule="auto"/>
              <w:jc w:val="center"/>
              <w:rPr>
                <w:rFonts w:ascii="Times New Roman" w:eastAsia="Times New Roman" w:hAnsi="Times New Roman" w:cs="Times New Roman"/>
                <w:b/>
                <w:bCs/>
                <w:sz w:val="24"/>
                <w:szCs w:val="24"/>
                <w:lang w:eastAsia="sk-SK"/>
              </w:rPr>
            </w:pPr>
            <w:r w:rsidRPr="0026259E">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26259E" w:rsidRPr="007D5748" w:rsidTr="0026259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6259E" w:rsidRPr="007D5748" w:rsidRDefault="0026259E" w:rsidP="0026259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26259E" w:rsidRPr="0026259E" w:rsidRDefault="0026259E" w:rsidP="0026259E">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298 500,00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26259E" w:rsidRPr="0026259E" w:rsidRDefault="0026259E" w:rsidP="0026259E">
            <w:pPr>
              <w:spacing w:after="0" w:line="240" w:lineRule="auto"/>
              <w:jc w:val="center"/>
              <w:rPr>
                <w:rFonts w:ascii="Times New Roman" w:eastAsia="Times New Roman" w:hAnsi="Times New Roman" w:cs="Times New Roman"/>
                <w:b/>
                <w:sz w:val="20"/>
                <w:szCs w:val="20"/>
                <w:lang w:val="en-AU" w:eastAsia="sk-SK"/>
              </w:rPr>
            </w:pPr>
            <w:r w:rsidRPr="004C5177">
              <w:rPr>
                <w:rFonts w:ascii="Times New Roman" w:eastAsia="Times New Roman" w:hAnsi="Times New Roman" w:cs="Times New Roman"/>
                <w:b/>
                <w:sz w:val="20"/>
                <w:szCs w:val="20"/>
                <w:lang w:eastAsia="sk-SK"/>
              </w:rPr>
              <w:t>1 591</w:t>
            </w:r>
            <w:r w:rsidR="004C5177" w:rsidRPr="004C5177">
              <w:rPr>
                <w:rFonts w:ascii="Times New Roman" w:eastAsia="Times New Roman" w:hAnsi="Times New Roman" w:cs="Times New Roman"/>
                <w:b/>
                <w:sz w:val="20"/>
                <w:szCs w:val="20"/>
                <w:lang w:eastAsia="sk-SK"/>
              </w:rPr>
              <w:t> 840,00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26259E" w:rsidRPr="0026259E" w:rsidRDefault="004C5177" w:rsidP="0026259E">
            <w:pPr>
              <w:spacing w:after="0" w:line="240" w:lineRule="auto"/>
              <w:jc w:val="center"/>
              <w:rPr>
                <w:rFonts w:ascii="Times New Roman" w:eastAsia="Times New Roman" w:hAnsi="Times New Roman" w:cs="Times New Roman"/>
                <w:b/>
                <w:sz w:val="20"/>
                <w:szCs w:val="20"/>
                <w:lang w:eastAsia="sk-SK"/>
              </w:rPr>
            </w:pPr>
            <w:r w:rsidRPr="004C5177">
              <w:rPr>
                <w:rFonts w:ascii="Times New Roman" w:eastAsia="Times New Roman" w:hAnsi="Times New Roman" w:cs="Times New Roman"/>
                <w:b/>
                <w:sz w:val="20"/>
                <w:szCs w:val="20"/>
                <w:lang w:eastAsia="sk-SK"/>
              </w:rPr>
              <w:t>2 127 000,00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26259E" w:rsidRPr="0026259E" w:rsidRDefault="004C5177" w:rsidP="0026259E">
            <w:pPr>
              <w:spacing w:after="0" w:line="240" w:lineRule="auto"/>
              <w:jc w:val="center"/>
              <w:rPr>
                <w:rFonts w:ascii="Times New Roman" w:eastAsia="Times New Roman" w:hAnsi="Times New Roman" w:cs="Times New Roman"/>
                <w:b/>
                <w:sz w:val="24"/>
                <w:szCs w:val="24"/>
                <w:lang w:eastAsia="sk-SK"/>
              </w:rPr>
            </w:pPr>
            <w:r w:rsidRPr="004C5177">
              <w:rPr>
                <w:rFonts w:ascii="Times New Roman" w:eastAsia="Times New Roman" w:hAnsi="Times New Roman" w:cs="Times New Roman"/>
                <w:b/>
                <w:sz w:val="20"/>
                <w:szCs w:val="20"/>
                <w:lang w:eastAsia="sk-SK"/>
              </w:rPr>
              <w:t>1 914 660,00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6259E" w:rsidRPr="007D5748" w:rsidRDefault="0026259E" w:rsidP="0026259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26259E" w:rsidRPr="007D5748" w:rsidRDefault="0026259E" w:rsidP="0026259E">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6259E" w:rsidRPr="007D5748" w:rsidRDefault="0026259E" w:rsidP="0026259E">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6259E" w:rsidRPr="007D5748" w:rsidRDefault="0026259E" w:rsidP="0026259E">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26259E" w:rsidRDefault="0026259E" w:rsidP="0026259E">
      <w:pPr>
        <w:tabs>
          <w:tab w:val="num" w:pos="1080"/>
        </w:tabs>
        <w:spacing w:after="0" w:line="240" w:lineRule="auto"/>
        <w:ind w:left="-900"/>
        <w:jc w:val="both"/>
        <w:rPr>
          <w:rFonts w:ascii="Times New Roman" w:eastAsia="Times New Roman" w:hAnsi="Times New Roman" w:cs="Times New Roman"/>
          <w:bCs/>
          <w:sz w:val="24"/>
          <w:szCs w:val="20"/>
          <w:lang w:eastAsia="sk-SK"/>
        </w:rPr>
      </w:pPr>
      <w:r w:rsidRPr="0026259E">
        <w:rPr>
          <w:rFonts w:ascii="Times New Roman" w:eastAsia="Times New Roman" w:hAnsi="Times New Roman" w:cs="Times New Roman"/>
          <w:bCs/>
          <w:sz w:val="24"/>
          <w:szCs w:val="20"/>
          <w:lang w:eastAsia="sk-SK"/>
        </w:rPr>
        <w:t>Uvedené nezohľadňuje finančné prostriedky potrebné na opatrenia z eurofondov.</w:t>
      </w:r>
    </w:p>
    <w:p w:rsidR="00E11CDD" w:rsidRDefault="00E11CDD" w:rsidP="00E11CD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11CDD" w:rsidRPr="007D5748" w:rsidRDefault="00E11CDD" w:rsidP="00E11CD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11CDD" w:rsidRPr="007D5748" w:rsidRDefault="00E11CDD" w:rsidP="00E11CD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11CDD" w:rsidRDefault="00E11CDD" w:rsidP="00E11CDD">
      <w:pPr>
        <w:tabs>
          <w:tab w:val="num" w:pos="1080"/>
        </w:tabs>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r>
    </w:p>
    <w:p w:rsidR="00E11CDD" w:rsidRDefault="00E11CDD" w:rsidP="00E11CDD">
      <w:pPr>
        <w:tabs>
          <w:tab w:val="num" w:pos="1080"/>
        </w:tabs>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column"/>
      </w:r>
      <w:r w:rsidRPr="00983DB6">
        <w:rPr>
          <w:rFonts w:ascii="Times New Roman" w:eastAsia="Times New Roman" w:hAnsi="Times New Roman" w:cs="Times New Roman"/>
          <w:bCs/>
          <w:sz w:val="20"/>
          <w:szCs w:val="20"/>
          <w:lang w:eastAsia="sk-SK"/>
        </w:rPr>
        <w:t xml:space="preserve">Tabuľka č. 5 </w:t>
      </w:r>
    </w:p>
    <w:p w:rsidR="00E11CDD" w:rsidRDefault="00E11CDD" w:rsidP="00E11CDD">
      <w:pPr>
        <w:tabs>
          <w:tab w:val="num" w:pos="1080"/>
        </w:tabs>
        <w:spacing w:after="0" w:line="240" w:lineRule="auto"/>
        <w:jc w:val="right"/>
        <w:rPr>
          <w:rFonts w:ascii="Times New Roman" w:eastAsia="Times New Roman" w:hAnsi="Times New Roman" w:cs="Times New Roman"/>
          <w:bCs/>
          <w:sz w:val="20"/>
          <w:szCs w:val="20"/>
          <w:lang w:eastAsia="sk-SK"/>
        </w:rPr>
      </w:pPr>
    </w:p>
    <w:p w:rsidR="00E11CDD" w:rsidRPr="007D5748" w:rsidRDefault="00E11CDD" w:rsidP="00E11CDD">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E11CDD" w:rsidRPr="007D5748" w:rsidTr="00536B4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E11CDD" w:rsidRPr="007D5748" w:rsidTr="00536B4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1CDD" w:rsidRPr="007D5748" w:rsidRDefault="00E11CDD" w:rsidP="00536B41">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788" w:type="dxa"/>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722" w:type="dxa"/>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1CDD" w:rsidRPr="007D5748" w:rsidRDefault="00E11CDD" w:rsidP="00536B41">
            <w:pPr>
              <w:spacing w:after="0" w:line="240" w:lineRule="auto"/>
              <w:rPr>
                <w:rFonts w:ascii="Times New Roman" w:eastAsia="Times New Roman" w:hAnsi="Times New Roman" w:cs="Times New Roman"/>
                <w:b/>
                <w:bCs/>
                <w:color w:val="FFFFFF"/>
                <w:sz w:val="24"/>
                <w:szCs w:val="24"/>
                <w:lang w:eastAsia="sk-SK"/>
              </w:rPr>
            </w:pP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b/>
                <w:bCs/>
                <w:sz w:val="24"/>
                <w:szCs w:val="24"/>
                <w:lang w:eastAsia="sk-SK"/>
              </w:rPr>
            </w:pPr>
            <w:r w:rsidRPr="00C952CE">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b/>
                <w:bCs/>
                <w:sz w:val="24"/>
                <w:szCs w:val="24"/>
                <w:lang w:eastAsia="sk-SK"/>
              </w:rPr>
            </w:pPr>
            <w:r w:rsidRPr="00C952CE">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b/>
                <w:bCs/>
                <w:sz w:val="24"/>
                <w:szCs w:val="24"/>
                <w:lang w:eastAsia="sk-SK"/>
              </w:rPr>
            </w:pPr>
            <w:r w:rsidRPr="00C952CE">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sz w:val="24"/>
                <w:szCs w:val="24"/>
                <w:lang w:eastAsia="sk-SK"/>
              </w:rPr>
            </w:pPr>
            <w:r w:rsidRPr="00C952CE">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788"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722" w:type="dxa"/>
            <w:tcBorders>
              <w:top w:val="single" w:sz="4" w:space="0" w:color="auto"/>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E11CDD" w:rsidRPr="00C952CE" w:rsidRDefault="00E11CDD" w:rsidP="00536B41">
            <w:pPr>
              <w:spacing w:after="0" w:line="240" w:lineRule="auto"/>
              <w:rPr>
                <w:rFonts w:ascii="Times New Roman" w:eastAsia="Times New Roman" w:hAnsi="Times New Roman" w:cs="Times New Roman"/>
                <w:b/>
                <w:bCs/>
                <w:sz w:val="24"/>
                <w:szCs w:val="24"/>
                <w:lang w:eastAsia="sk-SK"/>
              </w:rPr>
            </w:pPr>
            <w:r w:rsidRPr="00C952CE">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shd w:val="clear" w:color="auto" w:fill="BFBFBF" w:themeFill="background1" w:themeFillShade="BF"/>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E11CDD" w:rsidRPr="007D5748" w:rsidRDefault="00E11CDD" w:rsidP="00536B4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b/>
                <w:bCs/>
                <w:sz w:val="24"/>
                <w:szCs w:val="24"/>
                <w:lang w:eastAsia="sk-SK"/>
              </w:rPr>
            </w:pPr>
            <w:r w:rsidRPr="00C952CE">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sz w:val="24"/>
                <w:szCs w:val="24"/>
                <w:lang w:eastAsia="sk-SK"/>
              </w:rPr>
            </w:pPr>
            <w:r w:rsidRPr="00C952CE">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b/>
                <w:bCs/>
                <w:sz w:val="24"/>
                <w:szCs w:val="24"/>
                <w:lang w:eastAsia="sk-SK"/>
              </w:rPr>
            </w:pPr>
            <w:r w:rsidRPr="00C952CE">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11CDD" w:rsidRPr="007D5748" w:rsidTr="00536B41">
        <w:trPr>
          <w:trHeight w:val="255"/>
        </w:trPr>
        <w:tc>
          <w:tcPr>
            <w:tcW w:w="6188" w:type="dxa"/>
            <w:tcBorders>
              <w:top w:val="nil"/>
              <w:left w:val="single" w:sz="4" w:space="0" w:color="auto"/>
              <w:bottom w:val="single" w:sz="4" w:space="0" w:color="auto"/>
              <w:right w:val="single" w:sz="4" w:space="0" w:color="auto"/>
            </w:tcBorders>
          </w:tcPr>
          <w:p w:rsidR="00E11CDD" w:rsidRPr="00C952CE" w:rsidRDefault="00E11CDD" w:rsidP="00536B41">
            <w:pPr>
              <w:spacing w:after="0" w:line="240" w:lineRule="auto"/>
              <w:rPr>
                <w:rFonts w:ascii="Times New Roman" w:eastAsia="Times New Roman" w:hAnsi="Times New Roman" w:cs="Times New Roman"/>
                <w:sz w:val="24"/>
                <w:szCs w:val="24"/>
                <w:lang w:eastAsia="sk-SK"/>
              </w:rPr>
            </w:pPr>
            <w:r w:rsidRPr="00C952CE">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E11CDD" w:rsidRPr="007D5748" w:rsidRDefault="00E11CDD" w:rsidP="00536B41">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11CDD" w:rsidRPr="007D5748" w:rsidTr="00536B41">
        <w:trPr>
          <w:trHeight w:val="255"/>
        </w:trPr>
        <w:tc>
          <w:tcPr>
            <w:tcW w:w="6188"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r>
      <w:tr w:rsidR="00E11CDD" w:rsidRPr="007D5748" w:rsidTr="00536B41">
        <w:trPr>
          <w:trHeight w:val="255"/>
        </w:trPr>
        <w:tc>
          <w:tcPr>
            <w:tcW w:w="6188" w:type="dxa"/>
            <w:tcBorders>
              <w:top w:val="nil"/>
              <w:left w:val="nil"/>
              <w:bottom w:val="nil"/>
              <w:right w:val="nil"/>
            </w:tcBorders>
          </w:tcPr>
          <w:p w:rsidR="00E11CDD" w:rsidRPr="007D5748" w:rsidRDefault="00E11CDD" w:rsidP="00536B4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r>
      <w:tr w:rsidR="00E11CDD" w:rsidRPr="007D5748" w:rsidTr="00536B41">
        <w:trPr>
          <w:trHeight w:val="255"/>
        </w:trPr>
        <w:tc>
          <w:tcPr>
            <w:tcW w:w="13814" w:type="dxa"/>
            <w:gridSpan w:val="6"/>
            <w:tcBorders>
              <w:top w:val="nil"/>
              <w:left w:val="nil"/>
              <w:bottom w:val="nil"/>
              <w:right w:val="nil"/>
            </w:tcBorders>
            <w:noWrap/>
          </w:tcPr>
          <w:p w:rsidR="00E11CDD" w:rsidRPr="007D5748" w:rsidRDefault="00E11CDD" w:rsidP="00536B41">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E11CDD" w:rsidRPr="007D5748" w:rsidRDefault="00E11CDD" w:rsidP="00536B4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r>
      <w:tr w:rsidR="00E11CDD" w:rsidRPr="007D5748" w:rsidTr="00536B41">
        <w:trPr>
          <w:trHeight w:val="255"/>
        </w:trPr>
        <w:tc>
          <w:tcPr>
            <w:tcW w:w="10394" w:type="dxa"/>
            <w:gridSpan w:val="4"/>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E11CDD" w:rsidRPr="007D5748" w:rsidRDefault="00E11CDD" w:rsidP="00536B41">
            <w:pPr>
              <w:spacing w:after="0" w:line="240" w:lineRule="auto"/>
              <w:rPr>
                <w:rFonts w:ascii="Times New Roman" w:eastAsia="Times New Roman" w:hAnsi="Times New Roman" w:cs="Times New Roman"/>
                <w:sz w:val="24"/>
                <w:szCs w:val="24"/>
                <w:lang w:eastAsia="sk-SK"/>
              </w:rPr>
            </w:pPr>
          </w:p>
        </w:tc>
      </w:tr>
    </w:tbl>
    <w:p w:rsidR="00E11CDD" w:rsidRDefault="00E11CDD" w:rsidP="00E11CDD">
      <w:pPr>
        <w:tabs>
          <w:tab w:val="num" w:pos="1080"/>
        </w:tabs>
        <w:spacing w:after="0" w:line="240" w:lineRule="auto"/>
        <w:jc w:val="both"/>
        <w:rPr>
          <w:rFonts w:ascii="Times New Roman" w:eastAsia="Times New Roman" w:hAnsi="Times New Roman" w:cs="Times New Roman"/>
          <w:bCs/>
          <w:sz w:val="24"/>
          <w:szCs w:val="20"/>
          <w:lang w:eastAsia="sk-SK"/>
        </w:rPr>
      </w:pPr>
    </w:p>
    <w:p w:rsidR="00E11CDD" w:rsidRPr="007D5748" w:rsidRDefault="00E11CDD"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Default="007D5748"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67C1C" w:rsidRPr="007D5748" w:rsidRDefault="00567C1C"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314D9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35677" w:rsidRDefault="00635677" w:rsidP="00314D9D">
      <w:pPr>
        <w:tabs>
          <w:tab w:val="num" w:pos="1080"/>
        </w:tabs>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r>
    </w:p>
    <w:p w:rsidR="007D5748" w:rsidRDefault="00635677" w:rsidP="00314D9D">
      <w:pPr>
        <w:tabs>
          <w:tab w:val="num" w:pos="1080"/>
        </w:tabs>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column"/>
      </w:r>
      <w:r w:rsidR="007D5748" w:rsidRPr="00983DB6">
        <w:rPr>
          <w:rFonts w:ascii="Times New Roman" w:eastAsia="Times New Roman" w:hAnsi="Times New Roman" w:cs="Times New Roman"/>
          <w:bCs/>
          <w:sz w:val="20"/>
          <w:szCs w:val="20"/>
          <w:lang w:eastAsia="sk-SK"/>
        </w:rPr>
        <w:t xml:space="preserve"> </w:t>
      </w:r>
    </w:p>
    <w:p w:rsidR="00C952CE" w:rsidRDefault="00C952CE" w:rsidP="00314D9D">
      <w:pPr>
        <w:tabs>
          <w:tab w:val="num" w:pos="1080"/>
        </w:tabs>
        <w:spacing w:after="0" w:line="240" w:lineRule="auto"/>
        <w:jc w:val="right"/>
        <w:rPr>
          <w:rFonts w:ascii="Times New Roman" w:eastAsia="Times New Roman" w:hAnsi="Times New Roman" w:cs="Times New Roman"/>
          <w:bCs/>
          <w:sz w:val="20"/>
          <w:szCs w:val="20"/>
          <w:lang w:eastAsia="sk-SK"/>
        </w:rPr>
      </w:pPr>
    </w:p>
    <w:tbl>
      <w:tblPr>
        <w:tblW w:w="15434" w:type="dxa"/>
        <w:tblInd w:w="-779" w:type="dxa"/>
        <w:tblCellMar>
          <w:left w:w="70" w:type="dxa"/>
          <w:right w:w="70" w:type="dxa"/>
        </w:tblCellMar>
        <w:tblLook w:val="0000" w:firstRow="0" w:lastRow="0" w:firstColumn="0" w:lastColumn="0" w:noHBand="0" w:noVBand="0"/>
      </w:tblPr>
      <w:tblGrid>
        <w:gridCol w:w="10394"/>
        <w:gridCol w:w="1698"/>
        <w:gridCol w:w="1722"/>
        <w:gridCol w:w="630"/>
        <w:gridCol w:w="990"/>
      </w:tblGrid>
      <w:tr w:rsidR="00C952CE" w:rsidRPr="007D5748" w:rsidTr="002500E7">
        <w:trPr>
          <w:trHeight w:val="255"/>
        </w:trPr>
        <w:tc>
          <w:tcPr>
            <w:tcW w:w="13814" w:type="dxa"/>
            <w:gridSpan w:val="3"/>
            <w:tcBorders>
              <w:top w:val="nil"/>
              <w:left w:val="nil"/>
              <w:bottom w:val="nil"/>
              <w:right w:val="nil"/>
            </w:tcBorders>
            <w:noWrap/>
          </w:tcPr>
          <w:p w:rsidR="00C952CE" w:rsidRPr="007D5748" w:rsidRDefault="00C952CE" w:rsidP="002500E7">
            <w:pPr>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C952CE" w:rsidRPr="007D5748" w:rsidRDefault="00C952CE" w:rsidP="00235791">
            <w:pPr>
              <w:spacing w:after="0" w:line="240" w:lineRule="auto"/>
              <w:rPr>
                <w:rFonts w:ascii="Times New Roman" w:eastAsia="Times New Roman" w:hAnsi="Times New Roman" w:cs="Times New Roman"/>
                <w:sz w:val="24"/>
                <w:szCs w:val="24"/>
                <w:lang w:eastAsia="sk-SK"/>
              </w:rPr>
            </w:pPr>
          </w:p>
        </w:tc>
      </w:tr>
      <w:tr w:rsidR="00C952CE" w:rsidRPr="007D5748" w:rsidTr="002500E7">
        <w:trPr>
          <w:trHeight w:val="80"/>
        </w:trPr>
        <w:tc>
          <w:tcPr>
            <w:tcW w:w="10394" w:type="dxa"/>
            <w:tcBorders>
              <w:top w:val="nil"/>
              <w:left w:val="nil"/>
              <w:bottom w:val="nil"/>
              <w:right w:val="nil"/>
            </w:tcBorders>
            <w:noWrap/>
            <w:vAlign w:val="bottom"/>
          </w:tcPr>
          <w:p w:rsidR="00C952CE" w:rsidRPr="007D5748" w:rsidRDefault="00C952CE" w:rsidP="00235791">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C952CE" w:rsidRPr="007D5748" w:rsidRDefault="00C952CE" w:rsidP="00235791">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C952CE" w:rsidRPr="007D5748" w:rsidRDefault="00C952CE" w:rsidP="00235791">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C952CE" w:rsidRPr="007D5748" w:rsidRDefault="00C952CE" w:rsidP="00235791">
            <w:pPr>
              <w:spacing w:after="0" w:line="240" w:lineRule="auto"/>
              <w:rPr>
                <w:rFonts w:ascii="Times New Roman" w:eastAsia="Times New Roman" w:hAnsi="Times New Roman" w:cs="Times New Roman"/>
                <w:sz w:val="24"/>
                <w:szCs w:val="24"/>
                <w:lang w:eastAsia="sk-SK"/>
              </w:rPr>
            </w:pPr>
          </w:p>
        </w:tc>
      </w:tr>
    </w:tbl>
    <w:p w:rsidR="007D5748" w:rsidRDefault="007D5748" w:rsidP="00314D9D">
      <w:pPr>
        <w:tabs>
          <w:tab w:val="num" w:pos="1080"/>
        </w:tabs>
        <w:spacing w:after="0" w:line="240" w:lineRule="auto"/>
        <w:jc w:val="both"/>
        <w:rPr>
          <w:rFonts w:ascii="Times New Roman" w:eastAsia="Times New Roman" w:hAnsi="Times New Roman" w:cs="Times New Roman"/>
          <w:bCs/>
          <w:sz w:val="24"/>
          <w:szCs w:val="20"/>
          <w:lang w:eastAsia="sk-SK"/>
        </w:rPr>
      </w:pPr>
    </w:p>
    <w:p w:rsidR="00C952CE" w:rsidRPr="007D5748" w:rsidRDefault="00C952CE" w:rsidP="00314D9D">
      <w:pPr>
        <w:tabs>
          <w:tab w:val="num" w:pos="1080"/>
        </w:tabs>
        <w:spacing w:after="0" w:line="240" w:lineRule="auto"/>
        <w:jc w:val="both"/>
        <w:rPr>
          <w:rFonts w:ascii="Times New Roman" w:eastAsia="Times New Roman" w:hAnsi="Times New Roman" w:cs="Times New Roman"/>
          <w:bCs/>
          <w:sz w:val="24"/>
          <w:szCs w:val="20"/>
          <w:lang w:eastAsia="sk-SK"/>
        </w:rPr>
      </w:pPr>
    </w:p>
    <w:p w:rsidR="00CB3623" w:rsidRDefault="00CB3623" w:rsidP="00314D9D">
      <w:pPr>
        <w:spacing w:after="0" w:line="240" w:lineRule="auto"/>
        <w:jc w:val="center"/>
      </w:pPr>
    </w:p>
    <w:sectPr w:rsidR="00CB3623" w:rsidSect="00D528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688" w:rsidRDefault="00637688">
      <w:pPr>
        <w:spacing w:after="0" w:line="240" w:lineRule="auto"/>
      </w:pPr>
      <w:r>
        <w:separator/>
      </w:r>
    </w:p>
    <w:p w:rsidR="00637688" w:rsidRDefault="00637688"/>
  </w:endnote>
  <w:endnote w:type="continuationSeparator" w:id="0">
    <w:p w:rsidR="00637688" w:rsidRDefault="00637688">
      <w:pPr>
        <w:spacing w:after="0" w:line="240" w:lineRule="auto"/>
      </w:pPr>
      <w:r>
        <w:continuationSeparator/>
      </w:r>
    </w:p>
    <w:p w:rsidR="00637688" w:rsidRDefault="00637688"/>
  </w:endnote>
  <w:endnote w:type="continuationNotice" w:id="1">
    <w:p w:rsidR="00637688" w:rsidRDefault="00637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OGIK J+ Times New Roman PSMT">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ED" w:rsidRDefault="00595BE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95BED" w:rsidRDefault="00595BE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ED" w:rsidRDefault="00595BED">
    <w:pPr>
      <w:pStyle w:val="Pta"/>
      <w:jc w:val="right"/>
    </w:pPr>
    <w:r>
      <w:fldChar w:fldCharType="begin"/>
    </w:r>
    <w:r>
      <w:instrText>PAGE   \* MERGEFORMAT</w:instrText>
    </w:r>
    <w:r>
      <w:fldChar w:fldCharType="separate"/>
    </w:r>
    <w:r w:rsidR="009559E3">
      <w:rPr>
        <w:noProof/>
      </w:rPr>
      <w:t>13</w:t>
    </w:r>
    <w:r>
      <w:rPr>
        <w:noProof/>
      </w:rPr>
      <w:fldChar w:fldCharType="end"/>
    </w:r>
  </w:p>
  <w:p w:rsidR="00595BED" w:rsidRDefault="00595BE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ED" w:rsidRDefault="00595BED">
    <w:pPr>
      <w:pStyle w:val="Pta"/>
      <w:jc w:val="right"/>
    </w:pPr>
    <w:r>
      <w:fldChar w:fldCharType="begin"/>
    </w:r>
    <w:r>
      <w:instrText>PAGE   \* MERGEFORMAT</w:instrText>
    </w:r>
    <w:r>
      <w:fldChar w:fldCharType="separate"/>
    </w:r>
    <w:r>
      <w:rPr>
        <w:noProof/>
      </w:rPr>
      <w:t>0</w:t>
    </w:r>
    <w:r>
      <w:rPr>
        <w:noProof/>
      </w:rPr>
      <w:fldChar w:fldCharType="end"/>
    </w:r>
  </w:p>
  <w:p w:rsidR="00595BED" w:rsidRDefault="00595B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688" w:rsidRDefault="00637688">
      <w:pPr>
        <w:spacing w:after="0" w:line="240" w:lineRule="auto"/>
      </w:pPr>
      <w:r>
        <w:separator/>
      </w:r>
    </w:p>
    <w:p w:rsidR="00637688" w:rsidRDefault="00637688"/>
  </w:footnote>
  <w:footnote w:type="continuationSeparator" w:id="0">
    <w:p w:rsidR="00637688" w:rsidRDefault="00637688">
      <w:pPr>
        <w:spacing w:after="0" w:line="240" w:lineRule="auto"/>
      </w:pPr>
      <w:r>
        <w:continuationSeparator/>
      </w:r>
    </w:p>
    <w:p w:rsidR="00637688" w:rsidRDefault="00637688"/>
  </w:footnote>
  <w:footnote w:type="continuationNotice" w:id="1">
    <w:p w:rsidR="00637688" w:rsidRDefault="006376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ED" w:rsidRDefault="00595BED" w:rsidP="00DD4EF2">
    <w:pPr>
      <w:pStyle w:val="Hlavika"/>
      <w:jc w:val="right"/>
      <w:rPr>
        <w:sz w:val="24"/>
        <w:szCs w:val="24"/>
      </w:rPr>
    </w:pPr>
    <w:r>
      <w:rPr>
        <w:sz w:val="24"/>
        <w:szCs w:val="24"/>
      </w:rPr>
      <w:t>Príloha č. 2</w:t>
    </w:r>
  </w:p>
  <w:p w:rsidR="00595BED" w:rsidRPr="00EB59C8" w:rsidRDefault="00595BED" w:rsidP="00DD4EF2">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ED" w:rsidRDefault="00595BE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ED" w:rsidRPr="000A15AE" w:rsidRDefault="00595BED" w:rsidP="00DD4EF2">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7487D"/>
    <w:multiLevelType w:val="hybridMultilevel"/>
    <w:tmpl w:val="670CAAF8"/>
    <w:lvl w:ilvl="0" w:tplc="FFFFFFFF">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727A4E"/>
    <w:multiLevelType w:val="hybridMultilevel"/>
    <w:tmpl w:val="9BB05090"/>
    <w:lvl w:ilvl="0" w:tplc="1FE2721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23BD4"/>
    <w:multiLevelType w:val="hybridMultilevel"/>
    <w:tmpl w:val="7EA880B8"/>
    <w:lvl w:ilvl="0" w:tplc="688E737A">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AA5F24"/>
    <w:multiLevelType w:val="hybridMultilevel"/>
    <w:tmpl w:val="3B021090"/>
    <w:lvl w:ilvl="0" w:tplc="EA9E49EC">
      <w:start w:val="2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DD248DE"/>
    <w:multiLevelType w:val="hybridMultilevel"/>
    <w:tmpl w:val="B2A844BA"/>
    <w:lvl w:ilvl="0" w:tplc="79145566">
      <w:start w:val="2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CB80B24"/>
    <w:multiLevelType w:val="hybridMultilevel"/>
    <w:tmpl w:val="1E52B80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45409CE"/>
    <w:multiLevelType w:val="hybridMultilevel"/>
    <w:tmpl w:val="C4FA5F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BD0361D"/>
    <w:multiLevelType w:val="hybridMultilevel"/>
    <w:tmpl w:val="17EE773C"/>
    <w:lvl w:ilvl="0" w:tplc="1BB8CC9C">
      <w:start w:val="2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0"/>
  </w:num>
  <w:num w:numId="7">
    <w:abstractNumId w:val="7"/>
  </w:num>
  <w:num w:numId="8">
    <w:abstractNumId w:val="6"/>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17F4"/>
    <w:rsid w:val="00002B98"/>
    <w:rsid w:val="00005B81"/>
    <w:rsid w:val="000128B2"/>
    <w:rsid w:val="0001716B"/>
    <w:rsid w:val="00021F6E"/>
    <w:rsid w:val="000300C9"/>
    <w:rsid w:val="00032148"/>
    <w:rsid w:val="00033AF0"/>
    <w:rsid w:val="0003495E"/>
    <w:rsid w:val="00035EB6"/>
    <w:rsid w:val="00044F8C"/>
    <w:rsid w:val="00052371"/>
    <w:rsid w:val="000535E3"/>
    <w:rsid w:val="00057135"/>
    <w:rsid w:val="00063F8F"/>
    <w:rsid w:val="00074C1F"/>
    <w:rsid w:val="00075684"/>
    <w:rsid w:val="0007604D"/>
    <w:rsid w:val="00084196"/>
    <w:rsid w:val="00087ABC"/>
    <w:rsid w:val="000944C7"/>
    <w:rsid w:val="000A0C59"/>
    <w:rsid w:val="000B05DA"/>
    <w:rsid w:val="000B081A"/>
    <w:rsid w:val="000B4AF3"/>
    <w:rsid w:val="000B4B5B"/>
    <w:rsid w:val="000C13D3"/>
    <w:rsid w:val="000C232C"/>
    <w:rsid w:val="000C23E8"/>
    <w:rsid w:val="000C3605"/>
    <w:rsid w:val="000C3D75"/>
    <w:rsid w:val="000C491B"/>
    <w:rsid w:val="000C53DE"/>
    <w:rsid w:val="000C5A03"/>
    <w:rsid w:val="000C7755"/>
    <w:rsid w:val="000D1CC4"/>
    <w:rsid w:val="000D7AB0"/>
    <w:rsid w:val="000E5503"/>
    <w:rsid w:val="000F3A62"/>
    <w:rsid w:val="000F70B2"/>
    <w:rsid w:val="000F71F0"/>
    <w:rsid w:val="00101320"/>
    <w:rsid w:val="00103AFF"/>
    <w:rsid w:val="00103BCE"/>
    <w:rsid w:val="00104976"/>
    <w:rsid w:val="001127A8"/>
    <w:rsid w:val="001146B8"/>
    <w:rsid w:val="00115504"/>
    <w:rsid w:val="0011727E"/>
    <w:rsid w:val="00125CF2"/>
    <w:rsid w:val="0013061D"/>
    <w:rsid w:val="00135B32"/>
    <w:rsid w:val="00141D1D"/>
    <w:rsid w:val="00143169"/>
    <w:rsid w:val="00152925"/>
    <w:rsid w:val="0015461D"/>
    <w:rsid w:val="0016122A"/>
    <w:rsid w:val="00161836"/>
    <w:rsid w:val="00162355"/>
    <w:rsid w:val="0016305A"/>
    <w:rsid w:val="00170348"/>
    <w:rsid w:val="00170D2B"/>
    <w:rsid w:val="001758D7"/>
    <w:rsid w:val="001853DF"/>
    <w:rsid w:val="00185BC1"/>
    <w:rsid w:val="00187C4F"/>
    <w:rsid w:val="001911CE"/>
    <w:rsid w:val="00192085"/>
    <w:rsid w:val="001A003C"/>
    <w:rsid w:val="001A156F"/>
    <w:rsid w:val="001A605C"/>
    <w:rsid w:val="001A715A"/>
    <w:rsid w:val="001C4CE8"/>
    <w:rsid w:val="001C7A9E"/>
    <w:rsid w:val="001D40F9"/>
    <w:rsid w:val="001E153B"/>
    <w:rsid w:val="001E6A1A"/>
    <w:rsid w:val="001F269F"/>
    <w:rsid w:val="001F37C1"/>
    <w:rsid w:val="001F4D3F"/>
    <w:rsid w:val="00200898"/>
    <w:rsid w:val="0020092A"/>
    <w:rsid w:val="00205D10"/>
    <w:rsid w:val="002063EB"/>
    <w:rsid w:val="00212894"/>
    <w:rsid w:val="002128E2"/>
    <w:rsid w:val="002128F1"/>
    <w:rsid w:val="00214241"/>
    <w:rsid w:val="00220429"/>
    <w:rsid w:val="00221DBC"/>
    <w:rsid w:val="00230650"/>
    <w:rsid w:val="00235791"/>
    <w:rsid w:val="0023700E"/>
    <w:rsid w:val="0023749C"/>
    <w:rsid w:val="00241194"/>
    <w:rsid w:val="00244613"/>
    <w:rsid w:val="00245AC9"/>
    <w:rsid w:val="002500E7"/>
    <w:rsid w:val="00251BC6"/>
    <w:rsid w:val="0026259E"/>
    <w:rsid w:val="00266656"/>
    <w:rsid w:val="00266C45"/>
    <w:rsid w:val="00270453"/>
    <w:rsid w:val="00273965"/>
    <w:rsid w:val="002843BA"/>
    <w:rsid w:val="0028446A"/>
    <w:rsid w:val="002865D0"/>
    <w:rsid w:val="00287259"/>
    <w:rsid w:val="002A3EFE"/>
    <w:rsid w:val="002A6C06"/>
    <w:rsid w:val="002B1C12"/>
    <w:rsid w:val="002B785C"/>
    <w:rsid w:val="002C1609"/>
    <w:rsid w:val="002C32E9"/>
    <w:rsid w:val="002C410F"/>
    <w:rsid w:val="002D6DCA"/>
    <w:rsid w:val="002E0E08"/>
    <w:rsid w:val="002E7056"/>
    <w:rsid w:val="002F04B8"/>
    <w:rsid w:val="002F0BB6"/>
    <w:rsid w:val="002F53EF"/>
    <w:rsid w:val="003018CD"/>
    <w:rsid w:val="00305936"/>
    <w:rsid w:val="003128B8"/>
    <w:rsid w:val="0031356A"/>
    <w:rsid w:val="003145C0"/>
    <w:rsid w:val="00314D9D"/>
    <w:rsid w:val="00317B90"/>
    <w:rsid w:val="00323831"/>
    <w:rsid w:val="00326DDA"/>
    <w:rsid w:val="00326F01"/>
    <w:rsid w:val="00332616"/>
    <w:rsid w:val="00337776"/>
    <w:rsid w:val="00341AE0"/>
    <w:rsid w:val="003466CE"/>
    <w:rsid w:val="00347C06"/>
    <w:rsid w:val="003505CD"/>
    <w:rsid w:val="00357876"/>
    <w:rsid w:val="003632C6"/>
    <w:rsid w:val="00364301"/>
    <w:rsid w:val="00364D99"/>
    <w:rsid w:val="0037194B"/>
    <w:rsid w:val="00381D2B"/>
    <w:rsid w:val="00397BB3"/>
    <w:rsid w:val="003A1557"/>
    <w:rsid w:val="003A35A7"/>
    <w:rsid w:val="003A5191"/>
    <w:rsid w:val="003A69FF"/>
    <w:rsid w:val="003A72FC"/>
    <w:rsid w:val="003B07F9"/>
    <w:rsid w:val="003B3BB7"/>
    <w:rsid w:val="003B76CA"/>
    <w:rsid w:val="003C227D"/>
    <w:rsid w:val="003C6177"/>
    <w:rsid w:val="003D0B57"/>
    <w:rsid w:val="003D6D51"/>
    <w:rsid w:val="003E1044"/>
    <w:rsid w:val="003E39BF"/>
    <w:rsid w:val="003E553E"/>
    <w:rsid w:val="003E6EA2"/>
    <w:rsid w:val="003E7F71"/>
    <w:rsid w:val="003F2FDF"/>
    <w:rsid w:val="003F6322"/>
    <w:rsid w:val="003F68BD"/>
    <w:rsid w:val="00400C47"/>
    <w:rsid w:val="00401180"/>
    <w:rsid w:val="004019A2"/>
    <w:rsid w:val="00406E75"/>
    <w:rsid w:val="00416BA7"/>
    <w:rsid w:val="00417933"/>
    <w:rsid w:val="0042238C"/>
    <w:rsid w:val="0043231A"/>
    <w:rsid w:val="004404F2"/>
    <w:rsid w:val="004426EC"/>
    <w:rsid w:val="00444768"/>
    <w:rsid w:val="00445D52"/>
    <w:rsid w:val="004464A2"/>
    <w:rsid w:val="00453D7B"/>
    <w:rsid w:val="0045676E"/>
    <w:rsid w:val="004601CA"/>
    <w:rsid w:val="004711BD"/>
    <w:rsid w:val="00471584"/>
    <w:rsid w:val="004723FC"/>
    <w:rsid w:val="00487203"/>
    <w:rsid w:val="00494AC5"/>
    <w:rsid w:val="004A371B"/>
    <w:rsid w:val="004A48DD"/>
    <w:rsid w:val="004C29C0"/>
    <w:rsid w:val="004C5177"/>
    <w:rsid w:val="004C51F2"/>
    <w:rsid w:val="004D1708"/>
    <w:rsid w:val="004D1AE8"/>
    <w:rsid w:val="004D2A6B"/>
    <w:rsid w:val="004D2C03"/>
    <w:rsid w:val="004D5714"/>
    <w:rsid w:val="004E4AB5"/>
    <w:rsid w:val="004E5405"/>
    <w:rsid w:val="004E5B54"/>
    <w:rsid w:val="004F4122"/>
    <w:rsid w:val="004F7F20"/>
    <w:rsid w:val="005005EC"/>
    <w:rsid w:val="00504175"/>
    <w:rsid w:val="005102C9"/>
    <w:rsid w:val="00510B27"/>
    <w:rsid w:val="00514613"/>
    <w:rsid w:val="00515324"/>
    <w:rsid w:val="00517700"/>
    <w:rsid w:val="00517904"/>
    <w:rsid w:val="00520E4F"/>
    <w:rsid w:val="00527313"/>
    <w:rsid w:val="005277AF"/>
    <w:rsid w:val="00531B28"/>
    <w:rsid w:val="005323B3"/>
    <w:rsid w:val="00535F2A"/>
    <w:rsid w:val="00536B41"/>
    <w:rsid w:val="005411DA"/>
    <w:rsid w:val="0055531F"/>
    <w:rsid w:val="00556CE0"/>
    <w:rsid w:val="00560983"/>
    <w:rsid w:val="00563C37"/>
    <w:rsid w:val="00567C1C"/>
    <w:rsid w:val="00570160"/>
    <w:rsid w:val="0057257F"/>
    <w:rsid w:val="00581400"/>
    <w:rsid w:val="005866A2"/>
    <w:rsid w:val="00595BED"/>
    <w:rsid w:val="00597380"/>
    <w:rsid w:val="005A5540"/>
    <w:rsid w:val="005B24DB"/>
    <w:rsid w:val="005D2695"/>
    <w:rsid w:val="005D45BA"/>
    <w:rsid w:val="005D4F2F"/>
    <w:rsid w:val="005E006A"/>
    <w:rsid w:val="005E563F"/>
    <w:rsid w:val="005E5D46"/>
    <w:rsid w:val="005E6800"/>
    <w:rsid w:val="005E6DBD"/>
    <w:rsid w:val="005F0BB7"/>
    <w:rsid w:val="005F0D05"/>
    <w:rsid w:val="005F179A"/>
    <w:rsid w:val="005F31F1"/>
    <w:rsid w:val="005F5872"/>
    <w:rsid w:val="006020D6"/>
    <w:rsid w:val="006040DB"/>
    <w:rsid w:val="00604756"/>
    <w:rsid w:val="006117A6"/>
    <w:rsid w:val="006223BE"/>
    <w:rsid w:val="0062430B"/>
    <w:rsid w:val="00626FC0"/>
    <w:rsid w:val="006311DB"/>
    <w:rsid w:val="00632972"/>
    <w:rsid w:val="00632986"/>
    <w:rsid w:val="00635677"/>
    <w:rsid w:val="00637688"/>
    <w:rsid w:val="006605EC"/>
    <w:rsid w:val="00661268"/>
    <w:rsid w:val="00661A08"/>
    <w:rsid w:val="00665D77"/>
    <w:rsid w:val="0067141E"/>
    <w:rsid w:val="00673B0F"/>
    <w:rsid w:val="00674551"/>
    <w:rsid w:val="006841A6"/>
    <w:rsid w:val="006859B6"/>
    <w:rsid w:val="00686E7B"/>
    <w:rsid w:val="006A7053"/>
    <w:rsid w:val="006A7B93"/>
    <w:rsid w:val="006B56F0"/>
    <w:rsid w:val="006B5FCA"/>
    <w:rsid w:val="006C100D"/>
    <w:rsid w:val="006C1CE6"/>
    <w:rsid w:val="006C5FE8"/>
    <w:rsid w:val="006D0BE5"/>
    <w:rsid w:val="006E0A30"/>
    <w:rsid w:val="006E3372"/>
    <w:rsid w:val="006E49A0"/>
    <w:rsid w:val="006E4A5A"/>
    <w:rsid w:val="006F2F25"/>
    <w:rsid w:val="006F43C1"/>
    <w:rsid w:val="006F57C0"/>
    <w:rsid w:val="006F5AEA"/>
    <w:rsid w:val="006F5F58"/>
    <w:rsid w:val="006F6AAC"/>
    <w:rsid w:val="00702C4C"/>
    <w:rsid w:val="00706FB6"/>
    <w:rsid w:val="00710234"/>
    <w:rsid w:val="00714355"/>
    <w:rsid w:val="007162C2"/>
    <w:rsid w:val="007224D2"/>
    <w:rsid w:val="007246BD"/>
    <w:rsid w:val="00725F40"/>
    <w:rsid w:val="007318A9"/>
    <w:rsid w:val="007360A5"/>
    <w:rsid w:val="00742B87"/>
    <w:rsid w:val="007502D9"/>
    <w:rsid w:val="00755DEB"/>
    <w:rsid w:val="007572B2"/>
    <w:rsid w:val="00761DCA"/>
    <w:rsid w:val="00762D19"/>
    <w:rsid w:val="007638CA"/>
    <w:rsid w:val="00770B5E"/>
    <w:rsid w:val="007755FD"/>
    <w:rsid w:val="00775688"/>
    <w:rsid w:val="00776288"/>
    <w:rsid w:val="00783035"/>
    <w:rsid w:val="0078605E"/>
    <w:rsid w:val="007A48B8"/>
    <w:rsid w:val="007A4969"/>
    <w:rsid w:val="007A669D"/>
    <w:rsid w:val="007B5BB2"/>
    <w:rsid w:val="007D2CFB"/>
    <w:rsid w:val="007D2E78"/>
    <w:rsid w:val="007D5063"/>
    <w:rsid w:val="007D5748"/>
    <w:rsid w:val="007D6A8F"/>
    <w:rsid w:val="007E1605"/>
    <w:rsid w:val="007E1BC5"/>
    <w:rsid w:val="007E29EA"/>
    <w:rsid w:val="007E33B9"/>
    <w:rsid w:val="007F2EEB"/>
    <w:rsid w:val="00803F37"/>
    <w:rsid w:val="00816FF5"/>
    <w:rsid w:val="00817C9B"/>
    <w:rsid w:val="00825043"/>
    <w:rsid w:val="00830878"/>
    <w:rsid w:val="00836B4A"/>
    <w:rsid w:val="00836D39"/>
    <w:rsid w:val="00844E3D"/>
    <w:rsid w:val="0084591F"/>
    <w:rsid w:val="0084781B"/>
    <w:rsid w:val="00854E8B"/>
    <w:rsid w:val="0086036F"/>
    <w:rsid w:val="00872ADC"/>
    <w:rsid w:val="00873FFC"/>
    <w:rsid w:val="00874D98"/>
    <w:rsid w:val="00875228"/>
    <w:rsid w:val="008762C3"/>
    <w:rsid w:val="008766D1"/>
    <w:rsid w:val="00880790"/>
    <w:rsid w:val="00882AA0"/>
    <w:rsid w:val="00883BC6"/>
    <w:rsid w:val="00892B92"/>
    <w:rsid w:val="00896A91"/>
    <w:rsid w:val="008A5178"/>
    <w:rsid w:val="008A61B0"/>
    <w:rsid w:val="008B0618"/>
    <w:rsid w:val="008B0D9C"/>
    <w:rsid w:val="008C0C70"/>
    <w:rsid w:val="008C1BE0"/>
    <w:rsid w:val="008C4556"/>
    <w:rsid w:val="008D339D"/>
    <w:rsid w:val="008D6C8B"/>
    <w:rsid w:val="008E2736"/>
    <w:rsid w:val="008F1E89"/>
    <w:rsid w:val="008F47CE"/>
    <w:rsid w:val="008F5924"/>
    <w:rsid w:val="008F6003"/>
    <w:rsid w:val="008F7966"/>
    <w:rsid w:val="0090188E"/>
    <w:rsid w:val="009070FC"/>
    <w:rsid w:val="00907474"/>
    <w:rsid w:val="009140E7"/>
    <w:rsid w:val="00922C9D"/>
    <w:rsid w:val="00924BC8"/>
    <w:rsid w:val="009254B6"/>
    <w:rsid w:val="00925901"/>
    <w:rsid w:val="00925DAA"/>
    <w:rsid w:val="00930675"/>
    <w:rsid w:val="00932C1A"/>
    <w:rsid w:val="00932D83"/>
    <w:rsid w:val="009338B7"/>
    <w:rsid w:val="00940594"/>
    <w:rsid w:val="0095166D"/>
    <w:rsid w:val="009559E3"/>
    <w:rsid w:val="0096003E"/>
    <w:rsid w:val="0096077D"/>
    <w:rsid w:val="00962F27"/>
    <w:rsid w:val="00965DF8"/>
    <w:rsid w:val="009706B7"/>
    <w:rsid w:val="0097188A"/>
    <w:rsid w:val="00973B1C"/>
    <w:rsid w:val="009752B2"/>
    <w:rsid w:val="00976030"/>
    <w:rsid w:val="00977C61"/>
    <w:rsid w:val="009817EE"/>
    <w:rsid w:val="00983439"/>
    <w:rsid w:val="00983DB6"/>
    <w:rsid w:val="00987F30"/>
    <w:rsid w:val="00990582"/>
    <w:rsid w:val="00992D5C"/>
    <w:rsid w:val="0099516B"/>
    <w:rsid w:val="00996C4E"/>
    <w:rsid w:val="009A2667"/>
    <w:rsid w:val="009A5984"/>
    <w:rsid w:val="009B16B4"/>
    <w:rsid w:val="009B218E"/>
    <w:rsid w:val="009C3301"/>
    <w:rsid w:val="009C71AD"/>
    <w:rsid w:val="009D6A95"/>
    <w:rsid w:val="009E050C"/>
    <w:rsid w:val="009F1385"/>
    <w:rsid w:val="009F5E4E"/>
    <w:rsid w:val="009F69BF"/>
    <w:rsid w:val="009F7629"/>
    <w:rsid w:val="00A01542"/>
    <w:rsid w:val="00A020F5"/>
    <w:rsid w:val="00A11FD0"/>
    <w:rsid w:val="00A2217F"/>
    <w:rsid w:val="00A2314F"/>
    <w:rsid w:val="00A25216"/>
    <w:rsid w:val="00A27F35"/>
    <w:rsid w:val="00A3223D"/>
    <w:rsid w:val="00A34EFE"/>
    <w:rsid w:val="00A41257"/>
    <w:rsid w:val="00A4761A"/>
    <w:rsid w:val="00A50203"/>
    <w:rsid w:val="00A52F26"/>
    <w:rsid w:val="00A57AA8"/>
    <w:rsid w:val="00A6144B"/>
    <w:rsid w:val="00A62E92"/>
    <w:rsid w:val="00A6547C"/>
    <w:rsid w:val="00A66983"/>
    <w:rsid w:val="00A66AFE"/>
    <w:rsid w:val="00A70D87"/>
    <w:rsid w:val="00A76F76"/>
    <w:rsid w:val="00A77DBB"/>
    <w:rsid w:val="00A80E6E"/>
    <w:rsid w:val="00A84E4B"/>
    <w:rsid w:val="00A943D0"/>
    <w:rsid w:val="00A94D66"/>
    <w:rsid w:val="00A95AB3"/>
    <w:rsid w:val="00AA71F3"/>
    <w:rsid w:val="00AC4027"/>
    <w:rsid w:val="00AC597C"/>
    <w:rsid w:val="00AD0E3A"/>
    <w:rsid w:val="00AD4BFB"/>
    <w:rsid w:val="00AE14C8"/>
    <w:rsid w:val="00AE24FC"/>
    <w:rsid w:val="00AE2596"/>
    <w:rsid w:val="00AE2B75"/>
    <w:rsid w:val="00AE4A9D"/>
    <w:rsid w:val="00AF3CDE"/>
    <w:rsid w:val="00AF4F8C"/>
    <w:rsid w:val="00B018CC"/>
    <w:rsid w:val="00B05AB8"/>
    <w:rsid w:val="00B10FC7"/>
    <w:rsid w:val="00B134D4"/>
    <w:rsid w:val="00B34940"/>
    <w:rsid w:val="00B34EB0"/>
    <w:rsid w:val="00B3555E"/>
    <w:rsid w:val="00B36D04"/>
    <w:rsid w:val="00B41A79"/>
    <w:rsid w:val="00B47C8F"/>
    <w:rsid w:val="00B50B3F"/>
    <w:rsid w:val="00B542E4"/>
    <w:rsid w:val="00B54537"/>
    <w:rsid w:val="00B54B6D"/>
    <w:rsid w:val="00B5535C"/>
    <w:rsid w:val="00B57622"/>
    <w:rsid w:val="00B6299D"/>
    <w:rsid w:val="00B66827"/>
    <w:rsid w:val="00B66B60"/>
    <w:rsid w:val="00B74FDB"/>
    <w:rsid w:val="00B87FAD"/>
    <w:rsid w:val="00B9100B"/>
    <w:rsid w:val="00B964EC"/>
    <w:rsid w:val="00B97824"/>
    <w:rsid w:val="00BA0CF8"/>
    <w:rsid w:val="00BB1148"/>
    <w:rsid w:val="00BB14C4"/>
    <w:rsid w:val="00BB1728"/>
    <w:rsid w:val="00BB6E3E"/>
    <w:rsid w:val="00BB6FF3"/>
    <w:rsid w:val="00BB7A9E"/>
    <w:rsid w:val="00BC3246"/>
    <w:rsid w:val="00BD1BBA"/>
    <w:rsid w:val="00BD23DD"/>
    <w:rsid w:val="00BD3822"/>
    <w:rsid w:val="00BD4496"/>
    <w:rsid w:val="00BD610B"/>
    <w:rsid w:val="00BD70BC"/>
    <w:rsid w:val="00BE129F"/>
    <w:rsid w:val="00BE1D0C"/>
    <w:rsid w:val="00BE2DCD"/>
    <w:rsid w:val="00BE3655"/>
    <w:rsid w:val="00BE39EB"/>
    <w:rsid w:val="00BF6DCA"/>
    <w:rsid w:val="00C00B6D"/>
    <w:rsid w:val="00C053CB"/>
    <w:rsid w:val="00C07C1C"/>
    <w:rsid w:val="00C07CF2"/>
    <w:rsid w:val="00C15212"/>
    <w:rsid w:val="00C2335F"/>
    <w:rsid w:val="00C27D82"/>
    <w:rsid w:val="00C3140A"/>
    <w:rsid w:val="00C32C48"/>
    <w:rsid w:val="00C36129"/>
    <w:rsid w:val="00C41758"/>
    <w:rsid w:val="00C46008"/>
    <w:rsid w:val="00C5030A"/>
    <w:rsid w:val="00C50C72"/>
    <w:rsid w:val="00C51FD4"/>
    <w:rsid w:val="00C5404D"/>
    <w:rsid w:val="00C54531"/>
    <w:rsid w:val="00C60C8A"/>
    <w:rsid w:val="00C7566F"/>
    <w:rsid w:val="00C822C8"/>
    <w:rsid w:val="00C82EAC"/>
    <w:rsid w:val="00C86106"/>
    <w:rsid w:val="00C93974"/>
    <w:rsid w:val="00C952CE"/>
    <w:rsid w:val="00CA070D"/>
    <w:rsid w:val="00CA2062"/>
    <w:rsid w:val="00CB167B"/>
    <w:rsid w:val="00CB2667"/>
    <w:rsid w:val="00CB3623"/>
    <w:rsid w:val="00CB6E79"/>
    <w:rsid w:val="00CC2F91"/>
    <w:rsid w:val="00CC3F6B"/>
    <w:rsid w:val="00CC76E8"/>
    <w:rsid w:val="00CE299A"/>
    <w:rsid w:val="00CF1DC5"/>
    <w:rsid w:val="00CF4D13"/>
    <w:rsid w:val="00D00547"/>
    <w:rsid w:val="00D018B7"/>
    <w:rsid w:val="00D01E04"/>
    <w:rsid w:val="00D05B11"/>
    <w:rsid w:val="00D07782"/>
    <w:rsid w:val="00D14039"/>
    <w:rsid w:val="00D14FD0"/>
    <w:rsid w:val="00D17EAF"/>
    <w:rsid w:val="00D26E49"/>
    <w:rsid w:val="00D31703"/>
    <w:rsid w:val="00D412BF"/>
    <w:rsid w:val="00D42A87"/>
    <w:rsid w:val="00D465AB"/>
    <w:rsid w:val="00D50E30"/>
    <w:rsid w:val="00D52822"/>
    <w:rsid w:val="00D539BE"/>
    <w:rsid w:val="00D75B5A"/>
    <w:rsid w:val="00D76476"/>
    <w:rsid w:val="00D84984"/>
    <w:rsid w:val="00D95340"/>
    <w:rsid w:val="00DB7EF1"/>
    <w:rsid w:val="00DC2489"/>
    <w:rsid w:val="00DC25B0"/>
    <w:rsid w:val="00DC50CF"/>
    <w:rsid w:val="00DC578F"/>
    <w:rsid w:val="00DD0D3B"/>
    <w:rsid w:val="00DD213F"/>
    <w:rsid w:val="00DD2231"/>
    <w:rsid w:val="00DD4EF2"/>
    <w:rsid w:val="00DE35AA"/>
    <w:rsid w:val="00DE5BF1"/>
    <w:rsid w:val="00DF3FB8"/>
    <w:rsid w:val="00DF730B"/>
    <w:rsid w:val="00DF7F64"/>
    <w:rsid w:val="00E07CE9"/>
    <w:rsid w:val="00E10CF2"/>
    <w:rsid w:val="00E11CDD"/>
    <w:rsid w:val="00E1475A"/>
    <w:rsid w:val="00E30EE3"/>
    <w:rsid w:val="00E33490"/>
    <w:rsid w:val="00E336CB"/>
    <w:rsid w:val="00E34F35"/>
    <w:rsid w:val="00E3660D"/>
    <w:rsid w:val="00E40B21"/>
    <w:rsid w:val="00E44A5D"/>
    <w:rsid w:val="00E46B51"/>
    <w:rsid w:val="00E50213"/>
    <w:rsid w:val="00E55FF5"/>
    <w:rsid w:val="00E62795"/>
    <w:rsid w:val="00E63D7E"/>
    <w:rsid w:val="00E70C4F"/>
    <w:rsid w:val="00E76D76"/>
    <w:rsid w:val="00E80477"/>
    <w:rsid w:val="00E80673"/>
    <w:rsid w:val="00E80D81"/>
    <w:rsid w:val="00E81E8F"/>
    <w:rsid w:val="00E83410"/>
    <w:rsid w:val="00E84C91"/>
    <w:rsid w:val="00E87599"/>
    <w:rsid w:val="00E93900"/>
    <w:rsid w:val="00E95432"/>
    <w:rsid w:val="00E963A3"/>
    <w:rsid w:val="00E96A3C"/>
    <w:rsid w:val="00EA0353"/>
    <w:rsid w:val="00EA1E90"/>
    <w:rsid w:val="00EA1F61"/>
    <w:rsid w:val="00EB1D0B"/>
    <w:rsid w:val="00EB4732"/>
    <w:rsid w:val="00EB5F76"/>
    <w:rsid w:val="00EB71BC"/>
    <w:rsid w:val="00EC2527"/>
    <w:rsid w:val="00EC32AD"/>
    <w:rsid w:val="00ED39D2"/>
    <w:rsid w:val="00ED3FC7"/>
    <w:rsid w:val="00ED65B4"/>
    <w:rsid w:val="00ED696B"/>
    <w:rsid w:val="00EE27D1"/>
    <w:rsid w:val="00EE5823"/>
    <w:rsid w:val="00EF5C69"/>
    <w:rsid w:val="00F009AC"/>
    <w:rsid w:val="00F03B28"/>
    <w:rsid w:val="00F0633E"/>
    <w:rsid w:val="00F10374"/>
    <w:rsid w:val="00F10A26"/>
    <w:rsid w:val="00F12A4D"/>
    <w:rsid w:val="00F13948"/>
    <w:rsid w:val="00F13FCB"/>
    <w:rsid w:val="00F21DFD"/>
    <w:rsid w:val="00F31D59"/>
    <w:rsid w:val="00F31D80"/>
    <w:rsid w:val="00F3207B"/>
    <w:rsid w:val="00F351FA"/>
    <w:rsid w:val="00F40136"/>
    <w:rsid w:val="00F4418C"/>
    <w:rsid w:val="00F53857"/>
    <w:rsid w:val="00F577E1"/>
    <w:rsid w:val="00F64F62"/>
    <w:rsid w:val="00F76759"/>
    <w:rsid w:val="00F85EA4"/>
    <w:rsid w:val="00F86FB5"/>
    <w:rsid w:val="00F91637"/>
    <w:rsid w:val="00F94DAC"/>
    <w:rsid w:val="00F96B1F"/>
    <w:rsid w:val="00FA13EE"/>
    <w:rsid w:val="00FA14E4"/>
    <w:rsid w:val="00FA295A"/>
    <w:rsid w:val="00FA79EA"/>
    <w:rsid w:val="00FA7EDF"/>
    <w:rsid w:val="00FB1731"/>
    <w:rsid w:val="00FB2728"/>
    <w:rsid w:val="00FB277D"/>
    <w:rsid w:val="00FB3404"/>
    <w:rsid w:val="00FB3963"/>
    <w:rsid w:val="00FC3E44"/>
    <w:rsid w:val="00FC5679"/>
    <w:rsid w:val="00FD1A16"/>
    <w:rsid w:val="00FD52DC"/>
    <w:rsid w:val="00FF5B57"/>
    <w:rsid w:val="00FF5D30"/>
    <w:rsid w:val="00FF675B"/>
    <w:rsid w:val="15821A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2455"/>
  <w15:docId w15:val="{BE1F107E-0E2D-4D9F-953F-72BC4287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45C0"/>
  </w:style>
  <w:style w:type="paragraph" w:styleId="Nadpis1">
    <w:name w:val="heading 1"/>
    <w:basedOn w:val="Normlny"/>
    <w:next w:val="Normlny"/>
    <w:link w:val="Nadpis1Char"/>
    <w:uiPriority w:val="9"/>
    <w:qFormat/>
    <w:rsid w:val="00FF67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0C53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uiPriority w:val="9"/>
    <w:unhideWhenUsed/>
    <w:qFormat/>
    <w:rsid w:val="00E806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B05AB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character" w:styleId="Hypertextovprepojenie">
    <w:name w:val="Hyperlink"/>
    <w:basedOn w:val="Predvolenpsmoodseku"/>
    <w:uiPriority w:val="99"/>
    <w:rsid w:val="005D45BA"/>
    <w:rPr>
      <w:rFonts w:ascii="Arial" w:hAnsi="Arial"/>
      <w:color w:val="9BBB59" w:themeColor="accent3"/>
      <w:sz w:val="16"/>
      <w:u w:val="single"/>
    </w:rPr>
  </w:style>
  <w:style w:type="paragraph" w:styleId="Obyajntext">
    <w:name w:val="Plain Text"/>
    <w:basedOn w:val="Normlny"/>
    <w:link w:val="ObyajntextChar"/>
    <w:uiPriority w:val="99"/>
    <w:semiHidden/>
    <w:unhideWhenUsed/>
    <w:rsid w:val="00531B28"/>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531B28"/>
    <w:rPr>
      <w:rFonts w:ascii="Calibri" w:hAnsi="Calibri"/>
      <w:szCs w:val="21"/>
    </w:rPr>
  </w:style>
  <w:style w:type="table" w:styleId="Mriekatabuky">
    <w:name w:val="Table Grid"/>
    <w:basedOn w:val="Normlnatabuka"/>
    <w:uiPriority w:val="39"/>
    <w:rsid w:val="00A3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y"/>
    <w:next w:val="Nadpis2"/>
    <w:link w:val="textChar"/>
    <w:autoRedefine/>
    <w:uiPriority w:val="99"/>
    <w:qFormat/>
    <w:rsid w:val="000C53DE"/>
    <w:pPr>
      <w:spacing w:after="0"/>
      <w:jc w:val="both"/>
    </w:pPr>
    <w:rPr>
      <w:rFonts w:ascii="Calibri" w:eastAsia="LOGIK J+ Times New Roman PSMT" w:hAnsi="Calibri" w:cs="Times New Roman"/>
      <w:sz w:val="24"/>
      <w:szCs w:val="24"/>
      <w:lang w:eastAsia="sk-SK"/>
    </w:rPr>
  </w:style>
  <w:style w:type="character" w:customStyle="1" w:styleId="textChar">
    <w:name w:val="text Char"/>
    <w:link w:val="text"/>
    <w:uiPriority w:val="99"/>
    <w:rsid w:val="000C53DE"/>
    <w:rPr>
      <w:rFonts w:ascii="Calibri" w:eastAsia="LOGIK J+ Times New Roman PSMT" w:hAnsi="Calibri" w:cs="Times New Roman"/>
      <w:sz w:val="24"/>
      <w:szCs w:val="24"/>
      <w:lang w:eastAsia="sk-SK"/>
    </w:rPr>
  </w:style>
  <w:style w:type="character" w:customStyle="1" w:styleId="Nadpis2Char">
    <w:name w:val="Nadpis 2 Char"/>
    <w:basedOn w:val="Predvolenpsmoodseku"/>
    <w:link w:val="Nadpis2"/>
    <w:uiPriority w:val="9"/>
    <w:semiHidden/>
    <w:rsid w:val="000C53DE"/>
    <w:rPr>
      <w:rFonts w:asciiTheme="majorHAnsi" w:eastAsiaTheme="majorEastAsia" w:hAnsiTheme="majorHAnsi" w:cstheme="majorBidi"/>
      <w:b/>
      <w:bCs/>
      <w:color w:val="4F81BD" w:themeColor="accent1"/>
      <w:sz w:val="26"/>
      <w:szCs w:val="26"/>
    </w:rPr>
  </w:style>
  <w:style w:type="paragraph" w:styleId="Odsekzoznamu">
    <w:name w:val="List Paragraph"/>
    <w:basedOn w:val="Normlny"/>
    <w:uiPriority w:val="34"/>
    <w:qFormat/>
    <w:rsid w:val="00314D9D"/>
    <w:pPr>
      <w:ind w:left="720"/>
      <w:contextualSpacing/>
    </w:pPr>
  </w:style>
  <w:style w:type="character" w:styleId="Odkaznakomentr">
    <w:name w:val="annotation reference"/>
    <w:basedOn w:val="Predvolenpsmoodseku"/>
    <w:uiPriority w:val="99"/>
    <w:semiHidden/>
    <w:unhideWhenUsed/>
    <w:rsid w:val="00235791"/>
    <w:rPr>
      <w:sz w:val="16"/>
      <w:szCs w:val="16"/>
    </w:rPr>
  </w:style>
  <w:style w:type="paragraph" w:styleId="Textkomentra">
    <w:name w:val="annotation text"/>
    <w:basedOn w:val="Normlny"/>
    <w:link w:val="TextkomentraChar"/>
    <w:uiPriority w:val="99"/>
    <w:semiHidden/>
    <w:unhideWhenUsed/>
    <w:rsid w:val="00235791"/>
    <w:pPr>
      <w:spacing w:line="240" w:lineRule="auto"/>
    </w:pPr>
    <w:rPr>
      <w:sz w:val="20"/>
      <w:szCs w:val="20"/>
    </w:rPr>
  </w:style>
  <w:style w:type="character" w:customStyle="1" w:styleId="TextkomentraChar">
    <w:name w:val="Text komentára Char"/>
    <w:basedOn w:val="Predvolenpsmoodseku"/>
    <w:link w:val="Textkomentra"/>
    <w:uiPriority w:val="99"/>
    <w:semiHidden/>
    <w:rsid w:val="00235791"/>
    <w:rPr>
      <w:sz w:val="20"/>
      <w:szCs w:val="20"/>
    </w:rPr>
  </w:style>
  <w:style w:type="paragraph" w:styleId="Predmetkomentra">
    <w:name w:val="annotation subject"/>
    <w:basedOn w:val="Textkomentra"/>
    <w:next w:val="Textkomentra"/>
    <w:link w:val="PredmetkomentraChar"/>
    <w:uiPriority w:val="99"/>
    <w:semiHidden/>
    <w:unhideWhenUsed/>
    <w:rsid w:val="00235791"/>
    <w:rPr>
      <w:b/>
      <w:bCs/>
    </w:rPr>
  </w:style>
  <w:style w:type="character" w:customStyle="1" w:styleId="PredmetkomentraChar">
    <w:name w:val="Predmet komentára Char"/>
    <w:basedOn w:val="TextkomentraChar"/>
    <w:link w:val="Predmetkomentra"/>
    <w:uiPriority w:val="99"/>
    <w:semiHidden/>
    <w:rsid w:val="00235791"/>
    <w:rPr>
      <w:b/>
      <w:bCs/>
      <w:sz w:val="20"/>
      <w:szCs w:val="20"/>
    </w:rPr>
  </w:style>
  <w:style w:type="paragraph" w:styleId="Revzia">
    <w:name w:val="Revision"/>
    <w:hidden/>
    <w:uiPriority w:val="99"/>
    <w:semiHidden/>
    <w:rsid w:val="00D07782"/>
    <w:pPr>
      <w:spacing w:after="0" w:line="240" w:lineRule="auto"/>
    </w:pPr>
  </w:style>
  <w:style w:type="character" w:customStyle="1" w:styleId="normaltextrun">
    <w:name w:val="normaltextrun"/>
    <w:basedOn w:val="Predvolenpsmoodseku"/>
    <w:rsid w:val="002C1609"/>
  </w:style>
  <w:style w:type="paragraph" w:customStyle="1" w:styleId="paragraph">
    <w:name w:val="paragraph"/>
    <w:basedOn w:val="Normlny"/>
    <w:rsid w:val="002C160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C1609"/>
  </w:style>
  <w:style w:type="character" w:customStyle="1" w:styleId="spellingerror">
    <w:name w:val="spellingerror"/>
    <w:basedOn w:val="Predvolenpsmoodseku"/>
    <w:rsid w:val="002C1609"/>
  </w:style>
  <w:style w:type="character" w:customStyle="1" w:styleId="Nadpis1Char">
    <w:name w:val="Nadpis 1 Char"/>
    <w:basedOn w:val="Predvolenpsmoodseku"/>
    <w:link w:val="Nadpis1"/>
    <w:uiPriority w:val="9"/>
    <w:rsid w:val="00FF675B"/>
    <w:rPr>
      <w:rFonts w:asciiTheme="majorHAnsi" w:eastAsiaTheme="majorEastAsia" w:hAnsiTheme="majorHAnsi" w:cstheme="majorBidi"/>
      <w:color w:val="365F91" w:themeColor="accent1" w:themeShade="BF"/>
      <w:sz w:val="32"/>
      <w:szCs w:val="32"/>
    </w:rPr>
  </w:style>
  <w:style w:type="character" w:customStyle="1" w:styleId="Nadpis5Char">
    <w:name w:val="Nadpis 5 Char"/>
    <w:basedOn w:val="Predvolenpsmoodseku"/>
    <w:link w:val="Nadpis5"/>
    <w:uiPriority w:val="9"/>
    <w:semiHidden/>
    <w:rsid w:val="00B05AB8"/>
    <w:rPr>
      <w:rFonts w:asciiTheme="majorHAnsi" w:eastAsiaTheme="majorEastAsia" w:hAnsiTheme="majorHAnsi" w:cstheme="majorBidi"/>
      <w:color w:val="365F91" w:themeColor="accent1" w:themeShade="BF"/>
    </w:rPr>
  </w:style>
  <w:style w:type="paragraph" w:customStyle="1" w:styleId="Autor">
    <w:name w:val="Autor"/>
    <w:basedOn w:val="Normlny"/>
    <w:uiPriority w:val="3"/>
    <w:rsid w:val="00E80673"/>
    <w:pPr>
      <w:pBdr>
        <w:bottom w:val="single" w:sz="8" w:space="17" w:color="000000" w:themeColor="text1"/>
      </w:pBdr>
      <w:spacing w:after="640" w:line="240" w:lineRule="auto"/>
      <w:contextualSpacing/>
      <w:jc w:val="both"/>
    </w:pPr>
    <w:rPr>
      <w:rFonts w:eastAsia="Times New Roman" w:cstheme="minorHAnsi"/>
      <w:szCs w:val="20"/>
      <w:shd w:val="clear" w:color="auto" w:fill="FFFFFF"/>
      <w:lang w:eastAsia="sk-SK"/>
    </w:rPr>
  </w:style>
  <w:style w:type="character" w:customStyle="1" w:styleId="Nadpis4Char">
    <w:name w:val="Nadpis 4 Char"/>
    <w:basedOn w:val="Predvolenpsmoodseku"/>
    <w:link w:val="Nadpis4"/>
    <w:uiPriority w:val="9"/>
    <w:rsid w:val="00E8067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227">
      <w:bodyDiv w:val="1"/>
      <w:marLeft w:val="0"/>
      <w:marRight w:val="0"/>
      <w:marTop w:val="0"/>
      <w:marBottom w:val="0"/>
      <w:divBdr>
        <w:top w:val="none" w:sz="0" w:space="0" w:color="auto"/>
        <w:left w:val="none" w:sz="0" w:space="0" w:color="auto"/>
        <w:bottom w:val="none" w:sz="0" w:space="0" w:color="auto"/>
        <w:right w:val="none" w:sz="0" w:space="0" w:color="auto"/>
      </w:divBdr>
    </w:div>
    <w:div w:id="97914498">
      <w:bodyDiv w:val="1"/>
      <w:marLeft w:val="0"/>
      <w:marRight w:val="0"/>
      <w:marTop w:val="0"/>
      <w:marBottom w:val="0"/>
      <w:divBdr>
        <w:top w:val="none" w:sz="0" w:space="0" w:color="auto"/>
        <w:left w:val="none" w:sz="0" w:space="0" w:color="auto"/>
        <w:bottom w:val="none" w:sz="0" w:space="0" w:color="auto"/>
        <w:right w:val="none" w:sz="0" w:space="0" w:color="auto"/>
      </w:divBdr>
    </w:div>
    <w:div w:id="167791292">
      <w:bodyDiv w:val="1"/>
      <w:marLeft w:val="0"/>
      <w:marRight w:val="0"/>
      <w:marTop w:val="0"/>
      <w:marBottom w:val="0"/>
      <w:divBdr>
        <w:top w:val="none" w:sz="0" w:space="0" w:color="auto"/>
        <w:left w:val="none" w:sz="0" w:space="0" w:color="auto"/>
        <w:bottom w:val="none" w:sz="0" w:space="0" w:color="auto"/>
        <w:right w:val="none" w:sz="0" w:space="0" w:color="auto"/>
      </w:divBdr>
    </w:div>
    <w:div w:id="187303227">
      <w:bodyDiv w:val="1"/>
      <w:marLeft w:val="0"/>
      <w:marRight w:val="0"/>
      <w:marTop w:val="0"/>
      <w:marBottom w:val="0"/>
      <w:divBdr>
        <w:top w:val="none" w:sz="0" w:space="0" w:color="auto"/>
        <w:left w:val="none" w:sz="0" w:space="0" w:color="auto"/>
        <w:bottom w:val="none" w:sz="0" w:space="0" w:color="auto"/>
        <w:right w:val="none" w:sz="0" w:space="0" w:color="auto"/>
      </w:divBdr>
    </w:div>
    <w:div w:id="199974821">
      <w:bodyDiv w:val="1"/>
      <w:marLeft w:val="0"/>
      <w:marRight w:val="0"/>
      <w:marTop w:val="0"/>
      <w:marBottom w:val="0"/>
      <w:divBdr>
        <w:top w:val="none" w:sz="0" w:space="0" w:color="auto"/>
        <w:left w:val="none" w:sz="0" w:space="0" w:color="auto"/>
        <w:bottom w:val="none" w:sz="0" w:space="0" w:color="auto"/>
        <w:right w:val="none" w:sz="0" w:space="0" w:color="auto"/>
      </w:divBdr>
    </w:div>
    <w:div w:id="227611974">
      <w:bodyDiv w:val="1"/>
      <w:marLeft w:val="0"/>
      <w:marRight w:val="0"/>
      <w:marTop w:val="0"/>
      <w:marBottom w:val="0"/>
      <w:divBdr>
        <w:top w:val="none" w:sz="0" w:space="0" w:color="auto"/>
        <w:left w:val="none" w:sz="0" w:space="0" w:color="auto"/>
        <w:bottom w:val="none" w:sz="0" w:space="0" w:color="auto"/>
        <w:right w:val="none" w:sz="0" w:space="0" w:color="auto"/>
      </w:divBdr>
    </w:div>
    <w:div w:id="251740937">
      <w:bodyDiv w:val="1"/>
      <w:marLeft w:val="0"/>
      <w:marRight w:val="0"/>
      <w:marTop w:val="0"/>
      <w:marBottom w:val="0"/>
      <w:divBdr>
        <w:top w:val="none" w:sz="0" w:space="0" w:color="auto"/>
        <w:left w:val="none" w:sz="0" w:space="0" w:color="auto"/>
        <w:bottom w:val="none" w:sz="0" w:space="0" w:color="auto"/>
        <w:right w:val="none" w:sz="0" w:space="0" w:color="auto"/>
      </w:divBdr>
    </w:div>
    <w:div w:id="327827969">
      <w:bodyDiv w:val="1"/>
      <w:marLeft w:val="0"/>
      <w:marRight w:val="0"/>
      <w:marTop w:val="0"/>
      <w:marBottom w:val="0"/>
      <w:divBdr>
        <w:top w:val="none" w:sz="0" w:space="0" w:color="auto"/>
        <w:left w:val="none" w:sz="0" w:space="0" w:color="auto"/>
        <w:bottom w:val="none" w:sz="0" w:space="0" w:color="auto"/>
        <w:right w:val="none" w:sz="0" w:space="0" w:color="auto"/>
      </w:divBdr>
    </w:div>
    <w:div w:id="353307012">
      <w:bodyDiv w:val="1"/>
      <w:marLeft w:val="0"/>
      <w:marRight w:val="0"/>
      <w:marTop w:val="0"/>
      <w:marBottom w:val="0"/>
      <w:divBdr>
        <w:top w:val="none" w:sz="0" w:space="0" w:color="auto"/>
        <w:left w:val="none" w:sz="0" w:space="0" w:color="auto"/>
        <w:bottom w:val="none" w:sz="0" w:space="0" w:color="auto"/>
        <w:right w:val="none" w:sz="0" w:space="0" w:color="auto"/>
      </w:divBdr>
    </w:div>
    <w:div w:id="444345327">
      <w:bodyDiv w:val="1"/>
      <w:marLeft w:val="0"/>
      <w:marRight w:val="0"/>
      <w:marTop w:val="0"/>
      <w:marBottom w:val="0"/>
      <w:divBdr>
        <w:top w:val="none" w:sz="0" w:space="0" w:color="auto"/>
        <w:left w:val="none" w:sz="0" w:space="0" w:color="auto"/>
        <w:bottom w:val="none" w:sz="0" w:space="0" w:color="auto"/>
        <w:right w:val="none" w:sz="0" w:space="0" w:color="auto"/>
      </w:divBdr>
    </w:div>
    <w:div w:id="530805271">
      <w:bodyDiv w:val="1"/>
      <w:marLeft w:val="0"/>
      <w:marRight w:val="0"/>
      <w:marTop w:val="0"/>
      <w:marBottom w:val="0"/>
      <w:divBdr>
        <w:top w:val="none" w:sz="0" w:space="0" w:color="auto"/>
        <w:left w:val="none" w:sz="0" w:space="0" w:color="auto"/>
        <w:bottom w:val="none" w:sz="0" w:space="0" w:color="auto"/>
        <w:right w:val="none" w:sz="0" w:space="0" w:color="auto"/>
      </w:divBdr>
    </w:div>
    <w:div w:id="621033208">
      <w:bodyDiv w:val="1"/>
      <w:marLeft w:val="0"/>
      <w:marRight w:val="0"/>
      <w:marTop w:val="0"/>
      <w:marBottom w:val="0"/>
      <w:divBdr>
        <w:top w:val="none" w:sz="0" w:space="0" w:color="auto"/>
        <w:left w:val="none" w:sz="0" w:space="0" w:color="auto"/>
        <w:bottom w:val="none" w:sz="0" w:space="0" w:color="auto"/>
        <w:right w:val="none" w:sz="0" w:space="0" w:color="auto"/>
      </w:divBdr>
    </w:div>
    <w:div w:id="653139827">
      <w:bodyDiv w:val="1"/>
      <w:marLeft w:val="0"/>
      <w:marRight w:val="0"/>
      <w:marTop w:val="0"/>
      <w:marBottom w:val="0"/>
      <w:divBdr>
        <w:top w:val="none" w:sz="0" w:space="0" w:color="auto"/>
        <w:left w:val="none" w:sz="0" w:space="0" w:color="auto"/>
        <w:bottom w:val="none" w:sz="0" w:space="0" w:color="auto"/>
        <w:right w:val="none" w:sz="0" w:space="0" w:color="auto"/>
      </w:divBdr>
    </w:div>
    <w:div w:id="663901140">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738669120">
      <w:bodyDiv w:val="1"/>
      <w:marLeft w:val="0"/>
      <w:marRight w:val="0"/>
      <w:marTop w:val="0"/>
      <w:marBottom w:val="0"/>
      <w:divBdr>
        <w:top w:val="none" w:sz="0" w:space="0" w:color="auto"/>
        <w:left w:val="none" w:sz="0" w:space="0" w:color="auto"/>
        <w:bottom w:val="none" w:sz="0" w:space="0" w:color="auto"/>
        <w:right w:val="none" w:sz="0" w:space="0" w:color="auto"/>
      </w:divBdr>
    </w:div>
    <w:div w:id="761221046">
      <w:bodyDiv w:val="1"/>
      <w:marLeft w:val="0"/>
      <w:marRight w:val="0"/>
      <w:marTop w:val="0"/>
      <w:marBottom w:val="0"/>
      <w:divBdr>
        <w:top w:val="none" w:sz="0" w:space="0" w:color="auto"/>
        <w:left w:val="none" w:sz="0" w:space="0" w:color="auto"/>
        <w:bottom w:val="none" w:sz="0" w:space="0" w:color="auto"/>
        <w:right w:val="none" w:sz="0" w:space="0" w:color="auto"/>
      </w:divBdr>
    </w:div>
    <w:div w:id="779179722">
      <w:bodyDiv w:val="1"/>
      <w:marLeft w:val="0"/>
      <w:marRight w:val="0"/>
      <w:marTop w:val="0"/>
      <w:marBottom w:val="0"/>
      <w:divBdr>
        <w:top w:val="none" w:sz="0" w:space="0" w:color="auto"/>
        <w:left w:val="none" w:sz="0" w:space="0" w:color="auto"/>
        <w:bottom w:val="none" w:sz="0" w:space="0" w:color="auto"/>
        <w:right w:val="none" w:sz="0" w:space="0" w:color="auto"/>
      </w:divBdr>
    </w:div>
    <w:div w:id="800416615">
      <w:bodyDiv w:val="1"/>
      <w:marLeft w:val="0"/>
      <w:marRight w:val="0"/>
      <w:marTop w:val="0"/>
      <w:marBottom w:val="0"/>
      <w:divBdr>
        <w:top w:val="none" w:sz="0" w:space="0" w:color="auto"/>
        <w:left w:val="none" w:sz="0" w:space="0" w:color="auto"/>
        <w:bottom w:val="none" w:sz="0" w:space="0" w:color="auto"/>
        <w:right w:val="none" w:sz="0" w:space="0" w:color="auto"/>
      </w:divBdr>
    </w:div>
    <w:div w:id="819226874">
      <w:bodyDiv w:val="1"/>
      <w:marLeft w:val="0"/>
      <w:marRight w:val="0"/>
      <w:marTop w:val="0"/>
      <w:marBottom w:val="0"/>
      <w:divBdr>
        <w:top w:val="none" w:sz="0" w:space="0" w:color="auto"/>
        <w:left w:val="none" w:sz="0" w:space="0" w:color="auto"/>
        <w:bottom w:val="none" w:sz="0" w:space="0" w:color="auto"/>
        <w:right w:val="none" w:sz="0" w:space="0" w:color="auto"/>
      </w:divBdr>
    </w:div>
    <w:div w:id="851913465">
      <w:bodyDiv w:val="1"/>
      <w:marLeft w:val="0"/>
      <w:marRight w:val="0"/>
      <w:marTop w:val="0"/>
      <w:marBottom w:val="0"/>
      <w:divBdr>
        <w:top w:val="none" w:sz="0" w:space="0" w:color="auto"/>
        <w:left w:val="none" w:sz="0" w:space="0" w:color="auto"/>
        <w:bottom w:val="none" w:sz="0" w:space="0" w:color="auto"/>
        <w:right w:val="none" w:sz="0" w:space="0" w:color="auto"/>
      </w:divBdr>
    </w:div>
    <w:div w:id="975649541">
      <w:bodyDiv w:val="1"/>
      <w:marLeft w:val="0"/>
      <w:marRight w:val="0"/>
      <w:marTop w:val="0"/>
      <w:marBottom w:val="0"/>
      <w:divBdr>
        <w:top w:val="none" w:sz="0" w:space="0" w:color="auto"/>
        <w:left w:val="none" w:sz="0" w:space="0" w:color="auto"/>
        <w:bottom w:val="none" w:sz="0" w:space="0" w:color="auto"/>
        <w:right w:val="none" w:sz="0" w:space="0" w:color="auto"/>
      </w:divBdr>
    </w:div>
    <w:div w:id="1032077323">
      <w:bodyDiv w:val="1"/>
      <w:marLeft w:val="0"/>
      <w:marRight w:val="0"/>
      <w:marTop w:val="0"/>
      <w:marBottom w:val="0"/>
      <w:divBdr>
        <w:top w:val="none" w:sz="0" w:space="0" w:color="auto"/>
        <w:left w:val="none" w:sz="0" w:space="0" w:color="auto"/>
        <w:bottom w:val="none" w:sz="0" w:space="0" w:color="auto"/>
        <w:right w:val="none" w:sz="0" w:space="0" w:color="auto"/>
      </w:divBdr>
    </w:div>
    <w:div w:id="1085110215">
      <w:bodyDiv w:val="1"/>
      <w:marLeft w:val="0"/>
      <w:marRight w:val="0"/>
      <w:marTop w:val="0"/>
      <w:marBottom w:val="0"/>
      <w:divBdr>
        <w:top w:val="none" w:sz="0" w:space="0" w:color="auto"/>
        <w:left w:val="none" w:sz="0" w:space="0" w:color="auto"/>
        <w:bottom w:val="none" w:sz="0" w:space="0" w:color="auto"/>
        <w:right w:val="none" w:sz="0" w:space="0" w:color="auto"/>
      </w:divBdr>
    </w:div>
    <w:div w:id="1106844808">
      <w:bodyDiv w:val="1"/>
      <w:marLeft w:val="0"/>
      <w:marRight w:val="0"/>
      <w:marTop w:val="0"/>
      <w:marBottom w:val="0"/>
      <w:divBdr>
        <w:top w:val="none" w:sz="0" w:space="0" w:color="auto"/>
        <w:left w:val="none" w:sz="0" w:space="0" w:color="auto"/>
        <w:bottom w:val="none" w:sz="0" w:space="0" w:color="auto"/>
        <w:right w:val="none" w:sz="0" w:space="0" w:color="auto"/>
      </w:divBdr>
    </w:div>
    <w:div w:id="1130856388">
      <w:bodyDiv w:val="1"/>
      <w:marLeft w:val="0"/>
      <w:marRight w:val="0"/>
      <w:marTop w:val="0"/>
      <w:marBottom w:val="0"/>
      <w:divBdr>
        <w:top w:val="none" w:sz="0" w:space="0" w:color="auto"/>
        <w:left w:val="none" w:sz="0" w:space="0" w:color="auto"/>
        <w:bottom w:val="none" w:sz="0" w:space="0" w:color="auto"/>
        <w:right w:val="none" w:sz="0" w:space="0" w:color="auto"/>
      </w:divBdr>
    </w:div>
    <w:div w:id="1144588283">
      <w:bodyDiv w:val="1"/>
      <w:marLeft w:val="0"/>
      <w:marRight w:val="0"/>
      <w:marTop w:val="0"/>
      <w:marBottom w:val="0"/>
      <w:divBdr>
        <w:top w:val="none" w:sz="0" w:space="0" w:color="auto"/>
        <w:left w:val="none" w:sz="0" w:space="0" w:color="auto"/>
        <w:bottom w:val="none" w:sz="0" w:space="0" w:color="auto"/>
        <w:right w:val="none" w:sz="0" w:space="0" w:color="auto"/>
      </w:divBdr>
    </w:div>
    <w:div w:id="1159467671">
      <w:bodyDiv w:val="1"/>
      <w:marLeft w:val="0"/>
      <w:marRight w:val="0"/>
      <w:marTop w:val="0"/>
      <w:marBottom w:val="0"/>
      <w:divBdr>
        <w:top w:val="none" w:sz="0" w:space="0" w:color="auto"/>
        <w:left w:val="none" w:sz="0" w:space="0" w:color="auto"/>
        <w:bottom w:val="none" w:sz="0" w:space="0" w:color="auto"/>
        <w:right w:val="none" w:sz="0" w:space="0" w:color="auto"/>
      </w:divBdr>
    </w:div>
    <w:div w:id="1175340835">
      <w:bodyDiv w:val="1"/>
      <w:marLeft w:val="0"/>
      <w:marRight w:val="0"/>
      <w:marTop w:val="0"/>
      <w:marBottom w:val="0"/>
      <w:divBdr>
        <w:top w:val="none" w:sz="0" w:space="0" w:color="auto"/>
        <w:left w:val="none" w:sz="0" w:space="0" w:color="auto"/>
        <w:bottom w:val="none" w:sz="0" w:space="0" w:color="auto"/>
        <w:right w:val="none" w:sz="0" w:space="0" w:color="auto"/>
      </w:divBdr>
    </w:div>
    <w:div w:id="1214998391">
      <w:bodyDiv w:val="1"/>
      <w:marLeft w:val="0"/>
      <w:marRight w:val="0"/>
      <w:marTop w:val="0"/>
      <w:marBottom w:val="0"/>
      <w:divBdr>
        <w:top w:val="none" w:sz="0" w:space="0" w:color="auto"/>
        <w:left w:val="none" w:sz="0" w:space="0" w:color="auto"/>
        <w:bottom w:val="none" w:sz="0" w:space="0" w:color="auto"/>
        <w:right w:val="none" w:sz="0" w:space="0" w:color="auto"/>
      </w:divBdr>
    </w:div>
    <w:div w:id="1267076767">
      <w:bodyDiv w:val="1"/>
      <w:marLeft w:val="0"/>
      <w:marRight w:val="0"/>
      <w:marTop w:val="0"/>
      <w:marBottom w:val="0"/>
      <w:divBdr>
        <w:top w:val="none" w:sz="0" w:space="0" w:color="auto"/>
        <w:left w:val="none" w:sz="0" w:space="0" w:color="auto"/>
        <w:bottom w:val="none" w:sz="0" w:space="0" w:color="auto"/>
        <w:right w:val="none" w:sz="0" w:space="0" w:color="auto"/>
      </w:divBdr>
    </w:div>
    <w:div w:id="1274095860">
      <w:bodyDiv w:val="1"/>
      <w:marLeft w:val="0"/>
      <w:marRight w:val="0"/>
      <w:marTop w:val="0"/>
      <w:marBottom w:val="0"/>
      <w:divBdr>
        <w:top w:val="none" w:sz="0" w:space="0" w:color="auto"/>
        <w:left w:val="none" w:sz="0" w:space="0" w:color="auto"/>
        <w:bottom w:val="none" w:sz="0" w:space="0" w:color="auto"/>
        <w:right w:val="none" w:sz="0" w:space="0" w:color="auto"/>
      </w:divBdr>
    </w:div>
    <w:div w:id="1362895700">
      <w:bodyDiv w:val="1"/>
      <w:marLeft w:val="0"/>
      <w:marRight w:val="0"/>
      <w:marTop w:val="0"/>
      <w:marBottom w:val="0"/>
      <w:divBdr>
        <w:top w:val="none" w:sz="0" w:space="0" w:color="auto"/>
        <w:left w:val="none" w:sz="0" w:space="0" w:color="auto"/>
        <w:bottom w:val="none" w:sz="0" w:space="0" w:color="auto"/>
        <w:right w:val="none" w:sz="0" w:space="0" w:color="auto"/>
      </w:divBdr>
    </w:div>
    <w:div w:id="1383018106">
      <w:bodyDiv w:val="1"/>
      <w:marLeft w:val="0"/>
      <w:marRight w:val="0"/>
      <w:marTop w:val="0"/>
      <w:marBottom w:val="0"/>
      <w:divBdr>
        <w:top w:val="none" w:sz="0" w:space="0" w:color="auto"/>
        <w:left w:val="none" w:sz="0" w:space="0" w:color="auto"/>
        <w:bottom w:val="none" w:sz="0" w:space="0" w:color="auto"/>
        <w:right w:val="none" w:sz="0" w:space="0" w:color="auto"/>
      </w:divBdr>
    </w:div>
    <w:div w:id="1396775110">
      <w:bodyDiv w:val="1"/>
      <w:marLeft w:val="0"/>
      <w:marRight w:val="0"/>
      <w:marTop w:val="0"/>
      <w:marBottom w:val="0"/>
      <w:divBdr>
        <w:top w:val="none" w:sz="0" w:space="0" w:color="auto"/>
        <w:left w:val="none" w:sz="0" w:space="0" w:color="auto"/>
        <w:bottom w:val="none" w:sz="0" w:space="0" w:color="auto"/>
        <w:right w:val="none" w:sz="0" w:space="0" w:color="auto"/>
      </w:divBdr>
    </w:div>
    <w:div w:id="1444377909">
      <w:bodyDiv w:val="1"/>
      <w:marLeft w:val="0"/>
      <w:marRight w:val="0"/>
      <w:marTop w:val="0"/>
      <w:marBottom w:val="0"/>
      <w:divBdr>
        <w:top w:val="none" w:sz="0" w:space="0" w:color="auto"/>
        <w:left w:val="none" w:sz="0" w:space="0" w:color="auto"/>
        <w:bottom w:val="none" w:sz="0" w:space="0" w:color="auto"/>
        <w:right w:val="none" w:sz="0" w:space="0" w:color="auto"/>
      </w:divBdr>
    </w:div>
    <w:div w:id="1480001301">
      <w:bodyDiv w:val="1"/>
      <w:marLeft w:val="0"/>
      <w:marRight w:val="0"/>
      <w:marTop w:val="0"/>
      <w:marBottom w:val="0"/>
      <w:divBdr>
        <w:top w:val="none" w:sz="0" w:space="0" w:color="auto"/>
        <w:left w:val="none" w:sz="0" w:space="0" w:color="auto"/>
        <w:bottom w:val="none" w:sz="0" w:space="0" w:color="auto"/>
        <w:right w:val="none" w:sz="0" w:space="0" w:color="auto"/>
      </w:divBdr>
    </w:div>
    <w:div w:id="1481655442">
      <w:bodyDiv w:val="1"/>
      <w:marLeft w:val="0"/>
      <w:marRight w:val="0"/>
      <w:marTop w:val="0"/>
      <w:marBottom w:val="0"/>
      <w:divBdr>
        <w:top w:val="none" w:sz="0" w:space="0" w:color="auto"/>
        <w:left w:val="none" w:sz="0" w:space="0" w:color="auto"/>
        <w:bottom w:val="none" w:sz="0" w:space="0" w:color="auto"/>
        <w:right w:val="none" w:sz="0" w:space="0" w:color="auto"/>
      </w:divBdr>
    </w:div>
    <w:div w:id="1516965066">
      <w:bodyDiv w:val="1"/>
      <w:marLeft w:val="0"/>
      <w:marRight w:val="0"/>
      <w:marTop w:val="0"/>
      <w:marBottom w:val="0"/>
      <w:divBdr>
        <w:top w:val="none" w:sz="0" w:space="0" w:color="auto"/>
        <w:left w:val="none" w:sz="0" w:space="0" w:color="auto"/>
        <w:bottom w:val="none" w:sz="0" w:space="0" w:color="auto"/>
        <w:right w:val="none" w:sz="0" w:space="0" w:color="auto"/>
      </w:divBdr>
    </w:div>
    <w:div w:id="1525631672">
      <w:bodyDiv w:val="1"/>
      <w:marLeft w:val="0"/>
      <w:marRight w:val="0"/>
      <w:marTop w:val="0"/>
      <w:marBottom w:val="0"/>
      <w:divBdr>
        <w:top w:val="none" w:sz="0" w:space="0" w:color="auto"/>
        <w:left w:val="none" w:sz="0" w:space="0" w:color="auto"/>
        <w:bottom w:val="none" w:sz="0" w:space="0" w:color="auto"/>
        <w:right w:val="none" w:sz="0" w:space="0" w:color="auto"/>
      </w:divBdr>
    </w:div>
    <w:div w:id="1571235611">
      <w:bodyDiv w:val="1"/>
      <w:marLeft w:val="0"/>
      <w:marRight w:val="0"/>
      <w:marTop w:val="0"/>
      <w:marBottom w:val="0"/>
      <w:divBdr>
        <w:top w:val="none" w:sz="0" w:space="0" w:color="auto"/>
        <w:left w:val="none" w:sz="0" w:space="0" w:color="auto"/>
        <w:bottom w:val="none" w:sz="0" w:space="0" w:color="auto"/>
        <w:right w:val="none" w:sz="0" w:space="0" w:color="auto"/>
      </w:divBdr>
    </w:div>
    <w:div w:id="1582179875">
      <w:bodyDiv w:val="1"/>
      <w:marLeft w:val="0"/>
      <w:marRight w:val="0"/>
      <w:marTop w:val="0"/>
      <w:marBottom w:val="0"/>
      <w:divBdr>
        <w:top w:val="none" w:sz="0" w:space="0" w:color="auto"/>
        <w:left w:val="none" w:sz="0" w:space="0" w:color="auto"/>
        <w:bottom w:val="none" w:sz="0" w:space="0" w:color="auto"/>
        <w:right w:val="none" w:sz="0" w:space="0" w:color="auto"/>
      </w:divBdr>
    </w:div>
    <w:div w:id="1640066557">
      <w:bodyDiv w:val="1"/>
      <w:marLeft w:val="0"/>
      <w:marRight w:val="0"/>
      <w:marTop w:val="0"/>
      <w:marBottom w:val="0"/>
      <w:divBdr>
        <w:top w:val="none" w:sz="0" w:space="0" w:color="auto"/>
        <w:left w:val="none" w:sz="0" w:space="0" w:color="auto"/>
        <w:bottom w:val="none" w:sz="0" w:space="0" w:color="auto"/>
        <w:right w:val="none" w:sz="0" w:space="0" w:color="auto"/>
      </w:divBdr>
    </w:div>
    <w:div w:id="1640721276">
      <w:bodyDiv w:val="1"/>
      <w:marLeft w:val="0"/>
      <w:marRight w:val="0"/>
      <w:marTop w:val="0"/>
      <w:marBottom w:val="0"/>
      <w:divBdr>
        <w:top w:val="none" w:sz="0" w:space="0" w:color="auto"/>
        <w:left w:val="none" w:sz="0" w:space="0" w:color="auto"/>
        <w:bottom w:val="none" w:sz="0" w:space="0" w:color="auto"/>
        <w:right w:val="none" w:sz="0" w:space="0" w:color="auto"/>
      </w:divBdr>
    </w:div>
    <w:div w:id="1696081532">
      <w:bodyDiv w:val="1"/>
      <w:marLeft w:val="0"/>
      <w:marRight w:val="0"/>
      <w:marTop w:val="0"/>
      <w:marBottom w:val="0"/>
      <w:divBdr>
        <w:top w:val="none" w:sz="0" w:space="0" w:color="auto"/>
        <w:left w:val="none" w:sz="0" w:space="0" w:color="auto"/>
        <w:bottom w:val="none" w:sz="0" w:space="0" w:color="auto"/>
        <w:right w:val="none" w:sz="0" w:space="0" w:color="auto"/>
      </w:divBdr>
    </w:div>
    <w:div w:id="1743022761">
      <w:bodyDiv w:val="1"/>
      <w:marLeft w:val="0"/>
      <w:marRight w:val="0"/>
      <w:marTop w:val="0"/>
      <w:marBottom w:val="0"/>
      <w:divBdr>
        <w:top w:val="none" w:sz="0" w:space="0" w:color="auto"/>
        <w:left w:val="none" w:sz="0" w:space="0" w:color="auto"/>
        <w:bottom w:val="none" w:sz="0" w:space="0" w:color="auto"/>
        <w:right w:val="none" w:sz="0" w:space="0" w:color="auto"/>
      </w:divBdr>
    </w:div>
    <w:div w:id="1755124048">
      <w:bodyDiv w:val="1"/>
      <w:marLeft w:val="0"/>
      <w:marRight w:val="0"/>
      <w:marTop w:val="0"/>
      <w:marBottom w:val="0"/>
      <w:divBdr>
        <w:top w:val="none" w:sz="0" w:space="0" w:color="auto"/>
        <w:left w:val="none" w:sz="0" w:space="0" w:color="auto"/>
        <w:bottom w:val="none" w:sz="0" w:space="0" w:color="auto"/>
        <w:right w:val="none" w:sz="0" w:space="0" w:color="auto"/>
      </w:divBdr>
    </w:div>
    <w:div w:id="1790470181">
      <w:bodyDiv w:val="1"/>
      <w:marLeft w:val="0"/>
      <w:marRight w:val="0"/>
      <w:marTop w:val="0"/>
      <w:marBottom w:val="0"/>
      <w:divBdr>
        <w:top w:val="none" w:sz="0" w:space="0" w:color="auto"/>
        <w:left w:val="none" w:sz="0" w:space="0" w:color="auto"/>
        <w:bottom w:val="none" w:sz="0" w:space="0" w:color="auto"/>
        <w:right w:val="none" w:sz="0" w:space="0" w:color="auto"/>
      </w:divBdr>
    </w:div>
    <w:div w:id="1864662351">
      <w:bodyDiv w:val="1"/>
      <w:marLeft w:val="0"/>
      <w:marRight w:val="0"/>
      <w:marTop w:val="0"/>
      <w:marBottom w:val="0"/>
      <w:divBdr>
        <w:top w:val="none" w:sz="0" w:space="0" w:color="auto"/>
        <w:left w:val="none" w:sz="0" w:space="0" w:color="auto"/>
        <w:bottom w:val="none" w:sz="0" w:space="0" w:color="auto"/>
        <w:right w:val="none" w:sz="0" w:space="0" w:color="auto"/>
      </w:divBdr>
    </w:div>
    <w:div w:id="1871917922">
      <w:bodyDiv w:val="1"/>
      <w:marLeft w:val="0"/>
      <w:marRight w:val="0"/>
      <w:marTop w:val="0"/>
      <w:marBottom w:val="0"/>
      <w:divBdr>
        <w:top w:val="none" w:sz="0" w:space="0" w:color="auto"/>
        <w:left w:val="none" w:sz="0" w:space="0" w:color="auto"/>
        <w:bottom w:val="none" w:sz="0" w:space="0" w:color="auto"/>
        <w:right w:val="none" w:sz="0" w:space="0" w:color="auto"/>
      </w:divBdr>
    </w:div>
    <w:div w:id="1873305131">
      <w:bodyDiv w:val="1"/>
      <w:marLeft w:val="0"/>
      <w:marRight w:val="0"/>
      <w:marTop w:val="0"/>
      <w:marBottom w:val="0"/>
      <w:divBdr>
        <w:top w:val="none" w:sz="0" w:space="0" w:color="auto"/>
        <w:left w:val="none" w:sz="0" w:space="0" w:color="auto"/>
        <w:bottom w:val="none" w:sz="0" w:space="0" w:color="auto"/>
        <w:right w:val="none" w:sz="0" w:space="0" w:color="auto"/>
      </w:divBdr>
    </w:div>
    <w:div w:id="2027094263">
      <w:bodyDiv w:val="1"/>
      <w:marLeft w:val="0"/>
      <w:marRight w:val="0"/>
      <w:marTop w:val="0"/>
      <w:marBottom w:val="0"/>
      <w:divBdr>
        <w:top w:val="none" w:sz="0" w:space="0" w:color="auto"/>
        <w:left w:val="none" w:sz="0" w:space="0" w:color="auto"/>
        <w:bottom w:val="none" w:sz="0" w:space="0" w:color="auto"/>
        <w:right w:val="none" w:sz="0" w:space="0" w:color="auto"/>
      </w:divBdr>
    </w:div>
    <w:div w:id="2028018984">
      <w:bodyDiv w:val="1"/>
      <w:marLeft w:val="0"/>
      <w:marRight w:val="0"/>
      <w:marTop w:val="0"/>
      <w:marBottom w:val="0"/>
      <w:divBdr>
        <w:top w:val="none" w:sz="0" w:space="0" w:color="auto"/>
        <w:left w:val="none" w:sz="0" w:space="0" w:color="auto"/>
        <w:bottom w:val="none" w:sz="0" w:space="0" w:color="auto"/>
        <w:right w:val="none" w:sz="0" w:space="0" w:color="auto"/>
      </w:divBdr>
    </w:div>
    <w:div w:id="2030909533">
      <w:bodyDiv w:val="1"/>
      <w:marLeft w:val="0"/>
      <w:marRight w:val="0"/>
      <w:marTop w:val="0"/>
      <w:marBottom w:val="0"/>
      <w:divBdr>
        <w:top w:val="none" w:sz="0" w:space="0" w:color="auto"/>
        <w:left w:val="none" w:sz="0" w:space="0" w:color="auto"/>
        <w:bottom w:val="none" w:sz="0" w:space="0" w:color="auto"/>
        <w:right w:val="none" w:sz="0" w:space="0" w:color="auto"/>
      </w:divBdr>
    </w:div>
    <w:div w:id="2045130501">
      <w:bodyDiv w:val="1"/>
      <w:marLeft w:val="0"/>
      <w:marRight w:val="0"/>
      <w:marTop w:val="0"/>
      <w:marBottom w:val="0"/>
      <w:divBdr>
        <w:top w:val="none" w:sz="0" w:space="0" w:color="auto"/>
        <w:left w:val="none" w:sz="0" w:space="0" w:color="auto"/>
        <w:bottom w:val="none" w:sz="0" w:space="0" w:color="auto"/>
        <w:right w:val="none" w:sz="0" w:space="0" w:color="auto"/>
      </w:divBdr>
    </w:div>
    <w:div w:id="2053262145">
      <w:bodyDiv w:val="1"/>
      <w:marLeft w:val="0"/>
      <w:marRight w:val="0"/>
      <w:marTop w:val="0"/>
      <w:marBottom w:val="0"/>
      <w:divBdr>
        <w:top w:val="none" w:sz="0" w:space="0" w:color="auto"/>
        <w:left w:val="none" w:sz="0" w:space="0" w:color="auto"/>
        <w:bottom w:val="none" w:sz="0" w:space="0" w:color="auto"/>
        <w:right w:val="none" w:sz="0" w:space="0" w:color="auto"/>
      </w:divBdr>
    </w:div>
    <w:div w:id="2064713499">
      <w:bodyDiv w:val="1"/>
      <w:marLeft w:val="0"/>
      <w:marRight w:val="0"/>
      <w:marTop w:val="0"/>
      <w:marBottom w:val="0"/>
      <w:divBdr>
        <w:top w:val="none" w:sz="0" w:space="0" w:color="auto"/>
        <w:left w:val="none" w:sz="0" w:space="0" w:color="auto"/>
        <w:bottom w:val="none" w:sz="0" w:space="0" w:color="auto"/>
        <w:right w:val="none" w:sz="0" w:space="0" w:color="auto"/>
      </w:divBdr>
    </w:div>
    <w:div w:id="2067026697">
      <w:bodyDiv w:val="1"/>
      <w:marLeft w:val="0"/>
      <w:marRight w:val="0"/>
      <w:marTop w:val="0"/>
      <w:marBottom w:val="0"/>
      <w:divBdr>
        <w:top w:val="none" w:sz="0" w:space="0" w:color="auto"/>
        <w:left w:val="none" w:sz="0" w:space="0" w:color="auto"/>
        <w:bottom w:val="none" w:sz="0" w:space="0" w:color="auto"/>
        <w:right w:val="none" w:sz="0" w:space="0" w:color="auto"/>
      </w:divBdr>
    </w:div>
    <w:div w:id="21007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f:fields xmlns:f="http://schemas.fabasoft.com/folio/2007/fields">
  <f:record ref="">
    <f:field ref="objname" par="" edit="true" text="Analýza-vplyvov-na-rozpočet-VS"/>
    <f:field ref="objsubject" par="" edit="true" text=""/>
    <f:field ref="objcreatedby" par="" text="Číž, Michal, Mgr."/>
    <f:field ref="objcreatedat" par="" text="24.5.2019 21:09:33"/>
    <f:field ref="objchangedby" par="" text="Administrator, System"/>
    <f:field ref="objmodifiedat" par="" text="24.5.2019 21:09: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5.xml><?xml version="1.0" encoding="utf-8"?>
<ds:datastoreItem xmlns:ds="http://schemas.openxmlformats.org/officeDocument/2006/customXml" ds:itemID="{2A8D5041-6F72-4E9C-A156-7CAB983E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5221</Words>
  <Characters>29761</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Jucha</dc:creator>
  <cp:keywords/>
  <dc:description/>
  <cp:lastModifiedBy>Tomas Jucha</cp:lastModifiedBy>
  <cp:revision>10</cp:revision>
  <cp:lastPrinted>2019-05-24T14:13:00Z</cp:lastPrinted>
  <dcterms:created xsi:type="dcterms:W3CDTF">2019-06-19T19:51:00Z</dcterms:created>
  <dcterms:modified xsi:type="dcterms:W3CDTF">2019-06-20T14:14:00Z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 Číž</vt:lpwstr>
  </property>
  <property fmtid="{D5CDD505-2E9C-101B-9397-08002B2CF9AE}" pid="12" name="FSC#SKEDITIONSLOVLEX@103.510:zodppredkladatel">
    <vt:lpwstr>Richard Raši</vt:lpwstr>
  </property>
  <property fmtid="{D5CDD505-2E9C-101B-9397-08002B2CF9AE}" pid="13" name="FSC#SKEDITIONSLOVLEX@103.510:dalsipredkladatel">
    <vt:lpwstr/>
  </property>
  <property fmtid="{D5CDD505-2E9C-101B-9397-08002B2CF9AE}" pid="14" name="FSC#SKEDITIONSLOVLEX@103.510:nazovpredpis">
    <vt:lpwstr> Návrh Akčného plánu digitálnej transformácie Slovenska na roky 2019-2022</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podpredsedu vlády Slovenskej republiky pre investície a informatizáciu</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k návrhu Stratégie digitálnej transformácie Slovenska 2030 - UV-12218/2019</vt:lpwstr>
  </property>
  <property fmtid="{D5CDD505-2E9C-101B-9397-08002B2CF9AE}" pid="23" name="FSC#SKEDITIONSLOVLEX@103.510:plnynazovpredpis">
    <vt:lpwstr> Návrh Akčného plánu digitálnej transformácie Slovenska na roky 2019-2022</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004080/2019/oINT</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LP/2019/415</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15. 5. 2019</vt:lpwstr>
  </property>
  <property fmtid="{D5CDD505-2E9C-101B-9397-08002B2CF9AE}" pid="59" name="FSC#SKEDITIONSLOVLEX@103.510:AttrDateDocPropUkonceniePKK">
    <vt:lpwstr>17. 5. 2019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&lt;table align="center" border="1" cellpadding="0" cellspacing="0" style="width:100.0%;" width="100%"&gt;	&lt;tbody&gt;		&lt;tr&gt;			&lt;td style="width:5.0%;height:40px;"&gt;			&lt;p&gt;&lt;strong&gt;Vplyv na rozpočet verejnej správy&lt;/strong&gt;&lt;/p&gt;			&lt;p&gt;Návrh bude mať negatívny vplyv na ro</vt:lpwstr>
  </property>
  <property fmtid="{D5CDD505-2E9C-101B-9397-08002B2CF9AE}" pid="66" name="FSC#SKEDITIONSLOVLEX@103.510:AttrStrListDocPropAltRiesenia">
    <vt:lpwstr>Alternatívne riešenia neboli posudzované. Akčný plán digitálnej transformácie Slovenska na roky 2019 - 2022 definuje opatrenia, ako reagovať na výzvy jednotného digitálneho trhu v EÚ. Alternatívnym riešením by bolo nezavedenie opatrení pre vytvorenie jedn</vt:lpwstr>
  </property>
  <property fmtid="{D5CDD505-2E9C-101B-9397-08002B2CF9AE}" pid="67" name="FSC#SKEDITIONSLOVLEX@103.510:AttrStrListDocPropStanoviskoGest">
    <vt:lpwstr>&lt;table border="0" cellpadding="0" cellspacing="0"&gt;	&lt;tbody&gt;		&lt;tr&gt;			&lt;td style="width:283px;"&gt;			&lt;p&gt;&amp;nbsp;&lt;/p&gt;			&lt;/td&gt;			&lt;td style="width:350px;"&gt;			&lt;p&gt;&amp;nbsp;&amp;nbsp;&amp;nbsp;&amp;nbsp;&amp;nbsp;&amp;nbsp;&amp;nbsp;&amp;nbsp;&amp;nbsp;&amp;nbsp;&amp;nbsp;&amp;nbsp;&amp;nbsp;&amp;nbsp;&amp;nbsp;&amp;nbsp;&amp;nbsp;&amp;nb</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pre investície a informatizáciu _x000d_
podpredsedníčka vlády a ministerka pôdohospodárstva a rozvoja vidieka_x000d_
podpredseda vlády a minister životného prostredia_x000d_
minister financií _x000d_
minister zahraničných vecí a európskych záležitostí _x000d_
ministe</vt:lpwstr>
  </property>
  <property fmtid="{D5CDD505-2E9C-101B-9397-08002B2CF9AE}" pid="137" name="FSC#SKEDITIONSLOVLEX@103.510:AttrStrListDocPropUznesenieNaVedomie">
    <vt:lpwstr>riaditeľ Národného bezpečnostného úradu _x000d_
riaditeľ Úradu pre verejné obstarávanie _x000d_
guvernér Národnej banky Slovenska _x000d_
predsedovia samosprávnych krajov_x000d_
predseda Združenia miest a obcí Slovenska_x000d_
prezident Únie miest Slovenska_x000d_
predseda Slovenskej akadém</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 pre investície a informatizáciu</vt:lpwstr>
  </property>
  <property fmtid="{D5CDD505-2E9C-101B-9397-08002B2CF9AE}" pid="142" name="FSC#SKEDITIONSLOVLEX@103.510:funkciaZodpPredAkuzativ">
    <vt:lpwstr>podpredsedovi vlády Slovenskej republiky pre investície a informatizáciu</vt:lpwstr>
  </property>
  <property fmtid="{D5CDD505-2E9C-101B-9397-08002B2CF9AE}" pid="143" name="FSC#SKEDITIONSLOVLEX@103.510:funkciaZodpPredDativ">
    <vt:lpwstr>podpredsedu vlády Slovenskej republiky pre investície a informatizáciu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Richard Raši_x000d_
podpredseda vlády Slovenskej republiky pre investície a informatizáciu</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&lt;p&gt;Úrad podpredsedu vlády SR pre investície a&amp;nbsp;informatizáciu (ÚPVII) predkladá materiál “&lt;strong&gt;Akčný plán &lt;em&gt;digitálnej transformácie Slovenska 2019-2022&lt;/em&gt;&lt;/strong&gt;&lt;em&gt;“&lt;/em&gt;. Predkladaný materiál vychádza a&amp;nbsp;priamo nadväzuje na Stratégiu d</vt:lpwstr>
  </property>
  <property fmtid="{D5CDD505-2E9C-101B-9397-08002B2CF9AE}" pid="150" name="FSC#SKEDITIONSLOVLEX@103.510:vytvorenedna">
    <vt:lpwstr>24. 5. 2019</vt:lpwstr>
  </property>
  <property fmtid="{D5CDD505-2E9C-101B-9397-08002B2CF9AE}" pid="151" name="FSC#COOSYSTEM@1.1:Container">
    <vt:lpwstr>COO.2145.1000.3.3385836</vt:lpwstr>
  </property>
  <property fmtid="{D5CDD505-2E9C-101B-9397-08002B2CF9AE}" pid="152" name="FSC#FSCFOLIO@1.1001:docpropproject">
    <vt:lpwstr/>
  </property>
</Properties>
</file>