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B75CE7" w:rsidRDefault="00D710A5" w:rsidP="00D710A5">
      <w:pPr>
        <w:widowControl/>
        <w:spacing w:after="0" w:line="240" w:lineRule="auto"/>
        <w:jc w:val="center"/>
        <w:rPr>
          <w:rFonts w:ascii="Times New Roman" w:hAnsi="Times New Roman" w:cs="Calibri"/>
          <w:b/>
          <w:caps/>
          <w:sz w:val="24"/>
          <w:szCs w:val="28"/>
        </w:rPr>
      </w:pPr>
      <w:r w:rsidRPr="00B75CE7">
        <w:rPr>
          <w:rFonts w:ascii="Times New Roman" w:hAnsi="Times New Roman" w:cs="Calibri"/>
          <w:b/>
          <w:caps/>
          <w:sz w:val="24"/>
          <w:szCs w:val="28"/>
        </w:rPr>
        <w:t>v</w:t>
      </w:r>
      <w:r w:rsidR="00F92C34" w:rsidRPr="00B75CE7">
        <w:rPr>
          <w:rFonts w:ascii="Times New Roman" w:hAnsi="Times New Roman" w:cs="Calibri"/>
          <w:b/>
          <w:caps/>
          <w:sz w:val="24"/>
          <w:szCs w:val="28"/>
        </w:rPr>
        <w:t>yhodnotenie</w:t>
      </w:r>
      <w:r w:rsidRPr="00B75CE7">
        <w:rPr>
          <w:rFonts w:ascii="Times New Roman" w:hAnsi="Times New Roman" w:cs="Calibri"/>
          <w:b/>
          <w:caps/>
          <w:sz w:val="24"/>
          <w:szCs w:val="28"/>
        </w:rPr>
        <w:t xml:space="preserve">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902D6F" w:rsidRDefault="00902D6F">
      <w:pPr>
        <w:jc w:val="center"/>
        <w:divId w:val="1451120779"/>
        <w:rPr>
          <w:rFonts w:ascii="Times" w:hAnsi="Times" w:cs="Times"/>
          <w:sz w:val="25"/>
          <w:szCs w:val="25"/>
        </w:rPr>
      </w:pPr>
      <w:r>
        <w:rPr>
          <w:rFonts w:ascii="Times" w:hAnsi="Times" w:cs="Times"/>
          <w:sz w:val="25"/>
          <w:szCs w:val="25"/>
        </w:rPr>
        <w:t xml:space="preserve">Nariadenie vlády Slovenskej republiky ktorým sa mení a dopĺňa nariadenie vlády Slovenskej republiky č. 377/2012 Z. z., ktorým sa ustanovujú požiadavky na ochranu zvierat používaných na vedecké účely alebo vzdelávacie účely </w:t>
      </w:r>
    </w:p>
    <w:p w:rsidR="00D710A5" w:rsidRPr="00705DED" w:rsidRDefault="00705DED" w:rsidP="00D710A5">
      <w:pPr>
        <w:widowControl/>
        <w:spacing w:after="0" w:line="240" w:lineRule="auto"/>
        <w:rPr>
          <w:rFonts w:ascii="Times New Roman" w:hAnsi="Times New Roman" w:cs="Calibri"/>
          <w:sz w:val="25"/>
          <w:szCs w:val="25"/>
        </w:rPr>
      </w:pPr>
      <w:r w:rsidRPr="00705DED">
        <w:rPr>
          <w:rFonts w:ascii="Times New Roman" w:hAnsi="Times New Roman" w:cs="Calibri"/>
          <w:sz w:val="25"/>
          <w:szCs w:val="25"/>
        </w:rPr>
        <w:t>Spôsob pripomienkového konania</w:t>
      </w:r>
    </w:p>
    <w:p w:rsidR="00705DED" w:rsidRPr="00705DED" w:rsidRDefault="00705DED" w:rsidP="00D710A5">
      <w:pPr>
        <w:widowControl/>
        <w:spacing w:after="0" w:line="240" w:lineRule="auto"/>
        <w:rPr>
          <w:rFonts w:ascii="Times New Roman" w:hAnsi="Times New Roman" w:cs="Calibri"/>
          <w:sz w:val="25"/>
          <w:szCs w:val="25"/>
        </w:rPr>
      </w:pPr>
      <w:r w:rsidRPr="00705DED">
        <w:rPr>
          <w:rFonts w:ascii="Times New Roman" w:hAnsi="Times New Roman" w:cs="Calibri"/>
          <w:sz w:val="25"/>
          <w:szCs w:val="25"/>
        </w:rPr>
        <w:t>Počet vznesených pripomienok, z toho zásadných</w:t>
      </w:r>
      <w:r w:rsidR="00265645">
        <w:rPr>
          <w:rFonts w:ascii="Times New Roman" w:hAnsi="Times New Roman" w:cs="Calibri"/>
          <w:sz w:val="25"/>
          <w:szCs w:val="25"/>
        </w:rPr>
        <w:tab/>
      </w:r>
      <w:r w:rsidR="00265645">
        <w:rPr>
          <w:rFonts w:ascii="Times New Roman" w:hAnsi="Times New Roman" w:cs="Calibri"/>
          <w:sz w:val="25"/>
          <w:szCs w:val="25"/>
        </w:rPr>
        <w:tab/>
      </w:r>
      <w:r w:rsidR="00265645">
        <w:rPr>
          <w:rFonts w:ascii="Times New Roman" w:hAnsi="Times New Roman" w:cs="Calibri"/>
          <w:sz w:val="25"/>
          <w:szCs w:val="25"/>
        </w:rPr>
        <w:tab/>
        <w:t>21/0</w:t>
      </w:r>
    </w:p>
    <w:p w:rsidR="00705DED" w:rsidRPr="00705DED" w:rsidRDefault="00705DED" w:rsidP="00D710A5">
      <w:pPr>
        <w:widowControl/>
        <w:spacing w:after="0" w:line="240" w:lineRule="auto"/>
        <w:rPr>
          <w:rFonts w:ascii="Times New Roman" w:hAnsi="Times New Roman" w:cs="Calibri"/>
          <w:sz w:val="25"/>
          <w:szCs w:val="25"/>
        </w:rPr>
      </w:pPr>
      <w:r w:rsidRPr="00705DED">
        <w:rPr>
          <w:rFonts w:ascii="Times New Roman" w:hAnsi="Times New Roman" w:cs="Calibri"/>
          <w:sz w:val="25"/>
          <w:szCs w:val="25"/>
        </w:rPr>
        <w:t>Počet vyhodnotených pripomienok</w:t>
      </w:r>
      <w:r w:rsidR="00265645">
        <w:rPr>
          <w:rFonts w:ascii="Times New Roman" w:hAnsi="Times New Roman" w:cs="Calibri"/>
          <w:sz w:val="25"/>
          <w:szCs w:val="25"/>
        </w:rPr>
        <w:tab/>
      </w:r>
      <w:r w:rsidR="00265645">
        <w:rPr>
          <w:rFonts w:ascii="Times New Roman" w:hAnsi="Times New Roman" w:cs="Calibri"/>
          <w:sz w:val="25"/>
          <w:szCs w:val="25"/>
        </w:rPr>
        <w:tab/>
      </w:r>
      <w:r w:rsidR="00265645">
        <w:rPr>
          <w:rFonts w:ascii="Times New Roman" w:hAnsi="Times New Roman" w:cs="Calibri"/>
          <w:sz w:val="25"/>
          <w:szCs w:val="25"/>
        </w:rPr>
        <w:tab/>
        <w:t xml:space="preserve"> </w:t>
      </w:r>
      <w:r w:rsidR="00265645">
        <w:rPr>
          <w:rFonts w:ascii="Times New Roman" w:hAnsi="Times New Roman" w:cs="Calibri"/>
          <w:sz w:val="25"/>
          <w:szCs w:val="25"/>
        </w:rPr>
        <w:tab/>
      </w:r>
      <w:r w:rsidR="00265645">
        <w:rPr>
          <w:rFonts w:ascii="Times New Roman" w:hAnsi="Times New Roman" w:cs="Calibri"/>
          <w:sz w:val="25"/>
          <w:szCs w:val="25"/>
        </w:rPr>
        <w:tab/>
      </w:r>
      <w:r w:rsidR="00265645">
        <w:rPr>
          <w:rFonts w:ascii="Times New Roman" w:hAnsi="Times New Roman" w:cs="Calibri"/>
          <w:sz w:val="25"/>
          <w:szCs w:val="25"/>
        </w:rPr>
        <w:tab/>
        <w:t>21</w:t>
      </w:r>
    </w:p>
    <w:p w:rsidR="00705DED" w:rsidRPr="00705DED" w:rsidRDefault="00705DED" w:rsidP="00D710A5">
      <w:pPr>
        <w:widowControl/>
        <w:spacing w:after="0" w:line="240" w:lineRule="auto"/>
        <w:rPr>
          <w:rFonts w:ascii="Times New Roman" w:hAnsi="Times New Roman" w:cs="Calibri"/>
          <w:sz w:val="25"/>
          <w:szCs w:val="25"/>
        </w:rPr>
      </w:pPr>
    </w:p>
    <w:p w:rsidR="00705DED" w:rsidRPr="00705DED" w:rsidRDefault="00705DED" w:rsidP="00D710A5">
      <w:pPr>
        <w:widowControl/>
        <w:spacing w:after="0" w:line="240" w:lineRule="auto"/>
        <w:rPr>
          <w:rFonts w:ascii="Times New Roman" w:hAnsi="Times New Roman" w:cs="Calibri"/>
          <w:sz w:val="25"/>
          <w:szCs w:val="25"/>
        </w:rPr>
      </w:pPr>
      <w:r w:rsidRPr="00705DED">
        <w:rPr>
          <w:rFonts w:ascii="Times New Roman" w:hAnsi="Times New Roman" w:cs="Calibri"/>
          <w:sz w:val="25"/>
          <w:szCs w:val="25"/>
        </w:rPr>
        <w:t>Počet akceptovaných pripomienok, z toho zásadných</w:t>
      </w:r>
      <w:r w:rsidR="00265645">
        <w:rPr>
          <w:rFonts w:ascii="Times New Roman" w:hAnsi="Times New Roman" w:cs="Calibri"/>
          <w:sz w:val="25"/>
          <w:szCs w:val="25"/>
        </w:rPr>
        <w:tab/>
      </w:r>
      <w:r w:rsidR="00265645">
        <w:rPr>
          <w:rFonts w:ascii="Times New Roman" w:hAnsi="Times New Roman" w:cs="Calibri"/>
          <w:sz w:val="25"/>
          <w:szCs w:val="25"/>
        </w:rPr>
        <w:tab/>
      </w:r>
      <w:r w:rsidR="00265645">
        <w:rPr>
          <w:rFonts w:ascii="Times New Roman" w:hAnsi="Times New Roman" w:cs="Calibri"/>
          <w:sz w:val="25"/>
          <w:szCs w:val="25"/>
        </w:rPr>
        <w:tab/>
        <w:t>17/0</w:t>
      </w:r>
    </w:p>
    <w:p w:rsidR="00705DED" w:rsidRPr="00705DED" w:rsidRDefault="00705DED" w:rsidP="00D710A5">
      <w:pPr>
        <w:widowControl/>
        <w:spacing w:after="0" w:line="240" w:lineRule="auto"/>
        <w:rPr>
          <w:rFonts w:ascii="Times New Roman" w:hAnsi="Times New Roman" w:cs="Calibri"/>
          <w:sz w:val="25"/>
          <w:szCs w:val="25"/>
        </w:rPr>
      </w:pPr>
      <w:r w:rsidRPr="00705DED">
        <w:rPr>
          <w:rFonts w:ascii="Times New Roman" w:hAnsi="Times New Roman" w:cs="Calibri"/>
          <w:sz w:val="25"/>
          <w:szCs w:val="25"/>
        </w:rPr>
        <w:t>Počet čiastočne akceptovaných pripomienok, z toho zásadných</w:t>
      </w:r>
      <w:r w:rsidR="00265645">
        <w:rPr>
          <w:rFonts w:ascii="Times New Roman" w:hAnsi="Times New Roman" w:cs="Calibri"/>
          <w:sz w:val="25"/>
          <w:szCs w:val="25"/>
        </w:rPr>
        <w:tab/>
      </w:r>
      <w:r w:rsidR="00265645">
        <w:rPr>
          <w:rFonts w:ascii="Times New Roman" w:hAnsi="Times New Roman" w:cs="Calibri"/>
          <w:sz w:val="25"/>
          <w:szCs w:val="25"/>
        </w:rPr>
        <w:tab/>
        <w:t>2/0</w:t>
      </w:r>
    </w:p>
    <w:p w:rsidR="00705DED" w:rsidRPr="00705DED" w:rsidRDefault="00705DED" w:rsidP="00D710A5">
      <w:pPr>
        <w:widowControl/>
        <w:spacing w:after="0" w:line="240" w:lineRule="auto"/>
        <w:rPr>
          <w:rFonts w:ascii="Times New Roman" w:hAnsi="Times New Roman" w:cs="Calibri"/>
          <w:sz w:val="25"/>
          <w:szCs w:val="25"/>
        </w:rPr>
      </w:pPr>
      <w:r w:rsidRPr="00705DED">
        <w:rPr>
          <w:rFonts w:ascii="Times New Roman" w:hAnsi="Times New Roman" w:cs="Calibri"/>
          <w:sz w:val="25"/>
          <w:szCs w:val="25"/>
        </w:rPr>
        <w:t>Počet neakceptovaných pripomienok, z toho zásadných</w:t>
      </w:r>
      <w:r w:rsidR="00265645">
        <w:rPr>
          <w:rFonts w:ascii="Times New Roman" w:hAnsi="Times New Roman" w:cs="Calibri"/>
          <w:sz w:val="25"/>
          <w:szCs w:val="25"/>
        </w:rPr>
        <w:tab/>
      </w:r>
      <w:r w:rsidR="00265645">
        <w:rPr>
          <w:rFonts w:ascii="Times New Roman" w:hAnsi="Times New Roman" w:cs="Calibri"/>
          <w:sz w:val="25"/>
          <w:szCs w:val="25"/>
        </w:rPr>
        <w:tab/>
      </w:r>
      <w:r w:rsidR="00265645">
        <w:rPr>
          <w:rFonts w:ascii="Times New Roman" w:hAnsi="Times New Roman" w:cs="Calibri"/>
          <w:sz w:val="25"/>
          <w:szCs w:val="25"/>
        </w:rPr>
        <w:tab/>
        <w:t>2/0</w:t>
      </w:r>
    </w:p>
    <w:p w:rsidR="00705DED" w:rsidRDefault="00705DED" w:rsidP="00D710A5">
      <w:pPr>
        <w:widowControl/>
        <w:spacing w:after="0" w:line="240" w:lineRule="auto"/>
        <w:rPr>
          <w:rFonts w:ascii="Times New Roman" w:hAnsi="Times New Roman" w:cs="Calibri"/>
          <w:sz w:val="20"/>
          <w:szCs w:val="20"/>
        </w:rPr>
      </w:pPr>
    </w:p>
    <w:tbl>
      <w:tblPr>
        <w:tblW w:w="15598" w:type="dxa"/>
        <w:tblCellMar>
          <w:left w:w="0" w:type="dxa"/>
          <w:right w:w="0" w:type="dxa"/>
        </w:tblCellMar>
        <w:tblLook w:val="0000" w:firstRow="0" w:lastRow="0" w:firstColumn="0" w:lastColumn="0" w:noHBand="0" w:noVBand="0"/>
      </w:tblPr>
      <w:tblGrid>
        <w:gridCol w:w="15598"/>
      </w:tblGrid>
      <w:tr w:rsidR="00705DED" w:rsidRPr="00B75CE7" w:rsidTr="0074091D">
        <w:tc>
          <w:tcPr>
            <w:tcW w:w="7797" w:type="dxa"/>
            <w:tcBorders>
              <w:top w:val="nil"/>
              <w:left w:val="nil"/>
              <w:bottom w:val="nil"/>
              <w:right w:val="nil"/>
            </w:tcBorders>
          </w:tcPr>
          <w:p w:rsidR="00705DED" w:rsidRPr="00B75CE7" w:rsidRDefault="00705DED" w:rsidP="00B75CE7">
            <w:pPr>
              <w:spacing w:after="0" w:line="240" w:lineRule="auto"/>
              <w:rPr>
                <w:rFonts w:ascii="Times New Roman" w:hAnsi="Times New Roman"/>
                <w:sz w:val="24"/>
                <w:szCs w:val="24"/>
              </w:rPr>
            </w:pPr>
            <w:r w:rsidRPr="00B75CE7">
              <w:rPr>
                <w:rFonts w:ascii="Times New Roman" w:hAnsi="Times New Roman"/>
                <w:bCs/>
                <w:sz w:val="24"/>
                <w:szCs w:val="24"/>
              </w:rPr>
              <w:t>Rozporové konanie (s kým, kedy, s akým výsledkom)</w:t>
            </w:r>
          </w:p>
        </w:tc>
      </w:tr>
      <w:tr w:rsidR="00705DED" w:rsidRPr="00B75CE7" w:rsidTr="0074091D">
        <w:tc>
          <w:tcPr>
            <w:tcW w:w="7797" w:type="dxa"/>
            <w:tcBorders>
              <w:top w:val="nil"/>
              <w:left w:val="nil"/>
              <w:bottom w:val="nil"/>
              <w:right w:val="nil"/>
            </w:tcBorders>
          </w:tcPr>
          <w:p w:rsidR="00705DED" w:rsidRPr="00B75CE7" w:rsidRDefault="00705DED" w:rsidP="00B75CE7">
            <w:pPr>
              <w:spacing w:after="0" w:line="240" w:lineRule="auto"/>
              <w:rPr>
                <w:rFonts w:ascii="Times New Roman" w:hAnsi="Times New Roman"/>
                <w:bCs/>
                <w:sz w:val="24"/>
                <w:szCs w:val="24"/>
              </w:rPr>
            </w:pPr>
            <w:r w:rsidRPr="00B75CE7">
              <w:rPr>
                <w:rFonts w:ascii="Times New Roman" w:hAnsi="Times New Roman"/>
                <w:bCs/>
                <w:sz w:val="24"/>
                <w:szCs w:val="24"/>
              </w:rPr>
              <w:t>Počet odstránených pripomienok</w:t>
            </w:r>
          </w:p>
        </w:tc>
      </w:tr>
      <w:tr w:rsidR="00705DED" w:rsidRPr="00B75CE7" w:rsidTr="0074091D">
        <w:tc>
          <w:tcPr>
            <w:tcW w:w="7797" w:type="dxa"/>
            <w:tcBorders>
              <w:top w:val="nil"/>
              <w:left w:val="nil"/>
              <w:bottom w:val="nil"/>
              <w:right w:val="nil"/>
            </w:tcBorders>
          </w:tcPr>
          <w:p w:rsidR="00705DED" w:rsidRPr="00B75CE7" w:rsidRDefault="00705DED" w:rsidP="00B75CE7">
            <w:pPr>
              <w:spacing w:after="0" w:line="240" w:lineRule="auto"/>
              <w:rPr>
                <w:rFonts w:ascii="Times New Roman" w:hAnsi="Times New Roman"/>
                <w:bCs/>
                <w:sz w:val="24"/>
                <w:szCs w:val="24"/>
              </w:rPr>
            </w:pPr>
            <w:r w:rsidRPr="00B75CE7">
              <w:rPr>
                <w:rFonts w:ascii="Times New Roman" w:hAnsi="Times New Roman"/>
                <w:bCs/>
                <w:sz w:val="24"/>
                <w:szCs w:val="24"/>
              </w:rPr>
              <w:t>Počet neodstránených pripomienok</w:t>
            </w:r>
          </w:p>
        </w:tc>
      </w:tr>
    </w:tbl>
    <w:p w:rsidR="00705DED" w:rsidRPr="00B75CE7" w:rsidRDefault="00705DED" w:rsidP="00B75CE7">
      <w:pPr>
        <w:widowControl/>
        <w:spacing w:after="0" w:line="240" w:lineRule="auto"/>
        <w:rPr>
          <w:rFonts w:ascii="Times New Roman" w:hAnsi="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993"/>
        <w:gridCol w:w="6947"/>
        <w:gridCol w:w="1135"/>
        <w:gridCol w:w="1274"/>
        <w:gridCol w:w="2805"/>
      </w:tblGrid>
      <w:tr w:rsidR="00F92C34" w:rsidRPr="00B75CE7" w:rsidTr="00F92C34">
        <w:trPr>
          <w:divId w:val="1845052577"/>
          <w:jc w:val="center"/>
        </w:trPr>
        <w:tc>
          <w:tcPr>
            <w:tcW w:w="70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Subjekt</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Pripomienka</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Typ</w:t>
            </w:r>
          </w:p>
        </w:tc>
        <w:tc>
          <w:tcPr>
            <w:tcW w:w="450"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Vyh.</w:t>
            </w: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Spôsob vyhodnotenia</w:t>
            </w:r>
          </w:p>
        </w:tc>
      </w:tr>
      <w:tr w:rsidR="00F92C34" w:rsidRPr="00B75CE7" w:rsidTr="00B75CE7">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AZZZ 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b/>
                <w:bCs/>
                <w:sz w:val="24"/>
                <w:szCs w:val="24"/>
              </w:rPr>
              <w:t>predloženému návrhu</w:t>
            </w:r>
            <w:r w:rsidRPr="00B75CE7">
              <w:rPr>
                <w:rFonts w:ascii="Times New Roman" w:hAnsi="Times New Roman"/>
                <w:sz w:val="24"/>
                <w:szCs w:val="24"/>
              </w:rPr>
              <w:br/>
              <w:t>nemá pripomienky</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O</w:t>
            </w:r>
          </w:p>
        </w:tc>
        <w:tc>
          <w:tcPr>
            <w:tcW w:w="450" w:type="pct"/>
            <w:tcBorders>
              <w:top w:val="outset" w:sz="6" w:space="0" w:color="000000"/>
              <w:left w:val="outset" w:sz="6" w:space="0" w:color="000000"/>
              <w:bottom w:val="outset" w:sz="6" w:space="0" w:color="000000"/>
              <w:right w:val="outset" w:sz="6" w:space="0" w:color="000000"/>
            </w:tcBorders>
            <w:vAlign w:val="center"/>
          </w:tcPr>
          <w:p w:rsidR="00AD0E17" w:rsidRPr="00B75CE7" w:rsidRDefault="00AD0E17"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A</w:t>
            </w: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jc w:val="center"/>
              <w:rPr>
                <w:rFonts w:ascii="Times New Roman" w:hAnsi="Times New Roman"/>
                <w:b/>
                <w:bCs/>
                <w:sz w:val="24"/>
                <w:szCs w:val="24"/>
              </w:rPr>
            </w:pPr>
          </w:p>
        </w:tc>
      </w:tr>
      <w:tr w:rsidR="00F92C34" w:rsidRPr="00B75CE7" w:rsidTr="00B75CE7">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MDaVSR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b/>
                <w:bCs/>
                <w:sz w:val="24"/>
                <w:szCs w:val="24"/>
              </w:rPr>
              <w:t>Bodu 15.</w:t>
            </w:r>
            <w:r w:rsidRPr="00B75CE7">
              <w:rPr>
                <w:rFonts w:ascii="Times New Roman" w:hAnsi="Times New Roman"/>
                <w:sz w:val="24"/>
                <w:szCs w:val="24"/>
              </w:rPr>
              <w:br/>
              <w:t>Bod číslo 15. odporúčame systematicky zaradiť za bod číslo 13.</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O</w:t>
            </w:r>
          </w:p>
        </w:tc>
        <w:tc>
          <w:tcPr>
            <w:tcW w:w="450" w:type="pct"/>
            <w:tcBorders>
              <w:top w:val="outset" w:sz="6" w:space="0" w:color="000000"/>
              <w:left w:val="outset" w:sz="6" w:space="0" w:color="000000"/>
              <w:bottom w:val="outset" w:sz="6" w:space="0" w:color="000000"/>
              <w:right w:val="outset" w:sz="6" w:space="0" w:color="000000"/>
            </w:tcBorders>
            <w:vAlign w:val="center"/>
          </w:tcPr>
          <w:p w:rsidR="00F92C34" w:rsidRPr="00B75CE7" w:rsidRDefault="00BB673D"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Č</w:t>
            </w:r>
            <w:r w:rsidR="00AD0E17" w:rsidRPr="00B75CE7">
              <w:rPr>
                <w:rFonts w:ascii="Times New Roman" w:hAnsi="Times New Roman"/>
                <w:b/>
                <w:bCs/>
                <w:sz w:val="24"/>
                <w:szCs w:val="24"/>
              </w:rPr>
              <w:t>A</w:t>
            </w: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BB673D" w:rsidP="00B75CE7">
            <w:pPr>
              <w:spacing w:after="0" w:line="240" w:lineRule="auto"/>
              <w:jc w:val="center"/>
              <w:rPr>
                <w:rFonts w:ascii="Times New Roman" w:hAnsi="Times New Roman"/>
                <w:bCs/>
                <w:sz w:val="24"/>
                <w:szCs w:val="24"/>
              </w:rPr>
            </w:pPr>
            <w:r w:rsidRPr="00B75CE7">
              <w:rPr>
                <w:rFonts w:ascii="Times New Roman" w:hAnsi="Times New Roman"/>
                <w:bCs/>
                <w:sz w:val="24"/>
                <w:szCs w:val="24"/>
              </w:rPr>
              <w:t>Zaradenie pôvodného bodu 15 bolo zmenené, avšak systematicky zaradené za pôvodný bod 12.</w:t>
            </w:r>
          </w:p>
        </w:tc>
      </w:tr>
      <w:tr w:rsidR="00F92C34" w:rsidRPr="00B75CE7" w:rsidTr="00B75CE7">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MDaVSR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b/>
                <w:bCs/>
                <w:sz w:val="24"/>
                <w:szCs w:val="24"/>
              </w:rPr>
              <w:t>Bodu 7.</w:t>
            </w:r>
            <w:r w:rsidRPr="00B75CE7">
              <w:rPr>
                <w:rFonts w:ascii="Times New Roman" w:hAnsi="Times New Roman"/>
                <w:sz w:val="24"/>
                <w:szCs w:val="24"/>
              </w:rPr>
              <w:br/>
              <w:t>Bod číslo 7. odporúčame vypustiť alebo doplniť o ďalší príkladmo uvedený všeobecne záväzný právny predpis.</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O</w:t>
            </w:r>
          </w:p>
        </w:tc>
        <w:tc>
          <w:tcPr>
            <w:tcW w:w="450" w:type="pct"/>
            <w:tcBorders>
              <w:top w:val="outset" w:sz="6" w:space="0" w:color="000000"/>
              <w:left w:val="outset" w:sz="6" w:space="0" w:color="000000"/>
              <w:bottom w:val="outset" w:sz="6" w:space="0" w:color="000000"/>
              <w:right w:val="outset" w:sz="6" w:space="0" w:color="000000"/>
            </w:tcBorders>
            <w:vAlign w:val="center"/>
          </w:tcPr>
          <w:p w:rsidR="00F92C34" w:rsidRPr="00B75CE7" w:rsidRDefault="00705DED"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A</w:t>
            </w: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jc w:val="center"/>
              <w:rPr>
                <w:rFonts w:ascii="Times New Roman" w:hAnsi="Times New Roman"/>
                <w:bCs/>
                <w:sz w:val="24"/>
                <w:szCs w:val="24"/>
              </w:rPr>
            </w:pPr>
          </w:p>
        </w:tc>
      </w:tr>
      <w:tr w:rsidR="00F92C34" w:rsidRPr="00B75CE7" w:rsidTr="00B75CE7">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MFSR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b/>
                <w:bCs/>
                <w:sz w:val="24"/>
                <w:szCs w:val="24"/>
              </w:rPr>
              <w:t>Všeobecne</w:t>
            </w:r>
            <w:r w:rsidRPr="00B75CE7">
              <w:rPr>
                <w:rFonts w:ascii="Times New Roman" w:hAnsi="Times New Roman"/>
                <w:sz w:val="24"/>
                <w:szCs w:val="24"/>
              </w:rPr>
              <w:br/>
              <w:t>Beriem na vedomie, že návrh nemá vplyv na rozpočet verejnej správy.</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O</w:t>
            </w:r>
          </w:p>
        </w:tc>
        <w:tc>
          <w:tcPr>
            <w:tcW w:w="450" w:type="pct"/>
            <w:tcBorders>
              <w:top w:val="outset" w:sz="6" w:space="0" w:color="000000"/>
              <w:left w:val="outset" w:sz="6" w:space="0" w:color="000000"/>
              <w:bottom w:val="outset" w:sz="6" w:space="0" w:color="000000"/>
              <w:right w:val="outset" w:sz="6" w:space="0" w:color="000000"/>
            </w:tcBorders>
            <w:vAlign w:val="center"/>
          </w:tcPr>
          <w:p w:rsidR="00F92C34" w:rsidRPr="00B75CE7" w:rsidRDefault="00AD0E17"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A</w:t>
            </w: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jc w:val="center"/>
              <w:rPr>
                <w:rFonts w:ascii="Times New Roman" w:hAnsi="Times New Roman"/>
                <w:bCs/>
                <w:sz w:val="24"/>
                <w:szCs w:val="24"/>
              </w:rPr>
            </w:pPr>
          </w:p>
        </w:tc>
      </w:tr>
      <w:tr w:rsidR="00F92C34" w:rsidRPr="00B75CE7" w:rsidTr="00B75CE7">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MFSR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b/>
                <w:bCs/>
                <w:sz w:val="24"/>
                <w:szCs w:val="24"/>
              </w:rPr>
              <w:t>Všeobecne</w:t>
            </w:r>
            <w:r w:rsidRPr="00B75CE7">
              <w:rPr>
                <w:rFonts w:ascii="Times New Roman" w:hAnsi="Times New Roman"/>
                <w:sz w:val="24"/>
                <w:szCs w:val="24"/>
              </w:rPr>
              <w:br/>
              <w:t xml:space="preserve">Návrh je potrebné zosúladiť s Legislatívnymi pravidlami vlády SR (napríklad v čl. I bode 7 aktualizovať znenie poznámky pod čiarou k odkazu 11, pretože citované nariadenie vlády SR bolo zrušené zákonom </w:t>
            </w:r>
            <w:r w:rsidRPr="00B75CE7">
              <w:rPr>
                <w:rFonts w:ascii="Times New Roman" w:hAnsi="Times New Roman"/>
                <w:sz w:val="24"/>
                <w:szCs w:val="24"/>
              </w:rPr>
              <w:lastRenderedPageBreak/>
              <w:t>č. 355/2007 Z. z. o ochrane, podpore a rozvoji verejného zdravia a o zmene a doplnení niektorých zákonov, v bode 8 vypustiť dvojbodku ako nadbytočnú, upozorňujem, že v bode 10 sa novelizuje prechodné ustanovenie, čo je v rozpore s čl. 9 ods. 5 Legislatívnych pravidiel vlády SR, v bodoch 11 až 13 slovo „oddiele“ nahradiť slovom „Oddiele“, v bode 15 uviesť jednotlivé citácie v samostatných riadkoch pod sebou, keďže ide o taxatívny výpočet).</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lastRenderedPageBreak/>
              <w:t>O</w:t>
            </w:r>
          </w:p>
        </w:tc>
        <w:tc>
          <w:tcPr>
            <w:tcW w:w="450" w:type="pct"/>
            <w:tcBorders>
              <w:top w:val="outset" w:sz="6" w:space="0" w:color="000000"/>
              <w:left w:val="outset" w:sz="6" w:space="0" w:color="000000"/>
              <w:bottom w:val="outset" w:sz="6" w:space="0" w:color="000000"/>
              <w:right w:val="outset" w:sz="6" w:space="0" w:color="000000"/>
            </w:tcBorders>
            <w:vAlign w:val="center"/>
          </w:tcPr>
          <w:p w:rsidR="00F92C34" w:rsidRPr="00B75CE7" w:rsidRDefault="00E26CB7"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A</w:t>
            </w: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jc w:val="center"/>
              <w:rPr>
                <w:rFonts w:ascii="Times New Roman" w:hAnsi="Times New Roman"/>
                <w:bCs/>
                <w:sz w:val="24"/>
                <w:szCs w:val="24"/>
              </w:rPr>
            </w:pPr>
          </w:p>
        </w:tc>
      </w:tr>
      <w:tr w:rsidR="00F92C34" w:rsidRPr="00B75CE7" w:rsidTr="00B75CE7">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MSSR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b/>
                <w:bCs/>
                <w:sz w:val="24"/>
                <w:szCs w:val="24"/>
              </w:rPr>
              <w:t xml:space="preserve">K doložke vybraných vplyvov, bodu 9 </w:t>
            </w:r>
            <w:r w:rsidRPr="00B75CE7">
              <w:rPr>
                <w:rFonts w:ascii="Times New Roman" w:hAnsi="Times New Roman"/>
                <w:sz w:val="24"/>
                <w:szCs w:val="24"/>
              </w:rPr>
              <w:br/>
              <w:t>Pokiaľ je v časti 9 uvedené, že materiál nemá žiadne vplyvy na podnikateľské prostredie, neuvádza sa odpoveď na podotázku, či má materiál pozitívne/žiadne/negatívne vplyvy na MPS (viď. bod 9, ods. 1, piata veta Jednotnej metodiky na posudzovanie vybraných vplyvov). V tejto súvislosti odporúčame odstrániť v podotázke označenie pri možnosti ,,žiadne".</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O</w:t>
            </w:r>
          </w:p>
        </w:tc>
        <w:tc>
          <w:tcPr>
            <w:tcW w:w="450" w:type="pct"/>
            <w:tcBorders>
              <w:top w:val="outset" w:sz="6" w:space="0" w:color="000000"/>
              <w:left w:val="outset" w:sz="6" w:space="0" w:color="000000"/>
              <w:bottom w:val="outset" w:sz="6" w:space="0" w:color="000000"/>
              <w:right w:val="outset" w:sz="6" w:space="0" w:color="000000"/>
            </w:tcBorders>
            <w:vAlign w:val="center"/>
          </w:tcPr>
          <w:p w:rsidR="00F92C34" w:rsidRPr="00B75CE7" w:rsidRDefault="00E26CB7"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A</w:t>
            </w: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jc w:val="center"/>
              <w:rPr>
                <w:rFonts w:ascii="Times New Roman" w:hAnsi="Times New Roman"/>
                <w:bCs/>
                <w:sz w:val="24"/>
                <w:szCs w:val="24"/>
              </w:rPr>
            </w:pPr>
          </w:p>
        </w:tc>
      </w:tr>
      <w:tr w:rsidR="00F92C34" w:rsidRPr="00B75CE7" w:rsidTr="00B75CE7">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MVSR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sz w:val="24"/>
                <w:szCs w:val="24"/>
              </w:rPr>
              <w:br/>
              <w:t>Odporúčame zameniť poradie novelizačných bodov 14. a 15.</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O</w:t>
            </w:r>
          </w:p>
        </w:tc>
        <w:tc>
          <w:tcPr>
            <w:tcW w:w="450" w:type="pct"/>
            <w:tcBorders>
              <w:top w:val="outset" w:sz="6" w:space="0" w:color="000000"/>
              <w:left w:val="outset" w:sz="6" w:space="0" w:color="000000"/>
              <w:bottom w:val="outset" w:sz="6" w:space="0" w:color="000000"/>
              <w:right w:val="outset" w:sz="6" w:space="0" w:color="000000"/>
            </w:tcBorders>
            <w:vAlign w:val="center"/>
          </w:tcPr>
          <w:p w:rsidR="00F92C34" w:rsidRPr="00B75CE7" w:rsidRDefault="00BB673D"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Č</w:t>
            </w:r>
            <w:r w:rsidR="00E26CB7" w:rsidRPr="00B75CE7">
              <w:rPr>
                <w:rFonts w:ascii="Times New Roman" w:hAnsi="Times New Roman"/>
                <w:b/>
                <w:bCs/>
                <w:sz w:val="24"/>
                <w:szCs w:val="24"/>
              </w:rPr>
              <w:t>A</w:t>
            </w: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BB673D" w:rsidP="00B75CE7">
            <w:pPr>
              <w:spacing w:after="0" w:line="240" w:lineRule="auto"/>
              <w:jc w:val="center"/>
              <w:rPr>
                <w:rFonts w:ascii="Times New Roman" w:hAnsi="Times New Roman"/>
                <w:bCs/>
                <w:sz w:val="24"/>
                <w:szCs w:val="24"/>
              </w:rPr>
            </w:pPr>
            <w:r w:rsidRPr="00B75CE7">
              <w:rPr>
                <w:rFonts w:ascii="Times New Roman" w:hAnsi="Times New Roman"/>
                <w:bCs/>
                <w:sz w:val="24"/>
                <w:szCs w:val="24"/>
              </w:rPr>
              <w:t>Zaradenie pôvodného bodu 15 bolo zmenené, avšak systematicky zaradené za pôvodný bod 12.</w:t>
            </w:r>
          </w:p>
        </w:tc>
      </w:tr>
      <w:tr w:rsidR="00F92C34" w:rsidRPr="00B75CE7" w:rsidTr="00B75CE7">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MVSR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b/>
                <w:bCs/>
                <w:sz w:val="24"/>
                <w:szCs w:val="24"/>
              </w:rPr>
              <w:t>bodu 1</w:t>
            </w:r>
            <w:r w:rsidRPr="00B75CE7">
              <w:rPr>
                <w:rFonts w:ascii="Times New Roman" w:hAnsi="Times New Roman"/>
                <w:sz w:val="24"/>
                <w:szCs w:val="24"/>
              </w:rPr>
              <w:br/>
              <w:t xml:space="preserve">V bode 1 odporúčame nad slovo „uznáva“ doplniť nový odkaz na novú poznámku pod čiarou, v ktorej sa uvedú konkrétne ustanovenia relevantných právne záväzných aktov Európskej únie. Podľa Legislatívnych pravidiel vlády Slovenskej republiky musí byť návrh právneho predpisu terminologicky presný. Všeobecne záväzný právny prepis musí byť zrozumiteľný pre široký okruh adresátov.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O</w:t>
            </w:r>
          </w:p>
        </w:tc>
        <w:tc>
          <w:tcPr>
            <w:tcW w:w="450" w:type="pct"/>
            <w:tcBorders>
              <w:top w:val="outset" w:sz="6" w:space="0" w:color="000000"/>
              <w:left w:val="outset" w:sz="6" w:space="0" w:color="000000"/>
              <w:bottom w:val="outset" w:sz="6" w:space="0" w:color="000000"/>
              <w:right w:val="outset" w:sz="6" w:space="0" w:color="000000"/>
            </w:tcBorders>
            <w:vAlign w:val="center"/>
          </w:tcPr>
          <w:p w:rsidR="00F92C34" w:rsidRPr="00B75CE7" w:rsidRDefault="00E26CB7"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N</w:t>
            </w: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517039" w:rsidP="00B75CE7">
            <w:pPr>
              <w:spacing w:after="0" w:line="240" w:lineRule="auto"/>
              <w:jc w:val="center"/>
              <w:rPr>
                <w:rFonts w:ascii="Times New Roman" w:hAnsi="Times New Roman"/>
                <w:bCs/>
                <w:sz w:val="24"/>
                <w:szCs w:val="24"/>
              </w:rPr>
            </w:pPr>
            <w:r w:rsidRPr="00B75CE7">
              <w:rPr>
                <w:rFonts w:ascii="Times New Roman" w:hAnsi="Times New Roman"/>
                <w:bCs/>
                <w:sz w:val="24"/>
                <w:szCs w:val="24"/>
              </w:rPr>
              <w:t>Formulácia vyplýva z pripomienok EK.</w:t>
            </w:r>
          </w:p>
        </w:tc>
      </w:tr>
      <w:tr w:rsidR="00F92C34" w:rsidRPr="00B75CE7" w:rsidTr="00B75CE7">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MVSR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b/>
                <w:bCs/>
                <w:sz w:val="24"/>
                <w:szCs w:val="24"/>
              </w:rPr>
              <w:t>bodu 10</w:t>
            </w:r>
            <w:r w:rsidRPr="00B75CE7">
              <w:rPr>
                <w:rFonts w:ascii="Times New Roman" w:hAnsi="Times New Roman"/>
                <w:sz w:val="24"/>
                <w:szCs w:val="24"/>
              </w:rPr>
              <w:br/>
              <w:t>Bod 10 vypustiť. Ide o také novelizovanie prechodného ustanovenia, ktoré podľa čl. 9 ods. 5 Legislatívnych pravidiel vlády Slovenskej republiky nie je prípustné.</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O</w:t>
            </w:r>
          </w:p>
        </w:tc>
        <w:tc>
          <w:tcPr>
            <w:tcW w:w="450" w:type="pct"/>
            <w:tcBorders>
              <w:top w:val="outset" w:sz="6" w:space="0" w:color="000000"/>
              <w:left w:val="outset" w:sz="6" w:space="0" w:color="000000"/>
              <w:bottom w:val="outset" w:sz="6" w:space="0" w:color="000000"/>
              <w:right w:val="outset" w:sz="6" w:space="0" w:color="000000"/>
            </w:tcBorders>
            <w:vAlign w:val="center"/>
          </w:tcPr>
          <w:p w:rsidR="00F92C34" w:rsidRPr="00B75CE7" w:rsidRDefault="00E26CB7"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A</w:t>
            </w: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jc w:val="center"/>
              <w:rPr>
                <w:rFonts w:ascii="Times New Roman" w:hAnsi="Times New Roman"/>
                <w:bCs/>
                <w:sz w:val="24"/>
                <w:szCs w:val="24"/>
              </w:rPr>
            </w:pPr>
          </w:p>
        </w:tc>
      </w:tr>
      <w:tr w:rsidR="00F92C34" w:rsidRPr="00B75CE7" w:rsidTr="00B75CE7">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MVSR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b/>
                <w:bCs/>
                <w:sz w:val="24"/>
                <w:szCs w:val="24"/>
              </w:rPr>
              <w:t>bodu 2</w:t>
            </w:r>
            <w:r w:rsidRPr="00B75CE7">
              <w:rPr>
                <w:rFonts w:ascii="Times New Roman" w:hAnsi="Times New Roman"/>
                <w:sz w:val="24"/>
                <w:szCs w:val="24"/>
              </w:rPr>
              <w:br/>
              <w:t>V bode 2 sú slová „to nie je nevhodné“ neurčité, terminologicky nepresné, navyše vyjadrujú dvojitý zápor. Odporúčame preto preformulovať celú prvú vetu tak, aby mala normatívny obsah.</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O</w:t>
            </w:r>
          </w:p>
        </w:tc>
        <w:tc>
          <w:tcPr>
            <w:tcW w:w="450" w:type="pct"/>
            <w:tcBorders>
              <w:top w:val="outset" w:sz="6" w:space="0" w:color="000000"/>
              <w:left w:val="outset" w:sz="6" w:space="0" w:color="000000"/>
              <w:bottom w:val="outset" w:sz="6" w:space="0" w:color="000000"/>
              <w:right w:val="outset" w:sz="6" w:space="0" w:color="000000"/>
            </w:tcBorders>
            <w:vAlign w:val="center"/>
          </w:tcPr>
          <w:p w:rsidR="00F92C34" w:rsidRPr="00B75CE7" w:rsidRDefault="00E26CB7"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N</w:t>
            </w: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E26CB7" w:rsidP="00B75CE7">
            <w:pPr>
              <w:spacing w:after="0" w:line="240" w:lineRule="auto"/>
              <w:jc w:val="center"/>
              <w:rPr>
                <w:rFonts w:ascii="Times New Roman" w:hAnsi="Times New Roman"/>
                <w:bCs/>
                <w:sz w:val="24"/>
                <w:szCs w:val="24"/>
              </w:rPr>
            </w:pPr>
            <w:r w:rsidRPr="00B75CE7">
              <w:rPr>
                <w:rFonts w:ascii="Times New Roman" w:hAnsi="Times New Roman"/>
                <w:bCs/>
                <w:sz w:val="24"/>
                <w:szCs w:val="24"/>
              </w:rPr>
              <w:t>Znenie vyplýva z pripomienok EK.</w:t>
            </w:r>
          </w:p>
        </w:tc>
      </w:tr>
      <w:tr w:rsidR="00F92C34" w:rsidRPr="00B75CE7" w:rsidTr="00B75CE7">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lastRenderedPageBreak/>
              <w:t>MVSR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b/>
                <w:bCs/>
                <w:sz w:val="24"/>
                <w:szCs w:val="24"/>
              </w:rPr>
              <w:t>bodu 7</w:t>
            </w:r>
            <w:r w:rsidRPr="00B75CE7">
              <w:rPr>
                <w:rFonts w:ascii="Times New Roman" w:hAnsi="Times New Roman"/>
                <w:sz w:val="24"/>
                <w:szCs w:val="24"/>
              </w:rPr>
              <w:br/>
              <w:t xml:space="preserve">Bod 7 odporúčame vypustiť, príp. doplniť o ďalšie relevantné právne predpisy. Pripomienka podľa bodu 38. prílohy č. 1 k Legislatívnym pravidlám vlády Slovenskej republiky.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O</w:t>
            </w:r>
          </w:p>
        </w:tc>
        <w:tc>
          <w:tcPr>
            <w:tcW w:w="450" w:type="pct"/>
            <w:tcBorders>
              <w:top w:val="outset" w:sz="6" w:space="0" w:color="000000"/>
              <w:left w:val="outset" w:sz="6" w:space="0" w:color="000000"/>
              <w:bottom w:val="outset" w:sz="6" w:space="0" w:color="000000"/>
              <w:right w:val="outset" w:sz="6" w:space="0" w:color="000000"/>
            </w:tcBorders>
            <w:vAlign w:val="center"/>
          </w:tcPr>
          <w:p w:rsidR="00F92C34" w:rsidRPr="00B75CE7" w:rsidRDefault="00705DED"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A</w:t>
            </w: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jc w:val="center"/>
              <w:rPr>
                <w:rFonts w:ascii="Times New Roman" w:hAnsi="Times New Roman"/>
                <w:bCs/>
                <w:sz w:val="24"/>
                <w:szCs w:val="24"/>
              </w:rPr>
            </w:pPr>
          </w:p>
        </w:tc>
      </w:tr>
      <w:tr w:rsidR="00F92C34" w:rsidRPr="00B75CE7" w:rsidTr="00B75CE7">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MVSR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b/>
                <w:bCs/>
                <w:sz w:val="24"/>
                <w:szCs w:val="24"/>
              </w:rPr>
              <w:t>osobitnej časti dôvodovej správy</w:t>
            </w:r>
            <w:r w:rsidRPr="00B75CE7">
              <w:rPr>
                <w:rFonts w:ascii="Times New Roman" w:hAnsi="Times New Roman"/>
                <w:sz w:val="24"/>
                <w:szCs w:val="24"/>
              </w:rPr>
              <w:br/>
              <w:t>V osobitnej časti dôvodovej správy k čl. II odstrániť nezrozumiteľnosť.</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O</w:t>
            </w:r>
          </w:p>
        </w:tc>
        <w:tc>
          <w:tcPr>
            <w:tcW w:w="450" w:type="pct"/>
            <w:tcBorders>
              <w:top w:val="outset" w:sz="6" w:space="0" w:color="000000"/>
              <w:left w:val="outset" w:sz="6" w:space="0" w:color="000000"/>
              <w:bottom w:val="outset" w:sz="6" w:space="0" w:color="000000"/>
              <w:right w:val="outset" w:sz="6" w:space="0" w:color="000000"/>
            </w:tcBorders>
            <w:vAlign w:val="center"/>
          </w:tcPr>
          <w:p w:rsidR="00F92C34" w:rsidRPr="00B75CE7" w:rsidRDefault="00E26CB7"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A</w:t>
            </w: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jc w:val="center"/>
              <w:rPr>
                <w:rFonts w:ascii="Times New Roman" w:hAnsi="Times New Roman"/>
                <w:bCs/>
                <w:sz w:val="24"/>
                <w:szCs w:val="24"/>
              </w:rPr>
            </w:pPr>
          </w:p>
        </w:tc>
      </w:tr>
      <w:tr w:rsidR="00F92C34" w:rsidRPr="00B75CE7" w:rsidTr="00B75CE7">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OAPSVLÚVSR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b/>
                <w:bCs/>
                <w:sz w:val="24"/>
                <w:szCs w:val="24"/>
              </w:rPr>
              <w:t>K Čl. I bod 10 návrhu nariadenia:</w:t>
            </w:r>
            <w:r w:rsidRPr="00B75CE7">
              <w:rPr>
                <w:rFonts w:ascii="Times New Roman" w:hAnsi="Times New Roman"/>
                <w:sz w:val="24"/>
                <w:szCs w:val="24"/>
              </w:rPr>
              <w:br/>
              <w:t xml:space="preserve">Čl. I bod 10 návrhu nariadenia sa novelizuje § 46, ktorý upravuje prechodné ustanovenia. Upozorňujeme predkladateľa, že podľa čl. 9 ods. 5 Legislatívnych pravidiel vlády SR „Prechodné ustanovenia a zrušovacie ustanovenia, ktoré nadobudli účinnosť, nie je možné novelizovať;“.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O</w:t>
            </w:r>
          </w:p>
        </w:tc>
        <w:tc>
          <w:tcPr>
            <w:tcW w:w="450" w:type="pct"/>
            <w:tcBorders>
              <w:top w:val="outset" w:sz="6" w:space="0" w:color="000000"/>
              <w:left w:val="outset" w:sz="6" w:space="0" w:color="000000"/>
              <w:bottom w:val="outset" w:sz="6" w:space="0" w:color="000000"/>
              <w:right w:val="outset" w:sz="6" w:space="0" w:color="000000"/>
            </w:tcBorders>
            <w:vAlign w:val="center"/>
          </w:tcPr>
          <w:p w:rsidR="00F92C34" w:rsidRPr="00B75CE7" w:rsidRDefault="00E26CB7"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A</w:t>
            </w: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jc w:val="center"/>
              <w:rPr>
                <w:rFonts w:ascii="Times New Roman" w:hAnsi="Times New Roman"/>
                <w:bCs/>
                <w:sz w:val="24"/>
                <w:szCs w:val="24"/>
              </w:rPr>
            </w:pPr>
          </w:p>
        </w:tc>
      </w:tr>
      <w:tr w:rsidR="00F92C34" w:rsidRPr="00B75CE7" w:rsidTr="00B75CE7">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OAPSVLÚVSR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b/>
                <w:bCs/>
                <w:sz w:val="24"/>
                <w:szCs w:val="24"/>
              </w:rPr>
              <w:t>K Čl. I bod 3 návrhu nariadenia:</w:t>
            </w:r>
            <w:r w:rsidRPr="00B75CE7">
              <w:rPr>
                <w:rFonts w:ascii="Times New Roman" w:hAnsi="Times New Roman"/>
                <w:sz w:val="24"/>
                <w:szCs w:val="24"/>
              </w:rPr>
              <w:br/>
              <w:t xml:space="preserve">Článok 16 ods. 2 smernice 2010/63/EÚ sa transponuje do § 15 ods. 3 návrhu nariadenia, podľa ktorého „3) Orgán veterinárnej správy môže za výnimočných okolností, na základe predchádzajúceho veterinárneho vyšetrenia zvieraťa, povoliť opätovné použitie tohto zvieraťa v postupe bez splnenia podmienky podľa odseku 2 písm. a); to neplatí, ak ide o zviera, ktoré sa použilo viac ako jedenkrát v postupe, ktorý spôsobuje krutú bolesť, strach alebo porovnateľné utrpenie.“. Vzhľadom na to, že aproximačným nariadením vlády SR nie je možné upravovať nové kompetencie štátnych orgánov, je potrebné prehodnotiť, či konanie štátneho orgánu upravené v navrhovanom ustanovení má oporu v zákone. V záujme odstránenia pochybností odporúčame do navrhovaného ustanovenia upravujúceho kompetenciu orgánu veterinárnej správy doplniť odkaz na konkrétne ustanovenie zákona, z ktorého táto kompetencia vyplýva. Nová kompetencia orgánu veterinárnej správy, ktorá nemá oporu v zákone, by predstavovala porušenie čl. 2 ods. 2 Ústavy SR, podľa ktorého „Štátne orgány môžu konať iba na základe ústavy, v jej medziach a v rozsahu a spôsobom, ktorý ustanoví zákon.“ a rovnako porušenie § 2 ods. 2 zákona č. 19/2002 Z. z., ktorým sa ustanovujú podmienky vydávania aproximačných nariadení vlády Slovenskej republiky „Aproximačným </w:t>
            </w:r>
            <w:r w:rsidRPr="00B75CE7">
              <w:rPr>
                <w:rFonts w:ascii="Times New Roman" w:hAnsi="Times New Roman"/>
                <w:sz w:val="24"/>
                <w:szCs w:val="24"/>
              </w:rPr>
              <w:lastRenderedPageBreak/>
              <w:t xml:space="preserve">nariadením nemožno upravovať medze základných práv a slobôd, štátny rozpočet a ďalšie veci, ktoré podľa Ústavy Slovenskej republiky upravujú alebo majú upraviť zákony.“ Rovnakú pripomienku uplatňujeme k Čl. I bodu 6 § 32 ods. 4 návrhu nariadenia.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lastRenderedPageBreak/>
              <w:t>O</w:t>
            </w:r>
          </w:p>
        </w:tc>
        <w:tc>
          <w:tcPr>
            <w:tcW w:w="450" w:type="pct"/>
            <w:tcBorders>
              <w:top w:val="outset" w:sz="6" w:space="0" w:color="000000"/>
              <w:left w:val="outset" w:sz="6" w:space="0" w:color="000000"/>
              <w:bottom w:val="outset" w:sz="6" w:space="0" w:color="000000"/>
              <w:right w:val="outset" w:sz="6" w:space="0" w:color="000000"/>
            </w:tcBorders>
            <w:vAlign w:val="center"/>
          </w:tcPr>
          <w:p w:rsidR="00F92C34" w:rsidRPr="00B75CE7" w:rsidRDefault="00F5603B"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A</w:t>
            </w: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jc w:val="center"/>
              <w:rPr>
                <w:rFonts w:ascii="Times New Roman" w:hAnsi="Times New Roman"/>
                <w:b/>
                <w:bCs/>
                <w:sz w:val="24"/>
                <w:szCs w:val="24"/>
              </w:rPr>
            </w:pPr>
          </w:p>
        </w:tc>
      </w:tr>
      <w:tr w:rsidR="00F92C34" w:rsidRPr="00B75CE7" w:rsidTr="00B75CE7">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OAPSVLÚVSR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b/>
                <w:bCs/>
                <w:sz w:val="24"/>
                <w:szCs w:val="24"/>
              </w:rPr>
              <w:t>K Čl. I bod 6 návrhu nariadenia:</w:t>
            </w:r>
            <w:r w:rsidRPr="00B75CE7">
              <w:rPr>
                <w:rFonts w:ascii="Times New Roman" w:hAnsi="Times New Roman"/>
                <w:sz w:val="24"/>
                <w:szCs w:val="24"/>
              </w:rPr>
              <w:br/>
              <w:t xml:space="preserve">Do § 32 ods. 4 návrhu nariadenia sa transponuje čl. 34 ods. 4 smernice 2010/63/EÚ. Predmetný článok smernice vyžaduje, aby sa primeraný podiel inšpekcií vykonával bez predchádzajúceho upozornenia. Z navrhovaného ustanovenia vyplýva, že „Aspoň 25 % kontrol vykonaných v predchádzajúcom roku vykonáva orgán veterinárnej správy bez predchádzajúceho upozornenia.“. Nie je nám však zrejmé, prečo predkladateľ vychádza z kontrol „vykonaných v predchádzajúcom roku“, keď tieto kontroly by sa mali vzťahovať na § 32 ods. 3 nariadenia vlády SR. Žiadame vysvetliť.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O</w:t>
            </w:r>
          </w:p>
        </w:tc>
        <w:tc>
          <w:tcPr>
            <w:tcW w:w="450" w:type="pct"/>
            <w:tcBorders>
              <w:top w:val="outset" w:sz="6" w:space="0" w:color="000000"/>
              <w:left w:val="outset" w:sz="6" w:space="0" w:color="000000"/>
              <w:bottom w:val="outset" w:sz="6" w:space="0" w:color="000000"/>
              <w:right w:val="outset" w:sz="6" w:space="0" w:color="000000"/>
            </w:tcBorders>
            <w:vAlign w:val="center"/>
          </w:tcPr>
          <w:p w:rsidR="00F92C34" w:rsidRPr="00B75CE7" w:rsidRDefault="00E26CB7"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A</w:t>
            </w: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jc w:val="center"/>
              <w:rPr>
                <w:rFonts w:ascii="Times New Roman" w:hAnsi="Times New Roman"/>
                <w:b/>
                <w:bCs/>
                <w:sz w:val="24"/>
                <w:szCs w:val="24"/>
              </w:rPr>
            </w:pPr>
          </w:p>
        </w:tc>
      </w:tr>
      <w:tr w:rsidR="00F92C34" w:rsidRPr="00B75CE7" w:rsidTr="00B75CE7">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OAPSVLÚVSR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b/>
                <w:bCs/>
                <w:sz w:val="24"/>
                <w:szCs w:val="24"/>
              </w:rPr>
              <w:t>K doložke zlučiteľnosti:</w:t>
            </w:r>
            <w:r w:rsidRPr="00B75CE7">
              <w:rPr>
                <w:rFonts w:ascii="Times New Roman" w:hAnsi="Times New Roman"/>
                <w:sz w:val="24"/>
                <w:szCs w:val="24"/>
              </w:rPr>
              <w:br/>
              <w:t>1. Do bodu 3 písm. a) doložky zlučiteľnosti odporúčame doplniť do primárneho práva aj čl. 114 ZFEÚ.</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O</w:t>
            </w:r>
          </w:p>
        </w:tc>
        <w:tc>
          <w:tcPr>
            <w:tcW w:w="450" w:type="pct"/>
            <w:tcBorders>
              <w:top w:val="outset" w:sz="6" w:space="0" w:color="000000"/>
              <w:left w:val="outset" w:sz="6" w:space="0" w:color="000000"/>
              <w:bottom w:val="outset" w:sz="6" w:space="0" w:color="000000"/>
              <w:right w:val="outset" w:sz="6" w:space="0" w:color="000000"/>
            </w:tcBorders>
            <w:vAlign w:val="center"/>
          </w:tcPr>
          <w:p w:rsidR="00F92C34" w:rsidRPr="00B75CE7" w:rsidRDefault="00E26CB7"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A</w:t>
            </w: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jc w:val="center"/>
              <w:rPr>
                <w:rFonts w:ascii="Times New Roman" w:hAnsi="Times New Roman"/>
                <w:b/>
                <w:bCs/>
                <w:sz w:val="24"/>
                <w:szCs w:val="24"/>
              </w:rPr>
            </w:pPr>
          </w:p>
        </w:tc>
      </w:tr>
      <w:tr w:rsidR="00F92C34" w:rsidRPr="00B75CE7" w:rsidTr="00B75CE7">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OAPSVLÚVSR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b/>
                <w:bCs/>
                <w:sz w:val="24"/>
                <w:szCs w:val="24"/>
              </w:rPr>
              <w:t>K doložke zlučiteľnosti:</w:t>
            </w:r>
            <w:r w:rsidRPr="00B75CE7">
              <w:rPr>
                <w:rFonts w:ascii="Times New Roman" w:hAnsi="Times New Roman"/>
                <w:sz w:val="24"/>
                <w:szCs w:val="24"/>
              </w:rPr>
              <w:br/>
              <w:t>2. Z bodu 4 písm. a) doložky zlučiteľnosti žiadame vypustiť vetu: „Presná lehota na zdokonalenie transpozície smernice 2010/63/EÚ nebola zo strany Európskej komisie určená.“ a nahradiť vetou: „Smernica 2010/63/EÚ už bola transponovaná a predloženým návrhom nariadenia vlády SR sa odstraňujú nedostatky transpozície uvedenej smernice.“.</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O</w:t>
            </w:r>
          </w:p>
        </w:tc>
        <w:tc>
          <w:tcPr>
            <w:tcW w:w="450" w:type="pct"/>
            <w:tcBorders>
              <w:top w:val="outset" w:sz="6" w:space="0" w:color="000000"/>
              <w:left w:val="outset" w:sz="6" w:space="0" w:color="000000"/>
              <w:bottom w:val="outset" w:sz="6" w:space="0" w:color="000000"/>
              <w:right w:val="outset" w:sz="6" w:space="0" w:color="000000"/>
            </w:tcBorders>
            <w:vAlign w:val="center"/>
          </w:tcPr>
          <w:p w:rsidR="00F92C34" w:rsidRPr="00B75CE7" w:rsidRDefault="00E26CB7"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A</w:t>
            </w: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jc w:val="center"/>
              <w:rPr>
                <w:rFonts w:ascii="Times New Roman" w:hAnsi="Times New Roman"/>
                <w:b/>
                <w:bCs/>
                <w:sz w:val="24"/>
                <w:szCs w:val="24"/>
              </w:rPr>
            </w:pPr>
          </w:p>
        </w:tc>
      </w:tr>
      <w:tr w:rsidR="00F92C34" w:rsidRPr="00B75CE7" w:rsidTr="00B75CE7">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OAPSVLÚVSR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b/>
                <w:bCs/>
                <w:sz w:val="24"/>
                <w:szCs w:val="24"/>
              </w:rPr>
              <w:t>K doložke zlučiteľnosti:</w:t>
            </w:r>
            <w:r w:rsidRPr="00B75CE7">
              <w:rPr>
                <w:rFonts w:ascii="Times New Roman" w:hAnsi="Times New Roman"/>
                <w:sz w:val="24"/>
                <w:szCs w:val="24"/>
              </w:rPr>
              <w:br/>
              <w:t>3. Do bodu 4 písm. b) doložky zlučiteľnosti žiadame doplniť, že z dôvodu nesprávnej transpozície smernice 2010/63/EÚ, Európska komisia zaslala v súlade s čl. 258 ZFEÚ Slovenskej republike „formálnu výzvu-porušenie č. 2018/2160“.</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O</w:t>
            </w:r>
          </w:p>
        </w:tc>
        <w:tc>
          <w:tcPr>
            <w:tcW w:w="450" w:type="pct"/>
            <w:tcBorders>
              <w:top w:val="outset" w:sz="6" w:space="0" w:color="000000"/>
              <w:left w:val="outset" w:sz="6" w:space="0" w:color="000000"/>
              <w:bottom w:val="outset" w:sz="6" w:space="0" w:color="000000"/>
              <w:right w:val="outset" w:sz="6" w:space="0" w:color="000000"/>
            </w:tcBorders>
            <w:vAlign w:val="center"/>
          </w:tcPr>
          <w:p w:rsidR="00F92C34" w:rsidRPr="00B75CE7" w:rsidRDefault="00E26CB7"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A</w:t>
            </w: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jc w:val="center"/>
              <w:rPr>
                <w:rFonts w:ascii="Times New Roman" w:hAnsi="Times New Roman"/>
                <w:b/>
                <w:bCs/>
                <w:sz w:val="24"/>
                <w:szCs w:val="24"/>
              </w:rPr>
            </w:pPr>
          </w:p>
        </w:tc>
      </w:tr>
      <w:tr w:rsidR="00F92C34" w:rsidRPr="00B75CE7" w:rsidTr="00B75CE7">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OAPSVLÚVSR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b/>
                <w:bCs/>
                <w:sz w:val="24"/>
                <w:szCs w:val="24"/>
              </w:rPr>
              <w:t>K doložke zlučiteľnosti:</w:t>
            </w:r>
            <w:r w:rsidRPr="00B75CE7">
              <w:rPr>
                <w:rFonts w:ascii="Times New Roman" w:hAnsi="Times New Roman"/>
                <w:sz w:val="24"/>
                <w:szCs w:val="24"/>
              </w:rPr>
              <w:br/>
              <w:t xml:space="preserve">4. Do bude 4 písm. c) doložky zlučiteľnosti žiadame doplniť aj „zákon č. 71/1967 Zb. o správnom konaní (Správny poriadok)“, ktorý bol Európskej komisii notifikovaný ako národné vykonávacie opatrenie k </w:t>
            </w:r>
            <w:r w:rsidRPr="00B75CE7">
              <w:rPr>
                <w:rFonts w:ascii="Times New Roman" w:hAnsi="Times New Roman"/>
                <w:sz w:val="24"/>
                <w:szCs w:val="24"/>
              </w:rPr>
              <w:lastRenderedPageBreak/>
              <w:t>smernici 2010/63/EÚ.</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lastRenderedPageBreak/>
              <w:t>O</w:t>
            </w:r>
          </w:p>
        </w:tc>
        <w:tc>
          <w:tcPr>
            <w:tcW w:w="450" w:type="pct"/>
            <w:tcBorders>
              <w:top w:val="outset" w:sz="6" w:space="0" w:color="000000"/>
              <w:left w:val="outset" w:sz="6" w:space="0" w:color="000000"/>
              <w:bottom w:val="outset" w:sz="6" w:space="0" w:color="000000"/>
              <w:right w:val="outset" w:sz="6" w:space="0" w:color="000000"/>
            </w:tcBorders>
            <w:vAlign w:val="center"/>
          </w:tcPr>
          <w:p w:rsidR="00F92C34" w:rsidRPr="00B75CE7" w:rsidRDefault="00E26CB7"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A</w:t>
            </w: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jc w:val="center"/>
              <w:rPr>
                <w:rFonts w:ascii="Times New Roman" w:hAnsi="Times New Roman"/>
                <w:b/>
                <w:bCs/>
                <w:sz w:val="24"/>
                <w:szCs w:val="24"/>
              </w:rPr>
            </w:pPr>
          </w:p>
        </w:tc>
      </w:tr>
      <w:tr w:rsidR="00F92C34" w:rsidRPr="00B75CE7" w:rsidTr="00B75CE7">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OAPSVLÚVSR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b/>
                <w:bCs/>
                <w:sz w:val="24"/>
                <w:szCs w:val="24"/>
              </w:rPr>
              <w:t>K tabuľke zhody so smernicou 2010.63.EÚ:</w:t>
            </w:r>
            <w:r w:rsidRPr="00B75CE7">
              <w:rPr>
                <w:rFonts w:ascii="Times New Roman" w:hAnsi="Times New Roman"/>
                <w:sz w:val="24"/>
                <w:szCs w:val="24"/>
              </w:rPr>
              <w:br/>
              <w:t xml:space="preserve">Predkladateľ k návrhu nariadenia vlády SR predložil čiastkovú tabuľku zhody k smernici 2010/63/EÚ, konkrétne k tým článkom smernice, ktorých transpozícia do slovenského právneho poriadku nie je podľa Európskej komisie zabezpečená správne. Z predloženej čiastkovej tabuľky zhody však nie je možné náležite posúdiť správnosť transpozície predmetných článkov smernice do právneho poriadku SR, nakoľko v stĺpci 6 tabuľky zhody sa uvádza len znenie navrhovanej zmeny ustanovenia. Napr. pri preukazovaní transpozície čl. 13 ods. 1 smernice sa v stĺpci 6 tabuľky zhody uvádza len znenie novelizujúce ustanovenie § 12 v znení „V § 12 ods. 1 sa slová „je uznaná“ nahrádzajú slovami „sa na základe právne záväzných aktov Európskej únie uznáva“. Takúto transpozíciu článku smernice považujeme za nedostatočnú a nesprávnu. Preto v stĺpci 6 tabuľky zhody je potrebné uviesť znenie ustanovenia § 12 nariadenia vlády a následne navrhovanú zmenu tohto ustanovenia. Za účelom preukázania správnej a úplnej transpozície predmetných článkov smernice žiadame v zmysle vyššie uvedeného prepracovať celú tabuľku zhody. V tejto súvislosti bude ďalej potrebné do záhlavia tabuľky, kde sa uvádzajú právne predpisy SR transponujúce smernicu, doplniť aj „Nariadenie vlády SR č. 377/2012 Z. z., ktorým sa ustanovujú požiadavky na ochranu zvierat používaných na vedecké účely alebo vzdelávacie účely“ a pri vypĺňaní stĺpca 4 a 5 tabuľky zhody dôsledne rozlišovať medzi návrhom a platným znením nariadenia vlády SR. </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O</w:t>
            </w:r>
          </w:p>
        </w:tc>
        <w:tc>
          <w:tcPr>
            <w:tcW w:w="450" w:type="pct"/>
            <w:tcBorders>
              <w:top w:val="outset" w:sz="6" w:space="0" w:color="000000"/>
              <w:left w:val="outset" w:sz="6" w:space="0" w:color="000000"/>
              <w:bottom w:val="outset" w:sz="6" w:space="0" w:color="000000"/>
              <w:right w:val="outset" w:sz="6" w:space="0" w:color="000000"/>
            </w:tcBorders>
            <w:vAlign w:val="center"/>
          </w:tcPr>
          <w:p w:rsidR="00F92C34" w:rsidRPr="00B75CE7" w:rsidRDefault="00E26CB7"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A</w:t>
            </w: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jc w:val="center"/>
              <w:rPr>
                <w:rFonts w:ascii="Times New Roman" w:hAnsi="Times New Roman"/>
                <w:b/>
                <w:bCs/>
                <w:sz w:val="24"/>
                <w:szCs w:val="24"/>
              </w:rPr>
            </w:pPr>
          </w:p>
        </w:tc>
      </w:tr>
      <w:tr w:rsidR="00F92C34" w:rsidRPr="00B75CE7" w:rsidTr="00B75CE7">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ÚPPVII</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b/>
                <w:bCs/>
                <w:sz w:val="24"/>
                <w:szCs w:val="24"/>
              </w:rPr>
              <w:t>čl. I bod 10</w:t>
            </w:r>
            <w:r w:rsidRPr="00B75CE7">
              <w:rPr>
                <w:rFonts w:ascii="Times New Roman" w:hAnsi="Times New Roman"/>
                <w:sz w:val="24"/>
                <w:szCs w:val="24"/>
              </w:rPr>
              <w:br/>
              <w:t>Upozorňujeme predkladateľa na novelizáciu prechodného ustanovenia v novelizačnom bode 10, ktoré už nadobudlo účinnosť. Takáto úprava je v rozpore s čl. 9 ods. 5 Legislatívnych pravidiel vlády. Legislatívno-technická pripomienka</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O</w:t>
            </w:r>
          </w:p>
        </w:tc>
        <w:tc>
          <w:tcPr>
            <w:tcW w:w="450" w:type="pct"/>
            <w:tcBorders>
              <w:top w:val="outset" w:sz="6" w:space="0" w:color="000000"/>
              <w:left w:val="outset" w:sz="6" w:space="0" w:color="000000"/>
              <w:bottom w:val="outset" w:sz="6" w:space="0" w:color="000000"/>
              <w:right w:val="outset" w:sz="6" w:space="0" w:color="000000"/>
            </w:tcBorders>
            <w:vAlign w:val="center"/>
          </w:tcPr>
          <w:p w:rsidR="00F92C34" w:rsidRPr="00B75CE7" w:rsidRDefault="00E26CB7"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A</w:t>
            </w: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jc w:val="center"/>
              <w:rPr>
                <w:rFonts w:ascii="Times New Roman" w:hAnsi="Times New Roman"/>
                <w:b/>
                <w:bCs/>
                <w:sz w:val="24"/>
                <w:szCs w:val="24"/>
              </w:rPr>
            </w:pPr>
          </w:p>
        </w:tc>
      </w:tr>
      <w:tr w:rsidR="00F92C34" w:rsidRPr="00B75CE7" w:rsidTr="00B75CE7">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ÚJDSR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sz w:val="24"/>
                <w:szCs w:val="24"/>
              </w:rPr>
              <w:t>Odoslané bez pripomienok</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jc w:val="center"/>
              <w:rPr>
                <w:rFonts w:ascii="Times New Roman" w:hAnsi="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vAlign w:val="center"/>
          </w:tcPr>
          <w:p w:rsidR="00F92C34" w:rsidRPr="00B75CE7" w:rsidRDefault="00F92C34" w:rsidP="00B75CE7">
            <w:pPr>
              <w:spacing w:after="0" w:line="240" w:lineRule="auto"/>
              <w:jc w:val="center"/>
              <w:rPr>
                <w:rFonts w:ascii="Times New Roman" w:hAnsi="Times New Roman"/>
                <w:sz w:val="24"/>
                <w:szCs w:val="24"/>
              </w:rPr>
            </w:pP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rPr>
                <w:rFonts w:ascii="Times New Roman" w:hAnsi="Times New Roman"/>
                <w:sz w:val="24"/>
                <w:szCs w:val="24"/>
              </w:rPr>
            </w:pPr>
          </w:p>
        </w:tc>
      </w:tr>
      <w:tr w:rsidR="00F92C34" w:rsidRPr="00B75CE7" w:rsidTr="00B75CE7">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MKSR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sz w:val="24"/>
                <w:szCs w:val="24"/>
              </w:rPr>
              <w:t>Odoslané bez pripomienok</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jc w:val="center"/>
              <w:rPr>
                <w:rFonts w:ascii="Times New Roman" w:hAnsi="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vAlign w:val="center"/>
          </w:tcPr>
          <w:p w:rsidR="00F92C34" w:rsidRPr="00B75CE7" w:rsidRDefault="00F92C34" w:rsidP="00B75CE7">
            <w:pPr>
              <w:spacing w:after="0" w:line="240" w:lineRule="auto"/>
              <w:jc w:val="center"/>
              <w:rPr>
                <w:rFonts w:ascii="Times New Roman" w:hAnsi="Times New Roman"/>
                <w:sz w:val="24"/>
                <w:szCs w:val="24"/>
              </w:rPr>
            </w:pP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rPr>
                <w:rFonts w:ascii="Times New Roman" w:hAnsi="Times New Roman"/>
                <w:sz w:val="24"/>
                <w:szCs w:val="24"/>
              </w:rPr>
            </w:pPr>
          </w:p>
        </w:tc>
      </w:tr>
      <w:tr w:rsidR="00F92C34" w:rsidRPr="00B75CE7" w:rsidTr="00B75CE7">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ÚVO</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sz w:val="24"/>
                <w:szCs w:val="24"/>
              </w:rPr>
              <w:t>Odoslané bez pripomienok</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jc w:val="center"/>
              <w:rPr>
                <w:rFonts w:ascii="Times New Roman" w:hAnsi="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vAlign w:val="center"/>
          </w:tcPr>
          <w:p w:rsidR="00F92C34" w:rsidRPr="00B75CE7" w:rsidRDefault="00F92C34" w:rsidP="00B75CE7">
            <w:pPr>
              <w:spacing w:after="0" w:line="240" w:lineRule="auto"/>
              <w:jc w:val="center"/>
              <w:rPr>
                <w:rFonts w:ascii="Times New Roman" w:hAnsi="Times New Roman"/>
                <w:sz w:val="24"/>
                <w:szCs w:val="24"/>
              </w:rPr>
            </w:pP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rPr>
                <w:rFonts w:ascii="Times New Roman" w:hAnsi="Times New Roman"/>
                <w:sz w:val="24"/>
                <w:szCs w:val="24"/>
              </w:rPr>
            </w:pPr>
          </w:p>
        </w:tc>
      </w:tr>
      <w:tr w:rsidR="00F92C34" w:rsidRPr="00B75CE7" w:rsidTr="00B75CE7">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lastRenderedPageBreak/>
              <w:t>ÚNMSSR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sz w:val="24"/>
                <w:szCs w:val="24"/>
              </w:rPr>
              <w:t>Odoslané bez pripomienok</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jc w:val="center"/>
              <w:rPr>
                <w:rFonts w:ascii="Times New Roman" w:hAnsi="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vAlign w:val="center"/>
          </w:tcPr>
          <w:p w:rsidR="00F92C34" w:rsidRPr="00B75CE7" w:rsidRDefault="00F92C34" w:rsidP="00B75CE7">
            <w:pPr>
              <w:spacing w:after="0" w:line="240" w:lineRule="auto"/>
              <w:jc w:val="center"/>
              <w:rPr>
                <w:rFonts w:ascii="Times New Roman" w:hAnsi="Times New Roman"/>
                <w:sz w:val="24"/>
                <w:szCs w:val="24"/>
              </w:rPr>
            </w:pP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rPr>
                <w:rFonts w:ascii="Times New Roman" w:hAnsi="Times New Roman"/>
                <w:sz w:val="24"/>
                <w:szCs w:val="24"/>
              </w:rPr>
            </w:pPr>
          </w:p>
        </w:tc>
      </w:tr>
      <w:tr w:rsidR="00F92C34" w:rsidRPr="00B75CE7" w:rsidTr="00B75CE7">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MOSR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sz w:val="24"/>
                <w:szCs w:val="24"/>
              </w:rPr>
              <w:t>Odoslané bez pripomienok</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jc w:val="center"/>
              <w:rPr>
                <w:rFonts w:ascii="Times New Roman" w:hAnsi="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vAlign w:val="center"/>
          </w:tcPr>
          <w:p w:rsidR="00F92C34" w:rsidRPr="00B75CE7" w:rsidRDefault="00F92C34" w:rsidP="00B75CE7">
            <w:pPr>
              <w:spacing w:after="0" w:line="240" w:lineRule="auto"/>
              <w:jc w:val="center"/>
              <w:rPr>
                <w:rFonts w:ascii="Times New Roman" w:hAnsi="Times New Roman"/>
                <w:sz w:val="24"/>
                <w:szCs w:val="24"/>
              </w:rPr>
            </w:pP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rPr>
                <w:rFonts w:ascii="Times New Roman" w:hAnsi="Times New Roman"/>
                <w:sz w:val="24"/>
                <w:szCs w:val="24"/>
              </w:rPr>
            </w:pPr>
          </w:p>
        </w:tc>
      </w:tr>
      <w:tr w:rsidR="00F92C34" w:rsidRPr="00B75CE7" w:rsidTr="00B75CE7">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ÚPVSR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sz w:val="24"/>
                <w:szCs w:val="24"/>
              </w:rPr>
              <w:t>Odoslané bez pripomienok</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jc w:val="center"/>
              <w:rPr>
                <w:rFonts w:ascii="Times New Roman" w:hAnsi="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vAlign w:val="center"/>
          </w:tcPr>
          <w:p w:rsidR="00F92C34" w:rsidRPr="00B75CE7" w:rsidRDefault="00F92C34" w:rsidP="00B75CE7">
            <w:pPr>
              <w:spacing w:after="0" w:line="240" w:lineRule="auto"/>
              <w:jc w:val="center"/>
              <w:rPr>
                <w:rFonts w:ascii="Times New Roman" w:hAnsi="Times New Roman"/>
                <w:sz w:val="24"/>
                <w:szCs w:val="24"/>
              </w:rPr>
            </w:pP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rPr>
                <w:rFonts w:ascii="Times New Roman" w:hAnsi="Times New Roman"/>
                <w:sz w:val="24"/>
                <w:szCs w:val="24"/>
              </w:rPr>
            </w:pPr>
          </w:p>
        </w:tc>
      </w:tr>
      <w:tr w:rsidR="00F92C34" w:rsidRPr="00B75CE7" w:rsidTr="00F92C34">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MŠVVaŠSR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sz w:val="24"/>
                <w:szCs w:val="24"/>
              </w:rPr>
              <w:t>Odoslané bez pripomienok</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rPr>
                <w:rFonts w:ascii="Times New Roman" w:hAnsi="Times New Roman"/>
                <w:sz w:val="24"/>
                <w:szCs w:val="24"/>
              </w:rPr>
            </w:pP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rPr>
                <w:rFonts w:ascii="Times New Roman" w:hAnsi="Times New Roman"/>
                <w:sz w:val="24"/>
                <w:szCs w:val="24"/>
              </w:rPr>
            </w:pPr>
          </w:p>
        </w:tc>
      </w:tr>
      <w:tr w:rsidR="00F92C34" w:rsidRPr="00B75CE7" w:rsidTr="00F92C34">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MHSR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sz w:val="24"/>
                <w:szCs w:val="24"/>
              </w:rPr>
              <w:t>Odoslané bez pripomienok</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rPr>
                <w:rFonts w:ascii="Times New Roman" w:hAnsi="Times New Roman"/>
                <w:sz w:val="24"/>
                <w:szCs w:val="24"/>
              </w:rPr>
            </w:pP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rPr>
                <w:rFonts w:ascii="Times New Roman" w:hAnsi="Times New Roman"/>
                <w:sz w:val="24"/>
                <w:szCs w:val="24"/>
              </w:rPr>
            </w:pPr>
          </w:p>
        </w:tc>
      </w:tr>
      <w:tr w:rsidR="00F92C34" w:rsidRPr="00B75CE7" w:rsidTr="00F92C34">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PMÚSR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sz w:val="24"/>
                <w:szCs w:val="24"/>
              </w:rPr>
              <w:t>Odoslané bez pripomienok</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rPr>
                <w:rFonts w:ascii="Times New Roman" w:hAnsi="Times New Roman"/>
                <w:sz w:val="24"/>
                <w:szCs w:val="24"/>
              </w:rPr>
            </w:pP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rPr>
                <w:rFonts w:ascii="Times New Roman" w:hAnsi="Times New Roman"/>
                <w:sz w:val="24"/>
                <w:szCs w:val="24"/>
              </w:rPr>
            </w:pPr>
          </w:p>
        </w:tc>
      </w:tr>
      <w:tr w:rsidR="00F92C34" w:rsidRPr="00B75CE7" w:rsidTr="00F92C34">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NBS</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sz w:val="24"/>
                <w:szCs w:val="24"/>
              </w:rPr>
              <w:t>Odoslané bez pripomienok</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rPr>
                <w:rFonts w:ascii="Times New Roman" w:hAnsi="Times New Roman"/>
                <w:sz w:val="24"/>
                <w:szCs w:val="24"/>
              </w:rPr>
            </w:pP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rPr>
                <w:rFonts w:ascii="Times New Roman" w:hAnsi="Times New Roman"/>
                <w:sz w:val="24"/>
                <w:szCs w:val="24"/>
              </w:rPr>
            </w:pPr>
          </w:p>
        </w:tc>
      </w:tr>
      <w:tr w:rsidR="00F92C34" w:rsidRPr="00B75CE7" w:rsidTr="00F92C34">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MPSVRSR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sz w:val="24"/>
                <w:szCs w:val="24"/>
              </w:rPr>
              <w:t>Odoslané bez pripomienok</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rPr>
                <w:rFonts w:ascii="Times New Roman" w:hAnsi="Times New Roman"/>
                <w:sz w:val="24"/>
                <w:szCs w:val="24"/>
              </w:rPr>
            </w:pP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rPr>
                <w:rFonts w:ascii="Times New Roman" w:hAnsi="Times New Roman"/>
                <w:sz w:val="24"/>
                <w:szCs w:val="24"/>
              </w:rPr>
            </w:pPr>
          </w:p>
        </w:tc>
      </w:tr>
      <w:tr w:rsidR="00F92C34" w:rsidRPr="00B75CE7" w:rsidTr="00F92C34">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MZVEZ 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sz w:val="24"/>
                <w:szCs w:val="24"/>
              </w:rPr>
              <w:t>Odoslané bez pripomienok</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rPr>
                <w:rFonts w:ascii="Times New Roman" w:hAnsi="Times New Roman"/>
                <w:sz w:val="24"/>
                <w:szCs w:val="24"/>
              </w:rPr>
            </w:pP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rPr>
                <w:rFonts w:ascii="Times New Roman" w:hAnsi="Times New Roman"/>
                <w:sz w:val="24"/>
                <w:szCs w:val="24"/>
              </w:rPr>
            </w:pPr>
          </w:p>
        </w:tc>
      </w:tr>
      <w:tr w:rsidR="00F92C34" w:rsidRPr="00B75CE7" w:rsidTr="00F92C34">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MŽPSR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sz w:val="24"/>
                <w:szCs w:val="24"/>
              </w:rPr>
              <w:t>Odoslané bez pripomienok</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rPr>
                <w:rFonts w:ascii="Times New Roman" w:hAnsi="Times New Roman"/>
                <w:sz w:val="24"/>
                <w:szCs w:val="24"/>
              </w:rPr>
            </w:pP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rPr>
                <w:rFonts w:ascii="Times New Roman" w:hAnsi="Times New Roman"/>
                <w:sz w:val="24"/>
                <w:szCs w:val="24"/>
              </w:rPr>
            </w:pPr>
          </w:p>
        </w:tc>
      </w:tr>
      <w:tr w:rsidR="00F92C34" w:rsidRPr="00B75CE7" w:rsidTr="00F92C34">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ŠÚSR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sz w:val="24"/>
                <w:szCs w:val="24"/>
              </w:rPr>
              <w:t>Odoslané bez pripomienok</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rPr>
                <w:rFonts w:ascii="Times New Roman" w:hAnsi="Times New Roman"/>
                <w:sz w:val="24"/>
                <w:szCs w:val="24"/>
              </w:rPr>
            </w:pP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rPr>
                <w:rFonts w:ascii="Times New Roman" w:hAnsi="Times New Roman"/>
                <w:sz w:val="24"/>
                <w:szCs w:val="24"/>
              </w:rPr>
            </w:pPr>
          </w:p>
        </w:tc>
      </w:tr>
      <w:tr w:rsidR="00F92C34" w:rsidRPr="00B75CE7" w:rsidTr="00F92C34">
        <w:trPr>
          <w:divId w:val="1845052577"/>
          <w:jc w:val="center"/>
        </w:trPr>
        <w:tc>
          <w:tcPr>
            <w:tcW w:w="704" w:type="pct"/>
            <w:tcBorders>
              <w:top w:val="outset" w:sz="6" w:space="0" w:color="000000"/>
              <w:left w:val="outset" w:sz="6" w:space="0" w:color="000000"/>
              <w:bottom w:val="outset" w:sz="6" w:space="0" w:color="000000"/>
              <w:right w:val="outset" w:sz="6" w:space="0" w:color="000000"/>
            </w:tcBorders>
            <w:hideMark/>
          </w:tcPr>
          <w:p w:rsidR="00F92C34" w:rsidRPr="00B75CE7" w:rsidRDefault="00F92C34" w:rsidP="00B75CE7">
            <w:pPr>
              <w:spacing w:after="0" w:line="240" w:lineRule="auto"/>
              <w:jc w:val="center"/>
              <w:rPr>
                <w:rFonts w:ascii="Times New Roman" w:hAnsi="Times New Roman"/>
                <w:b/>
                <w:bCs/>
                <w:sz w:val="24"/>
                <w:szCs w:val="24"/>
              </w:rPr>
            </w:pPr>
            <w:r w:rsidRPr="00B75CE7">
              <w:rPr>
                <w:rFonts w:ascii="Times New Roman" w:hAnsi="Times New Roman"/>
                <w:b/>
                <w:bCs/>
                <w:sz w:val="24"/>
                <w:szCs w:val="24"/>
              </w:rPr>
              <w:t>GPSR</w:t>
            </w:r>
          </w:p>
        </w:tc>
        <w:tc>
          <w:tcPr>
            <w:tcW w:w="2454"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r w:rsidRPr="00B75CE7">
              <w:rPr>
                <w:rFonts w:ascii="Times New Roman" w:hAnsi="Times New Roman"/>
                <w:sz w:val="24"/>
                <w:szCs w:val="24"/>
              </w:rPr>
              <w:t>Odoslané bez pripomienok</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F92C34" w:rsidRPr="00B75CE7" w:rsidRDefault="00F92C34" w:rsidP="00B75CE7">
            <w:pPr>
              <w:spacing w:after="0" w:line="240" w:lineRule="auto"/>
              <w:rPr>
                <w:rFonts w:ascii="Times New Roman" w:hAnsi="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rPr>
                <w:rFonts w:ascii="Times New Roman" w:hAnsi="Times New Roman"/>
                <w:sz w:val="24"/>
                <w:szCs w:val="24"/>
              </w:rPr>
            </w:pPr>
          </w:p>
        </w:tc>
        <w:tc>
          <w:tcPr>
            <w:tcW w:w="991" w:type="pct"/>
            <w:tcBorders>
              <w:top w:val="outset" w:sz="6" w:space="0" w:color="000000"/>
              <w:left w:val="outset" w:sz="6" w:space="0" w:color="000000"/>
              <w:bottom w:val="outset" w:sz="6" w:space="0" w:color="000000"/>
              <w:right w:val="outset" w:sz="6" w:space="0" w:color="000000"/>
            </w:tcBorders>
          </w:tcPr>
          <w:p w:rsidR="00F92C34" w:rsidRPr="00B75CE7" w:rsidRDefault="00F92C34" w:rsidP="00B75CE7">
            <w:pPr>
              <w:spacing w:after="0" w:line="240" w:lineRule="auto"/>
              <w:rPr>
                <w:rFonts w:ascii="Times New Roman" w:hAnsi="Times New Roman"/>
                <w:sz w:val="24"/>
                <w:szCs w:val="24"/>
              </w:rPr>
            </w:pPr>
          </w:p>
        </w:tc>
      </w:tr>
    </w:tbl>
    <w:p w:rsidR="00DD1B41" w:rsidRPr="00B75CE7" w:rsidRDefault="00DD1B41" w:rsidP="00B75CE7">
      <w:pPr>
        <w:widowControl/>
        <w:spacing w:after="0" w:line="240" w:lineRule="auto"/>
        <w:rPr>
          <w:rFonts w:ascii="Times New Roman" w:hAnsi="Times New Roman"/>
          <w:sz w:val="24"/>
          <w:szCs w:val="24"/>
        </w:rPr>
      </w:pPr>
    </w:p>
    <w:tbl>
      <w:tblPr>
        <w:tblW w:w="0" w:type="auto"/>
        <w:tblLook w:val="0000" w:firstRow="0" w:lastRow="0" w:firstColumn="0" w:lastColumn="0" w:noHBand="0" w:noVBand="0"/>
      </w:tblPr>
      <w:tblGrid>
        <w:gridCol w:w="4928"/>
      </w:tblGrid>
      <w:tr w:rsidR="00B75CE7" w:rsidRPr="00B75CE7" w:rsidTr="00C27ACD">
        <w:tc>
          <w:tcPr>
            <w:tcW w:w="4928" w:type="dxa"/>
            <w:tcBorders>
              <w:top w:val="nil"/>
              <w:left w:val="nil"/>
              <w:bottom w:val="nil"/>
              <w:right w:val="nil"/>
            </w:tcBorders>
          </w:tcPr>
          <w:p w:rsidR="00B75CE7" w:rsidRPr="00B22450" w:rsidRDefault="00B75CE7" w:rsidP="00B75CE7">
            <w:pPr>
              <w:spacing w:after="0" w:line="240" w:lineRule="auto"/>
              <w:rPr>
                <w:rFonts w:ascii="Times New Roman" w:hAnsi="Times New Roman"/>
                <w:sz w:val="24"/>
                <w:szCs w:val="24"/>
              </w:rPr>
            </w:pPr>
          </w:p>
        </w:tc>
      </w:tr>
      <w:tr w:rsidR="00B75CE7" w:rsidRPr="00B75CE7" w:rsidTr="00C27ACD">
        <w:tc>
          <w:tcPr>
            <w:tcW w:w="4928" w:type="dxa"/>
            <w:tcBorders>
              <w:top w:val="nil"/>
              <w:left w:val="nil"/>
              <w:bottom w:val="nil"/>
              <w:right w:val="nil"/>
            </w:tcBorders>
          </w:tcPr>
          <w:tbl>
            <w:tblPr>
              <w:tblW w:w="0" w:type="auto"/>
              <w:tblLook w:val="0000" w:firstRow="0" w:lastRow="0" w:firstColumn="0" w:lastColumn="0" w:noHBand="0" w:noVBand="0"/>
            </w:tblPr>
            <w:tblGrid>
              <w:gridCol w:w="1738"/>
              <w:gridCol w:w="2974"/>
            </w:tblGrid>
            <w:tr w:rsidR="00B75CE7" w:rsidRPr="00B22450" w:rsidTr="00B775A0">
              <w:trPr>
                <w:cantSplit/>
              </w:trPr>
              <w:tc>
                <w:tcPr>
                  <w:tcW w:w="4928" w:type="dxa"/>
                  <w:gridSpan w:val="2"/>
                  <w:tcBorders>
                    <w:top w:val="nil"/>
                    <w:left w:val="nil"/>
                    <w:bottom w:val="nil"/>
                    <w:right w:val="nil"/>
                  </w:tcBorders>
                </w:tcPr>
                <w:p w:rsidR="00B75CE7" w:rsidRPr="00B22450" w:rsidRDefault="00B75CE7" w:rsidP="00B75CE7">
                  <w:pPr>
                    <w:pStyle w:val="Zkladntext"/>
                    <w:widowControl/>
                    <w:jc w:val="both"/>
                    <w:rPr>
                      <w:b w:val="0"/>
                      <w:color w:val="000000"/>
                      <w:sz w:val="24"/>
                      <w:szCs w:val="24"/>
                    </w:rPr>
                  </w:pPr>
                  <w:r w:rsidRPr="00B22450">
                    <w:rPr>
                      <w:b w:val="0"/>
                      <w:color w:val="000000"/>
                      <w:sz w:val="24"/>
                      <w:szCs w:val="24"/>
                    </w:rPr>
                    <w:t>Vysvetlivky  k použitým skratkám v tabuľke:</w:t>
                  </w:r>
                </w:p>
              </w:tc>
            </w:tr>
            <w:tr w:rsidR="00B75CE7" w:rsidRPr="00B22450" w:rsidTr="00B775A0">
              <w:trPr>
                <w:cantSplit/>
              </w:trPr>
              <w:tc>
                <w:tcPr>
                  <w:tcW w:w="1809" w:type="dxa"/>
                  <w:tcBorders>
                    <w:top w:val="nil"/>
                    <w:left w:val="nil"/>
                    <w:bottom w:val="nil"/>
                    <w:right w:val="nil"/>
                  </w:tcBorders>
                </w:tcPr>
                <w:p w:rsidR="00B75CE7" w:rsidRPr="00B22450" w:rsidRDefault="00B75CE7" w:rsidP="00B75CE7">
                  <w:pPr>
                    <w:pStyle w:val="Zkladntext"/>
                    <w:widowControl/>
                    <w:jc w:val="both"/>
                    <w:rPr>
                      <w:b w:val="0"/>
                      <w:color w:val="000000"/>
                      <w:sz w:val="24"/>
                      <w:szCs w:val="24"/>
                    </w:rPr>
                  </w:pPr>
                  <w:r w:rsidRPr="00B22450">
                    <w:rPr>
                      <w:b w:val="0"/>
                      <w:color w:val="000000"/>
                      <w:sz w:val="24"/>
                      <w:szCs w:val="24"/>
                    </w:rPr>
                    <w:t>O – obyčajná</w:t>
                  </w:r>
                </w:p>
              </w:tc>
              <w:tc>
                <w:tcPr>
                  <w:tcW w:w="3119" w:type="dxa"/>
                  <w:tcBorders>
                    <w:top w:val="nil"/>
                    <w:left w:val="nil"/>
                    <w:bottom w:val="nil"/>
                    <w:right w:val="nil"/>
                  </w:tcBorders>
                </w:tcPr>
                <w:p w:rsidR="00B75CE7" w:rsidRPr="00B22450" w:rsidRDefault="00B75CE7" w:rsidP="00B75CE7">
                  <w:pPr>
                    <w:pStyle w:val="Zkladntext"/>
                    <w:widowControl/>
                    <w:jc w:val="both"/>
                    <w:rPr>
                      <w:b w:val="0"/>
                      <w:color w:val="000000"/>
                      <w:sz w:val="24"/>
                      <w:szCs w:val="24"/>
                    </w:rPr>
                  </w:pPr>
                  <w:r w:rsidRPr="00B22450">
                    <w:rPr>
                      <w:b w:val="0"/>
                      <w:color w:val="000000"/>
                      <w:sz w:val="24"/>
                      <w:szCs w:val="24"/>
                    </w:rPr>
                    <w:t>A – akceptovaná</w:t>
                  </w:r>
                </w:p>
              </w:tc>
            </w:tr>
            <w:tr w:rsidR="00B75CE7" w:rsidRPr="00B22450" w:rsidTr="00B775A0">
              <w:trPr>
                <w:cantSplit/>
              </w:trPr>
              <w:tc>
                <w:tcPr>
                  <w:tcW w:w="1809" w:type="dxa"/>
                  <w:tcBorders>
                    <w:top w:val="nil"/>
                    <w:left w:val="nil"/>
                    <w:bottom w:val="nil"/>
                    <w:right w:val="nil"/>
                  </w:tcBorders>
                </w:tcPr>
                <w:p w:rsidR="00B75CE7" w:rsidRPr="00B22450" w:rsidRDefault="00B75CE7" w:rsidP="00B75CE7">
                  <w:pPr>
                    <w:pStyle w:val="Zkladntext"/>
                    <w:widowControl/>
                    <w:jc w:val="both"/>
                    <w:rPr>
                      <w:b w:val="0"/>
                      <w:color w:val="000000"/>
                      <w:sz w:val="24"/>
                      <w:szCs w:val="24"/>
                    </w:rPr>
                  </w:pPr>
                  <w:r w:rsidRPr="00B22450">
                    <w:rPr>
                      <w:b w:val="0"/>
                      <w:color w:val="000000"/>
                      <w:sz w:val="24"/>
                      <w:szCs w:val="24"/>
                    </w:rPr>
                    <w:t>Z – zásadná</w:t>
                  </w:r>
                </w:p>
              </w:tc>
              <w:tc>
                <w:tcPr>
                  <w:tcW w:w="3119" w:type="dxa"/>
                  <w:tcBorders>
                    <w:top w:val="nil"/>
                    <w:left w:val="nil"/>
                    <w:bottom w:val="nil"/>
                    <w:right w:val="nil"/>
                  </w:tcBorders>
                </w:tcPr>
                <w:p w:rsidR="00B75CE7" w:rsidRPr="00B22450" w:rsidRDefault="00B75CE7" w:rsidP="00B75CE7">
                  <w:pPr>
                    <w:pStyle w:val="Zkladntext"/>
                    <w:widowControl/>
                    <w:jc w:val="both"/>
                    <w:rPr>
                      <w:b w:val="0"/>
                      <w:color w:val="000000"/>
                      <w:sz w:val="24"/>
                      <w:szCs w:val="24"/>
                    </w:rPr>
                  </w:pPr>
                  <w:r w:rsidRPr="00B22450">
                    <w:rPr>
                      <w:b w:val="0"/>
                      <w:color w:val="000000"/>
                      <w:sz w:val="24"/>
                      <w:szCs w:val="24"/>
                    </w:rPr>
                    <w:t>N – neakceptovaná</w:t>
                  </w:r>
                </w:p>
              </w:tc>
            </w:tr>
            <w:tr w:rsidR="00B75CE7" w:rsidRPr="00B22450" w:rsidTr="00B775A0">
              <w:trPr>
                <w:cantSplit/>
              </w:trPr>
              <w:tc>
                <w:tcPr>
                  <w:tcW w:w="1809" w:type="dxa"/>
                  <w:tcBorders>
                    <w:top w:val="nil"/>
                    <w:left w:val="nil"/>
                    <w:bottom w:val="nil"/>
                    <w:right w:val="nil"/>
                  </w:tcBorders>
                </w:tcPr>
                <w:p w:rsidR="00B75CE7" w:rsidRPr="00B22450" w:rsidRDefault="00B75CE7" w:rsidP="00B75CE7">
                  <w:pPr>
                    <w:pStyle w:val="Zkladntext"/>
                    <w:widowControl/>
                    <w:jc w:val="both"/>
                    <w:rPr>
                      <w:b w:val="0"/>
                      <w:color w:val="000000"/>
                      <w:sz w:val="24"/>
                      <w:szCs w:val="24"/>
                    </w:rPr>
                  </w:pPr>
                </w:p>
              </w:tc>
              <w:tc>
                <w:tcPr>
                  <w:tcW w:w="3119" w:type="dxa"/>
                  <w:tcBorders>
                    <w:top w:val="nil"/>
                    <w:left w:val="nil"/>
                    <w:bottom w:val="nil"/>
                    <w:right w:val="nil"/>
                  </w:tcBorders>
                </w:tcPr>
                <w:p w:rsidR="00B75CE7" w:rsidRPr="00B22450" w:rsidRDefault="00B75CE7" w:rsidP="00B75CE7">
                  <w:pPr>
                    <w:pStyle w:val="Zkladntext"/>
                    <w:widowControl/>
                    <w:jc w:val="both"/>
                    <w:rPr>
                      <w:b w:val="0"/>
                      <w:color w:val="000000"/>
                      <w:sz w:val="24"/>
                      <w:szCs w:val="24"/>
                    </w:rPr>
                  </w:pPr>
                  <w:r w:rsidRPr="00B22450">
                    <w:rPr>
                      <w:b w:val="0"/>
                      <w:color w:val="000000"/>
                      <w:sz w:val="24"/>
                      <w:szCs w:val="24"/>
                    </w:rPr>
                    <w:t>ČA – čiastočne akceptovaná</w:t>
                  </w:r>
                </w:p>
              </w:tc>
            </w:tr>
          </w:tbl>
          <w:p w:rsidR="00B75CE7" w:rsidRPr="00B22450" w:rsidRDefault="00B75CE7" w:rsidP="00B75CE7">
            <w:pPr>
              <w:spacing w:after="0" w:line="240" w:lineRule="auto"/>
              <w:rPr>
                <w:rFonts w:ascii="Times New Roman" w:hAnsi="Times New Roman"/>
                <w:sz w:val="24"/>
                <w:szCs w:val="24"/>
              </w:rPr>
            </w:pPr>
          </w:p>
        </w:tc>
      </w:tr>
      <w:tr w:rsidR="00B75CE7" w:rsidRPr="00B75CE7" w:rsidTr="00C27ACD">
        <w:tc>
          <w:tcPr>
            <w:tcW w:w="4928" w:type="dxa"/>
            <w:tcBorders>
              <w:top w:val="nil"/>
              <w:left w:val="nil"/>
              <w:bottom w:val="nil"/>
              <w:right w:val="nil"/>
            </w:tcBorders>
          </w:tcPr>
          <w:p w:rsidR="00B75CE7" w:rsidRPr="00B22450" w:rsidRDefault="00B75CE7" w:rsidP="00B75CE7">
            <w:pPr>
              <w:spacing w:after="0" w:line="240" w:lineRule="auto"/>
              <w:rPr>
                <w:rFonts w:ascii="Times New Roman" w:hAnsi="Times New Roman"/>
                <w:sz w:val="24"/>
                <w:szCs w:val="24"/>
              </w:rPr>
            </w:pPr>
          </w:p>
        </w:tc>
      </w:tr>
    </w:tbl>
    <w:p w:rsidR="006173E4" w:rsidRPr="00B75CE7" w:rsidRDefault="006173E4" w:rsidP="00B75CE7">
      <w:pPr>
        <w:widowControl/>
        <w:spacing w:after="0" w:line="240" w:lineRule="auto"/>
        <w:rPr>
          <w:rFonts w:ascii="Times New Roman" w:hAnsi="Times New Roman"/>
          <w:sz w:val="24"/>
          <w:szCs w:val="24"/>
        </w:rPr>
      </w:pPr>
      <w:bookmarkStart w:id="0" w:name="_GoBack"/>
      <w:bookmarkEnd w:id="0"/>
    </w:p>
    <w:sectPr w:rsidR="006173E4" w:rsidRPr="00B75CE7">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983" w:rsidRDefault="00717983" w:rsidP="00717983">
      <w:pPr>
        <w:spacing w:after="0" w:line="240" w:lineRule="auto"/>
      </w:pPr>
      <w:r>
        <w:separator/>
      </w:r>
    </w:p>
  </w:endnote>
  <w:endnote w:type="continuationSeparator" w:id="0">
    <w:p w:rsidR="00717983" w:rsidRDefault="00717983" w:rsidP="0071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866102"/>
      <w:docPartObj>
        <w:docPartGallery w:val="Page Numbers (Bottom of Page)"/>
        <w:docPartUnique/>
      </w:docPartObj>
    </w:sdtPr>
    <w:sdtEndPr/>
    <w:sdtContent>
      <w:p w:rsidR="00717983" w:rsidRDefault="00717983">
        <w:pPr>
          <w:pStyle w:val="Pta"/>
          <w:jc w:val="center"/>
        </w:pPr>
        <w:r>
          <w:fldChar w:fldCharType="begin"/>
        </w:r>
        <w:r>
          <w:instrText>PAGE   \* MERGEFORMAT</w:instrText>
        </w:r>
        <w:r>
          <w:fldChar w:fldCharType="separate"/>
        </w:r>
        <w:r w:rsidR="00B75CE7">
          <w:rPr>
            <w:noProof/>
          </w:rPr>
          <w:t>6</w:t>
        </w:r>
        <w:r>
          <w:fldChar w:fldCharType="end"/>
        </w:r>
      </w:p>
    </w:sdtContent>
  </w:sdt>
  <w:p w:rsidR="00717983" w:rsidRDefault="0071798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983" w:rsidRDefault="00717983" w:rsidP="00717983">
      <w:pPr>
        <w:spacing w:after="0" w:line="240" w:lineRule="auto"/>
      </w:pPr>
      <w:r>
        <w:separator/>
      </w:r>
    </w:p>
  </w:footnote>
  <w:footnote w:type="continuationSeparator" w:id="0">
    <w:p w:rsidR="00717983" w:rsidRDefault="00717983" w:rsidP="007179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5387F"/>
    <w:rsid w:val="000B3F57"/>
    <w:rsid w:val="00265645"/>
    <w:rsid w:val="002C2B40"/>
    <w:rsid w:val="002F00DB"/>
    <w:rsid w:val="00327A2D"/>
    <w:rsid w:val="003A35EB"/>
    <w:rsid w:val="003C009A"/>
    <w:rsid w:val="004C083B"/>
    <w:rsid w:val="00517039"/>
    <w:rsid w:val="005A1161"/>
    <w:rsid w:val="006173E4"/>
    <w:rsid w:val="00661635"/>
    <w:rsid w:val="006A0E56"/>
    <w:rsid w:val="00705DED"/>
    <w:rsid w:val="00717983"/>
    <w:rsid w:val="00725B72"/>
    <w:rsid w:val="00761851"/>
    <w:rsid w:val="00772C99"/>
    <w:rsid w:val="00773CE7"/>
    <w:rsid w:val="007C0818"/>
    <w:rsid w:val="008461A5"/>
    <w:rsid w:val="0087529A"/>
    <w:rsid w:val="0089286D"/>
    <w:rsid w:val="008F1A80"/>
    <w:rsid w:val="00902D6F"/>
    <w:rsid w:val="009413B8"/>
    <w:rsid w:val="009F56B8"/>
    <w:rsid w:val="00A56287"/>
    <w:rsid w:val="00AA4FD0"/>
    <w:rsid w:val="00AD0E17"/>
    <w:rsid w:val="00B3505E"/>
    <w:rsid w:val="00B42E3A"/>
    <w:rsid w:val="00B50E2A"/>
    <w:rsid w:val="00B51490"/>
    <w:rsid w:val="00B75CE7"/>
    <w:rsid w:val="00BA14D6"/>
    <w:rsid w:val="00BB673D"/>
    <w:rsid w:val="00CF5A6F"/>
    <w:rsid w:val="00D02827"/>
    <w:rsid w:val="00D17ED7"/>
    <w:rsid w:val="00D463B0"/>
    <w:rsid w:val="00D710A5"/>
    <w:rsid w:val="00DD1B41"/>
    <w:rsid w:val="00DF7EB5"/>
    <w:rsid w:val="00E26CB7"/>
    <w:rsid w:val="00F10D72"/>
    <w:rsid w:val="00F44C37"/>
    <w:rsid w:val="00F5603B"/>
    <w:rsid w:val="00F92C34"/>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11DAC-9E0C-460E-9FBC-E8473FCE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71798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17983"/>
    <w:rPr>
      <w:rFonts w:ascii="Calibri" w:eastAsia="Times New Roman" w:hAnsi="Calibri" w:cs="Times New Roman"/>
    </w:rPr>
  </w:style>
  <w:style w:type="paragraph" w:styleId="Pta">
    <w:name w:val="footer"/>
    <w:basedOn w:val="Normlny"/>
    <w:link w:val="PtaChar"/>
    <w:uiPriority w:val="99"/>
    <w:unhideWhenUsed/>
    <w:rsid w:val="00717983"/>
    <w:pPr>
      <w:tabs>
        <w:tab w:val="center" w:pos="4536"/>
        <w:tab w:val="right" w:pos="9072"/>
      </w:tabs>
      <w:spacing w:after="0" w:line="240" w:lineRule="auto"/>
    </w:pPr>
  </w:style>
  <w:style w:type="character" w:customStyle="1" w:styleId="PtaChar">
    <w:name w:val="Päta Char"/>
    <w:basedOn w:val="Predvolenpsmoodseku"/>
    <w:link w:val="Pta"/>
    <w:uiPriority w:val="99"/>
    <w:rsid w:val="0071798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84800">
      <w:bodyDiv w:val="1"/>
      <w:marLeft w:val="0"/>
      <w:marRight w:val="0"/>
      <w:marTop w:val="0"/>
      <w:marBottom w:val="0"/>
      <w:divBdr>
        <w:top w:val="none" w:sz="0" w:space="0" w:color="auto"/>
        <w:left w:val="none" w:sz="0" w:space="0" w:color="auto"/>
        <w:bottom w:val="none" w:sz="0" w:space="0" w:color="auto"/>
        <w:right w:val="none" w:sz="0" w:space="0" w:color="auto"/>
      </w:divBdr>
      <w:divsChild>
        <w:div w:id="987318555">
          <w:marLeft w:val="0"/>
          <w:marRight w:val="0"/>
          <w:marTop w:val="0"/>
          <w:marBottom w:val="0"/>
          <w:divBdr>
            <w:top w:val="none" w:sz="0" w:space="0" w:color="auto"/>
            <w:left w:val="none" w:sz="0" w:space="0" w:color="auto"/>
            <w:bottom w:val="none" w:sz="0" w:space="0" w:color="auto"/>
            <w:right w:val="none" w:sz="0" w:space="0" w:color="auto"/>
          </w:divBdr>
        </w:div>
      </w:divsChild>
    </w:div>
    <w:div w:id="1451120779">
      <w:bodyDiv w:val="1"/>
      <w:marLeft w:val="0"/>
      <w:marRight w:val="0"/>
      <w:marTop w:val="0"/>
      <w:marBottom w:val="0"/>
      <w:divBdr>
        <w:top w:val="none" w:sz="0" w:space="0" w:color="auto"/>
        <w:left w:val="none" w:sz="0" w:space="0" w:color="auto"/>
        <w:bottom w:val="none" w:sz="0" w:space="0" w:color="auto"/>
        <w:right w:val="none" w:sz="0" w:space="0" w:color="auto"/>
      </w:divBdr>
    </w:div>
    <w:div w:id="184505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6.2019 4:10:13"/>
    <f:field ref="objchangedby" par="" text="Fscclone"/>
    <f:field ref="objmodifiedat" par="" text="1.6.2019 4:10:18"/>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341C496-9D50-4C83-80FF-B47CA40B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1436</Words>
  <Characters>8189</Characters>
  <Application>Microsoft Office Word</Application>
  <DocSecurity>0</DocSecurity>
  <Lines>68</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Benová Tímea</cp:lastModifiedBy>
  <cp:revision>16</cp:revision>
  <cp:lastPrinted>2019-06-13T06:46:00Z</cp:lastPrinted>
  <dcterms:created xsi:type="dcterms:W3CDTF">2019-06-03T04:41:00Z</dcterms:created>
  <dcterms:modified xsi:type="dcterms:W3CDTF">2019-06-13T06:46:00Z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&lt;h2&gt;Správa o účasti verejnosti na tvorbe právneho predpisu&lt;/h2&gt;			&lt;p align="center"&gt;&lt;st</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Veterinárna starostlivosť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Roman Nemec</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377/2012 Z. z., ktorým sa ustanovujú požiadavky na ochranu zvierat používaných na vedecké účely alebo vzdelávacie účely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výzva Európskej komisie č. 2018/2160 </vt:lpwstr>
  </property>
  <property fmtid="{D5CDD505-2E9C-101B-9397-08002B2CF9AE}" pid="22" name="FSC#SKEDITIONSLOVLEX@103.510:plnynazovpredpis">
    <vt:lpwstr> Nariadenie vlády  Slovenskej republiky  ktorým sa mení a dopĺňa nariadenie vlády Slovenskej republiky č. 377/2012 Z. z., ktorým sa ustanovujú požiadavky na ochranu zvierat používaných na vedecké účely alebo vzdelávacie účely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6936/2019-410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LP/2019/398</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pôdohospodárstva a&amp;nbsp;rozvoja vidieka Slovenskej republiky predkladá návrh nariadenia vlády Slovenskej republiky, ktorým sa mení a dopĺňa nariadenie vlády Slovenskej republiky č. 377/2012 Z. z., ktorým sa ust</vt:lpwstr>
  </property>
  <property fmtid="{D5CDD505-2E9C-101B-9397-08002B2CF9AE}" pid="149" name="FSC#COOSYSTEM@1.1:Container">
    <vt:lpwstr>COO.2145.1000.3.3403763</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1. 6. 2019</vt:lpwstr>
  </property>
</Properties>
</file>