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5C4B9C" w:rsidTr="007B71A4">
        <w:trPr>
          <w:trHeight w:val="20"/>
        </w:trPr>
        <w:tc>
          <w:tcPr>
            <w:tcW w:w="9371" w:type="dxa"/>
            <w:gridSpan w:val="6"/>
            <w:shd w:val="clear" w:color="auto" w:fill="BFBFBF"/>
            <w:vAlign w:val="center"/>
          </w:tcPr>
          <w:p w:rsidR="00CE634D" w:rsidRPr="005C4B9C" w:rsidRDefault="00CE634D" w:rsidP="007B71A4">
            <w:pPr>
              <w:jc w:val="center"/>
              <w:rPr>
                <w:b/>
                <w:bCs/>
                <w:sz w:val="28"/>
                <w:szCs w:val="28"/>
              </w:rPr>
            </w:pPr>
            <w:bookmarkStart w:id="0" w:name="_GoBack"/>
            <w:bookmarkEnd w:id="0"/>
            <w:r w:rsidRPr="005C4B9C">
              <w:rPr>
                <w:b/>
                <w:bCs/>
                <w:sz w:val="28"/>
                <w:szCs w:val="28"/>
              </w:rPr>
              <w:t>Analýza vplyvov na informatizáciu spoločnosti</w:t>
            </w:r>
          </w:p>
          <w:p w:rsidR="00CE634D" w:rsidRPr="005C4B9C" w:rsidRDefault="00CE634D" w:rsidP="007B71A4">
            <w:pPr>
              <w:jc w:val="center"/>
              <w:rPr>
                <w:b/>
                <w:i/>
                <w:iCs/>
                <w:sz w:val="2"/>
                <w:szCs w:val="22"/>
              </w:rPr>
            </w:pPr>
            <w:r w:rsidRPr="005C4B9C">
              <w:rPr>
                <w:b/>
                <w:sz w:val="24"/>
                <w:szCs w:val="24"/>
              </w:rPr>
              <w:t>Budovanie základných pilierov informatizácie</w:t>
            </w:r>
          </w:p>
        </w:tc>
      </w:tr>
      <w:tr w:rsidR="00CE634D" w:rsidRPr="005C4B9C" w:rsidTr="007B71A4">
        <w:trPr>
          <w:trHeight w:val="681"/>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Obsah</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nová služba</w:t>
            </w:r>
          </w:p>
          <w:p w:rsidR="00CE634D" w:rsidRPr="005C4B9C" w:rsidRDefault="00CE634D" w:rsidP="007B71A4">
            <w:pPr>
              <w:jc w:val="center"/>
              <w:rPr>
                <w:i/>
                <w:iCs/>
                <w:sz w:val="24"/>
                <w:szCs w:val="22"/>
              </w:rPr>
            </w:pPr>
            <w:r w:rsidRPr="005C4B9C">
              <w:rPr>
                <w:b/>
                <w:sz w:val="24"/>
                <w:szCs w:val="22"/>
              </w:rPr>
              <w:t>B – zmena služby</w:t>
            </w:r>
          </w:p>
        </w:tc>
        <w:tc>
          <w:tcPr>
            <w:tcW w:w="1560" w:type="dxa"/>
            <w:shd w:val="clear" w:color="auto" w:fill="C0C0C0"/>
            <w:vAlign w:val="center"/>
          </w:tcPr>
          <w:p w:rsidR="00CE634D" w:rsidRPr="005C4B9C" w:rsidRDefault="00CE634D" w:rsidP="007B71A4">
            <w:pPr>
              <w:jc w:val="center"/>
              <w:rPr>
                <w:i/>
                <w:iCs/>
                <w:sz w:val="24"/>
                <w:szCs w:val="22"/>
              </w:rPr>
            </w:pPr>
          </w:p>
          <w:p w:rsidR="00CE634D" w:rsidRPr="005C4B9C" w:rsidRDefault="00CE634D" w:rsidP="007B71A4">
            <w:pPr>
              <w:spacing w:after="200"/>
              <w:jc w:val="center"/>
              <w:rPr>
                <w:sz w:val="24"/>
                <w:szCs w:val="22"/>
              </w:rPr>
            </w:pPr>
            <w:r w:rsidRPr="005C4B9C">
              <w:rPr>
                <w:b/>
                <w:sz w:val="24"/>
                <w:szCs w:val="22"/>
              </w:rPr>
              <w:t>Kód služby</w:t>
            </w:r>
          </w:p>
        </w:tc>
        <w:tc>
          <w:tcPr>
            <w:tcW w:w="1701" w:type="dxa"/>
            <w:gridSpan w:val="2"/>
            <w:shd w:val="clear" w:color="auto" w:fill="C0C0C0"/>
            <w:vAlign w:val="center"/>
          </w:tcPr>
          <w:p w:rsidR="00CE634D" w:rsidRPr="005C4B9C" w:rsidRDefault="00CE634D" w:rsidP="007B71A4">
            <w:pPr>
              <w:jc w:val="center"/>
              <w:rPr>
                <w:b/>
                <w:sz w:val="24"/>
                <w:szCs w:val="22"/>
              </w:rPr>
            </w:pPr>
          </w:p>
          <w:p w:rsidR="00CE634D" w:rsidRPr="005C4B9C" w:rsidRDefault="00CE634D" w:rsidP="007B71A4">
            <w:pPr>
              <w:jc w:val="center"/>
              <w:rPr>
                <w:i/>
                <w:iCs/>
                <w:sz w:val="24"/>
                <w:szCs w:val="22"/>
              </w:rPr>
            </w:pPr>
            <w:r w:rsidRPr="005C4B9C">
              <w:rPr>
                <w:b/>
                <w:sz w:val="24"/>
                <w:szCs w:val="22"/>
              </w:rPr>
              <w:t>Názov služby</w:t>
            </w:r>
          </w:p>
        </w:tc>
        <w:tc>
          <w:tcPr>
            <w:tcW w:w="992" w:type="dxa"/>
            <w:shd w:val="clear" w:color="auto" w:fill="C0C0C0"/>
            <w:vAlign w:val="center"/>
          </w:tcPr>
          <w:p w:rsidR="00CE634D" w:rsidRPr="005C4B9C" w:rsidRDefault="005C4B9C" w:rsidP="007B71A4">
            <w:pPr>
              <w:jc w:val="center"/>
              <w:rPr>
                <w:b/>
                <w:sz w:val="24"/>
                <w:szCs w:val="22"/>
              </w:rPr>
            </w:pPr>
            <w:r>
              <w:rPr>
                <w:b/>
                <w:sz w:val="24"/>
                <w:szCs w:val="22"/>
              </w:rPr>
              <w:t>Úroveň elektroni</w:t>
            </w:r>
            <w:r w:rsidR="00CE634D" w:rsidRPr="005C4B9C">
              <w:rPr>
                <w:b/>
                <w:sz w:val="24"/>
                <w:szCs w:val="22"/>
              </w:rPr>
              <w:t>zácie služby</w:t>
            </w:r>
          </w:p>
          <w:p w:rsidR="00CE634D" w:rsidRPr="005C4B9C" w:rsidRDefault="00CE634D" w:rsidP="007B71A4">
            <w:pPr>
              <w:jc w:val="center"/>
              <w:rPr>
                <w:i/>
                <w:iCs/>
                <w:sz w:val="24"/>
                <w:szCs w:val="22"/>
              </w:rPr>
            </w:pPr>
            <w:r w:rsidRPr="005C4B9C">
              <w:rPr>
                <w:b/>
                <w:sz w:val="24"/>
                <w:szCs w:val="22"/>
              </w:rPr>
              <w:t>(0 až 5)</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tc>
        <w:tc>
          <w:tcPr>
            <w:tcW w:w="1162" w:type="dxa"/>
          </w:tcPr>
          <w:p w:rsidR="00CE634D" w:rsidRPr="005C4B9C" w:rsidRDefault="00CE634D" w:rsidP="007B71A4">
            <w:pPr>
              <w:jc w:val="center"/>
              <w:rPr>
                <w:b/>
                <w:sz w:val="22"/>
                <w:szCs w:val="22"/>
              </w:rPr>
            </w:pPr>
          </w:p>
        </w:tc>
        <w:tc>
          <w:tcPr>
            <w:tcW w:w="1560" w:type="dxa"/>
          </w:tcPr>
          <w:p w:rsidR="00CE634D" w:rsidRPr="005C4B9C" w:rsidRDefault="00CE634D" w:rsidP="007B71A4">
            <w:pPr>
              <w:jc w:val="center"/>
              <w:rPr>
                <w:b/>
                <w:sz w:val="22"/>
                <w:szCs w:val="22"/>
              </w:rPr>
            </w:pPr>
          </w:p>
        </w:tc>
        <w:tc>
          <w:tcPr>
            <w:tcW w:w="1701" w:type="dxa"/>
            <w:gridSpan w:val="2"/>
          </w:tcPr>
          <w:p w:rsidR="00CE634D" w:rsidRPr="005C4B9C" w:rsidRDefault="00CE634D" w:rsidP="007B71A4">
            <w:pPr>
              <w:jc w:val="both"/>
              <w:rPr>
                <w:b/>
                <w:sz w:val="22"/>
                <w:szCs w:val="22"/>
              </w:rPr>
            </w:pPr>
          </w:p>
        </w:tc>
        <w:tc>
          <w:tcPr>
            <w:tcW w:w="992" w:type="dxa"/>
          </w:tcPr>
          <w:p w:rsidR="00CE634D" w:rsidRPr="005C4B9C" w:rsidRDefault="00CE634D" w:rsidP="007B71A4">
            <w:pPr>
              <w:rPr>
                <w:b/>
                <w:i/>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Infraštruktúra</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nový systém</w:t>
            </w:r>
          </w:p>
          <w:p w:rsidR="00CE634D" w:rsidRPr="005C4B9C" w:rsidRDefault="00CE634D" w:rsidP="007B71A4">
            <w:pPr>
              <w:jc w:val="center"/>
              <w:rPr>
                <w:b/>
                <w:sz w:val="24"/>
                <w:szCs w:val="22"/>
              </w:rPr>
            </w:pPr>
            <w:r w:rsidRPr="005C4B9C">
              <w:rPr>
                <w:b/>
                <w:sz w:val="24"/>
                <w:szCs w:val="22"/>
              </w:rPr>
              <w:t>B – zmena systému</w:t>
            </w:r>
          </w:p>
        </w:tc>
        <w:tc>
          <w:tcPr>
            <w:tcW w:w="1560" w:type="dxa"/>
            <w:shd w:val="clear" w:color="auto" w:fill="C0C0C0"/>
            <w:vAlign w:val="center"/>
          </w:tcPr>
          <w:p w:rsidR="00CE634D" w:rsidRPr="005C4B9C" w:rsidRDefault="00CE634D" w:rsidP="007B71A4">
            <w:pPr>
              <w:jc w:val="center"/>
              <w:rPr>
                <w:b/>
                <w:sz w:val="24"/>
                <w:szCs w:val="22"/>
              </w:rPr>
            </w:pPr>
            <w:r w:rsidRPr="005C4B9C">
              <w:rPr>
                <w:b/>
                <w:sz w:val="24"/>
                <w:szCs w:val="22"/>
              </w:rPr>
              <w:t>Kód systému</w:t>
            </w:r>
          </w:p>
        </w:tc>
        <w:tc>
          <w:tcPr>
            <w:tcW w:w="2693" w:type="dxa"/>
            <w:gridSpan w:val="3"/>
            <w:shd w:val="clear" w:color="auto" w:fill="C0C0C0"/>
            <w:vAlign w:val="center"/>
          </w:tcPr>
          <w:p w:rsidR="00CE634D" w:rsidRPr="005C4B9C" w:rsidRDefault="00CE634D" w:rsidP="007B71A4">
            <w:pPr>
              <w:jc w:val="center"/>
              <w:rPr>
                <w:b/>
                <w:sz w:val="24"/>
                <w:szCs w:val="24"/>
              </w:rPr>
            </w:pPr>
            <w:r w:rsidRPr="005C4B9C">
              <w:rPr>
                <w:b/>
                <w:sz w:val="24"/>
                <w:szCs w:val="22"/>
              </w:rPr>
              <w:t>Názov systému</w:t>
            </w:r>
          </w:p>
        </w:tc>
      </w:tr>
      <w:tr w:rsidR="00CE634D" w:rsidRPr="005C4B9C" w:rsidTr="007B71A4">
        <w:trPr>
          <w:trHeight w:val="20"/>
        </w:trPr>
        <w:tc>
          <w:tcPr>
            <w:tcW w:w="3956" w:type="dxa"/>
          </w:tcPr>
          <w:p w:rsidR="00CE634D" w:rsidRPr="005C4B9C" w:rsidRDefault="00CE634D" w:rsidP="007B71A4">
            <w:pPr>
              <w:jc w:val="both"/>
            </w:pPr>
            <w:r w:rsidRPr="005C4B9C">
              <w:rPr>
                <w:b/>
              </w:rPr>
              <w:t>6.2.</w:t>
            </w:r>
            <w:r w:rsidRPr="005C4B9C">
              <w:t xml:space="preserve"> Predpokladá predložený návrh zmenu existujúceho alebo vytvorenie nového informačného systému verejnej správy?</w:t>
            </w:r>
          </w:p>
          <w:p w:rsidR="00CE634D" w:rsidRPr="005C4B9C" w:rsidRDefault="00CE634D" w:rsidP="007B71A4">
            <w:pPr>
              <w:spacing w:line="20" w:lineRule="atLeast"/>
              <w:jc w:val="both"/>
              <w:rPr>
                <w:sz w:val="24"/>
                <w:szCs w:val="24"/>
              </w:rPr>
            </w:pPr>
            <w:r w:rsidRPr="005C4B9C">
              <w:rPr>
                <w:i/>
                <w:iCs/>
              </w:rPr>
              <w:t>(Ak áno, uveďte zmenu systému alebo vytvorenie nového systému, ďalej jeho kód a názov z centrálneho metainformačného systému verejnej správy.)</w:t>
            </w:r>
          </w:p>
        </w:tc>
        <w:tc>
          <w:tcPr>
            <w:tcW w:w="1162" w:type="dxa"/>
          </w:tcPr>
          <w:p w:rsidR="00CE634D" w:rsidRPr="005C4B9C" w:rsidRDefault="00CE634D" w:rsidP="007B71A4">
            <w:pPr>
              <w:rPr>
                <w:i/>
                <w:iCs/>
                <w:sz w:val="24"/>
                <w:szCs w:val="24"/>
              </w:rPr>
            </w:pPr>
          </w:p>
        </w:tc>
        <w:tc>
          <w:tcPr>
            <w:tcW w:w="1560" w:type="dxa"/>
          </w:tcPr>
          <w:p w:rsidR="00CE634D" w:rsidRPr="005C4B9C" w:rsidRDefault="00CE634D" w:rsidP="007B71A4">
            <w:pPr>
              <w:rPr>
                <w:i/>
                <w:iCs/>
                <w:sz w:val="24"/>
                <w:szCs w:val="24"/>
              </w:rPr>
            </w:pPr>
          </w:p>
        </w:tc>
        <w:tc>
          <w:tcPr>
            <w:tcW w:w="2693" w:type="dxa"/>
            <w:gridSpan w:val="3"/>
          </w:tcPr>
          <w:p w:rsidR="00CE634D" w:rsidRPr="005C4B9C" w:rsidRDefault="00CE634D" w:rsidP="007B71A4">
            <w:pPr>
              <w:rPr>
                <w:i/>
                <w:iCs/>
                <w:sz w:val="24"/>
                <w:szCs w:val="24"/>
              </w:rPr>
            </w:pPr>
          </w:p>
        </w:tc>
      </w:tr>
      <w:tr w:rsidR="00CE634D" w:rsidRPr="005C4B9C" w:rsidTr="007B71A4">
        <w:trPr>
          <w:trHeight w:val="20"/>
        </w:trPr>
        <w:tc>
          <w:tcPr>
            <w:tcW w:w="3956" w:type="dxa"/>
            <w:shd w:val="clear" w:color="auto" w:fill="BFBFBF"/>
            <w:vAlign w:val="center"/>
          </w:tcPr>
          <w:p w:rsidR="00CE634D" w:rsidRPr="005C4B9C" w:rsidRDefault="00CE634D" w:rsidP="007B71A4">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rsidR="00CE634D" w:rsidRPr="005C4B9C" w:rsidRDefault="00CE634D" w:rsidP="007B71A4">
            <w:pPr>
              <w:jc w:val="center"/>
              <w:rPr>
                <w:b/>
                <w:i/>
                <w:iCs/>
                <w:sz w:val="24"/>
                <w:szCs w:val="22"/>
              </w:rPr>
            </w:pPr>
            <w:r w:rsidRPr="005C4B9C">
              <w:rPr>
                <w:b/>
                <w:sz w:val="24"/>
                <w:szCs w:val="22"/>
              </w:rPr>
              <w:t>Rezortná úroveň</w:t>
            </w:r>
          </w:p>
        </w:tc>
        <w:tc>
          <w:tcPr>
            <w:tcW w:w="2268" w:type="dxa"/>
            <w:gridSpan w:val="2"/>
            <w:shd w:val="clear" w:color="auto" w:fill="BFBFBF"/>
            <w:vAlign w:val="center"/>
          </w:tcPr>
          <w:p w:rsidR="00CE634D" w:rsidRPr="005C4B9C" w:rsidRDefault="00CE634D" w:rsidP="007B71A4">
            <w:pPr>
              <w:jc w:val="center"/>
              <w:rPr>
                <w:b/>
                <w:i/>
                <w:iCs/>
                <w:sz w:val="24"/>
                <w:szCs w:val="22"/>
              </w:rPr>
            </w:pPr>
            <w:r w:rsidRPr="005C4B9C">
              <w:rPr>
                <w:b/>
                <w:sz w:val="24"/>
                <w:szCs w:val="22"/>
              </w:rPr>
              <w:t>Nadrezortná úroveň</w:t>
            </w:r>
          </w:p>
          <w:p w:rsidR="00CE634D" w:rsidRPr="005C4B9C" w:rsidRDefault="00CE634D" w:rsidP="007B71A4">
            <w:pPr>
              <w:jc w:val="center"/>
              <w:rPr>
                <w:b/>
                <w:sz w:val="24"/>
                <w:szCs w:val="22"/>
              </w:rPr>
            </w:pPr>
          </w:p>
        </w:tc>
        <w:tc>
          <w:tcPr>
            <w:tcW w:w="1985" w:type="dxa"/>
            <w:gridSpan w:val="2"/>
            <w:shd w:val="clear" w:color="auto" w:fill="BFBFBF"/>
            <w:vAlign w:val="center"/>
          </w:tcPr>
          <w:p w:rsidR="00CE634D" w:rsidRPr="005C4B9C" w:rsidRDefault="00CE634D" w:rsidP="007B71A4">
            <w:pPr>
              <w:rPr>
                <w:b/>
                <w:sz w:val="24"/>
                <w:szCs w:val="22"/>
              </w:rPr>
            </w:pPr>
            <w:r w:rsidRPr="005C4B9C">
              <w:rPr>
                <w:b/>
                <w:sz w:val="24"/>
                <w:szCs w:val="22"/>
              </w:rPr>
              <w:t>A - z prostriedkov EÚ   B - z ďalších zdrojov financovania</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6.3.</w:t>
            </w:r>
            <w:r w:rsidRPr="005C4B9C">
              <w:rPr>
                <w:szCs w:val="22"/>
              </w:rPr>
              <w:t xml:space="preserve"> Vyžaduje si proces informatizácie  finančné investície?</w:t>
            </w:r>
          </w:p>
          <w:p w:rsidR="00CE634D" w:rsidRPr="005C4B9C" w:rsidRDefault="00CE634D" w:rsidP="007B71A4">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tc>
        <w:tc>
          <w:tcPr>
            <w:tcW w:w="2268" w:type="dxa"/>
            <w:gridSpan w:val="2"/>
          </w:tcPr>
          <w:p w:rsidR="00CE634D" w:rsidRPr="005C4B9C" w:rsidRDefault="00CE634D" w:rsidP="007B71A4">
            <w:pPr>
              <w:rPr>
                <w:i/>
                <w:iCs/>
                <w:sz w:val="24"/>
                <w:szCs w:val="24"/>
              </w:rPr>
            </w:pPr>
          </w:p>
        </w:tc>
        <w:tc>
          <w:tcPr>
            <w:tcW w:w="1985" w:type="dxa"/>
            <w:gridSpan w:val="2"/>
          </w:tcPr>
          <w:p w:rsidR="00CE634D" w:rsidRPr="005C4B9C" w:rsidRDefault="00CE634D" w:rsidP="007B71A4">
            <w:pPr>
              <w:rPr>
                <w:i/>
                <w:iCs/>
                <w:sz w:val="24"/>
                <w:szCs w:val="24"/>
              </w:rPr>
            </w:pPr>
          </w:p>
        </w:tc>
      </w:tr>
    </w:tbl>
    <w:p w:rsidR="00CE634D" w:rsidRPr="005C4B9C" w:rsidRDefault="00CE634D" w:rsidP="00CE634D">
      <w:pPr>
        <w:rPr>
          <w:b/>
          <w:bCs/>
          <w:sz w:val="24"/>
          <w:szCs w:val="24"/>
        </w:rPr>
      </w:pPr>
    </w:p>
    <w:p w:rsidR="00CE634D" w:rsidRPr="005C4B9C" w:rsidRDefault="00CE634D" w:rsidP="00CE634D">
      <w:pPr>
        <w:rPr>
          <w:b/>
          <w:bCs/>
          <w:sz w:val="24"/>
          <w:szCs w:val="24"/>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r w:rsidRPr="005C4B9C">
        <w:rPr>
          <w:rFonts w:eastAsia="Calibri"/>
          <w:b/>
          <w:bCs/>
          <w:color w:val="000000"/>
          <w:sz w:val="28"/>
          <w:szCs w:val="28"/>
          <w:lang w:eastAsia="en-US"/>
        </w:rPr>
        <w:lastRenderedPageBreak/>
        <w:t>Metodický postup pre analýzu vplyvov na informatizáciu spolo</w:t>
      </w:r>
      <w:r w:rsidRPr="005C4B9C">
        <w:rPr>
          <w:rFonts w:ascii="TimesNewRoman" w:eastAsia="Calibri" w:hAnsi="TimesNewRoman" w:cs="TimesNewRoman"/>
          <w:color w:val="000000"/>
          <w:sz w:val="28"/>
          <w:szCs w:val="28"/>
          <w:lang w:eastAsia="en-US"/>
        </w:rPr>
        <w:t>č</w:t>
      </w:r>
      <w:r w:rsidRPr="005C4B9C">
        <w:rPr>
          <w:rFonts w:eastAsia="Calibri"/>
          <w:b/>
          <w:bCs/>
          <w:color w:val="000000"/>
          <w:sz w:val="28"/>
          <w:szCs w:val="28"/>
          <w:lang w:eastAsia="en-US"/>
        </w:rPr>
        <w:t>nosti</w:t>
      </w:r>
    </w:p>
    <w:p w:rsidR="00CE634D" w:rsidRPr="005C4B9C" w:rsidRDefault="00CE634D" w:rsidP="00CE634D">
      <w:pPr>
        <w:autoSpaceDE w:val="0"/>
        <w:autoSpaceDN w:val="0"/>
        <w:adjustRightInd w:val="0"/>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Predkladateľ pri vypracovávaní doložky v časti týkajúcej sa vplyvov na informatizáciu spoločnosti identifikuje vplyvy na nasledovné oblasti:</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budovanie základných pilierov informatizácie a</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financovanie procesu informatizácie</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rsidR="00CE634D" w:rsidRPr="005C4B9C" w:rsidRDefault="00CE634D" w:rsidP="00CE634D">
      <w:pPr>
        <w:autoSpaceDE w:val="0"/>
        <w:autoSpaceDN w:val="0"/>
        <w:adjustRightInd w:val="0"/>
        <w:jc w:val="both"/>
        <w:rPr>
          <w:rFonts w:eastAsia="Calibri"/>
          <w:b/>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lang w:eastAsia="en-US"/>
        </w:rPr>
      </w:pPr>
      <w:r w:rsidRPr="005C4B9C">
        <w:rPr>
          <w:rFonts w:eastAsia="Calibri"/>
          <w:b/>
          <w:bCs/>
          <w:color w:val="000000"/>
          <w:sz w:val="24"/>
          <w:szCs w:val="24"/>
          <w:lang w:eastAsia="en-US"/>
        </w:rPr>
        <w:t>Budovanie základných pilierov informatizácie</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Základnými piliermi informatizácie spoločnosti sú:</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obsah – informácie a služby</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ľudia – hlavne zvyšovanie ľudských zdrojov a zručností</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r w:rsidRPr="005C4B9C">
        <w:rPr>
          <w:rFonts w:eastAsia="Calibri"/>
          <w:color w:val="000000"/>
          <w:sz w:val="24"/>
          <w:szCs w:val="24"/>
          <w:lang w:eastAsia="en-US"/>
        </w:rPr>
        <w:t xml:space="preserve">pričom v analýze </w:t>
      </w:r>
      <w:r w:rsidRPr="005C4B9C">
        <w:rPr>
          <w:rFonts w:eastAsia="Calibri"/>
          <w:bCs/>
          <w:color w:val="000000"/>
          <w:sz w:val="24"/>
          <w:szCs w:val="24"/>
          <w:lang w:eastAsia="en-US"/>
        </w:rPr>
        <w:t xml:space="preserve">vplyvov na informatizáciu spoločnosti sú premietnuté 2 piliere, a to obsah a 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 Obsah – informácie a služby</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vytváranie a zavádzanie nových elektronických služieb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Elektronickou službou verejnej správy je elektronická forma komunikácie s povinnými osobami pri vybavovaní podaní, oznámení, prístupe k informáciám a ich poskytovaní, alebo účasti verejnosti na správe verejných vecí.</w:t>
      </w:r>
      <w:r w:rsidRPr="005C4B9C">
        <w:rPr>
          <w:rFonts w:ascii="ms sans serif" w:eastAsia="Calibri" w:hAnsi="ms sans serif"/>
          <w:color w:val="000000"/>
          <w:lang w:eastAsia="en-US"/>
        </w:rPr>
        <w:t xml:space="preserve"> </w:t>
      </w:r>
      <w:r w:rsidRPr="005C4B9C">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strike/>
          <w:color w:val="000000"/>
          <w:sz w:val="24"/>
          <w:szCs w:val="24"/>
          <w:lang w:eastAsia="en-US"/>
        </w:rPr>
        <w:t xml:space="preserve"> </w:t>
      </w: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platnom znení sú správcovia informačných systémov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stránke MF SR </w:t>
      </w:r>
      <w:hyperlink r:id="rId7"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w:t>
      </w:r>
      <w:r w:rsidRPr="005C4B9C">
        <w:rPr>
          <w:rFonts w:eastAsia="Calibri"/>
          <w:color w:val="000000"/>
          <w:sz w:val="24"/>
          <w:szCs w:val="24"/>
          <w:lang w:eastAsia="en-US"/>
        </w:rPr>
        <w:lastRenderedPageBreak/>
        <w:t xml:space="preserve">Zoznam hlavných kontaktných osôb určených na prístup do MetaIS podľa inštitúcií verejnej správy sa nachádza na stránke MF SR   </w:t>
      </w:r>
      <w:hyperlink r:id="rId8"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Úrovne elektronizácie elektronických služieb verejnej správy môžu nadobúdať hodnoty od 0 do 5 podľa § 47 výnosu MF SR č. 55/2014 Z.</w:t>
      </w:r>
      <w:r w:rsidR="005C4B9C">
        <w:rPr>
          <w:rFonts w:eastAsia="Calibri"/>
          <w:color w:val="000000"/>
          <w:sz w:val="24"/>
          <w:szCs w:val="24"/>
          <w:lang w:eastAsia="en-US"/>
        </w:rPr>
        <w:t xml:space="preserve"> </w:t>
      </w:r>
      <w:r w:rsidRPr="005C4B9C">
        <w:rPr>
          <w:rFonts w:eastAsia="Calibri"/>
          <w:color w:val="000000"/>
          <w:sz w:val="24"/>
          <w:szCs w:val="24"/>
          <w:lang w:eastAsia="en-US"/>
        </w:rPr>
        <w:t>z. o štandardoch pre informačné systémy verejnej správy:</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0</w:t>
      </w:r>
      <w:r w:rsidRPr="005C4B9C">
        <w:rPr>
          <w:rFonts w:eastAsia="Calibri"/>
          <w:sz w:val="24"/>
          <w:szCs w:val="24"/>
          <w:lang w:eastAsia="en-US"/>
        </w:rPr>
        <w:t>, označovaná aj ako úroveň off-line, pri ktorej služba nie je on-line elektronicky dostupná,</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1</w:t>
      </w:r>
      <w:r w:rsidRPr="005C4B9C">
        <w:rPr>
          <w:rFonts w:eastAsia="Calibri"/>
          <w:sz w:val="24"/>
          <w:szCs w:val="24"/>
          <w:lang w:eastAsia="en-US"/>
        </w:rPr>
        <w:t>, označovaná aj ako informatívna úroveň, pri ktorej je informácia, potrebná na začatie alebo vykonanie služby, dostupná v elektronickej forme, najmä informácia o mieste, čase, spôsobe a podmienkach vybavenia služby, pričom samotná služba nie je elektronicky poskytnutá, ani nie je poskytnutý príslušný formulár v elektronickej forme,</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2</w:t>
      </w:r>
      <w:r w:rsidRPr="005C4B9C">
        <w:rPr>
          <w:rFonts w:eastAsia="Calibri"/>
          <w:sz w:val="24"/>
          <w:szCs w:val="24"/>
          <w:lang w:eastAsia="en-US"/>
        </w:rPr>
        <w:t>, označovaná aj ako úroveň jednosmernej interakcie, pri ktorej nastáva jednosmerná elektronická komunikácia; pri jednosmernej elektronickej komunikácii je možné stiahnuť príslušný formulár v elektronickej forme, ale podanie sa nevykonáva elektronickými prostriedkami,</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3</w:t>
      </w:r>
      <w:r w:rsidRPr="005C4B9C">
        <w:rPr>
          <w:rFonts w:eastAsia="Calibri"/>
          <w:sz w:val="24"/>
          <w:szCs w:val="24"/>
          <w:lang w:eastAsia="en-US"/>
        </w:rPr>
        <w:t>, označovaná aj ako úroveň obojsmernej interakcie, pri ktorej nastáva obojsmerná elektronická komunikácia pri vybavovaní služby; pri obojsmernej elektronickej komunikácii prebieha vybavovanie služby elektronicky, avšak pri preberaní výsledku služby sa vyžaduje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4</w:t>
      </w:r>
      <w:r w:rsidRPr="005C4B9C">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5C4B9C">
        <w:rPr>
          <w:rFonts w:eastAsia="Calibri"/>
          <w:b/>
          <w:sz w:val="24"/>
          <w:szCs w:val="24"/>
          <w:lang w:eastAsia="en-US"/>
        </w:rPr>
        <w:t>úroveň 5</w:t>
      </w:r>
      <w:r w:rsidRPr="005C4B9C">
        <w:rPr>
          <w:rFonts w:eastAsia="Calibri"/>
          <w:sz w:val="24"/>
          <w:szCs w:val="24"/>
          <w:lang w:eastAsia="en-US"/>
        </w:rPr>
        <w:t>, označovaná aj ako proaktívna úroveň, ktorá obsahuje funkčnosť úrovne 3 alebo úrovne 4, a pri ktorej sa naviac využívajú personalizované nastavenia používateľa a možnosť proaktívneho automatizovaného vykonávania častí služby.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Pr>
          <w:rFonts w:eastAsia="Calibri"/>
          <w:color w:val="000000"/>
          <w:sz w:val="24"/>
          <w:szCs w:val="24"/>
          <w:lang w:eastAsia="en-US"/>
        </w:rPr>
        <w:t xml:space="preserve"> </w:t>
      </w:r>
      <w:r w:rsidRPr="005C4B9C">
        <w:rPr>
          <w:rFonts w:eastAsia="Calibri"/>
          <w:color w:val="000000"/>
          <w:sz w:val="24"/>
          <w:szCs w:val="24"/>
          <w:lang w:eastAsia="en-US"/>
        </w:rPr>
        <w:t xml:space="preserve">z.) podľa katalógu eGovernment služieb, ktorý je vedený v MetaIS. </w:t>
      </w:r>
    </w:p>
    <w:p w:rsidR="00CE634D" w:rsidRPr="005C4B9C" w:rsidRDefault="00CE634D" w:rsidP="00CE634D">
      <w:pPr>
        <w:spacing w:before="240" w:after="200" w:line="276" w:lineRule="auto"/>
        <w:jc w:val="both"/>
        <w:rPr>
          <w:rFonts w:eastAsia="Calibri"/>
          <w:i/>
          <w:color w:val="000000"/>
          <w:sz w:val="24"/>
          <w:szCs w:val="24"/>
          <w:lang w:eastAsia="en-US"/>
        </w:rPr>
      </w:pPr>
      <w:r w:rsidRPr="005C4B9C">
        <w:rPr>
          <w:rFonts w:eastAsia="Calibri"/>
          <w:i/>
          <w:color w:val="000000"/>
          <w:sz w:val="24"/>
          <w:szCs w:val="24"/>
          <w:lang w:eastAsia="en-US"/>
        </w:rPr>
        <w:t xml:space="preserve">Príklad č.1: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zavádza dve nové elektronické služby, a to</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 „Povoľovanie verejných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„Zverejňovanie údajov zapísaných v registri zbierok“.</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Nové služby v zmysle platných metodík k MetaIS musia byť zaevidované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60"/>
        <w:gridCol w:w="1133"/>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60"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3"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536"/>
        </w:trPr>
        <w:tc>
          <w:tcPr>
            <w:tcW w:w="3701" w:type="dxa"/>
            <w:vMerge w:val="restart"/>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60"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3"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701" w:type="dxa"/>
            <w:vMerge/>
          </w:tcPr>
          <w:p w:rsidR="00CE634D" w:rsidRPr="005C4B9C" w:rsidRDefault="00CE634D" w:rsidP="007B71A4">
            <w:pPr>
              <w:jc w:val="both"/>
              <w:rPr>
                <w:b/>
                <w:sz w:val="22"/>
                <w:szCs w:val="22"/>
              </w:rPr>
            </w:pP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služba_egov_7810</w:t>
            </w:r>
          </w:p>
        </w:tc>
        <w:tc>
          <w:tcPr>
            <w:tcW w:w="1560" w:type="dxa"/>
          </w:tcPr>
          <w:p w:rsidR="00CE634D" w:rsidRPr="005C4B9C" w:rsidRDefault="00CE634D" w:rsidP="007B71A4">
            <w:pPr>
              <w:rPr>
                <w:b/>
                <w:i/>
                <w:sz w:val="22"/>
                <w:szCs w:val="22"/>
              </w:rPr>
            </w:pPr>
            <w:r w:rsidRPr="005C4B9C">
              <w:rPr>
                <w:rFonts w:eastAsia="Calibri"/>
                <w:b/>
                <w:color w:val="000000"/>
                <w:sz w:val="22"/>
                <w:szCs w:val="22"/>
                <w:lang w:eastAsia="en-US"/>
              </w:rPr>
              <w:t>Zverejňovanie údajov zapísaných v registri zbierok</w:t>
            </w:r>
          </w:p>
        </w:tc>
        <w:tc>
          <w:tcPr>
            <w:tcW w:w="1133" w:type="dxa"/>
          </w:tcPr>
          <w:p w:rsidR="00CE634D" w:rsidRPr="005C4B9C" w:rsidRDefault="00CE634D" w:rsidP="007B71A4">
            <w:pPr>
              <w:rPr>
                <w:b/>
                <w:sz w:val="22"/>
                <w:szCs w:val="22"/>
              </w:rPr>
            </w:pPr>
            <w:r w:rsidRPr="005C4B9C">
              <w:rPr>
                <w:b/>
                <w:sz w:val="22"/>
                <w:szCs w:val="22"/>
              </w:rPr>
              <w:t xml:space="preserve">     </w:t>
            </w:r>
          </w:p>
          <w:p w:rsidR="00CE634D" w:rsidRPr="005C4B9C" w:rsidRDefault="00CE634D" w:rsidP="007B71A4">
            <w:pPr>
              <w:jc w:val="center"/>
              <w:rPr>
                <w:b/>
                <w:i/>
                <w:sz w:val="22"/>
                <w:szCs w:val="22"/>
              </w:rPr>
            </w:pPr>
            <w:r w:rsidRPr="005C4B9C">
              <w:rPr>
                <w:b/>
                <w:sz w:val="22"/>
                <w:szCs w:val="22"/>
              </w:rPr>
              <w:t>4</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 xml:space="preserve">Príklad č. 2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predpokladá zmenu existujúcej služby   „Povoľovanie verejných zbierok“:</w:t>
      </w:r>
    </w:p>
    <w:p w:rsidR="00CE634D" w:rsidRPr="005C4B9C" w:rsidRDefault="00CE634D" w:rsidP="00CE634D">
      <w:pPr>
        <w:autoSpaceDE w:val="0"/>
        <w:autoSpaceDN w:val="0"/>
        <w:adjustRightInd w:val="0"/>
        <w:jc w:val="both"/>
        <w:rPr>
          <w:rFonts w:eastAsia="Calibri"/>
          <w:sz w:val="24"/>
          <w:szCs w:val="24"/>
          <w:lang w:eastAsia="en-US"/>
        </w:rPr>
      </w:pPr>
      <w:r w:rsidRPr="005C4B9C">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t.j. </w:t>
      </w:r>
      <w:r w:rsidRPr="005C4B9C">
        <w:rPr>
          <w:rFonts w:eastAsia="Calibri"/>
          <w:sz w:val="24"/>
          <w:szCs w:val="24"/>
          <w:lang w:eastAsia="en-US"/>
        </w:rPr>
        <w:t>úroveň elektronizácie 2.</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sz w:val="24"/>
          <w:szCs w:val="24"/>
          <w:lang w:eastAsia="en-US"/>
        </w:rPr>
        <w:t xml:space="preserve">Návrh zákona umožní </w:t>
      </w:r>
      <w:r w:rsidRPr="005C4B9C">
        <w:rPr>
          <w:rFonts w:eastAsia="Calibri"/>
          <w:color w:val="000000"/>
          <w:sz w:val="24"/>
          <w:szCs w:val="24"/>
          <w:lang w:eastAsia="en-US"/>
        </w:rPr>
        <w:t xml:space="preserve">elektronické podanie žiadosti a elektronické vydanie rozhodnutia o zápise zbierky do registra zbierok, z čoho vyplýva plánovaná zmena elektronickej služby na úroveň elektronizácie 4. (Pozn.: Táto plánovaná zmena služby v zmysle platných metodík k MetaIS musí byť zaevidovaná v MetaIS so zmenenou úrovňou elektronizácie /ako vyššia verzia predmetnej služby/.)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nasledovne:</w:t>
      </w:r>
    </w:p>
    <w:p w:rsidR="00CE634D" w:rsidRPr="005C4B9C"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59"/>
        <w:gridCol w:w="1134"/>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4"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2530"/>
        </w:trPr>
        <w:tc>
          <w:tcPr>
            <w:tcW w:w="3701" w:type="dxa"/>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B</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59"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4"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bl>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II: Infraštruktúra</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infraštruktúrou ako ďalším pilierom informatizácie spoločnosti treba chápať nasledujúce komponenty: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komunikačné prostredie, potrebné pre zabezpečenie spojenia medzi poskytovateľmi služieb a ich používateľmi,</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bezpečnostné prostriedky a technológie, ktoré slúžia na zabezpečenie služieb pred ich možným zneužitím.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interoperabilná. Mala by vytvárať rovnocenné podmienky pre zapojenie subjektov do procesu informatizácie. </w:t>
      </w:r>
    </w:p>
    <w:p w:rsidR="00CE634D" w:rsidRPr="005C4B9C" w:rsidRDefault="00CE634D" w:rsidP="00CE634D">
      <w:pPr>
        <w:autoSpaceDE w:val="0"/>
        <w:autoSpaceDN w:val="0"/>
        <w:adjustRightInd w:val="0"/>
        <w:spacing w:before="240"/>
        <w:ind w:firstLine="708"/>
        <w:jc w:val="both"/>
        <w:rPr>
          <w:rFonts w:eastAsia="Calibri"/>
          <w:color w:val="000000"/>
          <w:sz w:val="24"/>
          <w:szCs w:val="24"/>
          <w:lang w:eastAsia="en-US"/>
        </w:rPr>
      </w:pPr>
      <w:r w:rsidRPr="005C4B9C">
        <w:rPr>
          <w:rFonts w:eastAsia="Calibri"/>
          <w:color w:val="000000"/>
          <w:sz w:val="24"/>
          <w:szCs w:val="24"/>
          <w:lang w:eastAsia="en-US"/>
        </w:rPr>
        <w:t>V rámci tohto piliera sa hodnotí, či predmetný návrh materiálu má vplyv na informatizáciu spoločnosti najmä z hľadiska rozširovania, inovácie, vytvorenia a zavádzania nových informačných systémov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vytvorenie a zavádzanie nových informa</w:t>
      </w:r>
      <w:r w:rsidRPr="005C4B9C">
        <w:rPr>
          <w:rFonts w:eastAsia="Calibri"/>
          <w:color w:val="000000"/>
          <w:sz w:val="24"/>
          <w:szCs w:val="24"/>
          <w:lang w:eastAsia="en-US"/>
        </w:rPr>
        <w:t>č</w:t>
      </w:r>
      <w:r w:rsidRPr="005C4B9C">
        <w:rPr>
          <w:rFonts w:eastAsia="Calibri"/>
          <w:b/>
          <w:bCs/>
          <w:color w:val="000000"/>
          <w:sz w:val="24"/>
          <w:szCs w:val="24"/>
          <w:lang w:eastAsia="en-US"/>
        </w:rPr>
        <w:t>ných systémov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Informačným systémom sa podľa zákona o informačných systémoch verejnej správy rozumie funkčný celok zabezpečujúci cieľavedomú a systematickú informačnú činnosť prostredníctvom technických a programových prostriedkov.</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znení neskorších predpisov sú správcovia informačných systémov verejnej správy povinní bezodkladne sprístupňovať informácie o informačných systémoch verejnej správy, ktoré prevádzkujú prostredníctvom MetaIS. Do tohto systému sa zapisujú nielen prevádzkované ale aj plánované informačné systémy verejnej správy. Potrebné informácie je možné nájsť na stránke MF SR </w:t>
      </w:r>
      <w:hyperlink r:id="rId9"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Zoznam hlavných kontaktných osôb určených na prístup do MetaIS podľa inštitúcií verejnej správy sa nachádza na stránke MF SR   </w:t>
      </w:r>
      <w:hyperlink r:id="rId10"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Pod zmenou informačného systému sa chápe jeho rozšírenie alebo inovácia. Vo všeobecnosti je inovácia informačného systému chápaná ako proces obnovy, zmeny vizuálneho stavu (redizajnu) alebo optimalizácie vytvoreného informačného systému, resp. jeho ktorejkoľvek </w:t>
      </w:r>
      <w:r w:rsidRPr="005C4B9C">
        <w:rPr>
          <w:rFonts w:eastAsia="Calibri"/>
          <w:color w:val="000000"/>
          <w:sz w:val="24"/>
          <w:szCs w:val="24"/>
          <w:lang w:eastAsia="en-US"/>
        </w:rPr>
        <w:lastRenderedPageBreak/>
        <w:t xml:space="preserve">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interoperability.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 prípade, ak návrh materiálu obsahuje zmenu existujúceho alebo vytvorenie nového informačného systému verejnej správy, predkladateľ to uvedie v analýze použitím písmen „A“ alebo „B“ vrátane kódu a názvu systému podľa MetaIS.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i/>
          <w:color w:val="000000"/>
          <w:sz w:val="24"/>
          <w:szCs w:val="24"/>
          <w:lang w:eastAsia="en-US"/>
        </w:rPr>
      </w:pPr>
      <w:r w:rsidRPr="005C4B9C">
        <w:rPr>
          <w:rFonts w:eastAsia="Calibri"/>
          <w:i/>
          <w:color w:val="000000"/>
          <w:sz w:val="24"/>
          <w:szCs w:val="24"/>
          <w:lang w:eastAsia="en-US"/>
        </w:rPr>
        <w:t>Príklad č. 1:</w:t>
      </w:r>
    </w:p>
    <w:p w:rsidR="00CE634D" w:rsidRPr="005C4B9C" w:rsidRDefault="00CE634D" w:rsidP="00CE634D">
      <w:pPr>
        <w:autoSpaceDE w:val="0"/>
        <w:autoSpaceDN w:val="0"/>
        <w:adjustRightInd w:val="0"/>
        <w:jc w:val="both"/>
        <w:rPr>
          <w:rFonts w:eastAsia="Calibri"/>
          <w:b/>
          <w:color w:val="000000"/>
          <w:sz w:val="24"/>
          <w:szCs w:val="24"/>
          <w:lang w:eastAsia="en-US"/>
        </w:rPr>
      </w:pP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Nový informačný systém v zmysle platných metodík k MetaIS musí byť zaevidovaný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985"/>
        <w:gridCol w:w="1134"/>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985" w:type="dxa"/>
            <w:shd w:val="clear" w:color="auto" w:fill="C0C0C0"/>
          </w:tcPr>
          <w:p w:rsidR="00CE634D" w:rsidRPr="005C4B9C" w:rsidRDefault="00CE634D" w:rsidP="007B71A4">
            <w:pPr>
              <w:rPr>
                <w:b/>
                <w:sz w:val="24"/>
                <w:szCs w:val="24"/>
              </w:rPr>
            </w:pPr>
            <w:r w:rsidRPr="005C4B9C">
              <w:rPr>
                <w:b/>
                <w:sz w:val="24"/>
                <w:szCs w:val="24"/>
              </w:rPr>
              <w:t>A – nový systém</w:t>
            </w:r>
          </w:p>
          <w:p w:rsidR="00CE634D" w:rsidRPr="005C4B9C" w:rsidRDefault="00CE634D" w:rsidP="007B71A4">
            <w:pPr>
              <w:rPr>
                <w:b/>
                <w:sz w:val="24"/>
                <w:szCs w:val="24"/>
              </w:rPr>
            </w:pPr>
            <w:r w:rsidRPr="005C4B9C">
              <w:rPr>
                <w:b/>
                <w:sz w:val="24"/>
                <w:szCs w:val="24"/>
              </w:rPr>
              <w:t>B – zmena systému</w:t>
            </w:r>
          </w:p>
        </w:tc>
        <w:tc>
          <w:tcPr>
            <w:tcW w:w="1134" w:type="dxa"/>
            <w:shd w:val="clear" w:color="auto" w:fill="C0C0C0"/>
          </w:tcPr>
          <w:p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985"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A</w:t>
            </w:r>
          </w:p>
        </w:tc>
        <w:tc>
          <w:tcPr>
            <w:tcW w:w="1134"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 2:</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mení informačný systém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Plánovaná zmena informačného systému v zmysle platných metodík k MetaIS musí byť zaevidovaná v „popise cieľového stavu“ predmetného informačného systému, s výstižným popisom kľúčových vlastností,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701"/>
        <w:gridCol w:w="1418"/>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701" w:type="dxa"/>
            <w:shd w:val="clear" w:color="auto" w:fill="C0C0C0"/>
          </w:tcPr>
          <w:p w:rsidR="00CE634D" w:rsidRPr="005C4B9C" w:rsidRDefault="00CE634D" w:rsidP="007B71A4">
            <w:pPr>
              <w:rPr>
                <w:b/>
                <w:sz w:val="24"/>
                <w:szCs w:val="24"/>
              </w:rPr>
            </w:pPr>
            <w:r w:rsidRPr="005C4B9C">
              <w:rPr>
                <w:b/>
                <w:sz w:val="24"/>
                <w:szCs w:val="24"/>
              </w:rPr>
              <w:t xml:space="preserve">A – nový </w:t>
            </w:r>
            <w:r w:rsidRPr="005C4B9C">
              <w:rPr>
                <w:b/>
                <w:sz w:val="24"/>
                <w:szCs w:val="24"/>
              </w:rPr>
              <w:lastRenderedPageBreak/>
              <w:t>systém</w:t>
            </w:r>
          </w:p>
          <w:p w:rsidR="00CE634D" w:rsidRPr="005C4B9C" w:rsidRDefault="00CE634D" w:rsidP="007B71A4">
            <w:pPr>
              <w:rPr>
                <w:b/>
                <w:sz w:val="24"/>
                <w:szCs w:val="24"/>
              </w:rPr>
            </w:pPr>
            <w:r w:rsidRPr="005C4B9C">
              <w:rPr>
                <w:b/>
                <w:sz w:val="24"/>
                <w:szCs w:val="24"/>
              </w:rPr>
              <w:t>B – zmena systému</w:t>
            </w:r>
          </w:p>
        </w:tc>
        <w:tc>
          <w:tcPr>
            <w:tcW w:w="1418" w:type="dxa"/>
            <w:shd w:val="clear" w:color="auto" w:fill="C0C0C0"/>
          </w:tcPr>
          <w:p w:rsidR="00CE634D" w:rsidRPr="005C4B9C" w:rsidRDefault="00CE634D" w:rsidP="007B71A4">
            <w:pPr>
              <w:jc w:val="center"/>
              <w:rPr>
                <w:b/>
                <w:i/>
                <w:iCs/>
                <w:sz w:val="24"/>
                <w:szCs w:val="24"/>
              </w:rPr>
            </w:pPr>
            <w:r w:rsidRPr="005C4B9C">
              <w:rPr>
                <w:b/>
                <w:sz w:val="24"/>
                <w:szCs w:val="24"/>
              </w:rPr>
              <w:lastRenderedPageBreak/>
              <w:t xml:space="preserve">Kód </w:t>
            </w:r>
            <w:r w:rsidRPr="005C4B9C">
              <w:rPr>
                <w:b/>
                <w:sz w:val="24"/>
                <w:szCs w:val="24"/>
              </w:rPr>
              <w:lastRenderedPageBreak/>
              <w:t xml:space="preserve">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lastRenderedPageBreak/>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701"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B</w:t>
            </w:r>
          </w:p>
        </w:tc>
        <w:tc>
          <w:tcPr>
            <w:tcW w:w="1418"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spacing w:after="200" w:line="276" w:lineRule="auto"/>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b/>
          <w:bCs/>
          <w:color w:val="000000"/>
          <w:sz w:val="24"/>
          <w:szCs w:val="24"/>
          <w:lang w:eastAsia="en-US"/>
        </w:rPr>
      </w:pPr>
      <w:r w:rsidRPr="005C4B9C">
        <w:rPr>
          <w:rFonts w:eastAsia="Calibri"/>
          <w:b/>
          <w:bCs/>
          <w:color w:val="000000"/>
          <w:sz w:val="24"/>
          <w:szCs w:val="24"/>
          <w:lang w:eastAsia="en-US"/>
        </w:rPr>
        <w:t>Financovanie informatizácie spolo</w:t>
      </w:r>
      <w:r w:rsidRPr="005C4B9C">
        <w:rPr>
          <w:rFonts w:eastAsia="Calibri"/>
          <w:color w:val="000000"/>
          <w:sz w:val="24"/>
          <w:szCs w:val="24"/>
          <w:lang w:eastAsia="en-US"/>
        </w:rPr>
        <w:t>č</w:t>
      </w:r>
      <w:r w:rsidRPr="005C4B9C">
        <w:rPr>
          <w:rFonts w:eastAsia="Calibri"/>
          <w:b/>
          <w:bCs/>
          <w:color w:val="000000"/>
          <w:sz w:val="24"/>
          <w:szCs w:val="24"/>
          <w:lang w:eastAsia="en-US"/>
        </w:rPr>
        <w:t>nosti</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Financovanie procesu informatizácie v súčasnosti prebieha na nasledovných úrovniach:</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rezortná úroveň</w:t>
      </w:r>
      <w:r w:rsidRPr="005C4B9C">
        <w:rPr>
          <w:rFonts w:eastAsia="Calibri"/>
          <w:color w:val="000000"/>
          <w:sz w:val="24"/>
          <w:szCs w:val="24"/>
          <w:lang w:eastAsia="en-US"/>
        </w:rPr>
        <w:t xml:space="preserve"> – financovanie projektov realizovaných v rámci jednotlivých rezortov a v rámci jednotlivých rozpočtových kapitol,</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nadrezortná úroveň</w:t>
      </w:r>
      <w:r w:rsidRPr="005C4B9C">
        <w:rPr>
          <w:rFonts w:eastAsia="Calibri"/>
          <w:color w:val="000000"/>
          <w:sz w:val="24"/>
          <w:szCs w:val="24"/>
          <w:lang w:eastAsia="en-US"/>
        </w:rPr>
        <w:t xml:space="preserve"> – financovanie projektov s nadrezortnou pôsobnosťou. Finančné prostriedky budú rozpočtované v rámci kapitoly ministerstva financií. </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V rámci rezortnej a nadrezortnej úrovne je možné financovanie:</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prostriedkov Európskej únie</w:t>
      </w:r>
      <w:r w:rsidRPr="005C4B9C">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ďalších zdrojov financovania</w:t>
      </w:r>
      <w:r w:rsidRPr="005C4B9C">
        <w:rPr>
          <w:rFonts w:eastAsia="Calibri"/>
          <w:color w:val="000000"/>
          <w:sz w:val="24"/>
          <w:szCs w:val="24"/>
          <w:lang w:eastAsia="en-US"/>
        </w:rPr>
        <w:t xml:space="preserve"> – z prostriedkov Európskej investičnej banky, Svetovej banky a pod..</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č.1:</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zo štátneho rozpočtu. </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bode 6.3. vyplní nasledovne</w:t>
      </w:r>
      <w:r w:rsidRPr="005C4B9C">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lastRenderedPageBreak/>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č.2:</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CE634D" w:rsidRPr="005C4B9C" w:rsidRDefault="00CE634D" w:rsidP="00CE634D">
      <w:pPr>
        <w:spacing w:after="200" w:line="276" w:lineRule="auto"/>
        <w:jc w:val="both"/>
        <w:rPr>
          <w:rFonts w:eastAsia="Calibri"/>
          <w:sz w:val="24"/>
          <w:szCs w:val="24"/>
          <w:lang w:eastAsia="en-US"/>
        </w:rPr>
      </w:pPr>
      <w:r w:rsidRPr="005C4B9C">
        <w:rPr>
          <w:rFonts w:eastAsia="Calibri"/>
          <w:color w:val="000000"/>
          <w:sz w:val="24"/>
          <w:szCs w:val="24"/>
          <w:lang w:eastAsia="en-US"/>
        </w:rPr>
        <w:t xml:space="preserve">Analýza vplyvov sa </w:t>
      </w:r>
      <w:r w:rsidRPr="005C4B9C">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A</w:t>
            </w:r>
          </w:p>
        </w:tc>
      </w:tr>
    </w:tbl>
    <w:p w:rsidR="00CE634D" w:rsidRPr="005C4B9C" w:rsidRDefault="00CE634D" w:rsidP="00CE634D">
      <w:pPr>
        <w:rPr>
          <w:b/>
          <w:bCs/>
          <w:sz w:val="24"/>
          <w:szCs w:val="24"/>
        </w:rPr>
      </w:pP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rsidR="00CB3623" w:rsidRPr="005C4B9C" w:rsidRDefault="00CB3623"/>
    <w:sectPr w:rsidR="00CB3623" w:rsidRPr="005C4B9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11" w:rsidRDefault="00241E11" w:rsidP="00CE634D">
      <w:r>
        <w:separator/>
      </w:r>
    </w:p>
  </w:endnote>
  <w:endnote w:type="continuationSeparator" w:id="0">
    <w:p w:rsidR="00241E11" w:rsidRDefault="00241E11"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044862360"/>
      <w:docPartObj>
        <w:docPartGallery w:val="Page Numbers (Bottom of Page)"/>
        <w:docPartUnique/>
      </w:docPartObj>
    </w:sdtPr>
    <w:sdtEndPr/>
    <w:sdtContent>
      <w:p w:rsidR="00CE634D" w:rsidRPr="00CE634D" w:rsidRDefault="00CE634D">
        <w:pPr>
          <w:pStyle w:val="Pta"/>
          <w:jc w:val="right"/>
          <w:rPr>
            <w:sz w:val="22"/>
          </w:rPr>
        </w:pPr>
        <w:r w:rsidRPr="00CE634D">
          <w:rPr>
            <w:sz w:val="22"/>
          </w:rPr>
          <w:fldChar w:fldCharType="begin"/>
        </w:r>
        <w:r w:rsidRPr="00CE634D">
          <w:rPr>
            <w:sz w:val="22"/>
          </w:rPr>
          <w:instrText>PAGE   \* MERGEFORMAT</w:instrText>
        </w:r>
        <w:r w:rsidRPr="00CE634D">
          <w:rPr>
            <w:sz w:val="22"/>
          </w:rPr>
          <w:fldChar w:fldCharType="separate"/>
        </w:r>
        <w:r w:rsidR="00C23F00">
          <w:rPr>
            <w:noProof/>
            <w:sz w:val="22"/>
          </w:rPr>
          <w:t>2</w:t>
        </w:r>
        <w:r w:rsidRPr="00CE634D">
          <w:rPr>
            <w:sz w:val="22"/>
          </w:rPr>
          <w:fldChar w:fldCharType="end"/>
        </w:r>
      </w:p>
    </w:sdtContent>
  </w:sdt>
  <w:p w:rsidR="00CE634D" w:rsidRDefault="00CE63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11" w:rsidRDefault="00241E11" w:rsidP="00CE634D">
      <w:r>
        <w:separator/>
      </w:r>
    </w:p>
  </w:footnote>
  <w:footnote w:type="continuationSeparator" w:id="0">
    <w:p w:rsidR="00241E11" w:rsidRDefault="00241E11" w:rsidP="00CE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4D" w:rsidRDefault="00CE634D" w:rsidP="00CE634D">
    <w:pPr>
      <w:pStyle w:val="Hlavika"/>
      <w:jc w:val="right"/>
      <w:rPr>
        <w:sz w:val="24"/>
        <w:szCs w:val="24"/>
      </w:rPr>
    </w:pPr>
    <w:r w:rsidRPr="000A15AE">
      <w:rPr>
        <w:sz w:val="24"/>
        <w:szCs w:val="24"/>
      </w:rPr>
      <w:t>Príloha č</w:t>
    </w:r>
    <w:r>
      <w:rPr>
        <w:sz w:val="24"/>
        <w:szCs w:val="24"/>
      </w:rPr>
      <w:t>. 6</w:t>
    </w:r>
  </w:p>
  <w:p w:rsidR="00CE634D" w:rsidRDefault="00CE63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65"/>
    <w:rsid w:val="00241E11"/>
    <w:rsid w:val="005C4B9C"/>
    <w:rsid w:val="00C23F00"/>
    <w:rsid w:val="00CB3623"/>
    <w:rsid w:val="00CE634D"/>
    <w:rsid w:val="00F43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32C1B-9C3D-4DD2-8007-0861FC8B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zacia.sk/pristup-do-metais/16150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tizacia.sk/centralny-metainformacny-system-verejnej-spravy/10346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formatizacia.sk/pristup-do-metais/16150s" TargetMode="External"/><Relationship Id="rId4" Type="http://schemas.openxmlformats.org/officeDocument/2006/relationships/webSettings" Target="webSettings.xml"/><Relationship Id="rId9" Type="http://schemas.openxmlformats.org/officeDocument/2006/relationships/hyperlink" Target="http://www.informatizacia.sk/centralny-metainformacny-system-verejnej-spravy/10346s"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2571</Words>
  <Characters>14659</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Vitteková Katarína</cp:lastModifiedBy>
  <cp:revision>2</cp:revision>
  <dcterms:created xsi:type="dcterms:W3CDTF">2019-06-24T11:16:00Z</dcterms:created>
  <dcterms:modified xsi:type="dcterms:W3CDTF">2019-06-24T11:16:00Z</dcterms:modified>
</cp:coreProperties>
</file>