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96" w:rsidRPr="00CA0D2D" w:rsidRDefault="00784496" w:rsidP="00784496">
      <w:pPr>
        <w:spacing w:after="0" w:line="240" w:lineRule="auto"/>
        <w:rPr>
          <w:rFonts w:ascii="Times New Roman" w:eastAsia="Times New Roman" w:hAnsi="Times New Roman"/>
          <w:sz w:val="24"/>
          <w:szCs w:val="24"/>
          <w:lang w:eastAsia="sk-SK"/>
        </w:rPr>
      </w:pPr>
    </w:p>
    <w:p w:rsidR="00784496" w:rsidRPr="00CA0D2D" w:rsidRDefault="00784496" w:rsidP="00784496">
      <w:pPr>
        <w:spacing w:after="0" w:line="240" w:lineRule="auto"/>
        <w:rPr>
          <w:rFonts w:ascii="Times New Roman" w:eastAsia="Times New Roman" w:hAnsi="Times New Roman"/>
          <w:sz w:val="32"/>
          <w:szCs w:val="24"/>
          <w:lang w:eastAsia="fr-FR"/>
        </w:rPr>
      </w:pPr>
      <w:r w:rsidRPr="00CA0D2D">
        <w:rPr>
          <w:rFonts w:ascii="Times New Roman" w:eastAsia="Times New Roman" w:hAnsi="Times New Roman"/>
          <w:sz w:val="32"/>
          <w:szCs w:val="24"/>
          <w:lang w:eastAsia="fr-FR"/>
        </w:rPr>
        <w:t>Protokol č. 16 k Dohovoru o ochrane ľudských práv a základných slobôd</w:t>
      </w:r>
    </w:p>
    <w:p w:rsidR="00784496" w:rsidRPr="00CA0D2D" w:rsidRDefault="00784496" w:rsidP="00784496">
      <w:pPr>
        <w:pBdr>
          <w:bottom w:val="single" w:sz="18" w:space="1" w:color="auto"/>
        </w:pBdr>
        <w:spacing w:after="0" w:line="240" w:lineRule="auto"/>
        <w:ind w:right="5243"/>
        <w:rPr>
          <w:rFonts w:ascii="Times New Roman" w:eastAsia="Times New Roman" w:hAnsi="Times New Roman"/>
          <w:b/>
          <w:szCs w:val="32"/>
          <w:lang w:eastAsia="fr-FR"/>
        </w:rPr>
      </w:pPr>
    </w:p>
    <w:p w:rsidR="00784496" w:rsidRPr="00CA0D2D" w:rsidRDefault="00784496" w:rsidP="00784496">
      <w:pPr>
        <w:spacing w:after="0" w:line="240" w:lineRule="auto"/>
        <w:rPr>
          <w:rFonts w:ascii="Times New Roman" w:eastAsia="Times New Roman" w:hAnsi="Times New Roman"/>
          <w:color w:val="000000"/>
          <w:sz w:val="20"/>
          <w:szCs w:val="20"/>
          <w:lang w:eastAsia="fr-FR"/>
        </w:rPr>
      </w:pPr>
    </w:p>
    <w:p w:rsidR="00784496" w:rsidRPr="00CA0D2D" w:rsidRDefault="00784496" w:rsidP="00784496">
      <w:pPr>
        <w:spacing w:after="0" w:line="240" w:lineRule="auto"/>
        <w:rPr>
          <w:rFonts w:ascii="Times New Roman" w:eastAsia="Times New Roman" w:hAnsi="Times New Roman"/>
          <w:color w:val="000000"/>
          <w:sz w:val="20"/>
          <w:szCs w:val="20"/>
          <w:lang w:eastAsia="fr-FR"/>
        </w:rPr>
      </w:pPr>
    </w:p>
    <w:p w:rsidR="00784496" w:rsidRPr="00CA0D2D" w:rsidRDefault="00784496" w:rsidP="00784496">
      <w:pPr>
        <w:tabs>
          <w:tab w:val="left" w:pos="-1440"/>
          <w:tab w:val="left" w:pos="-864"/>
          <w:tab w:val="left" w:pos="-432"/>
          <w:tab w:val="left" w:pos="432"/>
          <w:tab w:val="left" w:pos="864"/>
          <w:tab w:val="left" w:pos="1296"/>
          <w:tab w:val="left" w:pos="1728"/>
          <w:tab w:val="left" w:pos="2160"/>
        </w:tabs>
        <w:suppressAutoHyphens/>
        <w:spacing w:after="0" w:line="240" w:lineRule="auto"/>
        <w:ind w:left="855" w:hanging="855"/>
        <w:jc w:val="both"/>
        <w:rPr>
          <w:rFonts w:ascii="Times New Roman" w:eastAsia="Times New Roman" w:hAnsi="Times New Roman"/>
          <w:b/>
          <w:spacing w:val="-2"/>
          <w:sz w:val="24"/>
          <w:szCs w:val="24"/>
          <w:lang w:eastAsia="sk-SK"/>
        </w:rPr>
      </w:pPr>
      <w:r w:rsidRPr="00CA0D2D">
        <w:rPr>
          <w:rFonts w:ascii="Times New Roman" w:eastAsia="Times New Roman" w:hAnsi="Times New Roman"/>
          <w:b/>
          <w:spacing w:val="-2"/>
          <w:sz w:val="24"/>
          <w:szCs w:val="24"/>
          <w:lang w:eastAsia="sk-SK"/>
        </w:rPr>
        <w:t>Preambula</w:t>
      </w:r>
    </w:p>
    <w:p w:rsidR="00784496" w:rsidRPr="00CA0D2D" w:rsidRDefault="00784496" w:rsidP="00784496">
      <w:pPr>
        <w:tabs>
          <w:tab w:val="left" w:pos="-1440"/>
          <w:tab w:val="left" w:pos="-864"/>
          <w:tab w:val="left" w:pos="709"/>
        </w:tabs>
        <w:suppressAutoHyphens/>
        <w:spacing w:after="0" w:line="240" w:lineRule="auto"/>
        <w:jc w:val="both"/>
        <w:rPr>
          <w:rFonts w:ascii="Times New Roman" w:eastAsia="Times New Roman" w:hAnsi="Times New Roman"/>
          <w:bCs/>
          <w:spacing w:val="-2"/>
          <w:sz w:val="24"/>
          <w:szCs w:val="24"/>
          <w:lang w:eastAsia="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Členské štáty Rady Európy a ďalšie Vysoké zmluvné strany Dohovoru o ochrane ľudských práv a základných slobôd, podpísaného v Ríme 4. novembra 1950 (ďalej len „dohovor”), signatári tohto protokolu,</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so zreteľom na ustanovenia dohovoru a osobitne článku 19 o zriadení Európskeho súdu pre ľudské práva (ďalej len „súd”),</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vzhľadom na to, že rozšírenie právomocí súdu vydávať poradné stanoviská ďalej posilní súčinnosť medzi súdom a štátnymi orgánmi, a tým posilní uplatňovanie dohovoru v súlade so zásadou subsidiarity,</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so zreteľom na názor č. 285 (2013) prijatý Parlamentným zhromaždením Rady Európy 28. júna 2013,</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dohodli sa takto:</w:t>
      </w: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rPr>
      </w:pPr>
      <w:r w:rsidRPr="00CA0D2D">
        <w:rPr>
          <w:rFonts w:ascii="Times New Roman" w:eastAsia="Times New Roman" w:hAnsi="Times New Roman"/>
          <w:b/>
          <w:bCs/>
          <w:spacing w:val="-2"/>
          <w:sz w:val="24"/>
          <w:szCs w:val="24"/>
          <w:lang w:eastAsia="sk-SK" w:bidi="sk-SK"/>
        </w:rPr>
        <w:t>Článok 1</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1. Najvyššie súdy a tribunály Vysokých zmluvných strán, tak ako sú stanovené v súlade s článkom 10, môžu požiadať súd, aby vydal poradné stanoviská k zásadným otázkam týkajúcim sa výkladu alebo uplatňovania práv a slobôd uvedených v dohovore alebo jeho protokoloch.</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2. Dožadujúci súd alebo tribunál môže požiadať o poradné stanovisko len v súvislosti s prípadom, ktorým sa zaoberá.</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3. Dožadujúci súd alebo tribunál zdôvodní svoju žiadosť a poskytne relevantné právne a vecné podklady k prípadu, ktorým sa zaoberá.</w:t>
      </w: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rPr>
      </w:pPr>
      <w:r w:rsidRPr="00CA0D2D">
        <w:rPr>
          <w:rFonts w:ascii="Times New Roman" w:eastAsia="Times New Roman" w:hAnsi="Times New Roman"/>
          <w:b/>
          <w:bCs/>
          <w:spacing w:val="-2"/>
          <w:sz w:val="24"/>
          <w:szCs w:val="24"/>
          <w:lang w:eastAsia="sk-SK" w:bidi="sk-SK"/>
        </w:rPr>
        <w:t>Článok 2</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1. Porota piatich sudcov veľkej komory rozhodne o prijatí žiadosti o stanovisko so zreteľom na článok 1. Porota uvedie dôvody pre prípadné odmietnutie prijatia žiadosti.</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2. Ak porota žiadosť prijme, veľká komora vydá poradné stanovisko.</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3. Porota a veľká komora, ako sú uvedené v predchádzajúcich odsekoch, pozostáva</w:t>
      </w:r>
      <w:r w:rsidRPr="00CA0D2D">
        <w:rPr>
          <w:rFonts w:ascii="Times New Roman" w:eastAsia="Times New Roman" w:hAnsi="Times New Roman"/>
          <w:i/>
          <w:iCs/>
          <w:spacing w:val="-2"/>
          <w:sz w:val="24"/>
          <w:szCs w:val="24"/>
          <w:lang w:eastAsia="sk-SK" w:bidi="sk-SK"/>
        </w:rPr>
        <w:t xml:space="preserve"> ex </w:t>
      </w:r>
      <w:proofErr w:type="spellStart"/>
      <w:r w:rsidRPr="00CA0D2D">
        <w:rPr>
          <w:rFonts w:ascii="Times New Roman" w:eastAsia="Times New Roman" w:hAnsi="Times New Roman"/>
          <w:i/>
          <w:iCs/>
          <w:spacing w:val="-2"/>
          <w:sz w:val="24"/>
          <w:szCs w:val="24"/>
          <w:lang w:eastAsia="sk-SK" w:bidi="sk-SK"/>
        </w:rPr>
        <w:t>officio</w:t>
      </w:r>
      <w:proofErr w:type="spellEnd"/>
      <w:r w:rsidRPr="00CA0D2D">
        <w:rPr>
          <w:rFonts w:ascii="Times New Roman" w:eastAsia="Times New Roman" w:hAnsi="Times New Roman"/>
          <w:spacing w:val="-2"/>
          <w:sz w:val="24"/>
          <w:szCs w:val="24"/>
          <w:lang w:eastAsia="sk-SK" w:bidi="sk-SK"/>
        </w:rPr>
        <w:t xml:space="preserve"> zo sudcu zvoleného za Vysokú zmluvnú stranu, pod ktorú patrí dožadujúci súd alebo tribunál. Ak takého sudcu niet, alebo ak tento sudca nemôže zasadať, zasadne ako sudca osoba vybraná predsedom súdu zo zoznamu vopred predloženého touto stranou.</w:t>
      </w: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rPr>
      </w:pPr>
      <w:r w:rsidRPr="00CA0D2D">
        <w:rPr>
          <w:rFonts w:ascii="Times New Roman" w:eastAsia="Times New Roman" w:hAnsi="Times New Roman"/>
          <w:b/>
          <w:bCs/>
          <w:spacing w:val="-2"/>
          <w:sz w:val="24"/>
          <w:szCs w:val="24"/>
          <w:lang w:eastAsia="sk-SK" w:bidi="sk-SK"/>
        </w:rPr>
        <w:t>Článok 3</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Komisár Rady Európy pre ľudské práva a Vysoká zmluvná strana, pod ktorú patrí dožadujúci súd alebo tribunál, majú právo predložiť písomné vyjadrenie a zúčastniť sa každého pojednávania. V záujme riadneho výkonu spravodlivosti môže predseda súdu vyzvať ktorúkoľvek inú Vysokú zmluvnú stranu alebo osobu, aby tiež predložila písomné vyjadrenie alebo sa zúčastnila niektorého pojednávania.</w:t>
      </w: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rPr>
      </w:pPr>
      <w:r w:rsidRPr="00CA0D2D">
        <w:rPr>
          <w:rFonts w:ascii="Times New Roman" w:eastAsia="Times New Roman" w:hAnsi="Times New Roman"/>
          <w:b/>
          <w:bCs/>
          <w:spacing w:val="-2"/>
          <w:sz w:val="24"/>
          <w:szCs w:val="24"/>
          <w:lang w:eastAsia="sk-SK" w:bidi="sk-SK"/>
        </w:rPr>
        <w:t xml:space="preserve">Článok 4 </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1. Poradné stanoviská sa majú odôvodniť.</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2. Ak poradné stanovisko nevyjadruje úplne alebo čiastočne jednomyseľný názor sudcov, každý sudca má právo k nemu pripojiť vlastné stanovisko.</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r w:rsidRPr="00CA0D2D">
        <w:rPr>
          <w:rFonts w:ascii="Times New Roman" w:eastAsia="Times New Roman" w:hAnsi="Times New Roman"/>
          <w:spacing w:val="-2"/>
          <w:sz w:val="24"/>
          <w:szCs w:val="24"/>
          <w:lang w:eastAsia="sk-SK" w:bidi="sk-SK"/>
        </w:rPr>
        <w:t>3. Poradné stanoviská sa oznamujú dožadujúcemu súdu alebo tribunálu, ako aj Vysokej zmluvnej strane, pod ktorú patrí tento súd alebo tribunál.</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4. Poradné stanoviská sa zverejňujú.</w:t>
      </w: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rPr>
      </w:pPr>
      <w:r w:rsidRPr="00CA0D2D">
        <w:rPr>
          <w:rFonts w:ascii="Times New Roman" w:eastAsia="Times New Roman" w:hAnsi="Times New Roman"/>
          <w:b/>
          <w:bCs/>
          <w:spacing w:val="-2"/>
          <w:sz w:val="24"/>
          <w:szCs w:val="24"/>
          <w:lang w:eastAsia="sk-SK" w:bidi="sk-SK"/>
        </w:rPr>
        <w:t>Článok 5</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Poradné stanoviská nie sú záväzné.</w:t>
      </w: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rPr>
      </w:pPr>
      <w:r w:rsidRPr="00CA0D2D">
        <w:rPr>
          <w:rFonts w:ascii="Times New Roman" w:eastAsia="Times New Roman" w:hAnsi="Times New Roman"/>
          <w:b/>
          <w:bCs/>
          <w:spacing w:val="-2"/>
          <w:sz w:val="24"/>
          <w:szCs w:val="24"/>
          <w:lang w:eastAsia="sk-SK" w:bidi="sk-SK"/>
        </w:rPr>
        <w:t>Článok 6</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 xml:space="preserve">Vysoké zmluvné strany považujú ustanovenia článkov 1 až 5 tohto protokolu za dodatkové články k dohovoru, a preto sa na ne primerane vzťahujú všetky ustanovenia dohovoru. </w:t>
      </w: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rPr>
      </w:pPr>
      <w:r w:rsidRPr="00CA0D2D">
        <w:rPr>
          <w:rFonts w:ascii="Times New Roman" w:eastAsia="Times New Roman" w:hAnsi="Times New Roman"/>
          <w:b/>
          <w:bCs/>
          <w:spacing w:val="-2"/>
          <w:sz w:val="24"/>
          <w:szCs w:val="24"/>
          <w:lang w:eastAsia="sk-SK" w:bidi="sk-SK"/>
        </w:rPr>
        <w:t>Článok 7</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1. Tento protokol je otvorený na podpis Vysokým zmluvným stranám dohovoru, ktoré môžu vyjadriť svoj súhlas byť viazané protokolom:</w:t>
      </w:r>
    </w:p>
    <w:p w:rsidR="00784496" w:rsidRPr="00CA0D2D" w:rsidRDefault="00784496" w:rsidP="00784496">
      <w:pPr>
        <w:tabs>
          <w:tab w:val="left" w:pos="709"/>
        </w:tabs>
        <w:spacing w:after="0" w:line="240" w:lineRule="auto"/>
        <w:ind w:left="708"/>
        <w:jc w:val="both"/>
        <w:rPr>
          <w:rFonts w:ascii="Times New Roman" w:eastAsia="Times New Roman" w:hAnsi="Times New Roman"/>
          <w:spacing w:val="-2"/>
          <w:sz w:val="24"/>
          <w:szCs w:val="24"/>
          <w:lang w:eastAsia="sk-SK" w:bidi="sk-SK"/>
        </w:rPr>
      </w:pPr>
      <w:r w:rsidRPr="00CA0D2D">
        <w:rPr>
          <w:rFonts w:ascii="Times New Roman" w:eastAsia="Times New Roman" w:hAnsi="Times New Roman"/>
          <w:spacing w:val="-2"/>
          <w:sz w:val="24"/>
          <w:szCs w:val="24"/>
          <w:lang w:eastAsia="sk-SK" w:bidi="sk-SK"/>
        </w:rPr>
        <w:tab/>
        <w:t xml:space="preserve">a) podpisom bez výhrady ratifikácie, prijatia alebo schválenia alebo </w:t>
      </w:r>
    </w:p>
    <w:p w:rsidR="00784496" w:rsidRPr="00CA0D2D" w:rsidRDefault="00784496" w:rsidP="00784496">
      <w:pPr>
        <w:spacing w:after="0" w:line="240" w:lineRule="auto"/>
        <w:ind w:left="993" w:hanging="284"/>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b) podpisom s výhradou ratifikácie, prijatia alebo schválenia, po ktorom bude nasledovať ratifikácia, prijatie alebo schválenie.</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2. Ratifikačné listiny, listiny o prijatí alebo schválení sa uložia u generálneho tajomníka Rady Európy.</w:t>
      </w: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rPr>
      </w:pPr>
      <w:r w:rsidRPr="00CA0D2D">
        <w:rPr>
          <w:rFonts w:ascii="Times New Roman" w:eastAsia="Times New Roman" w:hAnsi="Times New Roman"/>
          <w:b/>
          <w:bCs/>
          <w:spacing w:val="-2"/>
          <w:sz w:val="24"/>
          <w:szCs w:val="24"/>
          <w:lang w:eastAsia="sk-SK" w:bidi="sk-SK"/>
        </w:rPr>
        <w:t>Článok 8</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1. Tento protokol nadobudne platnosť v prvý deň mesiaca nasledujúceho po uplynutí doby troch mesiacov odo dňa, ku ktorému 10 Vysokých zmluvných strán vyjadrí svoj súhlas byť viazané týmto protokolom v súlade s ustanoveniami článku 7.</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lastRenderedPageBreak/>
        <w:t>2. Vo vzťahu ku každej Vysokej zmluvnej strane, ktorá následne vyjadrí svoj súhlas byť viazaná protokolom, tento protokol nadobudne platnosť v prvý deň mesiaca nasledujúceho po uplynutí doby troch mesiacov odo dňa vyjadrenia jej súhlasu byť viazaná protokolom v súlade s ustanoveniami článku 7.</w:t>
      </w: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rPr>
      </w:pPr>
      <w:r w:rsidRPr="00CA0D2D">
        <w:rPr>
          <w:rFonts w:ascii="Times New Roman" w:eastAsia="Times New Roman" w:hAnsi="Times New Roman"/>
          <w:b/>
          <w:bCs/>
          <w:spacing w:val="-2"/>
          <w:sz w:val="24"/>
          <w:szCs w:val="24"/>
          <w:lang w:eastAsia="sk-SK" w:bidi="sk-SK"/>
        </w:rPr>
        <w:t>Článok 9</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K ustanoveniam tohto protokolu nie je prípustná žiadna výhrada podľa článku 57 dohovoru.</w:t>
      </w: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rPr>
      </w:pPr>
      <w:r w:rsidRPr="00CA0D2D">
        <w:rPr>
          <w:rFonts w:ascii="Times New Roman" w:eastAsia="Times New Roman" w:hAnsi="Times New Roman"/>
          <w:b/>
          <w:bCs/>
          <w:spacing w:val="-2"/>
          <w:sz w:val="24"/>
          <w:szCs w:val="24"/>
          <w:lang w:eastAsia="sk-SK" w:bidi="sk-SK"/>
        </w:rPr>
        <w:t xml:space="preserve">Článok 10 </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Každá Vysoká zmluvná strana dohovoru v čase podpisu alebo pri ukladaní ratifikačnej listiny, listiny o prijatí alebo schválení prostredníctvom vyhlásenia adresovaného generálnemu tajomníkovi Rady Európy uvedie súdy alebo tribunály, ktoré označí na účely článku 1 odsek 1 tohto protokolu. Toto vyhlásenie sa môže kedykoľvek meniť rovnakým spôsobom.</w:t>
      </w: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b/>
          <w:bCs/>
          <w:spacing w:val="-2"/>
          <w:sz w:val="24"/>
          <w:szCs w:val="24"/>
          <w:lang w:eastAsia="sk-SK"/>
        </w:rPr>
      </w:pPr>
      <w:r w:rsidRPr="00CA0D2D">
        <w:rPr>
          <w:rFonts w:ascii="Times New Roman" w:eastAsia="Times New Roman" w:hAnsi="Times New Roman"/>
          <w:b/>
          <w:bCs/>
          <w:spacing w:val="-2"/>
          <w:sz w:val="24"/>
          <w:szCs w:val="24"/>
          <w:lang w:eastAsia="sk-SK" w:bidi="sk-SK"/>
        </w:rPr>
        <w:t>Článok 11</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Generálny tajomník Rady Európy oznámi členským štátom Rady Európy a ďalším Vysokým zmluvným stranám dohovoru:</w:t>
      </w:r>
    </w:p>
    <w:p w:rsidR="00784496" w:rsidRPr="00CA0D2D" w:rsidRDefault="00784496" w:rsidP="00784496">
      <w:pPr>
        <w:tabs>
          <w:tab w:val="left" w:pos="709"/>
        </w:tabs>
        <w:spacing w:after="0" w:line="240" w:lineRule="auto"/>
        <w:ind w:left="708"/>
        <w:jc w:val="both"/>
        <w:rPr>
          <w:rFonts w:ascii="Times New Roman" w:eastAsia="Times New Roman" w:hAnsi="Times New Roman"/>
          <w:spacing w:val="-2"/>
          <w:sz w:val="24"/>
          <w:szCs w:val="24"/>
          <w:lang w:eastAsia="sk-SK" w:bidi="sk-SK"/>
        </w:rPr>
      </w:pPr>
      <w:r w:rsidRPr="00CA0D2D">
        <w:rPr>
          <w:rFonts w:ascii="Times New Roman" w:eastAsia="Times New Roman" w:hAnsi="Times New Roman"/>
          <w:spacing w:val="-2"/>
          <w:sz w:val="24"/>
          <w:szCs w:val="24"/>
          <w:lang w:eastAsia="sk-SK" w:bidi="sk-SK"/>
        </w:rPr>
        <w:tab/>
        <w:t>a) každý podpis,</w:t>
      </w:r>
      <w:bookmarkStart w:id="0" w:name="_GoBack"/>
      <w:bookmarkEnd w:id="0"/>
    </w:p>
    <w:p w:rsidR="00784496" w:rsidRPr="00CA0D2D" w:rsidRDefault="00784496" w:rsidP="00784496">
      <w:pPr>
        <w:tabs>
          <w:tab w:val="left" w:pos="709"/>
        </w:tabs>
        <w:spacing w:after="0" w:line="240" w:lineRule="auto"/>
        <w:ind w:left="708"/>
        <w:jc w:val="both"/>
        <w:rPr>
          <w:rFonts w:ascii="Times New Roman" w:eastAsia="Times New Roman" w:hAnsi="Times New Roman"/>
          <w:spacing w:val="-2"/>
          <w:sz w:val="24"/>
          <w:szCs w:val="24"/>
          <w:lang w:eastAsia="sk-SK" w:bidi="sk-SK"/>
        </w:rPr>
      </w:pPr>
      <w:r w:rsidRPr="00CA0D2D">
        <w:rPr>
          <w:rFonts w:ascii="Times New Roman" w:eastAsia="Times New Roman" w:hAnsi="Times New Roman"/>
          <w:spacing w:val="-2"/>
          <w:sz w:val="24"/>
          <w:szCs w:val="24"/>
          <w:lang w:eastAsia="sk-SK" w:bidi="sk-SK"/>
        </w:rPr>
        <w:t>b) uloženie každej ratifikačnej listiny, listiny o prijatí alebo schválení,</w:t>
      </w:r>
    </w:p>
    <w:p w:rsidR="00784496" w:rsidRPr="00CA0D2D" w:rsidRDefault="00784496" w:rsidP="00784496">
      <w:pPr>
        <w:tabs>
          <w:tab w:val="left" w:pos="709"/>
        </w:tabs>
        <w:spacing w:after="0" w:line="240" w:lineRule="auto"/>
        <w:ind w:left="708"/>
        <w:jc w:val="both"/>
        <w:rPr>
          <w:rFonts w:ascii="Times New Roman" w:eastAsia="Times New Roman" w:hAnsi="Times New Roman"/>
          <w:spacing w:val="-2"/>
          <w:sz w:val="24"/>
          <w:szCs w:val="24"/>
          <w:lang w:eastAsia="sk-SK" w:bidi="sk-SK"/>
        </w:rPr>
      </w:pPr>
      <w:r w:rsidRPr="00CA0D2D">
        <w:rPr>
          <w:rFonts w:ascii="Times New Roman" w:eastAsia="Times New Roman" w:hAnsi="Times New Roman"/>
          <w:spacing w:val="-2"/>
          <w:sz w:val="24"/>
          <w:szCs w:val="24"/>
          <w:lang w:eastAsia="sk-SK" w:bidi="sk-SK"/>
        </w:rPr>
        <w:t>c) dátum nadobudnutia platnosti tohto protokolu v súlade s článkom 8,</w:t>
      </w:r>
    </w:p>
    <w:p w:rsidR="00784496" w:rsidRPr="00CA0D2D" w:rsidRDefault="00784496" w:rsidP="00784496">
      <w:pPr>
        <w:tabs>
          <w:tab w:val="left" w:pos="709"/>
        </w:tabs>
        <w:spacing w:after="0" w:line="240" w:lineRule="auto"/>
        <w:ind w:left="708"/>
        <w:jc w:val="both"/>
        <w:rPr>
          <w:rFonts w:ascii="Times New Roman" w:eastAsia="Times New Roman" w:hAnsi="Times New Roman"/>
          <w:spacing w:val="-2"/>
          <w:sz w:val="24"/>
          <w:szCs w:val="24"/>
          <w:lang w:eastAsia="sk-SK" w:bidi="sk-SK"/>
        </w:rPr>
      </w:pPr>
      <w:r w:rsidRPr="00CA0D2D">
        <w:rPr>
          <w:rFonts w:ascii="Times New Roman" w:eastAsia="Times New Roman" w:hAnsi="Times New Roman"/>
          <w:spacing w:val="-2"/>
          <w:sz w:val="24"/>
          <w:szCs w:val="24"/>
          <w:lang w:eastAsia="sk-SK" w:bidi="sk-SK"/>
        </w:rPr>
        <w:t>d) každé vyhlásenie uskutočnené v súlade s článkom 10 a</w:t>
      </w:r>
    </w:p>
    <w:p w:rsidR="00784496" w:rsidRPr="00CA0D2D" w:rsidRDefault="00784496" w:rsidP="00784496">
      <w:pPr>
        <w:tabs>
          <w:tab w:val="left" w:pos="709"/>
        </w:tabs>
        <w:spacing w:after="0" w:line="240" w:lineRule="auto"/>
        <w:ind w:left="708"/>
        <w:jc w:val="both"/>
        <w:rPr>
          <w:rFonts w:ascii="Times New Roman" w:eastAsia="Times New Roman" w:hAnsi="Times New Roman"/>
          <w:spacing w:val="-2"/>
          <w:sz w:val="24"/>
          <w:szCs w:val="24"/>
          <w:lang w:eastAsia="sk-SK" w:bidi="sk-SK"/>
        </w:rPr>
      </w:pPr>
      <w:r w:rsidRPr="00CA0D2D">
        <w:rPr>
          <w:rFonts w:ascii="Times New Roman" w:eastAsia="Times New Roman" w:hAnsi="Times New Roman"/>
          <w:spacing w:val="-2"/>
          <w:sz w:val="24"/>
          <w:szCs w:val="24"/>
          <w:lang w:eastAsia="sk-SK" w:bidi="sk-SK"/>
        </w:rPr>
        <w:t>e) akýkoľvek iný úkon, oznámenie alebo komunikáciu týkajúce sa tohto protokolu.</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Na dôkaz tohto dolu podpísaní, ktorí boli na to riadne splnomocnení, podpísali tento protokol.</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bidi="sk-SK"/>
        </w:rPr>
      </w:pP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r w:rsidRPr="00CA0D2D">
        <w:rPr>
          <w:rFonts w:ascii="Times New Roman" w:eastAsia="Times New Roman" w:hAnsi="Times New Roman"/>
          <w:spacing w:val="-2"/>
          <w:sz w:val="24"/>
          <w:szCs w:val="24"/>
          <w:lang w:eastAsia="sk-SK" w:bidi="sk-SK"/>
        </w:rPr>
        <w:t>Dané v [Štrasburgu] [2. októbra 2013] v  anglickom a francúzskom jazyku, pričom oba texty sú rovnako autentické, v jednom vyhotovení, ktoré sa uloží v archívoch Rady Európy. Generálny tajomník Rady Európy poskytne overenú kópiu všetkým členským štátom Rady Európy a ostatným Vysokým zmluvným stranám dohovoru.</w:t>
      </w:r>
    </w:p>
    <w:p w:rsidR="00784496" w:rsidRPr="00CA0D2D" w:rsidRDefault="00784496" w:rsidP="00784496">
      <w:pPr>
        <w:tabs>
          <w:tab w:val="left" w:pos="709"/>
        </w:tabs>
        <w:spacing w:after="0" w:line="240" w:lineRule="auto"/>
        <w:jc w:val="both"/>
        <w:rPr>
          <w:rFonts w:ascii="Times New Roman" w:eastAsia="Times New Roman" w:hAnsi="Times New Roman"/>
          <w:spacing w:val="-2"/>
          <w:sz w:val="24"/>
          <w:szCs w:val="24"/>
          <w:lang w:eastAsia="sk-SK"/>
        </w:rPr>
      </w:pPr>
    </w:p>
    <w:p w:rsidR="00784496" w:rsidRPr="00CA0D2D" w:rsidRDefault="00784496" w:rsidP="00784496">
      <w:pPr>
        <w:tabs>
          <w:tab w:val="left" w:pos="709"/>
        </w:tabs>
        <w:spacing w:after="0" w:line="240" w:lineRule="auto"/>
        <w:jc w:val="both"/>
        <w:rPr>
          <w:rFonts w:ascii="Times New Roman" w:eastAsia="Times New Roman" w:hAnsi="Times New Roman" w:cs="Arial"/>
          <w:color w:val="000000"/>
          <w:sz w:val="24"/>
          <w:szCs w:val="20"/>
          <w:lang w:eastAsia="sk-SK"/>
        </w:rPr>
      </w:pPr>
    </w:p>
    <w:p w:rsidR="00E45308" w:rsidRDefault="00E45308"/>
    <w:sectPr w:rsidR="00E453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F1" w:rsidRDefault="00965FF1" w:rsidP="00784496">
      <w:pPr>
        <w:spacing w:after="0" w:line="240" w:lineRule="auto"/>
      </w:pPr>
      <w:r>
        <w:separator/>
      </w:r>
    </w:p>
  </w:endnote>
  <w:endnote w:type="continuationSeparator" w:id="0">
    <w:p w:rsidR="00965FF1" w:rsidRDefault="00965FF1" w:rsidP="0078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0B7" w:rsidRPr="00784496" w:rsidRDefault="00965FF1">
    <w:pPr>
      <w:pStyle w:val="Pta"/>
      <w:jc w:val="right"/>
      <w:rPr>
        <w:rFonts w:ascii="Times New Roman" w:hAnsi="Times New Roman"/>
      </w:rPr>
    </w:pPr>
    <w:r w:rsidRPr="00784496">
      <w:rPr>
        <w:rFonts w:ascii="Times New Roman" w:hAnsi="Times New Roman"/>
      </w:rPr>
      <w:fldChar w:fldCharType="begin"/>
    </w:r>
    <w:r w:rsidRPr="00784496">
      <w:rPr>
        <w:rFonts w:ascii="Times New Roman" w:hAnsi="Times New Roman"/>
      </w:rPr>
      <w:instrText>PAGE   \* MERGEFORMAT</w:instrText>
    </w:r>
    <w:r w:rsidRPr="00784496">
      <w:rPr>
        <w:rFonts w:ascii="Times New Roman" w:hAnsi="Times New Roman"/>
      </w:rPr>
      <w:fldChar w:fldCharType="separate"/>
    </w:r>
    <w:r w:rsidR="00784496">
      <w:rPr>
        <w:rFonts w:ascii="Times New Roman" w:hAnsi="Times New Roman"/>
        <w:noProof/>
      </w:rPr>
      <w:t>3</w:t>
    </w:r>
    <w:r w:rsidRPr="00784496">
      <w:rPr>
        <w:rFonts w:ascii="Times New Roman" w:hAnsi="Times New Roman"/>
      </w:rPr>
      <w:fldChar w:fldCharType="end"/>
    </w:r>
  </w:p>
  <w:p w:rsidR="00FD20B7" w:rsidRDefault="00965FF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F1" w:rsidRDefault="00965FF1" w:rsidP="00784496">
      <w:pPr>
        <w:spacing w:after="0" w:line="240" w:lineRule="auto"/>
      </w:pPr>
      <w:r>
        <w:separator/>
      </w:r>
    </w:p>
  </w:footnote>
  <w:footnote w:type="continuationSeparator" w:id="0">
    <w:p w:rsidR="00965FF1" w:rsidRDefault="00965FF1" w:rsidP="007844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96"/>
    <w:rsid w:val="00784496"/>
    <w:rsid w:val="00965FF1"/>
    <w:rsid w:val="00E453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4496"/>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84496"/>
    <w:pPr>
      <w:tabs>
        <w:tab w:val="center" w:pos="4536"/>
        <w:tab w:val="right" w:pos="9072"/>
      </w:tabs>
    </w:pPr>
  </w:style>
  <w:style w:type="character" w:customStyle="1" w:styleId="PtaChar">
    <w:name w:val="Päta Char"/>
    <w:basedOn w:val="Predvolenpsmoodseku"/>
    <w:link w:val="Pta"/>
    <w:uiPriority w:val="99"/>
    <w:rsid w:val="00784496"/>
    <w:rPr>
      <w:rFonts w:ascii="Calibri" w:eastAsia="Calibri" w:hAnsi="Calibri" w:cs="Times New Roman"/>
    </w:rPr>
  </w:style>
  <w:style w:type="paragraph" w:styleId="Hlavika">
    <w:name w:val="header"/>
    <w:basedOn w:val="Normlny"/>
    <w:link w:val="HlavikaChar"/>
    <w:uiPriority w:val="99"/>
    <w:unhideWhenUsed/>
    <w:rsid w:val="0078449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449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4496"/>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84496"/>
    <w:pPr>
      <w:tabs>
        <w:tab w:val="center" w:pos="4536"/>
        <w:tab w:val="right" w:pos="9072"/>
      </w:tabs>
    </w:pPr>
  </w:style>
  <w:style w:type="character" w:customStyle="1" w:styleId="PtaChar">
    <w:name w:val="Päta Char"/>
    <w:basedOn w:val="Predvolenpsmoodseku"/>
    <w:link w:val="Pta"/>
    <w:uiPriority w:val="99"/>
    <w:rsid w:val="00784496"/>
    <w:rPr>
      <w:rFonts w:ascii="Calibri" w:eastAsia="Calibri" w:hAnsi="Calibri" w:cs="Times New Roman"/>
    </w:rPr>
  </w:style>
  <w:style w:type="paragraph" w:styleId="Hlavika">
    <w:name w:val="header"/>
    <w:basedOn w:val="Normlny"/>
    <w:link w:val="HlavikaChar"/>
    <w:uiPriority w:val="99"/>
    <w:unhideWhenUsed/>
    <w:rsid w:val="0078449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44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URBANOVA Jana</dc:creator>
  <cp:lastModifiedBy>URBANOVA Jana</cp:lastModifiedBy>
  <cp:revision>1</cp:revision>
  <dcterms:created xsi:type="dcterms:W3CDTF">2019-05-10T12:51:00Z</dcterms:created>
  <dcterms:modified xsi:type="dcterms:W3CDTF">2019-05-10T12:52:00Z</dcterms:modified>
</cp:coreProperties>
</file>