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21" w:rsidRPr="00F1787B" w:rsidRDefault="003C7421" w:rsidP="003C7421">
      <w:pPr>
        <w:jc w:val="both"/>
        <w:rPr>
          <w:b/>
          <w:color w:val="000000"/>
        </w:rPr>
      </w:pPr>
      <w:r w:rsidRPr="00F1787B">
        <w:rPr>
          <w:b/>
          <w:color w:val="000000"/>
        </w:rPr>
        <w:t>B. Osobitná časť</w:t>
      </w:r>
    </w:p>
    <w:p w:rsidR="000C1566" w:rsidRPr="00F1787B" w:rsidRDefault="000C1566" w:rsidP="00A35E22">
      <w:pPr>
        <w:jc w:val="both"/>
        <w:rPr>
          <w:bCs/>
        </w:rPr>
      </w:pPr>
    </w:p>
    <w:p w:rsidR="00FC18FB" w:rsidRPr="00F1787B" w:rsidRDefault="00FC18FB" w:rsidP="00A35E22">
      <w:pPr>
        <w:jc w:val="both"/>
        <w:rPr>
          <w:bCs/>
        </w:rPr>
      </w:pPr>
    </w:p>
    <w:p w:rsidR="00A35E22" w:rsidRPr="00F1787B" w:rsidRDefault="00A35E22" w:rsidP="00A35E22">
      <w:pPr>
        <w:jc w:val="both"/>
        <w:rPr>
          <w:b/>
          <w:bCs/>
        </w:rPr>
      </w:pPr>
      <w:r w:rsidRPr="00F1787B">
        <w:rPr>
          <w:b/>
          <w:bCs/>
        </w:rPr>
        <w:t>K článku I</w:t>
      </w:r>
    </w:p>
    <w:p w:rsidR="000D59C7" w:rsidRPr="00F1787B" w:rsidRDefault="000D59C7" w:rsidP="000D59C7">
      <w:pPr>
        <w:tabs>
          <w:tab w:val="left" w:pos="360"/>
        </w:tabs>
        <w:jc w:val="both"/>
      </w:pPr>
    </w:p>
    <w:p w:rsidR="005B5A40" w:rsidRPr="00F1787B" w:rsidRDefault="000D59C7" w:rsidP="005B5A4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>K</w:t>
      </w:r>
      <w:r w:rsidR="002B561E" w:rsidRPr="00F1787B">
        <w:rPr>
          <w:b/>
          <w:bCs/>
          <w:color w:val="000000"/>
        </w:rPr>
        <w:t> </w:t>
      </w:r>
      <w:r w:rsidRPr="00F1787B">
        <w:rPr>
          <w:b/>
          <w:bCs/>
          <w:color w:val="000000"/>
        </w:rPr>
        <w:t>bod</w:t>
      </w:r>
      <w:r w:rsidR="005B5A40" w:rsidRPr="00F1787B">
        <w:rPr>
          <w:b/>
          <w:bCs/>
          <w:color w:val="000000"/>
        </w:rPr>
        <w:t>u</w:t>
      </w:r>
      <w:r w:rsidR="002B561E" w:rsidRPr="00F1787B">
        <w:rPr>
          <w:b/>
          <w:bCs/>
          <w:color w:val="000000"/>
        </w:rPr>
        <w:t xml:space="preserve"> </w:t>
      </w:r>
      <w:r w:rsidRPr="00F1787B">
        <w:rPr>
          <w:b/>
          <w:bCs/>
          <w:color w:val="000000"/>
        </w:rPr>
        <w:t>1</w:t>
      </w:r>
      <w:r w:rsidR="00246741">
        <w:rPr>
          <w:b/>
          <w:bCs/>
          <w:color w:val="000000"/>
        </w:rPr>
        <w:t>a 6</w:t>
      </w:r>
    </w:p>
    <w:p w:rsidR="00620A7C" w:rsidRDefault="00E801B1" w:rsidP="002A2B2A">
      <w:pPr>
        <w:ind w:firstLine="567"/>
        <w:jc w:val="both"/>
      </w:pPr>
      <w:r w:rsidRPr="00F1787B">
        <w:t>Legislatív</w:t>
      </w:r>
      <w:r w:rsidR="001D0D3D" w:rsidRPr="00F1787B">
        <w:t>no-technická úprava</w:t>
      </w:r>
      <w:r w:rsidR="00620A7C">
        <w:t>.</w:t>
      </w:r>
    </w:p>
    <w:p w:rsidR="00620A7C" w:rsidRDefault="00620A7C" w:rsidP="002A2B2A">
      <w:pPr>
        <w:jc w:val="both"/>
      </w:pPr>
    </w:p>
    <w:p w:rsidR="00620A7C" w:rsidRDefault="00620A7C" w:rsidP="00620A7C">
      <w:pPr>
        <w:jc w:val="both"/>
      </w:pPr>
      <w:r w:rsidRPr="00F1787B">
        <w:rPr>
          <w:b/>
          <w:bCs/>
          <w:color w:val="000000"/>
        </w:rPr>
        <w:t xml:space="preserve">K bodu </w:t>
      </w:r>
      <w:r>
        <w:rPr>
          <w:b/>
          <w:bCs/>
          <w:color w:val="000000"/>
        </w:rPr>
        <w:t>2</w:t>
      </w:r>
      <w:r w:rsidR="00837923">
        <w:rPr>
          <w:b/>
          <w:bCs/>
          <w:color w:val="000000"/>
        </w:rPr>
        <w:t>, 3,</w:t>
      </w:r>
      <w:r w:rsidR="0053142E">
        <w:rPr>
          <w:b/>
          <w:bCs/>
          <w:color w:val="000000"/>
        </w:rPr>
        <w:t xml:space="preserve"> </w:t>
      </w:r>
      <w:r w:rsidR="00837923">
        <w:rPr>
          <w:b/>
          <w:bCs/>
          <w:color w:val="000000"/>
        </w:rPr>
        <w:t>4, 5</w:t>
      </w:r>
      <w:r w:rsidR="00246741">
        <w:rPr>
          <w:b/>
          <w:bCs/>
          <w:color w:val="000000"/>
        </w:rPr>
        <w:t xml:space="preserve"> </w:t>
      </w:r>
      <w:r w:rsidR="00837923">
        <w:rPr>
          <w:b/>
          <w:bCs/>
          <w:color w:val="000000"/>
        </w:rPr>
        <w:t>a</w:t>
      </w:r>
      <w:r w:rsidRPr="00F1787B">
        <w:rPr>
          <w:b/>
          <w:bCs/>
          <w:color w:val="000000"/>
        </w:rPr>
        <w:t xml:space="preserve"> </w:t>
      </w:r>
      <w:r w:rsidR="00854587">
        <w:rPr>
          <w:b/>
          <w:bCs/>
          <w:color w:val="000000"/>
        </w:rPr>
        <w:t>8</w:t>
      </w:r>
    </w:p>
    <w:p w:rsidR="00E801B1" w:rsidRDefault="00620A7C" w:rsidP="002A2B2A">
      <w:pPr>
        <w:ind w:firstLine="567"/>
        <w:jc w:val="both"/>
      </w:pPr>
      <w:r w:rsidRPr="00F1787B">
        <w:t xml:space="preserve">Legislatívno-technická úprava </w:t>
      </w:r>
      <w:r w:rsidR="001D0D3D" w:rsidRPr="00F1787B">
        <w:t xml:space="preserve">súvisiaca so </w:t>
      </w:r>
      <w:r>
        <w:t xml:space="preserve">zavedením a </w:t>
      </w:r>
      <w:r w:rsidR="001D0D3D" w:rsidRPr="00F1787B">
        <w:t>spresnením definície základných pojmov.</w:t>
      </w:r>
    </w:p>
    <w:p w:rsidR="00837923" w:rsidRPr="00F1787B" w:rsidRDefault="00837923" w:rsidP="00D10C2E">
      <w:pPr>
        <w:jc w:val="both"/>
      </w:pPr>
    </w:p>
    <w:p w:rsidR="00E801B1" w:rsidRDefault="00837923" w:rsidP="00E801B1">
      <w:pPr>
        <w:jc w:val="both"/>
        <w:rPr>
          <w:b/>
          <w:bCs/>
        </w:rPr>
      </w:pPr>
      <w:r w:rsidRPr="00837923">
        <w:rPr>
          <w:b/>
          <w:bCs/>
        </w:rPr>
        <w:t>K</w:t>
      </w:r>
      <w:r>
        <w:rPr>
          <w:b/>
          <w:bCs/>
        </w:rPr>
        <w:t> </w:t>
      </w:r>
      <w:r w:rsidRPr="00837923">
        <w:rPr>
          <w:b/>
          <w:bCs/>
        </w:rPr>
        <w:t>bodu</w:t>
      </w:r>
      <w:r w:rsidR="00854587">
        <w:rPr>
          <w:b/>
          <w:bCs/>
        </w:rPr>
        <w:t xml:space="preserve"> 7</w:t>
      </w:r>
    </w:p>
    <w:p w:rsidR="00837923" w:rsidRPr="00837923" w:rsidRDefault="00837923" w:rsidP="00837923">
      <w:pPr>
        <w:ind w:firstLine="567"/>
        <w:jc w:val="both"/>
      </w:pPr>
      <w:r w:rsidRPr="00837923">
        <w:t xml:space="preserve">Legislatívno-technická úprava súvisiaca so spresnením definície plynárenského podniku. Definícia je pre účely návrhu zákona zosúladená so zákonom č. 251/2012 Z. z. o energetike </w:t>
      </w:r>
      <w:r w:rsidR="0046419B">
        <w:br/>
      </w:r>
      <w:r w:rsidRPr="00837923">
        <w:t>a o zmene a doplnení niektorých zákonov. Z definície vyplýva okruh osôb povinných registrovať sa ako platiteľ dane zo zemného plynu</w:t>
      </w:r>
      <w:r w:rsidR="00261805">
        <w:t xml:space="preserve">. </w:t>
      </w:r>
      <w:r w:rsidRPr="00261805">
        <w:t>Ako platiteľ dane zo zemného plynu teda</w:t>
      </w:r>
      <w:r w:rsidRPr="00837923">
        <w:t xml:space="preserve"> nie sú povinné registrovať sa domácnosti a zahraničné osoby iné ako tie, ktoré na daňovom území realizujú dodávky zemného plynu koncovým odberateľom zemného plynu v domácnosti. Zahraničným osobám nevyplýva povinnosť preukázať sa svojmu dodávateľovi zemného plynu pred prvým odberom zemného plynu osvedčením o registrácii platiteľa dane, keďže tieto nie sú povinné registrovať sa a zákon im túto povinnosť neukladá.</w:t>
      </w:r>
    </w:p>
    <w:p w:rsidR="00837923" w:rsidRPr="00F1787B" w:rsidRDefault="00837923" w:rsidP="00E801B1">
      <w:pPr>
        <w:jc w:val="both"/>
      </w:pPr>
    </w:p>
    <w:p w:rsidR="001D0D3D" w:rsidRPr="00F1787B" w:rsidRDefault="001D0D3D" w:rsidP="00E801B1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 xml:space="preserve">K bodu </w:t>
      </w:r>
      <w:r w:rsidR="00854587">
        <w:rPr>
          <w:b/>
          <w:bCs/>
          <w:color w:val="000000"/>
        </w:rPr>
        <w:t>9</w:t>
      </w:r>
    </w:p>
    <w:p w:rsidR="001D0D3D" w:rsidRPr="00F1787B" w:rsidRDefault="00960473" w:rsidP="002A2B2A">
      <w:pPr>
        <w:ind w:firstLine="567"/>
        <w:jc w:val="both"/>
      </w:pPr>
      <w:r w:rsidRPr="00F1787B">
        <w:t>Navrhovanou úpravou sa upravuje text zákona tak,</w:t>
      </w:r>
      <w:r w:rsidR="001D0D3D" w:rsidRPr="00F1787B">
        <w:t xml:space="preserve"> aby bolo zrejmé, že pod predmetné ustanovenie spadá aj </w:t>
      </w:r>
      <w:r w:rsidR="00261805" w:rsidRPr="00261805">
        <w:t>osobitné ustanovenie pre stlačený zemný plyn.</w:t>
      </w:r>
    </w:p>
    <w:p w:rsidR="001D0D3D" w:rsidRPr="00F1787B" w:rsidRDefault="001D0D3D" w:rsidP="001D0D3D">
      <w:pPr>
        <w:jc w:val="both"/>
      </w:pPr>
    </w:p>
    <w:p w:rsidR="001D0D3D" w:rsidRPr="00F1787B" w:rsidRDefault="001D0D3D" w:rsidP="001D0D3D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 xml:space="preserve">K bodu </w:t>
      </w:r>
      <w:r w:rsidR="00854587">
        <w:rPr>
          <w:b/>
          <w:bCs/>
          <w:color w:val="000000"/>
        </w:rPr>
        <w:t>10</w:t>
      </w:r>
    </w:p>
    <w:p w:rsidR="00960473" w:rsidRPr="00F1787B" w:rsidRDefault="00960473" w:rsidP="002A2B2A">
      <w:pPr>
        <w:ind w:firstLine="567"/>
        <w:jc w:val="both"/>
      </w:pPr>
      <w:r w:rsidRPr="00F1787B">
        <w:t>Navrhovanou úpravou sa upravuje definícia správcu</w:t>
      </w:r>
      <w:r w:rsidR="00A34157" w:rsidRPr="00F1787B">
        <w:t xml:space="preserve"> dane</w:t>
      </w:r>
      <w:r w:rsidRPr="00F1787B">
        <w:t>. Cieľom úpravy je jej zosúladenie daňový</w:t>
      </w:r>
      <w:r w:rsidR="00E140A7">
        <w:t>m</w:t>
      </w:r>
      <w:r w:rsidRPr="00F1787B">
        <w:t xml:space="preserve"> </w:t>
      </w:r>
      <w:r w:rsidR="00E140A7" w:rsidRPr="00F1787B">
        <w:t>poriadko</w:t>
      </w:r>
      <w:r w:rsidR="00E140A7">
        <w:t>m.</w:t>
      </w:r>
    </w:p>
    <w:p w:rsidR="00960473" w:rsidRPr="00F1787B" w:rsidRDefault="00960473" w:rsidP="00960473">
      <w:pPr>
        <w:jc w:val="both"/>
      </w:pPr>
    </w:p>
    <w:p w:rsidR="00960473" w:rsidRPr="00F1787B" w:rsidRDefault="00960473" w:rsidP="00960473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 xml:space="preserve">K bodu </w:t>
      </w:r>
      <w:r w:rsidR="00854587">
        <w:rPr>
          <w:b/>
          <w:bCs/>
          <w:color w:val="000000"/>
        </w:rPr>
        <w:t>11</w:t>
      </w:r>
      <w:r w:rsidR="00EE4544">
        <w:rPr>
          <w:b/>
          <w:bCs/>
          <w:color w:val="000000"/>
        </w:rPr>
        <w:t xml:space="preserve"> a</w:t>
      </w:r>
      <w:r w:rsidR="00C63135">
        <w:rPr>
          <w:b/>
          <w:bCs/>
          <w:color w:val="000000"/>
        </w:rPr>
        <w:t xml:space="preserve"> </w:t>
      </w:r>
      <w:r w:rsidR="00854587">
        <w:rPr>
          <w:b/>
          <w:bCs/>
          <w:color w:val="000000"/>
        </w:rPr>
        <w:t>44</w:t>
      </w:r>
    </w:p>
    <w:p w:rsidR="001D0D3D" w:rsidRPr="00F1787B" w:rsidRDefault="00960473" w:rsidP="003801CB">
      <w:pPr>
        <w:ind w:firstLine="708"/>
        <w:jc w:val="both"/>
      </w:pPr>
      <w:r w:rsidRPr="00F1787B">
        <w:t>Legislatívno-techni</w:t>
      </w:r>
      <w:r w:rsidR="001D541F">
        <w:t>cká úprava súvisiaca s</w:t>
      </w:r>
      <w:r w:rsidR="00E140A7">
        <w:t xml:space="preserve"> vypustením </w:t>
      </w:r>
      <w:r w:rsidRPr="00F1787B">
        <w:t xml:space="preserve">odseku 1 </w:t>
      </w:r>
      <w:r w:rsidR="001D541F">
        <w:t xml:space="preserve">v § 6 a § 30 </w:t>
      </w:r>
      <w:r w:rsidR="001D541F" w:rsidRPr="00837923">
        <w:t xml:space="preserve">zákona </w:t>
      </w:r>
      <w:r w:rsidR="001D541F">
        <w:br/>
      </w:r>
      <w:r w:rsidR="001D541F" w:rsidRPr="00837923">
        <w:t>č. 609/2007 Z. z.</w:t>
      </w:r>
      <w:r w:rsidR="001D541F">
        <w:t xml:space="preserve"> </w:t>
      </w:r>
      <w:r w:rsidRPr="00F1787B">
        <w:t>s ohľadom na jeho exspiráciu.</w:t>
      </w:r>
    </w:p>
    <w:p w:rsidR="00960473" w:rsidRPr="002A2B2A" w:rsidRDefault="00960473" w:rsidP="001D0D3D">
      <w:pPr>
        <w:jc w:val="both"/>
        <w:rPr>
          <w:bCs/>
          <w:color w:val="000000"/>
        </w:rPr>
      </w:pPr>
    </w:p>
    <w:p w:rsidR="00960473" w:rsidRPr="00F1787B" w:rsidRDefault="00960473" w:rsidP="001D0D3D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 xml:space="preserve">K bodu </w:t>
      </w:r>
      <w:r w:rsidR="00854587">
        <w:rPr>
          <w:b/>
          <w:bCs/>
          <w:color w:val="000000"/>
        </w:rPr>
        <w:t>12</w:t>
      </w:r>
      <w:r w:rsidR="00826357">
        <w:rPr>
          <w:b/>
          <w:bCs/>
          <w:color w:val="000000"/>
        </w:rPr>
        <w:t>,</w:t>
      </w:r>
      <w:r w:rsidR="00854587">
        <w:rPr>
          <w:b/>
          <w:bCs/>
          <w:color w:val="000000"/>
        </w:rPr>
        <w:t xml:space="preserve"> 13</w:t>
      </w:r>
      <w:r w:rsidR="001D541F">
        <w:rPr>
          <w:b/>
          <w:bCs/>
          <w:color w:val="000000"/>
        </w:rPr>
        <w:t>,</w:t>
      </w:r>
      <w:r w:rsidR="00826357">
        <w:rPr>
          <w:b/>
          <w:bCs/>
          <w:color w:val="000000"/>
        </w:rPr>
        <w:t xml:space="preserve"> </w:t>
      </w:r>
      <w:r w:rsidRPr="00F1787B">
        <w:rPr>
          <w:b/>
          <w:bCs/>
          <w:color w:val="000000"/>
        </w:rPr>
        <w:t>1</w:t>
      </w:r>
      <w:r w:rsidR="00854587">
        <w:rPr>
          <w:b/>
          <w:bCs/>
          <w:color w:val="000000"/>
        </w:rPr>
        <w:t>5</w:t>
      </w:r>
      <w:r w:rsidR="003A6FF4" w:rsidRPr="0026374B">
        <w:rPr>
          <w:b/>
          <w:bCs/>
          <w:color w:val="000000"/>
        </w:rPr>
        <w:t xml:space="preserve">, </w:t>
      </w:r>
      <w:r w:rsidR="00816C7F" w:rsidRPr="0026374B">
        <w:rPr>
          <w:b/>
          <w:bCs/>
          <w:color w:val="000000"/>
        </w:rPr>
        <w:t>2</w:t>
      </w:r>
      <w:r w:rsidR="00854587">
        <w:rPr>
          <w:b/>
          <w:bCs/>
          <w:color w:val="000000"/>
        </w:rPr>
        <w:t>6</w:t>
      </w:r>
      <w:r w:rsidR="00536112" w:rsidRPr="0026374B">
        <w:rPr>
          <w:b/>
          <w:bCs/>
          <w:color w:val="000000"/>
        </w:rPr>
        <w:t xml:space="preserve">, </w:t>
      </w:r>
      <w:r w:rsidR="00854587">
        <w:rPr>
          <w:b/>
          <w:bCs/>
          <w:color w:val="000000"/>
        </w:rPr>
        <w:t>45</w:t>
      </w:r>
      <w:r w:rsidR="00816C7F" w:rsidRPr="008E3815">
        <w:rPr>
          <w:b/>
          <w:bCs/>
          <w:color w:val="000000"/>
        </w:rPr>
        <w:t xml:space="preserve">, </w:t>
      </w:r>
      <w:r w:rsidR="00854587">
        <w:rPr>
          <w:b/>
          <w:bCs/>
          <w:color w:val="000000"/>
        </w:rPr>
        <w:t>49</w:t>
      </w:r>
      <w:r w:rsidR="00816C7F" w:rsidRPr="008E3815">
        <w:rPr>
          <w:b/>
          <w:bCs/>
          <w:color w:val="000000"/>
        </w:rPr>
        <w:t xml:space="preserve"> a </w:t>
      </w:r>
      <w:r w:rsidR="00854587">
        <w:rPr>
          <w:b/>
          <w:bCs/>
          <w:color w:val="000000"/>
        </w:rPr>
        <w:t>54</w:t>
      </w:r>
    </w:p>
    <w:p w:rsidR="00960473" w:rsidRDefault="00081CE0" w:rsidP="002A2B2A">
      <w:pPr>
        <w:ind w:firstLine="567"/>
        <w:jc w:val="both"/>
      </w:pPr>
      <w:r w:rsidRPr="00F1787B">
        <w:t>Legislatívno-technická úprava súvisiaca s aktualizáciou právneho predpisu, na ktorý sa zákon odkazuje.</w:t>
      </w:r>
    </w:p>
    <w:p w:rsidR="00826357" w:rsidRDefault="00826357" w:rsidP="002A2B2A">
      <w:pPr>
        <w:jc w:val="both"/>
      </w:pPr>
    </w:p>
    <w:p w:rsidR="00826357" w:rsidRPr="00826357" w:rsidRDefault="00854587" w:rsidP="00826357">
      <w:pPr>
        <w:jc w:val="both"/>
        <w:rPr>
          <w:b/>
        </w:rPr>
      </w:pPr>
      <w:r>
        <w:rPr>
          <w:b/>
        </w:rPr>
        <w:t>K bodu 14</w:t>
      </w:r>
    </w:p>
    <w:p w:rsidR="00081CE0" w:rsidRDefault="003767FC" w:rsidP="002A2B2A">
      <w:pPr>
        <w:ind w:firstLine="567"/>
        <w:jc w:val="both"/>
      </w:pPr>
      <w:r w:rsidRPr="00F1787B">
        <w:t>Navrhovanou úpravou sa text ustanovenia upravuje tak</w:t>
      </w:r>
      <w:r>
        <w:t>, aby sa predišlo prípadom, kedy si subjekt uplatní dvojité oslobodenie od dane</w:t>
      </w:r>
      <w:r w:rsidR="0053142E">
        <w:t>.</w:t>
      </w:r>
      <w:r>
        <w:t xml:space="preserve"> </w:t>
      </w:r>
    </w:p>
    <w:p w:rsidR="00585365" w:rsidRDefault="00585365" w:rsidP="00F34E83">
      <w:pPr>
        <w:jc w:val="both"/>
      </w:pPr>
    </w:p>
    <w:p w:rsidR="00081CE0" w:rsidRPr="00F1787B" w:rsidRDefault="00081CE0" w:rsidP="00081CE0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t>K bodu 1</w:t>
      </w:r>
      <w:r w:rsidR="00854587">
        <w:rPr>
          <w:b/>
          <w:bCs/>
          <w:color w:val="000000"/>
        </w:rPr>
        <w:t>6</w:t>
      </w:r>
    </w:p>
    <w:p w:rsidR="00081CE0" w:rsidRPr="00F1787B" w:rsidRDefault="00081CE0" w:rsidP="002A2B2A">
      <w:pPr>
        <w:ind w:firstLine="567"/>
        <w:jc w:val="both"/>
      </w:pPr>
      <w:r w:rsidRPr="00F1787B">
        <w:t xml:space="preserve">Navrhovanou úpravou sa zavádza </w:t>
      </w:r>
      <w:r w:rsidR="003A6FF4" w:rsidRPr="00F1787B">
        <w:t xml:space="preserve">a </w:t>
      </w:r>
      <w:r w:rsidRPr="00F1787B">
        <w:t>spresňuje definícia identifikačných údajov, ktoré musí obsahovať žiadosť o registráciu oprávneného spotrebiteľa elektriny a žiadosť o vydanie povolenia na oslobodenú elektrinu. Uvedená úprava je nevyhnutná z dôvodu právnej istoty daňových subjektov, ako aj správcu dane.</w:t>
      </w:r>
    </w:p>
    <w:p w:rsidR="00081CE0" w:rsidRDefault="00081CE0">
      <w:pPr>
        <w:jc w:val="both"/>
      </w:pPr>
    </w:p>
    <w:p w:rsidR="00D10C2E" w:rsidRPr="00F1787B" w:rsidRDefault="00D10C2E">
      <w:pPr>
        <w:jc w:val="both"/>
      </w:pPr>
    </w:p>
    <w:p w:rsidR="00081CE0" w:rsidRDefault="00081CE0" w:rsidP="00081CE0">
      <w:pPr>
        <w:jc w:val="both"/>
        <w:rPr>
          <w:b/>
          <w:bCs/>
          <w:color w:val="000000"/>
        </w:rPr>
      </w:pPr>
      <w:r w:rsidRPr="00F1787B">
        <w:rPr>
          <w:b/>
          <w:bCs/>
          <w:color w:val="000000"/>
        </w:rPr>
        <w:lastRenderedPageBreak/>
        <w:t>K bodu 1</w:t>
      </w:r>
      <w:r w:rsidR="00854587">
        <w:rPr>
          <w:b/>
          <w:bCs/>
          <w:color w:val="000000"/>
        </w:rPr>
        <w:t>7</w:t>
      </w:r>
    </w:p>
    <w:p w:rsidR="0098728F" w:rsidRPr="0098728F" w:rsidRDefault="0098728F" w:rsidP="002A2B2A">
      <w:pPr>
        <w:ind w:firstLine="567"/>
        <w:jc w:val="both"/>
        <w:rPr>
          <w:bCs/>
          <w:color w:val="000000"/>
        </w:rPr>
      </w:pPr>
      <w:r w:rsidRPr="0098728F">
        <w:rPr>
          <w:bCs/>
          <w:color w:val="000000"/>
        </w:rPr>
        <w:t xml:space="preserve">Legislatívno-technická úprava, ktorou sa </w:t>
      </w:r>
      <w:r w:rsidR="00F34E83">
        <w:rPr>
          <w:bCs/>
          <w:color w:val="000000"/>
        </w:rPr>
        <w:t>precizuje text a zosúlaďuje sa s ostatnými zákonmi o spotrebných daniach.</w:t>
      </w:r>
    </w:p>
    <w:p w:rsidR="00F5099A" w:rsidRPr="00D10C2E" w:rsidRDefault="00F5099A" w:rsidP="0098728F">
      <w:pPr>
        <w:jc w:val="both"/>
        <w:rPr>
          <w:bCs/>
          <w:color w:val="000000"/>
        </w:rPr>
      </w:pPr>
    </w:p>
    <w:p w:rsidR="0098728F" w:rsidRPr="00F1787B" w:rsidRDefault="00854587" w:rsidP="0098728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18</w:t>
      </w:r>
    </w:p>
    <w:p w:rsidR="003A6FF4" w:rsidRDefault="00081CE0" w:rsidP="002A2B2A">
      <w:pPr>
        <w:ind w:firstLine="567"/>
        <w:jc w:val="both"/>
      </w:pPr>
      <w:r w:rsidRPr="00F1787B">
        <w:t>Navrhovanou úpravou sa v nadväznosti na elektronizáciu spoločnosti spresňuje text ustanovenia tak, aby bolo možné rozšíriť možnosti odovzdania povolenia na oslobodenú elektrinu aj o</w:t>
      </w:r>
      <w:r w:rsidR="00C12F3B" w:rsidRPr="00F1787B">
        <w:t xml:space="preserve"> jeho </w:t>
      </w:r>
      <w:r w:rsidRPr="00F1787B">
        <w:t xml:space="preserve">elektronické </w:t>
      </w:r>
      <w:r w:rsidR="00C12F3B" w:rsidRPr="00F1787B">
        <w:t>doručenie.</w:t>
      </w:r>
    </w:p>
    <w:p w:rsidR="00F5099A" w:rsidRPr="00F1787B" w:rsidRDefault="00F5099A" w:rsidP="00D10C2E">
      <w:pPr>
        <w:jc w:val="both"/>
      </w:pPr>
    </w:p>
    <w:p w:rsidR="0098728F" w:rsidRDefault="00854587" w:rsidP="0098728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19</w:t>
      </w:r>
    </w:p>
    <w:p w:rsidR="003A6FF4" w:rsidRPr="00F1787B" w:rsidRDefault="003A6FF4" w:rsidP="002A2B2A">
      <w:pPr>
        <w:ind w:firstLine="567"/>
        <w:jc w:val="both"/>
      </w:pPr>
      <w:r w:rsidRPr="00F1787B">
        <w:t>Navrhovanou úpravou sa zosúlaďuje lehota na nahlasovanie zmien oprávnenými spotrebiteľmi s lehotou na nahlasovanie zmien platiteľmi dane.</w:t>
      </w:r>
    </w:p>
    <w:p w:rsidR="00DD32A4" w:rsidRPr="002A2B2A" w:rsidRDefault="00DD32A4" w:rsidP="0098728F">
      <w:pPr>
        <w:jc w:val="both"/>
        <w:rPr>
          <w:bCs/>
          <w:color w:val="000000"/>
        </w:rPr>
      </w:pPr>
    </w:p>
    <w:p w:rsidR="00A55A58" w:rsidRDefault="00854587" w:rsidP="0098728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20</w:t>
      </w:r>
    </w:p>
    <w:p w:rsidR="00A55A58" w:rsidRDefault="007F2985" w:rsidP="002A2B2A">
      <w:pPr>
        <w:ind w:firstLine="567"/>
        <w:jc w:val="both"/>
      </w:pPr>
      <w:r w:rsidRPr="00F1787B">
        <w:t>Navrhovanou úpravou sa</w:t>
      </w:r>
      <w:r>
        <w:t xml:space="preserve"> </w:t>
      </w:r>
      <w:r w:rsidRPr="00F1787B">
        <w:t>text ustanovenia upravuje tak</w:t>
      </w:r>
      <w:r w:rsidR="003B3D84">
        <w:t>, aby bolo zrejmé, že vydané</w:t>
      </w:r>
      <w:r>
        <w:t xml:space="preserve"> povolenie na o</w:t>
      </w:r>
      <w:r w:rsidR="003B3D84">
        <w:t>slobodenú elektrinu je vydané</w:t>
      </w:r>
      <w:r>
        <w:t xml:space="preserve"> na konkrétneho dodávateľa elektriny a oprávnený spotrebiteľ </w:t>
      </w:r>
      <w:r w:rsidR="00F34E83">
        <w:t xml:space="preserve">elektriny </w:t>
      </w:r>
      <w:r>
        <w:t>sa ním nemôže preukázať akémukoľvek dodávateľovi elektriny.</w:t>
      </w:r>
    </w:p>
    <w:p w:rsidR="00536112" w:rsidRPr="002A2B2A" w:rsidRDefault="00536112" w:rsidP="002A2B2A">
      <w:pPr>
        <w:jc w:val="both"/>
        <w:rPr>
          <w:bCs/>
          <w:color w:val="000000"/>
        </w:rPr>
      </w:pPr>
    </w:p>
    <w:p w:rsidR="0098728F" w:rsidRPr="00F1787B" w:rsidRDefault="00854587" w:rsidP="0098728F">
      <w:pPr>
        <w:jc w:val="both"/>
      </w:pPr>
      <w:r>
        <w:rPr>
          <w:b/>
          <w:bCs/>
          <w:color w:val="000000"/>
        </w:rPr>
        <w:t>K bodu 21</w:t>
      </w:r>
    </w:p>
    <w:p w:rsidR="0098728F" w:rsidRPr="00F1787B" w:rsidRDefault="0098728F" w:rsidP="002A2B2A">
      <w:pPr>
        <w:ind w:firstLine="567"/>
        <w:jc w:val="both"/>
      </w:pPr>
      <w:r w:rsidRPr="00F1787B">
        <w:t xml:space="preserve">Navrhovanou úpravou sa text ustanovenia upravuje tak, aby bola osobe, ktorá vstúpila do reštrukturalizácie umožnená registrácia a aby mohla vykonávať aj naďalej podnikateľskú činnosť spojenú výhradne s registráciou platiteľa dane, keďže účelom reštrukturalizácie je ekonomické ozdravenie a zlepšenie hospodárskych výsledkov podnikateľa. </w:t>
      </w:r>
    </w:p>
    <w:p w:rsidR="0026374B" w:rsidRPr="002A2B2A" w:rsidRDefault="0026374B" w:rsidP="003A6FF4">
      <w:pPr>
        <w:jc w:val="both"/>
        <w:rPr>
          <w:bCs/>
          <w:color w:val="000000"/>
        </w:rPr>
      </w:pPr>
    </w:p>
    <w:p w:rsidR="0098728F" w:rsidRDefault="00854587" w:rsidP="003A6FF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22</w:t>
      </w:r>
    </w:p>
    <w:p w:rsidR="00826357" w:rsidRPr="001C7DF6" w:rsidRDefault="001C7DF6" w:rsidP="002A2B2A">
      <w:pPr>
        <w:ind w:firstLine="567"/>
        <w:jc w:val="both"/>
        <w:rPr>
          <w:bCs/>
          <w:color w:val="000000"/>
        </w:rPr>
      </w:pPr>
      <w:r w:rsidRPr="001C7DF6">
        <w:rPr>
          <w:bCs/>
          <w:color w:val="000000"/>
        </w:rPr>
        <w:t xml:space="preserve">Navrhovanou úpravou </w:t>
      </w:r>
      <w:r w:rsidRPr="00F1787B">
        <w:t>sa text ustanovenia upravuje tak</w:t>
      </w:r>
      <w:r>
        <w:t>, aby bolo možné odňať povolenie na oslobodenú elektrinu osobe, ktorá prestala spĺňať podmienky na jeho vydanie.</w:t>
      </w:r>
    </w:p>
    <w:p w:rsidR="00826357" w:rsidRPr="002A2B2A" w:rsidRDefault="00826357" w:rsidP="003A6FF4">
      <w:pPr>
        <w:jc w:val="both"/>
        <w:rPr>
          <w:bCs/>
          <w:color w:val="000000"/>
        </w:rPr>
      </w:pPr>
    </w:p>
    <w:p w:rsidR="00A55A58" w:rsidRDefault="0053142E" w:rsidP="003A6FF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2</w:t>
      </w:r>
      <w:r w:rsidR="00854587">
        <w:rPr>
          <w:b/>
          <w:bCs/>
          <w:color w:val="000000"/>
        </w:rPr>
        <w:t>3</w:t>
      </w:r>
    </w:p>
    <w:p w:rsidR="00A55A58" w:rsidRDefault="001112EE" w:rsidP="002A2B2A">
      <w:pPr>
        <w:ind w:firstLine="567"/>
        <w:jc w:val="both"/>
      </w:pPr>
      <w:r w:rsidRPr="00F1787B">
        <w:t xml:space="preserve">Navrhovanou úpravou sa </w:t>
      </w:r>
      <w:r w:rsidR="00142562">
        <w:t xml:space="preserve">precizuje </w:t>
      </w:r>
      <w:r w:rsidRPr="00F1787B">
        <w:t xml:space="preserve">text ustanovenia </w:t>
      </w:r>
      <w:r w:rsidR="00142562">
        <w:t xml:space="preserve">a </w:t>
      </w:r>
      <w:r w:rsidRPr="00F1787B">
        <w:t xml:space="preserve">upravuje </w:t>
      </w:r>
      <w:r w:rsidR="00142562">
        <w:t xml:space="preserve">sa </w:t>
      </w:r>
      <w:r w:rsidRPr="00F1787B">
        <w:t>tak</w:t>
      </w:r>
      <w:r>
        <w:t xml:space="preserve">, aby bolo možné osobe, ktorá prestala spĺňať podmienky </w:t>
      </w:r>
      <w:r w:rsidR="00F34E83">
        <w:t xml:space="preserve">na vydanie povolenia na oslobodenú elektrinu v priebehu 12 po sebe nasledujúcich mesiacov </w:t>
      </w:r>
      <w:r>
        <w:t>odňať povolenie na oslobodenú elektrinu.</w:t>
      </w:r>
    </w:p>
    <w:p w:rsidR="0026374B" w:rsidRDefault="0026374B" w:rsidP="002A2B2A">
      <w:pPr>
        <w:jc w:val="both"/>
      </w:pPr>
    </w:p>
    <w:p w:rsidR="00E46111" w:rsidRDefault="00E46111" w:rsidP="0026374B">
      <w:pPr>
        <w:jc w:val="both"/>
        <w:rPr>
          <w:b/>
        </w:rPr>
      </w:pPr>
      <w:r>
        <w:rPr>
          <w:b/>
        </w:rPr>
        <w:t>K bodu 24</w:t>
      </w:r>
    </w:p>
    <w:p w:rsidR="00E46111" w:rsidRDefault="00E46111" w:rsidP="0026374B">
      <w:pPr>
        <w:jc w:val="both"/>
      </w:pPr>
      <w:r>
        <w:rPr>
          <w:b/>
        </w:rPr>
        <w:tab/>
      </w:r>
      <w:r w:rsidRPr="00F1787B">
        <w:t>Navrhovanou úpravou sa</w:t>
      </w:r>
      <w:r>
        <w:t xml:space="preserve"> vypúšťa písmeno c), ktoré je obsolentné v nadväznosti na sprecizovanie definície elektroenergetického podniku. Z tejto definície vyplýva, že platiteľom dane je aj taká osoba, ktorá vykonáva činnosť podľa osobitného predpisu.</w:t>
      </w:r>
    </w:p>
    <w:p w:rsidR="00E46111" w:rsidRDefault="00E46111" w:rsidP="0026374B">
      <w:pPr>
        <w:jc w:val="both"/>
        <w:rPr>
          <w:b/>
        </w:rPr>
      </w:pPr>
    </w:p>
    <w:p w:rsidR="0026374B" w:rsidRPr="0026374B" w:rsidRDefault="0053142E" w:rsidP="0026374B">
      <w:pPr>
        <w:jc w:val="both"/>
        <w:rPr>
          <w:b/>
        </w:rPr>
      </w:pPr>
      <w:r>
        <w:rPr>
          <w:b/>
        </w:rPr>
        <w:t>K bodu 25</w:t>
      </w:r>
    </w:p>
    <w:p w:rsidR="003A6FF4" w:rsidRDefault="001C7DF6" w:rsidP="002A2B2A">
      <w:pPr>
        <w:ind w:firstLine="567"/>
        <w:jc w:val="both"/>
      </w:pPr>
      <w:r w:rsidRPr="00F1787B">
        <w:t>Navrhovanou úpravou sa text ustanovenia upravuje tak</w:t>
      </w:r>
      <w:r>
        <w:t xml:space="preserve">, aby boli povinné registrovať sa ako platiteľ </w:t>
      </w:r>
      <w:r w:rsidR="00370A43">
        <w:t xml:space="preserve">dane z </w:t>
      </w:r>
      <w:r>
        <w:t xml:space="preserve">elektriny všetky osoby, ktoré nakupujú elektrinu na účely ďalšieho predaja. Abstrahuje sa od </w:t>
      </w:r>
      <w:r w:rsidR="005647F5">
        <w:t xml:space="preserve">doterajšej </w:t>
      </w:r>
      <w:r>
        <w:t xml:space="preserve">podmienky </w:t>
      </w:r>
      <w:r w:rsidR="0068413B">
        <w:t xml:space="preserve">povolenia </w:t>
      </w:r>
      <w:r>
        <w:t>podnika</w:t>
      </w:r>
      <w:r w:rsidR="0068413B">
        <w:t>ť</w:t>
      </w:r>
      <w:r>
        <w:t xml:space="preserve"> v energetike podľa zákona č. 251/2012 Z. z. o energetike.</w:t>
      </w:r>
    </w:p>
    <w:p w:rsidR="001C7DF6" w:rsidRPr="002A2B2A" w:rsidRDefault="001C7DF6">
      <w:pPr>
        <w:jc w:val="both"/>
      </w:pPr>
    </w:p>
    <w:p w:rsidR="0098728F" w:rsidRPr="00F1787B" w:rsidRDefault="0098728F" w:rsidP="0098728F">
      <w:pPr>
        <w:jc w:val="both"/>
      </w:pPr>
      <w:r w:rsidRPr="00F1787B">
        <w:rPr>
          <w:b/>
          <w:bCs/>
          <w:color w:val="000000"/>
        </w:rPr>
        <w:t xml:space="preserve">K bodu </w:t>
      </w:r>
      <w:r w:rsidR="00854587">
        <w:rPr>
          <w:b/>
          <w:bCs/>
          <w:color w:val="000000"/>
        </w:rPr>
        <w:t>27</w:t>
      </w:r>
    </w:p>
    <w:p w:rsidR="00345044" w:rsidRPr="00F1787B" w:rsidRDefault="0098728F" w:rsidP="003B3D84">
      <w:pPr>
        <w:ind w:firstLine="567"/>
        <w:jc w:val="both"/>
        <w:rPr>
          <w:b/>
          <w:bCs/>
          <w:color w:val="000000"/>
        </w:rPr>
      </w:pPr>
      <w:r w:rsidRPr="00F1787B">
        <w:t>Navrhovanou úpravou sa do definície platiteľa dane z elektriny dopĺňa aj dodávateľ elektriny na nabíjaciu stanicu na nabíjanie elektrických</w:t>
      </w:r>
      <w:r w:rsidR="00536112">
        <w:t xml:space="preserve"> automobilov.</w:t>
      </w:r>
      <w:r w:rsidR="003B3D84">
        <w:t xml:space="preserve"> </w:t>
      </w:r>
      <w:r w:rsidR="00674590">
        <w:t>Zodpovedný za výpočet a správne odvedenie dane je v tomto prípade dodávateľ elektriny na nabíjaciu stanicu.</w:t>
      </w:r>
    </w:p>
    <w:p w:rsidR="0026374B" w:rsidRDefault="0026374B" w:rsidP="002A2B2A">
      <w:pPr>
        <w:jc w:val="both"/>
        <w:rPr>
          <w:bCs/>
          <w:color w:val="000000"/>
        </w:rPr>
      </w:pPr>
    </w:p>
    <w:p w:rsidR="0046419B" w:rsidRDefault="0046419B" w:rsidP="00566119">
      <w:pPr>
        <w:jc w:val="both"/>
        <w:rPr>
          <w:b/>
          <w:bCs/>
          <w:color w:val="000000"/>
        </w:rPr>
      </w:pPr>
    </w:p>
    <w:p w:rsidR="00566119" w:rsidRDefault="0053142E" w:rsidP="0056611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K bodu 28</w:t>
      </w:r>
    </w:p>
    <w:p w:rsidR="00E46111" w:rsidRDefault="0068413B" w:rsidP="00D10C2E">
      <w:pPr>
        <w:ind w:firstLine="567"/>
        <w:jc w:val="both"/>
      </w:pPr>
      <w:r w:rsidRPr="00F1787B">
        <w:t>Navrhovanou úpravou sa text ustanovenia upravuje tak</w:t>
      </w:r>
      <w:r>
        <w:t xml:space="preserve">, aby daň bolo možné vrátiť osobe, ktorá napriek vydanému osvedčeniu o registrácii platiteľa dane z elektriny sa týmto osvedčením nepreukázala svojmu dodávateľovi </w:t>
      </w:r>
      <w:r w:rsidR="00370A43">
        <w:t>pred prvým dodaním elektriny, resp. sa ním preukázala neskoro.</w:t>
      </w:r>
    </w:p>
    <w:p w:rsidR="00370A43" w:rsidRPr="00D10C2E" w:rsidRDefault="00370A43" w:rsidP="00D10C2E">
      <w:pPr>
        <w:ind w:firstLine="567"/>
        <w:jc w:val="both"/>
      </w:pPr>
      <w:r>
        <w:t xml:space="preserve"> </w:t>
      </w:r>
    </w:p>
    <w:p w:rsidR="00566119" w:rsidRPr="00566119" w:rsidRDefault="00566119" w:rsidP="00566119">
      <w:pPr>
        <w:jc w:val="both"/>
        <w:rPr>
          <w:b/>
          <w:bCs/>
          <w:color w:val="000000"/>
        </w:rPr>
      </w:pPr>
      <w:r w:rsidRPr="00566119">
        <w:rPr>
          <w:b/>
          <w:bCs/>
          <w:color w:val="000000"/>
        </w:rPr>
        <w:t xml:space="preserve">K bodu </w:t>
      </w:r>
      <w:r w:rsidR="0053142E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, </w:t>
      </w:r>
      <w:r w:rsidR="00854587">
        <w:rPr>
          <w:b/>
          <w:bCs/>
          <w:color w:val="000000"/>
        </w:rPr>
        <w:t>42</w:t>
      </w:r>
      <w:r w:rsidR="00F01323" w:rsidRPr="00832532">
        <w:rPr>
          <w:b/>
          <w:bCs/>
          <w:color w:val="000000"/>
        </w:rPr>
        <w:t xml:space="preserve"> </w:t>
      </w:r>
      <w:r w:rsidR="00F01323" w:rsidRPr="008E3815">
        <w:rPr>
          <w:b/>
          <w:bCs/>
          <w:color w:val="000000"/>
        </w:rPr>
        <w:t>a</w:t>
      </w:r>
      <w:r w:rsidR="00854587">
        <w:rPr>
          <w:b/>
          <w:bCs/>
          <w:color w:val="000000"/>
        </w:rPr>
        <w:t xml:space="preserve"> 53</w:t>
      </w:r>
    </w:p>
    <w:p w:rsidR="00566119" w:rsidRDefault="00960B0B" w:rsidP="002A2B2A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Navrhovanou úpravou sa upravuje definícia preukázateľne zdanenej elektriny, uhlia a zemného plynu na</w:t>
      </w:r>
      <w:r w:rsidR="00585365">
        <w:rPr>
          <w:bCs/>
          <w:color w:val="000000"/>
        </w:rPr>
        <w:t xml:space="preserve"> účely zákona č. 609/2007 Z. z.</w:t>
      </w:r>
    </w:p>
    <w:p w:rsidR="00005751" w:rsidRDefault="00005751" w:rsidP="002A2B2A">
      <w:pPr>
        <w:jc w:val="both"/>
        <w:rPr>
          <w:bCs/>
          <w:color w:val="000000"/>
        </w:rPr>
      </w:pPr>
    </w:p>
    <w:p w:rsidR="00C241A8" w:rsidRPr="00F1787B" w:rsidRDefault="00345044" w:rsidP="00C241A8">
      <w:pPr>
        <w:jc w:val="both"/>
        <w:rPr>
          <w:b/>
          <w:bCs/>
          <w:color w:val="000000"/>
        </w:rPr>
      </w:pPr>
      <w:r w:rsidRPr="005647F5">
        <w:rPr>
          <w:b/>
          <w:bCs/>
          <w:color w:val="000000"/>
        </w:rPr>
        <w:t xml:space="preserve">K bodu </w:t>
      </w:r>
      <w:r w:rsidR="00B12AEA">
        <w:rPr>
          <w:b/>
          <w:bCs/>
          <w:color w:val="000000"/>
        </w:rPr>
        <w:t>3</w:t>
      </w:r>
      <w:r w:rsidR="0053142E">
        <w:rPr>
          <w:b/>
          <w:bCs/>
          <w:color w:val="000000"/>
        </w:rPr>
        <w:t>0</w:t>
      </w:r>
      <w:r w:rsidR="00326768" w:rsidRPr="005647F5">
        <w:rPr>
          <w:b/>
          <w:bCs/>
          <w:color w:val="000000"/>
        </w:rPr>
        <w:t xml:space="preserve">, </w:t>
      </w:r>
      <w:r w:rsidR="00B12AEA">
        <w:rPr>
          <w:b/>
          <w:bCs/>
          <w:color w:val="000000"/>
        </w:rPr>
        <w:t>4</w:t>
      </w:r>
      <w:r w:rsidR="00854587">
        <w:rPr>
          <w:b/>
          <w:bCs/>
          <w:color w:val="000000"/>
        </w:rPr>
        <w:t xml:space="preserve">3 </w:t>
      </w:r>
      <w:r w:rsidR="00252B27" w:rsidRPr="005647F5">
        <w:rPr>
          <w:b/>
          <w:bCs/>
          <w:color w:val="000000"/>
        </w:rPr>
        <w:t>a</w:t>
      </w:r>
      <w:r w:rsidR="00326768" w:rsidRPr="005647F5">
        <w:rPr>
          <w:b/>
          <w:bCs/>
          <w:color w:val="000000"/>
        </w:rPr>
        <w:t xml:space="preserve"> </w:t>
      </w:r>
      <w:r w:rsidR="00854587">
        <w:rPr>
          <w:b/>
          <w:bCs/>
          <w:color w:val="000000"/>
        </w:rPr>
        <w:t>55</w:t>
      </w:r>
    </w:p>
    <w:p w:rsidR="00345044" w:rsidRPr="00F1787B" w:rsidRDefault="00345044" w:rsidP="002A2B2A">
      <w:pPr>
        <w:ind w:firstLine="567"/>
        <w:jc w:val="both"/>
        <w:rPr>
          <w:b/>
          <w:bCs/>
          <w:color w:val="000000"/>
        </w:rPr>
      </w:pPr>
      <w:r w:rsidRPr="00F1787B">
        <w:t xml:space="preserve">Navrhovanou úpravou sa </w:t>
      </w:r>
      <w:r w:rsidR="00952ABC" w:rsidRPr="00F1787B">
        <w:t>jednoznačnejšie upravujú</w:t>
      </w:r>
      <w:r w:rsidR="00B73393" w:rsidRPr="00F1787B">
        <w:t xml:space="preserve"> podmienky vrátenia dane</w:t>
      </w:r>
      <w:r w:rsidR="00326768" w:rsidRPr="00F1787B">
        <w:t xml:space="preserve"> v prípade, kedy sa platiteľ dane nepreukáže svojmu dodávateľovi osvedčením o registrácii platiteľa dane</w:t>
      </w:r>
      <w:r w:rsidR="00881B0D">
        <w:t>. Zároveň</w:t>
      </w:r>
      <w:r w:rsidR="00B73393" w:rsidRPr="00F1787B">
        <w:t xml:space="preserve"> </w:t>
      </w:r>
      <w:r w:rsidR="008E3EC3" w:rsidRPr="00F1787B">
        <w:t xml:space="preserve">sa </w:t>
      </w:r>
      <w:r w:rsidR="00881B0D">
        <w:t xml:space="preserve">tým </w:t>
      </w:r>
      <w:r w:rsidR="00B73393" w:rsidRPr="00F1787B">
        <w:t>znižuje administratívna záťaž pre správcu dane.</w:t>
      </w:r>
    </w:p>
    <w:p w:rsidR="00345044" w:rsidRDefault="00345044" w:rsidP="00C241A8">
      <w:pPr>
        <w:jc w:val="both"/>
      </w:pPr>
    </w:p>
    <w:p w:rsidR="00DC0661" w:rsidRDefault="0053142E" w:rsidP="00C241A8">
      <w:pPr>
        <w:jc w:val="both"/>
        <w:rPr>
          <w:b/>
        </w:rPr>
      </w:pPr>
      <w:r>
        <w:rPr>
          <w:b/>
        </w:rPr>
        <w:t>K bodu 31</w:t>
      </w:r>
    </w:p>
    <w:p w:rsidR="00370A43" w:rsidRDefault="00370A43" w:rsidP="002A2B2A">
      <w:pPr>
        <w:ind w:firstLine="567"/>
        <w:jc w:val="both"/>
      </w:pPr>
      <w:r>
        <w:rPr>
          <w:bCs/>
          <w:color w:val="000000"/>
        </w:rPr>
        <w:t xml:space="preserve">Navrhovanou úpravou sa upravuje povinnosť viesť evidenciu pre platiteľa dane z elektriny, resp. zemného plynu. Zároveň sa upravuje </w:t>
      </w:r>
      <w:r w:rsidRPr="00F1787B">
        <w:t>text ustanovenia tak</w:t>
      </w:r>
      <w:r>
        <w:t>, aby boli povinné registrovať sa ako platiteľ dane zo zemného plynu všetky osoby, ktoré nakupujú zemný plyn na účely ďalšieho predaja. Abstrahuje sa od podmienky povolenia podnikať v energetike podľa zákona č. 251/2012 Z. z. o energetike.</w:t>
      </w:r>
    </w:p>
    <w:p w:rsidR="00370A43" w:rsidRPr="002A2B2A" w:rsidRDefault="00370A43" w:rsidP="002A2B2A">
      <w:pPr>
        <w:jc w:val="both"/>
      </w:pPr>
    </w:p>
    <w:p w:rsidR="00960B0B" w:rsidRPr="003E10E9" w:rsidRDefault="00960B0B" w:rsidP="00C241A8">
      <w:pPr>
        <w:jc w:val="both"/>
        <w:rPr>
          <w:b/>
        </w:rPr>
      </w:pPr>
      <w:r w:rsidRPr="003E10E9">
        <w:rPr>
          <w:b/>
        </w:rPr>
        <w:t xml:space="preserve">K bodu </w:t>
      </w:r>
      <w:r w:rsidR="0053142E">
        <w:rPr>
          <w:b/>
        </w:rPr>
        <w:t>32</w:t>
      </w:r>
    </w:p>
    <w:p w:rsidR="00960B0B" w:rsidRDefault="00960B0B" w:rsidP="002A2B2A">
      <w:pPr>
        <w:ind w:firstLine="567"/>
        <w:jc w:val="both"/>
      </w:pPr>
      <w:r w:rsidRPr="00F1787B">
        <w:t>Navrhovan</w:t>
      </w:r>
      <w:r w:rsidR="003B3D84">
        <w:t xml:space="preserve">ou úpravou sa zavádza </w:t>
      </w:r>
      <w:r w:rsidRPr="00F1787B">
        <w:t xml:space="preserve">osobitné ustanovenie týkajúce sa nabíjacích staníc na </w:t>
      </w:r>
      <w:r w:rsidR="003B3D84">
        <w:t>nabíjanie elektrických vozidiel</w:t>
      </w:r>
      <w:r w:rsidR="003B3D84" w:rsidRPr="00261805">
        <w:t xml:space="preserve">, </w:t>
      </w:r>
      <w:r w:rsidR="0044603B" w:rsidRPr="00261805">
        <w:t>ktorého</w:t>
      </w:r>
      <w:r w:rsidR="0044603B">
        <w:t xml:space="preserve"> </w:t>
      </w:r>
      <w:r w:rsidR="003B3D84">
        <w:t xml:space="preserve">cieľom je </w:t>
      </w:r>
      <w:r w:rsidRPr="00F1787B">
        <w:t xml:space="preserve">upraviť podmienky zdaňovania a jednoznačne určiť, kto je pri dodávkach elektriny určenej na nabíjanie elektrických vozidiel platiteľom dane z elektriny. Zároveň sa jednoznačne určuje základ dane a podmienky registrácie platiteľa dane z elektriny </w:t>
      </w:r>
      <w:r w:rsidR="00C157F8">
        <w:t xml:space="preserve">dodanej </w:t>
      </w:r>
      <w:r w:rsidRPr="00F1787B">
        <w:t>na nabíjanie elektrického vozidla.</w:t>
      </w:r>
    </w:p>
    <w:p w:rsidR="00F01323" w:rsidRDefault="00F01323" w:rsidP="002A2B2A">
      <w:pPr>
        <w:jc w:val="both"/>
      </w:pPr>
    </w:p>
    <w:p w:rsidR="00F01323" w:rsidRPr="00F01323" w:rsidRDefault="00F01323" w:rsidP="00F01323">
      <w:pPr>
        <w:jc w:val="both"/>
        <w:rPr>
          <w:b/>
        </w:rPr>
      </w:pPr>
      <w:r w:rsidRPr="00F1787B">
        <w:rPr>
          <w:b/>
        </w:rPr>
        <w:t>K bodu 3</w:t>
      </w:r>
      <w:r w:rsidR="0053142E">
        <w:rPr>
          <w:b/>
        </w:rPr>
        <w:t>3</w:t>
      </w:r>
    </w:p>
    <w:p w:rsidR="007F18A6" w:rsidRDefault="00F01323" w:rsidP="007F18A6">
      <w:pPr>
        <w:ind w:firstLine="567"/>
        <w:jc w:val="both"/>
      </w:pPr>
      <w:r>
        <w:rPr>
          <w:color w:val="000000"/>
        </w:rPr>
        <w:t>Legislatívno-technická úprava spresňujúca predmet dane z uhlia.</w:t>
      </w:r>
      <w:r w:rsidR="007F18A6">
        <w:rPr>
          <w:color w:val="000000"/>
        </w:rPr>
        <w:t xml:space="preserve"> </w:t>
      </w:r>
      <w:r w:rsidR="007F18A6" w:rsidRPr="00261805">
        <w:rPr>
          <w:color w:val="000000"/>
        </w:rPr>
        <w:t>Podľa navrhovanej úpravy</w:t>
      </w:r>
      <w:r w:rsidR="0044603B" w:rsidRPr="00261805">
        <w:t xml:space="preserve"> p</w:t>
      </w:r>
      <w:r w:rsidR="007F18A6" w:rsidRPr="00261805">
        <w:rPr>
          <w:color w:val="000000"/>
        </w:rPr>
        <w:t xml:space="preserve">evné uhľovodíky kódu kombinovanej nomenklatúry 2706 až 2715 sú predmetom spotrebnej dane z uhlia, ak sú </w:t>
      </w:r>
      <w:r w:rsidR="007F18A6" w:rsidRPr="00261805">
        <w:t>použité, dodané alebo ponúkané na použitie ako pohonná látka alebo palivo na výrobu tepla s výnimkou uhľovodíka</w:t>
      </w:r>
      <w:r w:rsidR="007F18A6" w:rsidRPr="00261805">
        <w:rPr>
          <w:color w:val="000000"/>
        </w:rPr>
        <w:t xml:space="preserve"> kódu kombinovanej nomenklatúry </w:t>
      </w:r>
      <w:r w:rsidR="007F18A6" w:rsidRPr="00261805">
        <w:t>2713 20 00 (ropný bitúmen), ktorý je predmetom spotrebnej dane z minerálneho oleja be</w:t>
      </w:r>
      <w:r w:rsidR="0044603B" w:rsidRPr="00261805">
        <w:t>z ohľadu na účel jeho použitia.</w:t>
      </w:r>
    </w:p>
    <w:p w:rsidR="00F01323" w:rsidRPr="00F01323" w:rsidRDefault="00F01323" w:rsidP="00F01323">
      <w:pPr>
        <w:rPr>
          <w:color w:val="000000"/>
        </w:rPr>
      </w:pPr>
    </w:p>
    <w:p w:rsidR="00952ABC" w:rsidRPr="00F1787B" w:rsidRDefault="00952ABC" w:rsidP="00952ABC">
      <w:pPr>
        <w:jc w:val="both"/>
        <w:rPr>
          <w:b/>
        </w:rPr>
      </w:pPr>
      <w:r w:rsidRPr="00F1787B">
        <w:rPr>
          <w:b/>
        </w:rPr>
        <w:t>K bodu 3</w:t>
      </w:r>
      <w:r w:rsidR="00B34E00">
        <w:rPr>
          <w:b/>
        </w:rPr>
        <w:t>4</w:t>
      </w:r>
    </w:p>
    <w:p w:rsidR="00952ABC" w:rsidRDefault="00952ABC" w:rsidP="002A2B2A">
      <w:pPr>
        <w:ind w:firstLine="567"/>
        <w:jc w:val="both"/>
      </w:pPr>
      <w:r w:rsidRPr="00F1787B">
        <w:t xml:space="preserve">Navrhovanou úpravou sa </w:t>
      </w:r>
      <w:r w:rsidR="00EC5325" w:rsidRPr="00F1787B">
        <w:t xml:space="preserve">do zákona </w:t>
      </w:r>
      <w:r w:rsidRPr="00F1787B">
        <w:t xml:space="preserve">dopĺňa možnosť oslobodenia od spotrebnej dane z uhlia </w:t>
      </w:r>
      <w:r w:rsidR="00EC5325" w:rsidRPr="00F1787B">
        <w:t>v prípade, ak dôjde k jeho zničeniu. Uhlie je oslobodené od dane maximálne do výšky technicky odôvodnených skutočných strát, pričom tieto musia byť uznané sprá</w:t>
      </w:r>
      <w:r w:rsidR="00D10C2E">
        <w:t>vcom dane.</w:t>
      </w:r>
    </w:p>
    <w:p w:rsidR="0026374B" w:rsidRPr="002A2B2A" w:rsidRDefault="0026374B" w:rsidP="002A2B2A">
      <w:pPr>
        <w:jc w:val="both"/>
      </w:pPr>
    </w:p>
    <w:p w:rsidR="00742651" w:rsidRDefault="00854587">
      <w:pPr>
        <w:jc w:val="both"/>
        <w:rPr>
          <w:b/>
        </w:rPr>
      </w:pPr>
      <w:r>
        <w:rPr>
          <w:b/>
        </w:rPr>
        <w:t>K bodu 35</w:t>
      </w:r>
      <w:r w:rsidR="004577B9">
        <w:rPr>
          <w:b/>
        </w:rPr>
        <w:t xml:space="preserve"> a 40</w:t>
      </w:r>
    </w:p>
    <w:p w:rsidR="00370A43" w:rsidRPr="004D2FCB" w:rsidRDefault="00370A43" w:rsidP="002A2B2A">
      <w:pPr>
        <w:ind w:firstLine="567"/>
        <w:jc w:val="both"/>
        <w:rPr>
          <w:b/>
          <w:strike/>
        </w:rPr>
      </w:pPr>
      <w:r w:rsidRPr="00F1787B">
        <w:t>Legislatívno-technická úprava súvisiaca s doplnením nového odseku</w:t>
      </w:r>
      <w:r w:rsidR="00261805">
        <w:t>.</w:t>
      </w:r>
    </w:p>
    <w:p w:rsidR="00CC17FF" w:rsidRPr="002A2B2A" w:rsidRDefault="00CC17FF">
      <w:pPr>
        <w:jc w:val="both"/>
      </w:pPr>
    </w:p>
    <w:p w:rsidR="00960B0B" w:rsidRDefault="00960B0B" w:rsidP="00EC5325">
      <w:pPr>
        <w:jc w:val="both"/>
        <w:rPr>
          <w:b/>
        </w:rPr>
      </w:pPr>
      <w:r>
        <w:rPr>
          <w:b/>
        </w:rPr>
        <w:t xml:space="preserve">K bodu </w:t>
      </w:r>
      <w:r w:rsidR="00B34E00">
        <w:rPr>
          <w:b/>
        </w:rPr>
        <w:t>36</w:t>
      </w:r>
    </w:p>
    <w:p w:rsidR="00960B0B" w:rsidRDefault="00960B0B" w:rsidP="002A2B2A">
      <w:pPr>
        <w:ind w:firstLine="567"/>
        <w:jc w:val="both"/>
      </w:pPr>
      <w:r w:rsidRPr="00F1787B">
        <w:t xml:space="preserve">Navrhovanou úpravou sa </w:t>
      </w:r>
      <w:r>
        <w:t xml:space="preserve">v nadväznosti na zadefinovanie </w:t>
      </w:r>
      <w:r w:rsidRPr="00F1787B">
        <w:t>identifikačných údajov</w:t>
      </w:r>
      <w:r>
        <w:t xml:space="preserve"> upravuje znenie ustanovenia, ktoré sa zároveň zosúlaďuje s ostatnými predmetm</w:t>
      </w:r>
      <w:r w:rsidR="007F18A6">
        <w:t>i dane zákona č. 609/2007 Z. z.</w:t>
      </w:r>
    </w:p>
    <w:p w:rsidR="00C157F8" w:rsidRPr="002A2B2A" w:rsidRDefault="00C157F8" w:rsidP="00EC5325">
      <w:pPr>
        <w:jc w:val="both"/>
      </w:pPr>
    </w:p>
    <w:p w:rsidR="003E10E9" w:rsidRDefault="00854587" w:rsidP="00EC5325">
      <w:pPr>
        <w:jc w:val="both"/>
        <w:rPr>
          <w:b/>
        </w:rPr>
      </w:pPr>
      <w:r>
        <w:rPr>
          <w:b/>
        </w:rPr>
        <w:lastRenderedPageBreak/>
        <w:t>K bodu 37</w:t>
      </w:r>
      <w:r w:rsidR="004577B9">
        <w:rPr>
          <w:b/>
        </w:rPr>
        <w:t xml:space="preserve"> </w:t>
      </w:r>
    </w:p>
    <w:p w:rsidR="00655C30" w:rsidRDefault="00655C30" w:rsidP="002A2B2A">
      <w:pPr>
        <w:ind w:firstLine="567"/>
        <w:jc w:val="both"/>
      </w:pPr>
      <w:r w:rsidRPr="00F1787B">
        <w:t>Navrhovanou úpravou sa</w:t>
      </w:r>
      <w:r>
        <w:t xml:space="preserve"> </w:t>
      </w:r>
      <w:r w:rsidRPr="00F1787B">
        <w:t>text ustanovenia upravuje tak</w:t>
      </w:r>
      <w:r w:rsidR="007F18A6">
        <w:t>, aby bolo zrejmé, že vydané</w:t>
      </w:r>
      <w:r>
        <w:t xml:space="preserve"> povoleni</w:t>
      </w:r>
      <w:r w:rsidR="007F18A6">
        <w:t>e na oslobodené uhlie je vyda</w:t>
      </w:r>
      <w:r>
        <w:t xml:space="preserve">né na konkrétneho dodávateľa uhlia a oprávnený spotrebiteľ </w:t>
      </w:r>
      <w:r w:rsidR="00A7670B">
        <w:t xml:space="preserve">uhlia </w:t>
      </w:r>
      <w:r>
        <w:t>sa ním nemôže preukázať akémukoľvek dodávateľovi uhlia.</w:t>
      </w:r>
    </w:p>
    <w:p w:rsidR="003E10E9" w:rsidRDefault="003E10E9" w:rsidP="00EC5325">
      <w:pPr>
        <w:jc w:val="both"/>
      </w:pPr>
    </w:p>
    <w:p w:rsidR="00960B0B" w:rsidRDefault="00854587" w:rsidP="00EC5325">
      <w:pPr>
        <w:jc w:val="both"/>
        <w:rPr>
          <w:b/>
        </w:rPr>
      </w:pPr>
      <w:r>
        <w:rPr>
          <w:b/>
        </w:rPr>
        <w:t>K bodu 38</w:t>
      </w:r>
    </w:p>
    <w:p w:rsidR="00635F2D" w:rsidRDefault="00635F2D" w:rsidP="002A2B2A">
      <w:pPr>
        <w:ind w:firstLine="567"/>
        <w:jc w:val="both"/>
      </w:pPr>
      <w:r w:rsidRPr="00F1787B">
        <w:t>Navrhovanou úpravou sa do zákona dopĺňajú podmienky ako naložiť s uhlím v prípade, ak oprávnený spotrebiteľ odobral na účely oslobodené od dane uhlie od svojho dodávateľa a z určitých objektívnych príčin nedokáže toto uhlie spotrebovať na účely oslobodené od dane, ani na žiadne iné účely.</w:t>
      </w:r>
    </w:p>
    <w:p w:rsidR="00370A43" w:rsidRPr="00F1787B" w:rsidRDefault="00370A43" w:rsidP="002A2B2A">
      <w:pPr>
        <w:jc w:val="both"/>
      </w:pPr>
    </w:p>
    <w:p w:rsidR="00832532" w:rsidRDefault="00854587" w:rsidP="00EC5325">
      <w:pPr>
        <w:jc w:val="both"/>
        <w:rPr>
          <w:b/>
        </w:rPr>
      </w:pPr>
      <w:r>
        <w:rPr>
          <w:b/>
        </w:rPr>
        <w:t>K bodu 39</w:t>
      </w:r>
    </w:p>
    <w:p w:rsidR="00832532" w:rsidRDefault="00370A43" w:rsidP="002A2B2A">
      <w:pPr>
        <w:ind w:firstLine="567"/>
        <w:jc w:val="both"/>
      </w:pPr>
      <w:r w:rsidRPr="00F1787B">
        <w:t>Navrhovanou úpravou sa do zákona dopĺň</w:t>
      </w:r>
      <w:r>
        <w:t>a možnosť odňatia povolenia na oslobodené uhlie v prípade, ak o to oprávnený spotrebiteľ uhlia požiada, resp. ak prestal spĺňať podmienky na jeho vydanie.</w:t>
      </w:r>
    </w:p>
    <w:p w:rsidR="00370A43" w:rsidRPr="002A2B2A" w:rsidRDefault="00370A43" w:rsidP="002A2B2A">
      <w:pPr>
        <w:jc w:val="both"/>
      </w:pPr>
    </w:p>
    <w:p w:rsidR="00832532" w:rsidRDefault="00854587" w:rsidP="00832532">
      <w:pPr>
        <w:jc w:val="both"/>
        <w:rPr>
          <w:b/>
        </w:rPr>
      </w:pPr>
      <w:r>
        <w:rPr>
          <w:b/>
        </w:rPr>
        <w:t>K bodu 41</w:t>
      </w:r>
    </w:p>
    <w:p w:rsidR="00C157F8" w:rsidRDefault="00120993" w:rsidP="007F18A6">
      <w:pPr>
        <w:ind w:firstLine="567"/>
        <w:jc w:val="both"/>
      </w:pPr>
      <w:r w:rsidRPr="00F1787B">
        <w:t>Navrhovanou úpravou sa text ustanovenia upravuje tak</w:t>
      </w:r>
      <w:r>
        <w:t>, aby daň bolo možné vrátiť osobe, ktorá napriek vydanému osvedčeniu o registrácii platiteľa dane z uhlia sa týmto osvedčením nepreukázala svojmu dodávateľovi pred prvým dodaním uhlia, r</w:t>
      </w:r>
      <w:r w:rsidR="00D10C2E">
        <w:t>esp. sa ním preukázala neskoro.</w:t>
      </w:r>
    </w:p>
    <w:p w:rsidR="007F18A6" w:rsidRPr="002A2B2A" w:rsidRDefault="007F18A6" w:rsidP="00D10C2E">
      <w:pPr>
        <w:jc w:val="both"/>
      </w:pPr>
    </w:p>
    <w:p w:rsidR="001B1685" w:rsidRDefault="00854587" w:rsidP="00E67DF7">
      <w:pPr>
        <w:jc w:val="both"/>
        <w:rPr>
          <w:b/>
        </w:rPr>
      </w:pPr>
      <w:r>
        <w:rPr>
          <w:b/>
        </w:rPr>
        <w:t>K bodu 46</w:t>
      </w:r>
    </w:p>
    <w:p w:rsidR="00021158" w:rsidRDefault="00021158" w:rsidP="002A2B2A">
      <w:pPr>
        <w:ind w:firstLine="567"/>
        <w:jc w:val="both"/>
      </w:pPr>
      <w:r w:rsidRPr="00F1787B">
        <w:t>Navrhovanou úpravou sa</w:t>
      </w:r>
      <w:r>
        <w:t xml:space="preserve"> </w:t>
      </w:r>
      <w:r w:rsidRPr="00F1787B">
        <w:t>text ustanovenia upravuje tak</w:t>
      </w:r>
      <w:r w:rsidR="007F18A6">
        <w:t>, aby bolo zrejmé, že vyda</w:t>
      </w:r>
      <w:r>
        <w:t xml:space="preserve">né povolenie na </w:t>
      </w:r>
      <w:r w:rsidR="007F18A6">
        <w:t>oslobodený zemný plyn je vyda</w:t>
      </w:r>
      <w:r>
        <w:t>né na konkrétneho dodávateľa zemného plynu a oprávnený spotrebiteľ zemného plynu sa ním nemôže preukázať akémukoľvek dodávateľovi zemného plynu.</w:t>
      </w:r>
    </w:p>
    <w:p w:rsidR="00120993" w:rsidRPr="002A2B2A" w:rsidRDefault="00120993" w:rsidP="00E67DF7">
      <w:pPr>
        <w:jc w:val="both"/>
      </w:pPr>
    </w:p>
    <w:p w:rsidR="00655C30" w:rsidRDefault="00655C30" w:rsidP="00E67DF7">
      <w:pPr>
        <w:jc w:val="both"/>
        <w:rPr>
          <w:b/>
        </w:rPr>
      </w:pPr>
      <w:r w:rsidRPr="006B5123">
        <w:rPr>
          <w:b/>
        </w:rPr>
        <w:t>K </w:t>
      </w:r>
      <w:r w:rsidR="00854587">
        <w:rPr>
          <w:b/>
        </w:rPr>
        <w:t>bodu 47</w:t>
      </w:r>
    </w:p>
    <w:p w:rsidR="00832532" w:rsidRDefault="00021158" w:rsidP="00B41B0D">
      <w:pPr>
        <w:ind w:firstLine="567"/>
        <w:jc w:val="both"/>
      </w:pPr>
      <w:r w:rsidRPr="00F1787B">
        <w:t>Navrhovanou úpravou sa do zákona dopĺň</w:t>
      </w:r>
      <w:r>
        <w:t>a možnosť odňatia povolenia na oslobodený zemný plyn v prípade, ak oprávnený spotrebiteľ zemného plynu prestal spĺňať podmienky na jeho vydanie.</w:t>
      </w:r>
    </w:p>
    <w:p w:rsidR="00B41B0D" w:rsidRPr="00B41B0D" w:rsidRDefault="00B41B0D" w:rsidP="008E3815">
      <w:pPr>
        <w:jc w:val="both"/>
      </w:pPr>
    </w:p>
    <w:p w:rsidR="008E3815" w:rsidRPr="00895041" w:rsidRDefault="00854587" w:rsidP="008E3815">
      <w:pPr>
        <w:jc w:val="both"/>
        <w:rPr>
          <w:b/>
        </w:rPr>
      </w:pPr>
      <w:r>
        <w:rPr>
          <w:b/>
        </w:rPr>
        <w:t>K bodu 48</w:t>
      </w:r>
    </w:p>
    <w:p w:rsidR="00120993" w:rsidRPr="00895041" w:rsidRDefault="00895041" w:rsidP="00B41B0D">
      <w:pPr>
        <w:ind w:firstLine="567"/>
        <w:jc w:val="both"/>
        <w:rPr>
          <w:b/>
        </w:rPr>
      </w:pPr>
      <w:r w:rsidRPr="00895041">
        <w:t xml:space="preserve">Navrhovanou úpravou sa text ustanovenia upravuje tak, aby bolo možné odňať povolenie na oslobodený zemný plyn </w:t>
      </w:r>
      <w:r w:rsidR="009D1EE2">
        <w:t>oprávnenému spotrebiteľovi zemného plynu</w:t>
      </w:r>
      <w:r>
        <w:t xml:space="preserve">, </w:t>
      </w:r>
      <w:r w:rsidR="009D1EE2">
        <w:t>ak</w:t>
      </w:r>
      <w:r>
        <w:t xml:space="preserve"> </w:t>
      </w:r>
      <w:r w:rsidR="007F18A6">
        <w:t xml:space="preserve">v období </w:t>
      </w:r>
      <w:r>
        <w:t xml:space="preserve">12 po sebe nasledujúcich kalendárnych mesiacov prestal spĺňať podmienky na vydanie povolenia na oslobodený zemný plyn. </w:t>
      </w:r>
    </w:p>
    <w:p w:rsidR="0044603B" w:rsidRPr="00B41B0D" w:rsidRDefault="0044603B" w:rsidP="008E3815">
      <w:pPr>
        <w:jc w:val="both"/>
      </w:pPr>
    </w:p>
    <w:p w:rsidR="008E3815" w:rsidRDefault="009D1EE2" w:rsidP="008E3815">
      <w:pPr>
        <w:jc w:val="both"/>
        <w:rPr>
          <w:b/>
        </w:rPr>
      </w:pPr>
      <w:r w:rsidRPr="00895041">
        <w:rPr>
          <w:b/>
        </w:rPr>
        <w:t>K bodu</w:t>
      </w:r>
      <w:r w:rsidR="00854587">
        <w:rPr>
          <w:b/>
        </w:rPr>
        <w:t xml:space="preserve"> 50</w:t>
      </w:r>
    </w:p>
    <w:p w:rsidR="00F5099A" w:rsidRDefault="009D1EE2" w:rsidP="007A40C5">
      <w:pPr>
        <w:ind w:firstLine="567"/>
        <w:jc w:val="both"/>
      </w:pPr>
      <w:r w:rsidRPr="00895041">
        <w:t xml:space="preserve">Navrhovanou úpravou sa </w:t>
      </w:r>
      <w:r w:rsidR="00551B4A" w:rsidRPr="00F1787B">
        <w:t>do definície platiteľa dane z</w:t>
      </w:r>
      <w:r w:rsidR="00551B4A">
        <w:t>o zemného plynu dopĺňa osoba, ktorá vyrobila zemný plyn pre vlastnú spotrebu a z definície platiteľa dane sa vynímajú domácnosti, ktoré sú zo zákona</w:t>
      </w:r>
      <w:r w:rsidR="007F18A6" w:rsidRPr="007F18A6">
        <w:t xml:space="preserve"> </w:t>
      </w:r>
      <w:r w:rsidR="00551B4A">
        <w:t>oslobodené.</w:t>
      </w:r>
    </w:p>
    <w:p w:rsidR="00CC17FF" w:rsidRPr="007A40C5" w:rsidRDefault="00CC17FF" w:rsidP="00CC17FF">
      <w:pPr>
        <w:jc w:val="both"/>
      </w:pPr>
    </w:p>
    <w:p w:rsidR="00F5099A" w:rsidRDefault="00854587" w:rsidP="00F5099A">
      <w:pPr>
        <w:jc w:val="both"/>
        <w:rPr>
          <w:b/>
        </w:rPr>
      </w:pPr>
      <w:r>
        <w:rPr>
          <w:b/>
        </w:rPr>
        <w:t>K bodu 51</w:t>
      </w:r>
    </w:p>
    <w:p w:rsidR="00837923" w:rsidRPr="00837923" w:rsidRDefault="00837923" w:rsidP="00837923">
      <w:pPr>
        <w:ind w:firstLine="567"/>
        <w:jc w:val="both"/>
      </w:pPr>
      <w:r w:rsidRPr="00837923">
        <w:t>Navrhovanou úpravou sa upravuje text ustanovenia tak, aby boli povinné registrovať sa ako platiteľ dane zo zemného plynu všetky osoby, ktoré nakupujú zemný plyn na účely ďalšieho predaja s výnimkou zahraničných osôb, ktoré nakupujú zemný plyn len na účely ďalšieho predaja, teda nie sú v postavení konečného spotrebiteľa zemného plynu. V navrhovanom znení sa abstrahuje od podmienky povolenia podnikať v energetike podľa zákona č. 251/2012 Z. z. o energetike.</w:t>
      </w:r>
    </w:p>
    <w:p w:rsidR="009D1EE2" w:rsidRDefault="00BF163F" w:rsidP="00E67DF7">
      <w:pPr>
        <w:jc w:val="both"/>
        <w:rPr>
          <w:b/>
        </w:rPr>
      </w:pPr>
      <w:r>
        <w:rPr>
          <w:b/>
        </w:rPr>
        <w:lastRenderedPageBreak/>
        <w:t>K bodu 52</w:t>
      </w:r>
    </w:p>
    <w:p w:rsidR="00417D03" w:rsidRDefault="00417D03" w:rsidP="00B41B0D">
      <w:pPr>
        <w:ind w:firstLine="567"/>
        <w:jc w:val="both"/>
      </w:pPr>
      <w:r w:rsidRPr="00F1787B">
        <w:t>Navrhovanou úpravou sa text ustanovenia upravuje tak</w:t>
      </w:r>
      <w:r>
        <w:t>, aby daň bolo možné vrátiť osobe, ktorá napriek vydanému osvedčeniu o registrácii platiteľa dane zo zemného plynu sa týmto osvedčením nepreukázala svojmu dodávateľovi pred prvým dodaním zemného plynu, r</w:t>
      </w:r>
      <w:r w:rsidR="00D10C2E">
        <w:t>esp. sa ním preukázala neskoro.</w:t>
      </w:r>
    </w:p>
    <w:p w:rsidR="00A27041" w:rsidRPr="00B41B0D" w:rsidRDefault="00A27041" w:rsidP="00E67DF7">
      <w:pPr>
        <w:jc w:val="both"/>
      </w:pPr>
    </w:p>
    <w:p w:rsidR="00551B4A" w:rsidRDefault="00BF163F" w:rsidP="008E3815">
      <w:pPr>
        <w:jc w:val="both"/>
        <w:rPr>
          <w:b/>
        </w:rPr>
      </w:pPr>
      <w:r>
        <w:rPr>
          <w:b/>
        </w:rPr>
        <w:t>K bodu 56, 57, 58</w:t>
      </w:r>
      <w:r w:rsidR="007A40C5">
        <w:rPr>
          <w:b/>
        </w:rPr>
        <w:t xml:space="preserve"> a 6</w:t>
      </w:r>
      <w:r>
        <w:rPr>
          <w:b/>
        </w:rPr>
        <w:t>0</w:t>
      </w:r>
    </w:p>
    <w:p w:rsidR="00551B4A" w:rsidRDefault="007F18A6" w:rsidP="00B41B0D">
      <w:pPr>
        <w:ind w:firstLine="567"/>
        <w:jc w:val="both"/>
      </w:pPr>
      <w:r>
        <w:t>Legislatívno-technické úpravy</w:t>
      </w:r>
      <w:r w:rsidR="00551B4A">
        <w:t>.</w:t>
      </w:r>
    </w:p>
    <w:p w:rsidR="00DA47FD" w:rsidRPr="00585365" w:rsidRDefault="00DA47FD" w:rsidP="008E3815">
      <w:pPr>
        <w:jc w:val="both"/>
      </w:pPr>
    </w:p>
    <w:p w:rsidR="008E3815" w:rsidRDefault="008E3815" w:rsidP="008E3815">
      <w:pPr>
        <w:jc w:val="both"/>
        <w:rPr>
          <w:b/>
        </w:rPr>
      </w:pPr>
      <w:r w:rsidRPr="00417D03">
        <w:rPr>
          <w:b/>
        </w:rPr>
        <w:t xml:space="preserve">K bodu </w:t>
      </w:r>
      <w:r w:rsidR="00BF163F">
        <w:rPr>
          <w:b/>
        </w:rPr>
        <w:t>59</w:t>
      </w:r>
    </w:p>
    <w:p w:rsidR="00DA47FD" w:rsidRPr="00DA47FD" w:rsidRDefault="00DA47FD" w:rsidP="00DA47FD">
      <w:pPr>
        <w:ind w:firstLine="567"/>
        <w:jc w:val="both"/>
      </w:pPr>
      <w:r>
        <w:t>N</w:t>
      </w:r>
      <w:r w:rsidRPr="00DA47FD">
        <w:t>avrhovanou úpravou sa má zamedziť uloženiu sankcie neprimeranej skutku, ktorý subjekt vykonal a stanoviť za daňové delikty a priestupky minimálnu a maximálnu výšku pokuty.</w:t>
      </w:r>
      <w:r w:rsidR="00A66722">
        <w:t xml:space="preserve"> </w:t>
      </w:r>
      <w:r w:rsidR="00C711F5">
        <w:t>Navrhovanou</w:t>
      </w:r>
      <w:r w:rsidR="00A66722">
        <w:t xml:space="preserve"> úprav</w:t>
      </w:r>
      <w:r w:rsidR="00C711F5">
        <w:t>ou sa</w:t>
      </w:r>
      <w:r w:rsidR="00A66722">
        <w:t xml:space="preserve"> tiež umožní colnému </w:t>
      </w:r>
      <w:r w:rsidRPr="00DA47FD">
        <w:t>úrad</w:t>
      </w:r>
      <w:r w:rsidR="00A66722">
        <w:t>u</w:t>
      </w:r>
      <w:r w:rsidRPr="00DA47FD">
        <w:t xml:space="preserve"> pri určovaní sankcie posúdi</w:t>
      </w:r>
      <w:r w:rsidR="00A66722">
        <w:t>ť</w:t>
      </w:r>
      <w:r w:rsidRPr="00DA47FD">
        <w:t xml:space="preserve"> každý jednotlivý delikt alebo priestupok individuálne a </w:t>
      </w:r>
      <w:r w:rsidR="00C711F5" w:rsidRPr="00DA47FD">
        <w:t>uloži</w:t>
      </w:r>
      <w:r w:rsidR="00C711F5">
        <w:t>ť</w:t>
      </w:r>
      <w:r w:rsidRPr="00DA47FD">
        <w:t xml:space="preserve"> sankciu s prihliadnutím na závažnosť, dĺžku trvania a následky protiprávneho stavu.</w:t>
      </w:r>
    </w:p>
    <w:p w:rsidR="00E91702" w:rsidRPr="002A2B2A" w:rsidRDefault="00E91702" w:rsidP="002A2B2A">
      <w:pPr>
        <w:jc w:val="both"/>
      </w:pPr>
    </w:p>
    <w:p w:rsidR="008E3815" w:rsidRDefault="00BF163F" w:rsidP="008E3815">
      <w:pPr>
        <w:jc w:val="both"/>
        <w:rPr>
          <w:b/>
        </w:rPr>
      </w:pPr>
      <w:r>
        <w:rPr>
          <w:b/>
        </w:rPr>
        <w:t>K bodu 61</w:t>
      </w:r>
    </w:p>
    <w:p w:rsidR="00A63269" w:rsidRPr="00A63269" w:rsidRDefault="00A63269" w:rsidP="00B41B0D">
      <w:pPr>
        <w:ind w:firstLine="567"/>
        <w:jc w:val="both"/>
      </w:pPr>
      <w:r w:rsidRPr="00A63269">
        <w:t xml:space="preserve">V nadväznosti na vykonané úpravy </w:t>
      </w:r>
      <w:r w:rsidR="009E67BD">
        <w:t xml:space="preserve">sa </w:t>
      </w:r>
      <w:r w:rsidRPr="00A63269">
        <w:t>legislatívno-technicky uprav</w:t>
      </w:r>
      <w:r w:rsidR="009E67BD">
        <w:t>ujú</w:t>
      </w:r>
      <w:r w:rsidRPr="00A63269">
        <w:t xml:space="preserve"> prechodné ustanovenia.</w:t>
      </w:r>
    </w:p>
    <w:p w:rsidR="007C49DA" w:rsidRPr="002A2B2A" w:rsidRDefault="007C49DA" w:rsidP="00E53CD7">
      <w:pPr>
        <w:jc w:val="both"/>
      </w:pPr>
    </w:p>
    <w:p w:rsidR="002A2B2A" w:rsidRPr="002A2B2A" w:rsidRDefault="002A2B2A" w:rsidP="002A2B2A">
      <w:pPr>
        <w:jc w:val="both"/>
      </w:pPr>
    </w:p>
    <w:p w:rsidR="002A2B2A" w:rsidRDefault="002A2B2A" w:rsidP="002A2B2A">
      <w:pPr>
        <w:jc w:val="both"/>
        <w:rPr>
          <w:b/>
        </w:rPr>
      </w:pPr>
      <w:r>
        <w:rPr>
          <w:b/>
        </w:rPr>
        <w:t>K článku II</w:t>
      </w:r>
    </w:p>
    <w:p w:rsidR="002A2B2A" w:rsidRPr="002A2B2A" w:rsidRDefault="002A2B2A" w:rsidP="002A2B2A">
      <w:pPr>
        <w:jc w:val="both"/>
      </w:pPr>
    </w:p>
    <w:p w:rsidR="002A2B2A" w:rsidRPr="009234B1" w:rsidRDefault="009234B1" w:rsidP="009234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1</w:t>
      </w:r>
    </w:p>
    <w:p w:rsidR="002A2B2A" w:rsidRDefault="002A2B2A" w:rsidP="00B41B0D">
      <w:pPr>
        <w:ind w:firstLine="567"/>
        <w:jc w:val="both"/>
      </w:pPr>
      <w:r>
        <w:rPr>
          <w:color w:val="000000"/>
        </w:rPr>
        <w:t>Legislatívno-technická úprava spresňujúca predmet dane z minerálneho oleja. Podľa navrhovanej úpravy</w:t>
      </w:r>
      <w:r>
        <w:t xml:space="preserve"> uhľovodíky </w:t>
      </w:r>
      <w:r>
        <w:rPr>
          <w:color w:val="000000"/>
        </w:rPr>
        <w:t xml:space="preserve">kódu kombinovanej nomenklatúry 2711 11, 2711 21 a 2711 29 </w:t>
      </w:r>
      <w:r>
        <w:rPr>
          <w:i/>
          <w:color w:val="000000"/>
        </w:rPr>
        <w:t>(zemný plyn)</w:t>
      </w:r>
      <w:r>
        <w:rPr>
          <w:color w:val="000000"/>
        </w:rPr>
        <w:t xml:space="preserve"> </w:t>
      </w:r>
      <w:r>
        <w:t>sú predmetom spotrebnej dane zo zemného plynu bez ohľadu na účel ich použitia.</w:t>
      </w:r>
      <w:r>
        <w:rPr>
          <w:color w:val="000000"/>
        </w:rPr>
        <w:t xml:space="preserve"> Pevné uhľovodíky kódu kombinovanej nomenklatúry 2706 až 2715 sú vyňaté z predmetu dane z minerálneho oleja a sú predmetom spotrebnej dane z uhlia, ak sú </w:t>
      </w:r>
      <w:r>
        <w:t>použité, dodané alebo ponúkané na použitie ako pohonná látka alebo palivo n</w:t>
      </w:r>
      <w:r w:rsidR="00B41B0D">
        <w:t xml:space="preserve">a výrobu tepla </w:t>
      </w:r>
      <w:r>
        <w:t>s výnimkou uhľovodíka</w:t>
      </w:r>
      <w:r>
        <w:rPr>
          <w:color w:val="000000"/>
        </w:rPr>
        <w:t xml:space="preserve"> kódu kombinovanej nomenklatúry </w:t>
      </w:r>
      <w:r>
        <w:t xml:space="preserve">2713 20 00 (ropný bitúmen), ktorý je predmetom spotrebnej dane z minerálneho oleja bez ohľadu na účel jeho použitia. </w:t>
      </w:r>
    </w:p>
    <w:p w:rsidR="0044603B" w:rsidRDefault="0044603B" w:rsidP="002A2B2A">
      <w:pPr>
        <w:jc w:val="both"/>
        <w:rPr>
          <w:color w:val="000000"/>
        </w:rPr>
      </w:pPr>
    </w:p>
    <w:p w:rsidR="002A2B2A" w:rsidRDefault="002A2B2A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2</w:t>
      </w:r>
    </w:p>
    <w:p w:rsidR="002A2B2A" w:rsidRDefault="002A2B2A" w:rsidP="00B41B0D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zosúlaďujú kódy kombinovan</w:t>
      </w:r>
      <w:r w:rsidR="00B41B0D">
        <w:rPr>
          <w:rFonts w:ascii="Times New Roman" w:hAnsi="Times New Roman" w:cs="Times New Roman"/>
        </w:rPr>
        <w:t xml:space="preserve">ej nomenklatúry 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bCs/>
        </w:rPr>
        <w:t>vykonávacím nariadení Komisie (EÚ) 2018/1602 z 11. októbra 2018, ktorým sa mení príloha I k nariadeniu Rady (EHS) č. 2658/87 o colnej a štati</w:t>
      </w:r>
      <w:r w:rsidR="00B41B0D">
        <w:rPr>
          <w:rFonts w:ascii="Times New Roman" w:hAnsi="Times New Roman" w:cs="Times New Roman"/>
          <w:bCs/>
        </w:rPr>
        <w:t xml:space="preserve">stickej nomenklatúre </w:t>
      </w:r>
      <w:r>
        <w:rPr>
          <w:rFonts w:ascii="Times New Roman" w:hAnsi="Times New Roman" w:cs="Times New Roman"/>
          <w:bCs/>
        </w:rPr>
        <w:t>a o Spoločnom colnom sadzobníku.</w:t>
      </w:r>
    </w:p>
    <w:p w:rsidR="009234B1" w:rsidRPr="009234B1" w:rsidRDefault="009234B1" w:rsidP="009234B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234B1" w:rsidRDefault="009234B1" w:rsidP="009234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3</w:t>
      </w:r>
    </w:p>
    <w:p w:rsidR="009234B1" w:rsidRDefault="009234B1" w:rsidP="009234B1">
      <w:pPr>
        <w:ind w:firstLine="567"/>
        <w:jc w:val="both"/>
      </w:pPr>
      <w:r>
        <w:rPr>
          <w:color w:val="000000"/>
        </w:rPr>
        <w:t xml:space="preserve">Legislatívno-technická úprava spresňujúca odkaz za technickú normu, ako jednu </w:t>
      </w:r>
      <w:r>
        <w:t xml:space="preserve">z možností </w:t>
      </w:r>
      <w:r w:rsidRPr="004B2EC3">
        <w:t xml:space="preserve">technickej špecifikácie </w:t>
      </w:r>
      <w:r>
        <w:t xml:space="preserve">a zisťovania presnosti objemu </w:t>
      </w:r>
      <w:proofErr w:type="spellStart"/>
      <w:r>
        <w:t>biopaliva</w:t>
      </w:r>
      <w:proofErr w:type="spellEnd"/>
      <w:r>
        <w:t xml:space="preserve"> v pohonných látkach.</w:t>
      </w:r>
    </w:p>
    <w:p w:rsidR="00D10C2E" w:rsidRPr="009234B1" w:rsidRDefault="00D10C2E" w:rsidP="00D10C2E">
      <w:pPr>
        <w:jc w:val="both"/>
        <w:rPr>
          <w:color w:val="000000"/>
        </w:rPr>
      </w:pPr>
    </w:p>
    <w:p w:rsidR="002A2B2A" w:rsidRDefault="009234B1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4</w:t>
      </w:r>
    </w:p>
    <w:p w:rsidR="002A2B2A" w:rsidRDefault="002A2B2A" w:rsidP="00B41B0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Na základe predpokladaného nedostatku pokročilých </w:t>
      </w:r>
      <w:proofErr w:type="spellStart"/>
      <w:r>
        <w:rPr>
          <w:color w:val="000000"/>
        </w:rPr>
        <w:t>biopalív</w:t>
      </w:r>
      <w:proofErr w:type="spellEnd"/>
      <w:r>
        <w:rPr>
          <w:color w:val="000000"/>
        </w:rPr>
        <w:t xml:space="preserve"> na trhu Slovenskej republiky sa navrhovanou úpravou umožní od 1. januára 2020, na uplatnenie daňovo zvýhodnenej sadby</w:t>
      </w:r>
      <w:r w:rsidR="00B119FB">
        <w:rPr>
          <w:color w:val="000000"/>
        </w:rPr>
        <w:t xml:space="preserve"> dane</w:t>
      </w:r>
      <w:r>
        <w:rPr>
          <w:color w:val="000000"/>
        </w:rPr>
        <w:t xml:space="preserve"> na motorový benzín, primiešať do motorového benzínu len </w:t>
      </w:r>
      <w:proofErr w:type="spellStart"/>
      <w:r>
        <w:rPr>
          <w:color w:val="000000"/>
        </w:rPr>
        <w:t>biopalivo</w:t>
      </w:r>
      <w:proofErr w:type="spellEnd"/>
      <w:r>
        <w:rPr>
          <w:color w:val="000000"/>
        </w:rPr>
        <w:t xml:space="preserve"> prvej generácie v stanovenom objeme. Zároveň zostáva ako alternatíva na uplatnenie daňovo zvýhodnenej sadby dane na motorový benzín možnosť primiešavať do motorového benzínu aj zmes </w:t>
      </w:r>
      <w:proofErr w:type="spellStart"/>
      <w:r>
        <w:rPr>
          <w:color w:val="000000"/>
        </w:rPr>
        <w:t>biopaliva</w:t>
      </w:r>
      <w:proofErr w:type="spellEnd"/>
      <w:r>
        <w:rPr>
          <w:color w:val="000000"/>
        </w:rPr>
        <w:t xml:space="preserve"> prvej generácie a pokročilého </w:t>
      </w:r>
      <w:proofErr w:type="spellStart"/>
      <w:r>
        <w:rPr>
          <w:color w:val="000000"/>
        </w:rPr>
        <w:t>biopaliva</w:t>
      </w:r>
      <w:proofErr w:type="spellEnd"/>
      <w:r>
        <w:rPr>
          <w:color w:val="000000"/>
        </w:rPr>
        <w:t xml:space="preserve">, ak osoba, ktorá si bude chcieť uplatniť </w:t>
      </w:r>
      <w:r>
        <w:rPr>
          <w:color w:val="000000"/>
        </w:rPr>
        <w:lastRenderedPageBreak/>
        <w:t xml:space="preserve">daňovo zvýhodnenú sadzbu dane na motorový benzín, bude disponovať požadovaným objemom pokročilého </w:t>
      </w:r>
      <w:proofErr w:type="spellStart"/>
      <w:r>
        <w:rPr>
          <w:color w:val="000000"/>
        </w:rPr>
        <w:t>biopaliva</w:t>
      </w:r>
      <w:proofErr w:type="spellEnd"/>
      <w:r>
        <w:rPr>
          <w:color w:val="000000"/>
        </w:rPr>
        <w:t xml:space="preserve">, pričom súčet jednotlivých objemov tejto zmesi je rovnaký ako požadovaný minimálny objem </w:t>
      </w:r>
      <w:proofErr w:type="spellStart"/>
      <w:r>
        <w:rPr>
          <w:color w:val="000000"/>
        </w:rPr>
        <w:t>biopaliva</w:t>
      </w:r>
      <w:proofErr w:type="spellEnd"/>
      <w:r>
        <w:rPr>
          <w:color w:val="000000"/>
        </w:rPr>
        <w:t xml:space="preserve"> prvej generácie, t. j. 7,4 % objemu.</w:t>
      </w:r>
    </w:p>
    <w:p w:rsidR="002A2B2A" w:rsidRDefault="002A2B2A" w:rsidP="002A2B2A">
      <w:pPr>
        <w:rPr>
          <w:color w:val="000000"/>
        </w:rPr>
      </w:pPr>
    </w:p>
    <w:p w:rsidR="002A2B2A" w:rsidRDefault="002A2B2A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4</w:t>
      </w:r>
    </w:p>
    <w:p w:rsidR="002A2B2A" w:rsidRDefault="002A2B2A" w:rsidP="00B41B0D">
      <w:pPr>
        <w:ind w:firstLine="567"/>
        <w:rPr>
          <w:color w:val="000000"/>
        </w:rPr>
      </w:pPr>
      <w:r>
        <w:rPr>
          <w:color w:val="000000"/>
        </w:rPr>
        <w:t>Legislatívno-technická úprava spresňujúca definíciu dovozcu minerálneho oleja.</w:t>
      </w:r>
    </w:p>
    <w:p w:rsidR="002A2B2A" w:rsidRDefault="002A2B2A" w:rsidP="002A2B2A">
      <w:pPr>
        <w:rPr>
          <w:color w:val="000000"/>
        </w:rPr>
      </w:pPr>
    </w:p>
    <w:p w:rsidR="002A2B2A" w:rsidRDefault="002A2B2A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bodom 5 a 6</w:t>
      </w:r>
    </w:p>
    <w:p w:rsidR="003B50F3" w:rsidRPr="003B50F3" w:rsidRDefault="003B50F3" w:rsidP="003B50F3">
      <w:pPr>
        <w:ind w:firstLine="567"/>
        <w:jc w:val="both"/>
      </w:pPr>
      <w:r w:rsidRPr="003B50F3">
        <w:t xml:space="preserve">Navrhovanou úpravou sa umožní užívateľskému podniku dodať daňovo zvýhodnený minerálny olej uvedený v odbernom poukaze so súhlasom colného úradu inému užívateľskému podniku, ktorý má </w:t>
      </w:r>
      <w:r w:rsidRPr="003B50F3">
        <w:rPr>
          <w:color w:val="000000"/>
        </w:rPr>
        <w:t>odberný poukaz na odber takéhoto minerálneho oleja</w:t>
      </w:r>
      <w:r w:rsidRPr="003B50F3">
        <w:t>, alebo daňovému skladu na prepracovanie, alebo tento minerálny olej zneškodniť pod dohľadom colného úradu, ak bol tento minerálny olej znehodnotený v procese jeho použitia na iné účely oslobodenia ako pohonná látka alebo palivo. Zároveň sa primerane legislatívno-technicky upravuje doterajšie znenie odseku 16.</w:t>
      </w:r>
    </w:p>
    <w:p w:rsidR="003B50F3" w:rsidRPr="003B50F3" w:rsidRDefault="003B50F3" w:rsidP="003B50F3">
      <w:pPr>
        <w:ind w:right="140" w:firstLine="567"/>
        <w:jc w:val="both"/>
        <w:rPr>
          <w:bCs/>
        </w:rPr>
      </w:pPr>
      <w:r w:rsidRPr="003B50F3">
        <w:rPr>
          <w:bCs/>
        </w:rPr>
        <w:t xml:space="preserve">Ak užívateľský podnik bude chcieť zneškodniť daňovo zvýhodnený minerálny olej podľa zákona č. 79/2015 Z. z. </w:t>
      </w:r>
      <w:r>
        <w:rPr>
          <w:bCs/>
        </w:rPr>
        <w:t xml:space="preserve">o odpadoch </w:t>
      </w:r>
      <w:r w:rsidRPr="003B50F3">
        <w:rPr>
          <w:bCs/>
        </w:rPr>
        <w:t>pod dohľadom colného úradu</w:t>
      </w:r>
      <w:r w:rsidRPr="003B50F3">
        <w:rPr>
          <w:bCs/>
          <w:color w:val="1F497D"/>
        </w:rPr>
        <w:t>,</w:t>
      </w:r>
      <w:r w:rsidRPr="003B50F3">
        <w:rPr>
          <w:bCs/>
        </w:rPr>
        <w:t xml:space="preserve"> len oznámi túto skutočnosť miestne príslušnému colnému úradu</w:t>
      </w:r>
      <w:r w:rsidRPr="003B50F3">
        <w:rPr>
          <w:bCs/>
          <w:color w:val="1F497D"/>
        </w:rPr>
        <w:t>,</w:t>
      </w:r>
      <w:r w:rsidRPr="003B50F3">
        <w:rPr>
          <w:bCs/>
        </w:rPr>
        <w:t xml:space="preserve"> pričom</w:t>
      </w:r>
      <w:r w:rsidRPr="003B50F3">
        <w:rPr>
          <w:bCs/>
          <w:color w:val="1F497D"/>
        </w:rPr>
        <w:t xml:space="preserve"> </w:t>
      </w:r>
      <w:r w:rsidRPr="003B50F3">
        <w:rPr>
          <w:bCs/>
        </w:rPr>
        <w:t>v</w:t>
      </w:r>
      <w:r w:rsidRPr="003B50F3">
        <w:rPr>
          <w:bCs/>
          <w:color w:val="1F497D"/>
        </w:rPr>
        <w:t xml:space="preserve"> </w:t>
      </w:r>
      <w:r w:rsidRPr="003B50F3">
        <w:rPr>
          <w:bCs/>
        </w:rPr>
        <w:t>oznámení uvedie množstvo a druh minerálneho oleja minerálneho oleja, ktorý sa má zneškodniť a navrhne deň a miesto zneškodnenia tohto minerálneho oleja. Na základe oznámenia a po dohode s colným úradom sa v dohodnutý deň na dohodnutom mieste a pod dohľadom colného úradu zneškodní znehodnotený daňovo zvýhodnený minerálny olej.</w:t>
      </w:r>
    </w:p>
    <w:p w:rsidR="000B4C7B" w:rsidRPr="00264660" w:rsidRDefault="00F51651" w:rsidP="00F51651">
      <w:pPr>
        <w:ind w:firstLine="567"/>
        <w:jc w:val="both"/>
      </w:pPr>
      <w:r>
        <w:t>Tiež sa stanovuje, že d</w:t>
      </w:r>
      <w:r w:rsidR="000B4C7B">
        <w:t>aňovo zvýhodnený m</w:t>
      </w:r>
      <w:r w:rsidR="000B4C7B" w:rsidRPr="00264660">
        <w:t>inerálny olej</w:t>
      </w:r>
      <w:r w:rsidR="000B4C7B">
        <w:t>, ktorý bol zneškodnený</w:t>
      </w:r>
      <w:r w:rsidR="000B4C7B" w:rsidRPr="00FB4C6B">
        <w:t xml:space="preserve"> </w:t>
      </w:r>
      <w:r w:rsidR="000B4C7B" w:rsidRPr="00264660">
        <w:rPr>
          <w:color w:val="000000"/>
        </w:rPr>
        <w:t>pod dohľadom colného úradu</w:t>
      </w:r>
      <w:r w:rsidR="000B4C7B" w:rsidRPr="00264660">
        <w:t xml:space="preserve"> sa považuje za oslobodený </w:t>
      </w:r>
      <w:r>
        <w:t xml:space="preserve">od dane </w:t>
      </w:r>
      <w:r w:rsidR="00C41F1B">
        <w:t>podľa § 10 ods. 2 písm. f) zákona o spotrebnej dani z minerálneho oleja</w:t>
      </w:r>
      <w:r w:rsidR="000B4C7B" w:rsidRPr="00264660">
        <w:t>.</w:t>
      </w:r>
    </w:p>
    <w:p w:rsidR="000B4C7B" w:rsidRDefault="000B4C7B" w:rsidP="002A2B2A">
      <w:pPr>
        <w:pStyle w:val="Zkladntext"/>
        <w:jc w:val="both"/>
      </w:pPr>
    </w:p>
    <w:p w:rsidR="002A2B2A" w:rsidRDefault="002A2B2A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7</w:t>
      </w:r>
    </w:p>
    <w:p w:rsidR="002A2B2A" w:rsidRDefault="002A2B2A" w:rsidP="00B41B0D">
      <w:pPr>
        <w:ind w:firstLine="567"/>
        <w:jc w:val="both"/>
        <w:rPr>
          <w:color w:val="000000"/>
        </w:rPr>
      </w:pPr>
      <w:r>
        <w:rPr>
          <w:color w:val="000000"/>
        </w:rPr>
        <w:t>Legislatívno-technická úprava spresňujúca spôsob prepravy daňovo zvýhodneného minerálneho oleja na daňovom území v súvislosti s legislatívnymi úpravami v bodoch 4 a 5.</w:t>
      </w:r>
    </w:p>
    <w:p w:rsidR="002A2B2A" w:rsidRDefault="002A2B2A" w:rsidP="002A2B2A">
      <w:pPr>
        <w:pStyle w:val="Zkladntext"/>
        <w:jc w:val="both"/>
      </w:pPr>
    </w:p>
    <w:p w:rsidR="002A2B2A" w:rsidRDefault="002A2B2A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8</w:t>
      </w:r>
    </w:p>
    <w:p w:rsidR="002A2B2A" w:rsidRDefault="002A2B2A" w:rsidP="00B41B0D">
      <w:pPr>
        <w:pStyle w:val="Zkladntext"/>
        <w:ind w:firstLine="567"/>
        <w:jc w:val="both"/>
      </w:pPr>
      <w:r>
        <w:t>Legislatívno-technická úprava rozširujúca situácie, kedy môže byť vydané nové povolenie na distribúciu alebo povolenie na predaj.</w:t>
      </w:r>
    </w:p>
    <w:p w:rsidR="0044603B" w:rsidRDefault="0044603B" w:rsidP="002A2B2A">
      <w:pPr>
        <w:pStyle w:val="Zkladntext"/>
        <w:jc w:val="both"/>
      </w:pPr>
    </w:p>
    <w:p w:rsidR="003B50F3" w:rsidRDefault="003B50F3" w:rsidP="003B50F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9</w:t>
      </w:r>
    </w:p>
    <w:p w:rsidR="000B4C7B" w:rsidRPr="003B50F3" w:rsidRDefault="003B50F3" w:rsidP="00C41F1B">
      <w:pPr>
        <w:tabs>
          <w:tab w:val="left" w:pos="284"/>
        </w:tabs>
        <w:ind w:firstLine="567"/>
        <w:jc w:val="both"/>
        <w:rPr>
          <w:color w:val="000000"/>
        </w:rPr>
      </w:pPr>
      <w:r w:rsidRPr="003B50F3">
        <w:rPr>
          <w:color w:val="000000"/>
        </w:rPr>
        <w:t>Navrhovanou úpravou sa umožní predajcovi pohonných látok vydať pohonné látky  v mimoriadnych prípadoch, inak ako prostredníctvom výdajného stojany za účelom ich prepracovania alebo zneškodnenia, ak boli tieto pohonné látky znehodnotené nap</w:t>
      </w:r>
      <w:r>
        <w:rPr>
          <w:color w:val="000000"/>
        </w:rPr>
        <w:t>ríklad zmiešaním motorovej nafty</w:t>
      </w:r>
      <w:r w:rsidRPr="003B50F3">
        <w:rPr>
          <w:color w:val="000000"/>
        </w:rPr>
        <w:t xml:space="preserve"> a motorového benzínu. Podmienkou na takéto vydanie pohonných látok je, že predajca pohonných látok oznámi túto skutočnosť colnému  úradu, a to pred uskutočnení vydania pohonných látok.</w:t>
      </w:r>
    </w:p>
    <w:p w:rsidR="0044603B" w:rsidRDefault="0044603B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A2B2A" w:rsidRDefault="003B50F3" w:rsidP="002A2B2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10</w:t>
      </w:r>
    </w:p>
    <w:p w:rsidR="002A2B2A" w:rsidRPr="00585365" w:rsidRDefault="002A2B2A" w:rsidP="00585365">
      <w:pPr>
        <w:ind w:firstLine="567"/>
        <w:rPr>
          <w:color w:val="000000"/>
        </w:rPr>
      </w:pPr>
      <w:r>
        <w:rPr>
          <w:color w:val="000000"/>
        </w:rPr>
        <w:t>Legislatívno-technická úprava spresňujúca osobu, na ktorú sa nevzťahujú ustanovenia          § 25b ods. 1 až 21.</w:t>
      </w:r>
    </w:p>
    <w:p w:rsidR="00D10C2E" w:rsidRPr="00CC17FF" w:rsidRDefault="00D10C2E" w:rsidP="002A2B2A">
      <w:pPr>
        <w:jc w:val="both"/>
      </w:pPr>
    </w:p>
    <w:p w:rsidR="0046419B" w:rsidRDefault="0046419B" w:rsidP="002A2B2A">
      <w:pPr>
        <w:jc w:val="both"/>
        <w:rPr>
          <w:b/>
        </w:rPr>
      </w:pPr>
    </w:p>
    <w:p w:rsidR="0046419B" w:rsidRDefault="0046419B" w:rsidP="002A2B2A">
      <w:pPr>
        <w:jc w:val="both"/>
        <w:rPr>
          <w:b/>
        </w:rPr>
      </w:pPr>
    </w:p>
    <w:p w:rsidR="0046419B" w:rsidRDefault="0046419B" w:rsidP="002A2B2A">
      <w:pPr>
        <w:jc w:val="both"/>
        <w:rPr>
          <w:b/>
        </w:rPr>
      </w:pPr>
    </w:p>
    <w:p w:rsidR="002A2B2A" w:rsidRDefault="002A2B2A" w:rsidP="002A2B2A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K článku III</w:t>
      </w:r>
    </w:p>
    <w:p w:rsidR="002A2B2A" w:rsidRDefault="002A2B2A" w:rsidP="002A2B2A">
      <w:pPr>
        <w:jc w:val="both"/>
      </w:pPr>
    </w:p>
    <w:p w:rsidR="002A2B2A" w:rsidRPr="00D10C2E" w:rsidRDefault="002A2B2A" w:rsidP="00D10C2E">
      <w:pPr>
        <w:ind w:firstLine="567"/>
        <w:jc w:val="both"/>
        <w:rPr>
          <w:color w:val="000000"/>
        </w:rPr>
      </w:pPr>
      <w:r>
        <w:t xml:space="preserve">Tento zákon nadobúda účinnosť </w:t>
      </w:r>
      <w:r>
        <w:rPr>
          <w:color w:val="000000"/>
        </w:rPr>
        <w:t>1. decembra 2</w:t>
      </w:r>
      <w:r w:rsidR="00BF163F">
        <w:rPr>
          <w:color w:val="000000"/>
        </w:rPr>
        <w:t>019 okrem čl. I bodov 1 až 60</w:t>
      </w:r>
      <w:r w:rsidR="00815D68">
        <w:rPr>
          <w:color w:val="000000"/>
        </w:rPr>
        <w:t xml:space="preserve"> a</w:t>
      </w:r>
      <w:r w:rsidR="006B4F7A">
        <w:rPr>
          <w:color w:val="000000"/>
        </w:rPr>
        <w:t xml:space="preserve"> </w:t>
      </w:r>
      <w:r w:rsidR="00BF163F">
        <w:rPr>
          <w:color w:val="000000"/>
        </w:rPr>
        <w:t>čl. II bodov 1, 3 a</w:t>
      </w:r>
      <w:r w:rsidR="002E2B38">
        <w:rPr>
          <w:color w:val="000000"/>
        </w:rPr>
        <w:t> </w:t>
      </w:r>
      <w:r w:rsidR="00BF163F">
        <w:rPr>
          <w:color w:val="000000"/>
        </w:rPr>
        <w:t>4</w:t>
      </w:r>
      <w:r w:rsidR="002E2B38">
        <w:rPr>
          <w:color w:val="000000"/>
        </w:rPr>
        <w:t xml:space="preserve">, </w:t>
      </w:r>
      <w:r>
        <w:rPr>
          <w:color w:val="000000"/>
        </w:rPr>
        <w:t>ktoré nadobúda</w:t>
      </w:r>
      <w:r w:rsidR="00815D68">
        <w:rPr>
          <w:color w:val="000000"/>
        </w:rPr>
        <w:t>jú</w:t>
      </w:r>
      <w:r>
        <w:rPr>
          <w:color w:val="000000"/>
        </w:rPr>
        <w:t xml:space="preserve"> účinnosť 1. januára 2020.</w:t>
      </w:r>
    </w:p>
    <w:sectPr w:rsidR="002A2B2A" w:rsidRPr="00D10C2E" w:rsidSect="00B830B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05" w:rsidRDefault="00D62305" w:rsidP="0094136A">
      <w:r>
        <w:separator/>
      </w:r>
    </w:p>
  </w:endnote>
  <w:endnote w:type="continuationSeparator" w:id="0">
    <w:p w:rsidR="00D62305" w:rsidRDefault="00D62305" w:rsidP="0094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4A" w:rsidRDefault="000E0FCB" w:rsidP="000B4C7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6419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05" w:rsidRDefault="00D62305" w:rsidP="0094136A">
      <w:r>
        <w:separator/>
      </w:r>
    </w:p>
  </w:footnote>
  <w:footnote w:type="continuationSeparator" w:id="0">
    <w:p w:rsidR="00D62305" w:rsidRDefault="00D62305" w:rsidP="0094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AB9"/>
    <w:multiLevelType w:val="hybridMultilevel"/>
    <w:tmpl w:val="1BDAE9C8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5C32B79"/>
    <w:multiLevelType w:val="hybridMultilevel"/>
    <w:tmpl w:val="EA1CC516"/>
    <w:lvl w:ilvl="0" w:tplc="4EA685C2">
      <w:start w:val="1"/>
      <w:numFmt w:val="decimal"/>
      <w:lvlText w:val="(%1)"/>
      <w:lvlJc w:val="left"/>
      <w:pPr>
        <w:ind w:left="105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08F30BF5"/>
    <w:multiLevelType w:val="hybridMultilevel"/>
    <w:tmpl w:val="30E6695E"/>
    <w:lvl w:ilvl="0" w:tplc="6DD2AAFC">
      <w:numFmt w:val="bullet"/>
      <w:lvlText w:val="−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35B"/>
    <w:multiLevelType w:val="hybridMultilevel"/>
    <w:tmpl w:val="89E242D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F73F5C"/>
    <w:multiLevelType w:val="hybridMultilevel"/>
    <w:tmpl w:val="CF904E76"/>
    <w:lvl w:ilvl="0" w:tplc="3CA62474">
      <w:start w:val="1"/>
      <w:numFmt w:val="decimal"/>
      <w:lvlText w:val="(%1)"/>
      <w:lvlJc w:val="left"/>
      <w:pPr>
        <w:ind w:left="617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5" w15:restartNumberingAfterBreak="0">
    <w:nsid w:val="364128E5"/>
    <w:multiLevelType w:val="hybridMultilevel"/>
    <w:tmpl w:val="FB4C1828"/>
    <w:lvl w:ilvl="0" w:tplc="36F244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3763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E417E08"/>
    <w:multiLevelType w:val="hybridMultilevel"/>
    <w:tmpl w:val="0AC6B568"/>
    <w:lvl w:ilvl="0" w:tplc="6DD2AAFC">
      <w:numFmt w:val="bullet"/>
      <w:lvlText w:val="−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A47193"/>
    <w:multiLevelType w:val="hybridMultilevel"/>
    <w:tmpl w:val="C902F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895623"/>
    <w:multiLevelType w:val="hybridMultilevel"/>
    <w:tmpl w:val="6DACDD50"/>
    <w:lvl w:ilvl="0" w:tplc="D45EB1E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AF5"/>
    <w:multiLevelType w:val="hybridMultilevel"/>
    <w:tmpl w:val="103E7B1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791734C7"/>
    <w:multiLevelType w:val="hybridMultilevel"/>
    <w:tmpl w:val="DC705080"/>
    <w:lvl w:ilvl="0" w:tplc="C3CACD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A"/>
    <w:rsid w:val="00000746"/>
    <w:rsid w:val="000050B5"/>
    <w:rsid w:val="00005280"/>
    <w:rsid w:val="00005457"/>
    <w:rsid w:val="00005751"/>
    <w:rsid w:val="00006BE5"/>
    <w:rsid w:val="000079BC"/>
    <w:rsid w:val="00007C27"/>
    <w:rsid w:val="000110C4"/>
    <w:rsid w:val="000113C4"/>
    <w:rsid w:val="00015243"/>
    <w:rsid w:val="00017364"/>
    <w:rsid w:val="00021158"/>
    <w:rsid w:val="00023D5D"/>
    <w:rsid w:val="000264A7"/>
    <w:rsid w:val="00033ABA"/>
    <w:rsid w:val="000367E1"/>
    <w:rsid w:val="00042AD7"/>
    <w:rsid w:val="000474F7"/>
    <w:rsid w:val="0005275D"/>
    <w:rsid w:val="0005451A"/>
    <w:rsid w:val="00057E01"/>
    <w:rsid w:val="00063081"/>
    <w:rsid w:val="00067121"/>
    <w:rsid w:val="000759EF"/>
    <w:rsid w:val="00076F29"/>
    <w:rsid w:val="00081CE0"/>
    <w:rsid w:val="000834F1"/>
    <w:rsid w:val="000859FD"/>
    <w:rsid w:val="00091A17"/>
    <w:rsid w:val="00092D4A"/>
    <w:rsid w:val="000A28F0"/>
    <w:rsid w:val="000A3434"/>
    <w:rsid w:val="000A5A4C"/>
    <w:rsid w:val="000A5BBB"/>
    <w:rsid w:val="000B0BB1"/>
    <w:rsid w:val="000B39FB"/>
    <w:rsid w:val="000B4C7B"/>
    <w:rsid w:val="000B5EB1"/>
    <w:rsid w:val="000B7EBB"/>
    <w:rsid w:val="000C1566"/>
    <w:rsid w:val="000C54C9"/>
    <w:rsid w:val="000C5CF0"/>
    <w:rsid w:val="000D087D"/>
    <w:rsid w:val="000D1679"/>
    <w:rsid w:val="000D1AEC"/>
    <w:rsid w:val="000D3C05"/>
    <w:rsid w:val="000D53FA"/>
    <w:rsid w:val="000D59C7"/>
    <w:rsid w:val="000D5E1D"/>
    <w:rsid w:val="000D67C9"/>
    <w:rsid w:val="000E0FCB"/>
    <w:rsid w:val="000E1BC7"/>
    <w:rsid w:val="000E3446"/>
    <w:rsid w:val="000E46D7"/>
    <w:rsid w:val="000E7A37"/>
    <w:rsid w:val="0010122E"/>
    <w:rsid w:val="001112EE"/>
    <w:rsid w:val="00120993"/>
    <w:rsid w:val="00135312"/>
    <w:rsid w:val="00137F68"/>
    <w:rsid w:val="00140504"/>
    <w:rsid w:val="00142562"/>
    <w:rsid w:val="001444A6"/>
    <w:rsid w:val="00144F56"/>
    <w:rsid w:val="00150137"/>
    <w:rsid w:val="00171AE6"/>
    <w:rsid w:val="001756E5"/>
    <w:rsid w:val="00182332"/>
    <w:rsid w:val="0018615B"/>
    <w:rsid w:val="001917E7"/>
    <w:rsid w:val="001A14E6"/>
    <w:rsid w:val="001B0893"/>
    <w:rsid w:val="001B1685"/>
    <w:rsid w:val="001B2738"/>
    <w:rsid w:val="001B3B86"/>
    <w:rsid w:val="001B583A"/>
    <w:rsid w:val="001C1AD3"/>
    <w:rsid w:val="001C216D"/>
    <w:rsid w:val="001C305A"/>
    <w:rsid w:val="001C4AD5"/>
    <w:rsid w:val="001C598F"/>
    <w:rsid w:val="001C7DF6"/>
    <w:rsid w:val="001D0D3D"/>
    <w:rsid w:val="001D2D92"/>
    <w:rsid w:val="001D3D70"/>
    <w:rsid w:val="001D4D8B"/>
    <w:rsid w:val="001D541F"/>
    <w:rsid w:val="001D7EA0"/>
    <w:rsid w:val="001E143B"/>
    <w:rsid w:val="001E1F69"/>
    <w:rsid w:val="001E2083"/>
    <w:rsid w:val="001E3225"/>
    <w:rsid w:val="001E3B22"/>
    <w:rsid w:val="001F4E5E"/>
    <w:rsid w:val="001F7C33"/>
    <w:rsid w:val="00202C07"/>
    <w:rsid w:val="002068FA"/>
    <w:rsid w:val="00211876"/>
    <w:rsid w:val="0021653A"/>
    <w:rsid w:val="00226AAC"/>
    <w:rsid w:val="002312E0"/>
    <w:rsid w:val="00236402"/>
    <w:rsid w:val="002407EC"/>
    <w:rsid w:val="00240B42"/>
    <w:rsid w:val="002412E0"/>
    <w:rsid w:val="00242EF1"/>
    <w:rsid w:val="00246741"/>
    <w:rsid w:val="00252B27"/>
    <w:rsid w:val="00254C56"/>
    <w:rsid w:val="00256300"/>
    <w:rsid w:val="00256A5D"/>
    <w:rsid w:val="00256E42"/>
    <w:rsid w:val="00260750"/>
    <w:rsid w:val="00261805"/>
    <w:rsid w:val="0026374B"/>
    <w:rsid w:val="00264660"/>
    <w:rsid w:val="00271336"/>
    <w:rsid w:val="002757AB"/>
    <w:rsid w:val="00277B88"/>
    <w:rsid w:val="00280C84"/>
    <w:rsid w:val="00282935"/>
    <w:rsid w:val="002903FF"/>
    <w:rsid w:val="00290DD8"/>
    <w:rsid w:val="0029308A"/>
    <w:rsid w:val="002956F6"/>
    <w:rsid w:val="00297953"/>
    <w:rsid w:val="002A2B2A"/>
    <w:rsid w:val="002A6FAF"/>
    <w:rsid w:val="002B3516"/>
    <w:rsid w:val="002B561E"/>
    <w:rsid w:val="002C3143"/>
    <w:rsid w:val="002C57FE"/>
    <w:rsid w:val="002D07EB"/>
    <w:rsid w:val="002D2370"/>
    <w:rsid w:val="002E2B38"/>
    <w:rsid w:val="002E48A8"/>
    <w:rsid w:val="002F2389"/>
    <w:rsid w:val="002F2C84"/>
    <w:rsid w:val="003006F8"/>
    <w:rsid w:val="0030080D"/>
    <w:rsid w:val="00301EC2"/>
    <w:rsid w:val="00307BB1"/>
    <w:rsid w:val="00312F6A"/>
    <w:rsid w:val="00314823"/>
    <w:rsid w:val="00314B6E"/>
    <w:rsid w:val="00315637"/>
    <w:rsid w:val="0031629C"/>
    <w:rsid w:val="00322ED4"/>
    <w:rsid w:val="00326768"/>
    <w:rsid w:val="00333B93"/>
    <w:rsid w:val="003359B9"/>
    <w:rsid w:val="00336124"/>
    <w:rsid w:val="00340AA6"/>
    <w:rsid w:val="00345044"/>
    <w:rsid w:val="0034557F"/>
    <w:rsid w:val="00350EEA"/>
    <w:rsid w:val="00353703"/>
    <w:rsid w:val="00370A43"/>
    <w:rsid w:val="003716BF"/>
    <w:rsid w:val="00376401"/>
    <w:rsid w:val="003767FC"/>
    <w:rsid w:val="003776D2"/>
    <w:rsid w:val="003801CB"/>
    <w:rsid w:val="00381438"/>
    <w:rsid w:val="0038251F"/>
    <w:rsid w:val="00383483"/>
    <w:rsid w:val="00383E8D"/>
    <w:rsid w:val="003860D7"/>
    <w:rsid w:val="00393042"/>
    <w:rsid w:val="003A04F8"/>
    <w:rsid w:val="003A2C43"/>
    <w:rsid w:val="003A4836"/>
    <w:rsid w:val="003A498D"/>
    <w:rsid w:val="003A6FF4"/>
    <w:rsid w:val="003A7221"/>
    <w:rsid w:val="003B0357"/>
    <w:rsid w:val="003B3352"/>
    <w:rsid w:val="003B3D84"/>
    <w:rsid w:val="003B50F3"/>
    <w:rsid w:val="003C7421"/>
    <w:rsid w:val="003D3F3E"/>
    <w:rsid w:val="003E10E9"/>
    <w:rsid w:val="003E2F4A"/>
    <w:rsid w:val="003E6073"/>
    <w:rsid w:val="003F6374"/>
    <w:rsid w:val="004058A1"/>
    <w:rsid w:val="00407C48"/>
    <w:rsid w:val="00410061"/>
    <w:rsid w:val="00415876"/>
    <w:rsid w:val="00417D03"/>
    <w:rsid w:val="00417DC9"/>
    <w:rsid w:val="0042302C"/>
    <w:rsid w:val="00424611"/>
    <w:rsid w:val="00424739"/>
    <w:rsid w:val="004256D5"/>
    <w:rsid w:val="00425B95"/>
    <w:rsid w:val="00426C48"/>
    <w:rsid w:val="00434323"/>
    <w:rsid w:val="00435982"/>
    <w:rsid w:val="00441F37"/>
    <w:rsid w:val="004450CC"/>
    <w:rsid w:val="0044603B"/>
    <w:rsid w:val="00447A80"/>
    <w:rsid w:val="004577B9"/>
    <w:rsid w:val="00460AE3"/>
    <w:rsid w:val="00460C9E"/>
    <w:rsid w:val="004629C7"/>
    <w:rsid w:val="00462D48"/>
    <w:rsid w:val="00463C13"/>
    <w:rsid w:val="0046419B"/>
    <w:rsid w:val="00471D22"/>
    <w:rsid w:val="00476B26"/>
    <w:rsid w:val="00482F7B"/>
    <w:rsid w:val="00485A3F"/>
    <w:rsid w:val="00493E08"/>
    <w:rsid w:val="00495E9E"/>
    <w:rsid w:val="004A131F"/>
    <w:rsid w:val="004A3570"/>
    <w:rsid w:val="004B201B"/>
    <w:rsid w:val="004B2EC3"/>
    <w:rsid w:val="004B4372"/>
    <w:rsid w:val="004B658C"/>
    <w:rsid w:val="004C16EB"/>
    <w:rsid w:val="004C2359"/>
    <w:rsid w:val="004C6879"/>
    <w:rsid w:val="004D2FCB"/>
    <w:rsid w:val="004D45FD"/>
    <w:rsid w:val="004D4ED3"/>
    <w:rsid w:val="004D6A6A"/>
    <w:rsid w:val="004E4903"/>
    <w:rsid w:val="004F211C"/>
    <w:rsid w:val="004F2C45"/>
    <w:rsid w:val="004F47B1"/>
    <w:rsid w:val="004F4E5D"/>
    <w:rsid w:val="005009B6"/>
    <w:rsid w:val="0050196A"/>
    <w:rsid w:val="0050699B"/>
    <w:rsid w:val="0051010F"/>
    <w:rsid w:val="005117A4"/>
    <w:rsid w:val="00513A59"/>
    <w:rsid w:val="00513AF4"/>
    <w:rsid w:val="00513DA0"/>
    <w:rsid w:val="00515AB3"/>
    <w:rsid w:val="00520C02"/>
    <w:rsid w:val="005306AE"/>
    <w:rsid w:val="0053142E"/>
    <w:rsid w:val="00536112"/>
    <w:rsid w:val="005434E3"/>
    <w:rsid w:val="005476E2"/>
    <w:rsid w:val="00551613"/>
    <w:rsid w:val="00551B4A"/>
    <w:rsid w:val="005523CD"/>
    <w:rsid w:val="005647F5"/>
    <w:rsid w:val="00566119"/>
    <w:rsid w:val="0057199E"/>
    <w:rsid w:val="00572C06"/>
    <w:rsid w:val="00574D47"/>
    <w:rsid w:val="00575DA6"/>
    <w:rsid w:val="00575E4F"/>
    <w:rsid w:val="005808DE"/>
    <w:rsid w:val="00585307"/>
    <w:rsid w:val="00585365"/>
    <w:rsid w:val="00586B29"/>
    <w:rsid w:val="005879DC"/>
    <w:rsid w:val="005949BB"/>
    <w:rsid w:val="005A052B"/>
    <w:rsid w:val="005B5A40"/>
    <w:rsid w:val="005D3FFC"/>
    <w:rsid w:val="005D4B74"/>
    <w:rsid w:val="005D53A9"/>
    <w:rsid w:val="005D5C8E"/>
    <w:rsid w:val="005D77CE"/>
    <w:rsid w:val="005D7B5B"/>
    <w:rsid w:val="005E3810"/>
    <w:rsid w:val="005E44EC"/>
    <w:rsid w:val="005F462F"/>
    <w:rsid w:val="005F520B"/>
    <w:rsid w:val="005F6671"/>
    <w:rsid w:val="00604078"/>
    <w:rsid w:val="00610108"/>
    <w:rsid w:val="0061430F"/>
    <w:rsid w:val="00620146"/>
    <w:rsid w:val="00620A7C"/>
    <w:rsid w:val="00623EA6"/>
    <w:rsid w:val="006254BD"/>
    <w:rsid w:val="00626597"/>
    <w:rsid w:val="00635F2D"/>
    <w:rsid w:val="006502C6"/>
    <w:rsid w:val="0065060A"/>
    <w:rsid w:val="006559A3"/>
    <w:rsid w:val="00655C30"/>
    <w:rsid w:val="00657B64"/>
    <w:rsid w:val="00660EE8"/>
    <w:rsid w:val="00664F52"/>
    <w:rsid w:val="00670AE3"/>
    <w:rsid w:val="00672F10"/>
    <w:rsid w:val="00674590"/>
    <w:rsid w:val="0068413B"/>
    <w:rsid w:val="00691E7C"/>
    <w:rsid w:val="00692266"/>
    <w:rsid w:val="00692313"/>
    <w:rsid w:val="00692B7B"/>
    <w:rsid w:val="00697932"/>
    <w:rsid w:val="006A72DF"/>
    <w:rsid w:val="006B26EE"/>
    <w:rsid w:val="006B4F7A"/>
    <w:rsid w:val="006B5123"/>
    <w:rsid w:val="006B6696"/>
    <w:rsid w:val="006C5530"/>
    <w:rsid w:val="006C5E54"/>
    <w:rsid w:val="006C6783"/>
    <w:rsid w:val="006C7D84"/>
    <w:rsid w:val="006D2969"/>
    <w:rsid w:val="006D2AE0"/>
    <w:rsid w:val="006D352C"/>
    <w:rsid w:val="006D4BC9"/>
    <w:rsid w:val="006D748E"/>
    <w:rsid w:val="006E0411"/>
    <w:rsid w:val="006E7EBB"/>
    <w:rsid w:val="006F0760"/>
    <w:rsid w:val="006F2917"/>
    <w:rsid w:val="006F3F9F"/>
    <w:rsid w:val="00706B3A"/>
    <w:rsid w:val="00711EF1"/>
    <w:rsid w:val="007271F7"/>
    <w:rsid w:val="007313CB"/>
    <w:rsid w:val="007375A6"/>
    <w:rsid w:val="00742651"/>
    <w:rsid w:val="0074482E"/>
    <w:rsid w:val="00745D23"/>
    <w:rsid w:val="00754967"/>
    <w:rsid w:val="00757533"/>
    <w:rsid w:val="00757BA3"/>
    <w:rsid w:val="00762015"/>
    <w:rsid w:val="00765B5D"/>
    <w:rsid w:val="00766FFC"/>
    <w:rsid w:val="007716AE"/>
    <w:rsid w:val="00780262"/>
    <w:rsid w:val="007903E7"/>
    <w:rsid w:val="00791221"/>
    <w:rsid w:val="007A1D19"/>
    <w:rsid w:val="007A40C5"/>
    <w:rsid w:val="007B1755"/>
    <w:rsid w:val="007C49DA"/>
    <w:rsid w:val="007D0703"/>
    <w:rsid w:val="007D4F58"/>
    <w:rsid w:val="007D517E"/>
    <w:rsid w:val="007D607D"/>
    <w:rsid w:val="007E0FF4"/>
    <w:rsid w:val="007E1502"/>
    <w:rsid w:val="007E67E7"/>
    <w:rsid w:val="007F118E"/>
    <w:rsid w:val="007F18A6"/>
    <w:rsid w:val="007F2985"/>
    <w:rsid w:val="00811E1B"/>
    <w:rsid w:val="008142D8"/>
    <w:rsid w:val="00814440"/>
    <w:rsid w:val="00815D68"/>
    <w:rsid w:val="00816C7F"/>
    <w:rsid w:val="00823708"/>
    <w:rsid w:val="008258EB"/>
    <w:rsid w:val="00826357"/>
    <w:rsid w:val="00827635"/>
    <w:rsid w:val="00832532"/>
    <w:rsid w:val="00832B9C"/>
    <w:rsid w:val="00832C06"/>
    <w:rsid w:val="00837923"/>
    <w:rsid w:val="00837E53"/>
    <w:rsid w:val="00853C02"/>
    <w:rsid w:val="00854587"/>
    <w:rsid w:val="00856182"/>
    <w:rsid w:val="00857F1B"/>
    <w:rsid w:val="00861094"/>
    <w:rsid w:val="0086263D"/>
    <w:rsid w:val="0087069B"/>
    <w:rsid w:val="008707B0"/>
    <w:rsid w:val="00871DC5"/>
    <w:rsid w:val="00872C54"/>
    <w:rsid w:val="00876522"/>
    <w:rsid w:val="00880D88"/>
    <w:rsid w:val="00881B0D"/>
    <w:rsid w:val="00884187"/>
    <w:rsid w:val="00884864"/>
    <w:rsid w:val="0089218E"/>
    <w:rsid w:val="00894DCE"/>
    <w:rsid w:val="00895041"/>
    <w:rsid w:val="00896A30"/>
    <w:rsid w:val="00897DAC"/>
    <w:rsid w:val="008B45E4"/>
    <w:rsid w:val="008B5722"/>
    <w:rsid w:val="008B6DF1"/>
    <w:rsid w:val="008C3096"/>
    <w:rsid w:val="008C5E2A"/>
    <w:rsid w:val="008C75EC"/>
    <w:rsid w:val="008C7828"/>
    <w:rsid w:val="008D0BE2"/>
    <w:rsid w:val="008D3B56"/>
    <w:rsid w:val="008D3CB2"/>
    <w:rsid w:val="008D41FD"/>
    <w:rsid w:val="008D7171"/>
    <w:rsid w:val="008E3815"/>
    <w:rsid w:val="008E3EC3"/>
    <w:rsid w:val="008E4B4C"/>
    <w:rsid w:val="008F2DD1"/>
    <w:rsid w:val="008F35A9"/>
    <w:rsid w:val="008F3892"/>
    <w:rsid w:val="008F7C6F"/>
    <w:rsid w:val="00900EEC"/>
    <w:rsid w:val="0090265A"/>
    <w:rsid w:val="0090372C"/>
    <w:rsid w:val="00907539"/>
    <w:rsid w:val="009234B1"/>
    <w:rsid w:val="00925E16"/>
    <w:rsid w:val="00930B6B"/>
    <w:rsid w:val="00934212"/>
    <w:rsid w:val="00940B34"/>
    <w:rsid w:val="0094136A"/>
    <w:rsid w:val="00945D1D"/>
    <w:rsid w:val="00952ABC"/>
    <w:rsid w:val="00957FEB"/>
    <w:rsid w:val="00960473"/>
    <w:rsid w:val="00960B0B"/>
    <w:rsid w:val="009618A5"/>
    <w:rsid w:val="00966BE7"/>
    <w:rsid w:val="009670DC"/>
    <w:rsid w:val="009713F1"/>
    <w:rsid w:val="0097668A"/>
    <w:rsid w:val="00980BFE"/>
    <w:rsid w:val="00981212"/>
    <w:rsid w:val="009830DD"/>
    <w:rsid w:val="0098468F"/>
    <w:rsid w:val="00986A0F"/>
    <w:rsid w:val="0098728F"/>
    <w:rsid w:val="00987E81"/>
    <w:rsid w:val="009952CA"/>
    <w:rsid w:val="00996272"/>
    <w:rsid w:val="009A4030"/>
    <w:rsid w:val="009A7E0E"/>
    <w:rsid w:val="009C276A"/>
    <w:rsid w:val="009C4AEE"/>
    <w:rsid w:val="009C5C5F"/>
    <w:rsid w:val="009C7AA8"/>
    <w:rsid w:val="009D1EE2"/>
    <w:rsid w:val="009D3A25"/>
    <w:rsid w:val="009E17CE"/>
    <w:rsid w:val="009E67BD"/>
    <w:rsid w:val="009F06E3"/>
    <w:rsid w:val="009F3423"/>
    <w:rsid w:val="009F6BE4"/>
    <w:rsid w:val="00A118C2"/>
    <w:rsid w:val="00A11CEC"/>
    <w:rsid w:val="00A174AD"/>
    <w:rsid w:val="00A17D67"/>
    <w:rsid w:val="00A2327E"/>
    <w:rsid w:val="00A27041"/>
    <w:rsid w:val="00A31513"/>
    <w:rsid w:val="00A32E38"/>
    <w:rsid w:val="00A34049"/>
    <w:rsid w:val="00A34157"/>
    <w:rsid w:val="00A35E22"/>
    <w:rsid w:val="00A412D8"/>
    <w:rsid w:val="00A4592E"/>
    <w:rsid w:val="00A55A58"/>
    <w:rsid w:val="00A63269"/>
    <w:rsid w:val="00A63FEE"/>
    <w:rsid w:val="00A66722"/>
    <w:rsid w:val="00A718B8"/>
    <w:rsid w:val="00A74ED0"/>
    <w:rsid w:val="00A7670B"/>
    <w:rsid w:val="00A7690B"/>
    <w:rsid w:val="00A77CDC"/>
    <w:rsid w:val="00A80FAA"/>
    <w:rsid w:val="00A8320D"/>
    <w:rsid w:val="00A84026"/>
    <w:rsid w:val="00A84A07"/>
    <w:rsid w:val="00A8630F"/>
    <w:rsid w:val="00A9405E"/>
    <w:rsid w:val="00A95612"/>
    <w:rsid w:val="00AA1F14"/>
    <w:rsid w:val="00AA3480"/>
    <w:rsid w:val="00AB2560"/>
    <w:rsid w:val="00AB6087"/>
    <w:rsid w:val="00AB663C"/>
    <w:rsid w:val="00AC3CEF"/>
    <w:rsid w:val="00AC6756"/>
    <w:rsid w:val="00AD0510"/>
    <w:rsid w:val="00AD51E2"/>
    <w:rsid w:val="00AD5CE2"/>
    <w:rsid w:val="00AE16B5"/>
    <w:rsid w:val="00AE2FA8"/>
    <w:rsid w:val="00B028FB"/>
    <w:rsid w:val="00B030EA"/>
    <w:rsid w:val="00B060D8"/>
    <w:rsid w:val="00B119FB"/>
    <w:rsid w:val="00B12AEA"/>
    <w:rsid w:val="00B2205E"/>
    <w:rsid w:val="00B24D6A"/>
    <w:rsid w:val="00B26DBE"/>
    <w:rsid w:val="00B312B6"/>
    <w:rsid w:val="00B33E3D"/>
    <w:rsid w:val="00B34E00"/>
    <w:rsid w:val="00B35557"/>
    <w:rsid w:val="00B41B0D"/>
    <w:rsid w:val="00B44A97"/>
    <w:rsid w:val="00B451A4"/>
    <w:rsid w:val="00B50537"/>
    <w:rsid w:val="00B556B0"/>
    <w:rsid w:val="00B64262"/>
    <w:rsid w:val="00B64524"/>
    <w:rsid w:val="00B65076"/>
    <w:rsid w:val="00B6765A"/>
    <w:rsid w:val="00B72B1D"/>
    <w:rsid w:val="00B73393"/>
    <w:rsid w:val="00B74B78"/>
    <w:rsid w:val="00B8297E"/>
    <w:rsid w:val="00B830BF"/>
    <w:rsid w:val="00B83402"/>
    <w:rsid w:val="00B84184"/>
    <w:rsid w:val="00B8735C"/>
    <w:rsid w:val="00B94512"/>
    <w:rsid w:val="00B9637B"/>
    <w:rsid w:val="00BA1918"/>
    <w:rsid w:val="00BA1CA0"/>
    <w:rsid w:val="00BB1CA6"/>
    <w:rsid w:val="00BB673B"/>
    <w:rsid w:val="00BB6A73"/>
    <w:rsid w:val="00BC2D3F"/>
    <w:rsid w:val="00BC5334"/>
    <w:rsid w:val="00BC6774"/>
    <w:rsid w:val="00BD2382"/>
    <w:rsid w:val="00BD76D8"/>
    <w:rsid w:val="00BE2D78"/>
    <w:rsid w:val="00BE3EBB"/>
    <w:rsid w:val="00BE750C"/>
    <w:rsid w:val="00BF163F"/>
    <w:rsid w:val="00BF314F"/>
    <w:rsid w:val="00BF47F6"/>
    <w:rsid w:val="00BF6332"/>
    <w:rsid w:val="00BF6F70"/>
    <w:rsid w:val="00C04257"/>
    <w:rsid w:val="00C1129D"/>
    <w:rsid w:val="00C12F3B"/>
    <w:rsid w:val="00C157F8"/>
    <w:rsid w:val="00C17EE0"/>
    <w:rsid w:val="00C227B9"/>
    <w:rsid w:val="00C241A8"/>
    <w:rsid w:val="00C37B37"/>
    <w:rsid w:val="00C41F1B"/>
    <w:rsid w:val="00C42212"/>
    <w:rsid w:val="00C61AC0"/>
    <w:rsid w:val="00C63135"/>
    <w:rsid w:val="00C6389C"/>
    <w:rsid w:val="00C64442"/>
    <w:rsid w:val="00C711F5"/>
    <w:rsid w:val="00C7342C"/>
    <w:rsid w:val="00C75FF3"/>
    <w:rsid w:val="00C77804"/>
    <w:rsid w:val="00C847A8"/>
    <w:rsid w:val="00C9106C"/>
    <w:rsid w:val="00C93914"/>
    <w:rsid w:val="00C93EC7"/>
    <w:rsid w:val="00C9568E"/>
    <w:rsid w:val="00C962C3"/>
    <w:rsid w:val="00CA5D92"/>
    <w:rsid w:val="00CB2290"/>
    <w:rsid w:val="00CB4C37"/>
    <w:rsid w:val="00CC17FF"/>
    <w:rsid w:val="00CC2515"/>
    <w:rsid w:val="00CC4896"/>
    <w:rsid w:val="00CD4B5C"/>
    <w:rsid w:val="00CD7BF5"/>
    <w:rsid w:val="00CE037B"/>
    <w:rsid w:val="00CE09D1"/>
    <w:rsid w:val="00CF07BC"/>
    <w:rsid w:val="00CF1356"/>
    <w:rsid w:val="00CF29A5"/>
    <w:rsid w:val="00CF6646"/>
    <w:rsid w:val="00CF7FA1"/>
    <w:rsid w:val="00D0071B"/>
    <w:rsid w:val="00D0092D"/>
    <w:rsid w:val="00D04E34"/>
    <w:rsid w:val="00D10C2E"/>
    <w:rsid w:val="00D12FAE"/>
    <w:rsid w:val="00D13B89"/>
    <w:rsid w:val="00D152B6"/>
    <w:rsid w:val="00D15E2E"/>
    <w:rsid w:val="00D16FE1"/>
    <w:rsid w:val="00D342C2"/>
    <w:rsid w:val="00D34E51"/>
    <w:rsid w:val="00D403ED"/>
    <w:rsid w:val="00D43910"/>
    <w:rsid w:val="00D46EF4"/>
    <w:rsid w:val="00D52327"/>
    <w:rsid w:val="00D557CC"/>
    <w:rsid w:val="00D60267"/>
    <w:rsid w:val="00D62305"/>
    <w:rsid w:val="00D6427E"/>
    <w:rsid w:val="00D6459E"/>
    <w:rsid w:val="00D7116E"/>
    <w:rsid w:val="00D72A78"/>
    <w:rsid w:val="00D76944"/>
    <w:rsid w:val="00D76F52"/>
    <w:rsid w:val="00D77C28"/>
    <w:rsid w:val="00D8368C"/>
    <w:rsid w:val="00D8487B"/>
    <w:rsid w:val="00D86B1D"/>
    <w:rsid w:val="00D924F1"/>
    <w:rsid w:val="00D96EFA"/>
    <w:rsid w:val="00DA0C1D"/>
    <w:rsid w:val="00DA1196"/>
    <w:rsid w:val="00DA47FD"/>
    <w:rsid w:val="00DA50D2"/>
    <w:rsid w:val="00DA60FB"/>
    <w:rsid w:val="00DB4819"/>
    <w:rsid w:val="00DB61D5"/>
    <w:rsid w:val="00DB7020"/>
    <w:rsid w:val="00DC0661"/>
    <w:rsid w:val="00DD01AA"/>
    <w:rsid w:val="00DD32A4"/>
    <w:rsid w:val="00DD379F"/>
    <w:rsid w:val="00DD5362"/>
    <w:rsid w:val="00DE5147"/>
    <w:rsid w:val="00DE5346"/>
    <w:rsid w:val="00DE5BE9"/>
    <w:rsid w:val="00DF1DAE"/>
    <w:rsid w:val="00DF3D3C"/>
    <w:rsid w:val="00E02963"/>
    <w:rsid w:val="00E0383F"/>
    <w:rsid w:val="00E140A7"/>
    <w:rsid w:val="00E14A40"/>
    <w:rsid w:val="00E25785"/>
    <w:rsid w:val="00E25A3C"/>
    <w:rsid w:val="00E25EA0"/>
    <w:rsid w:val="00E26D33"/>
    <w:rsid w:val="00E30A08"/>
    <w:rsid w:val="00E3175E"/>
    <w:rsid w:val="00E3297C"/>
    <w:rsid w:val="00E32B08"/>
    <w:rsid w:val="00E34A16"/>
    <w:rsid w:val="00E369BF"/>
    <w:rsid w:val="00E424B2"/>
    <w:rsid w:val="00E46111"/>
    <w:rsid w:val="00E50D08"/>
    <w:rsid w:val="00E52B2A"/>
    <w:rsid w:val="00E533E3"/>
    <w:rsid w:val="00E53CD7"/>
    <w:rsid w:val="00E56B8E"/>
    <w:rsid w:val="00E60312"/>
    <w:rsid w:val="00E65AEB"/>
    <w:rsid w:val="00E67DF7"/>
    <w:rsid w:val="00E801B1"/>
    <w:rsid w:val="00E80C05"/>
    <w:rsid w:val="00E8276B"/>
    <w:rsid w:val="00E846C6"/>
    <w:rsid w:val="00E849A0"/>
    <w:rsid w:val="00E91702"/>
    <w:rsid w:val="00E94390"/>
    <w:rsid w:val="00EA0772"/>
    <w:rsid w:val="00EA4A2B"/>
    <w:rsid w:val="00EA724A"/>
    <w:rsid w:val="00EA7538"/>
    <w:rsid w:val="00EB06F4"/>
    <w:rsid w:val="00EB2C29"/>
    <w:rsid w:val="00EB7356"/>
    <w:rsid w:val="00EC5325"/>
    <w:rsid w:val="00EC7355"/>
    <w:rsid w:val="00ED2F9D"/>
    <w:rsid w:val="00ED31FE"/>
    <w:rsid w:val="00EE4544"/>
    <w:rsid w:val="00EE4E72"/>
    <w:rsid w:val="00EF1880"/>
    <w:rsid w:val="00EF62B8"/>
    <w:rsid w:val="00F01323"/>
    <w:rsid w:val="00F129D8"/>
    <w:rsid w:val="00F16F0E"/>
    <w:rsid w:val="00F174B6"/>
    <w:rsid w:val="00F175FA"/>
    <w:rsid w:val="00F1787B"/>
    <w:rsid w:val="00F20B62"/>
    <w:rsid w:val="00F21B29"/>
    <w:rsid w:val="00F2417D"/>
    <w:rsid w:val="00F26E95"/>
    <w:rsid w:val="00F309B4"/>
    <w:rsid w:val="00F3262B"/>
    <w:rsid w:val="00F33662"/>
    <w:rsid w:val="00F33F30"/>
    <w:rsid w:val="00F34E83"/>
    <w:rsid w:val="00F35506"/>
    <w:rsid w:val="00F5099A"/>
    <w:rsid w:val="00F51651"/>
    <w:rsid w:val="00F519A6"/>
    <w:rsid w:val="00F526C6"/>
    <w:rsid w:val="00F65B4D"/>
    <w:rsid w:val="00F67272"/>
    <w:rsid w:val="00F674BD"/>
    <w:rsid w:val="00F716B8"/>
    <w:rsid w:val="00F72300"/>
    <w:rsid w:val="00F740F2"/>
    <w:rsid w:val="00F76A18"/>
    <w:rsid w:val="00F85D9F"/>
    <w:rsid w:val="00F92940"/>
    <w:rsid w:val="00F96B97"/>
    <w:rsid w:val="00FA23D7"/>
    <w:rsid w:val="00FA2EE2"/>
    <w:rsid w:val="00FB2DA1"/>
    <w:rsid w:val="00FB35A1"/>
    <w:rsid w:val="00FB4C6B"/>
    <w:rsid w:val="00FB54BF"/>
    <w:rsid w:val="00FC18FB"/>
    <w:rsid w:val="00FC3415"/>
    <w:rsid w:val="00FC5A6D"/>
    <w:rsid w:val="00FC6D61"/>
    <w:rsid w:val="00FD1DAC"/>
    <w:rsid w:val="00FD2070"/>
    <w:rsid w:val="00FD66D3"/>
    <w:rsid w:val="00FE1D63"/>
    <w:rsid w:val="00FE5BF7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4C30CD-C233-4061-905E-C09C2F0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C56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97668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97668A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9413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4136A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413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4136A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1E3B2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D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75DA6"/>
    <w:rPr>
      <w:rFonts w:ascii="Tahoma" w:hAnsi="Tahoma" w:cs="Tahoma"/>
      <w:sz w:val="16"/>
      <w:szCs w:val="16"/>
    </w:rPr>
  </w:style>
  <w:style w:type="paragraph" w:customStyle="1" w:styleId="Zkladntext">
    <w:name w:val="Základní text"/>
    <w:aliases w:val="Základný text Char Char"/>
    <w:rsid w:val="00B83402"/>
    <w:pPr>
      <w:widowControl w:val="0"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72F1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2F1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72F10"/>
    <w:rPr>
      <w:rFonts w:cs="Times New Roman"/>
      <w:color w:val="auto"/>
    </w:rPr>
  </w:style>
  <w:style w:type="paragraph" w:customStyle="1" w:styleId="CM19">
    <w:name w:val="CM1+9"/>
    <w:basedOn w:val="Default"/>
    <w:next w:val="Default"/>
    <w:uiPriority w:val="99"/>
    <w:rsid w:val="003E6073"/>
    <w:rPr>
      <w:rFonts w:cs="Times New Roman"/>
      <w:color w:val="auto"/>
    </w:rPr>
  </w:style>
  <w:style w:type="paragraph" w:customStyle="1" w:styleId="CM39">
    <w:name w:val="CM3+9"/>
    <w:basedOn w:val="Default"/>
    <w:next w:val="Default"/>
    <w:uiPriority w:val="99"/>
    <w:rsid w:val="003E6073"/>
    <w:rPr>
      <w:rFonts w:cs="Times New Roman"/>
      <w:color w:val="auto"/>
    </w:rPr>
  </w:style>
  <w:style w:type="paragraph" w:customStyle="1" w:styleId="CM49">
    <w:name w:val="CM4+9"/>
    <w:basedOn w:val="Default"/>
    <w:next w:val="Default"/>
    <w:uiPriority w:val="99"/>
    <w:rsid w:val="003E6073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rsid w:val="0086263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1518729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8724">
                                  <w:marLeft w:val="0"/>
                                  <w:marRight w:val="1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988A-2274-49A0-804D-7646911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2142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veronika.prokesova@mfsr.sk</dc:creator>
  <cp:keywords/>
  <dc:description/>
  <cp:lastModifiedBy>Prokesova Veronika</cp:lastModifiedBy>
  <cp:revision>3</cp:revision>
  <cp:lastPrinted>2019-08-01T08:45:00Z</cp:lastPrinted>
  <dcterms:created xsi:type="dcterms:W3CDTF">2019-08-01T13:38:00Z</dcterms:created>
  <dcterms:modified xsi:type="dcterms:W3CDTF">2019-08-01T13:52:00Z</dcterms:modified>
</cp:coreProperties>
</file>