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9B" w:rsidRPr="003C289B" w:rsidRDefault="003C289B" w:rsidP="003C289B">
      <w:pPr>
        <w:spacing w:after="120"/>
        <w:jc w:val="center"/>
        <w:rPr>
          <w:rFonts w:ascii="Times New Roman" w:hAnsi="Times New Roman"/>
          <w:b/>
        </w:rPr>
      </w:pPr>
      <w:bookmarkStart w:id="0" w:name="_GoBack"/>
      <w:bookmarkEnd w:id="0"/>
      <w:r w:rsidRPr="003C289B">
        <w:rPr>
          <w:rFonts w:ascii="Times New Roman" w:hAnsi="Times New Roman"/>
          <w:b/>
          <w:bCs/>
          <w:sz w:val="28"/>
          <w:szCs w:val="28"/>
        </w:rPr>
        <w:t>Doložka vybraných vplyvov</w:t>
      </w: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C289B" w:rsidRPr="00955F3E" w:rsidTr="006109A7">
        <w:tc>
          <w:tcPr>
            <w:tcW w:w="9180" w:type="dxa"/>
            <w:gridSpan w:val="10"/>
            <w:tcBorders>
              <w:bottom w:val="single" w:sz="4" w:space="0" w:color="FFFFFF" w:themeColor="background1"/>
            </w:tcBorders>
            <w:shd w:val="clear" w:color="auto" w:fill="E2E2E2"/>
          </w:tcPr>
          <w:p w:rsidR="003C289B" w:rsidRPr="00955F3E" w:rsidRDefault="003C289B" w:rsidP="003C289B">
            <w:pPr>
              <w:pStyle w:val="Odsekzoznamu"/>
              <w:numPr>
                <w:ilvl w:val="0"/>
                <w:numId w:val="5"/>
              </w:numPr>
              <w:ind w:left="426"/>
              <w:rPr>
                <w:rFonts w:ascii="Times New Roman" w:hAnsi="Times New Roman"/>
                <w:b/>
                <w:sz w:val="24"/>
                <w:szCs w:val="24"/>
              </w:rPr>
            </w:pPr>
            <w:r w:rsidRPr="00955F3E">
              <w:rPr>
                <w:rFonts w:ascii="Times New Roman" w:hAnsi="Times New Roman"/>
                <w:b/>
                <w:sz w:val="24"/>
                <w:szCs w:val="24"/>
              </w:rPr>
              <w:t>Základné údaje</w:t>
            </w:r>
          </w:p>
        </w:tc>
      </w:tr>
      <w:tr w:rsidR="003C289B" w:rsidRPr="00955F3E" w:rsidTr="006109A7">
        <w:tc>
          <w:tcPr>
            <w:tcW w:w="9180" w:type="dxa"/>
            <w:gridSpan w:val="10"/>
            <w:tcBorders>
              <w:bottom w:val="single" w:sz="4" w:space="0" w:color="FFFFFF" w:themeColor="background1"/>
            </w:tcBorders>
            <w:shd w:val="clear" w:color="auto" w:fill="E2E2E2"/>
          </w:tcPr>
          <w:p w:rsidR="003C289B" w:rsidRPr="00955F3E" w:rsidRDefault="003C289B" w:rsidP="006109A7">
            <w:pPr>
              <w:pStyle w:val="Odsekzoznamu"/>
              <w:ind w:left="142"/>
              <w:rPr>
                <w:rFonts w:ascii="Times New Roman" w:hAnsi="Times New Roman"/>
                <w:b/>
                <w:sz w:val="24"/>
                <w:szCs w:val="24"/>
              </w:rPr>
            </w:pPr>
            <w:r w:rsidRPr="00955F3E">
              <w:rPr>
                <w:rFonts w:ascii="Times New Roman" w:hAnsi="Times New Roman"/>
                <w:b/>
                <w:sz w:val="24"/>
                <w:szCs w:val="24"/>
              </w:rPr>
              <w:t>Názov materiálu</w:t>
            </w:r>
          </w:p>
        </w:tc>
      </w:tr>
      <w:tr w:rsidR="003C289B" w:rsidRPr="00955F3E" w:rsidTr="006109A7">
        <w:tc>
          <w:tcPr>
            <w:tcW w:w="9180" w:type="dxa"/>
            <w:gridSpan w:val="10"/>
            <w:tcBorders>
              <w:top w:val="single" w:sz="4" w:space="0" w:color="FFFFFF" w:themeColor="background1"/>
            </w:tcBorders>
          </w:tcPr>
          <w:p w:rsidR="007E4DEA" w:rsidRPr="006C4E67" w:rsidRDefault="00E55BCB" w:rsidP="003C4CA2">
            <w:pPr>
              <w:jc w:val="both"/>
              <w:rPr>
                <w:rFonts w:ascii="Times New Roman" w:hAnsi="Times New Roman"/>
                <w:sz w:val="20"/>
                <w:szCs w:val="20"/>
              </w:rPr>
            </w:pPr>
            <w:r w:rsidRPr="006C4E67">
              <w:rPr>
                <w:rFonts w:ascii="Times New Roman" w:hAnsi="Times New Roman"/>
                <w:iCs/>
                <w:sz w:val="20"/>
                <w:szCs w:val="20"/>
                <w:lang w:eastAsia="sk-SK"/>
              </w:rPr>
              <w:t xml:space="preserve">Návrh zákona, ktorým sa mení a dopĺňa zákon č. 609/2007 Z. z. o spotrebnej dani </w:t>
            </w:r>
            <w:r w:rsidRPr="006C4E67">
              <w:rPr>
                <w:rFonts w:ascii="Times New Roman" w:hAnsi="Times New Roman"/>
                <w:iCs/>
                <w:sz w:val="20"/>
                <w:szCs w:val="20"/>
                <w:lang w:eastAsia="sk-SK"/>
              </w:rPr>
              <w:br/>
              <w:t xml:space="preserve">z elektriny, uhlia a zemného plynu a o zmene a doplnení zákona č. 98/2004 Z. z. o spotrebnej dani z minerálneho oleja v znení neskorších predpisov a ktorým sa mení a dopĺňa zákon </w:t>
            </w:r>
            <w:r w:rsidRPr="006C4E67">
              <w:rPr>
                <w:rFonts w:ascii="Times New Roman" w:hAnsi="Times New Roman"/>
                <w:iCs/>
                <w:sz w:val="20"/>
                <w:szCs w:val="20"/>
                <w:lang w:eastAsia="sk-SK"/>
              </w:rPr>
              <w:br/>
              <w:t>č. 98/2004 Z. z. o spotrebnej dani z minerálneho oleja v znení neskorších predpisov</w:t>
            </w:r>
          </w:p>
        </w:tc>
      </w:tr>
      <w:tr w:rsidR="003C289B" w:rsidRPr="00955F3E" w:rsidTr="006109A7">
        <w:tc>
          <w:tcPr>
            <w:tcW w:w="9180" w:type="dxa"/>
            <w:gridSpan w:val="10"/>
            <w:tcBorders>
              <w:bottom w:val="single" w:sz="4" w:space="0" w:color="FFFFFF" w:themeColor="background1"/>
            </w:tcBorders>
            <w:shd w:val="clear" w:color="auto" w:fill="E2E2E2"/>
          </w:tcPr>
          <w:p w:rsidR="003C289B" w:rsidRPr="00955F3E" w:rsidRDefault="003C289B" w:rsidP="006109A7">
            <w:pPr>
              <w:pStyle w:val="Odsekzoznamu"/>
              <w:ind w:left="142"/>
              <w:rPr>
                <w:rFonts w:ascii="Times New Roman" w:hAnsi="Times New Roman"/>
                <w:b/>
                <w:sz w:val="24"/>
                <w:szCs w:val="24"/>
              </w:rPr>
            </w:pPr>
            <w:r w:rsidRPr="00955F3E">
              <w:rPr>
                <w:rFonts w:ascii="Times New Roman" w:hAnsi="Times New Roman"/>
                <w:b/>
                <w:sz w:val="24"/>
                <w:szCs w:val="24"/>
              </w:rPr>
              <w:t>Predkladateľ (a spolupredkladateľ)</w:t>
            </w:r>
          </w:p>
        </w:tc>
      </w:tr>
      <w:tr w:rsidR="003C289B" w:rsidRPr="00955F3E" w:rsidTr="006109A7">
        <w:tc>
          <w:tcPr>
            <w:tcW w:w="9180" w:type="dxa"/>
            <w:gridSpan w:val="10"/>
            <w:tcBorders>
              <w:top w:val="single" w:sz="4" w:space="0" w:color="FFFFFF" w:themeColor="background1"/>
            </w:tcBorders>
            <w:shd w:val="clear" w:color="auto" w:fill="FFFFFF" w:themeFill="background1"/>
          </w:tcPr>
          <w:p w:rsidR="007E4DEA" w:rsidRPr="00955F3E" w:rsidRDefault="003C289B" w:rsidP="00B97276">
            <w:pPr>
              <w:rPr>
                <w:rFonts w:ascii="Times New Roman" w:hAnsi="Times New Roman"/>
                <w:sz w:val="24"/>
                <w:szCs w:val="24"/>
              </w:rPr>
            </w:pPr>
            <w:r w:rsidRPr="0012741B">
              <w:rPr>
                <w:rFonts w:ascii="Times New Roman" w:hAnsi="Times New Roman"/>
                <w:sz w:val="20"/>
                <w:szCs w:val="24"/>
              </w:rPr>
              <w:t>Ministerstv</w:t>
            </w:r>
            <w:r w:rsidR="007E4DEA" w:rsidRPr="0012741B">
              <w:rPr>
                <w:rFonts w:ascii="Times New Roman" w:hAnsi="Times New Roman"/>
                <w:sz w:val="20"/>
                <w:szCs w:val="24"/>
              </w:rPr>
              <w:t>o financií Slovenskej republiky</w:t>
            </w:r>
          </w:p>
        </w:tc>
      </w:tr>
      <w:tr w:rsidR="003C289B" w:rsidRPr="00955F3E" w:rsidTr="006109A7">
        <w:tc>
          <w:tcPr>
            <w:tcW w:w="4212" w:type="dxa"/>
            <w:gridSpan w:val="2"/>
            <w:vMerge w:val="restart"/>
            <w:tcBorders>
              <w:bottom w:val="single" w:sz="4" w:space="0" w:color="FFFFFF" w:themeColor="background1"/>
            </w:tcBorders>
            <w:shd w:val="clear" w:color="auto" w:fill="E2E2E2"/>
            <w:vAlign w:val="center"/>
          </w:tcPr>
          <w:p w:rsidR="003C289B" w:rsidRPr="00955F3E" w:rsidRDefault="003C289B" w:rsidP="006109A7">
            <w:pPr>
              <w:pStyle w:val="Odsekzoznamu"/>
              <w:ind w:left="142"/>
              <w:rPr>
                <w:rFonts w:ascii="Times New Roman" w:hAnsi="Times New Roman"/>
                <w:b/>
                <w:sz w:val="24"/>
                <w:szCs w:val="24"/>
              </w:rPr>
            </w:pPr>
            <w:r w:rsidRPr="00955F3E">
              <w:rPr>
                <w:rFonts w:ascii="Times New Roman" w:hAnsi="Times New Roman"/>
                <w:b/>
                <w:sz w:val="24"/>
                <w:szCs w:val="24"/>
              </w:rPr>
              <w:t>Charakter predkladaného materiálu</w:t>
            </w:r>
          </w:p>
        </w:tc>
        <w:tc>
          <w:tcPr>
            <w:tcW w:w="705" w:type="dxa"/>
            <w:gridSpan w:val="2"/>
            <w:tcBorders>
              <w:right w:val="nil"/>
            </w:tcBorders>
            <w:shd w:val="clear" w:color="auto" w:fill="FFFFFF" w:themeFill="background1"/>
          </w:tcPr>
          <w:p w:rsidR="003C289B" w:rsidRPr="00955F3E" w:rsidRDefault="003C289B" w:rsidP="006109A7">
            <w:pPr>
              <w:jc w:val="center"/>
              <w:rPr>
                <w:rFonts w:ascii="Times New Roman" w:hAnsi="Times New Roman"/>
                <w:sz w:val="24"/>
                <w:szCs w:val="24"/>
              </w:rPr>
            </w:pPr>
            <w:r w:rsidRPr="00955F3E">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3C289B" w:rsidRPr="00955F3E" w:rsidRDefault="003C289B" w:rsidP="006109A7">
            <w:pPr>
              <w:rPr>
                <w:rFonts w:ascii="Times New Roman" w:hAnsi="Times New Roman"/>
                <w:sz w:val="24"/>
                <w:szCs w:val="24"/>
              </w:rPr>
            </w:pPr>
            <w:r w:rsidRPr="00955F3E">
              <w:rPr>
                <w:rFonts w:ascii="Times New Roman" w:hAnsi="Times New Roman"/>
                <w:sz w:val="24"/>
                <w:szCs w:val="24"/>
              </w:rPr>
              <w:t>Materiál nelegislatívnej povahy</w:t>
            </w:r>
          </w:p>
        </w:tc>
      </w:tr>
      <w:tr w:rsidR="003C289B" w:rsidRPr="00955F3E" w:rsidTr="006109A7">
        <w:tc>
          <w:tcPr>
            <w:tcW w:w="4212" w:type="dxa"/>
            <w:gridSpan w:val="2"/>
            <w:vMerge/>
            <w:tcBorders>
              <w:top w:val="nil"/>
              <w:bottom w:val="single" w:sz="4" w:space="0" w:color="FFFFFF" w:themeColor="background1"/>
            </w:tcBorders>
            <w:shd w:val="clear" w:color="auto" w:fill="E2E2E2"/>
          </w:tcPr>
          <w:p w:rsidR="003C289B" w:rsidRPr="00955F3E" w:rsidRDefault="003C289B" w:rsidP="006109A7">
            <w:pPr>
              <w:rPr>
                <w:rFonts w:ascii="Times New Roman" w:hAnsi="Times New Roman"/>
                <w:sz w:val="24"/>
                <w:szCs w:val="24"/>
              </w:rPr>
            </w:pPr>
          </w:p>
        </w:tc>
        <w:tc>
          <w:tcPr>
            <w:tcW w:w="705" w:type="dxa"/>
            <w:gridSpan w:val="2"/>
            <w:tcBorders>
              <w:right w:val="nil"/>
            </w:tcBorders>
            <w:shd w:val="clear" w:color="auto" w:fill="FFFFFF" w:themeFill="background1"/>
          </w:tcPr>
          <w:p w:rsidR="003C289B" w:rsidRPr="00955F3E" w:rsidRDefault="003C289B" w:rsidP="006109A7">
            <w:pPr>
              <w:jc w:val="center"/>
              <w:rPr>
                <w:rFonts w:ascii="Times New Roman" w:hAnsi="Times New Roman"/>
                <w:sz w:val="24"/>
                <w:szCs w:val="24"/>
              </w:rPr>
            </w:pPr>
            <w:r w:rsidRPr="00955F3E">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3C289B" w:rsidRPr="00955F3E" w:rsidRDefault="003C289B" w:rsidP="006109A7">
            <w:pPr>
              <w:ind w:left="175" w:hanging="175"/>
              <w:rPr>
                <w:rFonts w:ascii="Times New Roman" w:hAnsi="Times New Roman"/>
                <w:sz w:val="24"/>
                <w:szCs w:val="24"/>
              </w:rPr>
            </w:pPr>
            <w:r w:rsidRPr="00955F3E">
              <w:rPr>
                <w:rFonts w:ascii="Times New Roman" w:hAnsi="Times New Roman"/>
                <w:sz w:val="24"/>
                <w:szCs w:val="24"/>
              </w:rPr>
              <w:t>Materiál legislatívnej povahy</w:t>
            </w:r>
          </w:p>
        </w:tc>
      </w:tr>
      <w:tr w:rsidR="003C289B" w:rsidRPr="00955F3E" w:rsidTr="006109A7">
        <w:tc>
          <w:tcPr>
            <w:tcW w:w="4212" w:type="dxa"/>
            <w:gridSpan w:val="2"/>
            <w:vMerge/>
            <w:tcBorders>
              <w:top w:val="nil"/>
            </w:tcBorders>
            <w:shd w:val="clear" w:color="auto" w:fill="E2E2E2"/>
          </w:tcPr>
          <w:p w:rsidR="003C289B" w:rsidRPr="00955F3E" w:rsidRDefault="003C289B" w:rsidP="006109A7">
            <w:pPr>
              <w:rPr>
                <w:rFonts w:ascii="Times New Roman" w:hAnsi="Times New Roman"/>
                <w:sz w:val="24"/>
                <w:szCs w:val="24"/>
              </w:rPr>
            </w:pPr>
          </w:p>
        </w:tc>
        <w:tc>
          <w:tcPr>
            <w:tcW w:w="705" w:type="dxa"/>
            <w:gridSpan w:val="2"/>
            <w:tcBorders>
              <w:right w:val="nil"/>
            </w:tcBorders>
            <w:shd w:val="clear" w:color="auto" w:fill="FFFFFF" w:themeFill="background1"/>
          </w:tcPr>
          <w:p w:rsidR="003C289B" w:rsidRPr="00955F3E" w:rsidRDefault="003C289B" w:rsidP="006109A7">
            <w:pPr>
              <w:jc w:val="center"/>
              <w:rPr>
                <w:rFonts w:ascii="Times New Roman" w:hAnsi="Times New Roman"/>
                <w:sz w:val="24"/>
                <w:szCs w:val="24"/>
              </w:rPr>
            </w:pPr>
            <w:r w:rsidRPr="00955F3E">
              <w:rPr>
                <w:rFonts w:ascii="Segoe UI Symbol" w:eastAsia="MS Mincho" w:hAnsi="Segoe UI Symbol" w:cs="Segoe UI Symbol"/>
                <w:sz w:val="24"/>
                <w:szCs w:val="24"/>
              </w:rPr>
              <w:t>☐</w:t>
            </w:r>
          </w:p>
        </w:tc>
        <w:tc>
          <w:tcPr>
            <w:tcW w:w="4263" w:type="dxa"/>
            <w:gridSpan w:val="6"/>
            <w:tcBorders>
              <w:left w:val="nil"/>
            </w:tcBorders>
            <w:shd w:val="clear" w:color="auto" w:fill="FFFFFF" w:themeFill="background1"/>
          </w:tcPr>
          <w:p w:rsidR="003C289B" w:rsidRPr="00955F3E" w:rsidRDefault="003C289B" w:rsidP="006109A7">
            <w:pPr>
              <w:rPr>
                <w:rFonts w:ascii="Times New Roman" w:hAnsi="Times New Roman"/>
                <w:sz w:val="24"/>
                <w:szCs w:val="24"/>
              </w:rPr>
            </w:pPr>
            <w:r w:rsidRPr="00955F3E">
              <w:rPr>
                <w:rFonts w:ascii="Times New Roman" w:hAnsi="Times New Roman"/>
                <w:sz w:val="24"/>
                <w:szCs w:val="24"/>
              </w:rPr>
              <w:t>Transpozícia práva EÚ</w:t>
            </w:r>
          </w:p>
        </w:tc>
      </w:tr>
      <w:tr w:rsidR="003C289B" w:rsidRPr="00955F3E" w:rsidTr="006109A7">
        <w:tc>
          <w:tcPr>
            <w:tcW w:w="9180" w:type="dxa"/>
            <w:gridSpan w:val="10"/>
            <w:tcBorders>
              <w:bottom w:val="single" w:sz="4" w:space="0" w:color="FFFFFF" w:themeColor="background1"/>
            </w:tcBorders>
            <w:shd w:val="clear" w:color="auto" w:fill="FFFFFF" w:themeFill="background1"/>
          </w:tcPr>
          <w:p w:rsidR="003C289B" w:rsidRPr="00955F3E" w:rsidRDefault="003C289B" w:rsidP="006109A7">
            <w:pPr>
              <w:rPr>
                <w:rFonts w:ascii="Times New Roman" w:hAnsi="Times New Roman"/>
                <w:i/>
                <w:sz w:val="24"/>
                <w:szCs w:val="24"/>
              </w:rPr>
            </w:pPr>
            <w:r w:rsidRPr="00955F3E">
              <w:rPr>
                <w:rFonts w:ascii="Times New Roman" w:hAnsi="Times New Roman"/>
                <w:i/>
                <w:sz w:val="24"/>
                <w:szCs w:val="24"/>
              </w:rPr>
              <w:t>V prípade transpozície uveďte zoznam transponovaných predpisov:</w:t>
            </w:r>
          </w:p>
          <w:p w:rsidR="003C289B" w:rsidRPr="00955F3E" w:rsidRDefault="003C289B" w:rsidP="006109A7">
            <w:pPr>
              <w:rPr>
                <w:rFonts w:ascii="Times New Roman" w:hAnsi="Times New Roman"/>
                <w:sz w:val="24"/>
                <w:szCs w:val="24"/>
              </w:rPr>
            </w:pPr>
          </w:p>
          <w:p w:rsidR="003C289B" w:rsidRPr="00955F3E" w:rsidRDefault="003C289B" w:rsidP="006109A7">
            <w:pPr>
              <w:rPr>
                <w:rFonts w:ascii="Times New Roman" w:hAnsi="Times New Roman"/>
                <w:sz w:val="24"/>
                <w:szCs w:val="24"/>
              </w:rPr>
            </w:pPr>
          </w:p>
        </w:tc>
      </w:tr>
      <w:tr w:rsidR="003C289B" w:rsidRPr="00955F3E" w:rsidTr="006109A7">
        <w:tc>
          <w:tcPr>
            <w:tcW w:w="5634" w:type="dxa"/>
            <w:gridSpan w:val="5"/>
            <w:tcBorders>
              <w:top w:val="single" w:sz="4" w:space="0" w:color="000000" w:themeColor="text1"/>
              <w:bottom w:val="single" w:sz="4" w:space="0" w:color="FFFFFF" w:themeColor="background1"/>
            </w:tcBorders>
            <w:shd w:val="clear" w:color="auto" w:fill="E2E2E2"/>
          </w:tcPr>
          <w:p w:rsidR="003C289B" w:rsidRPr="00955F3E" w:rsidRDefault="003C289B" w:rsidP="006109A7">
            <w:pPr>
              <w:pStyle w:val="Odsekzoznamu"/>
              <w:ind w:left="142"/>
              <w:rPr>
                <w:rFonts w:ascii="Times New Roman" w:hAnsi="Times New Roman"/>
                <w:b/>
                <w:sz w:val="24"/>
                <w:szCs w:val="24"/>
              </w:rPr>
            </w:pPr>
            <w:r w:rsidRPr="00955F3E">
              <w:rPr>
                <w:rFonts w:ascii="Times New Roman" w:hAnsi="Times New Roman"/>
                <w:b/>
                <w:sz w:val="24"/>
                <w:szCs w:val="24"/>
              </w:rPr>
              <w:t>Termín začiatku a ukončenia PPK</w:t>
            </w:r>
          </w:p>
        </w:tc>
        <w:tc>
          <w:tcPr>
            <w:tcW w:w="3546" w:type="dxa"/>
            <w:gridSpan w:val="5"/>
            <w:tcBorders>
              <w:top w:val="single" w:sz="4" w:space="0" w:color="000000" w:themeColor="text1"/>
            </w:tcBorders>
            <w:vAlign w:val="center"/>
          </w:tcPr>
          <w:p w:rsidR="003C289B" w:rsidRPr="00955F3E" w:rsidRDefault="00F1007E" w:rsidP="006109A7">
            <w:pPr>
              <w:rPr>
                <w:rFonts w:ascii="Times New Roman" w:hAnsi="Times New Roman"/>
                <w:sz w:val="24"/>
                <w:szCs w:val="24"/>
              </w:rPr>
            </w:pPr>
            <w:r>
              <w:rPr>
                <w:rFonts w:ascii="Times New Roman" w:hAnsi="Times New Roman"/>
                <w:sz w:val="24"/>
                <w:szCs w:val="24"/>
              </w:rPr>
              <w:t>15.05.-29.05.2019</w:t>
            </w:r>
          </w:p>
        </w:tc>
      </w:tr>
      <w:tr w:rsidR="003C289B" w:rsidRPr="00955F3E" w:rsidTr="006109A7">
        <w:tc>
          <w:tcPr>
            <w:tcW w:w="5634" w:type="dxa"/>
            <w:gridSpan w:val="5"/>
            <w:tcBorders>
              <w:bottom w:val="single" w:sz="4" w:space="0" w:color="FFFFFF" w:themeColor="background1"/>
            </w:tcBorders>
            <w:shd w:val="clear" w:color="auto" w:fill="E2E2E2"/>
          </w:tcPr>
          <w:p w:rsidR="003C289B" w:rsidRPr="00955F3E" w:rsidRDefault="003C289B" w:rsidP="006109A7">
            <w:pPr>
              <w:pStyle w:val="Odsekzoznamu"/>
              <w:ind w:left="142"/>
              <w:rPr>
                <w:rFonts w:ascii="Times New Roman" w:hAnsi="Times New Roman"/>
                <w:b/>
                <w:sz w:val="24"/>
                <w:szCs w:val="24"/>
              </w:rPr>
            </w:pPr>
            <w:r w:rsidRPr="00955F3E">
              <w:rPr>
                <w:rFonts w:ascii="Times New Roman" w:hAnsi="Times New Roman"/>
                <w:b/>
                <w:sz w:val="24"/>
                <w:szCs w:val="24"/>
              </w:rPr>
              <w:t>Predpokladaný termín predloženia na MPK*</w:t>
            </w:r>
          </w:p>
        </w:tc>
        <w:tc>
          <w:tcPr>
            <w:tcW w:w="3546" w:type="dxa"/>
            <w:gridSpan w:val="5"/>
            <w:vAlign w:val="center"/>
          </w:tcPr>
          <w:p w:rsidR="003C289B" w:rsidRPr="00955F3E" w:rsidRDefault="0044169C" w:rsidP="006109A7">
            <w:pPr>
              <w:rPr>
                <w:rFonts w:ascii="Times New Roman" w:hAnsi="Times New Roman"/>
                <w:sz w:val="24"/>
                <w:szCs w:val="24"/>
              </w:rPr>
            </w:pPr>
            <w:r>
              <w:rPr>
                <w:rFonts w:ascii="Times New Roman" w:hAnsi="Times New Roman"/>
                <w:sz w:val="24"/>
                <w:szCs w:val="24"/>
              </w:rPr>
              <w:t>jún</w:t>
            </w:r>
            <w:r w:rsidR="00D8556F" w:rsidRPr="00955F3E">
              <w:rPr>
                <w:rFonts w:ascii="Times New Roman" w:hAnsi="Times New Roman"/>
                <w:sz w:val="24"/>
                <w:szCs w:val="24"/>
              </w:rPr>
              <w:t xml:space="preserve"> 2019</w:t>
            </w:r>
          </w:p>
        </w:tc>
      </w:tr>
      <w:tr w:rsidR="003C289B" w:rsidRPr="00955F3E" w:rsidTr="006109A7">
        <w:tc>
          <w:tcPr>
            <w:tcW w:w="5634" w:type="dxa"/>
            <w:gridSpan w:val="5"/>
            <w:tcBorders>
              <w:bottom w:val="single" w:sz="4" w:space="0" w:color="FFFFFF" w:themeColor="background1"/>
            </w:tcBorders>
            <w:shd w:val="clear" w:color="auto" w:fill="E2E2E2"/>
          </w:tcPr>
          <w:p w:rsidR="003C289B" w:rsidRPr="00955F3E" w:rsidRDefault="003C289B" w:rsidP="006109A7">
            <w:pPr>
              <w:pStyle w:val="Odsekzoznamu"/>
              <w:ind w:left="142"/>
              <w:rPr>
                <w:rFonts w:ascii="Times New Roman" w:hAnsi="Times New Roman"/>
                <w:b/>
                <w:sz w:val="24"/>
                <w:szCs w:val="24"/>
              </w:rPr>
            </w:pPr>
            <w:r w:rsidRPr="00955F3E">
              <w:rPr>
                <w:rFonts w:ascii="Times New Roman" w:hAnsi="Times New Roman"/>
                <w:b/>
                <w:sz w:val="24"/>
                <w:szCs w:val="24"/>
              </w:rPr>
              <w:t>Predpokladaný termín predloženia na Rokovanie vlády SR*</w:t>
            </w:r>
          </w:p>
        </w:tc>
        <w:tc>
          <w:tcPr>
            <w:tcW w:w="3546" w:type="dxa"/>
            <w:gridSpan w:val="5"/>
            <w:vAlign w:val="center"/>
          </w:tcPr>
          <w:p w:rsidR="003C289B" w:rsidRPr="00955F3E" w:rsidRDefault="00D8556F" w:rsidP="006109A7">
            <w:pPr>
              <w:rPr>
                <w:rFonts w:ascii="Times New Roman" w:hAnsi="Times New Roman"/>
                <w:sz w:val="24"/>
                <w:szCs w:val="24"/>
              </w:rPr>
            </w:pPr>
            <w:r w:rsidRPr="00955F3E">
              <w:rPr>
                <w:rFonts w:ascii="Times New Roman" w:hAnsi="Times New Roman"/>
                <w:sz w:val="24"/>
                <w:szCs w:val="24"/>
              </w:rPr>
              <w:t>august 2019</w:t>
            </w:r>
          </w:p>
        </w:tc>
      </w:tr>
      <w:tr w:rsidR="003C289B" w:rsidRPr="00955F3E" w:rsidTr="006109A7">
        <w:tc>
          <w:tcPr>
            <w:tcW w:w="9180" w:type="dxa"/>
            <w:gridSpan w:val="10"/>
            <w:tcBorders>
              <w:left w:val="nil"/>
              <w:right w:val="nil"/>
            </w:tcBorders>
            <w:shd w:val="clear" w:color="auto" w:fill="FFFFFF" w:themeFill="background1"/>
          </w:tcPr>
          <w:p w:rsidR="003C289B" w:rsidRPr="00955F3E" w:rsidRDefault="003C289B" w:rsidP="006109A7">
            <w:pPr>
              <w:rPr>
                <w:rFonts w:ascii="Times New Roman" w:hAnsi="Times New Roman"/>
                <w:sz w:val="24"/>
                <w:szCs w:val="24"/>
              </w:rPr>
            </w:pPr>
          </w:p>
        </w:tc>
      </w:tr>
      <w:tr w:rsidR="003C289B" w:rsidRPr="00955F3E" w:rsidTr="006109A7">
        <w:trPr>
          <w:trHeight w:val="286"/>
        </w:trPr>
        <w:tc>
          <w:tcPr>
            <w:tcW w:w="9180" w:type="dxa"/>
            <w:gridSpan w:val="10"/>
            <w:tcBorders>
              <w:bottom w:val="single" w:sz="4" w:space="0" w:color="FFFFFF" w:themeColor="background1"/>
            </w:tcBorders>
            <w:shd w:val="clear" w:color="auto" w:fill="E2E2E2"/>
          </w:tcPr>
          <w:p w:rsidR="003C289B" w:rsidRPr="00955F3E" w:rsidRDefault="003C289B" w:rsidP="003C289B">
            <w:pPr>
              <w:pStyle w:val="Odsekzoznamu"/>
              <w:numPr>
                <w:ilvl w:val="0"/>
                <w:numId w:val="5"/>
              </w:numPr>
              <w:ind w:left="426"/>
              <w:rPr>
                <w:rFonts w:ascii="Times New Roman" w:hAnsi="Times New Roman"/>
                <w:b/>
                <w:sz w:val="24"/>
                <w:szCs w:val="24"/>
              </w:rPr>
            </w:pPr>
            <w:r w:rsidRPr="00955F3E">
              <w:rPr>
                <w:rFonts w:ascii="Times New Roman" w:hAnsi="Times New Roman"/>
                <w:b/>
                <w:sz w:val="24"/>
                <w:szCs w:val="24"/>
              </w:rPr>
              <w:t>Definovanie problému</w:t>
            </w:r>
          </w:p>
        </w:tc>
      </w:tr>
      <w:tr w:rsidR="003C289B" w:rsidRPr="00955F3E" w:rsidTr="006109A7">
        <w:trPr>
          <w:trHeight w:val="850"/>
        </w:trPr>
        <w:tc>
          <w:tcPr>
            <w:tcW w:w="9180" w:type="dxa"/>
            <w:gridSpan w:val="10"/>
            <w:tcBorders>
              <w:top w:val="single" w:sz="4" w:space="0" w:color="FFFFFF" w:themeColor="background1"/>
            </w:tcBorders>
            <w:shd w:val="clear" w:color="auto" w:fill="FFFFFF" w:themeFill="background1"/>
            <w:vAlign w:val="center"/>
          </w:tcPr>
          <w:p w:rsidR="00496B1A" w:rsidRPr="00186E74" w:rsidRDefault="00496B1A" w:rsidP="00F76F3D">
            <w:pPr>
              <w:pStyle w:val="Odsekzoznamu"/>
              <w:numPr>
                <w:ilvl w:val="0"/>
                <w:numId w:val="7"/>
              </w:numPr>
              <w:jc w:val="both"/>
              <w:rPr>
                <w:rFonts w:ascii="Times New Roman" w:hAnsi="Times New Roman"/>
                <w:sz w:val="20"/>
                <w:szCs w:val="20"/>
              </w:rPr>
            </w:pPr>
            <w:r w:rsidRPr="00186E74">
              <w:rPr>
                <w:rFonts w:ascii="Times New Roman" w:hAnsi="Times New Roman"/>
                <w:sz w:val="20"/>
                <w:szCs w:val="20"/>
              </w:rPr>
              <w:t>spresn</w:t>
            </w:r>
            <w:r w:rsidR="0044169C" w:rsidRPr="00186E74">
              <w:rPr>
                <w:rFonts w:ascii="Times New Roman" w:hAnsi="Times New Roman"/>
                <w:sz w:val="20"/>
                <w:szCs w:val="20"/>
              </w:rPr>
              <w:t>enie</w:t>
            </w:r>
            <w:r w:rsidRPr="00186E74">
              <w:rPr>
                <w:rFonts w:ascii="Times New Roman" w:hAnsi="Times New Roman"/>
                <w:sz w:val="20"/>
                <w:szCs w:val="20"/>
              </w:rPr>
              <w:t xml:space="preserve"> a dopln</w:t>
            </w:r>
            <w:r w:rsidR="0044169C" w:rsidRPr="00186E74">
              <w:rPr>
                <w:rFonts w:ascii="Times New Roman" w:hAnsi="Times New Roman"/>
                <w:sz w:val="20"/>
                <w:szCs w:val="20"/>
              </w:rPr>
              <w:t>enie</w:t>
            </w:r>
            <w:r w:rsidRPr="00186E74">
              <w:rPr>
                <w:rFonts w:ascii="Times New Roman" w:hAnsi="Times New Roman"/>
                <w:sz w:val="20"/>
                <w:szCs w:val="20"/>
              </w:rPr>
              <w:t xml:space="preserve"> základn</w:t>
            </w:r>
            <w:r w:rsidR="0044169C" w:rsidRPr="00186E74">
              <w:rPr>
                <w:rFonts w:ascii="Times New Roman" w:hAnsi="Times New Roman"/>
                <w:sz w:val="20"/>
                <w:szCs w:val="20"/>
              </w:rPr>
              <w:t>ých</w:t>
            </w:r>
            <w:r w:rsidRPr="00186E74">
              <w:rPr>
                <w:rFonts w:ascii="Times New Roman" w:hAnsi="Times New Roman"/>
                <w:sz w:val="20"/>
                <w:szCs w:val="20"/>
              </w:rPr>
              <w:t xml:space="preserve"> pojm</w:t>
            </w:r>
            <w:r w:rsidR="0044169C" w:rsidRPr="00186E74">
              <w:rPr>
                <w:rFonts w:ascii="Times New Roman" w:hAnsi="Times New Roman"/>
                <w:sz w:val="20"/>
                <w:szCs w:val="20"/>
              </w:rPr>
              <w:t>ov</w:t>
            </w:r>
            <w:r w:rsidRPr="00186E74">
              <w:rPr>
                <w:rFonts w:ascii="Times New Roman" w:hAnsi="Times New Roman"/>
                <w:sz w:val="20"/>
                <w:szCs w:val="20"/>
              </w:rPr>
              <w:t xml:space="preserve">, </w:t>
            </w:r>
          </w:p>
          <w:p w:rsidR="00496B1A" w:rsidRPr="00186E74" w:rsidRDefault="00496B1A" w:rsidP="00F76F3D">
            <w:pPr>
              <w:pStyle w:val="Odsekzoznamu"/>
              <w:numPr>
                <w:ilvl w:val="0"/>
                <w:numId w:val="7"/>
              </w:numPr>
              <w:jc w:val="both"/>
              <w:rPr>
                <w:rFonts w:ascii="Times New Roman" w:hAnsi="Times New Roman"/>
                <w:sz w:val="20"/>
                <w:szCs w:val="20"/>
              </w:rPr>
            </w:pPr>
            <w:r w:rsidRPr="00186E74">
              <w:rPr>
                <w:rFonts w:ascii="Times New Roman" w:hAnsi="Times New Roman"/>
                <w:sz w:val="20"/>
                <w:szCs w:val="20"/>
              </w:rPr>
              <w:t>zav</w:t>
            </w:r>
            <w:r w:rsidR="0044169C" w:rsidRPr="00186E74">
              <w:rPr>
                <w:rFonts w:ascii="Times New Roman" w:hAnsi="Times New Roman"/>
                <w:sz w:val="20"/>
                <w:szCs w:val="20"/>
              </w:rPr>
              <w:t>edenie</w:t>
            </w:r>
            <w:r w:rsidRPr="00186E74">
              <w:rPr>
                <w:rFonts w:ascii="Times New Roman" w:hAnsi="Times New Roman"/>
                <w:sz w:val="20"/>
                <w:szCs w:val="20"/>
              </w:rPr>
              <w:t xml:space="preserve"> osobitné</w:t>
            </w:r>
            <w:r w:rsidR="0044169C" w:rsidRPr="00186E74">
              <w:rPr>
                <w:rFonts w:ascii="Times New Roman" w:hAnsi="Times New Roman"/>
                <w:sz w:val="20"/>
                <w:szCs w:val="20"/>
              </w:rPr>
              <w:t>ho</w:t>
            </w:r>
            <w:r w:rsidRPr="00186E74">
              <w:rPr>
                <w:rFonts w:ascii="Times New Roman" w:hAnsi="Times New Roman"/>
                <w:sz w:val="20"/>
                <w:szCs w:val="20"/>
              </w:rPr>
              <w:t xml:space="preserve"> ustanovenia pre nabíjacie stanice na nabíjanie elektrických vozidiel,</w:t>
            </w:r>
          </w:p>
          <w:p w:rsidR="00496B1A" w:rsidRPr="00186E74" w:rsidRDefault="0044169C" w:rsidP="00F76F3D">
            <w:pPr>
              <w:pStyle w:val="Odsekzoznamu"/>
              <w:numPr>
                <w:ilvl w:val="0"/>
                <w:numId w:val="7"/>
              </w:numPr>
              <w:jc w:val="both"/>
              <w:rPr>
                <w:rFonts w:ascii="Times New Roman" w:hAnsi="Times New Roman"/>
                <w:sz w:val="20"/>
                <w:szCs w:val="20"/>
              </w:rPr>
            </w:pPr>
            <w:r w:rsidRPr="00186E74">
              <w:rPr>
                <w:rFonts w:ascii="Times New Roman" w:hAnsi="Times New Roman"/>
                <w:sz w:val="20"/>
                <w:szCs w:val="20"/>
              </w:rPr>
              <w:t xml:space="preserve">zavedenie </w:t>
            </w:r>
            <w:r w:rsidR="00496B1A" w:rsidRPr="00186E74">
              <w:rPr>
                <w:rFonts w:ascii="Times New Roman" w:hAnsi="Times New Roman"/>
                <w:sz w:val="20"/>
                <w:szCs w:val="20"/>
              </w:rPr>
              <w:t>ustanoveni</w:t>
            </w:r>
            <w:r w:rsidRPr="00186E74">
              <w:rPr>
                <w:rFonts w:ascii="Times New Roman" w:hAnsi="Times New Roman"/>
                <w:sz w:val="20"/>
                <w:szCs w:val="20"/>
              </w:rPr>
              <w:t>a</w:t>
            </w:r>
            <w:r w:rsidR="00496B1A" w:rsidRPr="00186E74">
              <w:rPr>
                <w:rFonts w:ascii="Times New Roman" w:hAnsi="Times New Roman"/>
                <w:sz w:val="20"/>
                <w:szCs w:val="20"/>
              </w:rPr>
              <w:t xml:space="preserve"> pre oslobodenie od spotrebnej dane z uhlia pri te</w:t>
            </w:r>
            <w:r w:rsidR="00BD4298" w:rsidRPr="00186E74">
              <w:rPr>
                <w:rFonts w:ascii="Times New Roman" w:hAnsi="Times New Roman"/>
                <w:sz w:val="20"/>
                <w:szCs w:val="20"/>
              </w:rPr>
              <w:t>chnicky odôvodnených stratách,</w:t>
            </w:r>
          </w:p>
          <w:p w:rsidR="007E4DEA" w:rsidRPr="00F50CFA" w:rsidRDefault="00F76F3D" w:rsidP="00F50CFA">
            <w:pPr>
              <w:pStyle w:val="Odsekzoznamu"/>
              <w:numPr>
                <w:ilvl w:val="0"/>
                <w:numId w:val="7"/>
              </w:numPr>
              <w:jc w:val="both"/>
              <w:rPr>
                <w:rFonts w:ascii="Times New Roman" w:hAnsi="Times New Roman"/>
                <w:sz w:val="20"/>
                <w:szCs w:val="20"/>
              </w:rPr>
            </w:pPr>
            <w:r w:rsidRPr="00F50CFA">
              <w:rPr>
                <w:rFonts w:ascii="Times New Roman" w:hAnsi="Times New Roman"/>
                <w:sz w:val="20"/>
                <w:szCs w:val="20"/>
              </w:rPr>
              <w:t>spresnenie predmetu dane a úprava podmienok na uplatnenie znížene</w:t>
            </w:r>
            <w:r w:rsidR="00E55BCB" w:rsidRPr="00F50CFA">
              <w:rPr>
                <w:rFonts w:ascii="Times New Roman" w:hAnsi="Times New Roman"/>
                <w:sz w:val="20"/>
                <w:szCs w:val="20"/>
              </w:rPr>
              <w:t>j sadby dane na motorový benzín.</w:t>
            </w:r>
          </w:p>
        </w:tc>
      </w:tr>
      <w:tr w:rsidR="003C289B" w:rsidRPr="00955F3E" w:rsidTr="006109A7">
        <w:tc>
          <w:tcPr>
            <w:tcW w:w="9180" w:type="dxa"/>
            <w:gridSpan w:val="10"/>
            <w:tcBorders>
              <w:bottom w:val="nil"/>
            </w:tcBorders>
            <w:shd w:val="clear" w:color="auto" w:fill="E2E2E2"/>
          </w:tcPr>
          <w:p w:rsidR="003C289B" w:rsidRPr="00955F3E" w:rsidRDefault="003C289B" w:rsidP="003C289B">
            <w:pPr>
              <w:pStyle w:val="Odsekzoznamu"/>
              <w:numPr>
                <w:ilvl w:val="0"/>
                <w:numId w:val="5"/>
              </w:numPr>
              <w:ind w:left="426"/>
              <w:rPr>
                <w:rFonts w:ascii="Times New Roman" w:hAnsi="Times New Roman"/>
                <w:b/>
                <w:sz w:val="24"/>
                <w:szCs w:val="24"/>
              </w:rPr>
            </w:pPr>
            <w:r w:rsidRPr="00955F3E">
              <w:rPr>
                <w:rFonts w:ascii="Times New Roman" w:hAnsi="Times New Roman"/>
                <w:b/>
                <w:sz w:val="24"/>
                <w:szCs w:val="24"/>
              </w:rPr>
              <w:t>Ciele a výsledný stav</w:t>
            </w:r>
          </w:p>
        </w:tc>
      </w:tr>
      <w:tr w:rsidR="003C289B" w:rsidRPr="00955F3E" w:rsidTr="006109A7">
        <w:trPr>
          <w:trHeight w:val="680"/>
        </w:trPr>
        <w:tc>
          <w:tcPr>
            <w:tcW w:w="9180" w:type="dxa"/>
            <w:gridSpan w:val="10"/>
            <w:tcBorders>
              <w:top w:val="nil"/>
            </w:tcBorders>
            <w:shd w:val="clear" w:color="auto" w:fill="FFFFFF" w:themeFill="background1"/>
            <w:vAlign w:val="center"/>
          </w:tcPr>
          <w:p w:rsidR="00B60A7B" w:rsidRPr="00955F3E" w:rsidRDefault="00D8556F" w:rsidP="00763513">
            <w:pPr>
              <w:jc w:val="both"/>
              <w:rPr>
                <w:rStyle w:val="Zstupntext"/>
                <w:color w:val="000000"/>
                <w:sz w:val="24"/>
                <w:szCs w:val="24"/>
              </w:rPr>
            </w:pPr>
            <w:r w:rsidRPr="00186E74">
              <w:rPr>
                <w:rFonts w:ascii="Times New Roman" w:hAnsi="Times New Roman"/>
                <w:sz w:val="20"/>
                <w:szCs w:val="24"/>
              </w:rPr>
              <w:t>L</w:t>
            </w:r>
            <w:r w:rsidR="00202D99" w:rsidRPr="00186E74">
              <w:rPr>
                <w:rFonts w:ascii="Times New Roman" w:hAnsi="Times New Roman"/>
                <w:sz w:val="20"/>
                <w:szCs w:val="24"/>
              </w:rPr>
              <w:t>egislatívne úpravy sú zamerané na elimináciu daňových únikov na spotrebnej dani z e</w:t>
            </w:r>
            <w:r w:rsidR="00763513" w:rsidRPr="00186E74">
              <w:rPr>
                <w:rFonts w:ascii="Times New Roman" w:hAnsi="Times New Roman"/>
                <w:sz w:val="20"/>
                <w:szCs w:val="24"/>
              </w:rPr>
              <w:t>lektriny, uhlia a zemného plynu a zvýšenie právnej istoty ekonomických subjektov, ako i správcu spotrebnej dane z elektriny, uhlia a zemného plynu.</w:t>
            </w:r>
            <w:r w:rsidR="00186E74" w:rsidRPr="00186E74">
              <w:rPr>
                <w:rFonts w:ascii="Times New Roman" w:hAnsi="Times New Roman"/>
                <w:sz w:val="20"/>
                <w:szCs w:val="24"/>
              </w:rPr>
              <w:t xml:space="preserve"> Zároveň sa spresňuje predmet dane a upravujú sa podmienky na uplatnenie zníženej sadby dane na motorový benzín.</w:t>
            </w:r>
          </w:p>
        </w:tc>
      </w:tr>
      <w:tr w:rsidR="003C289B" w:rsidRPr="00955F3E" w:rsidTr="006109A7">
        <w:tc>
          <w:tcPr>
            <w:tcW w:w="9180" w:type="dxa"/>
            <w:gridSpan w:val="10"/>
            <w:tcBorders>
              <w:bottom w:val="nil"/>
            </w:tcBorders>
            <w:shd w:val="clear" w:color="auto" w:fill="E2E2E2"/>
          </w:tcPr>
          <w:p w:rsidR="003C289B" w:rsidRPr="00955F3E" w:rsidRDefault="003C289B" w:rsidP="003C289B">
            <w:pPr>
              <w:pStyle w:val="Odsekzoznamu"/>
              <w:numPr>
                <w:ilvl w:val="0"/>
                <w:numId w:val="5"/>
              </w:numPr>
              <w:ind w:left="426"/>
              <w:rPr>
                <w:rStyle w:val="Zstupntext"/>
                <w:color w:val="000000"/>
                <w:sz w:val="24"/>
                <w:szCs w:val="24"/>
              </w:rPr>
            </w:pPr>
            <w:r w:rsidRPr="00955F3E">
              <w:rPr>
                <w:rFonts w:ascii="Times New Roman" w:hAnsi="Times New Roman"/>
                <w:b/>
                <w:sz w:val="24"/>
                <w:szCs w:val="24"/>
              </w:rPr>
              <w:t>Dotknuté subjekty</w:t>
            </w:r>
          </w:p>
        </w:tc>
      </w:tr>
      <w:tr w:rsidR="003C289B" w:rsidRPr="00955F3E" w:rsidTr="006109A7">
        <w:tc>
          <w:tcPr>
            <w:tcW w:w="9180" w:type="dxa"/>
            <w:gridSpan w:val="10"/>
            <w:tcBorders>
              <w:top w:val="nil"/>
            </w:tcBorders>
            <w:shd w:val="clear" w:color="auto" w:fill="FFFFFF" w:themeFill="background1"/>
          </w:tcPr>
          <w:p w:rsidR="00186E74" w:rsidRPr="00186E74" w:rsidRDefault="003C289B" w:rsidP="00117B0F">
            <w:pPr>
              <w:jc w:val="both"/>
              <w:rPr>
                <w:rFonts w:ascii="Times New Roman" w:hAnsi="Times New Roman"/>
                <w:sz w:val="20"/>
                <w:szCs w:val="24"/>
              </w:rPr>
            </w:pPr>
            <w:r w:rsidRPr="00186E74">
              <w:rPr>
                <w:rFonts w:ascii="Times New Roman" w:hAnsi="Times New Roman"/>
                <w:sz w:val="20"/>
                <w:szCs w:val="24"/>
              </w:rPr>
              <w:t>Podnikateľské subjekty, ktoré obchodujú s</w:t>
            </w:r>
            <w:r w:rsidR="00117B0F" w:rsidRPr="00186E74">
              <w:rPr>
                <w:rFonts w:ascii="Times New Roman" w:hAnsi="Times New Roman"/>
                <w:sz w:val="20"/>
                <w:szCs w:val="24"/>
              </w:rPr>
              <w:t> elektrinou, uhlím a zemným plynom podľa zákona č. 609/2007</w:t>
            </w:r>
            <w:r w:rsidR="00D61FD3" w:rsidRPr="00186E74">
              <w:rPr>
                <w:rFonts w:ascii="Times New Roman" w:hAnsi="Times New Roman"/>
                <w:sz w:val="20"/>
                <w:szCs w:val="24"/>
              </w:rPr>
              <w:t xml:space="preserve"> Z. z. o </w:t>
            </w:r>
            <w:r w:rsidR="00117B0F" w:rsidRPr="00186E74">
              <w:rPr>
                <w:rFonts w:ascii="Times New Roman" w:hAnsi="Times New Roman"/>
                <w:iCs/>
                <w:sz w:val="20"/>
                <w:szCs w:val="24"/>
                <w:lang w:eastAsia="sk-SK"/>
              </w:rPr>
              <w:t xml:space="preserve">spotrebnej dani z elektriny, uhlia a zemného plynu v znení neskorších predpisov </w:t>
            </w:r>
            <w:r w:rsidR="00D61FD3" w:rsidRPr="00186E74">
              <w:rPr>
                <w:rFonts w:ascii="Times New Roman" w:hAnsi="Times New Roman"/>
                <w:sz w:val="20"/>
                <w:szCs w:val="24"/>
              </w:rPr>
              <w:t xml:space="preserve">a </w:t>
            </w:r>
            <w:r w:rsidR="00117B0F" w:rsidRPr="00186E74">
              <w:rPr>
                <w:rFonts w:ascii="Times New Roman" w:hAnsi="Times New Roman"/>
                <w:sz w:val="20"/>
                <w:szCs w:val="24"/>
              </w:rPr>
              <w:t>koneční spotrebitelia elektriny, uhlia a zemného plynu.</w:t>
            </w:r>
          </w:p>
          <w:p w:rsidR="00117B0F" w:rsidRPr="00955F3E" w:rsidRDefault="00186E74" w:rsidP="00F50CFA">
            <w:pPr>
              <w:jc w:val="both"/>
              <w:rPr>
                <w:rFonts w:ascii="Times New Roman" w:hAnsi="Times New Roman"/>
                <w:sz w:val="24"/>
                <w:szCs w:val="24"/>
              </w:rPr>
            </w:pPr>
            <w:r w:rsidRPr="00186E74">
              <w:rPr>
                <w:rFonts w:ascii="Times New Roman" w:hAnsi="Times New Roman"/>
                <w:sz w:val="20"/>
                <w:szCs w:val="24"/>
              </w:rPr>
              <w:t>Podnikateľské subjekty, ktoré obchodujú s </w:t>
            </w:r>
            <w:r w:rsidR="00F50CFA">
              <w:rPr>
                <w:rFonts w:ascii="Times New Roman" w:hAnsi="Times New Roman"/>
                <w:sz w:val="20"/>
                <w:szCs w:val="24"/>
              </w:rPr>
              <w:t xml:space="preserve"> minerálnym olejom</w:t>
            </w:r>
            <w:r w:rsidRPr="00186E74">
              <w:rPr>
                <w:rFonts w:ascii="Times New Roman" w:hAnsi="Times New Roman"/>
                <w:sz w:val="20"/>
                <w:szCs w:val="24"/>
              </w:rPr>
              <w:t xml:space="preserve"> </w:t>
            </w:r>
            <w:r w:rsidR="00F50CFA">
              <w:rPr>
                <w:rFonts w:ascii="Times New Roman" w:hAnsi="Times New Roman"/>
                <w:sz w:val="20"/>
                <w:szCs w:val="24"/>
              </w:rPr>
              <w:t>podľa</w:t>
            </w:r>
            <w:r w:rsidRPr="00186E74">
              <w:rPr>
                <w:rFonts w:ascii="Times New Roman" w:hAnsi="Times New Roman"/>
                <w:sz w:val="20"/>
                <w:szCs w:val="24"/>
              </w:rPr>
              <w:t xml:space="preserve"> zákona č. 98/2004 Z. z. o spotrebnej dani z minerálneho oleja v znení neskorších predpisov.</w:t>
            </w:r>
            <w:r w:rsidR="00117B0F" w:rsidRPr="00186E74">
              <w:rPr>
                <w:rFonts w:ascii="Times New Roman" w:hAnsi="Times New Roman"/>
                <w:sz w:val="20"/>
                <w:szCs w:val="24"/>
              </w:rPr>
              <w:t xml:space="preserve"> </w:t>
            </w:r>
          </w:p>
        </w:tc>
      </w:tr>
      <w:tr w:rsidR="003C289B" w:rsidRPr="00955F3E" w:rsidTr="006109A7">
        <w:tc>
          <w:tcPr>
            <w:tcW w:w="9180" w:type="dxa"/>
            <w:gridSpan w:val="10"/>
            <w:tcBorders>
              <w:bottom w:val="nil"/>
            </w:tcBorders>
            <w:shd w:val="clear" w:color="auto" w:fill="E2E2E2"/>
          </w:tcPr>
          <w:p w:rsidR="003C289B" w:rsidRPr="00955F3E" w:rsidRDefault="003C289B" w:rsidP="003C289B">
            <w:pPr>
              <w:pStyle w:val="Odsekzoznamu"/>
              <w:numPr>
                <w:ilvl w:val="0"/>
                <w:numId w:val="5"/>
              </w:numPr>
              <w:ind w:left="426"/>
              <w:rPr>
                <w:rFonts w:ascii="Times New Roman" w:hAnsi="Times New Roman"/>
                <w:b/>
                <w:sz w:val="24"/>
                <w:szCs w:val="24"/>
              </w:rPr>
            </w:pPr>
            <w:r w:rsidRPr="00955F3E">
              <w:rPr>
                <w:rFonts w:ascii="Times New Roman" w:hAnsi="Times New Roman"/>
                <w:b/>
                <w:sz w:val="24"/>
                <w:szCs w:val="24"/>
              </w:rPr>
              <w:t>Alternatívne riešenia</w:t>
            </w:r>
          </w:p>
        </w:tc>
      </w:tr>
      <w:tr w:rsidR="003C289B" w:rsidRPr="00955F3E" w:rsidTr="006109A7">
        <w:trPr>
          <w:trHeight w:val="454"/>
        </w:trPr>
        <w:tc>
          <w:tcPr>
            <w:tcW w:w="9180" w:type="dxa"/>
            <w:gridSpan w:val="10"/>
            <w:tcBorders>
              <w:top w:val="nil"/>
            </w:tcBorders>
            <w:shd w:val="clear" w:color="auto" w:fill="FFFFFF" w:themeFill="background1"/>
            <w:vAlign w:val="center"/>
          </w:tcPr>
          <w:p w:rsidR="00796471" w:rsidRPr="00955F3E" w:rsidRDefault="002F69FD" w:rsidP="00763513">
            <w:pPr>
              <w:jc w:val="both"/>
              <w:rPr>
                <w:rFonts w:ascii="Times New Roman" w:hAnsi="Times New Roman"/>
                <w:sz w:val="24"/>
                <w:szCs w:val="24"/>
              </w:rPr>
            </w:pPr>
            <w:r w:rsidRPr="00186E74">
              <w:rPr>
                <w:rFonts w:ascii="Times New Roman" w:hAnsi="Times New Roman"/>
                <w:sz w:val="20"/>
                <w:szCs w:val="24"/>
              </w:rPr>
              <w:t>Možným alternatívnym riešením je zachovanie</w:t>
            </w:r>
            <w:r w:rsidR="00EB79ED" w:rsidRPr="00186E74">
              <w:rPr>
                <w:rFonts w:ascii="Times New Roman" w:hAnsi="Times New Roman"/>
                <w:sz w:val="20"/>
                <w:szCs w:val="24"/>
              </w:rPr>
              <w:t xml:space="preserve"> </w:t>
            </w:r>
            <w:r w:rsidR="00496B1A" w:rsidRPr="00186E74">
              <w:rPr>
                <w:rFonts w:ascii="Times New Roman" w:hAnsi="Times New Roman"/>
                <w:sz w:val="20"/>
                <w:szCs w:val="24"/>
              </w:rPr>
              <w:t xml:space="preserve">pôvodného znenia zákona, pričom niektoré jeho ustanovenia sú </w:t>
            </w:r>
            <w:r w:rsidR="00763513" w:rsidRPr="00186E74">
              <w:rPr>
                <w:rFonts w:ascii="Times New Roman" w:hAnsi="Times New Roman"/>
                <w:sz w:val="20"/>
                <w:szCs w:val="24"/>
              </w:rPr>
              <w:t xml:space="preserve">už </w:t>
            </w:r>
            <w:r w:rsidR="00496B1A" w:rsidRPr="00186E74">
              <w:rPr>
                <w:rFonts w:ascii="Times New Roman" w:hAnsi="Times New Roman"/>
                <w:sz w:val="20"/>
                <w:szCs w:val="24"/>
              </w:rPr>
              <w:t>neaktuálne</w:t>
            </w:r>
            <w:r w:rsidR="00763513" w:rsidRPr="00186E74">
              <w:rPr>
                <w:rFonts w:ascii="Times New Roman" w:hAnsi="Times New Roman"/>
                <w:sz w:val="20"/>
                <w:szCs w:val="24"/>
              </w:rPr>
              <w:t xml:space="preserve">, resp. </w:t>
            </w:r>
            <w:r w:rsidR="00FF4C9B">
              <w:rPr>
                <w:rFonts w:ascii="Times New Roman" w:hAnsi="Times New Roman"/>
                <w:sz w:val="20"/>
                <w:szCs w:val="24"/>
              </w:rPr>
              <w:t xml:space="preserve">sú </w:t>
            </w:r>
            <w:r w:rsidR="00763513" w:rsidRPr="00186E74">
              <w:rPr>
                <w:rFonts w:ascii="Times New Roman" w:hAnsi="Times New Roman"/>
                <w:sz w:val="20"/>
                <w:szCs w:val="24"/>
              </w:rPr>
              <w:t>nadbytočné</w:t>
            </w:r>
            <w:r w:rsidR="00EB79ED" w:rsidRPr="00186E74">
              <w:rPr>
                <w:rFonts w:ascii="Times New Roman" w:hAnsi="Times New Roman"/>
                <w:sz w:val="20"/>
                <w:szCs w:val="24"/>
              </w:rPr>
              <w:t>.</w:t>
            </w:r>
            <w:r w:rsidR="00763513" w:rsidRPr="00186E74">
              <w:rPr>
                <w:rFonts w:ascii="Times New Roman" w:hAnsi="Times New Roman"/>
                <w:sz w:val="20"/>
                <w:szCs w:val="24"/>
              </w:rPr>
              <w:t xml:space="preserve"> </w:t>
            </w:r>
          </w:p>
        </w:tc>
      </w:tr>
      <w:tr w:rsidR="003C289B" w:rsidRPr="00955F3E" w:rsidTr="006109A7">
        <w:tc>
          <w:tcPr>
            <w:tcW w:w="9180" w:type="dxa"/>
            <w:gridSpan w:val="10"/>
            <w:tcBorders>
              <w:bottom w:val="single" w:sz="4" w:space="0" w:color="FFFFFF" w:themeColor="background1"/>
            </w:tcBorders>
            <w:shd w:val="clear" w:color="auto" w:fill="E2E2E2"/>
          </w:tcPr>
          <w:p w:rsidR="003C289B" w:rsidRPr="00955F3E" w:rsidRDefault="003C289B" w:rsidP="003C289B">
            <w:pPr>
              <w:pStyle w:val="Odsekzoznamu"/>
              <w:numPr>
                <w:ilvl w:val="0"/>
                <w:numId w:val="5"/>
              </w:numPr>
              <w:ind w:left="426"/>
              <w:rPr>
                <w:rFonts w:ascii="Times New Roman" w:hAnsi="Times New Roman"/>
                <w:b/>
                <w:sz w:val="24"/>
                <w:szCs w:val="24"/>
              </w:rPr>
            </w:pPr>
            <w:r w:rsidRPr="00955F3E">
              <w:rPr>
                <w:rFonts w:ascii="Times New Roman" w:hAnsi="Times New Roman"/>
                <w:b/>
                <w:sz w:val="24"/>
                <w:szCs w:val="24"/>
              </w:rPr>
              <w:t>Vykonávacie predpisy</w:t>
            </w:r>
          </w:p>
        </w:tc>
      </w:tr>
      <w:tr w:rsidR="003C289B" w:rsidRPr="00955F3E" w:rsidTr="006109A7">
        <w:trPr>
          <w:trHeight w:val="340"/>
        </w:trPr>
        <w:tc>
          <w:tcPr>
            <w:tcW w:w="6203" w:type="dxa"/>
            <w:gridSpan w:val="6"/>
            <w:tcBorders>
              <w:top w:val="single" w:sz="4" w:space="0" w:color="FFFFFF" w:themeColor="background1"/>
              <w:bottom w:val="nil"/>
              <w:right w:val="nil"/>
            </w:tcBorders>
            <w:shd w:val="clear" w:color="auto" w:fill="FFFFFF" w:themeFill="background1"/>
          </w:tcPr>
          <w:p w:rsidR="003C289B" w:rsidRPr="0012741B" w:rsidRDefault="003C289B" w:rsidP="003C289B">
            <w:pPr>
              <w:rPr>
                <w:rFonts w:ascii="Times New Roman" w:hAnsi="Times New Roman"/>
                <w:i/>
                <w:sz w:val="24"/>
                <w:szCs w:val="24"/>
              </w:rPr>
            </w:pPr>
            <w:r w:rsidRPr="0012741B">
              <w:rPr>
                <w:rFonts w:ascii="Times New Roman" w:hAnsi="Times New Roman"/>
                <w:i/>
                <w:sz w:val="24"/>
                <w:szCs w:val="24"/>
              </w:rPr>
              <w:t>Predpokladá sa prijatie/zmena vykonávacích predpisov?</w:t>
            </w:r>
          </w:p>
          <w:p w:rsidR="00935154" w:rsidRPr="00955F3E" w:rsidRDefault="003C289B" w:rsidP="00186E74">
            <w:pPr>
              <w:jc w:val="both"/>
              <w:rPr>
                <w:rFonts w:ascii="Times New Roman" w:hAnsi="Times New Roman"/>
                <w:sz w:val="24"/>
                <w:szCs w:val="24"/>
              </w:rPr>
            </w:pPr>
            <w:r w:rsidRPr="00186E74">
              <w:rPr>
                <w:rFonts w:ascii="Times New Roman" w:hAnsi="Times New Roman"/>
                <w:sz w:val="20"/>
                <w:szCs w:val="24"/>
              </w:rPr>
              <w:t xml:space="preserve">Vyhláška Ministerstva financií </w:t>
            </w:r>
            <w:r w:rsidR="00FE0B99" w:rsidRPr="00186E74">
              <w:rPr>
                <w:rFonts w:ascii="Times New Roman" w:hAnsi="Times New Roman"/>
                <w:sz w:val="20"/>
                <w:szCs w:val="24"/>
              </w:rPr>
              <w:t xml:space="preserve">Slovenskej republiky </w:t>
            </w:r>
            <w:r w:rsidR="00763513" w:rsidRPr="00186E74">
              <w:rPr>
                <w:rFonts w:ascii="Times New Roman" w:hAnsi="Times New Roman"/>
                <w:sz w:val="20"/>
                <w:szCs w:val="24"/>
              </w:rPr>
              <w:br/>
            </w:r>
            <w:r w:rsidR="00FE0B99" w:rsidRPr="00186E74">
              <w:rPr>
                <w:rFonts w:ascii="Times New Roman" w:hAnsi="Times New Roman"/>
                <w:sz w:val="20"/>
                <w:szCs w:val="24"/>
              </w:rPr>
              <w:t xml:space="preserve">č. </w:t>
            </w:r>
            <w:r w:rsidR="00117B0F" w:rsidRPr="00186E74">
              <w:rPr>
                <w:rFonts w:ascii="Times New Roman" w:hAnsi="Times New Roman"/>
                <w:sz w:val="20"/>
                <w:szCs w:val="24"/>
              </w:rPr>
              <w:t>541/2011</w:t>
            </w:r>
            <w:r w:rsidR="001F7000" w:rsidRPr="00186E74">
              <w:rPr>
                <w:rFonts w:ascii="Times New Roman" w:hAnsi="Times New Roman"/>
                <w:sz w:val="20"/>
                <w:szCs w:val="24"/>
              </w:rPr>
              <w:t xml:space="preserve">  Z. z., ktorou sa ustanovuje vzor</w:t>
            </w:r>
            <w:r w:rsidR="00117B0F" w:rsidRPr="00186E74">
              <w:rPr>
                <w:rFonts w:ascii="Times New Roman" w:hAnsi="Times New Roman"/>
                <w:sz w:val="20"/>
                <w:szCs w:val="24"/>
              </w:rPr>
              <w:t>y daňových priznaní a dodatočných daňových priznaní</w:t>
            </w:r>
            <w:r w:rsidR="001F7000" w:rsidRPr="00186E74">
              <w:rPr>
                <w:rFonts w:ascii="Times New Roman" w:hAnsi="Times New Roman"/>
                <w:sz w:val="20"/>
                <w:szCs w:val="24"/>
              </w:rPr>
              <w:t xml:space="preserve"> k spotrebnej dani </w:t>
            </w:r>
            <w:r w:rsidR="00117B0F" w:rsidRPr="00186E74">
              <w:rPr>
                <w:rFonts w:ascii="Times New Roman" w:hAnsi="Times New Roman"/>
                <w:sz w:val="20"/>
                <w:szCs w:val="24"/>
              </w:rPr>
              <w:t>z elektriny, uhlia a zemného plynu</w:t>
            </w:r>
          </w:p>
        </w:tc>
        <w:tc>
          <w:tcPr>
            <w:tcW w:w="1417" w:type="dxa"/>
            <w:gridSpan w:val="2"/>
            <w:tcBorders>
              <w:top w:val="single" w:sz="4" w:space="0" w:color="FFFFFF" w:themeColor="background1"/>
              <w:left w:val="nil"/>
              <w:bottom w:val="nil"/>
              <w:right w:val="nil"/>
            </w:tcBorders>
            <w:shd w:val="clear" w:color="auto" w:fill="FFFFFF" w:themeFill="background1"/>
          </w:tcPr>
          <w:p w:rsidR="003C289B" w:rsidRPr="00955F3E" w:rsidRDefault="003C289B" w:rsidP="006109A7">
            <w:pPr>
              <w:jc w:val="center"/>
              <w:rPr>
                <w:rFonts w:ascii="Times New Roman" w:hAnsi="Times New Roman"/>
                <w:sz w:val="24"/>
                <w:szCs w:val="24"/>
              </w:rPr>
            </w:pPr>
            <w:r w:rsidRPr="00955F3E">
              <w:rPr>
                <w:rFonts w:ascii="Segoe UI Symbol" w:eastAsia="MS Gothic" w:hAnsi="Segoe UI Symbol" w:cs="Segoe UI Symbol"/>
                <w:sz w:val="24"/>
                <w:szCs w:val="24"/>
              </w:rPr>
              <w:t>☒</w:t>
            </w:r>
            <w:r w:rsidRPr="00955F3E">
              <w:rPr>
                <w:rFonts w:ascii="Times New Roman" w:hAnsi="Times New Roman"/>
                <w:sz w:val="24"/>
                <w:szCs w:val="24"/>
              </w:rPr>
              <w:t xml:space="preserve"> Áno</w:t>
            </w:r>
          </w:p>
        </w:tc>
        <w:tc>
          <w:tcPr>
            <w:tcW w:w="1560" w:type="dxa"/>
            <w:gridSpan w:val="2"/>
            <w:tcBorders>
              <w:top w:val="single" w:sz="4" w:space="0" w:color="FFFFFF" w:themeColor="background1"/>
              <w:left w:val="nil"/>
              <w:bottom w:val="nil"/>
            </w:tcBorders>
            <w:shd w:val="clear" w:color="auto" w:fill="FFFFFF" w:themeFill="background1"/>
          </w:tcPr>
          <w:p w:rsidR="003C289B" w:rsidRPr="00955F3E" w:rsidRDefault="003C289B" w:rsidP="006109A7">
            <w:pPr>
              <w:jc w:val="center"/>
              <w:rPr>
                <w:rFonts w:ascii="Times New Roman" w:hAnsi="Times New Roman"/>
                <w:sz w:val="24"/>
                <w:szCs w:val="24"/>
              </w:rPr>
            </w:pPr>
            <w:r w:rsidRPr="00955F3E">
              <w:rPr>
                <w:rFonts w:ascii="Segoe UI Symbol" w:eastAsia="MS Gothic" w:hAnsi="Segoe UI Symbol" w:cs="Segoe UI Symbol"/>
                <w:sz w:val="24"/>
                <w:szCs w:val="24"/>
              </w:rPr>
              <w:t>☐</w:t>
            </w:r>
            <w:r w:rsidRPr="00955F3E">
              <w:rPr>
                <w:rFonts w:ascii="Times New Roman" w:hAnsi="Times New Roman"/>
                <w:sz w:val="24"/>
                <w:szCs w:val="24"/>
              </w:rPr>
              <w:t xml:space="preserve">  Nie</w:t>
            </w:r>
          </w:p>
          <w:p w:rsidR="003C289B" w:rsidRPr="00955F3E" w:rsidRDefault="003C289B" w:rsidP="006109A7">
            <w:pPr>
              <w:ind w:left="-7620"/>
              <w:jc w:val="center"/>
              <w:rPr>
                <w:rFonts w:ascii="Times New Roman" w:hAnsi="Times New Roman"/>
                <w:sz w:val="24"/>
                <w:szCs w:val="24"/>
              </w:rPr>
            </w:pPr>
          </w:p>
        </w:tc>
      </w:tr>
      <w:tr w:rsidR="003C289B" w:rsidRPr="00955F3E" w:rsidTr="006109A7">
        <w:tc>
          <w:tcPr>
            <w:tcW w:w="9180" w:type="dxa"/>
            <w:gridSpan w:val="10"/>
            <w:tcBorders>
              <w:bottom w:val="single" w:sz="4" w:space="0" w:color="FFFFFF" w:themeColor="background1"/>
            </w:tcBorders>
            <w:shd w:val="clear" w:color="auto" w:fill="E2E2E2"/>
          </w:tcPr>
          <w:p w:rsidR="003C289B" w:rsidRPr="00955F3E" w:rsidRDefault="003C289B" w:rsidP="003C289B">
            <w:pPr>
              <w:pStyle w:val="Odsekzoznamu"/>
              <w:numPr>
                <w:ilvl w:val="0"/>
                <w:numId w:val="5"/>
              </w:numPr>
              <w:ind w:left="426"/>
              <w:rPr>
                <w:rFonts w:ascii="Times New Roman" w:hAnsi="Times New Roman"/>
                <w:b/>
                <w:sz w:val="24"/>
                <w:szCs w:val="24"/>
              </w:rPr>
            </w:pPr>
            <w:r w:rsidRPr="00955F3E">
              <w:rPr>
                <w:rFonts w:ascii="Times New Roman" w:hAnsi="Times New Roman"/>
                <w:b/>
                <w:sz w:val="24"/>
                <w:szCs w:val="24"/>
              </w:rPr>
              <w:t xml:space="preserve">Transpozícia práva EÚ </w:t>
            </w:r>
          </w:p>
        </w:tc>
      </w:tr>
      <w:tr w:rsidR="003C289B" w:rsidRPr="00955F3E" w:rsidTr="006109A7">
        <w:trPr>
          <w:trHeight w:val="340"/>
        </w:trPr>
        <w:tc>
          <w:tcPr>
            <w:tcW w:w="9180" w:type="dxa"/>
            <w:gridSpan w:val="10"/>
            <w:tcBorders>
              <w:top w:val="nil"/>
              <w:left w:val="single" w:sz="4" w:space="0" w:color="000000" w:themeColor="text1"/>
              <w:bottom w:val="nil"/>
            </w:tcBorders>
            <w:shd w:val="clear" w:color="auto" w:fill="FFFFFF" w:themeFill="background1"/>
            <w:vAlign w:val="center"/>
          </w:tcPr>
          <w:p w:rsidR="001F7000" w:rsidRDefault="00F0048A" w:rsidP="00F0048A">
            <w:pPr>
              <w:rPr>
                <w:rFonts w:ascii="Times New Roman" w:hAnsi="Times New Roman"/>
                <w:sz w:val="20"/>
                <w:szCs w:val="24"/>
              </w:rPr>
            </w:pPr>
            <w:r>
              <w:rPr>
                <w:rFonts w:ascii="Times New Roman" w:hAnsi="Times New Roman"/>
                <w:sz w:val="20"/>
                <w:szCs w:val="24"/>
              </w:rPr>
              <w:t xml:space="preserve">Návrh zákona transponuje niektoré ustanovenia smernice 2003/96/ES </w:t>
            </w:r>
            <w:r w:rsidRPr="00F0048A">
              <w:rPr>
                <w:rFonts w:ascii="Times New Roman" w:hAnsi="Times New Roman"/>
                <w:sz w:val="20"/>
                <w:szCs w:val="24"/>
              </w:rPr>
              <w:t>o reštrukturalizácii právneho rámca spoločenstva pre zdaňovanie energetických výrobkov a</w:t>
            </w:r>
            <w:r>
              <w:rPr>
                <w:rFonts w:ascii="Times New Roman" w:hAnsi="Times New Roman"/>
                <w:sz w:val="20"/>
                <w:szCs w:val="24"/>
              </w:rPr>
              <w:t> </w:t>
            </w:r>
            <w:r w:rsidRPr="00F0048A">
              <w:rPr>
                <w:rFonts w:ascii="Times New Roman" w:hAnsi="Times New Roman"/>
                <w:sz w:val="20"/>
                <w:szCs w:val="24"/>
              </w:rPr>
              <w:t>elektriny</w:t>
            </w:r>
            <w:r>
              <w:rPr>
                <w:rFonts w:ascii="Times New Roman" w:hAnsi="Times New Roman"/>
                <w:sz w:val="20"/>
                <w:szCs w:val="24"/>
              </w:rPr>
              <w:t xml:space="preserve">. </w:t>
            </w:r>
            <w:r w:rsidR="00327D9F">
              <w:rPr>
                <w:rFonts w:ascii="Times New Roman" w:hAnsi="Times New Roman"/>
                <w:sz w:val="20"/>
                <w:szCs w:val="24"/>
              </w:rPr>
              <w:t>Ide</w:t>
            </w:r>
            <w:r>
              <w:rPr>
                <w:rFonts w:ascii="Times New Roman" w:hAnsi="Times New Roman"/>
                <w:sz w:val="20"/>
                <w:szCs w:val="24"/>
              </w:rPr>
              <w:t xml:space="preserve"> o transpozíciu definície predmetu spotrebnej dane a sadzby dane. Návrh nezakladá žiadne povinnosti nad rámec citovanej smernice. V návrhu zákona nebol teda goldplating identifikovaný, a to ani po externej oponentúre. </w:t>
            </w:r>
          </w:p>
          <w:p w:rsidR="00F0048A" w:rsidRPr="00955F3E" w:rsidRDefault="00F0048A" w:rsidP="00F0048A">
            <w:pPr>
              <w:rPr>
                <w:rFonts w:ascii="Times New Roman" w:hAnsi="Times New Roman"/>
                <w:sz w:val="24"/>
                <w:szCs w:val="24"/>
              </w:rPr>
            </w:pPr>
          </w:p>
        </w:tc>
      </w:tr>
      <w:tr w:rsidR="003C289B" w:rsidRPr="00955F3E" w:rsidTr="006109A7">
        <w:tc>
          <w:tcPr>
            <w:tcW w:w="9180" w:type="dxa"/>
            <w:gridSpan w:val="10"/>
            <w:tcBorders>
              <w:bottom w:val="single" w:sz="4" w:space="0" w:color="FFFFFF" w:themeColor="background1"/>
            </w:tcBorders>
            <w:shd w:val="clear" w:color="auto" w:fill="E2E2E2"/>
          </w:tcPr>
          <w:p w:rsidR="003C289B" w:rsidRPr="00955F3E" w:rsidRDefault="003C289B" w:rsidP="003C289B">
            <w:pPr>
              <w:pStyle w:val="Odsekzoznamu"/>
              <w:numPr>
                <w:ilvl w:val="0"/>
                <w:numId w:val="5"/>
              </w:numPr>
              <w:ind w:left="426"/>
              <w:rPr>
                <w:rFonts w:ascii="Times New Roman" w:hAnsi="Times New Roman"/>
                <w:b/>
                <w:sz w:val="24"/>
                <w:szCs w:val="24"/>
              </w:rPr>
            </w:pPr>
            <w:r w:rsidRPr="00955F3E">
              <w:rPr>
                <w:rFonts w:ascii="Times New Roman" w:hAnsi="Times New Roman"/>
                <w:b/>
                <w:sz w:val="24"/>
                <w:szCs w:val="24"/>
              </w:rPr>
              <w:t>Preskúmanie účelnosti**</w:t>
            </w:r>
          </w:p>
        </w:tc>
      </w:tr>
      <w:tr w:rsidR="003C289B" w:rsidRPr="00955F3E" w:rsidTr="006109A7">
        <w:tc>
          <w:tcPr>
            <w:tcW w:w="9180" w:type="dxa"/>
            <w:gridSpan w:val="10"/>
            <w:tcBorders>
              <w:top w:val="single" w:sz="4" w:space="0" w:color="FFFFFF" w:themeColor="background1"/>
            </w:tcBorders>
            <w:shd w:val="clear" w:color="auto" w:fill="FFFFFF" w:themeFill="background1"/>
          </w:tcPr>
          <w:p w:rsidR="001F7000" w:rsidRPr="00955F3E" w:rsidRDefault="003C289B" w:rsidP="00763513">
            <w:pPr>
              <w:rPr>
                <w:rFonts w:ascii="Times New Roman" w:hAnsi="Times New Roman"/>
                <w:sz w:val="24"/>
                <w:szCs w:val="24"/>
              </w:rPr>
            </w:pPr>
            <w:r w:rsidRPr="00186E74">
              <w:rPr>
                <w:rFonts w:ascii="Times New Roman" w:hAnsi="Times New Roman"/>
                <w:sz w:val="20"/>
                <w:szCs w:val="24"/>
              </w:rPr>
              <w:t>Bezpredmetné.</w:t>
            </w:r>
          </w:p>
        </w:tc>
      </w:tr>
      <w:tr w:rsidR="003C289B" w:rsidRPr="00955F3E" w:rsidTr="006109A7">
        <w:trPr>
          <w:trHeight w:val="715"/>
        </w:trPr>
        <w:tc>
          <w:tcPr>
            <w:tcW w:w="9180" w:type="dxa"/>
            <w:gridSpan w:val="10"/>
            <w:tcBorders>
              <w:left w:val="nil"/>
              <w:bottom w:val="nil"/>
              <w:right w:val="nil"/>
            </w:tcBorders>
            <w:shd w:val="clear" w:color="auto" w:fill="FFFFFF" w:themeFill="background1"/>
          </w:tcPr>
          <w:p w:rsidR="003C289B" w:rsidRPr="00955F3E" w:rsidRDefault="003C289B" w:rsidP="006109A7">
            <w:pPr>
              <w:ind w:left="142" w:hanging="142"/>
              <w:rPr>
                <w:rFonts w:ascii="Times New Roman" w:hAnsi="Times New Roman"/>
                <w:sz w:val="24"/>
                <w:szCs w:val="24"/>
              </w:rPr>
            </w:pPr>
            <w:r w:rsidRPr="00955F3E">
              <w:rPr>
                <w:rFonts w:ascii="Times New Roman" w:hAnsi="Times New Roman"/>
                <w:sz w:val="24"/>
                <w:szCs w:val="24"/>
              </w:rPr>
              <w:lastRenderedPageBreak/>
              <w:t>* vyplniť iba v prípade, ak materiál nie je zahrnutý do Plánu práce vlády Slovensk</w:t>
            </w:r>
            <w:r w:rsidR="00FE0B99" w:rsidRPr="00955F3E">
              <w:rPr>
                <w:rFonts w:ascii="Times New Roman" w:hAnsi="Times New Roman"/>
                <w:sz w:val="24"/>
                <w:szCs w:val="24"/>
              </w:rPr>
              <w:t xml:space="preserve">ej republiky alebo Plánu </w:t>
            </w:r>
            <w:r w:rsidRPr="00955F3E">
              <w:rPr>
                <w:rFonts w:ascii="Times New Roman" w:hAnsi="Times New Roman"/>
                <w:sz w:val="24"/>
                <w:szCs w:val="24"/>
              </w:rPr>
              <w:t xml:space="preserve">legislatívnych úloh vlády Slovenskej republiky. </w:t>
            </w:r>
          </w:p>
          <w:p w:rsidR="003C289B" w:rsidRPr="00955F3E" w:rsidRDefault="003C289B" w:rsidP="006109A7">
            <w:pPr>
              <w:rPr>
                <w:rFonts w:ascii="Times New Roman" w:hAnsi="Times New Roman"/>
                <w:sz w:val="24"/>
                <w:szCs w:val="24"/>
              </w:rPr>
            </w:pPr>
            <w:r w:rsidRPr="00955F3E">
              <w:rPr>
                <w:rFonts w:ascii="Times New Roman" w:hAnsi="Times New Roman"/>
                <w:sz w:val="24"/>
                <w:szCs w:val="24"/>
              </w:rPr>
              <w:t>** nepovinné</w:t>
            </w:r>
          </w:p>
        </w:tc>
      </w:tr>
      <w:tr w:rsidR="003C289B" w:rsidRPr="00955F3E" w:rsidTr="006109A7">
        <w:tc>
          <w:tcPr>
            <w:tcW w:w="9180" w:type="dxa"/>
            <w:gridSpan w:val="10"/>
            <w:tcBorders>
              <w:top w:val="nil"/>
              <w:left w:val="nil"/>
              <w:right w:val="nil"/>
            </w:tcBorders>
            <w:shd w:val="clear" w:color="auto" w:fill="FFFFFF" w:themeFill="background1"/>
          </w:tcPr>
          <w:p w:rsidR="003C289B" w:rsidRPr="00955F3E" w:rsidRDefault="003C289B" w:rsidP="006109A7">
            <w:pPr>
              <w:rPr>
                <w:rFonts w:ascii="Times New Roman" w:hAnsi="Times New Roman"/>
                <w:b/>
                <w:sz w:val="24"/>
                <w:szCs w:val="24"/>
              </w:rPr>
            </w:pPr>
          </w:p>
        </w:tc>
      </w:tr>
      <w:tr w:rsidR="003C289B" w:rsidRPr="00955F3E" w:rsidTr="006109A7">
        <w:trPr>
          <w:trHeight w:val="577"/>
        </w:trPr>
        <w:tc>
          <w:tcPr>
            <w:tcW w:w="9180" w:type="dxa"/>
            <w:gridSpan w:val="10"/>
            <w:tcBorders>
              <w:bottom w:val="single" w:sz="4" w:space="0" w:color="FFFFFF" w:themeColor="background1"/>
            </w:tcBorders>
            <w:shd w:val="clear" w:color="auto" w:fill="E2E2E2"/>
            <w:vAlign w:val="center"/>
          </w:tcPr>
          <w:p w:rsidR="003C289B" w:rsidRPr="00955F3E" w:rsidRDefault="003C289B" w:rsidP="003C289B">
            <w:pPr>
              <w:pStyle w:val="Odsekzoznamu"/>
              <w:numPr>
                <w:ilvl w:val="0"/>
                <w:numId w:val="5"/>
              </w:numPr>
              <w:ind w:left="426"/>
              <w:rPr>
                <w:rFonts w:ascii="Times New Roman" w:hAnsi="Times New Roman"/>
                <w:b/>
                <w:sz w:val="24"/>
                <w:szCs w:val="24"/>
              </w:rPr>
            </w:pPr>
            <w:r w:rsidRPr="00955F3E">
              <w:rPr>
                <w:rFonts w:ascii="Times New Roman" w:hAnsi="Times New Roman"/>
                <w:b/>
                <w:sz w:val="24"/>
                <w:szCs w:val="24"/>
              </w:rPr>
              <w:t>Vplyvy navrhovaného materiálu</w:t>
            </w:r>
          </w:p>
        </w:tc>
      </w:tr>
      <w:tr w:rsidR="003C289B" w:rsidRPr="002F6D2A" w:rsidTr="006109A7">
        <w:tc>
          <w:tcPr>
            <w:tcW w:w="3812" w:type="dxa"/>
            <w:tcBorders>
              <w:bottom w:val="nil"/>
            </w:tcBorders>
            <w:shd w:val="clear" w:color="auto" w:fill="E2E2E2"/>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Vplyvy na rozpočet verejnej správy</w:t>
            </w:r>
          </w:p>
        </w:tc>
        <w:tc>
          <w:tcPr>
            <w:tcW w:w="541" w:type="dxa"/>
            <w:gridSpan w:val="2"/>
            <w:tcBorders>
              <w:right w:val="nil"/>
            </w:tcBorders>
          </w:tcPr>
          <w:p w:rsidR="003C289B" w:rsidRPr="002F6D2A" w:rsidRDefault="00D8556F" w:rsidP="006109A7">
            <w:pPr>
              <w:jc w:val="center"/>
              <w:rPr>
                <w:rFonts w:ascii="Times New Roman" w:hAnsi="Times New Roman"/>
                <w:b/>
                <w:sz w:val="24"/>
                <w:szCs w:val="24"/>
              </w:rPr>
            </w:pPr>
            <w:r w:rsidRPr="002F6D2A">
              <w:rPr>
                <w:rFonts w:ascii="Segoe UI Symbol" w:hAnsi="Segoe UI Symbol" w:cs="Segoe UI Symbol"/>
                <w:sz w:val="24"/>
                <w:szCs w:val="24"/>
              </w:rPr>
              <w:t>☐</w:t>
            </w:r>
          </w:p>
        </w:tc>
        <w:tc>
          <w:tcPr>
            <w:tcW w:w="1281" w:type="dxa"/>
            <w:gridSpan w:val="2"/>
            <w:tcBorders>
              <w:left w:val="nil"/>
              <w:right w:val="nil"/>
            </w:tcBorders>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Pozitívne</w:t>
            </w:r>
          </w:p>
        </w:tc>
        <w:tc>
          <w:tcPr>
            <w:tcW w:w="569" w:type="dxa"/>
            <w:tcBorders>
              <w:left w:val="nil"/>
              <w:right w:val="nil"/>
            </w:tcBorders>
          </w:tcPr>
          <w:p w:rsidR="003C289B" w:rsidRPr="002F6D2A" w:rsidRDefault="00A740AF" w:rsidP="006109A7">
            <w:pPr>
              <w:jc w:val="center"/>
              <w:rPr>
                <w:rFonts w:ascii="Times New Roman" w:hAnsi="Times New Roman"/>
                <w:b/>
                <w:sz w:val="24"/>
                <w:szCs w:val="24"/>
              </w:rPr>
            </w:pPr>
            <w:r w:rsidRPr="002F6D2A">
              <w:rPr>
                <w:rFonts w:ascii="Segoe UI Symbol" w:eastAsia="MS Mincho" w:hAnsi="Segoe UI Symbol" w:cs="Segoe UI Symbol"/>
                <w:sz w:val="24"/>
                <w:szCs w:val="24"/>
              </w:rPr>
              <w:t>☐</w:t>
            </w:r>
          </w:p>
        </w:tc>
        <w:tc>
          <w:tcPr>
            <w:tcW w:w="1133" w:type="dxa"/>
            <w:tcBorders>
              <w:left w:val="nil"/>
              <w:right w:val="nil"/>
            </w:tcBorders>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Žiadne</w:t>
            </w:r>
          </w:p>
        </w:tc>
        <w:tc>
          <w:tcPr>
            <w:tcW w:w="547" w:type="dxa"/>
            <w:gridSpan w:val="2"/>
            <w:tcBorders>
              <w:left w:val="nil"/>
              <w:right w:val="nil"/>
            </w:tcBorders>
          </w:tcPr>
          <w:p w:rsidR="003C289B" w:rsidRPr="002F6D2A" w:rsidRDefault="00A740AF" w:rsidP="006109A7">
            <w:pPr>
              <w:ind w:left="-107" w:right="-108"/>
              <w:jc w:val="center"/>
              <w:rPr>
                <w:rFonts w:ascii="Times New Roman" w:hAnsi="Times New Roman"/>
                <w:b/>
                <w:sz w:val="24"/>
                <w:szCs w:val="24"/>
              </w:rPr>
            </w:pPr>
            <w:r w:rsidRPr="002F6D2A">
              <w:rPr>
                <w:rFonts w:ascii="Segoe UI Symbol" w:hAnsi="Segoe UI Symbol" w:cs="Segoe UI Symbol"/>
                <w:b/>
                <w:sz w:val="24"/>
                <w:szCs w:val="24"/>
              </w:rPr>
              <w:t>☒</w:t>
            </w:r>
          </w:p>
        </w:tc>
        <w:tc>
          <w:tcPr>
            <w:tcW w:w="1297" w:type="dxa"/>
            <w:tcBorders>
              <w:left w:val="nil"/>
            </w:tcBorders>
          </w:tcPr>
          <w:p w:rsidR="003C289B" w:rsidRPr="002F6D2A" w:rsidRDefault="003C289B" w:rsidP="006109A7">
            <w:pPr>
              <w:ind w:left="34"/>
              <w:rPr>
                <w:rFonts w:ascii="Times New Roman" w:hAnsi="Times New Roman"/>
                <w:b/>
                <w:sz w:val="24"/>
                <w:szCs w:val="24"/>
              </w:rPr>
            </w:pPr>
            <w:r w:rsidRPr="002F6D2A">
              <w:rPr>
                <w:rFonts w:ascii="Times New Roman" w:hAnsi="Times New Roman"/>
                <w:b/>
                <w:sz w:val="24"/>
                <w:szCs w:val="24"/>
              </w:rPr>
              <w:t>Negatívne</w:t>
            </w:r>
          </w:p>
        </w:tc>
      </w:tr>
      <w:tr w:rsidR="002B79CE" w:rsidRPr="002F6D2A" w:rsidTr="006109A7">
        <w:tc>
          <w:tcPr>
            <w:tcW w:w="3812" w:type="dxa"/>
            <w:tcBorders>
              <w:top w:val="nil"/>
              <w:bottom w:val="single" w:sz="4" w:space="0" w:color="000000" w:themeColor="text1"/>
            </w:tcBorders>
            <w:shd w:val="clear" w:color="auto" w:fill="E2E2E2"/>
          </w:tcPr>
          <w:p w:rsidR="002B79CE" w:rsidRPr="002F6D2A" w:rsidRDefault="002B79CE" w:rsidP="002B79CE">
            <w:pPr>
              <w:rPr>
                <w:rFonts w:ascii="Times New Roman" w:hAnsi="Times New Roman"/>
                <w:sz w:val="24"/>
                <w:szCs w:val="24"/>
              </w:rPr>
            </w:pPr>
            <w:r w:rsidRPr="002F6D2A">
              <w:rPr>
                <w:rFonts w:ascii="Times New Roman" w:hAnsi="Times New Roman"/>
                <w:sz w:val="24"/>
                <w:szCs w:val="24"/>
              </w:rPr>
              <w:t xml:space="preserve">    z toho rozpočtovo zabezpečené vplyvy</w:t>
            </w:r>
          </w:p>
        </w:tc>
        <w:tc>
          <w:tcPr>
            <w:tcW w:w="541" w:type="dxa"/>
            <w:gridSpan w:val="2"/>
            <w:tcBorders>
              <w:right w:val="nil"/>
            </w:tcBorders>
          </w:tcPr>
          <w:p w:rsidR="002B79CE" w:rsidRPr="002F6D2A" w:rsidRDefault="002B79CE" w:rsidP="002B79CE">
            <w:pPr>
              <w:jc w:val="center"/>
              <w:rPr>
                <w:rFonts w:ascii="Times New Roman" w:hAnsi="Times New Roman"/>
                <w:sz w:val="24"/>
                <w:szCs w:val="24"/>
              </w:rPr>
            </w:pPr>
            <w:r w:rsidRPr="002F6D2A">
              <w:rPr>
                <w:rFonts w:ascii="Segoe UI Symbol" w:hAnsi="Segoe UI Symbol" w:cs="Segoe UI Symbol"/>
                <w:sz w:val="24"/>
                <w:szCs w:val="24"/>
              </w:rPr>
              <w:t>☐</w:t>
            </w:r>
          </w:p>
        </w:tc>
        <w:tc>
          <w:tcPr>
            <w:tcW w:w="1281" w:type="dxa"/>
            <w:gridSpan w:val="2"/>
            <w:tcBorders>
              <w:left w:val="nil"/>
              <w:right w:val="nil"/>
            </w:tcBorders>
          </w:tcPr>
          <w:p w:rsidR="002B79CE" w:rsidRPr="002F6D2A" w:rsidRDefault="002B79CE" w:rsidP="002B79CE">
            <w:pPr>
              <w:rPr>
                <w:rFonts w:ascii="Times New Roman" w:hAnsi="Times New Roman"/>
                <w:sz w:val="24"/>
                <w:szCs w:val="24"/>
              </w:rPr>
            </w:pPr>
            <w:r w:rsidRPr="002F6D2A">
              <w:rPr>
                <w:rFonts w:ascii="Times New Roman" w:hAnsi="Times New Roman"/>
                <w:sz w:val="24"/>
                <w:szCs w:val="24"/>
              </w:rPr>
              <w:t>Áno</w:t>
            </w:r>
          </w:p>
        </w:tc>
        <w:tc>
          <w:tcPr>
            <w:tcW w:w="569" w:type="dxa"/>
            <w:tcBorders>
              <w:left w:val="nil"/>
              <w:right w:val="nil"/>
            </w:tcBorders>
          </w:tcPr>
          <w:p w:rsidR="002B79CE" w:rsidRPr="002F6D2A" w:rsidRDefault="002B79CE" w:rsidP="002B79CE">
            <w:pPr>
              <w:jc w:val="center"/>
              <w:rPr>
                <w:rFonts w:ascii="Times New Roman" w:hAnsi="Times New Roman"/>
                <w:sz w:val="24"/>
                <w:szCs w:val="24"/>
              </w:rPr>
            </w:pPr>
            <w:r w:rsidRPr="002F6D2A">
              <w:rPr>
                <w:rFonts w:ascii="Segoe UI Symbol" w:hAnsi="Segoe UI Symbol" w:cs="Segoe UI Symbol"/>
                <w:sz w:val="24"/>
                <w:szCs w:val="24"/>
              </w:rPr>
              <w:t>☐</w:t>
            </w:r>
          </w:p>
        </w:tc>
        <w:tc>
          <w:tcPr>
            <w:tcW w:w="1133" w:type="dxa"/>
            <w:tcBorders>
              <w:left w:val="nil"/>
              <w:right w:val="nil"/>
            </w:tcBorders>
          </w:tcPr>
          <w:p w:rsidR="002B79CE" w:rsidRPr="002F6D2A" w:rsidRDefault="002B79CE" w:rsidP="002B79CE">
            <w:pPr>
              <w:rPr>
                <w:rFonts w:ascii="Times New Roman" w:hAnsi="Times New Roman"/>
                <w:sz w:val="24"/>
                <w:szCs w:val="24"/>
              </w:rPr>
            </w:pPr>
            <w:r w:rsidRPr="002F6D2A">
              <w:rPr>
                <w:rFonts w:ascii="Times New Roman" w:hAnsi="Times New Roman"/>
                <w:sz w:val="24"/>
                <w:szCs w:val="24"/>
              </w:rPr>
              <w:t>Nie</w:t>
            </w:r>
          </w:p>
        </w:tc>
        <w:tc>
          <w:tcPr>
            <w:tcW w:w="547" w:type="dxa"/>
            <w:gridSpan w:val="2"/>
            <w:tcBorders>
              <w:left w:val="nil"/>
              <w:right w:val="nil"/>
            </w:tcBorders>
          </w:tcPr>
          <w:p w:rsidR="002B79CE" w:rsidRPr="002F6D2A" w:rsidRDefault="002B79CE" w:rsidP="002B79CE">
            <w:pPr>
              <w:ind w:left="-107" w:right="-108"/>
              <w:jc w:val="center"/>
              <w:rPr>
                <w:rFonts w:ascii="Times New Roman" w:hAnsi="Times New Roman"/>
                <w:sz w:val="24"/>
                <w:szCs w:val="24"/>
              </w:rPr>
            </w:pPr>
            <w:r w:rsidRPr="002F6D2A">
              <w:rPr>
                <w:rFonts w:ascii="Segoe UI Symbol" w:hAnsi="Segoe UI Symbol" w:cs="Segoe UI Symbol"/>
                <w:b/>
                <w:sz w:val="24"/>
                <w:szCs w:val="24"/>
              </w:rPr>
              <w:t>☒</w:t>
            </w:r>
          </w:p>
        </w:tc>
        <w:tc>
          <w:tcPr>
            <w:tcW w:w="1297" w:type="dxa"/>
            <w:tcBorders>
              <w:left w:val="nil"/>
            </w:tcBorders>
          </w:tcPr>
          <w:p w:rsidR="002B79CE" w:rsidRPr="002F6D2A" w:rsidRDefault="002B79CE" w:rsidP="002B79CE">
            <w:pPr>
              <w:ind w:left="34"/>
              <w:rPr>
                <w:rFonts w:ascii="Times New Roman" w:hAnsi="Times New Roman"/>
                <w:sz w:val="24"/>
                <w:szCs w:val="24"/>
              </w:rPr>
            </w:pPr>
            <w:r w:rsidRPr="002F6D2A">
              <w:rPr>
                <w:rFonts w:ascii="Times New Roman" w:hAnsi="Times New Roman"/>
                <w:sz w:val="24"/>
                <w:szCs w:val="24"/>
              </w:rPr>
              <w:t>Čiastočne</w:t>
            </w:r>
          </w:p>
        </w:tc>
      </w:tr>
      <w:tr w:rsidR="003C289B" w:rsidRPr="002F6D2A" w:rsidTr="006109A7">
        <w:tc>
          <w:tcPr>
            <w:tcW w:w="3812" w:type="dxa"/>
            <w:tcBorders>
              <w:top w:val="single" w:sz="4" w:space="0" w:color="000000" w:themeColor="text1"/>
              <w:bottom w:val="nil"/>
            </w:tcBorders>
            <w:shd w:val="clear" w:color="auto" w:fill="E2E2E2"/>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Vplyvy na podnikateľské prostredie</w:t>
            </w:r>
          </w:p>
        </w:tc>
        <w:tc>
          <w:tcPr>
            <w:tcW w:w="541" w:type="dxa"/>
            <w:gridSpan w:val="2"/>
            <w:tcBorders>
              <w:right w:val="nil"/>
            </w:tcBorders>
          </w:tcPr>
          <w:p w:rsidR="003C289B" w:rsidRPr="002F6D2A" w:rsidRDefault="00F1007E" w:rsidP="006109A7">
            <w:pPr>
              <w:jc w:val="center"/>
              <w:rPr>
                <w:rFonts w:ascii="Times New Roman" w:hAnsi="Times New Roman"/>
                <w:b/>
                <w:sz w:val="24"/>
                <w:szCs w:val="24"/>
              </w:rPr>
            </w:pPr>
            <w:r w:rsidRPr="002F6D2A">
              <w:rPr>
                <w:rFonts w:ascii="Segoe UI Symbol" w:hAnsi="Segoe UI Symbol" w:cs="Segoe UI Symbol"/>
                <w:b/>
                <w:sz w:val="24"/>
                <w:szCs w:val="24"/>
              </w:rPr>
              <w:t>☒</w:t>
            </w:r>
          </w:p>
        </w:tc>
        <w:tc>
          <w:tcPr>
            <w:tcW w:w="1281" w:type="dxa"/>
            <w:gridSpan w:val="2"/>
            <w:tcBorders>
              <w:left w:val="nil"/>
              <w:right w:val="nil"/>
            </w:tcBorders>
          </w:tcPr>
          <w:p w:rsidR="003C289B" w:rsidRPr="002F6D2A" w:rsidRDefault="003C289B" w:rsidP="006109A7">
            <w:pPr>
              <w:ind w:right="-108"/>
              <w:rPr>
                <w:rFonts w:ascii="Times New Roman" w:hAnsi="Times New Roman"/>
                <w:b/>
                <w:sz w:val="24"/>
                <w:szCs w:val="24"/>
              </w:rPr>
            </w:pPr>
            <w:r w:rsidRPr="002F6D2A">
              <w:rPr>
                <w:rFonts w:ascii="Times New Roman" w:hAnsi="Times New Roman"/>
                <w:b/>
                <w:sz w:val="24"/>
                <w:szCs w:val="24"/>
              </w:rPr>
              <w:t>Pozitívne</w:t>
            </w:r>
          </w:p>
        </w:tc>
        <w:tc>
          <w:tcPr>
            <w:tcW w:w="569" w:type="dxa"/>
            <w:tcBorders>
              <w:left w:val="nil"/>
              <w:right w:val="nil"/>
            </w:tcBorders>
          </w:tcPr>
          <w:p w:rsidR="003C289B" w:rsidRPr="002F6D2A" w:rsidRDefault="00763513" w:rsidP="006109A7">
            <w:pPr>
              <w:jc w:val="center"/>
              <w:rPr>
                <w:rFonts w:ascii="Times New Roman" w:hAnsi="Times New Roman"/>
                <w:b/>
                <w:sz w:val="24"/>
                <w:szCs w:val="24"/>
              </w:rPr>
            </w:pPr>
            <w:r w:rsidRPr="002F6D2A">
              <w:rPr>
                <w:rFonts w:ascii="Segoe UI Symbol" w:hAnsi="Segoe UI Symbol" w:cs="Segoe UI Symbol"/>
                <w:b/>
                <w:sz w:val="24"/>
                <w:szCs w:val="24"/>
              </w:rPr>
              <w:t>☐</w:t>
            </w:r>
          </w:p>
        </w:tc>
        <w:tc>
          <w:tcPr>
            <w:tcW w:w="1133" w:type="dxa"/>
            <w:tcBorders>
              <w:left w:val="nil"/>
              <w:right w:val="nil"/>
            </w:tcBorders>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Žiadne</w:t>
            </w:r>
          </w:p>
        </w:tc>
        <w:tc>
          <w:tcPr>
            <w:tcW w:w="547" w:type="dxa"/>
            <w:gridSpan w:val="2"/>
            <w:tcBorders>
              <w:left w:val="nil"/>
              <w:right w:val="nil"/>
            </w:tcBorders>
          </w:tcPr>
          <w:p w:rsidR="003C289B" w:rsidRPr="002F6D2A" w:rsidRDefault="00427AB0" w:rsidP="006109A7">
            <w:pPr>
              <w:jc w:val="center"/>
              <w:rPr>
                <w:rFonts w:ascii="Times New Roman" w:hAnsi="Times New Roman"/>
                <w:b/>
                <w:sz w:val="24"/>
                <w:szCs w:val="24"/>
              </w:rPr>
            </w:pPr>
            <w:r w:rsidRPr="002F6D2A">
              <w:rPr>
                <w:rFonts w:ascii="Segoe UI Symbol" w:hAnsi="Segoe UI Symbol" w:cs="Segoe UI Symbol"/>
                <w:b/>
                <w:sz w:val="24"/>
                <w:szCs w:val="24"/>
              </w:rPr>
              <w:t>☒</w:t>
            </w:r>
          </w:p>
        </w:tc>
        <w:tc>
          <w:tcPr>
            <w:tcW w:w="1297" w:type="dxa"/>
            <w:tcBorders>
              <w:left w:val="nil"/>
            </w:tcBorders>
          </w:tcPr>
          <w:p w:rsidR="003C289B" w:rsidRPr="002F6D2A" w:rsidRDefault="003C289B" w:rsidP="006109A7">
            <w:pPr>
              <w:ind w:left="54"/>
              <w:rPr>
                <w:rFonts w:ascii="Times New Roman" w:hAnsi="Times New Roman"/>
                <w:b/>
                <w:sz w:val="24"/>
                <w:szCs w:val="24"/>
              </w:rPr>
            </w:pPr>
            <w:r w:rsidRPr="002F6D2A">
              <w:rPr>
                <w:rFonts w:ascii="Times New Roman" w:hAnsi="Times New Roman"/>
                <w:b/>
                <w:sz w:val="24"/>
                <w:szCs w:val="24"/>
              </w:rPr>
              <w:t>Negatívne</w:t>
            </w:r>
          </w:p>
        </w:tc>
      </w:tr>
      <w:tr w:rsidR="003C289B" w:rsidRPr="002F6D2A" w:rsidTr="006109A7">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C289B" w:rsidRPr="002F6D2A" w:rsidRDefault="003C289B" w:rsidP="006109A7">
            <w:pPr>
              <w:rPr>
                <w:rFonts w:ascii="Times New Roman" w:hAnsi="Times New Roman"/>
                <w:sz w:val="24"/>
                <w:szCs w:val="24"/>
              </w:rPr>
            </w:pPr>
            <w:r w:rsidRPr="002F6D2A">
              <w:rPr>
                <w:rFonts w:ascii="Times New Roman" w:hAnsi="Times New Roman"/>
                <w:sz w:val="24"/>
                <w:szCs w:val="24"/>
              </w:rPr>
              <w:t xml:space="preserve">    z toho vplyvy na MSP</w:t>
            </w:r>
          </w:p>
        </w:tc>
        <w:tc>
          <w:tcPr>
            <w:tcW w:w="541" w:type="dxa"/>
            <w:gridSpan w:val="2"/>
            <w:tcBorders>
              <w:left w:val="single" w:sz="4" w:space="0" w:color="000000" w:themeColor="text1"/>
              <w:right w:val="nil"/>
            </w:tcBorders>
          </w:tcPr>
          <w:p w:rsidR="003C289B" w:rsidRPr="002F6D2A" w:rsidRDefault="00427AB0" w:rsidP="006109A7">
            <w:pPr>
              <w:jc w:val="center"/>
              <w:rPr>
                <w:rFonts w:ascii="Times New Roman" w:hAnsi="Times New Roman"/>
                <w:sz w:val="24"/>
                <w:szCs w:val="24"/>
              </w:rPr>
            </w:pPr>
            <w:r w:rsidRPr="002F6D2A">
              <w:rPr>
                <w:rFonts w:ascii="Segoe UI Symbol" w:hAnsi="Segoe UI Symbol" w:cs="Segoe UI Symbol"/>
                <w:b/>
                <w:sz w:val="24"/>
                <w:szCs w:val="24"/>
              </w:rPr>
              <w:t>☒</w:t>
            </w:r>
          </w:p>
        </w:tc>
        <w:tc>
          <w:tcPr>
            <w:tcW w:w="1281" w:type="dxa"/>
            <w:gridSpan w:val="2"/>
            <w:tcBorders>
              <w:left w:val="nil"/>
              <w:right w:val="nil"/>
            </w:tcBorders>
          </w:tcPr>
          <w:p w:rsidR="003C289B" w:rsidRPr="002F6D2A" w:rsidRDefault="003C289B" w:rsidP="006109A7">
            <w:pPr>
              <w:ind w:right="-108"/>
              <w:rPr>
                <w:rFonts w:ascii="Times New Roman" w:hAnsi="Times New Roman"/>
                <w:sz w:val="24"/>
                <w:szCs w:val="24"/>
              </w:rPr>
            </w:pPr>
            <w:r w:rsidRPr="002F6D2A">
              <w:rPr>
                <w:rFonts w:ascii="Times New Roman" w:hAnsi="Times New Roman"/>
                <w:sz w:val="24"/>
                <w:szCs w:val="24"/>
              </w:rPr>
              <w:t>Pozitívne</w:t>
            </w:r>
          </w:p>
        </w:tc>
        <w:tc>
          <w:tcPr>
            <w:tcW w:w="569" w:type="dxa"/>
            <w:tcBorders>
              <w:left w:val="nil"/>
              <w:right w:val="nil"/>
            </w:tcBorders>
          </w:tcPr>
          <w:p w:rsidR="003C289B" w:rsidRPr="002F6D2A" w:rsidRDefault="003C289B" w:rsidP="006109A7">
            <w:pPr>
              <w:jc w:val="center"/>
              <w:rPr>
                <w:rFonts w:ascii="Times New Roman" w:hAnsi="Times New Roman"/>
                <w:sz w:val="24"/>
                <w:szCs w:val="24"/>
              </w:rPr>
            </w:pPr>
            <w:r w:rsidRPr="002F6D2A">
              <w:rPr>
                <w:rFonts w:ascii="Segoe UI Symbol" w:eastAsia="MS Mincho" w:hAnsi="Segoe UI Symbol" w:cs="Segoe UI Symbol"/>
                <w:b/>
                <w:sz w:val="24"/>
                <w:szCs w:val="24"/>
              </w:rPr>
              <w:t>☐</w:t>
            </w:r>
          </w:p>
        </w:tc>
        <w:tc>
          <w:tcPr>
            <w:tcW w:w="1133" w:type="dxa"/>
            <w:tcBorders>
              <w:left w:val="nil"/>
              <w:right w:val="nil"/>
            </w:tcBorders>
          </w:tcPr>
          <w:p w:rsidR="003C289B" w:rsidRPr="002F6D2A" w:rsidRDefault="003C289B" w:rsidP="006109A7">
            <w:pPr>
              <w:rPr>
                <w:rFonts w:ascii="Times New Roman" w:hAnsi="Times New Roman"/>
                <w:sz w:val="24"/>
                <w:szCs w:val="24"/>
              </w:rPr>
            </w:pPr>
            <w:r w:rsidRPr="002F6D2A">
              <w:rPr>
                <w:rFonts w:ascii="Times New Roman" w:hAnsi="Times New Roman"/>
                <w:sz w:val="24"/>
                <w:szCs w:val="24"/>
              </w:rPr>
              <w:t>Žiadne</w:t>
            </w:r>
          </w:p>
        </w:tc>
        <w:tc>
          <w:tcPr>
            <w:tcW w:w="547" w:type="dxa"/>
            <w:gridSpan w:val="2"/>
            <w:tcBorders>
              <w:left w:val="nil"/>
              <w:right w:val="nil"/>
            </w:tcBorders>
          </w:tcPr>
          <w:p w:rsidR="003C289B" w:rsidRPr="002F6D2A" w:rsidRDefault="00763513" w:rsidP="006109A7">
            <w:pPr>
              <w:jc w:val="center"/>
              <w:rPr>
                <w:rFonts w:ascii="Times New Roman" w:hAnsi="Times New Roman"/>
                <w:sz w:val="24"/>
                <w:szCs w:val="24"/>
              </w:rPr>
            </w:pPr>
            <w:r w:rsidRPr="002F6D2A">
              <w:rPr>
                <w:rFonts w:ascii="Segoe UI Symbol" w:hAnsi="Segoe UI Symbol" w:cs="Segoe UI Symbol"/>
                <w:b/>
                <w:sz w:val="24"/>
                <w:szCs w:val="24"/>
              </w:rPr>
              <w:t>☒</w:t>
            </w:r>
          </w:p>
        </w:tc>
        <w:tc>
          <w:tcPr>
            <w:tcW w:w="1297" w:type="dxa"/>
            <w:tcBorders>
              <w:left w:val="nil"/>
            </w:tcBorders>
          </w:tcPr>
          <w:p w:rsidR="003C289B" w:rsidRPr="002F6D2A" w:rsidRDefault="003C289B" w:rsidP="006109A7">
            <w:pPr>
              <w:ind w:left="54"/>
              <w:rPr>
                <w:rFonts w:ascii="Times New Roman" w:hAnsi="Times New Roman"/>
                <w:sz w:val="24"/>
                <w:szCs w:val="24"/>
              </w:rPr>
            </w:pPr>
            <w:r w:rsidRPr="002F6D2A">
              <w:rPr>
                <w:rFonts w:ascii="Times New Roman" w:hAnsi="Times New Roman"/>
                <w:sz w:val="24"/>
                <w:szCs w:val="24"/>
              </w:rPr>
              <w:t>Negatívne</w:t>
            </w:r>
          </w:p>
        </w:tc>
      </w:tr>
      <w:tr w:rsidR="003C289B" w:rsidRPr="002F6D2A" w:rsidTr="006109A7">
        <w:tc>
          <w:tcPr>
            <w:tcW w:w="3812" w:type="dxa"/>
            <w:tcBorders>
              <w:top w:val="single" w:sz="4" w:space="0" w:color="000000" w:themeColor="text1"/>
            </w:tcBorders>
            <w:shd w:val="clear" w:color="auto" w:fill="E2E2E2"/>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Sociálne vplyvy</w:t>
            </w:r>
          </w:p>
        </w:tc>
        <w:tc>
          <w:tcPr>
            <w:tcW w:w="541" w:type="dxa"/>
            <w:gridSpan w:val="2"/>
            <w:tcBorders>
              <w:right w:val="nil"/>
            </w:tcBorders>
          </w:tcPr>
          <w:p w:rsidR="003C289B" w:rsidRPr="002F6D2A" w:rsidRDefault="003C289B" w:rsidP="006109A7">
            <w:pPr>
              <w:jc w:val="center"/>
              <w:rPr>
                <w:rFonts w:ascii="Times New Roman" w:hAnsi="Times New Roman"/>
                <w:b/>
                <w:sz w:val="24"/>
                <w:szCs w:val="24"/>
              </w:rPr>
            </w:pPr>
            <w:r w:rsidRPr="002F6D2A">
              <w:rPr>
                <w:rFonts w:ascii="Segoe UI Symbol" w:eastAsia="MS Mincho" w:hAnsi="Segoe UI Symbol" w:cs="Segoe UI Symbol"/>
                <w:b/>
                <w:sz w:val="24"/>
                <w:szCs w:val="24"/>
              </w:rPr>
              <w:t>☐</w:t>
            </w:r>
          </w:p>
        </w:tc>
        <w:tc>
          <w:tcPr>
            <w:tcW w:w="1281" w:type="dxa"/>
            <w:gridSpan w:val="2"/>
            <w:tcBorders>
              <w:left w:val="nil"/>
              <w:right w:val="nil"/>
            </w:tcBorders>
          </w:tcPr>
          <w:p w:rsidR="003C289B" w:rsidRPr="002F6D2A" w:rsidRDefault="003C289B" w:rsidP="006109A7">
            <w:pPr>
              <w:ind w:right="-108"/>
              <w:rPr>
                <w:rFonts w:ascii="Times New Roman" w:hAnsi="Times New Roman"/>
                <w:b/>
                <w:sz w:val="24"/>
                <w:szCs w:val="24"/>
              </w:rPr>
            </w:pPr>
            <w:r w:rsidRPr="002F6D2A">
              <w:rPr>
                <w:rFonts w:ascii="Times New Roman" w:hAnsi="Times New Roman"/>
                <w:b/>
                <w:sz w:val="24"/>
                <w:szCs w:val="24"/>
              </w:rPr>
              <w:t>Pozitívne</w:t>
            </w:r>
          </w:p>
        </w:tc>
        <w:tc>
          <w:tcPr>
            <w:tcW w:w="569" w:type="dxa"/>
            <w:tcBorders>
              <w:left w:val="nil"/>
              <w:right w:val="nil"/>
            </w:tcBorders>
          </w:tcPr>
          <w:p w:rsidR="003C289B" w:rsidRPr="002F6D2A" w:rsidRDefault="00286491" w:rsidP="006109A7">
            <w:pPr>
              <w:jc w:val="center"/>
              <w:rPr>
                <w:rFonts w:ascii="Times New Roman" w:hAnsi="Times New Roman"/>
                <w:b/>
                <w:sz w:val="24"/>
                <w:szCs w:val="24"/>
              </w:rPr>
            </w:pPr>
            <w:r w:rsidRPr="002F6D2A">
              <w:rPr>
                <w:rFonts w:ascii="Segoe UI Symbol" w:hAnsi="Segoe UI Symbol" w:cs="Segoe UI Symbol"/>
                <w:b/>
                <w:sz w:val="24"/>
                <w:szCs w:val="24"/>
              </w:rPr>
              <w:t>☒</w:t>
            </w:r>
          </w:p>
        </w:tc>
        <w:tc>
          <w:tcPr>
            <w:tcW w:w="1133" w:type="dxa"/>
            <w:tcBorders>
              <w:left w:val="nil"/>
              <w:right w:val="nil"/>
            </w:tcBorders>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Žiadne</w:t>
            </w:r>
          </w:p>
        </w:tc>
        <w:tc>
          <w:tcPr>
            <w:tcW w:w="547" w:type="dxa"/>
            <w:gridSpan w:val="2"/>
            <w:tcBorders>
              <w:left w:val="nil"/>
              <w:right w:val="nil"/>
            </w:tcBorders>
          </w:tcPr>
          <w:p w:rsidR="003C289B" w:rsidRPr="002F6D2A" w:rsidRDefault="003C289B" w:rsidP="006109A7">
            <w:pPr>
              <w:jc w:val="center"/>
              <w:rPr>
                <w:rFonts w:ascii="Times New Roman" w:hAnsi="Times New Roman"/>
                <w:b/>
                <w:sz w:val="24"/>
                <w:szCs w:val="24"/>
              </w:rPr>
            </w:pPr>
            <w:r w:rsidRPr="002F6D2A">
              <w:rPr>
                <w:rFonts w:ascii="Segoe UI Symbol" w:eastAsia="MS Mincho" w:hAnsi="Segoe UI Symbol" w:cs="Segoe UI Symbol"/>
                <w:b/>
                <w:sz w:val="24"/>
                <w:szCs w:val="24"/>
              </w:rPr>
              <w:t>☐</w:t>
            </w:r>
          </w:p>
        </w:tc>
        <w:tc>
          <w:tcPr>
            <w:tcW w:w="1297" w:type="dxa"/>
            <w:tcBorders>
              <w:left w:val="nil"/>
            </w:tcBorders>
          </w:tcPr>
          <w:p w:rsidR="003C289B" w:rsidRPr="002F6D2A" w:rsidRDefault="003C289B" w:rsidP="006109A7">
            <w:pPr>
              <w:ind w:left="54"/>
              <w:rPr>
                <w:rFonts w:ascii="Times New Roman" w:hAnsi="Times New Roman"/>
                <w:b/>
                <w:sz w:val="24"/>
                <w:szCs w:val="24"/>
              </w:rPr>
            </w:pPr>
            <w:r w:rsidRPr="002F6D2A">
              <w:rPr>
                <w:rFonts w:ascii="Times New Roman" w:hAnsi="Times New Roman"/>
                <w:b/>
                <w:sz w:val="24"/>
                <w:szCs w:val="24"/>
              </w:rPr>
              <w:t>Negatívne</w:t>
            </w:r>
          </w:p>
        </w:tc>
      </w:tr>
      <w:tr w:rsidR="003C289B" w:rsidRPr="002F6D2A" w:rsidTr="006109A7">
        <w:tc>
          <w:tcPr>
            <w:tcW w:w="3812" w:type="dxa"/>
            <w:shd w:val="clear" w:color="auto" w:fill="E2E2E2"/>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Vplyvy na životné prostredie</w:t>
            </w:r>
          </w:p>
        </w:tc>
        <w:tc>
          <w:tcPr>
            <w:tcW w:w="541" w:type="dxa"/>
            <w:gridSpan w:val="2"/>
            <w:tcBorders>
              <w:right w:val="nil"/>
            </w:tcBorders>
          </w:tcPr>
          <w:p w:rsidR="003C289B" w:rsidRPr="002F6D2A" w:rsidRDefault="003C289B" w:rsidP="006109A7">
            <w:pPr>
              <w:jc w:val="center"/>
              <w:rPr>
                <w:rFonts w:ascii="Times New Roman" w:hAnsi="Times New Roman"/>
                <w:b/>
                <w:sz w:val="24"/>
                <w:szCs w:val="24"/>
              </w:rPr>
            </w:pPr>
            <w:r w:rsidRPr="002F6D2A">
              <w:rPr>
                <w:rFonts w:ascii="Segoe UI Symbol" w:eastAsia="MS Mincho" w:hAnsi="Segoe UI Symbol" w:cs="Segoe UI Symbol"/>
                <w:b/>
                <w:sz w:val="24"/>
                <w:szCs w:val="24"/>
              </w:rPr>
              <w:t>☐</w:t>
            </w:r>
          </w:p>
        </w:tc>
        <w:tc>
          <w:tcPr>
            <w:tcW w:w="1281" w:type="dxa"/>
            <w:gridSpan w:val="2"/>
            <w:tcBorders>
              <w:left w:val="nil"/>
              <w:right w:val="nil"/>
            </w:tcBorders>
          </w:tcPr>
          <w:p w:rsidR="003C289B" w:rsidRPr="002F6D2A" w:rsidRDefault="003C289B" w:rsidP="006109A7">
            <w:pPr>
              <w:ind w:right="-108"/>
              <w:rPr>
                <w:rFonts w:ascii="Times New Roman" w:hAnsi="Times New Roman"/>
                <w:b/>
                <w:sz w:val="24"/>
                <w:szCs w:val="24"/>
              </w:rPr>
            </w:pPr>
            <w:r w:rsidRPr="002F6D2A">
              <w:rPr>
                <w:rFonts w:ascii="Times New Roman" w:hAnsi="Times New Roman"/>
                <w:b/>
                <w:sz w:val="24"/>
                <w:szCs w:val="24"/>
              </w:rPr>
              <w:t>Pozitívne</w:t>
            </w:r>
          </w:p>
        </w:tc>
        <w:tc>
          <w:tcPr>
            <w:tcW w:w="569" w:type="dxa"/>
            <w:tcBorders>
              <w:left w:val="nil"/>
              <w:right w:val="nil"/>
            </w:tcBorders>
          </w:tcPr>
          <w:p w:rsidR="003C289B" w:rsidRPr="002F6D2A" w:rsidRDefault="00286491" w:rsidP="006109A7">
            <w:pPr>
              <w:jc w:val="center"/>
              <w:rPr>
                <w:rFonts w:ascii="Times New Roman" w:hAnsi="Times New Roman"/>
                <w:b/>
                <w:sz w:val="24"/>
                <w:szCs w:val="24"/>
              </w:rPr>
            </w:pPr>
            <w:r w:rsidRPr="002F6D2A">
              <w:rPr>
                <w:rFonts w:ascii="Segoe UI Symbol" w:hAnsi="Segoe UI Symbol" w:cs="Segoe UI Symbol"/>
                <w:b/>
                <w:sz w:val="24"/>
                <w:szCs w:val="24"/>
              </w:rPr>
              <w:t>☒</w:t>
            </w:r>
          </w:p>
        </w:tc>
        <w:tc>
          <w:tcPr>
            <w:tcW w:w="1133" w:type="dxa"/>
            <w:tcBorders>
              <w:left w:val="nil"/>
              <w:right w:val="nil"/>
            </w:tcBorders>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Žiadne</w:t>
            </w:r>
          </w:p>
        </w:tc>
        <w:tc>
          <w:tcPr>
            <w:tcW w:w="547" w:type="dxa"/>
            <w:gridSpan w:val="2"/>
            <w:tcBorders>
              <w:left w:val="nil"/>
              <w:right w:val="nil"/>
            </w:tcBorders>
          </w:tcPr>
          <w:p w:rsidR="003C289B" w:rsidRPr="002F6D2A" w:rsidRDefault="003C289B" w:rsidP="006109A7">
            <w:pPr>
              <w:jc w:val="center"/>
              <w:rPr>
                <w:rFonts w:ascii="Times New Roman" w:hAnsi="Times New Roman"/>
                <w:b/>
                <w:sz w:val="24"/>
                <w:szCs w:val="24"/>
              </w:rPr>
            </w:pPr>
            <w:r w:rsidRPr="002F6D2A">
              <w:rPr>
                <w:rFonts w:ascii="Segoe UI Symbol" w:eastAsia="MS Mincho" w:hAnsi="Segoe UI Symbol" w:cs="Segoe UI Symbol"/>
                <w:b/>
                <w:sz w:val="24"/>
                <w:szCs w:val="24"/>
              </w:rPr>
              <w:t>☐</w:t>
            </w:r>
          </w:p>
        </w:tc>
        <w:tc>
          <w:tcPr>
            <w:tcW w:w="1297" w:type="dxa"/>
            <w:tcBorders>
              <w:left w:val="nil"/>
            </w:tcBorders>
          </w:tcPr>
          <w:p w:rsidR="003C289B" w:rsidRPr="002F6D2A" w:rsidRDefault="003C289B" w:rsidP="006109A7">
            <w:pPr>
              <w:ind w:left="54"/>
              <w:rPr>
                <w:rFonts w:ascii="Times New Roman" w:hAnsi="Times New Roman"/>
                <w:b/>
                <w:sz w:val="24"/>
                <w:szCs w:val="24"/>
              </w:rPr>
            </w:pPr>
            <w:r w:rsidRPr="002F6D2A">
              <w:rPr>
                <w:rFonts w:ascii="Times New Roman" w:hAnsi="Times New Roman"/>
                <w:b/>
                <w:sz w:val="24"/>
                <w:szCs w:val="24"/>
              </w:rPr>
              <w:t>Negatívne</w:t>
            </w:r>
          </w:p>
        </w:tc>
      </w:tr>
      <w:tr w:rsidR="003C289B" w:rsidRPr="002F6D2A" w:rsidTr="006109A7">
        <w:tc>
          <w:tcPr>
            <w:tcW w:w="3812" w:type="dxa"/>
            <w:shd w:val="clear" w:color="auto" w:fill="E2E2E2"/>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Vplyvy na informatizáciu</w:t>
            </w:r>
          </w:p>
        </w:tc>
        <w:tc>
          <w:tcPr>
            <w:tcW w:w="541" w:type="dxa"/>
            <w:gridSpan w:val="2"/>
            <w:tcBorders>
              <w:right w:val="nil"/>
            </w:tcBorders>
          </w:tcPr>
          <w:p w:rsidR="003C289B" w:rsidRPr="002F6D2A" w:rsidRDefault="003C289B" w:rsidP="006109A7">
            <w:pPr>
              <w:jc w:val="center"/>
              <w:rPr>
                <w:rFonts w:ascii="Times New Roman" w:hAnsi="Times New Roman"/>
                <w:b/>
                <w:sz w:val="24"/>
                <w:szCs w:val="24"/>
              </w:rPr>
            </w:pPr>
            <w:r w:rsidRPr="002F6D2A">
              <w:rPr>
                <w:rFonts w:ascii="Segoe UI Symbol" w:eastAsia="MS Mincho" w:hAnsi="Segoe UI Symbol" w:cs="Segoe UI Symbol"/>
                <w:b/>
                <w:sz w:val="24"/>
                <w:szCs w:val="24"/>
              </w:rPr>
              <w:t>☐</w:t>
            </w:r>
          </w:p>
        </w:tc>
        <w:tc>
          <w:tcPr>
            <w:tcW w:w="1281" w:type="dxa"/>
            <w:gridSpan w:val="2"/>
            <w:tcBorders>
              <w:left w:val="nil"/>
              <w:right w:val="nil"/>
            </w:tcBorders>
          </w:tcPr>
          <w:p w:rsidR="003C289B" w:rsidRPr="002F6D2A" w:rsidRDefault="003C289B" w:rsidP="006109A7">
            <w:pPr>
              <w:ind w:right="-108"/>
              <w:rPr>
                <w:rFonts w:ascii="Times New Roman" w:hAnsi="Times New Roman"/>
                <w:b/>
                <w:sz w:val="24"/>
                <w:szCs w:val="24"/>
              </w:rPr>
            </w:pPr>
            <w:r w:rsidRPr="002F6D2A">
              <w:rPr>
                <w:rFonts w:ascii="Times New Roman" w:hAnsi="Times New Roman"/>
                <w:b/>
                <w:sz w:val="24"/>
                <w:szCs w:val="24"/>
              </w:rPr>
              <w:t>Pozitívne</w:t>
            </w:r>
          </w:p>
        </w:tc>
        <w:tc>
          <w:tcPr>
            <w:tcW w:w="569" w:type="dxa"/>
            <w:tcBorders>
              <w:left w:val="nil"/>
              <w:right w:val="nil"/>
            </w:tcBorders>
          </w:tcPr>
          <w:p w:rsidR="003C289B" w:rsidRPr="002F6D2A" w:rsidRDefault="00286491" w:rsidP="006109A7">
            <w:pPr>
              <w:jc w:val="center"/>
              <w:rPr>
                <w:rFonts w:ascii="Times New Roman" w:hAnsi="Times New Roman"/>
                <w:b/>
                <w:sz w:val="24"/>
                <w:szCs w:val="24"/>
              </w:rPr>
            </w:pPr>
            <w:r w:rsidRPr="002F6D2A">
              <w:rPr>
                <w:rFonts w:ascii="Segoe UI Symbol" w:hAnsi="Segoe UI Symbol" w:cs="Segoe UI Symbol"/>
                <w:b/>
                <w:sz w:val="24"/>
                <w:szCs w:val="24"/>
              </w:rPr>
              <w:t>☒</w:t>
            </w:r>
          </w:p>
        </w:tc>
        <w:tc>
          <w:tcPr>
            <w:tcW w:w="1133" w:type="dxa"/>
            <w:tcBorders>
              <w:left w:val="nil"/>
              <w:right w:val="nil"/>
            </w:tcBorders>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Žiadne</w:t>
            </w:r>
          </w:p>
        </w:tc>
        <w:tc>
          <w:tcPr>
            <w:tcW w:w="547" w:type="dxa"/>
            <w:gridSpan w:val="2"/>
            <w:tcBorders>
              <w:left w:val="nil"/>
              <w:right w:val="nil"/>
            </w:tcBorders>
          </w:tcPr>
          <w:p w:rsidR="003C289B" w:rsidRPr="002F6D2A" w:rsidRDefault="003C289B" w:rsidP="006109A7">
            <w:pPr>
              <w:jc w:val="center"/>
              <w:rPr>
                <w:rFonts w:ascii="Times New Roman" w:hAnsi="Times New Roman"/>
                <w:b/>
                <w:sz w:val="24"/>
                <w:szCs w:val="24"/>
              </w:rPr>
            </w:pPr>
            <w:r w:rsidRPr="002F6D2A">
              <w:rPr>
                <w:rFonts w:ascii="Segoe UI Symbol" w:eastAsia="MS Mincho" w:hAnsi="Segoe UI Symbol" w:cs="Segoe UI Symbol"/>
                <w:b/>
                <w:sz w:val="24"/>
                <w:szCs w:val="24"/>
              </w:rPr>
              <w:t>☐</w:t>
            </w:r>
          </w:p>
        </w:tc>
        <w:tc>
          <w:tcPr>
            <w:tcW w:w="1297" w:type="dxa"/>
            <w:tcBorders>
              <w:left w:val="nil"/>
            </w:tcBorders>
          </w:tcPr>
          <w:p w:rsidR="003C289B" w:rsidRPr="002F6D2A" w:rsidRDefault="003C289B" w:rsidP="006109A7">
            <w:pPr>
              <w:ind w:left="54"/>
              <w:rPr>
                <w:rFonts w:ascii="Times New Roman" w:hAnsi="Times New Roman"/>
                <w:b/>
                <w:sz w:val="24"/>
                <w:szCs w:val="24"/>
              </w:rPr>
            </w:pPr>
            <w:r w:rsidRPr="002F6D2A">
              <w:rPr>
                <w:rFonts w:ascii="Times New Roman" w:hAnsi="Times New Roman"/>
                <w:b/>
                <w:sz w:val="24"/>
                <w:szCs w:val="24"/>
              </w:rPr>
              <w:t>Negatívne</w:t>
            </w:r>
          </w:p>
        </w:tc>
      </w:tr>
    </w:tbl>
    <w:tbl>
      <w:tblPr>
        <w:tblW w:w="926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
        <w:gridCol w:w="3739"/>
        <w:gridCol w:w="73"/>
        <w:gridCol w:w="541"/>
        <w:gridCol w:w="1197"/>
        <w:gridCol w:w="84"/>
        <w:gridCol w:w="569"/>
        <w:gridCol w:w="1133"/>
        <w:gridCol w:w="25"/>
        <w:gridCol w:w="522"/>
        <w:gridCol w:w="1201"/>
        <w:gridCol w:w="96"/>
      </w:tblGrid>
      <w:tr w:rsidR="003C289B" w:rsidRPr="002F6D2A" w:rsidTr="00955F3E">
        <w:trPr>
          <w:gridBefore w:val="1"/>
          <w:wBefore w:w="87" w:type="dxa"/>
        </w:trPr>
        <w:tc>
          <w:tcPr>
            <w:tcW w:w="3812" w:type="dxa"/>
            <w:gridSpan w:val="2"/>
            <w:tcBorders>
              <w:bottom w:val="nil"/>
            </w:tcBorders>
            <w:shd w:val="clear" w:color="auto" w:fill="E2E2E2"/>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Vplyvy na služby verejnej správy pre občana, z toho</w:t>
            </w:r>
          </w:p>
        </w:tc>
        <w:tc>
          <w:tcPr>
            <w:tcW w:w="541" w:type="dxa"/>
            <w:tcBorders>
              <w:bottom w:val="nil"/>
              <w:right w:val="nil"/>
            </w:tcBorders>
          </w:tcPr>
          <w:p w:rsidR="003C289B" w:rsidRPr="002F6D2A" w:rsidRDefault="003C289B" w:rsidP="006109A7">
            <w:pPr>
              <w:jc w:val="center"/>
              <w:rPr>
                <w:rFonts w:ascii="Times New Roman" w:eastAsia="MS Mincho" w:hAnsi="Times New Roman"/>
                <w:b/>
                <w:sz w:val="24"/>
                <w:szCs w:val="24"/>
              </w:rPr>
            </w:pPr>
          </w:p>
        </w:tc>
        <w:tc>
          <w:tcPr>
            <w:tcW w:w="1281" w:type="dxa"/>
            <w:gridSpan w:val="2"/>
            <w:tcBorders>
              <w:left w:val="nil"/>
              <w:bottom w:val="nil"/>
              <w:right w:val="nil"/>
            </w:tcBorders>
          </w:tcPr>
          <w:p w:rsidR="003C289B" w:rsidRPr="002F6D2A" w:rsidRDefault="003C289B" w:rsidP="006109A7">
            <w:pPr>
              <w:ind w:right="-108"/>
              <w:rPr>
                <w:rFonts w:ascii="Times New Roman" w:hAnsi="Times New Roman"/>
                <w:b/>
                <w:sz w:val="24"/>
                <w:szCs w:val="24"/>
              </w:rPr>
            </w:pPr>
          </w:p>
        </w:tc>
        <w:tc>
          <w:tcPr>
            <w:tcW w:w="569" w:type="dxa"/>
            <w:tcBorders>
              <w:left w:val="nil"/>
              <w:bottom w:val="nil"/>
              <w:right w:val="nil"/>
            </w:tcBorders>
          </w:tcPr>
          <w:p w:rsidR="003C289B" w:rsidRPr="002F6D2A" w:rsidRDefault="003C289B" w:rsidP="006109A7">
            <w:pPr>
              <w:jc w:val="center"/>
              <w:rPr>
                <w:rFonts w:ascii="Times New Roman" w:eastAsia="MS Mincho" w:hAnsi="Times New Roman"/>
                <w:b/>
                <w:sz w:val="24"/>
                <w:szCs w:val="24"/>
              </w:rPr>
            </w:pPr>
          </w:p>
        </w:tc>
        <w:tc>
          <w:tcPr>
            <w:tcW w:w="1133" w:type="dxa"/>
            <w:tcBorders>
              <w:left w:val="nil"/>
              <w:bottom w:val="nil"/>
              <w:right w:val="nil"/>
            </w:tcBorders>
          </w:tcPr>
          <w:p w:rsidR="003C289B" w:rsidRPr="002F6D2A" w:rsidRDefault="003C289B" w:rsidP="006109A7">
            <w:pPr>
              <w:rPr>
                <w:rFonts w:ascii="Times New Roman" w:hAnsi="Times New Roman"/>
                <w:b/>
                <w:sz w:val="24"/>
                <w:szCs w:val="24"/>
              </w:rPr>
            </w:pPr>
          </w:p>
        </w:tc>
        <w:tc>
          <w:tcPr>
            <w:tcW w:w="547" w:type="dxa"/>
            <w:gridSpan w:val="2"/>
            <w:tcBorders>
              <w:left w:val="nil"/>
              <w:bottom w:val="nil"/>
              <w:right w:val="nil"/>
            </w:tcBorders>
          </w:tcPr>
          <w:p w:rsidR="003C289B" w:rsidRPr="002F6D2A" w:rsidRDefault="003C289B" w:rsidP="006109A7">
            <w:pPr>
              <w:jc w:val="center"/>
              <w:rPr>
                <w:rFonts w:ascii="Times New Roman" w:eastAsia="MS Mincho" w:hAnsi="Times New Roman"/>
                <w:b/>
                <w:sz w:val="24"/>
                <w:szCs w:val="24"/>
              </w:rPr>
            </w:pPr>
          </w:p>
        </w:tc>
        <w:tc>
          <w:tcPr>
            <w:tcW w:w="1297" w:type="dxa"/>
            <w:gridSpan w:val="2"/>
            <w:tcBorders>
              <w:left w:val="nil"/>
              <w:bottom w:val="nil"/>
            </w:tcBorders>
          </w:tcPr>
          <w:p w:rsidR="003C289B" w:rsidRPr="002F6D2A" w:rsidRDefault="003C289B" w:rsidP="006109A7">
            <w:pPr>
              <w:ind w:left="54"/>
              <w:rPr>
                <w:rFonts w:ascii="Times New Roman" w:hAnsi="Times New Roman"/>
                <w:b/>
                <w:sz w:val="24"/>
                <w:szCs w:val="24"/>
              </w:rPr>
            </w:pPr>
          </w:p>
        </w:tc>
      </w:tr>
      <w:tr w:rsidR="003C289B" w:rsidRPr="002F6D2A" w:rsidTr="00955F3E">
        <w:trPr>
          <w:gridBefore w:val="1"/>
          <w:wBefore w:w="87" w:type="dxa"/>
        </w:trPr>
        <w:tc>
          <w:tcPr>
            <w:tcW w:w="3812" w:type="dxa"/>
            <w:gridSpan w:val="2"/>
            <w:tcBorders>
              <w:top w:val="nil"/>
              <w:bottom w:val="nil"/>
            </w:tcBorders>
            <w:shd w:val="clear" w:color="auto" w:fill="E2E2E2"/>
          </w:tcPr>
          <w:p w:rsidR="003C289B" w:rsidRPr="002F6D2A" w:rsidRDefault="003C289B" w:rsidP="006109A7">
            <w:pPr>
              <w:ind w:left="196" w:hanging="196"/>
              <w:rPr>
                <w:rFonts w:ascii="Times New Roman" w:hAnsi="Times New Roman"/>
                <w:b/>
                <w:sz w:val="24"/>
                <w:szCs w:val="24"/>
              </w:rPr>
            </w:pPr>
            <w:r w:rsidRPr="002F6D2A">
              <w:rPr>
                <w:rFonts w:ascii="Times New Roman" w:hAnsi="Times New Roman"/>
                <w:b/>
                <w:sz w:val="24"/>
                <w:szCs w:val="24"/>
              </w:rPr>
              <w:t xml:space="preserve">    vplyvy služieb verejnej správy na občana</w:t>
            </w:r>
          </w:p>
        </w:tc>
        <w:tc>
          <w:tcPr>
            <w:tcW w:w="541" w:type="dxa"/>
            <w:tcBorders>
              <w:top w:val="nil"/>
              <w:bottom w:val="nil"/>
              <w:right w:val="nil"/>
            </w:tcBorders>
          </w:tcPr>
          <w:p w:rsidR="003C289B" w:rsidRPr="002F6D2A" w:rsidRDefault="003C289B" w:rsidP="006109A7">
            <w:pPr>
              <w:jc w:val="center"/>
              <w:rPr>
                <w:rFonts w:ascii="Times New Roman" w:eastAsia="MS Mincho" w:hAnsi="Times New Roman"/>
                <w:b/>
                <w:sz w:val="24"/>
                <w:szCs w:val="24"/>
              </w:rPr>
            </w:pPr>
            <w:r w:rsidRPr="002F6D2A">
              <w:rPr>
                <w:rFonts w:ascii="Segoe UI Symbol" w:eastAsia="MS Mincho" w:hAnsi="Segoe UI Symbol" w:cs="Segoe UI Symbol"/>
                <w:b/>
                <w:sz w:val="24"/>
                <w:szCs w:val="24"/>
              </w:rPr>
              <w:t>☐</w:t>
            </w:r>
          </w:p>
        </w:tc>
        <w:tc>
          <w:tcPr>
            <w:tcW w:w="1281" w:type="dxa"/>
            <w:gridSpan w:val="2"/>
            <w:tcBorders>
              <w:top w:val="nil"/>
              <w:left w:val="nil"/>
              <w:bottom w:val="nil"/>
              <w:right w:val="nil"/>
            </w:tcBorders>
          </w:tcPr>
          <w:p w:rsidR="003C289B" w:rsidRPr="002F6D2A" w:rsidRDefault="003C289B" w:rsidP="006109A7">
            <w:pPr>
              <w:ind w:right="-108"/>
              <w:rPr>
                <w:rFonts w:ascii="Times New Roman" w:hAnsi="Times New Roman"/>
                <w:b/>
                <w:sz w:val="24"/>
                <w:szCs w:val="24"/>
              </w:rPr>
            </w:pPr>
            <w:r w:rsidRPr="002F6D2A">
              <w:rPr>
                <w:rFonts w:ascii="Times New Roman" w:hAnsi="Times New Roman"/>
                <w:b/>
                <w:sz w:val="24"/>
                <w:szCs w:val="24"/>
              </w:rPr>
              <w:t>Pozitívne</w:t>
            </w:r>
          </w:p>
        </w:tc>
        <w:tc>
          <w:tcPr>
            <w:tcW w:w="569" w:type="dxa"/>
            <w:tcBorders>
              <w:top w:val="nil"/>
              <w:left w:val="nil"/>
              <w:bottom w:val="nil"/>
              <w:right w:val="nil"/>
            </w:tcBorders>
          </w:tcPr>
          <w:p w:rsidR="003C289B" w:rsidRPr="002F6D2A" w:rsidRDefault="00286491" w:rsidP="006109A7">
            <w:pPr>
              <w:jc w:val="center"/>
              <w:rPr>
                <w:rFonts w:ascii="Times New Roman" w:eastAsia="MS Mincho" w:hAnsi="Times New Roman"/>
                <w:b/>
                <w:sz w:val="24"/>
                <w:szCs w:val="24"/>
              </w:rPr>
            </w:pPr>
            <w:r w:rsidRPr="002F6D2A">
              <w:rPr>
                <w:rFonts w:ascii="Segoe UI Symbol" w:hAnsi="Segoe UI Symbol" w:cs="Segoe UI Symbol"/>
                <w:b/>
                <w:sz w:val="24"/>
                <w:szCs w:val="24"/>
              </w:rPr>
              <w:t>☒</w:t>
            </w:r>
          </w:p>
        </w:tc>
        <w:tc>
          <w:tcPr>
            <w:tcW w:w="1133" w:type="dxa"/>
            <w:tcBorders>
              <w:top w:val="nil"/>
              <w:left w:val="nil"/>
              <w:bottom w:val="nil"/>
              <w:right w:val="nil"/>
            </w:tcBorders>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Žiadne</w:t>
            </w:r>
          </w:p>
        </w:tc>
        <w:tc>
          <w:tcPr>
            <w:tcW w:w="547" w:type="dxa"/>
            <w:gridSpan w:val="2"/>
            <w:tcBorders>
              <w:top w:val="nil"/>
              <w:left w:val="nil"/>
              <w:bottom w:val="nil"/>
              <w:right w:val="nil"/>
            </w:tcBorders>
          </w:tcPr>
          <w:p w:rsidR="003C289B" w:rsidRPr="002F6D2A" w:rsidRDefault="003C289B" w:rsidP="006109A7">
            <w:pPr>
              <w:jc w:val="center"/>
              <w:rPr>
                <w:rFonts w:ascii="Times New Roman" w:eastAsia="MS Mincho" w:hAnsi="Times New Roman"/>
                <w:b/>
                <w:sz w:val="24"/>
                <w:szCs w:val="24"/>
              </w:rPr>
            </w:pPr>
            <w:r w:rsidRPr="002F6D2A">
              <w:rPr>
                <w:rFonts w:ascii="Segoe UI Symbol" w:eastAsia="MS Mincho" w:hAnsi="Segoe UI Symbol" w:cs="Segoe UI Symbol"/>
                <w:b/>
                <w:sz w:val="24"/>
                <w:szCs w:val="24"/>
              </w:rPr>
              <w:t>☐</w:t>
            </w:r>
          </w:p>
        </w:tc>
        <w:tc>
          <w:tcPr>
            <w:tcW w:w="1297" w:type="dxa"/>
            <w:gridSpan w:val="2"/>
            <w:tcBorders>
              <w:top w:val="nil"/>
              <w:left w:val="nil"/>
              <w:bottom w:val="nil"/>
            </w:tcBorders>
          </w:tcPr>
          <w:p w:rsidR="003C289B" w:rsidRPr="002F6D2A" w:rsidRDefault="003C289B" w:rsidP="006109A7">
            <w:pPr>
              <w:ind w:left="54"/>
              <w:rPr>
                <w:rFonts w:ascii="Times New Roman" w:hAnsi="Times New Roman"/>
                <w:b/>
                <w:sz w:val="24"/>
                <w:szCs w:val="24"/>
              </w:rPr>
            </w:pPr>
            <w:r w:rsidRPr="002F6D2A">
              <w:rPr>
                <w:rFonts w:ascii="Times New Roman" w:hAnsi="Times New Roman"/>
                <w:b/>
                <w:sz w:val="24"/>
                <w:szCs w:val="24"/>
              </w:rPr>
              <w:t>Negatívne“</w:t>
            </w:r>
          </w:p>
        </w:tc>
      </w:tr>
      <w:tr w:rsidR="003C289B" w:rsidRPr="002F6D2A" w:rsidTr="00955F3E">
        <w:trPr>
          <w:gridBefore w:val="1"/>
          <w:wBefore w:w="87" w:type="dxa"/>
        </w:trPr>
        <w:tc>
          <w:tcPr>
            <w:tcW w:w="3812" w:type="dxa"/>
            <w:gridSpan w:val="2"/>
            <w:tcBorders>
              <w:top w:val="nil"/>
            </w:tcBorders>
            <w:shd w:val="clear" w:color="auto" w:fill="E2E2E2"/>
          </w:tcPr>
          <w:p w:rsidR="003C289B" w:rsidRPr="002F6D2A" w:rsidRDefault="003C289B" w:rsidP="006109A7">
            <w:pPr>
              <w:ind w:left="168" w:hanging="168"/>
              <w:rPr>
                <w:rFonts w:ascii="Times New Roman" w:hAnsi="Times New Roman"/>
                <w:b/>
                <w:sz w:val="24"/>
                <w:szCs w:val="24"/>
              </w:rPr>
            </w:pPr>
            <w:r w:rsidRPr="002F6D2A">
              <w:rPr>
                <w:rFonts w:ascii="Times New Roman" w:hAnsi="Times New Roman"/>
                <w:b/>
                <w:sz w:val="24"/>
                <w:szCs w:val="24"/>
              </w:rPr>
              <w:t xml:space="preserve">    vplyvy na procesy služieb vo verejnej správe</w:t>
            </w:r>
          </w:p>
        </w:tc>
        <w:tc>
          <w:tcPr>
            <w:tcW w:w="541" w:type="dxa"/>
            <w:tcBorders>
              <w:top w:val="nil"/>
              <w:right w:val="nil"/>
            </w:tcBorders>
          </w:tcPr>
          <w:p w:rsidR="003C289B" w:rsidRPr="002F6D2A" w:rsidRDefault="003C289B" w:rsidP="006109A7">
            <w:pPr>
              <w:jc w:val="center"/>
              <w:rPr>
                <w:rFonts w:ascii="Times New Roman" w:eastAsia="MS Mincho" w:hAnsi="Times New Roman"/>
                <w:b/>
                <w:sz w:val="24"/>
                <w:szCs w:val="24"/>
              </w:rPr>
            </w:pPr>
            <w:r w:rsidRPr="002F6D2A">
              <w:rPr>
                <w:rFonts w:ascii="Segoe UI Symbol" w:eastAsia="MS Mincho" w:hAnsi="Segoe UI Symbol" w:cs="Segoe UI Symbol"/>
                <w:b/>
                <w:sz w:val="24"/>
                <w:szCs w:val="24"/>
              </w:rPr>
              <w:t>☐</w:t>
            </w:r>
          </w:p>
        </w:tc>
        <w:tc>
          <w:tcPr>
            <w:tcW w:w="1281" w:type="dxa"/>
            <w:gridSpan w:val="2"/>
            <w:tcBorders>
              <w:top w:val="nil"/>
              <w:left w:val="nil"/>
              <w:right w:val="nil"/>
            </w:tcBorders>
          </w:tcPr>
          <w:p w:rsidR="003C289B" w:rsidRPr="002F6D2A" w:rsidRDefault="003C289B" w:rsidP="006109A7">
            <w:pPr>
              <w:ind w:right="-108"/>
              <w:rPr>
                <w:rFonts w:ascii="Times New Roman" w:hAnsi="Times New Roman"/>
                <w:b/>
                <w:sz w:val="24"/>
                <w:szCs w:val="24"/>
              </w:rPr>
            </w:pPr>
            <w:r w:rsidRPr="002F6D2A">
              <w:rPr>
                <w:rFonts w:ascii="Times New Roman" w:hAnsi="Times New Roman"/>
                <w:b/>
                <w:sz w:val="24"/>
                <w:szCs w:val="24"/>
              </w:rPr>
              <w:t>Pozitívne</w:t>
            </w:r>
          </w:p>
        </w:tc>
        <w:tc>
          <w:tcPr>
            <w:tcW w:w="569" w:type="dxa"/>
            <w:tcBorders>
              <w:top w:val="nil"/>
              <w:left w:val="nil"/>
              <w:right w:val="nil"/>
            </w:tcBorders>
          </w:tcPr>
          <w:p w:rsidR="003C289B" w:rsidRPr="002F6D2A" w:rsidRDefault="00286491" w:rsidP="006109A7">
            <w:pPr>
              <w:jc w:val="center"/>
              <w:rPr>
                <w:rFonts w:ascii="Times New Roman" w:eastAsia="MS Mincho" w:hAnsi="Times New Roman"/>
                <w:b/>
                <w:sz w:val="24"/>
                <w:szCs w:val="24"/>
              </w:rPr>
            </w:pPr>
            <w:r w:rsidRPr="002F6D2A">
              <w:rPr>
                <w:rFonts w:ascii="Segoe UI Symbol" w:hAnsi="Segoe UI Symbol" w:cs="Segoe UI Symbol"/>
                <w:b/>
                <w:sz w:val="24"/>
                <w:szCs w:val="24"/>
              </w:rPr>
              <w:t>☒</w:t>
            </w:r>
          </w:p>
        </w:tc>
        <w:tc>
          <w:tcPr>
            <w:tcW w:w="1133" w:type="dxa"/>
            <w:tcBorders>
              <w:top w:val="nil"/>
              <w:left w:val="nil"/>
              <w:right w:val="nil"/>
            </w:tcBorders>
          </w:tcPr>
          <w:p w:rsidR="003C289B" w:rsidRPr="002F6D2A" w:rsidRDefault="003C289B" w:rsidP="006109A7">
            <w:pPr>
              <w:rPr>
                <w:rFonts w:ascii="Times New Roman" w:hAnsi="Times New Roman"/>
                <w:b/>
                <w:sz w:val="24"/>
                <w:szCs w:val="24"/>
              </w:rPr>
            </w:pPr>
            <w:r w:rsidRPr="002F6D2A">
              <w:rPr>
                <w:rFonts w:ascii="Times New Roman" w:hAnsi="Times New Roman"/>
                <w:b/>
                <w:sz w:val="24"/>
                <w:szCs w:val="24"/>
              </w:rPr>
              <w:t>Žiadne</w:t>
            </w:r>
          </w:p>
        </w:tc>
        <w:tc>
          <w:tcPr>
            <w:tcW w:w="547" w:type="dxa"/>
            <w:gridSpan w:val="2"/>
            <w:tcBorders>
              <w:top w:val="nil"/>
              <w:left w:val="nil"/>
              <w:right w:val="nil"/>
            </w:tcBorders>
          </w:tcPr>
          <w:p w:rsidR="003C289B" w:rsidRPr="002F6D2A" w:rsidRDefault="003C289B" w:rsidP="006109A7">
            <w:pPr>
              <w:jc w:val="center"/>
              <w:rPr>
                <w:rFonts w:ascii="Times New Roman" w:eastAsia="MS Mincho" w:hAnsi="Times New Roman"/>
                <w:b/>
                <w:sz w:val="24"/>
                <w:szCs w:val="24"/>
              </w:rPr>
            </w:pPr>
            <w:r w:rsidRPr="002F6D2A">
              <w:rPr>
                <w:rFonts w:ascii="Segoe UI Symbol" w:eastAsia="MS Mincho" w:hAnsi="Segoe UI Symbol" w:cs="Segoe UI Symbol"/>
                <w:b/>
                <w:sz w:val="24"/>
                <w:szCs w:val="24"/>
              </w:rPr>
              <w:t>☐</w:t>
            </w:r>
          </w:p>
        </w:tc>
        <w:tc>
          <w:tcPr>
            <w:tcW w:w="1297" w:type="dxa"/>
            <w:gridSpan w:val="2"/>
            <w:tcBorders>
              <w:top w:val="nil"/>
              <w:left w:val="nil"/>
            </w:tcBorders>
          </w:tcPr>
          <w:p w:rsidR="003C289B" w:rsidRPr="002F6D2A" w:rsidRDefault="003C289B" w:rsidP="006109A7">
            <w:pPr>
              <w:ind w:left="54"/>
              <w:rPr>
                <w:rFonts w:ascii="Times New Roman" w:hAnsi="Times New Roman"/>
                <w:b/>
                <w:sz w:val="24"/>
                <w:szCs w:val="24"/>
              </w:rPr>
            </w:pPr>
            <w:r w:rsidRPr="002F6D2A">
              <w:rPr>
                <w:rFonts w:ascii="Times New Roman" w:hAnsi="Times New Roman"/>
                <w:b/>
                <w:sz w:val="24"/>
                <w:szCs w:val="24"/>
              </w:rPr>
              <w:t>Negatívne“</w:t>
            </w:r>
          </w:p>
        </w:tc>
      </w:tr>
      <w:tr w:rsidR="00955F3E" w:rsidRPr="00955F3E" w:rsidTr="00955F3E">
        <w:tblPrEx>
          <w:jc w:val="center"/>
          <w:tblInd w:w="0" w:type="dxa"/>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left w:w="0" w:type="dxa"/>
            <w:right w:w="0" w:type="dxa"/>
          </w:tblCellMar>
        </w:tblPrEx>
        <w:trPr>
          <w:gridAfter w:val="1"/>
          <w:wAfter w:w="96" w:type="dxa"/>
          <w:trHeight w:val="270"/>
          <w:jc w:val="center"/>
        </w:trPr>
        <w:tc>
          <w:tcPr>
            <w:tcW w:w="3826" w:type="dxa"/>
            <w:gridSpan w:val="2"/>
            <w:tcBorders>
              <w:top w:val="outset" w:sz="6" w:space="0" w:color="000000"/>
              <w:bottom w:val="outset" w:sz="6" w:space="0" w:color="000000"/>
              <w:right w:val="outset" w:sz="6" w:space="0" w:color="000000"/>
            </w:tcBorders>
            <w:shd w:val="clear" w:color="auto" w:fill="E6E6E6"/>
            <w:vAlign w:val="center"/>
            <w:hideMark/>
          </w:tcPr>
          <w:p w:rsidR="00955F3E" w:rsidRPr="002F6D2A" w:rsidRDefault="00955F3E" w:rsidP="00BD4298">
            <w:pPr>
              <w:ind w:left="99"/>
              <w:rPr>
                <w:rFonts w:ascii="Times New Roman" w:hAnsi="Times New Roman"/>
                <w:sz w:val="24"/>
                <w:szCs w:val="24"/>
              </w:rPr>
            </w:pPr>
            <w:r w:rsidRPr="002F6D2A">
              <w:rPr>
                <w:rFonts w:ascii="Times New Roman" w:hAnsi="Times New Roman"/>
                <w:b/>
                <w:bCs/>
                <w:sz w:val="24"/>
                <w:szCs w:val="24"/>
              </w:rPr>
              <w:t>Vplyvy na manželstvo, rodičovstvo a rodinu</w:t>
            </w:r>
          </w:p>
        </w:tc>
        <w:tc>
          <w:tcPr>
            <w:tcW w:w="1811" w:type="dxa"/>
            <w:gridSpan w:val="3"/>
            <w:tcBorders>
              <w:top w:val="outset" w:sz="6" w:space="0" w:color="000000"/>
              <w:left w:val="outset" w:sz="6" w:space="0" w:color="000000"/>
              <w:bottom w:val="outset" w:sz="6" w:space="0" w:color="000000"/>
              <w:right w:val="outset" w:sz="6" w:space="0" w:color="000000"/>
            </w:tcBorders>
            <w:vAlign w:val="center"/>
            <w:hideMark/>
          </w:tcPr>
          <w:p w:rsidR="00955F3E" w:rsidRPr="002F6D2A" w:rsidRDefault="00955F3E" w:rsidP="00A64B01">
            <w:pPr>
              <w:rPr>
                <w:rFonts w:ascii="Times New Roman" w:hAnsi="Times New Roman"/>
                <w:b/>
                <w:sz w:val="24"/>
                <w:szCs w:val="24"/>
              </w:rPr>
            </w:pPr>
            <w:r w:rsidRPr="002F6D2A">
              <w:rPr>
                <w:rFonts w:ascii="Times New Roman" w:hAnsi="Times New Roman"/>
                <w:b/>
                <w:sz w:val="24"/>
                <w:szCs w:val="24"/>
              </w:rPr>
              <w:t> </w:t>
            </w:r>
            <w:r w:rsidRPr="002F6D2A">
              <w:rPr>
                <w:rFonts w:ascii="Segoe UI Symbol" w:eastAsia="MS Mincho" w:hAnsi="Segoe UI Symbol" w:cs="Segoe UI Symbol"/>
                <w:b/>
                <w:sz w:val="24"/>
                <w:szCs w:val="24"/>
              </w:rPr>
              <w:t>☐</w:t>
            </w:r>
            <w:r w:rsidRPr="002F6D2A">
              <w:rPr>
                <w:rFonts w:ascii="Times New Roman" w:hAnsi="Times New Roman"/>
                <w:b/>
                <w:sz w:val="24"/>
                <w:szCs w:val="24"/>
              </w:rPr>
              <w:t>  Pozitívne</w:t>
            </w:r>
          </w:p>
        </w:tc>
        <w:tc>
          <w:tcPr>
            <w:tcW w:w="1811" w:type="dxa"/>
            <w:gridSpan w:val="4"/>
            <w:tcBorders>
              <w:top w:val="outset" w:sz="6" w:space="0" w:color="000000"/>
              <w:left w:val="outset" w:sz="6" w:space="0" w:color="000000"/>
              <w:bottom w:val="outset" w:sz="6" w:space="0" w:color="000000"/>
              <w:right w:val="outset" w:sz="6" w:space="0" w:color="000000"/>
            </w:tcBorders>
            <w:vAlign w:val="center"/>
            <w:hideMark/>
          </w:tcPr>
          <w:p w:rsidR="00955F3E" w:rsidRPr="002F6D2A" w:rsidRDefault="00955F3E" w:rsidP="00A64B01">
            <w:pPr>
              <w:rPr>
                <w:rFonts w:ascii="Times New Roman" w:hAnsi="Times New Roman"/>
                <w:b/>
                <w:sz w:val="24"/>
                <w:szCs w:val="24"/>
              </w:rPr>
            </w:pPr>
            <w:r w:rsidRPr="002F6D2A">
              <w:rPr>
                <w:rFonts w:ascii="Times New Roman" w:hAnsi="Times New Roman"/>
                <w:b/>
                <w:sz w:val="24"/>
                <w:szCs w:val="24"/>
              </w:rPr>
              <w:t xml:space="preserve"> </w:t>
            </w:r>
            <w:r w:rsidRPr="002F6D2A">
              <w:rPr>
                <w:rFonts w:ascii="Segoe UI Symbol" w:hAnsi="Segoe UI Symbol" w:cs="Segoe UI Symbol"/>
                <w:b/>
                <w:sz w:val="24"/>
                <w:szCs w:val="24"/>
              </w:rPr>
              <w:t xml:space="preserve">☒      </w:t>
            </w:r>
            <w:r w:rsidRPr="002F6D2A">
              <w:rPr>
                <w:rFonts w:ascii="Times New Roman" w:hAnsi="Times New Roman"/>
                <w:b/>
                <w:sz w:val="24"/>
                <w:szCs w:val="24"/>
              </w:rPr>
              <w:t>Žiadne</w:t>
            </w:r>
          </w:p>
        </w:tc>
        <w:tc>
          <w:tcPr>
            <w:tcW w:w="1723" w:type="dxa"/>
            <w:gridSpan w:val="2"/>
            <w:tcBorders>
              <w:top w:val="outset" w:sz="6" w:space="0" w:color="000000"/>
              <w:left w:val="outset" w:sz="6" w:space="0" w:color="000000"/>
              <w:bottom w:val="outset" w:sz="6" w:space="0" w:color="000000"/>
            </w:tcBorders>
            <w:vAlign w:val="center"/>
            <w:hideMark/>
          </w:tcPr>
          <w:p w:rsidR="00955F3E" w:rsidRPr="00955F3E" w:rsidRDefault="00955F3E" w:rsidP="00A64B01">
            <w:pPr>
              <w:rPr>
                <w:rFonts w:ascii="Times New Roman" w:hAnsi="Times New Roman"/>
                <w:b/>
                <w:sz w:val="24"/>
                <w:szCs w:val="24"/>
              </w:rPr>
            </w:pPr>
            <w:r w:rsidRPr="002F6D2A">
              <w:rPr>
                <w:rFonts w:ascii="Times New Roman" w:hAnsi="Times New Roman"/>
                <w:b/>
                <w:sz w:val="24"/>
                <w:szCs w:val="24"/>
              </w:rPr>
              <w:t> </w:t>
            </w:r>
            <w:r w:rsidRPr="002F6D2A">
              <w:rPr>
                <w:rFonts w:ascii="Segoe UI Symbol" w:eastAsia="MS Mincho" w:hAnsi="Segoe UI Symbol" w:cs="Segoe UI Symbol"/>
                <w:b/>
                <w:sz w:val="24"/>
                <w:szCs w:val="24"/>
              </w:rPr>
              <w:t>☐</w:t>
            </w:r>
            <w:r w:rsidRPr="002F6D2A">
              <w:rPr>
                <w:rFonts w:ascii="Times New Roman" w:hAnsi="Times New Roman"/>
                <w:b/>
                <w:sz w:val="24"/>
                <w:szCs w:val="24"/>
              </w:rPr>
              <w:t xml:space="preserve">   Negatívne</w:t>
            </w:r>
          </w:p>
        </w:tc>
      </w:tr>
    </w:tbl>
    <w:tbl>
      <w:tblPr>
        <w:tblStyle w:val="Mriekatabuky"/>
        <w:tblW w:w="9176" w:type="dxa"/>
        <w:tblLayout w:type="fixed"/>
        <w:tblLook w:val="04A0" w:firstRow="1" w:lastRow="0" w:firstColumn="1" w:lastColumn="0" w:noHBand="0" w:noVBand="1"/>
      </w:tblPr>
      <w:tblGrid>
        <w:gridCol w:w="9176"/>
      </w:tblGrid>
      <w:tr w:rsidR="003C289B" w:rsidRPr="003C289B" w:rsidTr="006109A7">
        <w:tc>
          <w:tcPr>
            <w:tcW w:w="9176" w:type="dxa"/>
            <w:tcBorders>
              <w:bottom w:val="nil"/>
            </w:tcBorders>
            <w:shd w:val="clear" w:color="auto" w:fill="E2E2E2"/>
          </w:tcPr>
          <w:p w:rsidR="003C289B" w:rsidRPr="003C289B" w:rsidRDefault="003C289B" w:rsidP="003C289B">
            <w:pPr>
              <w:pStyle w:val="Odsekzoznamu"/>
              <w:numPr>
                <w:ilvl w:val="0"/>
                <w:numId w:val="5"/>
              </w:numPr>
              <w:ind w:left="426"/>
              <w:rPr>
                <w:rFonts w:ascii="Times New Roman" w:hAnsi="Times New Roman"/>
                <w:b/>
              </w:rPr>
            </w:pPr>
            <w:r w:rsidRPr="003C289B">
              <w:rPr>
                <w:rFonts w:ascii="Times New Roman" w:hAnsi="Times New Roman"/>
                <w:b/>
              </w:rPr>
              <w:t>Poznámky</w:t>
            </w:r>
          </w:p>
        </w:tc>
      </w:tr>
      <w:tr w:rsidR="003C289B" w:rsidRPr="003C289B" w:rsidTr="003C289B">
        <w:trPr>
          <w:trHeight w:val="393"/>
        </w:trPr>
        <w:tc>
          <w:tcPr>
            <w:tcW w:w="9176" w:type="dxa"/>
            <w:tcBorders>
              <w:top w:val="nil"/>
              <w:bottom w:val="single" w:sz="4" w:space="0" w:color="FFFFFF" w:themeColor="background1"/>
            </w:tcBorders>
          </w:tcPr>
          <w:p w:rsidR="00D44C08" w:rsidRPr="00186E74" w:rsidRDefault="009B0F8E" w:rsidP="00EA1976">
            <w:pPr>
              <w:jc w:val="both"/>
              <w:rPr>
                <w:rFonts w:ascii="Times New Roman" w:hAnsi="Times New Roman"/>
                <w:sz w:val="20"/>
                <w:szCs w:val="24"/>
              </w:rPr>
            </w:pPr>
            <w:r w:rsidRPr="00186E74">
              <w:rPr>
                <w:rFonts w:ascii="Times New Roman" w:hAnsi="Times New Roman"/>
                <w:sz w:val="20"/>
                <w:szCs w:val="24"/>
              </w:rPr>
              <w:t xml:space="preserve">Verejnosť bola o príprave návrhu </w:t>
            </w:r>
            <w:r w:rsidR="00286491" w:rsidRPr="00186E74">
              <w:rPr>
                <w:rFonts w:ascii="Times New Roman" w:hAnsi="Times New Roman"/>
                <w:sz w:val="20"/>
                <w:szCs w:val="24"/>
              </w:rPr>
              <w:t xml:space="preserve">zákona </w:t>
            </w:r>
            <w:r w:rsidRPr="00186E74">
              <w:rPr>
                <w:rFonts w:ascii="Times New Roman" w:hAnsi="Times New Roman"/>
                <w:sz w:val="20"/>
                <w:szCs w:val="24"/>
              </w:rPr>
              <w:t>informovaná prostredníctvom predbežnej informácie zverejnenej v informačnom systéme verejnej správy Slov-Lex (</w:t>
            </w:r>
            <w:r w:rsidR="00286491" w:rsidRPr="00186E74">
              <w:rPr>
                <w:rFonts w:ascii="Times New Roman" w:hAnsi="Times New Roman"/>
                <w:sz w:val="20"/>
                <w:szCs w:val="24"/>
              </w:rPr>
              <w:t>PI/2017/219</w:t>
            </w:r>
            <w:r w:rsidRPr="00186E74">
              <w:rPr>
                <w:rFonts w:ascii="Times New Roman" w:hAnsi="Times New Roman"/>
                <w:sz w:val="20"/>
                <w:szCs w:val="24"/>
              </w:rPr>
              <w:t xml:space="preserve">) od </w:t>
            </w:r>
            <w:r w:rsidR="00286491" w:rsidRPr="00186E74">
              <w:rPr>
                <w:rFonts w:ascii="Times New Roman" w:hAnsi="Times New Roman"/>
                <w:sz w:val="20"/>
                <w:szCs w:val="24"/>
              </w:rPr>
              <w:t>02. októbra 2017 do 13. októbra 2017</w:t>
            </w:r>
            <w:r w:rsidRPr="00186E74">
              <w:rPr>
                <w:rFonts w:ascii="Times New Roman" w:hAnsi="Times New Roman"/>
                <w:sz w:val="20"/>
                <w:szCs w:val="24"/>
              </w:rPr>
              <w:t>.</w:t>
            </w:r>
          </w:p>
          <w:p w:rsidR="009B0F8E" w:rsidRPr="00186E74" w:rsidRDefault="00D44C08" w:rsidP="00286491">
            <w:pPr>
              <w:jc w:val="both"/>
              <w:rPr>
                <w:rFonts w:ascii="Times New Roman" w:hAnsi="Times New Roman"/>
                <w:sz w:val="20"/>
                <w:szCs w:val="24"/>
              </w:rPr>
            </w:pPr>
            <w:r w:rsidRPr="00186E74">
              <w:rPr>
                <w:rFonts w:ascii="Times New Roman" w:hAnsi="Times New Roman"/>
                <w:sz w:val="20"/>
                <w:szCs w:val="24"/>
              </w:rPr>
              <w:t>K predbežnej informácii sa prostrední</w:t>
            </w:r>
            <w:r w:rsidR="00286491" w:rsidRPr="00186E74">
              <w:rPr>
                <w:rFonts w:ascii="Times New Roman" w:hAnsi="Times New Roman"/>
                <w:sz w:val="20"/>
                <w:szCs w:val="24"/>
              </w:rPr>
              <w:t>ctvom systému Slov-Lex vyjadril</w:t>
            </w:r>
            <w:r w:rsidRPr="00186E74">
              <w:rPr>
                <w:rFonts w:ascii="Times New Roman" w:hAnsi="Times New Roman"/>
                <w:sz w:val="20"/>
                <w:szCs w:val="24"/>
              </w:rPr>
              <w:t xml:space="preserve"> </w:t>
            </w:r>
            <w:r w:rsidR="002C4A6F" w:rsidRPr="00186E74">
              <w:rPr>
                <w:rFonts w:ascii="Times New Roman" w:hAnsi="Times New Roman"/>
                <w:sz w:val="20"/>
                <w:szCs w:val="24"/>
              </w:rPr>
              <w:t xml:space="preserve">Slovenský plynárenský priemysel </w:t>
            </w:r>
            <w:r w:rsidR="00286491" w:rsidRPr="00186E74">
              <w:rPr>
                <w:rFonts w:ascii="Times New Roman" w:hAnsi="Times New Roman"/>
                <w:sz w:val="20"/>
                <w:szCs w:val="24"/>
              </w:rPr>
              <w:t>a.</w:t>
            </w:r>
            <w:r w:rsidR="00BD4298" w:rsidRPr="00186E74">
              <w:rPr>
                <w:rFonts w:ascii="Times New Roman" w:hAnsi="Times New Roman"/>
                <w:sz w:val="20"/>
                <w:szCs w:val="24"/>
              </w:rPr>
              <w:t xml:space="preserve"> </w:t>
            </w:r>
            <w:r w:rsidR="00286491" w:rsidRPr="00186E74">
              <w:rPr>
                <w:rFonts w:ascii="Times New Roman" w:hAnsi="Times New Roman"/>
                <w:sz w:val="20"/>
                <w:szCs w:val="24"/>
              </w:rPr>
              <w:t>s., Republiková únia zamestnávateľov a Asociácia zamestnávateľských zväzov a združení Slovenskej republiky.</w:t>
            </w:r>
          </w:p>
          <w:p w:rsidR="00AA0FB0" w:rsidRPr="00186E74" w:rsidRDefault="00AA0FB0" w:rsidP="00286491">
            <w:pPr>
              <w:jc w:val="both"/>
              <w:rPr>
                <w:rFonts w:ascii="Times New Roman" w:hAnsi="Times New Roman"/>
                <w:b/>
                <w:sz w:val="20"/>
                <w:szCs w:val="24"/>
              </w:rPr>
            </w:pPr>
          </w:p>
          <w:p w:rsidR="00763513" w:rsidRPr="00186E74" w:rsidRDefault="008C6E6D" w:rsidP="00286491">
            <w:pPr>
              <w:jc w:val="both"/>
              <w:rPr>
                <w:rFonts w:ascii="Times New Roman" w:hAnsi="Times New Roman"/>
                <w:b/>
                <w:sz w:val="20"/>
                <w:szCs w:val="24"/>
              </w:rPr>
            </w:pPr>
            <w:r w:rsidRPr="00186E74">
              <w:rPr>
                <w:rFonts w:ascii="Times New Roman" w:hAnsi="Times New Roman"/>
                <w:b/>
                <w:sz w:val="20"/>
                <w:szCs w:val="24"/>
              </w:rPr>
              <w:t>K vplyvom na rozpočet verejnej správy</w:t>
            </w:r>
          </w:p>
          <w:p w:rsidR="00763513" w:rsidRPr="00186E74" w:rsidRDefault="008C6E6D" w:rsidP="008C6E6D">
            <w:pPr>
              <w:jc w:val="both"/>
              <w:rPr>
                <w:rFonts w:ascii="Times New Roman" w:hAnsi="Times New Roman"/>
                <w:sz w:val="20"/>
              </w:rPr>
            </w:pPr>
            <w:r w:rsidRPr="00186E74">
              <w:rPr>
                <w:rFonts w:ascii="Times New Roman" w:hAnsi="Times New Roman"/>
                <w:sz w:val="20"/>
              </w:rPr>
              <w:t>Návrh zákona nebude mať v zmysle vyjadrenia Sekcie štátneho výkazníctva, odboru štátnych podnikov a špecifických operácií štátu</w:t>
            </w:r>
            <w:r w:rsidR="00725EAF">
              <w:rPr>
                <w:rFonts w:ascii="Times New Roman" w:hAnsi="Times New Roman"/>
                <w:sz w:val="20"/>
              </w:rPr>
              <w:t xml:space="preserve"> MF SR</w:t>
            </w:r>
            <w:r w:rsidRPr="00186E74">
              <w:rPr>
                <w:rFonts w:ascii="Times New Roman" w:hAnsi="Times New Roman"/>
                <w:sz w:val="20"/>
              </w:rPr>
              <w:t xml:space="preserve"> žiadny vplyv na dotknuté podniky štátnej správy, pokiaľ ide o odvod dividend do štátneho rozpočtu.</w:t>
            </w:r>
          </w:p>
          <w:p w:rsidR="008C6E6D" w:rsidRPr="00186E74" w:rsidRDefault="008C6E6D" w:rsidP="008C6E6D">
            <w:pPr>
              <w:jc w:val="both"/>
              <w:rPr>
                <w:rFonts w:ascii="Times New Roman" w:hAnsi="Times New Roman"/>
                <w:sz w:val="20"/>
              </w:rPr>
            </w:pPr>
          </w:p>
          <w:p w:rsidR="008C6E6D" w:rsidRPr="00186E74" w:rsidRDefault="008C6E6D" w:rsidP="008C6E6D">
            <w:pPr>
              <w:jc w:val="both"/>
              <w:rPr>
                <w:rFonts w:ascii="Times New Roman" w:hAnsi="Times New Roman"/>
                <w:sz w:val="20"/>
              </w:rPr>
            </w:pPr>
            <w:r w:rsidRPr="00186E74">
              <w:rPr>
                <w:rFonts w:ascii="Times New Roman" w:hAnsi="Times New Roman"/>
                <w:sz w:val="20"/>
              </w:rPr>
              <w:t>Zavedením nových správnych deliktov je možné predpokladať pozitívny vplyv na rozpočet verejnej správy, ktorý však v súčasnosti nie je možné kvantifikovať.</w:t>
            </w:r>
          </w:p>
          <w:p w:rsidR="00EB6516" w:rsidRPr="00186E74" w:rsidRDefault="008C6E6D" w:rsidP="00EB6516">
            <w:pPr>
              <w:jc w:val="both"/>
              <w:rPr>
                <w:rFonts w:ascii="Times New Roman" w:hAnsi="Times New Roman"/>
                <w:b/>
                <w:sz w:val="20"/>
                <w:szCs w:val="24"/>
              </w:rPr>
            </w:pPr>
            <w:r w:rsidRPr="00186E74">
              <w:rPr>
                <w:rFonts w:ascii="Times New Roman" w:hAnsi="Times New Roman"/>
                <w:sz w:val="20"/>
              </w:rPr>
              <w:t>Návrh zákona bude mať vplyv aj na zmenu informačných systémov finančnej správy, z toho dôvodu bude mať návrh zákona negatívny vplyv na rozpočet verejnej správy. Výdavky nie sú v rámci schváleného rozpočtu kapitoly MF SR rozpočtované</w:t>
            </w:r>
            <w:r w:rsidR="002B79CE">
              <w:rPr>
                <w:rFonts w:ascii="Times New Roman" w:hAnsi="Times New Roman"/>
                <w:sz w:val="20"/>
              </w:rPr>
              <w:t xml:space="preserve"> v plnej výške</w:t>
            </w:r>
            <w:r w:rsidRPr="00186E74">
              <w:rPr>
                <w:rFonts w:ascii="Times New Roman" w:hAnsi="Times New Roman"/>
                <w:sz w:val="20"/>
              </w:rPr>
              <w:t>, t. j. ide o</w:t>
            </w:r>
            <w:r w:rsidR="002B79CE">
              <w:rPr>
                <w:rFonts w:ascii="Times New Roman" w:hAnsi="Times New Roman"/>
                <w:sz w:val="20"/>
              </w:rPr>
              <w:t xml:space="preserve"> čiastočne </w:t>
            </w:r>
            <w:r w:rsidRPr="00186E74">
              <w:rPr>
                <w:rFonts w:ascii="Times New Roman" w:hAnsi="Times New Roman"/>
                <w:sz w:val="20"/>
              </w:rPr>
              <w:t>rozpočtovo nekrytý vplyv.</w:t>
            </w:r>
            <w:r w:rsidR="00EB6516" w:rsidRPr="00186E74">
              <w:rPr>
                <w:rFonts w:ascii="Times New Roman" w:hAnsi="Times New Roman"/>
                <w:b/>
                <w:sz w:val="20"/>
                <w:szCs w:val="24"/>
              </w:rPr>
              <w:t xml:space="preserve"> </w:t>
            </w:r>
          </w:p>
          <w:p w:rsidR="00EB6516" w:rsidRDefault="00EB6516" w:rsidP="00EB6516">
            <w:pPr>
              <w:jc w:val="both"/>
              <w:rPr>
                <w:rFonts w:ascii="Times New Roman" w:hAnsi="Times New Roman"/>
                <w:b/>
                <w:sz w:val="24"/>
                <w:szCs w:val="24"/>
              </w:rPr>
            </w:pPr>
          </w:p>
          <w:p w:rsidR="00EB6516" w:rsidRPr="00186E74" w:rsidRDefault="00EB6516" w:rsidP="00EB6516">
            <w:pPr>
              <w:jc w:val="both"/>
              <w:rPr>
                <w:rFonts w:ascii="Times New Roman" w:hAnsi="Times New Roman"/>
                <w:b/>
                <w:sz w:val="20"/>
                <w:szCs w:val="20"/>
              </w:rPr>
            </w:pPr>
            <w:r w:rsidRPr="00186E74">
              <w:rPr>
                <w:rFonts w:ascii="Times New Roman" w:hAnsi="Times New Roman"/>
                <w:b/>
                <w:sz w:val="20"/>
                <w:szCs w:val="20"/>
              </w:rPr>
              <w:t>K vplyvom na podnikateľské prostredie</w:t>
            </w:r>
          </w:p>
          <w:p w:rsidR="00EB6516" w:rsidRPr="00186E74" w:rsidRDefault="00EB6516" w:rsidP="00EB6516">
            <w:pPr>
              <w:jc w:val="both"/>
              <w:rPr>
                <w:rFonts w:ascii="Times New Roman" w:hAnsi="Times New Roman"/>
                <w:sz w:val="20"/>
                <w:szCs w:val="20"/>
              </w:rPr>
            </w:pPr>
            <w:r w:rsidRPr="00186E74">
              <w:rPr>
                <w:rFonts w:ascii="Times New Roman" w:hAnsi="Times New Roman"/>
                <w:sz w:val="20"/>
                <w:szCs w:val="20"/>
              </w:rPr>
              <w:t xml:space="preserve">Cieľom predkladaného návrhu zákona je najmä eliminácia daňových únikov na spotrebnej dani z elektriny, uhlia a zemného plynu a zvýšenie právnej istoty ekonomických subjektov, ako i správcu dane. </w:t>
            </w:r>
          </w:p>
          <w:p w:rsidR="00EB6516" w:rsidRPr="00186E74" w:rsidRDefault="00EB6516" w:rsidP="00EB6516">
            <w:pPr>
              <w:jc w:val="both"/>
              <w:rPr>
                <w:rFonts w:ascii="Times New Roman" w:hAnsi="Times New Roman"/>
                <w:sz w:val="20"/>
                <w:szCs w:val="20"/>
              </w:rPr>
            </w:pPr>
            <w:r w:rsidRPr="00186E74">
              <w:rPr>
                <w:rFonts w:ascii="Times New Roman" w:hAnsi="Times New Roman"/>
                <w:sz w:val="20"/>
                <w:szCs w:val="20"/>
              </w:rPr>
              <w:t xml:space="preserve">V záujme uvedeného predkladateľ najmä mení, dopĺňa a aktualizuje  definície základných pojmov, zavádza osobitné ustanovenia pre nabíjacie stanice na nabíjanie elektrických vozidiel, alebo zavádza oslobodenie od spotrebnej dane z uhlia pri technicky odôvodnených stratách. </w:t>
            </w:r>
          </w:p>
          <w:p w:rsidR="00EB6516" w:rsidRPr="00186E74" w:rsidRDefault="00EB6516" w:rsidP="00EB6516">
            <w:pPr>
              <w:jc w:val="both"/>
              <w:rPr>
                <w:rFonts w:ascii="Times New Roman" w:hAnsi="Times New Roman"/>
                <w:sz w:val="20"/>
                <w:szCs w:val="20"/>
              </w:rPr>
            </w:pPr>
            <w:r w:rsidRPr="00186E74">
              <w:rPr>
                <w:rFonts w:ascii="Times New Roman" w:hAnsi="Times New Roman"/>
                <w:sz w:val="20"/>
                <w:szCs w:val="20"/>
              </w:rPr>
              <w:t xml:space="preserve">Je možné očakávať ako pozitívne, tak i negatívne dopady na podnikateľské subjekty, a to všetkých kategórií podnikov. </w:t>
            </w:r>
          </w:p>
          <w:p w:rsidR="008C6E6D" w:rsidRPr="00186E74" w:rsidRDefault="00EB6516" w:rsidP="00EB6516">
            <w:pPr>
              <w:jc w:val="both"/>
              <w:rPr>
                <w:rFonts w:ascii="Times New Roman" w:hAnsi="Times New Roman"/>
                <w:sz w:val="20"/>
                <w:szCs w:val="20"/>
              </w:rPr>
            </w:pPr>
            <w:r w:rsidRPr="00186E74">
              <w:rPr>
                <w:rFonts w:ascii="Times New Roman" w:hAnsi="Times New Roman"/>
                <w:sz w:val="20"/>
                <w:szCs w:val="20"/>
              </w:rPr>
              <w:t>Negatívnym dopadom môže byť napr. potreba registrácie nových subjekt</w:t>
            </w:r>
            <w:r w:rsidR="00725EAF">
              <w:rPr>
                <w:rFonts w:ascii="Times New Roman" w:hAnsi="Times New Roman"/>
                <w:sz w:val="20"/>
                <w:szCs w:val="20"/>
              </w:rPr>
              <w:t xml:space="preserve">ov na spotrebnú daň z elektriny. </w:t>
            </w:r>
            <w:r w:rsidRPr="00186E74">
              <w:rPr>
                <w:rFonts w:ascii="Times New Roman" w:hAnsi="Times New Roman"/>
                <w:sz w:val="20"/>
                <w:szCs w:val="20"/>
              </w:rPr>
              <w:t xml:space="preserve">Medzi pozitívne vplyvy patrí zvýšenie právnej istoty pre podnikateľov, ktorí prevádzkujú nabíjacie stanice na </w:t>
            </w:r>
            <w:r w:rsidRPr="00186E74">
              <w:rPr>
                <w:rFonts w:ascii="Times New Roman" w:hAnsi="Times New Roman"/>
                <w:sz w:val="20"/>
                <w:szCs w:val="20"/>
              </w:rPr>
              <w:lastRenderedPageBreak/>
              <w:t>nabíjanie elektrických vozidiel, pričom systém je nastavený tak, že im bude elektrina dodávaná zdanená, teda abstrahuje sa od povinnosti registrácie a v tomto prípade vystupujú ako koneční spotrebitelia elektriny. Rovnako pozitívnym vplyvom môže byť napríklad zavedenie oslobodenia od spotrebnej dane u uhlia pri technicky odôvodnených stratách.</w:t>
            </w:r>
          </w:p>
          <w:p w:rsidR="00EB6516" w:rsidRPr="00186E74" w:rsidRDefault="00EB6516" w:rsidP="00EB6516">
            <w:pPr>
              <w:jc w:val="both"/>
              <w:rPr>
                <w:rFonts w:ascii="Times New Roman" w:hAnsi="Times New Roman"/>
                <w:sz w:val="20"/>
                <w:szCs w:val="20"/>
              </w:rPr>
            </w:pPr>
          </w:p>
          <w:p w:rsidR="00EB6516" w:rsidRPr="00186E74" w:rsidRDefault="00EB6516" w:rsidP="00EB6516">
            <w:pPr>
              <w:jc w:val="both"/>
              <w:rPr>
                <w:rFonts w:ascii="Times New Roman" w:hAnsi="Times New Roman"/>
                <w:b/>
                <w:sz w:val="20"/>
                <w:szCs w:val="20"/>
              </w:rPr>
            </w:pPr>
            <w:r w:rsidRPr="00186E74">
              <w:rPr>
                <w:rFonts w:ascii="Times New Roman" w:hAnsi="Times New Roman"/>
                <w:b/>
                <w:sz w:val="20"/>
                <w:szCs w:val="20"/>
              </w:rPr>
              <w:t>K sociálnym vplyvom</w:t>
            </w:r>
          </w:p>
          <w:p w:rsidR="00EB6516" w:rsidRPr="00186E74" w:rsidRDefault="00EB6516" w:rsidP="00EB6516">
            <w:pPr>
              <w:jc w:val="both"/>
              <w:rPr>
                <w:rFonts w:ascii="Times New Roman" w:hAnsi="Times New Roman"/>
                <w:sz w:val="20"/>
                <w:szCs w:val="20"/>
              </w:rPr>
            </w:pPr>
            <w:r w:rsidRPr="00186E74">
              <w:rPr>
                <w:rFonts w:ascii="Times New Roman" w:hAnsi="Times New Roman"/>
                <w:sz w:val="20"/>
                <w:szCs w:val="20"/>
              </w:rPr>
              <w:t>Predkladateľ považuje tieto vplyvy za marginálne.</w:t>
            </w:r>
          </w:p>
          <w:p w:rsidR="00EB6516" w:rsidRPr="00186E74" w:rsidRDefault="00EB6516" w:rsidP="00EB6516">
            <w:pPr>
              <w:jc w:val="both"/>
              <w:rPr>
                <w:rFonts w:ascii="Times New Roman" w:hAnsi="Times New Roman"/>
                <w:sz w:val="20"/>
                <w:szCs w:val="20"/>
              </w:rPr>
            </w:pPr>
          </w:p>
          <w:p w:rsidR="00EB6516" w:rsidRPr="00186E74" w:rsidRDefault="00EB6516" w:rsidP="00EB6516">
            <w:pPr>
              <w:jc w:val="both"/>
              <w:rPr>
                <w:rFonts w:ascii="Times New Roman" w:hAnsi="Times New Roman"/>
                <w:b/>
                <w:sz w:val="20"/>
                <w:szCs w:val="20"/>
              </w:rPr>
            </w:pPr>
            <w:r w:rsidRPr="00186E74">
              <w:rPr>
                <w:rFonts w:ascii="Times New Roman" w:hAnsi="Times New Roman"/>
                <w:b/>
                <w:sz w:val="20"/>
                <w:szCs w:val="20"/>
              </w:rPr>
              <w:t>K vplyvom na životné prostredie</w:t>
            </w:r>
          </w:p>
          <w:p w:rsidR="00EB6516" w:rsidRPr="00286491" w:rsidRDefault="00EB6516" w:rsidP="00EB6516">
            <w:pPr>
              <w:jc w:val="both"/>
              <w:rPr>
                <w:rFonts w:ascii="Times New Roman" w:hAnsi="Times New Roman"/>
              </w:rPr>
            </w:pPr>
            <w:r w:rsidRPr="00186E74">
              <w:rPr>
                <w:rFonts w:ascii="Times New Roman" w:hAnsi="Times New Roman"/>
                <w:sz w:val="20"/>
                <w:szCs w:val="20"/>
              </w:rPr>
              <w:t>Predkladateľ nepredpokladá vplyv návrhu zákona na životné prostredie.</w:t>
            </w:r>
          </w:p>
        </w:tc>
      </w:tr>
      <w:tr w:rsidR="003C289B" w:rsidRPr="003C289B" w:rsidTr="006109A7">
        <w:tc>
          <w:tcPr>
            <w:tcW w:w="9176" w:type="dxa"/>
            <w:tcBorders>
              <w:bottom w:val="single" w:sz="4" w:space="0" w:color="FFFFFF" w:themeColor="background1"/>
            </w:tcBorders>
            <w:shd w:val="clear" w:color="auto" w:fill="E2E2E2"/>
          </w:tcPr>
          <w:p w:rsidR="003C289B" w:rsidRPr="003C289B" w:rsidRDefault="003C289B" w:rsidP="003C289B">
            <w:pPr>
              <w:pStyle w:val="Odsekzoznamu"/>
              <w:numPr>
                <w:ilvl w:val="0"/>
                <w:numId w:val="5"/>
              </w:numPr>
              <w:ind w:left="426"/>
              <w:rPr>
                <w:rFonts w:ascii="Times New Roman" w:hAnsi="Times New Roman"/>
                <w:b/>
              </w:rPr>
            </w:pPr>
            <w:r w:rsidRPr="003C289B">
              <w:rPr>
                <w:rFonts w:ascii="Times New Roman" w:hAnsi="Times New Roman"/>
                <w:b/>
              </w:rPr>
              <w:lastRenderedPageBreak/>
              <w:t>Kontakt na spracovateľa</w:t>
            </w:r>
          </w:p>
        </w:tc>
      </w:tr>
      <w:tr w:rsidR="003C289B" w:rsidRPr="003C289B" w:rsidTr="006109A7">
        <w:trPr>
          <w:trHeight w:val="586"/>
        </w:trPr>
        <w:tc>
          <w:tcPr>
            <w:tcW w:w="9176" w:type="dxa"/>
            <w:tcBorders>
              <w:top w:val="single" w:sz="4" w:space="0" w:color="FFFFFF" w:themeColor="background1"/>
            </w:tcBorders>
            <w:shd w:val="clear" w:color="auto" w:fill="FFFFFF" w:themeFill="background1"/>
            <w:vAlign w:val="center"/>
          </w:tcPr>
          <w:p w:rsidR="00AA6FC3" w:rsidRPr="00186E74" w:rsidRDefault="00D8556F" w:rsidP="00CE09FB">
            <w:pPr>
              <w:jc w:val="both"/>
              <w:rPr>
                <w:rFonts w:ascii="Times New Roman" w:hAnsi="Times New Roman"/>
                <w:sz w:val="20"/>
                <w:szCs w:val="24"/>
                <w:u w:val="single"/>
              </w:rPr>
            </w:pPr>
            <w:r w:rsidRPr="00186E74">
              <w:rPr>
                <w:rFonts w:ascii="Times New Roman" w:hAnsi="Times New Roman"/>
                <w:sz w:val="20"/>
                <w:szCs w:val="24"/>
              </w:rPr>
              <w:t>RNDr. Martina Hičáková</w:t>
            </w:r>
            <w:r w:rsidR="00CE09FB" w:rsidRPr="00186E74">
              <w:rPr>
                <w:rFonts w:ascii="Times New Roman" w:hAnsi="Times New Roman"/>
                <w:sz w:val="20"/>
                <w:szCs w:val="24"/>
              </w:rPr>
              <w:t xml:space="preserve"> a </w:t>
            </w:r>
            <w:r w:rsidR="002C4A6F" w:rsidRPr="00186E74">
              <w:rPr>
                <w:rFonts w:ascii="Times New Roman" w:hAnsi="Times New Roman"/>
                <w:sz w:val="20"/>
                <w:szCs w:val="24"/>
              </w:rPr>
              <w:t xml:space="preserve">Ing. Veronika Prokešová, </w:t>
            </w:r>
            <w:r w:rsidR="003C289B" w:rsidRPr="00186E74">
              <w:rPr>
                <w:rFonts w:ascii="Times New Roman" w:hAnsi="Times New Roman"/>
                <w:sz w:val="20"/>
                <w:szCs w:val="24"/>
              </w:rPr>
              <w:t xml:space="preserve">MF SR, sekcia daňová a colná, odbor nepriamych daní, oddelenie spotrebných daní, </w:t>
            </w:r>
            <w:r w:rsidR="00286491" w:rsidRPr="00186E74">
              <w:rPr>
                <w:rFonts w:ascii="Times New Roman" w:hAnsi="Times New Roman"/>
                <w:sz w:val="20"/>
                <w:szCs w:val="24"/>
                <w:u w:val="single"/>
              </w:rPr>
              <w:t>martina</w:t>
            </w:r>
            <w:r w:rsidR="003C289B" w:rsidRPr="00186E74">
              <w:rPr>
                <w:rFonts w:ascii="Times New Roman" w:hAnsi="Times New Roman"/>
                <w:sz w:val="20"/>
                <w:szCs w:val="24"/>
                <w:u w:val="single"/>
              </w:rPr>
              <w:t>.</w:t>
            </w:r>
            <w:r w:rsidRPr="00186E74">
              <w:rPr>
                <w:rFonts w:ascii="Times New Roman" w:hAnsi="Times New Roman"/>
                <w:sz w:val="20"/>
                <w:szCs w:val="24"/>
                <w:u w:val="single"/>
              </w:rPr>
              <w:t>hicakova@</w:t>
            </w:r>
            <w:r w:rsidR="003C289B" w:rsidRPr="00186E74">
              <w:rPr>
                <w:rFonts w:ascii="Times New Roman" w:hAnsi="Times New Roman"/>
                <w:sz w:val="20"/>
                <w:szCs w:val="24"/>
                <w:u w:val="single"/>
              </w:rPr>
              <w:t>mfsr.sk</w:t>
            </w:r>
            <w:r w:rsidR="00544581">
              <w:rPr>
                <w:rFonts w:ascii="Times New Roman" w:hAnsi="Times New Roman"/>
                <w:sz w:val="20"/>
                <w:szCs w:val="24"/>
                <w:u w:val="single"/>
              </w:rPr>
              <w:t>;</w:t>
            </w:r>
            <w:r w:rsidR="002C4A6F" w:rsidRPr="00186E74">
              <w:rPr>
                <w:rFonts w:ascii="Times New Roman" w:hAnsi="Times New Roman"/>
                <w:sz w:val="20"/>
                <w:szCs w:val="24"/>
                <w:u w:val="single"/>
              </w:rPr>
              <w:t xml:space="preserve"> </w:t>
            </w:r>
            <w:r w:rsidR="00CE09FB" w:rsidRPr="00186E74">
              <w:rPr>
                <w:rFonts w:ascii="Times New Roman" w:hAnsi="Times New Roman"/>
                <w:sz w:val="20"/>
                <w:szCs w:val="24"/>
                <w:u w:val="single"/>
              </w:rPr>
              <w:t>veronika</w:t>
            </w:r>
            <w:r w:rsidR="002C4A6F" w:rsidRPr="00186E74">
              <w:rPr>
                <w:rFonts w:ascii="Times New Roman" w:hAnsi="Times New Roman"/>
                <w:sz w:val="20"/>
                <w:szCs w:val="24"/>
                <w:u w:val="single"/>
              </w:rPr>
              <w:t>.</w:t>
            </w:r>
            <w:r w:rsidR="00CE09FB" w:rsidRPr="00186E74">
              <w:rPr>
                <w:rFonts w:ascii="Times New Roman" w:hAnsi="Times New Roman"/>
                <w:sz w:val="20"/>
                <w:szCs w:val="24"/>
                <w:u w:val="single"/>
              </w:rPr>
              <w:t>prokesova</w:t>
            </w:r>
            <w:r w:rsidRPr="00186E74">
              <w:rPr>
                <w:rFonts w:ascii="Times New Roman" w:hAnsi="Times New Roman"/>
                <w:sz w:val="20"/>
                <w:szCs w:val="24"/>
                <w:u w:val="single"/>
              </w:rPr>
              <w:t>@</w:t>
            </w:r>
            <w:r w:rsidR="002C4A6F" w:rsidRPr="00186E74">
              <w:rPr>
                <w:rFonts w:ascii="Times New Roman" w:hAnsi="Times New Roman"/>
                <w:sz w:val="20"/>
                <w:szCs w:val="24"/>
                <w:u w:val="single"/>
              </w:rPr>
              <w:t>mfsr.sk</w:t>
            </w:r>
          </w:p>
          <w:p w:rsidR="009B0F8E" w:rsidRPr="009B0F8E" w:rsidRDefault="009B0F8E" w:rsidP="007E23A5">
            <w:pPr>
              <w:rPr>
                <w:rFonts w:ascii="Times New Roman" w:hAnsi="Times New Roman"/>
                <w:sz w:val="8"/>
                <w:szCs w:val="8"/>
              </w:rPr>
            </w:pPr>
          </w:p>
        </w:tc>
      </w:tr>
      <w:tr w:rsidR="003C289B" w:rsidRPr="003C289B" w:rsidTr="006109A7">
        <w:tc>
          <w:tcPr>
            <w:tcW w:w="9176" w:type="dxa"/>
            <w:tcBorders>
              <w:bottom w:val="single" w:sz="4" w:space="0" w:color="FFFFFF" w:themeColor="background1"/>
            </w:tcBorders>
            <w:shd w:val="clear" w:color="auto" w:fill="E2E2E2"/>
          </w:tcPr>
          <w:p w:rsidR="003C289B" w:rsidRPr="003C289B" w:rsidRDefault="003C289B" w:rsidP="003C289B">
            <w:pPr>
              <w:pStyle w:val="Odsekzoznamu"/>
              <w:numPr>
                <w:ilvl w:val="0"/>
                <w:numId w:val="5"/>
              </w:numPr>
              <w:ind w:left="426"/>
              <w:rPr>
                <w:rFonts w:ascii="Times New Roman" w:hAnsi="Times New Roman"/>
                <w:b/>
              </w:rPr>
            </w:pPr>
            <w:r w:rsidRPr="003C289B">
              <w:rPr>
                <w:rFonts w:ascii="Times New Roman" w:hAnsi="Times New Roman"/>
                <w:b/>
              </w:rPr>
              <w:t>Zdroje</w:t>
            </w:r>
          </w:p>
        </w:tc>
      </w:tr>
      <w:tr w:rsidR="003C289B" w:rsidRPr="003C289B" w:rsidTr="006109A7">
        <w:trPr>
          <w:trHeight w:val="401"/>
        </w:trPr>
        <w:tc>
          <w:tcPr>
            <w:tcW w:w="9176" w:type="dxa"/>
            <w:tcBorders>
              <w:top w:val="single" w:sz="4" w:space="0" w:color="FFFFFF" w:themeColor="background1"/>
            </w:tcBorders>
            <w:shd w:val="clear" w:color="auto" w:fill="FFFFFF" w:themeFill="background1"/>
          </w:tcPr>
          <w:p w:rsidR="009D5E09" w:rsidRPr="00544581" w:rsidRDefault="009D5E09" w:rsidP="009D5E09">
            <w:pPr>
              <w:rPr>
                <w:rFonts w:ascii="Times New Roman" w:hAnsi="Times New Roman"/>
                <w:sz w:val="20"/>
              </w:rPr>
            </w:pPr>
            <w:r w:rsidRPr="00544581">
              <w:rPr>
                <w:rFonts w:ascii="Times New Roman" w:hAnsi="Times New Roman"/>
                <w:sz w:val="20"/>
              </w:rPr>
              <w:t>Inštitút finančnej politiky Ministerstva financií Slovenskej republiky</w:t>
            </w:r>
          </w:p>
          <w:p w:rsidR="00FE0B99" w:rsidRPr="003C289B" w:rsidRDefault="009D5E09" w:rsidP="009D5E09">
            <w:pPr>
              <w:rPr>
                <w:rFonts w:ascii="Times New Roman" w:hAnsi="Times New Roman"/>
                <w:b/>
              </w:rPr>
            </w:pPr>
            <w:r w:rsidRPr="00544581">
              <w:rPr>
                <w:rFonts w:ascii="Times New Roman" w:hAnsi="Times New Roman"/>
                <w:sz w:val="20"/>
              </w:rPr>
              <w:t>Finančné riaditeľstvo Slovenskej republiky</w:t>
            </w:r>
          </w:p>
        </w:tc>
      </w:tr>
      <w:tr w:rsidR="003C289B" w:rsidRPr="003C289B" w:rsidTr="006109A7">
        <w:tc>
          <w:tcPr>
            <w:tcW w:w="9176" w:type="dxa"/>
            <w:tcBorders>
              <w:bottom w:val="single" w:sz="4" w:space="0" w:color="FFFFFF" w:themeColor="background1"/>
            </w:tcBorders>
            <w:shd w:val="clear" w:color="auto" w:fill="E2E2E2"/>
          </w:tcPr>
          <w:p w:rsidR="003C289B" w:rsidRPr="003C289B" w:rsidRDefault="003C289B" w:rsidP="003C289B">
            <w:pPr>
              <w:pStyle w:val="Odsekzoznamu"/>
              <w:numPr>
                <w:ilvl w:val="0"/>
                <w:numId w:val="5"/>
              </w:numPr>
              <w:ind w:left="426"/>
              <w:rPr>
                <w:rFonts w:ascii="Times New Roman" w:hAnsi="Times New Roman"/>
                <w:b/>
              </w:rPr>
            </w:pPr>
            <w:r w:rsidRPr="003C289B">
              <w:rPr>
                <w:rFonts w:ascii="Times New Roman" w:hAnsi="Times New Roman"/>
                <w:b/>
              </w:rPr>
              <w:t>Stanovisko Komisie pre posudzovanie vybraných vplyvov z PPK</w:t>
            </w:r>
          </w:p>
        </w:tc>
      </w:tr>
      <w:tr w:rsidR="003C289B" w:rsidRPr="003C289B" w:rsidTr="006109A7">
        <w:tc>
          <w:tcPr>
            <w:tcW w:w="9176" w:type="dxa"/>
            <w:tcBorders>
              <w:top w:val="single" w:sz="4" w:space="0" w:color="FFFFFF" w:themeColor="background1"/>
            </w:tcBorders>
            <w:shd w:val="clear" w:color="auto" w:fill="FFFFFF" w:themeFill="background1"/>
          </w:tcPr>
          <w:p w:rsidR="007449CF" w:rsidRPr="00186E74" w:rsidRDefault="007449CF" w:rsidP="007449CF">
            <w:pPr>
              <w:jc w:val="both"/>
              <w:rPr>
                <w:rFonts w:ascii="Times New Roman" w:hAnsi="Times New Roman"/>
                <w:i/>
                <w:iCs/>
                <w:sz w:val="20"/>
                <w:szCs w:val="20"/>
              </w:rPr>
            </w:pPr>
            <w:r w:rsidRPr="00186E74">
              <w:rPr>
                <w:rFonts w:ascii="Times New Roman" w:hAnsi="Times New Roman"/>
                <w:b/>
                <w:bCs/>
                <w:sz w:val="20"/>
                <w:szCs w:val="20"/>
              </w:rPr>
              <w:t xml:space="preserve">I. Úvod: </w:t>
            </w:r>
            <w:r w:rsidRPr="00186E74">
              <w:rPr>
                <w:rFonts w:ascii="Times New Roman" w:hAnsi="Times New Roman"/>
                <w:bCs/>
                <w:sz w:val="20"/>
                <w:szCs w:val="20"/>
              </w:rPr>
              <w:t>Ministerstvo financií Slovenskej republiky dňa 15. mája 2019 predložilo Stálej pracovnej komisii na posudzovanie vybr</w:t>
            </w:r>
            <w:r w:rsidRPr="00186E74">
              <w:rPr>
                <w:rFonts w:ascii="Times New Roman" w:hAnsi="Times New Roman"/>
                <w:iCs/>
                <w:sz w:val="20"/>
                <w:szCs w:val="20"/>
              </w:rPr>
              <w:t>aných vplyvov (ďalej len „Komisia“) na predbežné pripomienkové konanie materiál:</w:t>
            </w:r>
            <w:r w:rsidRPr="00186E74">
              <w:rPr>
                <w:rFonts w:ascii="Times New Roman" w:hAnsi="Times New Roman"/>
                <w:i/>
                <w:iCs/>
                <w:sz w:val="20"/>
                <w:szCs w:val="20"/>
              </w:rPr>
              <w:t xml:space="preserve"> „Návrh zákona, ktorým sa mení a dopĺňa zákon č. 609/2007 Z. z. o spotrebnej dani z elektriny, uhlia a zemného plynu v znení neskorších predpisov a o zmene a doplnení zákona č. 98/2004 Z. z. o spotrebnej dani z minerálnych olejov v znení neskorších predpisov“</w:t>
            </w:r>
            <w:r w:rsidRPr="00186E74">
              <w:rPr>
                <w:rFonts w:ascii="Times New Roman" w:hAnsi="Times New Roman"/>
                <w:iCs/>
                <w:sz w:val="20"/>
                <w:szCs w:val="20"/>
              </w:rPr>
              <w:t>. Materiál predpokladá negatívne vplyvy na rozpočet verejnej správy.</w:t>
            </w:r>
          </w:p>
          <w:p w:rsidR="007449CF" w:rsidRPr="00186E74" w:rsidRDefault="007449CF" w:rsidP="007449CF">
            <w:pPr>
              <w:jc w:val="both"/>
              <w:rPr>
                <w:rFonts w:ascii="Times New Roman" w:hAnsi="Times New Roman"/>
                <w:b/>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
                <w:bCs/>
                <w:sz w:val="20"/>
                <w:szCs w:val="20"/>
              </w:rPr>
              <w:t>II. P</w:t>
            </w:r>
            <w:r w:rsidRPr="00186E74">
              <w:rPr>
                <w:rFonts w:ascii="Times New Roman" w:hAnsi="Times New Roman"/>
                <w:b/>
                <w:sz w:val="20"/>
                <w:szCs w:val="20"/>
              </w:rPr>
              <w:t>r</w:t>
            </w:r>
            <w:r w:rsidRPr="00186E74">
              <w:rPr>
                <w:rFonts w:ascii="Times New Roman" w:hAnsi="Times New Roman"/>
                <w:b/>
                <w:bCs/>
                <w:sz w:val="20"/>
                <w:szCs w:val="20"/>
              </w:rPr>
              <w:t>ipomienky a návrhy zm</w:t>
            </w:r>
            <w:r w:rsidRPr="00186E74">
              <w:rPr>
                <w:rFonts w:ascii="Times New Roman" w:hAnsi="Times New Roman"/>
                <w:b/>
                <w:sz w:val="20"/>
                <w:szCs w:val="20"/>
              </w:rPr>
              <w:t>ie</w:t>
            </w:r>
            <w:r w:rsidRPr="00186E74">
              <w:rPr>
                <w:rFonts w:ascii="Times New Roman" w:hAnsi="Times New Roman"/>
                <w:b/>
                <w:bCs/>
                <w:sz w:val="20"/>
                <w:szCs w:val="20"/>
              </w:rPr>
              <w:t xml:space="preserve">n: </w:t>
            </w:r>
            <w:r w:rsidRPr="00186E74">
              <w:rPr>
                <w:rFonts w:ascii="Times New Roman" w:hAnsi="Times New Roman"/>
                <w:bCs/>
                <w:sz w:val="20"/>
                <w:szCs w:val="20"/>
              </w:rPr>
              <w:t>Komisia uplatňuje k materiálu nasledovné pripomienky a odporúčania:</w:t>
            </w:r>
          </w:p>
          <w:p w:rsidR="007449CF" w:rsidRPr="00186E74" w:rsidRDefault="007449CF" w:rsidP="007449CF">
            <w:pPr>
              <w:jc w:val="both"/>
              <w:rPr>
                <w:rFonts w:ascii="Times New Roman" w:hAnsi="Times New Roman"/>
                <w:b/>
                <w:bCs/>
                <w:sz w:val="20"/>
                <w:szCs w:val="20"/>
              </w:rPr>
            </w:pPr>
          </w:p>
          <w:p w:rsidR="007449CF" w:rsidRPr="00186E74" w:rsidRDefault="007449CF" w:rsidP="007449CF">
            <w:pPr>
              <w:jc w:val="both"/>
              <w:rPr>
                <w:rFonts w:ascii="Times New Roman" w:hAnsi="Times New Roman"/>
                <w:b/>
                <w:bCs/>
                <w:sz w:val="20"/>
                <w:szCs w:val="20"/>
              </w:rPr>
            </w:pPr>
            <w:r w:rsidRPr="00186E74">
              <w:rPr>
                <w:rFonts w:ascii="Times New Roman" w:hAnsi="Times New Roman"/>
                <w:b/>
                <w:bCs/>
                <w:sz w:val="20"/>
                <w:szCs w:val="20"/>
              </w:rPr>
              <w:t>K doložke vybraných vplyvov</w:t>
            </w: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V doložke vybraných vplyvov, v časti 9. Vplyvy navrhovaného materiálu, Komisia žiada vyznačiť vplyvy na podnikateľské prostredie aj v riadku „z toho vplyvy na malé a stredné podniky“; predkladateľ by mal vyznačiť pozitívne aj negatívne vplyvy na podnikateľské prostredie, vrátane vplyvov na malé a stredné podniky. Komisia  má za to, že materiál zakladá negatívne vplyvy na podnikateľské prostredie, vrátane vplyvov na malé a stredné podniky, ktorých náklady budú znášať:</w:t>
            </w:r>
          </w:p>
          <w:p w:rsidR="007449CF" w:rsidRPr="00186E74" w:rsidRDefault="007449CF" w:rsidP="007449CF">
            <w:pPr>
              <w:numPr>
                <w:ilvl w:val="0"/>
                <w:numId w:val="14"/>
              </w:numPr>
              <w:jc w:val="both"/>
              <w:rPr>
                <w:rFonts w:ascii="Times New Roman" w:hAnsi="Times New Roman"/>
                <w:bCs/>
                <w:sz w:val="20"/>
                <w:szCs w:val="20"/>
              </w:rPr>
            </w:pPr>
            <w:r w:rsidRPr="00186E74">
              <w:rPr>
                <w:rFonts w:ascii="Times New Roman" w:hAnsi="Times New Roman"/>
                <w:bCs/>
                <w:sz w:val="20"/>
                <w:szCs w:val="20"/>
              </w:rPr>
              <w:t>podnikatelia, ktorí používajú bioplyn a biometán určený na použitie ako pohonná látka alebo ako palivo na výrobu tepla, v dôsledku povinnosti zaradenia do predmetu dane;</w:t>
            </w:r>
          </w:p>
          <w:p w:rsidR="007449CF" w:rsidRPr="00186E74" w:rsidRDefault="007449CF" w:rsidP="007449CF">
            <w:pPr>
              <w:numPr>
                <w:ilvl w:val="0"/>
                <w:numId w:val="14"/>
              </w:numPr>
              <w:jc w:val="both"/>
              <w:rPr>
                <w:rFonts w:ascii="Times New Roman" w:hAnsi="Times New Roman"/>
                <w:bCs/>
                <w:sz w:val="20"/>
                <w:szCs w:val="20"/>
              </w:rPr>
            </w:pPr>
            <w:r w:rsidRPr="00186E74">
              <w:rPr>
                <w:rFonts w:ascii="Times New Roman" w:hAnsi="Times New Roman"/>
                <w:bCs/>
                <w:sz w:val="20"/>
                <w:szCs w:val="20"/>
              </w:rPr>
              <w:t>podnikatelia vypĺňajúci žiadosť o registráciu oprávneného spotrebiteľa elektriny a žiadosť o vydanie povolenia na oslobodenú elektrinu (nové údaje);</w:t>
            </w:r>
          </w:p>
          <w:p w:rsidR="007449CF" w:rsidRPr="00186E74" w:rsidRDefault="007449CF" w:rsidP="007449CF">
            <w:pPr>
              <w:numPr>
                <w:ilvl w:val="0"/>
                <w:numId w:val="14"/>
              </w:numPr>
              <w:jc w:val="both"/>
              <w:rPr>
                <w:rFonts w:ascii="Times New Roman" w:hAnsi="Times New Roman"/>
                <w:bCs/>
                <w:sz w:val="20"/>
                <w:szCs w:val="20"/>
              </w:rPr>
            </w:pPr>
            <w:r w:rsidRPr="00186E74">
              <w:rPr>
                <w:rFonts w:ascii="Times New Roman" w:hAnsi="Times New Roman"/>
                <w:bCs/>
                <w:sz w:val="20"/>
                <w:szCs w:val="20"/>
              </w:rPr>
              <w:t>podnikatelia, ktorí nakupujú elektrinu na účely ďalšieho predaja pre povinnosť registrácie.</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Zároveň Komisia vníma aj pozitívne vplyvy na podnikateľské prostredie, vrátane vplyvov na malé a stredné podniky, ktoré ocenia:</w:t>
            </w:r>
          </w:p>
          <w:p w:rsidR="007449CF" w:rsidRPr="00186E74" w:rsidRDefault="007449CF" w:rsidP="007449CF">
            <w:pPr>
              <w:numPr>
                <w:ilvl w:val="0"/>
                <w:numId w:val="14"/>
              </w:numPr>
              <w:jc w:val="both"/>
              <w:rPr>
                <w:rFonts w:ascii="Times New Roman" w:hAnsi="Times New Roman"/>
                <w:bCs/>
                <w:sz w:val="20"/>
                <w:szCs w:val="20"/>
              </w:rPr>
            </w:pPr>
            <w:r w:rsidRPr="00186E74">
              <w:rPr>
                <w:rFonts w:ascii="Times New Roman" w:hAnsi="Times New Roman"/>
                <w:bCs/>
                <w:sz w:val="20"/>
                <w:szCs w:val="20"/>
              </w:rPr>
              <w:t>podnikatelia oslobodení od spotrebnej dane z uhlia pri technicky odôvodnených stratách;</w:t>
            </w:r>
          </w:p>
          <w:p w:rsidR="007449CF" w:rsidRPr="00186E74" w:rsidRDefault="007449CF" w:rsidP="007449CF">
            <w:pPr>
              <w:numPr>
                <w:ilvl w:val="0"/>
                <w:numId w:val="14"/>
              </w:numPr>
              <w:jc w:val="both"/>
              <w:rPr>
                <w:rFonts w:ascii="Times New Roman" w:hAnsi="Times New Roman"/>
                <w:bCs/>
                <w:sz w:val="20"/>
                <w:szCs w:val="20"/>
              </w:rPr>
            </w:pPr>
            <w:r w:rsidRPr="00186E74">
              <w:rPr>
                <w:rFonts w:ascii="Times New Roman" w:hAnsi="Times New Roman"/>
                <w:bCs/>
                <w:sz w:val="20"/>
                <w:szCs w:val="20"/>
              </w:rPr>
              <w:t>podnikatelia s nabíjacími stanicami na nabíjanie elektrických vozidiel (právna istota zavedením regulácie).</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Komisia tiež odporúča doplniť časť 12. Zdroje v zmysle Jednotnej metodiky na posudzovanie vybraných vplyvov o relevantné údaje, z ktorých sa pri spracovaní materiálu vychádzalo (napr. konzultácie s dotknutými subjektmi, dostupné štatistiky atď.).</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V doložke vplyvov Komisia žiada uviesť definíciu problému v súlade s Jednotnou metodikou na posudzovanie vybraných vplyvov. Súčasné znenie reflektuje skôr zmeny, ktoré materiál ustanovuje, a nie identifikáciu problému.</w:t>
            </w:r>
          </w:p>
          <w:p w:rsidR="007449CF" w:rsidRPr="00186E74" w:rsidRDefault="007449CF" w:rsidP="007449CF">
            <w:pPr>
              <w:jc w:val="both"/>
              <w:rPr>
                <w:rFonts w:ascii="Times New Roman" w:hAnsi="Times New Roman"/>
                <w:b/>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
                <w:bCs/>
                <w:sz w:val="20"/>
                <w:szCs w:val="20"/>
              </w:rPr>
              <w:t>K vplyvom na rozpočet verejnej správy</w:t>
            </w: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 xml:space="preserve">Z predloženej doložky vybraných vplyvov a analýzy vplyvov na rozpočet verejnej správy nie je zrejmé, z čoho vyplýva negatívny vplyv na rozpočet verejnej správy a ako bude rozpočtovo zabezpečený. </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 xml:space="preserve">Podľa doložky vybraných vplyvov má predložený návrh negatívny vplyv na rozpočet verejnej správy, pričom rozpočtová zabezpečenosť nie je vyznačená a ani v poznámke nie je bližšie uvedené, z čoho tento  negatívny vplyv vyplýva. V analýze vplyvov na rozpočet verejnej správy je v roku 2019 kvantifikovaná suma 112 860 eur na strane výdavkov, pričom nikde sa nešpecifikuje druh výdavkov, kapitola, financovanie návrhu ani popis návrhu. V analýze vplyvov na podnikateľské prostredie sa predpokladá, že návrh zákona ovplyvní tie podnikateľské subjekty, ktoré obchodujú s elektrinou, uhlím a zemným plynom. V tejto súvislosti Komisia </w:t>
            </w:r>
            <w:r w:rsidRPr="00186E74">
              <w:rPr>
                <w:rFonts w:ascii="Times New Roman" w:hAnsi="Times New Roman"/>
                <w:bCs/>
                <w:sz w:val="20"/>
                <w:szCs w:val="20"/>
              </w:rPr>
              <w:lastRenderedPageBreak/>
              <w:t xml:space="preserve">žiada uviesť, či navrhovaný zákon bude mať vplyv na dotknuté podniky štátnej správy, pokiaľ ide o odvod dividend do štátneho rozpočtu. V doložke a v analýze nie je zohľadnený ani vplyv z novo zavedených pokút v rámci § 43 Správne delikty zákona č. 609/2007 Z. z. </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Všetky negatívne vplyvy Komisia žiada zabezpečiť v rámci schválených limitov dotknutých kapitol na príslušný rozpočtový rok, bez zvýšených požiadaviek na rozpočet verejnej správy. V prípade pozitívneho vplyvu z novo zavedených pokút, ak tento nie je možné v súčasnosti kvantifikovať, uvedenú skutočnosť Komisia žiada uviesť a zdôvodniť v bode 10. Poznámky doložky vybraných vplyvov.</w:t>
            </w: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V nadväznosti na vyššie uvedené pripomienky je potrebné upraviť doložku a analýzu vplyvov na rozpočet verejnej správy.</w:t>
            </w:r>
          </w:p>
          <w:p w:rsidR="007449CF" w:rsidRPr="00186E74" w:rsidRDefault="007449CF" w:rsidP="007449CF">
            <w:pPr>
              <w:jc w:val="both"/>
              <w:rPr>
                <w:rFonts w:ascii="Times New Roman" w:hAnsi="Times New Roman"/>
                <w:b/>
                <w:bCs/>
                <w:sz w:val="20"/>
                <w:szCs w:val="20"/>
              </w:rPr>
            </w:pPr>
          </w:p>
          <w:p w:rsidR="007449CF" w:rsidRPr="00186E74" w:rsidRDefault="007449CF" w:rsidP="007449CF">
            <w:pPr>
              <w:jc w:val="both"/>
              <w:rPr>
                <w:rFonts w:ascii="Times New Roman" w:hAnsi="Times New Roman"/>
                <w:b/>
                <w:bCs/>
                <w:sz w:val="20"/>
                <w:szCs w:val="20"/>
              </w:rPr>
            </w:pPr>
            <w:r w:rsidRPr="00186E74">
              <w:rPr>
                <w:rFonts w:ascii="Times New Roman" w:hAnsi="Times New Roman"/>
                <w:b/>
                <w:bCs/>
                <w:sz w:val="20"/>
                <w:szCs w:val="20"/>
              </w:rPr>
              <w:t>K vplyvom na podnikateľské prostredie</w:t>
            </w: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 xml:space="preserve">V analýze vplyvov na podnikateľské prostredie Komisia žiada dopracovať analýzu podľa paragrafového znenia v časti 3.3. náklady regulácie jednotlivo kvôli zavedeniu: </w:t>
            </w:r>
          </w:p>
          <w:p w:rsidR="007449CF" w:rsidRPr="00186E74" w:rsidRDefault="007449CF" w:rsidP="007449CF">
            <w:pPr>
              <w:numPr>
                <w:ilvl w:val="0"/>
                <w:numId w:val="12"/>
              </w:numPr>
              <w:jc w:val="both"/>
              <w:rPr>
                <w:rFonts w:ascii="Times New Roman" w:hAnsi="Times New Roman"/>
                <w:bCs/>
                <w:sz w:val="20"/>
                <w:szCs w:val="20"/>
              </w:rPr>
            </w:pPr>
            <w:r w:rsidRPr="00186E74">
              <w:rPr>
                <w:rFonts w:ascii="Times New Roman" w:hAnsi="Times New Roman"/>
                <w:bCs/>
                <w:sz w:val="20"/>
                <w:szCs w:val="20"/>
              </w:rPr>
              <w:t>osobitného ustanovenia pre nabíjacie stanice na nabíjanie elektrických vozidiel,</w:t>
            </w:r>
          </w:p>
          <w:p w:rsidR="007449CF" w:rsidRPr="00186E74" w:rsidRDefault="007449CF" w:rsidP="007449CF">
            <w:pPr>
              <w:numPr>
                <w:ilvl w:val="0"/>
                <w:numId w:val="12"/>
              </w:numPr>
              <w:jc w:val="both"/>
              <w:rPr>
                <w:rFonts w:ascii="Times New Roman" w:hAnsi="Times New Roman"/>
                <w:bCs/>
                <w:sz w:val="20"/>
                <w:szCs w:val="20"/>
              </w:rPr>
            </w:pPr>
            <w:r w:rsidRPr="00186E74">
              <w:rPr>
                <w:rFonts w:ascii="Times New Roman" w:hAnsi="Times New Roman"/>
                <w:bCs/>
                <w:sz w:val="20"/>
                <w:szCs w:val="20"/>
              </w:rPr>
              <w:t xml:space="preserve">ustanovenia pre oslobodenie od spotrebnej dane z uhlia pri technicky odôvodnených stratách, </w:t>
            </w:r>
          </w:p>
          <w:p w:rsidR="007449CF" w:rsidRPr="00186E74" w:rsidRDefault="007449CF" w:rsidP="007449CF">
            <w:pPr>
              <w:numPr>
                <w:ilvl w:val="0"/>
                <w:numId w:val="12"/>
              </w:numPr>
              <w:jc w:val="both"/>
              <w:rPr>
                <w:rFonts w:ascii="Times New Roman" w:hAnsi="Times New Roman"/>
                <w:bCs/>
                <w:sz w:val="20"/>
                <w:szCs w:val="20"/>
              </w:rPr>
            </w:pPr>
            <w:r w:rsidRPr="00186E74">
              <w:rPr>
                <w:rFonts w:ascii="Times New Roman" w:hAnsi="Times New Roman"/>
                <w:bCs/>
                <w:sz w:val="20"/>
                <w:szCs w:val="20"/>
              </w:rPr>
              <w:t>zaradenia bioplyn a biometán určený na použitie ako pohonná látka alebo ako palivo na výrobu tepla do predmetu dane.</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 xml:space="preserve">Ďalej Komisia žiada doplniť vyčíslenie nákladov do súhrnnej tabuľky číslo 3.3.4. nákladov regulácie. Pri vyčíslení administratívnych nákladov, Komisia odporúča použiť kalkulačku nákladov, ktorá je zverejnená na webovom sídle Ministerstva hospodárstva SR. </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Ako príklad vplyvov na podnikateľské prostredie Komisia uvádza:</w:t>
            </w:r>
          </w:p>
          <w:p w:rsidR="007449CF" w:rsidRPr="00186E74" w:rsidRDefault="007449CF" w:rsidP="007449CF">
            <w:pPr>
              <w:jc w:val="both"/>
              <w:rPr>
                <w:rFonts w:ascii="Times New Roman" w:hAnsi="Times New Roman"/>
                <w:bCs/>
                <w:sz w:val="20"/>
                <w:szCs w:val="20"/>
              </w:rPr>
            </w:pPr>
          </w:p>
          <w:p w:rsidR="007449CF" w:rsidRPr="00186E74" w:rsidRDefault="007449CF" w:rsidP="007449CF">
            <w:pPr>
              <w:numPr>
                <w:ilvl w:val="0"/>
                <w:numId w:val="13"/>
              </w:numPr>
              <w:jc w:val="both"/>
              <w:rPr>
                <w:rFonts w:ascii="Times New Roman" w:hAnsi="Times New Roman"/>
                <w:bCs/>
                <w:sz w:val="20"/>
                <w:szCs w:val="20"/>
              </w:rPr>
            </w:pPr>
            <w:r w:rsidRPr="00186E74">
              <w:rPr>
                <w:rFonts w:ascii="Times New Roman" w:hAnsi="Times New Roman"/>
                <w:bCs/>
                <w:sz w:val="20"/>
                <w:szCs w:val="20"/>
              </w:rPr>
              <w:t>Bod 28, 45 a 60 – Navrhovanou úpravou sa ustanovenie dopĺňa o povinnosť podať daňové priznanie aj pre platiteľov dane, ktorí v zdaňovacom období uskutočnili len dodávky bez dane alebo len dodávky oslobodené od dane. Uvedené je potrebné pre účely vypracovania Ročnej správy o poskytnutej výške štátnej pomoci pre Európsku komisiu, ako aj pre štatistické účely finančnej správy.</w:t>
            </w:r>
          </w:p>
          <w:p w:rsidR="007449CF" w:rsidRPr="00186E74" w:rsidRDefault="007449CF" w:rsidP="007449CF">
            <w:pPr>
              <w:numPr>
                <w:ilvl w:val="0"/>
                <w:numId w:val="13"/>
              </w:numPr>
              <w:jc w:val="both"/>
              <w:rPr>
                <w:rFonts w:ascii="Times New Roman" w:hAnsi="Times New Roman"/>
                <w:bCs/>
                <w:sz w:val="20"/>
                <w:szCs w:val="20"/>
              </w:rPr>
            </w:pPr>
            <w:r w:rsidRPr="00186E74">
              <w:rPr>
                <w:rFonts w:ascii="Times New Roman" w:hAnsi="Times New Roman"/>
                <w:bCs/>
                <w:sz w:val="20"/>
                <w:szCs w:val="20"/>
              </w:rPr>
              <w:t>Bod 29, 46 a 61 – Legislatívno-technická úprava súvisiaca s doplnením povinnosti podať daňové priznanie aj pre osoby, ktoré realizujú len dodávky elektriny oslobodené od dane alebo bez spotrebnej dane, a to aj také, ktorých daňová povinnosť nepresiahne 5 eur.</w:t>
            </w:r>
          </w:p>
          <w:p w:rsidR="007449CF" w:rsidRPr="00186E74" w:rsidRDefault="007449CF" w:rsidP="007449CF">
            <w:pPr>
              <w:numPr>
                <w:ilvl w:val="0"/>
                <w:numId w:val="13"/>
              </w:numPr>
              <w:jc w:val="both"/>
              <w:rPr>
                <w:rFonts w:ascii="Times New Roman" w:hAnsi="Times New Roman"/>
                <w:bCs/>
                <w:sz w:val="20"/>
                <w:szCs w:val="20"/>
              </w:rPr>
            </w:pPr>
            <w:r w:rsidRPr="00186E74">
              <w:rPr>
                <w:rFonts w:ascii="Times New Roman" w:hAnsi="Times New Roman"/>
                <w:bCs/>
                <w:sz w:val="20"/>
                <w:szCs w:val="20"/>
              </w:rPr>
              <w:t>Bod 50 – Navrhovanou úpravou sa do predmetu dane dopĺňa bioplyn a biometán určený na použitie ako pohonná látka alebo ako palivo na výrobu tepla.</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Komisia žiada predkladateľa o kvalitatívny popis ako aj kvantitatívny výpočet nákladov či úspor (ak je možný na základe dispozície dátami či cez Kalkulačku nákladov) v dôsledku negatívnych a pozitívnych vplyvov v Analýze vplyvov na podnikateľské prostredie, ktorú predkladateľ nevyplnil v súlade s osobitnou časťou dôvodovej správy a zmenami regulácie vo vlastnom  materiáli.</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 xml:space="preserve">Predkladateľ v doložke vybraných vplyvov v časti „Charakter predkladaného materiálu“ uvádza Materiál legislatívnej povahy, pričom spolu s materiálom predkladá aj tabuľky zhody. Komisia odporúča o zosúladenie, aby bolo zrejmé, že dôvodom novely je potreba transpozície s právom EÚ. To sa týka aj časti 7. Doložky vybraných vplyvov. </w:t>
            </w:r>
          </w:p>
          <w:p w:rsidR="007449CF" w:rsidRPr="00186E74" w:rsidRDefault="007449CF" w:rsidP="007449CF">
            <w:pPr>
              <w:jc w:val="both"/>
              <w:rPr>
                <w:rFonts w:ascii="Times New Roman" w:hAnsi="Times New Roman"/>
                <w:b/>
                <w:bCs/>
                <w:sz w:val="20"/>
                <w:szCs w:val="20"/>
              </w:rPr>
            </w:pPr>
          </w:p>
          <w:p w:rsidR="007449CF" w:rsidRPr="00186E74" w:rsidRDefault="007449CF" w:rsidP="007449CF">
            <w:pPr>
              <w:jc w:val="both"/>
              <w:rPr>
                <w:rFonts w:ascii="Times New Roman" w:hAnsi="Times New Roman"/>
                <w:b/>
                <w:bCs/>
                <w:sz w:val="20"/>
                <w:szCs w:val="20"/>
              </w:rPr>
            </w:pPr>
            <w:r w:rsidRPr="00186E74">
              <w:rPr>
                <w:rFonts w:ascii="Times New Roman" w:hAnsi="Times New Roman"/>
                <w:b/>
                <w:bCs/>
                <w:sz w:val="20"/>
                <w:szCs w:val="20"/>
              </w:rPr>
              <w:t>K sociálnym vplyvom</w:t>
            </w: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Predkladaný materiál okrem iného zavádza osobitné ustanovenia pre zdaňovanie skvapalneného zemného plynu, zavádza osobitné ustanovenie týkajúce sa nabíjacích staníc na nabíjanie elektrických vozidiel, zavádza zvýhodnené sadzby dane na minerálny olej s obsahom biogénnej látky alebo dopĺňa možnosť osobitného oslobodenia od spotrebnej dane z uhlia v osobitných prípadoch a iné opatrenia. Medzi dotknutými subjektmi predkladateľ uvádza okrem iného aj konečných spotrebiteľov elektriny, uhlia a zemného plynu.</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Na základe uvádzaných skutočností preto predkladateľovi Komisia odporúča vypracovať analýzu sociálnych vplyvov (príloha č. 4 Jednotnej metodiky na posudzovanie vybraných vplyvov) a zhodnotiť ich predovšetkým v  bode  4.1 (vplyvy na hospodárenie domácností). V prípade, že predkladateľ považuje jednotlivé vplyvy za marginálne, Komisia odporúča danú skutočnosť deklarovať v bode 10. Poznámky doložky vybraných vplyvov.</w:t>
            </w:r>
          </w:p>
          <w:p w:rsidR="007449CF" w:rsidRPr="00186E74" w:rsidRDefault="007449CF" w:rsidP="007449CF">
            <w:pPr>
              <w:jc w:val="both"/>
              <w:rPr>
                <w:rFonts w:ascii="Times New Roman" w:hAnsi="Times New Roman"/>
                <w:b/>
                <w:bCs/>
                <w:sz w:val="20"/>
                <w:szCs w:val="20"/>
              </w:rPr>
            </w:pPr>
          </w:p>
          <w:p w:rsidR="007449CF" w:rsidRPr="00186E74" w:rsidRDefault="007449CF" w:rsidP="007449CF">
            <w:pPr>
              <w:jc w:val="both"/>
              <w:rPr>
                <w:rFonts w:ascii="Times New Roman" w:hAnsi="Times New Roman"/>
                <w:b/>
                <w:bCs/>
                <w:sz w:val="20"/>
                <w:szCs w:val="20"/>
              </w:rPr>
            </w:pPr>
            <w:r w:rsidRPr="00186E74">
              <w:rPr>
                <w:rFonts w:ascii="Times New Roman" w:hAnsi="Times New Roman"/>
                <w:b/>
                <w:bCs/>
                <w:sz w:val="20"/>
                <w:szCs w:val="20"/>
              </w:rPr>
              <w:t>K vplyvom na životné prostredie</w:t>
            </w: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Vzhľadom na to, že uvedené spotrebné dane sú späté aj so životným prostredím, Komisia žiada prehodnotiť vplyvy na životné prostredie. Zároveň Komisia žiada vypracovať analýzu vplyvov na životné prostredie.</w:t>
            </w:r>
          </w:p>
          <w:p w:rsidR="007449CF" w:rsidRPr="00186E74" w:rsidRDefault="007449CF" w:rsidP="007449CF">
            <w:pPr>
              <w:jc w:val="both"/>
              <w:rPr>
                <w:rFonts w:ascii="Times New Roman" w:hAnsi="Times New Roman"/>
                <w:b/>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
                <w:bCs/>
                <w:sz w:val="20"/>
                <w:szCs w:val="20"/>
              </w:rPr>
              <w:t xml:space="preserve">III. Záver: </w:t>
            </w:r>
            <w:r w:rsidRPr="00186E74">
              <w:rPr>
                <w:rFonts w:ascii="Times New Roman" w:hAnsi="Times New Roman"/>
                <w:bCs/>
                <w:sz w:val="20"/>
                <w:szCs w:val="20"/>
              </w:rPr>
              <w:t xml:space="preserve">Stála pracovná komisia na posudzovanie vybraných vplyvov vyjadruje </w:t>
            </w:r>
          </w:p>
          <w:p w:rsidR="007449CF" w:rsidRPr="00186E74" w:rsidRDefault="007449CF" w:rsidP="007449CF">
            <w:pPr>
              <w:jc w:val="both"/>
              <w:rPr>
                <w:rFonts w:ascii="Times New Roman" w:hAnsi="Times New Roman"/>
                <w:bCs/>
                <w:sz w:val="20"/>
                <w:szCs w:val="20"/>
              </w:rPr>
            </w:pPr>
          </w:p>
          <w:p w:rsidR="007449CF" w:rsidRPr="00186E74" w:rsidRDefault="007449CF" w:rsidP="0041049A">
            <w:pPr>
              <w:jc w:val="center"/>
              <w:rPr>
                <w:rFonts w:ascii="Times New Roman" w:hAnsi="Times New Roman"/>
                <w:bCs/>
                <w:sz w:val="20"/>
                <w:szCs w:val="20"/>
              </w:rPr>
            </w:pPr>
            <w:r w:rsidRPr="00186E74">
              <w:rPr>
                <w:rFonts w:ascii="Times New Roman" w:hAnsi="Times New Roman"/>
                <w:b/>
                <w:bCs/>
                <w:sz w:val="20"/>
                <w:szCs w:val="20"/>
              </w:rPr>
              <w:lastRenderedPageBreak/>
              <w:t>nesúhlasné stanovisko</w:t>
            </w:r>
          </w:p>
          <w:p w:rsidR="007449CF" w:rsidRPr="00186E74" w:rsidRDefault="007449CF" w:rsidP="007449CF">
            <w:pPr>
              <w:jc w:val="both"/>
              <w:rPr>
                <w:rFonts w:ascii="Times New Roman" w:hAnsi="Times New Roman"/>
                <w:bCs/>
                <w:sz w:val="20"/>
                <w:szCs w:val="20"/>
              </w:rPr>
            </w:pPr>
          </w:p>
          <w:p w:rsidR="007449CF" w:rsidRPr="00186E74" w:rsidRDefault="007449CF" w:rsidP="007449CF">
            <w:pPr>
              <w:jc w:val="both"/>
              <w:rPr>
                <w:rFonts w:ascii="Times New Roman" w:hAnsi="Times New Roman"/>
                <w:bCs/>
                <w:sz w:val="20"/>
                <w:szCs w:val="20"/>
              </w:rPr>
            </w:pPr>
            <w:r w:rsidRPr="00186E74">
              <w:rPr>
                <w:rFonts w:ascii="Times New Roman" w:hAnsi="Times New Roman"/>
                <w:bCs/>
                <w:sz w:val="20"/>
                <w:szCs w:val="20"/>
              </w:rPr>
              <w:t>s materiálom predloženým na predbežné pripomienkové konanie s odporúčaním na jeho dopracovanie podľa pripomienok v bode II.</w:t>
            </w:r>
          </w:p>
          <w:p w:rsidR="007449CF" w:rsidRPr="00186E74" w:rsidRDefault="007449CF" w:rsidP="007449CF">
            <w:pPr>
              <w:jc w:val="both"/>
              <w:rPr>
                <w:rFonts w:ascii="Times New Roman" w:hAnsi="Times New Roman"/>
                <w:b/>
                <w:bCs/>
                <w:sz w:val="20"/>
                <w:szCs w:val="20"/>
              </w:rPr>
            </w:pPr>
          </w:p>
          <w:p w:rsidR="007449CF" w:rsidRPr="00186E74" w:rsidRDefault="007449CF" w:rsidP="007449CF">
            <w:pPr>
              <w:jc w:val="both"/>
              <w:rPr>
                <w:rFonts w:ascii="Times New Roman" w:hAnsi="Times New Roman"/>
                <w:iCs/>
                <w:sz w:val="20"/>
                <w:szCs w:val="20"/>
              </w:rPr>
            </w:pPr>
            <w:r w:rsidRPr="00186E74">
              <w:rPr>
                <w:rFonts w:ascii="Times New Roman" w:hAnsi="Times New Roman"/>
                <w:b/>
                <w:bCs/>
                <w:sz w:val="20"/>
                <w:szCs w:val="20"/>
              </w:rPr>
              <w:t>IV. Poznámka:</w:t>
            </w:r>
            <w:r w:rsidRPr="00186E74">
              <w:rPr>
                <w:rFonts w:ascii="Times New Roman" w:hAnsi="Times New Roman"/>
                <w:iCs/>
                <w:sz w:val="20"/>
                <w:szCs w:val="20"/>
              </w:rPr>
              <w:t xml:space="preserve"> Predkladateľ zapracuje pripomienky a odporúčania na úpravu uvedené v bode II a uvedie stanovisko Komisie do doložky vybraných vplyvov spolu s vyhodnotením pripomienok.</w:t>
            </w:r>
          </w:p>
          <w:p w:rsidR="007449CF" w:rsidRPr="00186E74" w:rsidRDefault="007449CF" w:rsidP="007449CF">
            <w:pPr>
              <w:jc w:val="both"/>
              <w:rPr>
                <w:rFonts w:ascii="Times New Roman" w:hAnsi="Times New Roman"/>
                <w:iCs/>
                <w:sz w:val="20"/>
                <w:szCs w:val="20"/>
              </w:rPr>
            </w:pPr>
          </w:p>
          <w:p w:rsidR="00963CF2" w:rsidRPr="00186E74" w:rsidRDefault="007449CF" w:rsidP="00EB6516">
            <w:pPr>
              <w:jc w:val="both"/>
              <w:rPr>
                <w:rFonts w:ascii="Times New Roman" w:hAnsi="Times New Roman"/>
                <w:sz w:val="20"/>
                <w:szCs w:val="20"/>
                <w:lang w:val="cs-CZ"/>
              </w:rPr>
            </w:pPr>
            <w:r w:rsidRPr="00186E74">
              <w:rPr>
                <w:rFonts w:ascii="Times New Roman" w:hAnsi="Times New Roman"/>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r w:rsidRPr="00186E74">
              <w:rPr>
                <w:rFonts w:ascii="Times New Roman" w:hAnsi="Times New Roman"/>
                <w:sz w:val="20"/>
                <w:szCs w:val="20"/>
                <w:lang w:val="cs-CZ"/>
              </w:rPr>
              <w:t>.</w:t>
            </w:r>
          </w:p>
          <w:p w:rsidR="001F5765" w:rsidRPr="00186E74" w:rsidRDefault="001F5765" w:rsidP="00EB6516">
            <w:pPr>
              <w:jc w:val="both"/>
              <w:rPr>
                <w:rFonts w:ascii="Times New Roman" w:hAnsi="Times New Roman"/>
                <w:sz w:val="20"/>
                <w:szCs w:val="20"/>
                <w:lang w:val="cs-CZ"/>
              </w:rPr>
            </w:pPr>
          </w:p>
          <w:p w:rsidR="001F5765" w:rsidRPr="00186E74" w:rsidRDefault="001F5765" w:rsidP="001F5765">
            <w:pPr>
              <w:tabs>
                <w:tab w:val="center" w:pos="6379"/>
              </w:tabs>
              <w:jc w:val="both"/>
              <w:rPr>
                <w:rFonts w:ascii="Times New Roman" w:hAnsi="Times New Roman"/>
                <w:b/>
                <w:bCs/>
                <w:sz w:val="20"/>
                <w:szCs w:val="20"/>
              </w:rPr>
            </w:pPr>
            <w:r w:rsidRPr="00186E74">
              <w:rPr>
                <w:rFonts w:ascii="Times New Roman" w:hAnsi="Times New Roman"/>
                <w:b/>
                <w:bCs/>
                <w:sz w:val="20"/>
                <w:szCs w:val="20"/>
              </w:rPr>
              <w:t>Stanovisko predkladateľa návrhu zákona</w:t>
            </w:r>
          </w:p>
          <w:p w:rsidR="00AB4C37" w:rsidRPr="00AB4C37" w:rsidRDefault="001F5765" w:rsidP="008A39E5">
            <w:pPr>
              <w:jc w:val="both"/>
              <w:rPr>
                <w:rFonts w:ascii="Times New Roman" w:hAnsi="Times New Roman"/>
                <w:bCs/>
                <w:sz w:val="20"/>
                <w:szCs w:val="20"/>
              </w:rPr>
            </w:pPr>
            <w:r w:rsidRPr="00186E74">
              <w:rPr>
                <w:rFonts w:ascii="Times New Roman" w:hAnsi="Times New Roman"/>
                <w:bCs/>
                <w:sz w:val="20"/>
                <w:szCs w:val="20"/>
              </w:rPr>
              <w:t xml:space="preserve">Predkladateľ návrhu zákona na základe pripomienok </w:t>
            </w:r>
            <w:r w:rsidR="00AF626E" w:rsidRPr="00186E74">
              <w:rPr>
                <w:rFonts w:ascii="Times New Roman" w:hAnsi="Times New Roman"/>
                <w:bCs/>
                <w:sz w:val="20"/>
                <w:szCs w:val="20"/>
              </w:rPr>
              <w:t xml:space="preserve">a odporúčania </w:t>
            </w:r>
            <w:r w:rsidRPr="00186E74">
              <w:rPr>
                <w:rFonts w:ascii="Times New Roman" w:hAnsi="Times New Roman"/>
                <w:bCs/>
                <w:sz w:val="20"/>
                <w:szCs w:val="20"/>
              </w:rPr>
              <w:t>Stálej pracovnej komisie Legislatívnej rady vlády Slovenskej republiky pre posudzovanie vybraných vplyvov</w:t>
            </w:r>
            <w:r w:rsidR="00E63C3B" w:rsidRPr="00186E74">
              <w:rPr>
                <w:rFonts w:ascii="Times New Roman" w:hAnsi="Times New Roman"/>
                <w:bCs/>
                <w:sz w:val="20"/>
                <w:szCs w:val="20"/>
              </w:rPr>
              <w:t xml:space="preserve"> </w:t>
            </w:r>
            <w:r w:rsidR="00AF626E" w:rsidRPr="00186E74">
              <w:rPr>
                <w:rFonts w:ascii="Times New Roman" w:hAnsi="Times New Roman"/>
                <w:bCs/>
                <w:sz w:val="20"/>
                <w:szCs w:val="20"/>
              </w:rPr>
              <w:t>pripomienky</w:t>
            </w:r>
            <w:r w:rsidR="00E63C3B" w:rsidRPr="00186E74">
              <w:rPr>
                <w:rFonts w:ascii="Times New Roman" w:hAnsi="Times New Roman"/>
                <w:bCs/>
                <w:sz w:val="20"/>
                <w:szCs w:val="20"/>
              </w:rPr>
              <w:t xml:space="preserve"> do doložky vplyvov</w:t>
            </w:r>
            <w:r w:rsidR="00F1007E" w:rsidRPr="00186E74">
              <w:rPr>
                <w:rFonts w:ascii="Times New Roman" w:hAnsi="Times New Roman"/>
                <w:bCs/>
                <w:sz w:val="20"/>
                <w:szCs w:val="20"/>
              </w:rPr>
              <w:t xml:space="preserve"> zapracoval</w:t>
            </w:r>
            <w:r w:rsidR="00AF626E" w:rsidRPr="00186E74">
              <w:rPr>
                <w:rFonts w:ascii="Times New Roman" w:hAnsi="Times New Roman"/>
                <w:bCs/>
                <w:sz w:val="20"/>
                <w:szCs w:val="20"/>
              </w:rPr>
              <w:t>.</w:t>
            </w:r>
            <w:r w:rsidR="00AB4C37">
              <w:rPr>
                <w:rFonts w:ascii="Times New Roman" w:hAnsi="Times New Roman"/>
                <w:bCs/>
                <w:sz w:val="20"/>
                <w:szCs w:val="20"/>
              </w:rPr>
              <w:t xml:space="preserve"> </w:t>
            </w:r>
            <w:r w:rsidR="00ED55B0">
              <w:rPr>
                <w:rFonts w:ascii="Times New Roman" w:hAnsi="Times New Roman"/>
                <w:bCs/>
                <w:sz w:val="20"/>
                <w:szCs w:val="20"/>
              </w:rPr>
              <w:t>Na základe záverov rozporových konaní boli niektoré body</w:t>
            </w:r>
            <w:r w:rsidR="008A39E5">
              <w:rPr>
                <w:rFonts w:ascii="Times New Roman" w:hAnsi="Times New Roman"/>
                <w:bCs/>
                <w:sz w:val="20"/>
                <w:szCs w:val="20"/>
              </w:rPr>
              <w:t xml:space="preserve">, ktoré mali vplyv na podnikateľské prostredie </w:t>
            </w:r>
            <w:r w:rsidR="00ED55B0">
              <w:rPr>
                <w:rFonts w:ascii="Times New Roman" w:hAnsi="Times New Roman"/>
                <w:bCs/>
                <w:sz w:val="20"/>
                <w:szCs w:val="20"/>
              </w:rPr>
              <w:t xml:space="preserve"> z návrhu zákona vypustené. </w:t>
            </w:r>
          </w:p>
        </w:tc>
      </w:tr>
    </w:tbl>
    <w:p w:rsidR="003C289B" w:rsidRDefault="003C289B" w:rsidP="003C289B">
      <w:pPr>
        <w:spacing w:after="0" w:line="240" w:lineRule="auto"/>
        <w:jc w:val="both"/>
        <w:rPr>
          <w:rFonts w:ascii="Times New Roman" w:hAnsi="Times New Roman"/>
          <w:bCs/>
          <w:sz w:val="24"/>
          <w:szCs w:val="24"/>
          <w:lang w:eastAsia="sk-SK"/>
        </w:rPr>
      </w:pPr>
    </w:p>
    <w:p w:rsidR="001B6627" w:rsidRDefault="001B6627" w:rsidP="003C289B">
      <w:pPr>
        <w:spacing w:after="0" w:line="240" w:lineRule="auto"/>
        <w:jc w:val="both"/>
        <w:rPr>
          <w:rFonts w:ascii="Times New Roman" w:hAnsi="Times New Roman"/>
          <w:bCs/>
          <w:sz w:val="24"/>
          <w:szCs w:val="24"/>
          <w:lang w:eastAsia="sk-SK"/>
        </w:rPr>
      </w:pPr>
    </w:p>
    <w:p w:rsidR="001B6627" w:rsidRDefault="001B6627" w:rsidP="003C289B">
      <w:pPr>
        <w:spacing w:after="0" w:line="240" w:lineRule="auto"/>
        <w:jc w:val="both"/>
        <w:rPr>
          <w:rFonts w:ascii="Times New Roman" w:hAnsi="Times New Roman"/>
          <w:bCs/>
          <w:sz w:val="24"/>
          <w:szCs w:val="24"/>
          <w:lang w:eastAsia="sk-SK"/>
        </w:rPr>
      </w:pPr>
    </w:p>
    <w:p w:rsidR="001B6627" w:rsidRDefault="001B6627" w:rsidP="003C289B">
      <w:pPr>
        <w:spacing w:after="0" w:line="240" w:lineRule="auto"/>
        <w:jc w:val="both"/>
        <w:rPr>
          <w:rFonts w:ascii="Times New Roman" w:hAnsi="Times New Roman"/>
          <w:bCs/>
          <w:sz w:val="24"/>
          <w:szCs w:val="24"/>
          <w:lang w:eastAsia="sk-SK"/>
        </w:rPr>
      </w:pPr>
    </w:p>
    <w:p w:rsidR="007449CF" w:rsidRDefault="007449CF" w:rsidP="003C289B">
      <w:pPr>
        <w:spacing w:after="0" w:line="240" w:lineRule="auto"/>
        <w:jc w:val="both"/>
        <w:rPr>
          <w:rFonts w:ascii="Times New Roman" w:hAnsi="Times New Roman"/>
          <w:bCs/>
          <w:sz w:val="24"/>
          <w:szCs w:val="24"/>
          <w:lang w:eastAsia="sk-SK"/>
        </w:rPr>
      </w:pPr>
    </w:p>
    <w:p w:rsidR="007449CF" w:rsidRDefault="007449CF" w:rsidP="00E55BCB">
      <w:pPr>
        <w:tabs>
          <w:tab w:val="left" w:pos="3105"/>
        </w:tabs>
        <w:spacing w:after="0" w:line="240" w:lineRule="auto"/>
        <w:jc w:val="both"/>
        <w:rPr>
          <w:rFonts w:ascii="Times New Roman" w:hAnsi="Times New Roman"/>
          <w:bCs/>
          <w:sz w:val="24"/>
          <w:szCs w:val="24"/>
          <w:lang w:eastAsia="sk-SK"/>
        </w:rPr>
      </w:pPr>
    </w:p>
    <w:p w:rsidR="00E55BCB" w:rsidRDefault="00E55BCB" w:rsidP="00E55BCB">
      <w:pPr>
        <w:tabs>
          <w:tab w:val="left" w:pos="3105"/>
        </w:tabs>
        <w:spacing w:after="0" w:line="240" w:lineRule="auto"/>
        <w:jc w:val="both"/>
        <w:rPr>
          <w:rFonts w:ascii="Times New Roman" w:hAnsi="Times New Roman"/>
          <w:bCs/>
          <w:sz w:val="24"/>
          <w:szCs w:val="24"/>
          <w:lang w:eastAsia="sk-SK"/>
        </w:rPr>
      </w:pPr>
    </w:p>
    <w:p w:rsidR="007449CF" w:rsidRDefault="007449CF"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186E74" w:rsidRDefault="00186E74"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8D4951" w:rsidRDefault="008D4951" w:rsidP="003C289B">
      <w:pPr>
        <w:spacing w:after="0" w:line="240" w:lineRule="auto"/>
        <w:jc w:val="both"/>
        <w:rPr>
          <w:rFonts w:ascii="Times New Roman" w:hAnsi="Times New Roman"/>
          <w:bCs/>
          <w:sz w:val="24"/>
          <w:szCs w:val="24"/>
          <w:lang w:eastAsia="sk-SK"/>
        </w:rPr>
      </w:pPr>
    </w:p>
    <w:p w:rsidR="00725EAF" w:rsidRDefault="00725EAF" w:rsidP="003C289B">
      <w:pPr>
        <w:spacing w:after="0" w:line="240" w:lineRule="auto"/>
        <w:jc w:val="both"/>
        <w:rPr>
          <w:rFonts w:ascii="Times New Roman" w:hAnsi="Times New Roman"/>
          <w:bCs/>
          <w:sz w:val="24"/>
          <w:szCs w:val="24"/>
          <w:lang w:eastAsia="sk-SK"/>
        </w:rPr>
      </w:pPr>
    </w:p>
    <w:p w:rsidR="00725EAF" w:rsidRDefault="00725EAF" w:rsidP="003C289B">
      <w:pPr>
        <w:spacing w:after="0" w:line="240" w:lineRule="auto"/>
        <w:jc w:val="both"/>
        <w:rPr>
          <w:rFonts w:ascii="Times New Roman" w:hAnsi="Times New Roman"/>
          <w:bCs/>
          <w:sz w:val="24"/>
          <w:szCs w:val="24"/>
          <w:lang w:eastAsia="sk-SK"/>
        </w:rPr>
      </w:pPr>
    </w:p>
    <w:p w:rsidR="00725EAF" w:rsidRDefault="00725EAF" w:rsidP="003C289B">
      <w:pPr>
        <w:spacing w:after="0" w:line="240" w:lineRule="auto"/>
        <w:jc w:val="both"/>
        <w:rPr>
          <w:rFonts w:ascii="Times New Roman" w:hAnsi="Times New Roman"/>
          <w:bCs/>
          <w:sz w:val="24"/>
          <w:szCs w:val="24"/>
          <w:lang w:eastAsia="sk-SK"/>
        </w:rPr>
      </w:pPr>
    </w:p>
    <w:p w:rsidR="00725EAF" w:rsidRDefault="00725EAF" w:rsidP="003C289B">
      <w:pPr>
        <w:spacing w:after="0" w:line="240" w:lineRule="auto"/>
        <w:jc w:val="both"/>
        <w:rPr>
          <w:rFonts w:ascii="Times New Roman" w:hAnsi="Times New Roman"/>
          <w:bCs/>
          <w:sz w:val="24"/>
          <w:szCs w:val="24"/>
          <w:lang w:eastAsia="sk-SK"/>
        </w:rPr>
      </w:pPr>
    </w:p>
    <w:p w:rsidR="00725EAF" w:rsidRDefault="00725EAF" w:rsidP="003C289B">
      <w:pPr>
        <w:spacing w:after="0" w:line="240" w:lineRule="auto"/>
        <w:jc w:val="both"/>
        <w:rPr>
          <w:rFonts w:ascii="Times New Roman" w:hAnsi="Times New Roman"/>
          <w:bCs/>
          <w:sz w:val="24"/>
          <w:szCs w:val="24"/>
          <w:lang w:eastAsia="sk-SK"/>
        </w:rPr>
      </w:pPr>
    </w:p>
    <w:p w:rsidR="00A41559" w:rsidRDefault="00A41559" w:rsidP="003C289B">
      <w:pPr>
        <w:spacing w:after="0" w:line="240" w:lineRule="auto"/>
        <w:jc w:val="both"/>
        <w:rPr>
          <w:rFonts w:ascii="Times New Roman" w:hAnsi="Times New Roman"/>
          <w:bCs/>
          <w:sz w:val="24"/>
          <w:szCs w:val="24"/>
          <w:lang w:eastAsia="sk-SK"/>
        </w:rPr>
      </w:pPr>
    </w:p>
    <w:p w:rsidR="00A41559" w:rsidRDefault="00A41559" w:rsidP="003C289B">
      <w:pPr>
        <w:spacing w:after="0" w:line="240" w:lineRule="auto"/>
        <w:jc w:val="both"/>
        <w:rPr>
          <w:rFonts w:ascii="Times New Roman" w:hAnsi="Times New Roman"/>
          <w:bCs/>
          <w:sz w:val="24"/>
          <w:szCs w:val="24"/>
          <w:lang w:eastAsia="sk-SK"/>
        </w:rPr>
      </w:pPr>
    </w:p>
    <w:p w:rsidR="007449CF" w:rsidRDefault="007449CF" w:rsidP="003C289B">
      <w:pPr>
        <w:spacing w:after="0" w:line="240" w:lineRule="auto"/>
        <w:jc w:val="both"/>
        <w:rPr>
          <w:rFonts w:ascii="Times New Roman" w:hAnsi="Times New Roman"/>
          <w:bCs/>
          <w:sz w:val="24"/>
          <w:szCs w:val="24"/>
          <w:lang w:eastAsia="sk-SK"/>
        </w:rPr>
      </w:pPr>
    </w:p>
    <w:tbl>
      <w:tblPr>
        <w:tblStyle w:val="Mriekatabuky"/>
        <w:tblW w:w="0" w:type="auto"/>
        <w:tblLook w:val="04A0" w:firstRow="1" w:lastRow="0" w:firstColumn="1" w:lastColumn="0" w:noHBand="0" w:noVBand="1"/>
      </w:tblPr>
      <w:tblGrid>
        <w:gridCol w:w="9212"/>
      </w:tblGrid>
      <w:tr w:rsidR="003C289B" w:rsidRPr="003C289B" w:rsidTr="006109A7">
        <w:trPr>
          <w:trHeight w:val="567"/>
        </w:trPr>
        <w:tc>
          <w:tcPr>
            <w:tcW w:w="9212" w:type="dxa"/>
            <w:shd w:val="clear" w:color="auto" w:fill="D9D9D9" w:themeFill="background1" w:themeFillShade="D9"/>
          </w:tcPr>
          <w:p w:rsidR="003C289B" w:rsidRPr="003C289B" w:rsidRDefault="003C289B" w:rsidP="006109A7">
            <w:pPr>
              <w:jc w:val="center"/>
              <w:rPr>
                <w:rFonts w:ascii="Times New Roman" w:hAnsi="Times New Roman"/>
                <w:b/>
                <w:sz w:val="24"/>
              </w:rPr>
            </w:pPr>
            <w:r w:rsidRPr="003C289B">
              <w:rPr>
                <w:rFonts w:ascii="Times New Roman" w:hAnsi="Times New Roman"/>
                <w:b/>
                <w:sz w:val="28"/>
              </w:rPr>
              <w:t xml:space="preserve">Analýza vplyvov na podnikateľské prostredie </w:t>
            </w:r>
          </w:p>
          <w:p w:rsidR="003C289B" w:rsidRPr="003C289B" w:rsidRDefault="003C289B" w:rsidP="006109A7">
            <w:pPr>
              <w:jc w:val="center"/>
              <w:rPr>
                <w:rFonts w:ascii="Times New Roman" w:hAnsi="Times New Roman"/>
                <w:b/>
              </w:rPr>
            </w:pPr>
            <w:r w:rsidRPr="003C289B">
              <w:rPr>
                <w:rFonts w:ascii="Times New Roman" w:hAnsi="Times New Roman"/>
                <w:b/>
                <w:sz w:val="24"/>
              </w:rPr>
              <w:t>(vrátane testu MSP)</w:t>
            </w:r>
          </w:p>
        </w:tc>
      </w:tr>
      <w:tr w:rsidR="003C289B" w:rsidRPr="003C289B" w:rsidTr="006109A7">
        <w:trPr>
          <w:trHeight w:val="567"/>
        </w:trPr>
        <w:tc>
          <w:tcPr>
            <w:tcW w:w="9212" w:type="dxa"/>
            <w:shd w:val="clear" w:color="auto" w:fill="D9D9D9" w:themeFill="background1" w:themeFillShade="D9"/>
          </w:tcPr>
          <w:p w:rsidR="003C289B" w:rsidRPr="003C289B" w:rsidRDefault="003C289B" w:rsidP="006109A7">
            <w:pPr>
              <w:rPr>
                <w:rFonts w:ascii="Times New Roman" w:hAnsi="Times New Roman"/>
                <w:b/>
                <w:sz w:val="24"/>
              </w:rPr>
            </w:pPr>
            <w:r w:rsidRPr="003C289B">
              <w:rPr>
                <w:rFonts w:ascii="Times New Roman" w:hAnsi="Times New Roman"/>
                <w:b/>
                <w:sz w:val="24"/>
              </w:rPr>
              <w:t>Materiál bude mať vplyv s ohľadom na veľkostnú kategóriu podnikov:</w:t>
            </w:r>
          </w:p>
        </w:tc>
      </w:tr>
      <w:tr w:rsidR="003C289B" w:rsidRPr="003C289B" w:rsidTr="006109A7">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3C289B" w:rsidRPr="003C289B" w:rsidTr="006109A7">
              <w:tc>
                <w:tcPr>
                  <w:tcW w:w="436" w:type="dxa"/>
                </w:tcPr>
                <w:p w:rsidR="003C289B" w:rsidRPr="003C289B" w:rsidRDefault="003C289B" w:rsidP="006109A7">
                  <w:pPr>
                    <w:jc w:val="center"/>
                    <w:rPr>
                      <w:rFonts w:ascii="Times New Roman" w:hAnsi="Times New Roman"/>
                    </w:rPr>
                  </w:pPr>
                  <w:r w:rsidRPr="003C289B">
                    <w:rPr>
                      <w:rFonts w:ascii="Segoe UI Symbol" w:eastAsia="MS Mincho" w:hAnsi="Segoe UI Symbol" w:cs="Segoe UI Symbol"/>
                    </w:rPr>
                    <w:t>☐</w:t>
                  </w:r>
                </w:p>
              </w:tc>
              <w:tc>
                <w:tcPr>
                  <w:tcW w:w="8545" w:type="dxa"/>
                </w:tcPr>
                <w:p w:rsidR="003C289B" w:rsidRPr="003C289B" w:rsidRDefault="003C289B" w:rsidP="006109A7">
                  <w:pPr>
                    <w:rPr>
                      <w:rFonts w:ascii="Times New Roman" w:hAnsi="Times New Roman"/>
                      <w:b/>
                    </w:rPr>
                  </w:pPr>
                  <w:r w:rsidRPr="003C289B">
                    <w:rPr>
                      <w:rFonts w:ascii="Times New Roman" w:hAnsi="Times New Roman"/>
                      <w:b/>
                    </w:rPr>
                    <w:t xml:space="preserve">iba na MSP (0 - 249 zamestnancov) </w:t>
                  </w:r>
                </w:p>
              </w:tc>
            </w:tr>
            <w:tr w:rsidR="003C289B" w:rsidRPr="003C289B" w:rsidTr="006109A7">
              <w:tc>
                <w:tcPr>
                  <w:tcW w:w="436" w:type="dxa"/>
                </w:tcPr>
                <w:p w:rsidR="003C289B" w:rsidRPr="003C289B" w:rsidRDefault="003C289B" w:rsidP="006109A7">
                  <w:pPr>
                    <w:jc w:val="center"/>
                    <w:rPr>
                      <w:rFonts w:ascii="Times New Roman" w:hAnsi="Times New Roman"/>
                    </w:rPr>
                  </w:pPr>
                  <w:r w:rsidRPr="003C289B">
                    <w:rPr>
                      <w:rFonts w:ascii="Segoe UI Symbol" w:eastAsia="MS Mincho" w:hAnsi="Segoe UI Symbol" w:cs="Segoe UI Symbol"/>
                    </w:rPr>
                    <w:t>☐</w:t>
                  </w:r>
                </w:p>
              </w:tc>
              <w:tc>
                <w:tcPr>
                  <w:tcW w:w="8545" w:type="dxa"/>
                </w:tcPr>
                <w:p w:rsidR="003C289B" w:rsidRPr="003C289B" w:rsidRDefault="003C289B" w:rsidP="006109A7">
                  <w:pPr>
                    <w:rPr>
                      <w:rFonts w:ascii="Times New Roman" w:hAnsi="Times New Roman"/>
                      <w:b/>
                    </w:rPr>
                  </w:pPr>
                  <w:r w:rsidRPr="003C289B">
                    <w:rPr>
                      <w:rFonts w:ascii="Times New Roman" w:hAnsi="Times New Roman"/>
                      <w:b/>
                    </w:rPr>
                    <w:t>iba na veľké podniky (250 a viac zamestnancov)</w:t>
                  </w:r>
                </w:p>
              </w:tc>
            </w:tr>
            <w:tr w:rsidR="003C289B" w:rsidRPr="003C289B" w:rsidTr="006109A7">
              <w:tc>
                <w:tcPr>
                  <w:tcW w:w="436" w:type="dxa"/>
                </w:tcPr>
                <w:p w:rsidR="003C289B" w:rsidRPr="003C289B" w:rsidRDefault="003C289B" w:rsidP="006109A7">
                  <w:pPr>
                    <w:jc w:val="center"/>
                    <w:rPr>
                      <w:rFonts w:ascii="Times New Roman" w:hAnsi="Times New Roman"/>
                    </w:rPr>
                  </w:pPr>
                  <w:r w:rsidRPr="003C289B">
                    <w:rPr>
                      <w:rFonts w:ascii="Segoe UI Symbol" w:eastAsia="MS Gothic" w:hAnsi="Segoe UI Symbol" w:cs="Segoe UI Symbol"/>
                    </w:rPr>
                    <w:t>☒</w:t>
                  </w:r>
                </w:p>
              </w:tc>
              <w:tc>
                <w:tcPr>
                  <w:tcW w:w="8545" w:type="dxa"/>
                </w:tcPr>
                <w:p w:rsidR="003C289B" w:rsidRPr="003C289B" w:rsidRDefault="003C289B" w:rsidP="006109A7">
                  <w:pPr>
                    <w:rPr>
                      <w:rFonts w:ascii="Times New Roman" w:hAnsi="Times New Roman"/>
                    </w:rPr>
                  </w:pPr>
                  <w:r w:rsidRPr="003C289B">
                    <w:rPr>
                      <w:rFonts w:ascii="Times New Roman" w:hAnsi="Times New Roman"/>
                      <w:b/>
                    </w:rPr>
                    <w:t>na všetky kategórie podnikov</w:t>
                  </w:r>
                </w:p>
              </w:tc>
            </w:tr>
          </w:tbl>
          <w:p w:rsidR="003C289B" w:rsidRPr="003C289B" w:rsidRDefault="003C289B" w:rsidP="006109A7">
            <w:pPr>
              <w:rPr>
                <w:rFonts w:ascii="Times New Roman" w:hAnsi="Times New Roman"/>
                <w:b/>
              </w:rPr>
            </w:pPr>
          </w:p>
        </w:tc>
      </w:tr>
      <w:tr w:rsidR="003C289B" w:rsidRPr="003C289B" w:rsidTr="006109A7">
        <w:tc>
          <w:tcPr>
            <w:tcW w:w="9212" w:type="dxa"/>
            <w:shd w:val="clear" w:color="auto" w:fill="D9D9D9" w:themeFill="background1" w:themeFillShade="D9"/>
          </w:tcPr>
          <w:p w:rsidR="003C289B" w:rsidRPr="003C289B" w:rsidRDefault="003C289B" w:rsidP="006109A7">
            <w:pPr>
              <w:rPr>
                <w:rFonts w:ascii="Times New Roman" w:hAnsi="Times New Roman"/>
                <w:b/>
                <w:sz w:val="24"/>
              </w:rPr>
            </w:pPr>
            <w:r w:rsidRPr="003C289B">
              <w:rPr>
                <w:rFonts w:ascii="Times New Roman" w:hAnsi="Times New Roman"/>
                <w:b/>
                <w:sz w:val="24"/>
              </w:rPr>
              <w:t>3.1 Dotknuté podnikateľské subjekty</w:t>
            </w:r>
          </w:p>
          <w:p w:rsidR="003C289B" w:rsidRPr="003C289B" w:rsidRDefault="003C289B" w:rsidP="006109A7">
            <w:pPr>
              <w:ind w:left="284"/>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rsidR="003C289B" w:rsidRPr="003C289B" w:rsidTr="006109A7">
        <w:tc>
          <w:tcPr>
            <w:tcW w:w="9212" w:type="dxa"/>
          </w:tcPr>
          <w:p w:rsidR="003C289B" w:rsidRPr="003C289B" w:rsidRDefault="003C289B" w:rsidP="00965EEA">
            <w:pPr>
              <w:jc w:val="both"/>
              <w:rPr>
                <w:rFonts w:ascii="Times New Roman" w:hAnsi="Times New Roman"/>
                <w:i/>
              </w:rPr>
            </w:pPr>
            <w:r w:rsidRPr="003C289B">
              <w:rPr>
                <w:rFonts w:ascii="Times New Roman" w:hAnsi="Times New Roman"/>
                <w:i/>
              </w:rPr>
              <w:t>Uveďte, aké podnikateľské subjekty budú predkladaným návrhom ovplyvnené.</w:t>
            </w:r>
          </w:p>
          <w:p w:rsidR="003C289B" w:rsidRPr="003C289B" w:rsidRDefault="003C289B" w:rsidP="00965EEA">
            <w:pPr>
              <w:jc w:val="both"/>
              <w:rPr>
                <w:rFonts w:ascii="Times New Roman" w:hAnsi="Times New Roman"/>
                <w:i/>
              </w:rPr>
            </w:pPr>
            <w:r w:rsidRPr="003C289B">
              <w:rPr>
                <w:rFonts w:ascii="Times New Roman" w:hAnsi="Times New Roman"/>
                <w:i/>
              </w:rPr>
              <w:t>Aký je ich počet?</w:t>
            </w:r>
          </w:p>
        </w:tc>
      </w:tr>
      <w:tr w:rsidR="003C289B" w:rsidRPr="003C289B" w:rsidTr="006109A7">
        <w:trPr>
          <w:trHeight w:val="637"/>
        </w:trPr>
        <w:tc>
          <w:tcPr>
            <w:tcW w:w="9212" w:type="dxa"/>
          </w:tcPr>
          <w:p w:rsidR="00C1799A" w:rsidRDefault="00EA1976" w:rsidP="005D3FB1">
            <w:pPr>
              <w:jc w:val="both"/>
              <w:rPr>
                <w:rFonts w:ascii="Times New Roman" w:hAnsi="Times New Roman"/>
                <w:sz w:val="20"/>
                <w:szCs w:val="20"/>
              </w:rPr>
            </w:pPr>
            <w:r w:rsidRPr="00186E74">
              <w:rPr>
                <w:rFonts w:ascii="Times New Roman" w:hAnsi="Times New Roman"/>
                <w:sz w:val="20"/>
                <w:szCs w:val="20"/>
              </w:rPr>
              <w:t>Všeobecne sa predpokladá, že návrh zákona ovplyvní tie podnikateľské subjekty, ktoré obchodujú s</w:t>
            </w:r>
            <w:r w:rsidR="00AA6FC3" w:rsidRPr="00186E74">
              <w:rPr>
                <w:rFonts w:ascii="Times New Roman" w:hAnsi="Times New Roman"/>
                <w:sz w:val="20"/>
                <w:szCs w:val="20"/>
              </w:rPr>
              <w:t> elektrinou, uhlím a zemným plynom</w:t>
            </w:r>
            <w:r w:rsidRPr="00186E74">
              <w:rPr>
                <w:rFonts w:ascii="Times New Roman" w:hAnsi="Times New Roman"/>
                <w:sz w:val="20"/>
                <w:szCs w:val="20"/>
              </w:rPr>
              <w:t xml:space="preserve">. </w:t>
            </w:r>
            <w:r w:rsidR="00AA6FC3" w:rsidRPr="00186E74">
              <w:rPr>
                <w:rFonts w:ascii="Times New Roman" w:hAnsi="Times New Roman"/>
                <w:sz w:val="20"/>
                <w:szCs w:val="20"/>
              </w:rPr>
              <w:t>Predovšetkým tie subjekty, ktoré sú registrované a evidované colnými úradmi</w:t>
            </w:r>
            <w:r w:rsidR="00C1799A">
              <w:rPr>
                <w:rFonts w:ascii="Times New Roman" w:hAnsi="Times New Roman"/>
                <w:sz w:val="20"/>
                <w:szCs w:val="20"/>
              </w:rPr>
              <w:t xml:space="preserve"> podľa príslušných ustanovení zákona o spotrebnej dani z elektriny ,uhlia a zemného plynu (na základe údajov z evidencie finančnej správy ide približne o 2135 subjektov).</w:t>
            </w:r>
          </w:p>
          <w:p w:rsidR="003C289B" w:rsidRPr="00C1799A" w:rsidRDefault="00895DF3" w:rsidP="00427AB0">
            <w:pPr>
              <w:jc w:val="both"/>
              <w:rPr>
                <w:rFonts w:ascii="Times New Roman" w:hAnsi="Times New Roman"/>
                <w:sz w:val="20"/>
                <w:szCs w:val="20"/>
              </w:rPr>
            </w:pPr>
            <w:r w:rsidRPr="00186E74">
              <w:rPr>
                <w:rFonts w:ascii="Times New Roman" w:hAnsi="Times New Roman"/>
                <w:sz w:val="20"/>
                <w:szCs w:val="20"/>
              </w:rPr>
              <w:t>Je možné očakávať ako pozitívne, tak i negatívne dopady na podnikateľské subjekty, a t</w:t>
            </w:r>
            <w:r w:rsidR="00C1799A">
              <w:rPr>
                <w:rFonts w:ascii="Times New Roman" w:hAnsi="Times New Roman"/>
                <w:sz w:val="20"/>
                <w:szCs w:val="20"/>
              </w:rPr>
              <w:t xml:space="preserve">o všetkých kategórií podnikov. </w:t>
            </w:r>
          </w:p>
        </w:tc>
      </w:tr>
      <w:tr w:rsidR="003C289B" w:rsidRPr="003C289B" w:rsidTr="006109A7">
        <w:trPr>
          <w:trHeight w:val="339"/>
        </w:trPr>
        <w:tc>
          <w:tcPr>
            <w:tcW w:w="9212" w:type="dxa"/>
            <w:shd w:val="clear" w:color="auto" w:fill="D9D9D9" w:themeFill="background1" w:themeFillShade="D9"/>
          </w:tcPr>
          <w:p w:rsidR="003C289B" w:rsidRPr="003C289B" w:rsidRDefault="003C289B" w:rsidP="006109A7">
            <w:pPr>
              <w:rPr>
                <w:rFonts w:ascii="Times New Roman" w:hAnsi="Times New Roman"/>
                <w:b/>
                <w:sz w:val="24"/>
              </w:rPr>
            </w:pPr>
            <w:r w:rsidRPr="003C289B">
              <w:rPr>
                <w:rFonts w:ascii="Times New Roman" w:hAnsi="Times New Roman"/>
                <w:b/>
                <w:sz w:val="24"/>
              </w:rPr>
              <w:t>3.2 Vyhodnotenie konzultácií</w:t>
            </w:r>
          </w:p>
          <w:p w:rsidR="003C289B" w:rsidRPr="003C289B" w:rsidRDefault="003C289B" w:rsidP="006109A7">
            <w:pPr>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rsidR="003C289B" w:rsidRPr="003C289B" w:rsidTr="006109A7">
        <w:trPr>
          <w:trHeight w:val="557"/>
        </w:trPr>
        <w:tc>
          <w:tcPr>
            <w:tcW w:w="9212" w:type="dxa"/>
          </w:tcPr>
          <w:p w:rsidR="003C289B" w:rsidRPr="003C289B" w:rsidRDefault="003C289B" w:rsidP="00965EEA">
            <w:pPr>
              <w:jc w:val="both"/>
              <w:rPr>
                <w:rFonts w:ascii="Times New Roman" w:hAnsi="Times New Roman"/>
                <w:i/>
              </w:rPr>
            </w:pPr>
            <w:r w:rsidRPr="003C289B">
              <w:rPr>
                <w:rFonts w:ascii="Times New Roman" w:hAnsi="Times New Roman"/>
                <w:i/>
              </w:rPr>
              <w:t>Uveďte, akou formou (verejné alebo cielené konzultácie a prečo) a s kým bol návrh konzultovaný.</w:t>
            </w:r>
          </w:p>
          <w:p w:rsidR="003C289B" w:rsidRPr="003C289B" w:rsidRDefault="003C289B" w:rsidP="00965EEA">
            <w:pPr>
              <w:jc w:val="both"/>
              <w:rPr>
                <w:rFonts w:ascii="Times New Roman" w:hAnsi="Times New Roman"/>
                <w:i/>
              </w:rPr>
            </w:pPr>
            <w:r w:rsidRPr="003C289B">
              <w:rPr>
                <w:rFonts w:ascii="Times New Roman" w:hAnsi="Times New Roman"/>
                <w:i/>
              </w:rPr>
              <w:t>Ako dlho trvali konzultácie?</w:t>
            </w:r>
          </w:p>
          <w:p w:rsidR="003C289B" w:rsidRPr="003C289B" w:rsidRDefault="003C289B" w:rsidP="00965EEA">
            <w:pPr>
              <w:jc w:val="both"/>
              <w:rPr>
                <w:rFonts w:ascii="Times New Roman" w:hAnsi="Times New Roman"/>
                <w:i/>
              </w:rPr>
            </w:pPr>
            <w:r w:rsidRPr="003C289B">
              <w:rPr>
                <w:rFonts w:ascii="Times New Roman" w:hAnsi="Times New Roman"/>
                <w:i/>
              </w:rPr>
              <w:t xml:space="preserve">Uveďte hlavné body konzultácií a výsledky konzultácií. </w:t>
            </w:r>
          </w:p>
        </w:tc>
      </w:tr>
      <w:tr w:rsidR="003C289B" w:rsidRPr="003C289B" w:rsidTr="003D78D7">
        <w:trPr>
          <w:trHeight w:val="272"/>
        </w:trPr>
        <w:tc>
          <w:tcPr>
            <w:tcW w:w="9212" w:type="dxa"/>
          </w:tcPr>
          <w:p w:rsidR="005D3FB1" w:rsidRPr="00186E74" w:rsidRDefault="00796471" w:rsidP="00796471">
            <w:pPr>
              <w:pStyle w:val="Obyajntext"/>
              <w:jc w:val="both"/>
              <w:rPr>
                <w:rFonts w:ascii="Times New Roman" w:hAnsi="Times New Roman"/>
                <w:sz w:val="20"/>
                <w:szCs w:val="24"/>
              </w:rPr>
            </w:pPr>
            <w:r w:rsidRPr="00186E74">
              <w:rPr>
                <w:rFonts w:ascii="Times New Roman" w:hAnsi="Times New Roman"/>
                <w:sz w:val="20"/>
                <w:szCs w:val="24"/>
              </w:rPr>
              <w:t>Na základe zverejnenej predbežnej informácie</w:t>
            </w:r>
            <w:r w:rsidR="00AA6FC3" w:rsidRPr="00186E74">
              <w:rPr>
                <w:rFonts w:ascii="Times New Roman" w:hAnsi="Times New Roman"/>
                <w:sz w:val="20"/>
                <w:szCs w:val="24"/>
              </w:rPr>
              <w:t xml:space="preserve"> PI/2017/219, sa dňa 06. novembra 2017</w:t>
            </w:r>
            <w:r w:rsidRPr="00186E74">
              <w:rPr>
                <w:rFonts w:ascii="Times New Roman" w:hAnsi="Times New Roman"/>
                <w:sz w:val="20"/>
                <w:szCs w:val="24"/>
              </w:rPr>
              <w:t xml:space="preserve"> na pôde Ministerstva financií Slovenskej republiky uskutočnilo v rámci </w:t>
            </w:r>
            <w:r w:rsidR="00186A66" w:rsidRPr="00186E74">
              <w:rPr>
                <w:rFonts w:ascii="Times New Roman" w:hAnsi="Times New Roman"/>
                <w:sz w:val="20"/>
                <w:szCs w:val="24"/>
              </w:rPr>
              <w:t xml:space="preserve">verejných </w:t>
            </w:r>
            <w:r w:rsidRPr="00186E74">
              <w:rPr>
                <w:rFonts w:ascii="Times New Roman" w:hAnsi="Times New Roman"/>
                <w:sz w:val="20"/>
                <w:szCs w:val="24"/>
              </w:rPr>
              <w:t>konzultácií stretnutie</w:t>
            </w:r>
            <w:r w:rsidR="00186A66" w:rsidRPr="00186E74">
              <w:rPr>
                <w:rFonts w:ascii="Times New Roman" w:hAnsi="Times New Roman"/>
                <w:sz w:val="20"/>
                <w:szCs w:val="24"/>
              </w:rPr>
              <w:t xml:space="preserve"> k</w:t>
            </w:r>
            <w:r w:rsidR="00EA1976" w:rsidRPr="00186E74">
              <w:rPr>
                <w:rFonts w:ascii="Times New Roman" w:hAnsi="Times New Roman"/>
                <w:sz w:val="20"/>
                <w:szCs w:val="24"/>
              </w:rPr>
              <w:t> </w:t>
            </w:r>
            <w:r w:rsidR="00186A66" w:rsidRPr="00186E74">
              <w:rPr>
                <w:rFonts w:ascii="Times New Roman" w:hAnsi="Times New Roman"/>
                <w:sz w:val="20"/>
                <w:szCs w:val="24"/>
              </w:rPr>
              <w:t>pripravovanému</w:t>
            </w:r>
            <w:r w:rsidR="00EA1976" w:rsidRPr="00186E74">
              <w:rPr>
                <w:rFonts w:ascii="Times New Roman" w:hAnsi="Times New Roman"/>
                <w:sz w:val="20"/>
                <w:szCs w:val="24"/>
              </w:rPr>
              <w:t xml:space="preserve"> </w:t>
            </w:r>
            <w:r w:rsidR="00186A66" w:rsidRPr="00186E74">
              <w:rPr>
                <w:rFonts w:ascii="Times New Roman" w:hAnsi="Times New Roman"/>
                <w:sz w:val="20"/>
                <w:szCs w:val="24"/>
              </w:rPr>
              <w:t>návrhu zákona</w:t>
            </w:r>
            <w:r w:rsidRPr="00186E74">
              <w:rPr>
                <w:rFonts w:ascii="Times New Roman" w:hAnsi="Times New Roman"/>
                <w:sz w:val="20"/>
                <w:szCs w:val="24"/>
              </w:rPr>
              <w:t xml:space="preserve"> s podnikateľskými subjektami, ktoré obchodujú</w:t>
            </w:r>
            <w:r w:rsidR="00EA1976" w:rsidRPr="00186E74">
              <w:rPr>
                <w:rFonts w:ascii="Times New Roman" w:hAnsi="Times New Roman"/>
                <w:sz w:val="20"/>
                <w:szCs w:val="24"/>
              </w:rPr>
              <w:t xml:space="preserve"> s</w:t>
            </w:r>
            <w:r w:rsidR="00AA6FC3" w:rsidRPr="00186E74">
              <w:rPr>
                <w:rFonts w:ascii="Times New Roman" w:hAnsi="Times New Roman"/>
                <w:sz w:val="20"/>
                <w:szCs w:val="24"/>
              </w:rPr>
              <w:t> </w:t>
            </w:r>
            <w:r w:rsidR="005D3FB1" w:rsidRPr="00186E74">
              <w:rPr>
                <w:rFonts w:ascii="Times New Roman" w:hAnsi="Times New Roman"/>
                <w:sz w:val="20"/>
                <w:szCs w:val="24"/>
              </w:rPr>
              <w:t>elektrinou</w:t>
            </w:r>
            <w:r w:rsidR="00AA6FC3" w:rsidRPr="00186E74">
              <w:rPr>
                <w:rFonts w:ascii="Times New Roman" w:hAnsi="Times New Roman"/>
                <w:sz w:val="20"/>
                <w:szCs w:val="24"/>
              </w:rPr>
              <w:t>, uhlím a zemným plynom.</w:t>
            </w:r>
            <w:r w:rsidRPr="00186E74">
              <w:rPr>
                <w:rFonts w:ascii="Times New Roman" w:hAnsi="Times New Roman"/>
                <w:sz w:val="20"/>
                <w:szCs w:val="24"/>
              </w:rPr>
              <w:t xml:space="preserve"> </w:t>
            </w:r>
            <w:r w:rsidR="00384E06" w:rsidRPr="00186E74">
              <w:rPr>
                <w:rFonts w:ascii="Times New Roman" w:hAnsi="Times New Roman"/>
                <w:sz w:val="20"/>
                <w:szCs w:val="24"/>
              </w:rPr>
              <w:t xml:space="preserve">Zúčastnili sa zástupcovia </w:t>
            </w:r>
            <w:r w:rsidR="005D3FB1" w:rsidRPr="00186E74">
              <w:rPr>
                <w:rFonts w:ascii="Times New Roman" w:hAnsi="Times New Roman"/>
                <w:sz w:val="20"/>
                <w:szCs w:val="24"/>
              </w:rPr>
              <w:t>SAPPO, RÚZ SR, AZZ SR, SEVA, SPP, ZSE, SSE,</w:t>
            </w:r>
            <w:r w:rsidR="00CE09FB" w:rsidRPr="00186E74">
              <w:rPr>
                <w:rFonts w:ascii="Times New Roman" w:hAnsi="Times New Roman"/>
                <w:sz w:val="20"/>
                <w:szCs w:val="24"/>
              </w:rPr>
              <w:t xml:space="preserve"> </w:t>
            </w:r>
            <w:r w:rsidR="005D3FB1" w:rsidRPr="00186E74">
              <w:rPr>
                <w:rFonts w:ascii="Times New Roman" w:hAnsi="Times New Roman"/>
                <w:sz w:val="20"/>
                <w:szCs w:val="24"/>
              </w:rPr>
              <w:t xml:space="preserve">VSE, Eustream, SE a Slovenská inovačná a energetická agentúra. </w:t>
            </w:r>
          </w:p>
          <w:p w:rsidR="00186A66" w:rsidRPr="00186E74" w:rsidRDefault="00796471" w:rsidP="00796471">
            <w:pPr>
              <w:pStyle w:val="Obyajntext"/>
              <w:jc w:val="both"/>
              <w:rPr>
                <w:rFonts w:ascii="Times New Roman" w:hAnsi="Times New Roman"/>
                <w:sz w:val="20"/>
                <w:szCs w:val="24"/>
              </w:rPr>
            </w:pPr>
            <w:r w:rsidRPr="00186E74">
              <w:rPr>
                <w:rFonts w:ascii="Times New Roman" w:hAnsi="Times New Roman"/>
                <w:sz w:val="20"/>
                <w:szCs w:val="24"/>
              </w:rPr>
              <w:t xml:space="preserve">Hlavnou témou tohto stretnutia bolo </w:t>
            </w:r>
          </w:p>
          <w:p w:rsidR="003C289B" w:rsidRPr="00186E74" w:rsidRDefault="00796471" w:rsidP="00186A66">
            <w:pPr>
              <w:pStyle w:val="Obyajntext"/>
              <w:numPr>
                <w:ilvl w:val="0"/>
                <w:numId w:val="10"/>
              </w:numPr>
              <w:ind w:left="284" w:hanging="284"/>
              <w:jc w:val="both"/>
              <w:rPr>
                <w:rFonts w:ascii="Times New Roman" w:hAnsi="Times New Roman"/>
                <w:sz w:val="20"/>
                <w:szCs w:val="24"/>
              </w:rPr>
            </w:pPr>
            <w:r w:rsidRPr="00186E74">
              <w:rPr>
                <w:rFonts w:ascii="Times New Roman" w:hAnsi="Times New Roman"/>
                <w:sz w:val="20"/>
                <w:szCs w:val="24"/>
              </w:rPr>
              <w:t xml:space="preserve">podrobnejšie oboznámiť zástupcov podnikateľských subjektov s oblasťami, ktorých by sa mali dotknúť pripravované </w:t>
            </w:r>
            <w:r w:rsidR="00186A66" w:rsidRPr="00186E74">
              <w:rPr>
                <w:rFonts w:ascii="Times New Roman" w:hAnsi="Times New Roman"/>
                <w:sz w:val="20"/>
                <w:szCs w:val="24"/>
              </w:rPr>
              <w:t xml:space="preserve">návrhy </w:t>
            </w:r>
            <w:r w:rsidRPr="00186E74">
              <w:rPr>
                <w:rFonts w:ascii="Times New Roman" w:hAnsi="Times New Roman"/>
                <w:sz w:val="20"/>
                <w:szCs w:val="24"/>
              </w:rPr>
              <w:t>zm</w:t>
            </w:r>
            <w:r w:rsidR="00384E06" w:rsidRPr="00186E74">
              <w:rPr>
                <w:rFonts w:ascii="Times New Roman" w:hAnsi="Times New Roman"/>
                <w:sz w:val="20"/>
                <w:szCs w:val="24"/>
              </w:rPr>
              <w:t>i</w:t>
            </w:r>
            <w:r w:rsidRPr="00186E74">
              <w:rPr>
                <w:rFonts w:ascii="Times New Roman" w:hAnsi="Times New Roman"/>
                <w:sz w:val="20"/>
                <w:szCs w:val="24"/>
              </w:rPr>
              <w:t>en</w:t>
            </w:r>
            <w:r w:rsidR="00384E06" w:rsidRPr="00186E74">
              <w:rPr>
                <w:rFonts w:ascii="Times New Roman" w:hAnsi="Times New Roman"/>
                <w:sz w:val="20"/>
                <w:szCs w:val="24"/>
              </w:rPr>
              <w:t xml:space="preserve"> </w:t>
            </w:r>
            <w:r w:rsidR="00FD389E" w:rsidRPr="00186E74">
              <w:rPr>
                <w:rFonts w:ascii="Times New Roman" w:hAnsi="Times New Roman"/>
                <w:sz w:val="20"/>
                <w:szCs w:val="24"/>
              </w:rPr>
              <w:t xml:space="preserve">obsiahnuté v </w:t>
            </w:r>
            <w:r w:rsidR="005D3FB1" w:rsidRPr="00186E74">
              <w:rPr>
                <w:rFonts w:ascii="Times New Roman" w:hAnsi="Times New Roman"/>
                <w:sz w:val="20"/>
                <w:szCs w:val="24"/>
              </w:rPr>
              <w:t>návrhu</w:t>
            </w:r>
            <w:r w:rsidRPr="00186E74">
              <w:rPr>
                <w:rFonts w:ascii="Times New Roman" w:hAnsi="Times New Roman"/>
                <w:sz w:val="20"/>
                <w:szCs w:val="24"/>
              </w:rPr>
              <w:t xml:space="preserve"> zákona č. </w:t>
            </w:r>
            <w:r w:rsidR="005D3FB1" w:rsidRPr="00186E74">
              <w:rPr>
                <w:rFonts w:ascii="Times New Roman" w:hAnsi="Times New Roman"/>
                <w:sz w:val="20"/>
                <w:szCs w:val="24"/>
              </w:rPr>
              <w:t>609/2007</w:t>
            </w:r>
            <w:r w:rsidR="00384E06" w:rsidRPr="00186E74">
              <w:rPr>
                <w:rFonts w:ascii="Times New Roman" w:hAnsi="Times New Roman"/>
                <w:sz w:val="20"/>
                <w:szCs w:val="24"/>
              </w:rPr>
              <w:t xml:space="preserve"> </w:t>
            </w:r>
            <w:r w:rsidRPr="00186E74">
              <w:rPr>
                <w:rFonts w:ascii="Times New Roman" w:hAnsi="Times New Roman"/>
                <w:sz w:val="20"/>
                <w:szCs w:val="24"/>
              </w:rPr>
              <w:t>Z. z.</w:t>
            </w:r>
            <w:r w:rsidR="00CE09FB" w:rsidRPr="00186E74">
              <w:rPr>
                <w:rFonts w:ascii="Times New Roman" w:hAnsi="Times New Roman"/>
                <w:sz w:val="20"/>
                <w:szCs w:val="24"/>
              </w:rPr>
              <w:t>,</w:t>
            </w:r>
            <w:r w:rsidR="00186A66" w:rsidRPr="00186E74">
              <w:rPr>
                <w:rFonts w:ascii="Times New Roman" w:hAnsi="Times New Roman"/>
                <w:sz w:val="20"/>
                <w:szCs w:val="24"/>
              </w:rPr>
              <w:t xml:space="preserve"> </w:t>
            </w:r>
          </w:p>
          <w:p w:rsidR="00186A66" w:rsidRPr="00186E74" w:rsidRDefault="00186A66" w:rsidP="00186A66">
            <w:pPr>
              <w:pStyle w:val="Obyajntext"/>
              <w:numPr>
                <w:ilvl w:val="0"/>
                <w:numId w:val="10"/>
              </w:numPr>
              <w:ind w:left="284" w:hanging="284"/>
              <w:jc w:val="both"/>
              <w:rPr>
                <w:rFonts w:ascii="Times New Roman" w:hAnsi="Times New Roman"/>
                <w:sz w:val="20"/>
                <w:szCs w:val="24"/>
              </w:rPr>
            </w:pPr>
            <w:r w:rsidRPr="00186E74">
              <w:rPr>
                <w:rFonts w:ascii="Times New Roman" w:hAnsi="Times New Roman"/>
                <w:sz w:val="20"/>
                <w:szCs w:val="24"/>
              </w:rPr>
              <w:t xml:space="preserve">umožniť </w:t>
            </w:r>
            <w:r w:rsidR="00C2757C" w:rsidRPr="00186E74">
              <w:rPr>
                <w:rFonts w:ascii="Times New Roman" w:hAnsi="Times New Roman"/>
                <w:sz w:val="20"/>
                <w:szCs w:val="24"/>
              </w:rPr>
              <w:t>zástupcom</w:t>
            </w:r>
            <w:r w:rsidRPr="00186E74">
              <w:rPr>
                <w:rFonts w:ascii="Times New Roman" w:hAnsi="Times New Roman"/>
                <w:sz w:val="20"/>
                <w:szCs w:val="24"/>
              </w:rPr>
              <w:t xml:space="preserve"> podnikateľských subjektov vyjadriť sa k týmto návrhom. </w:t>
            </w:r>
          </w:p>
          <w:p w:rsidR="003C289B" w:rsidRPr="00186E74" w:rsidRDefault="003C289B" w:rsidP="006109A7">
            <w:pPr>
              <w:jc w:val="both"/>
              <w:rPr>
                <w:rFonts w:ascii="Times New Roman" w:hAnsi="Times New Roman"/>
                <w:b/>
                <w:sz w:val="20"/>
                <w:szCs w:val="24"/>
              </w:rPr>
            </w:pPr>
            <w:r w:rsidRPr="00186E74">
              <w:rPr>
                <w:rFonts w:ascii="Times New Roman" w:hAnsi="Times New Roman"/>
                <w:b/>
                <w:sz w:val="20"/>
                <w:szCs w:val="24"/>
              </w:rPr>
              <w:t>Závery:</w:t>
            </w:r>
          </w:p>
          <w:p w:rsidR="00963CF2" w:rsidRPr="00186E74" w:rsidRDefault="003C289B" w:rsidP="001C46C1">
            <w:pPr>
              <w:pStyle w:val="Obyajntext"/>
              <w:jc w:val="both"/>
              <w:rPr>
                <w:rFonts w:ascii="Times New Roman" w:hAnsi="Times New Roman"/>
                <w:sz w:val="20"/>
                <w:szCs w:val="24"/>
              </w:rPr>
            </w:pPr>
            <w:r w:rsidRPr="00186E74">
              <w:rPr>
                <w:rFonts w:ascii="Times New Roman" w:hAnsi="Times New Roman"/>
                <w:sz w:val="20"/>
                <w:szCs w:val="24"/>
              </w:rPr>
              <w:t xml:space="preserve">Zástupcovia </w:t>
            </w:r>
            <w:r w:rsidR="00186A66" w:rsidRPr="00186E74">
              <w:rPr>
                <w:rFonts w:ascii="Times New Roman" w:hAnsi="Times New Roman"/>
                <w:sz w:val="20"/>
                <w:szCs w:val="24"/>
              </w:rPr>
              <w:t>podnikateľských subjektov boli vyzvaní aby predložili svoje návrhy a pripomienky k pripravovaným okruhom zmien.</w:t>
            </w:r>
            <w:r w:rsidR="00FD389E" w:rsidRPr="00186E74">
              <w:rPr>
                <w:rFonts w:ascii="Times New Roman" w:hAnsi="Times New Roman"/>
                <w:sz w:val="20"/>
                <w:szCs w:val="24"/>
              </w:rPr>
              <w:t xml:space="preserve"> Ministerstvu financií Slovenskej republiky doručili svoje návrhy </w:t>
            </w:r>
            <w:r w:rsidR="00CE09FB" w:rsidRPr="00186E74">
              <w:rPr>
                <w:rFonts w:ascii="Times New Roman" w:hAnsi="Times New Roman"/>
                <w:sz w:val="20"/>
                <w:szCs w:val="24"/>
              </w:rPr>
              <w:t xml:space="preserve">Stredoslovenská energetika </w:t>
            </w:r>
            <w:r w:rsidR="005D3FB1" w:rsidRPr="00186E74">
              <w:rPr>
                <w:rFonts w:ascii="Times New Roman" w:hAnsi="Times New Roman"/>
                <w:sz w:val="20"/>
                <w:szCs w:val="24"/>
              </w:rPr>
              <w:t>a.</w:t>
            </w:r>
            <w:r w:rsidR="00F50CFA">
              <w:rPr>
                <w:rFonts w:ascii="Times New Roman" w:hAnsi="Times New Roman"/>
                <w:sz w:val="20"/>
                <w:szCs w:val="24"/>
              </w:rPr>
              <w:t xml:space="preserve"> </w:t>
            </w:r>
            <w:r w:rsidR="005D3FB1" w:rsidRPr="00186E74">
              <w:rPr>
                <w:rFonts w:ascii="Times New Roman" w:hAnsi="Times New Roman"/>
                <w:sz w:val="20"/>
                <w:szCs w:val="24"/>
              </w:rPr>
              <w:t>s., Republiková únia zamestnávateľov</w:t>
            </w:r>
            <w:r w:rsidR="00F50CFA">
              <w:rPr>
                <w:rFonts w:ascii="Times New Roman" w:hAnsi="Times New Roman"/>
                <w:sz w:val="20"/>
                <w:szCs w:val="24"/>
              </w:rPr>
              <w:t xml:space="preserve">, </w:t>
            </w:r>
            <w:r w:rsidR="004A4524" w:rsidRPr="00186E74">
              <w:rPr>
                <w:rFonts w:ascii="Times New Roman" w:hAnsi="Times New Roman"/>
                <w:sz w:val="20"/>
                <w:szCs w:val="24"/>
              </w:rPr>
              <w:t xml:space="preserve">Eustream </w:t>
            </w:r>
            <w:r w:rsidR="00895DF3" w:rsidRPr="00186E74">
              <w:rPr>
                <w:rFonts w:ascii="Times New Roman" w:hAnsi="Times New Roman"/>
                <w:sz w:val="20"/>
                <w:szCs w:val="24"/>
              </w:rPr>
              <w:t>a Klub 500.</w:t>
            </w:r>
          </w:p>
          <w:p w:rsidR="0041049A" w:rsidRDefault="0041049A" w:rsidP="00A41559">
            <w:pPr>
              <w:pStyle w:val="Obyajntext"/>
              <w:jc w:val="both"/>
              <w:rPr>
                <w:rFonts w:ascii="Times New Roman" w:hAnsi="Times New Roman"/>
                <w:sz w:val="20"/>
                <w:szCs w:val="24"/>
              </w:rPr>
            </w:pPr>
          </w:p>
          <w:p w:rsidR="003D78D7" w:rsidRPr="00186E74" w:rsidRDefault="00895DF3" w:rsidP="00A41559">
            <w:pPr>
              <w:pStyle w:val="Obyajntext"/>
              <w:jc w:val="both"/>
              <w:rPr>
                <w:rFonts w:ascii="Times New Roman" w:hAnsi="Times New Roman"/>
                <w:sz w:val="20"/>
                <w:szCs w:val="8"/>
              </w:rPr>
            </w:pPr>
            <w:r w:rsidRPr="00186E74">
              <w:rPr>
                <w:rFonts w:ascii="Times New Roman" w:hAnsi="Times New Roman"/>
                <w:sz w:val="20"/>
                <w:szCs w:val="24"/>
              </w:rPr>
              <w:t>Zástupcovia podnikateľských subjektov boli tiež informovaní o možnosti vyjadrenia sa a predkladania prípadných pripomienok k návrhu zákona v rámci medzirezortného pripomienkového konania.</w:t>
            </w:r>
          </w:p>
        </w:tc>
      </w:tr>
      <w:tr w:rsidR="003C289B" w:rsidRPr="003C289B" w:rsidTr="006109A7">
        <w:tc>
          <w:tcPr>
            <w:tcW w:w="9212" w:type="dxa"/>
            <w:shd w:val="clear" w:color="auto" w:fill="D9D9D9" w:themeFill="background1" w:themeFillShade="D9"/>
          </w:tcPr>
          <w:p w:rsidR="003C289B" w:rsidRPr="003C289B" w:rsidRDefault="003C289B" w:rsidP="006109A7">
            <w:pPr>
              <w:rPr>
                <w:rFonts w:ascii="Times New Roman" w:hAnsi="Times New Roman"/>
                <w:b/>
                <w:sz w:val="24"/>
              </w:rPr>
            </w:pPr>
            <w:r w:rsidRPr="003C289B">
              <w:rPr>
                <w:rFonts w:ascii="Times New Roman" w:hAnsi="Times New Roman"/>
                <w:b/>
                <w:sz w:val="24"/>
              </w:rPr>
              <w:t>3.3 Náklady regulácie</w:t>
            </w:r>
          </w:p>
          <w:p w:rsidR="003C289B" w:rsidRPr="003C289B" w:rsidRDefault="003C289B" w:rsidP="006109A7">
            <w:pPr>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rsidR="003C289B" w:rsidRPr="003C289B" w:rsidTr="004A4524">
        <w:trPr>
          <w:trHeight w:val="890"/>
        </w:trPr>
        <w:tc>
          <w:tcPr>
            <w:tcW w:w="9212" w:type="dxa"/>
          </w:tcPr>
          <w:p w:rsidR="003C289B" w:rsidRPr="003C289B" w:rsidRDefault="003C289B" w:rsidP="006109A7">
            <w:pPr>
              <w:rPr>
                <w:rFonts w:ascii="Times New Roman" w:hAnsi="Times New Roman"/>
                <w:b/>
                <w:i/>
              </w:rPr>
            </w:pPr>
            <w:r w:rsidRPr="003C289B">
              <w:rPr>
                <w:rFonts w:ascii="Times New Roman" w:hAnsi="Times New Roman"/>
                <w:b/>
                <w:i/>
              </w:rPr>
              <w:t>3.3.1 Priame finančné náklady</w:t>
            </w:r>
          </w:p>
          <w:p w:rsidR="003C289B" w:rsidRPr="003C289B" w:rsidRDefault="003C289B" w:rsidP="00965EEA">
            <w:pPr>
              <w:jc w:val="both"/>
              <w:rPr>
                <w:rFonts w:ascii="Times New Roman" w:hAnsi="Times New Roman"/>
                <w:i/>
              </w:rPr>
            </w:pPr>
            <w:r w:rsidRPr="003C289B">
              <w:rPr>
                <w:rFonts w:ascii="Times New Roman" w:hAnsi="Times New Roman"/>
                <w:i/>
              </w:rPr>
              <w:t>Dochádza k zvýšeniu/zníženiu priamych finančných nákladov (poplatky, odvody, dane</w:t>
            </w:r>
            <w:r w:rsidR="009D5E09">
              <w:rPr>
                <w:rFonts w:ascii="Times New Roman" w:hAnsi="Times New Roman"/>
                <w:i/>
              </w:rPr>
              <w:t>,</w:t>
            </w:r>
            <w:r w:rsidRPr="003C289B">
              <w:rPr>
                <w:rFonts w:ascii="Times New Roman" w:hAnsi="Times New Roman"/>
                <w:i/>
              </w:rPr>
              <w:t xml:space="preserve"> clá...)? Ak áno, popíšte a vyčíslite ich. Uveďte tiež spôsob ich výpočtu. </w:t>
            </w:r>
          </w:p>
        </w:tc>
      </w:tr>
      <w:tr w:rsidR="003C289B" w:rsidRPr="003C289B" w:rsidTr="006109A7">
        <w:tc>
          <w:tcPr>
            <w:tcW w:w="9212" w:type="dxa"/>
          </w:tcPr>
          <w:p w:rsidR="00427AB0" w:rsidRPr="00A916DD" w:rsidRDefault="00427AB0" w:rsidP="00427AB0">
            <w:pPr>
              <w:jc w:val="both"/>
              <w:rPr>
                <w:rFonts w:ascii="Times New Roman" w:hAnsi="Times New Roman"/>
                <w:bCs/>
                <w:sz w:val="20"/>
                <w:szCs w:val="20"/>
                <w:lang w:eastAsia="sk-SK"/>
              </w:rPr>
            </w:pPr>
            <w:r w:rsidRPr="00A916DD">
              <w:rPr>
                <w:rFonts w:ascii="Times New Roman" w:hAnsi="Times New Roman"/>
                <w:bCs/>
                <w:sz w:val="20"/>
                <w:szCs w:val="20"/>
                <w:lang w:eastAsia="sk-SK"/>
              </w:rPr>
              <w:t>Pozitívnym vplyvom je napríklad zavedenie oslobodenia od spotrebnej dane u uhlia pri technicky odôvodnených stratách.</w:t>
            </w:r>
            <w:r w:rsidR="00A916DD" w:rsidRPr="00A916DD">
              <w:rPr>
                <w:sz w:val="20"/>
                <w:szCs w:val="20"/>
              </w:rPr>
              <w:t xml:space="preserve"> </w:t>
            </w:r>
            <w:r w:rsidR="00A916DD" w:rsidRPr="00A916DD">
              <w:rPr>
                <w:rFonts w:ascii="Times New Roman" w:hAnsi="Times New Roman"/>
                <w:bCs/>
                <w:sz w:val="20"/>
                <w:szCs w:val="20"/>
                <w:lang w:eastAsia="sk-SK"/>
              </w:rPr>
              <w:t>Navrhovanou úpravou sa do zákona dopĺňa možnosť oslobodenia od spotrebnej dane z uhlia v prípade, ak dôjde k jeho zničeniu</w:t>
            </w:r>
            <w:r w:rsidR="008D4951">
              <w:rPr>
                <w:rFonts w:ascii="Times New Roman" w:hAnsi="Times New Roman"/>
                <w:bCs/>
                <w:sz w:val="20"/>
                <w:szCs w:val="20"/>
                <w:lang w:eastAsia="sk-SK"/>
              </w:rPr>
              <w:t xml:space="preserve"> vplyvom vyššej moci</w:t>
            </w:r>
            <w:r w:rsidR="00E77E1D">
              <w:rPr>
                <w:rFonts w:ascii="Times New Roman" w:hAnsi="Times New Roman"/>
                <w:bCs/>
                <w:sz w:val="20"/>
                <w:szCs w:val="20"/>
                <w:lang w:eastAsia="sk-SK"/>
              </w:rPr>
              <w:t xml:space="preserve"> (požiar, prírodná katastrofa)</w:t>
            </w:r>
            <w:r w:rsidR="00A916DD" w:rsidRPr="00A916DD">
              <w:rPr>
                <w:rFonts w:ascii="Times New Roman" w:hAnsi="Times New Roman"/>
                <w:bCs/>
                <w:sz w:val="20"/>
                <w:szCs w:val="20"/>
                <w:lang w:eastAsia="sk-SK"/>
              </w:rPr>
              <w:t>. Uhlie je oslobodené od dane maximálne do výšky technicky odôvodnených skutočných strát, pričom tieto musia byť uznané správcom dane.</w:t>
            </w:r>
          </w:p>
          <w:p w:rsidR="00427AB0" w:rsidRPr="00A916DD" w:rsidRDefault="00427AB0" w:rsidP="00427AB0">
            <w:pPr>
              <w:jc w:val="both"/>
              <w:rPr>
                <w:rFonts w:ascii="Times New Roman" w:hAnsi="Times New Roman"/>
                <w:bCs/>
                <w:sz w:val="20"/>
                <w:szCs w:val="20"/>
                <w:lang w:eastAsia="sk-SK"/>
              </w:rPr>
            </w:pPr>
            <w:r w:rsidRPr="00A916DD">
              <w:rPr>
                <w:rFonts w:ascii="Times New Roman" w:hAnsi="Times New Roman"/>
                <w:bCs/>
                <w:sz w:val="20"/>
                <w:szCs w:val="20"/>
                <w:lang w:eastAsia="sk-SK"/>
              </w:rPr>
              <w:t>Rovnako možno predpokladať vplyv na podnikateľské subjekty, ktoré obchodujú s  minerálnym olejom podľa zákona č. 98/2004 Z. z. o spotrebnej dani z minerálneho oleja v znení neskorších predpisov.</w:t>
            </w:r>
          </w:p>
          <w:p w:rsidR="003D78D7" w:rsidRPr="003D78D7" w:rsidRDefault="003D78D7" w:rsidP="00A41559">
            <w:pPr>
              <w:rPr>
                <w:rFonts w:ascii="Times New Roman" w:hAnsi="Times New Roman"/>
                <w:b/>
                <w:i/>
                <w:sz w:val="8"/>
                <w:szCs w:val="8"/>
              </w:rPr>
            </w:pPr>
          </w:p>
        </w:tc>
      </w:tr>
      <w:tr w:rsidR="003C289B" w:rsidRPr="003C289B" w:rsidTr="006109A7">
        <w:tc>
          <w:tcPr>
            <w:tcW w:w="9212" w:type="dxa"/>
          </w:tcPr>
          <w:p w:rsidR="003C289B" w:rsidRPr="003C289B" w:rsidRDefault="003C289B" w:rsidP="006109A7">
            <w:pPr>
              <w:rPr>
                <w:rFonts w:ascii="Times New Roman" w:hAnsi="Times New Roman"/>
                <w:b/>
                <w:i/>
              </w:rPr>
            </w:pPr>
            <w:r w:rsidRPr="003C289B">
              <w:rPr>
                <w:rFonts w:ascii="Times New Roman" w:hAnsi="Times New Roman"/>
                <w:b/>
                <w:i/>
              </w:rPr>
              <w:t>3.3.2 Nepriame finančné náklady</w:t>
            </w:r>
          </w:p>
          <w:p w:rsidR="003C289B" w:rsidRPr="003C289B" w:rsidRDefault="003C289B" w:rsidP="00965EEA">
            <w:pPr>
              <w:jc w:val="both"/>
              <w:rPr>
                <w:rFonts w:ascii="Times New Roman" w:hAnsi="Times New Roman"/>
                <w:i/>
              </w:rPr>
            </w:pPr>
            <w:r w:rsidRPr="003C289B">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3C289B" w:rsidRPr="003C289B" w:rsidTr="006109A7">
        <w:tc>
          <w:tcPr>
            <w:tcW w:w="9212" w:type="dxa"/>
          </w:tcPr>
          <w:p w:rsidR="003D78D7" w:rsidRPr="003D78D7" w:rsidRDefault="003C289B" w:rsidP="00A41559">
            <w:pPr>
              <w:rPr>
                <w:rFonts w:ascii="Times New Roman" w:hAnsi="Times New Roman"/>
                <w:sz w:val="8"/>
                <w:szCs w:val="8"/>
              </w:rPr>
            </w:pPr>
            <w:r w:rsidRPr="00186E74">
              <w:rPr>
                <w:rFonts w:ascii="Times New Roman" w:hAnsi="Times New Roman"/>
                <w:sz w:val="20"/>
                <w:szCs w:val="24"/>
              </w:rPr>
              <w:t>Nepredpokladajú</w:t>
            </w:r>
            <w:r w:rsidR="003D78D7" w:rsidRPr="00186E74">
              <w:rPr>
                <w:rFonts w:ascii="Times New Roman" w:hAnsi="Times New Roman"/>
                <w:sz w:val="20"/>
                <w:szCs w:val="24"/>
              </w:rPr>
              <w:t xml:space="preserve"> sa nepriame finančné náklady.</w:t>
            </w:r>
          </w:p>
        </w:tc>
      </w:tr>
      <w:tr w:rsidR="003C289B" w:rsidRPr="003C289B" w:rsidTr="006109A7">
        <w:tc>
          <w:tcPr>
            <w:tcW w:w="9212" w:type="dxa"/>
          </w:tcPr>
          <w:p w:rsidR="003C289B" w:rsidRPr="003C289B" w:rsidRDefault="003C289B" w:rsidP="006109A7">
            <w:pPr>
              <w:rPr>
                <w:rFonts w:ascii="Times New Roman" w:hAnsi="Times New Roman"/>
                <w:b/>
                <w:i/>
              </w:rPr>
            </w:pPr>
            <w:r w:rsidRPr="003C289B">
              <w:rPr>
                <w:rFonts w:ascii="Times New Roman" w:hAnsi="Times New Roman"/>
                <w:b/>
                <w:i/>
              </w:rPr>
              <w:lastRenderedPageBreak/>
              <w:t>3.3.3 Administratívne náklady</w:t>
            </w:r>
          </w:p>
          <w:p w:rsidR="003C289B" w:rsidRPr="003C289B" w:rsidRDefault="003C289B" w:rsidP="00965EEA">
            <w:pPr>
              <w:jc w:val="both"/>
              <w:rPr>
                <w:rFonts w:ascii="Times New Roman" w:hAnsi="Times New Roman"/>
                <w:i/>
              </w:rPr>
            </w:pPr>
            <w:r w:rsidRPr="003C289B">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3C289B" w:rsidRPr="003C289B" w:rsidTr="006109A7">
        <w:tc>
          <w:tcPr>
            <w:tcW w:w="9212" w:type="dxa"/>
          </w:tcPr>
          <w:p w:rsidR="00E13FF8" w:rsidRDefault="00895DF3" w:rsidP="00E13FF8">
            <w:pPr>
              <w:jc w:val="both"/>
              <w:rPr>
                <w:rFonts w:ascii="Times New Roman" w:hAnsi="Times New Roman"/>
                <w:sz w:val="20"/>
                <w:szCs w:val="24"/>
              </w:rPr>
            </w:pPr>
            <w:r w:rsidRPr="00186E74">
              <w:rPr>
                <w:rFonts w:ascii="Times New Roman" w:hAnsi="Times New Roman"/>
                <w:sz w:val="20"/>
                <w:szCs w:val="24"/>
              </w:rPr>
              <w:t>Predpokladajú sa administratívne náklady pre tie subjekty, ktoré budú v zmysle návrhu zákona povinné podávať daňové priznanie, ako i pre tie subjekty, ktoré budú v zmysle návrhu zákona povinné viesť evidenciu. Rovnako sa zvýšia administratívne náklady pre tie subjekty, ktoré budú povinné registrovať sa na spotrebnú daň z elektriny a zemného plynu.</w:t>
            </w:r>
          </w:p>
          <w:p w:rsidR="00E13FF8" w:rsidRDefault="00DC6952" w:rsidP="00E13FF8">
            <w:pPr>
              <w:jc w:val="both"/>
              <w:rPr>
                <w:rFonts w:ascii="Times New Roman" w:hAnsi="Times New Roman"/>
                <w:sz w:val="20"/>
                <w:szCs w:val="24"/>
              </w:rPr>
            </w:pPr>
            <w:r w:rsidRPr="00DC6952">
              <w:rPr>
                <w:rFonts w:ascii="Times New Roman" w:hAnsi="Times New Roman"/>
                <w:sz w:val="20"/>
                <w:szCs w:val="24"/>
              </w:rPr>
              <w:t xml:space="preserve">Samotné vyplnenie elektronického formulára daňového priznania môže trvať od 5 minút do </w:t>
            </w:r>
            <w:r w:rsidR="00E13FF8">
              <w:rPr>
                <w:rFonts w:ascii="Times New Roman" w:hAnsi="Times New Roman"/>
                <w:sz w:val="20"/>
                <w:szCs w:val="24"/>
              </w:rPr>
              <w:t xml:space="preserve">1 </w:t>
            </w:r>
            <w:r w:rsidRPr="00DC6952">
              <w:rPr>
                <w:rFonts w:ascii="Times New Roman" w:hAnsi="Times New Roman"/>
                <w:sz w:val="20"/>
                <w:szCs w:val="24"/>
              </w:rPr>
              <w:t>hodiny. Tento časový údaj je závislý od veľkosti  a počtu prevádzok platiteľa dane, od počtu a druhov jednotlivých oslobodení, ktoré si v rámci daňového priznania môže uplatňovať</w:t>
            </w:r>
            <w:r>
              <w:rPr>
                <w:rFonts w:ascii="Times New Roman" w:hAnsi="Times New Roman"/>
                <w:sz w:val="20"/>
                <w:szCs w:val="24"/>
              </w:rPr>
              <w:t xml:space="preserve">. </w:t>
            </w:r>
            <w:r w:rsidRPr="00DC6952">
              <w:rPr>
                <w:rFonts w:ascii="Times New Roman" w:hAnsi="Times New Roman"/>
                <w:sz w:val="20"/>
                <w:szCs w:val="24"/>
              </w:rPr>
              <w:t>Náročnosť vedenia evidencie je závislá od vyrobeného predmetu dane, od počtu dodávateľov platiteľa dane, od množstva a veľkosti prevádzok, od po</w:t>
            </w:r>
            <w:r>
              <w:rPr>
                <w:rFonts w:ascii="Times New Roman" w:hAnsi="Times New Roman"/>
                <w:sz w:val="20"/>
                <w:szCs w:val="24"/>
              </w:rPr>
              <w:t>čtu odberateľov predmetu dane.</w:t>
            </w:r>
          </w:p>
          <w:p w:rsidR="00E13FF8" w:rsidRDefault="00DC6952" w:rsidP="00E13FF8">
            <w:pPr>
              <w:jc w:val="both"/>
              <w:rPr>
                <w:rFonts w:ascii="Times New Roman" w:hAnsi="Times New Roman"/>
                <w:sz w:val="20"/>
                <w:szCs w:val="24"/>
              </w:rPr>
            </w:pPr>
            <w:r w:rsidRPr="00DC6952">
              <w:rPr>
                <w:rFonts w:ascii="Times New Roman" w:hAnsi="Times New Roman"/>
                <w:sz w:val="20"/>
                <w:szCs w:val="24"/>
              </w:rPr>
              <w:t>Odhadovaný čas potrebný na vedenie evidencie</w:t>
            </w:r>
            <w:r w:rsidR="00C1799A">
              <w:rPr>
                <w:rFonts w:ascii="Times New Roman" w:hAnsi="Times New Roman"/>
                <w:sz w:val="20"/>
                <w:szCs w:val="24"/>
              </w:rPr>
              <w:t xml:space="preserve"> platiteľom dane sú približne 3 pracovné</w:t>
            </w:r>
            <w:r w:rsidR="00E13FF8">
              <w:rPr>
                <w:rFonts w:ascii="Times New Roman" w:hAnsi="Times New Roman"/>
                <w:sz w:val="20"/>
                <w:szCs w:val="24"/>
              </w:rPr>
              <w:t xml:space="preserve"> </w:t>
            </w:r>
            <w:r w:rsidR="00AF0267">
              <w:rPr>
                <w:rFonts w:ascii="Times New Roman" w:hAnsi="Times New Roman"/>
                <w:sz w:val="20"/>
                <w:szCs w:val="24"/>
              </w:rPr>
              <w:t>dní</w:t>
            </w:r>
            <w:r w:rsidRPr="00DC6952">
              <w:rPr>
                <w:rFonts w:ascii="Times New Roman" w:hAnsi="Times New Roman"/>
                <w:sz w:val="20"/>
                <w:szCs w:val="24"/>
              </w:rPr>
              <w:t xml:space="preserve"> za mesiac</w:t>
            </w:r>
            <w:r w:rsidR="00C1799A">
              <w:rPr>
                <w:rFonts w:ascii="Times New Roman" w:hAnsi="Times New Roman"/>
                <w:sz w:val="20"/>
                <w:szCs w:val="24"/>
              </w:rPr>
              <w:t xml:space="preserve"> </w:t>
            </w:r>
            <w:r w:rsidR="00C1799A" w:rsidRPr="00DC6952">
              <w:rPr>
                <w:rFonts w:ascii="Times New Roman" w:hAnsi="Times New Roman"/>
                <w:sz w:val="20"/>
                <w:szCs w:val="24"/>
              </w:rPr>
              <w:t>pre veľký subjekt</w:t>
            </w:r>
            <w:r w:rsidRPr="00DC6952">
              <w:rPr>
                <w:rFonts w:ascii="Times New Roman" w:hAnsi="Times New Roman"/>
                <w:sz w:val="20"/>
                <w:szCs w:val="24"/>
              </w:rPr>
              <w:t xml:space="preserve"> </w:t>
            </w:r>
            <w:r w:rsidR="00AF0267">
              <w:rPr>
                <w:rFonts w:ascii="Times New Roman" w:hAnsi="Times New Roman"/>
                <w:sz w:val="20"/>
                <w:szCs w:val="24"/>
              </w:rPr>
              <w:t>(</w:t>
            </w:r>
            <w:r w:rsidR="00C1799A">
              <w:rPr>
                <w:rFonts w:ascii="Times New Roman" w:hAnsi="Times New Roman"/>
                <w:sz w:val="20"/>
                <w:szCs w:val="24"/>
              </w:rPr>
              <w:t xml:space="preserve">presnejšie </w:t>
            </w:r>
            <w:r w:rsidR="00AF0267">
              <w:rPr>
                <w:rFonts w:ascii="Times New Roman" w:hAnsi="Times New Roman"/>
                <w:sz w:val="20"/>
                <w:szCs w:val="24"/>
              </w:rPr>
              <w:t xml:space="preserve">8 pracovných hodín x 3 </w:t>
            </w:r>
            <w:r w:rsidR="00C1799A">
              <w:rPr>
                <w:rFonts w:ascii="Times New Roman" w:hAnsi="Times New Roman"/>
                <w:sz w:val="20"/>
                <w:szCs w:val="24"/>
              </w:rPr>
              <w:t>pracovné dni</w:t>
            </w:r>
            <w:r w:rsidR="00AF0267">
              <w:rPr>
                <w:rFonts w:ascii="Times New Roman" w:hAnsi="Times New Roman"/>
                <w:sz w:val="20"/>
                <w:szCs w:val="24"/>
              </w:rPr>
              <w:t xml:space="preserve"> )</w:t>
            </w:r>
            <w:r w:rsidRPr="00DC6952">
              <w:rPr>
                <w:rFonts w:ascii="Times New Roman" w:hAnsi="Times New Roman"/>
                <w:sz w:val="20"/>
                <w:szCs w:val="24"/>
              </w:rPr>
              <w:t xml:space="preserve"> a 1/2 dňa za mesiac</w:t>
            </w:r>
            <w:r w:rsidR="00AF0267">
              <w:rPr>
                <w:rFonts w:ascii="Times New Roman" w:hAnsi="Times New Roman"/>
                <w:sz w:val="20"/>
                <w:szCs w:val="24"/>
              </w:rPr>
              <w:t xml:space="preserve"> </w:t>
            </w:r>
            <w:r w:rsidRPr="00DC6952">
              <w:rPr>
                <w:rFonts w:ascii="Times New Roman" w:hAnsi="Times New Roman"/>
                <w:sz w:val="20"/>
                <w:szCs w:val="24"/>
              </w:rPr>
              <w:t>v prípade malého subjektu</w:t>
            </w:r>
            <w:r w:rsidR="00C1799A">
              <w:rPr>
                <w:rFonts w:ascii="Times New Roman" w:hAnsi="Times New Roman"/>
                <w:sz w:val="20"/>
                <w:szCs w:val="24"/>
              </w:rPr>
              <w:t xml:space="preserve"> (presnejšie 4 pracovné hodiny)</w:t>
            </w:r>
            <w:r w:rsidRPr="00DC6952">
              <w:rPr>
                <w:rFonts w:ascii="Times New Roman" w:hAnsi="Times New Roman"/>
                <w:sz w:val="20"/>
                <w:szCs w:val="24"/>
              </w:rPr>
              <w:t xml:space="preserve">. </w:t>
            </w:r>
          </w:p>
          <w:p w:rsidR="003C289B" w:rsidRPr="00186E74" w:rsidRDefault="00DC6952" w:rsidP="00621B54">
            <w:pPr>
              <w:jc w:val="both"/>
              <w:rPr>
                <w:rFonts w:ascii="Times New Roman" w:hAnsi="Times New Roman"/>
                <w:sz w:val="20"/>
                <w:szCs w:val="8"/>
              </w:rPr>
            </w:pPr>
            <w:r w:rsidRPr="00DC6952">
              <w:rPr>
                <w:rFonts w:ascii="Times New Roman" w:hAnsi="Times New Roman"/>
                <w:sz w:val="20"/>
                <w:szCs w:val="24"/>
              </w:rPr>
              <w:t xml:space="preserve">Dĺžka trvania registračného konania je daná zákonom. V prípade platiteľa dane po preverení pravdivosti skutočností a údajov uvedených v žiadosti, colný úrad zaregistruje žiadateľa a vydá mu osvedčenie o registrácii platiteľa dane do 15 dní odo dňa podania žiadosti o registráciu. Z pohľadu žiadateľa o registráciu platiteľa dane ide o čas potrebný na vyplnenie registračného formulára uvedeného na </w:t>
            </w:r>
            <w:r w:rsidR="00621B54">
              <w:rPr>
                <w:rFonts w:ascii="Times New Roman" w:hAnsi="Times New Roman"/>
                <w:sz w:val="20"/>
                <w:szCs w:val="24"/>
              </w:rPr>
              <w:t>portáli finančnej správy</w:t>
            </w:r>
            <w:r w:rsidRPr="00DC6952">
              <w:rPr>
                <w:rFonts w:ascii="Times New Roman" w:hAnsi="Times New Roman"/>
                <w:sz w:val="20"/>
                <w:szCs w:val="24"/>
              </w:rPr>
              <w:t xml:space="preserve"> zasielaného elektronicky správcovi dane. Samotné vyplnenie elektronického formulára v prípade platiteľa dane môže trvať od 10 minút do 30 minút.</w:t>
            </w:r>
          </w:p>
        </w:tc>
      </w:tr>
      <w:tr w:rsidR="003C289B" w:rsidRPr="003C289B" w:rsidTr="006109A7">
        <w:trPr>
          <w:trHeight w:val="2318"/>
        </w:trPr>
        <w:tc>
          <w:tcPr>
            <w:tcW w:w="9212" w:type="dxa"/>
          </w:tcPr>
          <w:p w:rsidR="003C289B" w:rsidRPr="003C289B" w:rsidRDefault="003C289B" w:rsidP="006109A7">
            <w:pPr>
              <w:rPr>
                <w:rFonts w:ascii="Times New Roman" w:hAnsi="Times New Roman"/>
                <w:i/>
              </w:rPr>
            </w:pPr>
            <w:r w:rsidRPr="003C289B">
              <w:rPr>
                <w:rFonts w:ascii="Times New Roman" w:hAnsi="Times New Roman"/>
                <w:b/>
                <w:i/>
              </w:rPr>
              <w:t>3.3.4 Súhrnná tabuľka nákladov regulácie</w:t>
            </w:r>
          </w:p>
          <w:p w:rsidR="003C289B" w:rsidRPr="003C289B" w:rsidRDefault="003C289B" w:rsidP="006109A7">
            <w:pPr>
              <w:rPr>
                <w:rFonts w:ascii="Times New Roman" w:hAnsi="Times New Roman"/>
                <w:i/>
              </w:rPr>
            </w:pPr>
          </w:p>
          <w:tbl>
            <w:tblPr>
              <w:tblStyle w:val="Mriekatabuky"/>
              <w:tblW w:w="0" w:type="auto"/>
              <w:tblLook w:val="04A0" w:firstRow="1" w:lastRow="0" w:firstColumn="1" w:lastColumn="0" w:noHBand="0" w:noVBand="1"/>
            </w:tblPr>
            <w:tblGrid>
              <w:gridCol w:w="2993"/>
              <w:gridCol w:w="2994"/>
              <w:gridCol w:w="2994"/>
            </w:tblGrid>
            <w:tr w:rsidR="003C289B" w:rsidRPr="003C289B" w:rsidTr="006109A7">
              <w:tc>
                <w:tcPr>
                  <w:tcW w:w="2993"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jc w:val="center"/>
                    <w:rPr>
                      <w:rFonts w:ascii="Times New Roman" w:hAnsi="Times New Roman"/>
                      <w:i/>
                    </w:rPr>
                  </w:pPr>
                  <w:r w:rsidRPr="003C289B">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jc w:val="center"/>
                    <w:rPr>
                      <w:rFonts w:ascii="Times New Roman" w:hAnsi="Times New Roman"/>
                      <w:i/>
                    </w:rPr>
                  </w:pPr>
                  <w:r w:rsidRPr="003C289B">
                    <w:rPr>
                      <w:rFonts w:ascii="Times New Roman" w:hAnsi="Times New Roman"/>
                      <w:i/>
                    </w:rPr>
                    <w:t>Náklady na celé podnikateľské prostredie</w:t>
                  </w:r>
                </w:p>
              </w:tc>
            </w:tr>
            <w:tr w:rsidR="003C289B" w:rsidRPr="003C289B" w:rsidTr="006109A7">
              <w:tc>
                <w:tcPr>
                  <w:tcW w:w="2993"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rPr>
                      <w:rFonts w:ascii="Times New Roman" w:hAnsi="Times New Roman"/>
                      <w:i/>
                    </w:rPr>
                  </w:pPr>
                  <w:r w:rsidRPr="003C289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jc w:val="center"/>
                    <w:rPr>
                      <w:rFonts w:ascii="Times New Roman" w:hAnsi="Times New Roman"/>
                      <w:i/>
                    </w:rPr>
                  </w:pPr>
                  <w:r w:rsidRPr="003C289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jc w:val="center"/>
                    <w:rPr>
                      <w:rFonts w:ascii="Times New Roman" w:hAnsi="Times New Roman"/>
                      <w:i/>
                    </w:rPr>
                  </w:pPr>
                  <w:r w:rsidRPr="003C289B">
                    <w:rPr>
                      <w:rFonts w:ascii="Times New Roman" w:hAnsi="Times New Roman"/>
                      <w:i/>
                    </w:rPr>
                    <w:t>0</w:t>
                  </w:r>
                </w:p>
              </w:tc>
            </w:tr>
            <w:tr w:rsidR="003C289B" w:rsidRPr="003C289B" w:rsidTr="006109A7">
              <w:tc>
                <w:tcPr>
                  <w:tcW w:w="2993"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rPr>
                      <w:rFonts w:ascii="Times New Roman" w:hAnsi="Times New Roman"/>
                      <w:i/>
                    </w:rPr>
                  </w:pPr>
                  <w:r w:rsidRPr="003C289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jc w:val="center"/>
                    <w:rPr>
                      <w:rFonts w:ascii="Times New Roman" w:hAnsi="Times New Roman"/>
                      <w:i/>
                    </w:rPr>
                  </w:pPr>
                  <w:r w:rsidRPr="003C289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jc w:val="center"/>
                    <w:rPr>
                      <w:rFonts w:ascii="Times New Roman" w:hAnsi="Times New Roman"/>
                      <w:i/>
                    </w:rPr>
                  </w:pPr>
                  <w:r w:rsidRPr="003C289B">
                    <w:rPr>
                      <w:rFonts w:ascii="Times New Roman" w:hAnsi="Times New Roman"/>
                      <w:i/>
                    </w:rPr>
                    <w:t>0</w:t>
                  </w:r>
                </w:p>
              </w:tc>
            </w:tr>
            <w:tr w:rsidR="003C289B" w:rsidRPr="003C289B" w:rsidTr="006109A7">
              <w:tc>
                <w:tcPr>
                  <w:tcW w:w="2993"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rPr>
                      <w:rFonts w:ascii="Times New Roman" w:hAnsi="Times New Roman"/>
                      <w:i/>
                    </w:rPr>
                  </w:pPr>
                  <w:r w:rsidRPr="003C289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E94A7C" w:rsidP="00E94A7C">
                  <w:pPr>
                    <w:jc w:val="center"/>
                    <w:rPr>
                      <w:rFonts w:ascii="Times New Roman" w:hAnsi="Times New Roman"/>
                      <w:i/>
                    </w:rPr>
                  </w:pPr>
                  <w:r>
                    <w:rPr>
                      <w:rFonts w:ascii="Times New Roman" w:hAnsi="Times New Roman"/>
                      <w:i/>
                    </w:rPr>
                    <w:t>24,33-145,99</w:t>
                  </w:r>
                  <w:r w:rsidR="00120BBA">
                    <w:rPr>
                      <w:rFonts w:ascii="Times New Roman" w:hAnsi="Times New Roman"/>
                      <w:i/>
                    </w:rPr>
                    <w:t xml:space="preserve"> eur</w:t>
                  </w:r>
                  <w:r>
                    <w:rPr>
                      <w:rFonts w:ascii="Times New Roman" w:hAnsi="Times New Roman"/>
                      <w:i/>
                    </w:rPr>
                    <w:t>*</w:t>
                  </w: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E94A7C" w:rsidP="006109A7">
                  <w:pPr>
                    <w:jc w:val="center"/>
                    <w:rPr>
                      <w:rFonts w:ascii="Times New Roman" w:hAnsi="Times New Roman"/>
                      <w:i/>
                    </w:rPr>
                  </w:pPr>
                  <w:r>
                    <w:rPr>
                      <w:rFonts w:ascii="Times New Roman" w:hAnsi="Times New Roman"/>
                      <w:i/>
                    </w:rPr>
                    <w:t>51</w:t>
                  </w:r>
                  <w:r w:rsidR="00120BBA">
                    <w:rPr>
                      <w:rFonts w:ascii="Times New Roman" w:hAnsi="Times New Roman"/>
                      <w:i/>
                    </w:rPr>
                    <w:t xml:space="preserve"> </w:t>
                  </w:r>
                  <w:r>
                    <w:rPr>
                      <w:rFonts w:ascii="Times New Roman" w:hAnsi="Times New Roman"/>
                      <w:i/>
                    </w:rPr>
                    <w:t>944,55-311</w:t>
                  </w:r>
                  <w:r w:rsidR="00120BBA">
                    <w:rPr>
                      <w:rFonts w:ascii="Times New Roman" w:hAnsi="Times New Roman"/>
                      <w:i/>
                    </w:rPr>
                    <w:t xml:space="preserve"> </w:t>
                  </w:r>
                  <w:r>
                    <w:rPr>
                      <w:rFonts w:ascii="Times New Roman" w:hAnsi="Times New Roman"/>
                      <w:i/>
                    </w:rPr>
                    <w:t>688,65</w:t>
                  </w:r>
                  <w:r w:rsidR="003C289B" w:rsidRPr="003C289B">
                    <w:rPr>
                      <w:rFonts w:ascii="Times New Roman" w:hAnsi="Times New Roman"/>
                      <w:i/>
                    </w:rPr>
                    <w:t>0</w:t>
                  </w:r>
                  <w:r w:rsidR="00120BBA">
                    <w:rPr>
                      <w:rFonts w:ascii="Times New Roman" w:hAnsi="Times New Roman"/>
                      <w:i/>
                    </w:rPr>
                    <w:t xml:space="preserve"> eur</w:t>
                  </w:r>
                  <w:r>
                    <w:rPr>
                      <w:rFonts w:ascii="Times New Roman" w:hAnsi="Times New Roman"/>
                      <w:i/>
                    </w:rPr>
                    <w:t>*</w:t>
                  </w:r>
                </w:p>
              </w:tc>
            </w:tr>
            <w:tr w:rsidR="003C289B" w:rsidRPr="003C289B" w:rsidTr="006109A7">
              <w:tc>
                <w:tcPr>
                  <w:tcW w:w="2993" w:type="dxa"/>
                  <w:tcBorders>
                    <w:top w:val="single" w:sz="4" w:space="0" w:color="auto"/>
                    <w:left w:val="single" w:sz="4" w:space="0" w:color="auto"/>
                    <w:bottom w:val="single" w:sz="4" w:space="0" w:color="auto"/>
                    <w:right w:val="single" w:sz="4" w:space="0" w:color="auto"/>
                  </w:tcBorders>
                </w:tcPr>
                <w:p w:rsidR="003C289B" w:rsidRPr="003C289B" w:rsidRDefault="003C289B" w:rsidP="006109A7">
                  <w:pPr>
                    <w:rPr>
                      <w:rFonts w:ascii="Times New Roman" w:hAnsi="Times New Roman"/>
                      <w:b/>
                      <w:i/>
                      <w:highlight w:val="yellow"/>
                    </w:rPr>
                  </w:pPr>
                  <w:r w:rsidRPr="003C289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3C289B" w:rsidRPr="00E94A7C" w:rsidRDefault="00E94A7C" w:rsidP="006109A7">
                  <w:pPr>
                    <w:jc w:val="center"/>
                    <w:rPr>
                      <w:rFonts w:ascii="Times New Roman" w:hAnsi="Times New Roman"/>
                      <w:b/>
                      <w:i/>
                      <w:highlight w:val="yellow"/>
                    </w:rPr>
                  </w:pPr>
                  <w:r w:rsidRPr="00E94A7C">
                    <w:rPr>
                      <w:rFonts w:ascii="Times New Roman" w:hAnsi="Times New Roman"/>
                      <w:b/>
                      <w:i/>
                    </w:rPr>
                    <w:t>24,33-145,99</w:t>
                  </w:r>
                  <w:r w:rsidR="00120BBA">
                    <w:rPr>
                      <w:rFonts w:ascii="Times New Roman" w:hAnsi="Times New Roman"/>
                      <w:b/>
                      <w:i/>
                    </w:rPr>
                    <w:t xml:space="preserve"> eur</w:t>
                  </w:r>
                  <w:r>
                    <w:rPr>
                      <w:rFonts w:ascii="Times New Roman" w:hAnsi="Times New Roman"/>
                      <w:b/>
                      <w:i/>
                    </w:rPr>
                    <w:t>*</w:t>
                  </w:r>
                </w:p>
              </w:tc>
              <w:tc>
                <w:tcPr>
                  <w:tcW w:w="2994" w:type="dxa"/>
                  <w:tcBorders>
                    <w:top w:val="single" w:sz="4" w:space="0" w:color="auto"/>
                    <w:left w:val="single" w:sz="4" w:space="0" w:color="auto"/>
                    <w:bottom w:val="single" w:sz="4" w:space="0" w:color="auto"/>
                    <w:right w:val="single" w:sz="4" w:space="0" w:color="auto"/>
                  </w:tcBorders>
                </w:tcPr>
                <w:p w:rsidR="003C289B" w:rsidRPr="003C289B" w:rsidRDefault="00E94A7C" w:rsidP="006109A7">
                  <w:pPr>
                    <w:jc w:val="center"/>
                    <w:rPr>
                      <w:rFonts w:ascii="Times New Roman" w:hAnsi="Times New Roman"/>
                      <w:b/>
                      <w:i/>
                      <w:highlight w:val="yellow"/>
                    </w:rPr>
                  </w:pPr>
                  <w:r w:rsidRPr="00E94A7C">
                    <w:rPr>
                      <w:rFonts w:ascii="Times New Roman" w:hAnsi="Times New Roman"/>
                      <w:b/>
                      <w:i/>
                    </w:rPr>
                    <w:t>51</w:t>
                  </w:r>
                  <w:r w:rsidR="00120BBA">
                    <w:rPr>
                      <w:rFonts w:ascii="Times New Roman" w:hAnsi="Times New Roman"/>
                      <w:b/>
                      <w:i/>
                    </w:rPr>
                    <w:t xml:space="preserve"> </w:t>
                  </w:r>
                  <w:r w:rsidRPr="00E94A7C">
                    <w:rPr>
                      <w:rFonts w:ascii="Times New Roman" w:hAnsi="Times New Roman"/>
                      <w:b/>
                      <w:i/>
                    </w:rPr>
                    <w:t>944,55-311</w:t>
                  </w:r>
                  <w:r w:rsidR="00120BBA">
                    <w:rPr>
                      <w:rFonts w:ascii="Times New Roman" w:hAnsi="Times New Roman"/>
                      <w:b/>
                      <w:i/>
                    </w:rPr>
                    <w:t xml:space="preserve"> </w:t>
                  </w:r>
                  <w:r w:rsidRPr="00E94A7C">
                    <w:rPr>
                      <w:rFonts w:ascii="Times New Roman" w:hAnsi="Times New Roman"/>
                      <w:b/>
                      <w:i/>
                    </w:rPr>
                    <w:t>688,650</w:t>
                  </w:r>
                  <w:r w:rsidR="00120BBA">
                    <w:rPr>
                      <w:rFonts w:ascii="Times New Roman" w:hAnsi="Times New Roman"/>
                      <w:b/>
                      <w:i/>
                    </w:rPr>
                    <w:t xml:space="preserve"> eur</w:t>
                  </w:r>
                  <w:r>
                    <w:rPr>
                      <w:rFonts w:ascii="Times New Roman" w:hAnsi="Times New Roman"/>
                      <w:b/>
                      <w:i/>
                    </w:rPr>
                    <w:t>*</w:t>
                  </w:r>
                </w:p>
              </w:tc>
            </w:tr>
          </w:tbl>
          <w:p w:rsidR="003C289B" w:rsidRPr="003C289B" w:rsidRDefault="00E94A7C" w:rsidP="00E94A7C">
            <w:pPr>
              <w:rPr>
                <w:rFonts w:ascii="Times New Roman" w:hAnsi="Times New Roman"/>
                <w:i/>
              </w:rPr>
            </w:pPr>
            <w:r>
              <w:rPr>
                <w:rFonts w:ascii="Times New Roman" w:hAnsi="Times New Roman"/>
                <w:i/>
              </w:rPr>
              <w:t xml:space="preserve">*odborný odhad vychádzali sme zo vstupných údajov poskytnutých </w:t>
            </w:r>
            <w:r w:rsidRPr="00220C47">
              <w:rPr>
                <w:rFonts w:ascii="Times New Roman" w:hAnsi="Times New Roman"/>
                <w:b/>
                <w:i/>
              </w:rPr>
              <w:t>FR SR</w:t>
            </w:r>
            <w:r>
              <w:rPr>
                <w:rFonts w:ascii="Times New Roman" w:hAnsi="Times New Roman"/>
                <w:i/>
              </w:rPr>
              <w:t xml:space="preserve"> </w:t>
            </w:r>
          </w:p>
        </w:tc>
      </w:tr>
      <w:tr w:rsidR="003C289B" w:rsidRPr="003C289B" w:rsidTr="006109A7">
        <w:tc>
          <w:tcPr>
            <w:tcW w:w="9212" w:type="dxa"/>
            <w:shd w:val="clear" w:color="auto" w:fill="D9D9D9" w:themeFill="background1" w:themeFillShade="D9"/>
          </w:tcPr>
          <w:p w:rsidR="003C289B" w:rsidRPr="003C289B" w:rsidRDefault="003C289B" w:rsidP="006109A7">
            <w:pPr>
              <w:rPr>
                <w:rFonts w:ascii="Times New Roman" w:hAnsi="Times New Roman"/>
                <w:b/>
                <w:sz w:val="24"/>
              </w:rPr>
            </w:pPr>
            <w:r w:rsidRPr="003C289B">
              <w:rPr>
                <w:rFonts w:ascii="Times New Roman" w:hAnsi="Times New Roman"/>
                <w:b/>
                <w:sz w:val="24"/>
              </w:rPr>
              <w:t>3.4 Konkurencieschopnosť a správanie sa podnikov na trhu</w:t>
            </w:r>
          </w:p>
          <w:p w:rsidR="003C289B" w:rsidRPr="003C289B" w:rsidRDefault="003C289B" w:rsidP="006109A7">
            <w:pPr>
              <w:rPr>
                <w:rFonts w:ascii="Times New Roman" w:hAnsi="Times New Roman"/>
              </w:rPr>
            </w:pPr>
            <w:r w:rsidRPr="003C289B">
              <w:rPr>
                <w:rFonts w:ascii="Times New Roman" w:hAnsi="Times New Roman"/>
                <w:b/>
                <w:sz w:val="24"/>
              </w:rPr>
              <w:t xml:space="preserve">       </w:t>
            </w:r>
            <w:r w:rsidRPr="003C289B">
              <w:rPr>
                <w:rFonts w:ascii="Times New Roman" w:hAnsi="Times New Roman"/>
                <w:sz w:val="24"/>
              </w:rPr>
              <w:t xml:space="preserve">- </w:t>
            </w:r>
            <w:r w:rsidRPr="003C289B">
              <w:rPr>
                <w:rFonts w:ascii="Times New Roman" w:hAnsi="Times New Roman"/>
                <w:b/>
                <w:sz w:val="24"/>
              </w:rPr>
              <w:t>z toho MSP</w:t>
            </w:r>
          </w:p>
        </w:tc>
      </w:tr>
      <w:tr w:rsidR="003C289B" w:rsidRPr="003C289B" w:rsidTr="006109A7">
        <w:tc>
          <w:tcPr>
            <w:tcW w:w="9212" w:type="dxa"/>
          </w:tcPr>
          <w:p w:rsidR="003C289B" w:rsidRPr="003C289B" w:rsidRDefault="003C289B" w:rsidP="00965EEA">
            <w:pPr>
              <w:jc w:val="both"/>
              <w:rPr>
                <w:rFonts w:ascii="Times New Roman" w:hAnsi="Times New Roman"/>
                <w:i/>
              </w:rPr>
            </w:pPr>
            <w:r w:rsidRPr="003C289B">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3C289B" w:rsidRPr="003C289B" w:rsidRDefault="003C289B" w:rsidP="00965EEA">
            <w:pPr>
              <w:jc w:val="both"/>
              <w:rPr>
                <w:rFonts w:ascii="Times New Roman" w:hAnsi="Times New Roman"/>
                <w:i/>
              </w:rPr>
            </w:pPr>
            <w:r w:rsidRPr="003C289B">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3C289B" w:rsidRPr="003C289B" w:rsidRDefault="003C289B" w:rsidP="00965EEA">
            <w:pPr>
              <w:jc w:val="both"/>
              <w:rPr>
                <w:rFonts w:ascii="Times New Roman" w:hAnsi="Times New Roman"/>
                <w:i/>
              </w:rPr>
            </w:pPr>
            <w:r w:rsidRPr="003C289B">
              <w:rPr>
                <w:rFonts w:ascii="Times New Roman" w:hAnsi="Times New Roman"/>
                <w:i/>
              </w:rPr>
              <w:t>Ako ovplyvní cenu alebo dostupnosť základných zdrojov (suroviny, mechanizmy, pracovná sila, energie atď.)?</w:t>
            </w:r>
          </w:p>
          <w:p w:rsidR="003C289B" w:rsidRPr="003C289B" w:rsidRDefault="003C289B" w:rsidP="00965EEA">
            <w:pPr>
              <w:jc w:val="both"/>
              <w:rPr>
                <w:rFonts w:ascii="Times New Roman" w:hAnsi="Times New Roman"/>
                <w:i/>
              </w:rPr>
            </w:pPr>
            <w:r w:rsidRPr="003C289B">
              <w:rPr>
                <w:rFonts w:ascii="Times New Roman" w:hAnsi="Times New Roman"/>
                <w:i/>
              </w:rPr>
              <w:t>Ovplyvňuje prístup k financiám? Ak áno, ako?</w:t>
            </w:r>
          </w:p>
        </w:tc>
      </w:tr>
      <w:tr w:rsidR="003C289B" w:rsidRPr="003C289B" w:rsidTr="006109A7">
        <w:trPr>
          <w:trHeight w:val="522"/>
        </w:trPr>
        <w:tc>
          <w:tcPr>
            <w:tcW w:w="9212" w:type="dxa"/>
          </w:tcPr>
          <w:p w:rsidR="003C289B" w:rsidRPr="003D78D7" w:rsidRDefault="003C289B" w:rsidP="00A41559">
            <w:pPr>
              <w:jc w:val="both"/>
              <w:rPr>
                <w:rFonts w:ascii="Times New Roman" w:hAnsi="Times New Roman"/>
                <w:sz w:val="8"/>
                <w:szCs w:val="8"/>
              </w:rPr>
            </w:pPr>
            <w:r w:rsidRPr="00186E74">
              <w:rPr>
                <w:rFonts w:ascii="Times New Roman" w:hAnsi="Times New Roman"/>
                <w:sz w:val="20"/>
                <w:szCs w:val="24"/>
              </w:rPr>
              <w:t>Nepredpo</w:t>
            </w:r>
            <w:r w:rsidR="00965EEA" w:rsidRPr="00186E74">
              <w:rPr>
                <w:rFonts w:ascii="Times New Roman" w:hAnsi="Times New Roman"/>
                <w:sz w:val="20"/>
                <w:szCs w:val="24"/>
              </w:rPr>
              <w:t>kladá sa vplyv navrhovaných zmien</w:t>
            </w:r>
            <w:r w:rsidRPr="00186E74">
              <w:rPr>
                <w:rFonts w:ascii="Times New Roman" w:hAnsi="Times New Roman"/>
                <w:sz w:val="20"/>
                <w:szCs w:val="24"/>
              </w:rPr>
              <w:t xml:space="preserve"> na konkurencieschopnosť a správanie podnikov na trhu</w:t>
            </w:r>
            <w:r w:rsidR="00895DF3" w:rsidRPr="00186E74">
              <w:rPr>
                <w:rFonts w:ascii="Times New Roman" w:hAnsi="Times New Roman"/>
                <w:sz w:val="20"/>
                <w:szCs w:val="24"/>
              </w:rPr>
              <w:t>, keďže návrh zákona zavádza rovnaké podmienky pre všetkých účastníkov trhu v danom segmente</w:t>
            </w:r>
            <w:r w:rsidRPr="00186E74">
              <w:rPr>
                <w:rFonts w:ascii="Times New Roman" w:hAnsi="Times New Roman"/>
                <w:sz w:val="20"/>
                <w:szCs w:val="24"/>
              </w:rPr>
              <w:t>.</w:t>
            </w:r>
          </w:p>
        </w:tc>
      </w:tr>
      <w:tr w:rsidR="003C289B" w:rsidRPr="003C289B" w:rsidTr="006109A7">
        <w:tc>
          <w:tcPr>
            <w:tcW w:w="9212" w:type="dxa"/>
            <w:shd w:val="clear" w:color="auto" w:fill="D9D9D9" w:themeFill="background1" w:themeFillShade="D9"/>
          </w:tcPr>
          <w:p w:rsidR="003C289B" w:rsidRPr="003C289B" w:rsidRDefault="003C289B" w:rsidP="006109A7">
            <w:pPr>
              <w:rPr>
                <w:rFonts w:ascii="Times New Roman" w:hAnsi="Times New Roman"/>
                <w:b/>
                <w:sz w:val="24"/>
              </w:rPr>
            </w:pPr>
            <w:r w:rsidRPr="003C289B">
              <w:rPr>
                <w:rFonts w:ascii="Times New Roman" w:hAnsi="Times New Roman"/>
                <w:b/>
                <w:sz w:val="24"/>
              </w:rPr>
              <w:t xml:space="preserve">3.5 Inovácie </w:t>
            </w:r>
          </w:p>
          <w:p w:rsidR="003C289B" w:rsidRPr="003C289B" w:rsidRDefault="003C289B" w:rsidP="006109A7">
            <w:pPr>
              <w:rPr>
                <w:rFonts w:ascii="Times New Roman" w:hAnsi="Times New Roman"/>
                <w:b/>
              </w:rPr>
            </w:pPr>
            <w:r w:rsidRPr="003C289B">
              <w:rPr>
                <w:rFonts w:ascii="Times New Roman" w:hAnsi="Times New Roman"/>
                <w:sz w:val="24"/>
              </w:rPr>
              <w:t xml:space="preserve">       - </w:t>
            </w:r>
            <w:r w:rsidRPr="003C289B">
              <w:rPr>
                <w:rFonts w:ascii="Times New Roman" w:hAnsi="Times New Roman"/>
                <w:b/>
                <w:sz w:val="24"/>
              </w:rPr>
              <w:t>z toho MSP</w:t>
            </w:r>
          </w:p>
        </w:tc>
      </w:tr>
      <w:tr w:rsidR="003C289B" w:rsidRPr="003C289B" w:rsidTr="006109A7">
        <w:tc>
          <w:tcPr>
            <w:tcW w:w="9212" w:type="dxa"/>
          </w:tcPr>
          <w:p w:rsidR="003C289B" w:rsidRPr="003C289B" w:rsidRDefault="003C289B" w:rsidP="00965EEA">
            <w:pPr>
              <w:jc w:val="both"/>
              <w:rPr>
                <w:rFonts w:ascii="Times New Roman" w:hAnsi="Times New Roman"/>
                <w:i/>
              </w:rPr>
            </w:pPr>
            <w:r w:rsidRPr="003C289B">
              <w:rPr>
                <w:rFonts w:ascii="Times New Roman" w:hAnsi="Times New Roman"/>
                <w:i/>
              </w:rPr>
              <w:t>Uveďte, ako podporuje navrhovaná zmena inovácie.</w:t>
            </w:r>
          </w:p>
          <w:p w:rsidR="003C289B" w:rsidRPr="003C289B" w:rsidRDefault="003C289B" w:rsidP="00965EEA">
            <w:pPr>
              <w:jc w:val="both"/>
              <w:rPr>
                <w:rFonts w:ascii="Times New Roman" w:hAnsi="Times New Roman"/>
                <w:i/>
              </w:rPr>
            </w:pPr>
            <w:r w:rsidRPr="003C289B">
              <w:rPr>
                <w:rFonts w:ascii="Times New Roman" w:hAnsi="Times New Roman"/>
                <w:i/>
              </w:rPr>
              <w:t>Zjednodušuje uvedenie alebo rozšírenie nových výrobných metód, technológií a výrobkov na trh?</w:t>
            </w:r>
          </w:p>
          <w:p w:rsidR="003C289B" w:rsidRPr="003C289B" w:rsidRDefault="003C289B" w:rsidP="00965EEA">
            <w:pPr>
              <w:jc w:val="both"/>
              <w:rPr>
                <w:rFonts w:ascii="Times New Roman" w:hAnsi="Times New Roman"/>
                <w:i/>
              </w:rPr>
            </w:pPr>
            <w:r w:rsidRPr="003C289B">
              <w:rPr>
                <w:rFonts w:ascii="Times New Roman" w:hAnsi="Times New Roman"/>
                <w:i/>
              </w:rPr>
              <w:t>Uveďte, ako vplýva navrhovaná zmena na jednotlivé práva duševného vlastníctva (napr. patenty, ochranné známky, autorské práva, vlastníctvo know-how).</w:t>
            </w:r>
          </w:p>
          <w:p w:rsidR="003C289B" w:rsidRPr="003C289B" w:rsidRDefault="003C289B" w:rsidP="00965EEA">
            <w:pPr>
              <w:jc w:val="both"/>
              <w:rPr>
                <w:rFonts w:ascii="Times New Roman" w:hAnsi="Times New Roman"/>
                <w:i/>
              </w:rPr>
            </w:pPr>
            <w:r w:rsidRPr="003C289B">
              <w:rPr>
                <w:rFonts w:ascii="Times New Roman" w:hAnsi="Times New Roman"/>
                <w:i/>
              </w:rPr>
              <w:t>Podporuje vyššiu efektivitu výroby/využívania zdrojov? Ak áno, ako?</w:t>
            </w:r>
          </w:p>
          <w:p w:rsidR="003C289B" w:rsidRPr="003C289B" w:rsidRDefault="003C289B" w:rsidP="00965EEA">
            <w:pPr>
              <w:jc w:val="both"/>
              <w:rPr>
                <w:rFonts w:ascii="Times New Roman" w:hAnsi="Times New Roman"/>
              </w:rPr>
            </w:pPr>
            <w:r w:rsidRPr="003C289B">
              <w:rPr>
                <w:rFonts w:ascii="Times New Roman" w:hAnsi="Times New Roman"/>
                <w:i/>
              </w:rPr>
              <w:t>Vytvorí zmena nové pracovné miesta pre zamestnancov výskumu a vývoja v SR?</w:t>
            </w:r>
          </w:p>
        </w:tc>
      </w:tr>
      <w:tr w:rsidR="003C289B" w:rsidRPr="003C289B" w:rsidTr="00186E74">
        <w:trPr>
          <w:trHeight w:val="189"/>
        </w:trPr>
        <w:tc>
          <w:tcPr>
            <w:tcW w:w="9212" w:type="dxa"/>
          </w:tcPr>
          <w:p w:rsidR="003C289B" w:rsidRPr="003D78D7" w:rsidRDefault="003C289B" w:rsidP="00186E74">
            <w:pPr>
              <w:rPr>
                <w:rFonts w:ascii="Times New Roman" w:hAnsi="Times New Roman"/>
                <w:sz w:val="8"/>
                <w:szCs w:val="8"/>
              </w:rPr>
            </w:pPr>
            <w:r w:rsidRPr="00186E74">
              <w:rPr>
                <w:rFonts w:ascii="Times New Roman" w:hAnsi="Times New Roman"/>
                <w:sz w:val="20"/>
                <w:szCs w:val="24"/>
              </w:rPr>
              <w:t>Navrhovaná zmena nemá vplyv na inovácie.</w:t>
            </w:r>
          </w:p>
        </w:tc>
      </w:tr>
    </w:tbl>
    <w:p w:rsidR="003C289B" w:rsidRPr="00F50CFA" w:rsidRDefault="003C289B" w:rsidP="00F50CFA">
      <w:pPr>
        <w:spacing w:after="0" w:line="240" w:lineRule="auto"/>
        <w:jc w:val="both"/>
        <w:rPr>
          <w:rFonts w:ascii="Times New Roman" w:hAnsi="Times New Roman"/>
          <w:bCs/>
          <w:sz w:val="24"/>
          <w:szCs w:val="24"/>
          <w:lang w:eastAsia="sk-SK"/>
        </w:rPr>
      </w:pPr>
    </w:p>
    <w:p w:rsidR="00186E74" w:rsidRPr="00F50CFA" w:rsidRDefault="00186E74" w:rsidP="00F50CFA">
      <w:pPr>
        <w:spacing w:after="0" w:line="240" w:lineRule="auto"/>
        <w:jc w:val="both"/>
        <w:rPr>
          <w:rFonts w:ascii="Times New Roman" w:hAnsi="Times New Roman"/>
          <w:bCs/>
          <w:sz w:val="28"/>
          <w:szCs w:val="28"/>
          <w:lang w:eastAsia="sk-SK"/>
        </w:rPr>
      </w:pPr>
    </w:p>
    <w:p w:rsidR="00186E74" w:rsidRPr="00F50CFA" w:rsidRDefault="00186E74" w:rsidP="00F50CFA">
      <w:pPr>
        <w:spacing w:after="0" w:line="240" w:lineRule="auto"/>
        <w:jc w:val="both"/>
        <w:rPr>
          <w:rFonts w:ascii="Times New Roman" w:hAnsi="Times New Roman"/>
          <w:bCs/>
          <w:sz w:val="28"/>
          <w:szCs w:val="28"/>
          <w:lang w:eastAsia="sk-SK"/>
        </w:rPr>
      </w:pPr>
    </w:p>
    <w:p w:rsidR="00186E74" w:rsidRPr="00F50CFA" w:rsidRDefault="00186E74" w:rsidP="00F50CFA">
      <w:pPr>
        <w:spacing w:after="0" w:line="240" w:lineRule="auto"/>
        <w:jc w:val="both"/>
        <w:rPr>
          <w:rFonts w:ascii="Times New Roman" w:hAnsi="Times New Roman"/>
          <w:bCs/>
          <w:sz w:val="28"/>
          <w:szCs w:val="28"/>
          <w:lang w:eastAsia="sk-SK"/>
        </w:rPr>
      </w:pPr>
    </w:p>
    <w:p w:rsidR="007D5748" w:rsidRPr="003C289B" w:rsidRDefault="007D5748" w:rsidP="007D5748">
      <w:pPr>
        <w:spacing w:after="0" w:line="240" w:lineRule="auto"/>
        <w:jc w:val="center"/>
        <w:rPr>
          <w:rFonts w:ascii="Times New Roman" w:hAnsi="Times New Roman"/>
          <w:b/>
          <w:bCs/>
          <w:sz w:val="28"/>
          <w:szCs w:val="28"/>
          <w:lang w:eastAsia="sk-SK"/>
        </w:rPr>
      </w:pPr>
      <w:r w:rsidRPr="003C289B">
        <w:rPr>
          <w:rFonts w:ascii="Times New Roman" w:hAnsi="Times New Roman"/>
          <w:b/>
          <w:bCs/>
          <w:sz w:val="28"/>
          <w:szCs w:val="28"/>
          <w:lang w:eastAsia="sk-SK"/>
        </w:rPr>
        <w:t>Analýza vplyvov na rozpočet verejnej správy,</w:t>
      </w:r>
    </w:p>
    <w:p w:rsidR="007D5748" w:rsidRPr="003C289B" w:rsidRDefault="007D5748" w:rsidP="007D5748">
      <w:pPr>
        <w:spacing w:after="0" w:line="240" w:lineRule="auto"/>
        <w:jc w:val="center"/>
        <w:rPr>
          <w:rFonts w:ascii="Times New Roman" w:hAnsi="Times New Roman"/>
          <w:b/>
          <w:bCs/>
          <w:sz w:val="28"/>
          <w:szCs w:val="28"/>
          <w:lang w:eastAsia="sk-SK"/>
        </w:rPr>
      </w:pPr>
      <w:r w:rsidRPr="003C289B">
        <w:rPr>
          <w:rFonts w:ascii="Times New Roman" w:hAnsi="Times New Roman"/>
          <w:b/>
          <w:bCs/>
          <w:sz w:val="28"/>
          <w:szCs w:val="28"/>
          <w:lang w:eastAsia="sk-SK"/>
        </w:rPr>
        <w:t>na zamestnanosť vo verejnej správe a financovanie návrhu</w:t>
      </w:r>
    </w:p>
    <w:p w:rsidR="00E963A3" w:rsidRPr="003C289B" w:rsidRDefault="00E963A3" w:rsidP="00212894">
      <w:pPr>
        <w:spacing w:after="0" w:line="240" w:lineRule="auto"/>
        <w:rPr>
          <w:rFonts w:ascii="Times New Roman" w:hAnsi="Times New Roman"/>
          <w:b/>
          <w:bCs/>
          <w:sz w:val="24"/>
          <w:szCs w:val="24"/>
          <w:lang w:eastAsia="sk-SK"/>
        </w:rPr>
      </w:pPr>
    </w:p>
    <w:p w:rsidR="00E963A3" w:rsidRPr="003C289B" w:rsidRDefault="00E963A3" w:rsidP="00164337">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2.1 Zhrnutie vplyvov na ro</w:t>
      </w:r>
      <w:r w:rsidR="00164337" w:rsidRPr="003C289B">
        <w:rPr>
          <w:rFonts w:ascii="Times New Roman" w:hAnsi="Times New Roman"/>
          <w:b/>
          <w:bCs/>
          <w:sz w:val="24"/>
          <w:szCs w:val="24"/>
          <w:lang w:eastAsia="sk-SK"/>
        </w:rPr>
        <w:t>zpočet verejnej správy v návrhu</w:t>
      </w:r>
    </w:p>
    <w:p w:rsidR="007D5748" w:rsidRPr="003C289B" w:rsidRDefault="00575777" w:rsidP="007D5748">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Tabuľka č. 1</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3C289B" w:rsidTr="007B71A4">
        <w:trPr>
          <w:cantSplit/>
          <w:trHeight w:val="194"/>
          <w:jc w:val="center"/>
        </w:trPr>
        <w:tc>
          <w:tcPr>
            <w:tcW w:w="4661" w:type="dxa"/>
            <w:vMerge w:val="restart"/>
            <w:shd w:val="clear" w:color="auto" w:fill="BFBFBF" w:themeFill="background1" w:themeFillShade="BF"/>
            <w:vAlign w:val="center"/>
          </w:tcPr>
          <w:p w:rsidR="007D5748" w:rsidRPr="003C289B" w:rsidRDefault="007D5748" w:rsidP="007D5748">
            <w:pPr>
              <w:spacing w:after="0" w:line="240" w:lineRule="auto"/>
              <w:jc w:val="center"/>
              <w:rPr>
                <w:rFonts w:ascii="Times New Roman" w:hAnsi="Times New Roman"/>
                <w:b/>
                <w:bCs/>
                <w:sz w:val="24"/>
                <w:szCs w:val="24"/>
                <w:lang w:eastAsia="sk-SK"/>
              </w:rPr>
            </w:pPr>
            <w:bookmarkStart w:id="1" w:name="OLE_LINK1"/>
            <w:r w:rsidRPr="003C289B">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3C289B" w:rsidRDefault="007D5748" w:rsidP="00846903">
            <w:pPr>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xml:space="preserve">Vplyv na rozpočet verejnej správy (v </w:t>
            </w:r>
            <w:r w:rsidR="00846903">
              <w:rPr>
                <w:rFonts w:ascii="Times New Roman" w:hAnsi="Times New Roman"/>
                <w:b/>
                <w:bCs/>
                <w:sz w:val="24"/>
                <w:szCs w:val="24"/>
                <w:lang w:eastAsia="sk-SK"/>
              </w:rPr>
              <w:t>eurách</w:t>
            </w:r>
            <w:r w:rsidRPr="003C289B">
              <w:rPr>
                <w:rFonts w:ascii="Times New Roman" w:hAnsi="Times New Roman"/>
                <w:b/>
                <w:bCs/>
                <w:sz w:val="24"/>
                <w:szCs w:val="24"/>
                <w:lang w:eastAsia="sk-SK"/>
              </w:rPr>
              <w:t>)</w:t>
            </w:r>
          </w:p>
        </w:tc>
      </w:tr>
      <w:tr w:rsidR="007D5748" w:rsidRPr="003C289B" w:rsidTr="007B71A4">
        <w:trPr>
          <w:cantSplit/>
          <w:trHeight w:val="70"/>
          <w:jc w:val="center"/>
        </w:trPr>
        <w:tc>
          <w:tcPr>
            <w:tcW w:w="4661" w:type="dxa"/>
            <w:vMerge/>
            <w:shd w:val="clear" w:color="auto" w:fill="BFBFBF" w:themeFill="background1" w:themeFillShade="BF"/>
            <w:vAlign w:val="center"/>
          </w:tcPr>
          <w:p w:rsidR="007D5748" w:rsidRPr="003C289B" w:rsidRDefault="007D5748" w:rsidP="007D574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7D5748" w:rsidRPr="003C289B" w:rsidRDefault="00D8556F"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267" w:type="dxa"/>
            <w:shd w:val="clear" w:color="auto" w:fill="BFBFBF" w:themeFill="background1" w:themeFillShade="BF"/>
            <w:vAlign w:val="center"/>
          </w:tcPr>
          <w:p w:rsidR="007D5748" w:rsidRPr="003C289B" w:rsidRDefault="00D8556F"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267" w:type="dxa"/>
            <w:shd w:val="clear" w:color="auto" w:fill="BFBFBF" w:themeFill="background1" w:themeFillShade="BF"/>
            <w:vAlign w:val="center"/>
          </w:tcPr>
          <w:p w:rsidR="007D5748" w:rsidRPr="003C289B" w:rsidRDefault="00D8556F"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267" w:type="dxa"/>
            <w:shd w:val="clear" w:color="auto" w:fill="BFBFBF" w:themeFill="background1" w:themeFillShade="BF"/>
            <w:vAlign w:val="center"/>
          </w:tcPr>
          <w:p w:rsidR="007D5748" w:rsidRPr="003C289B" w:rsidRDefault="00D8556F"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r>
      <w:tr w:rsidR="007D5748" w:rsidRPr="00D8556F" w:rsidTr="007B71A4">
        <w:trPr>
          <w:trHeight w:val="70"/>
          <w:jc w:val="center"/>
        </w:trPr>
        <w:tc>
          <w:tcPr>
            <w:tcW w:w="4661" w:type="dxa"/>
            <w:shd w:val="clear" w:color="auto" w:fill="C0C0C0"/>
            <w:noWrap/>
            <w:vAlign w:val="center"/>
          </w:tcPr>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b/>
                <w:bCs/>
                <w:sz w:val="24"/>
                <w:szCs w:val="24"/>
                <w:lang w:eastAsia="sk-SK"/>
              </w:rPr>
              <w:t>Príjmy verejnej správy celkom</w:t>
            </w:r>
          </w:p>
        </w:tc>
        <w:tc>
          <w:tcPr>
            <w:tcW w:w="1267" w:type="dxa"/>
            <w:shd w:val="clear" w:color="auto" w:fill="C0C0C0"/>
            <w:vAlign w:val="center"/>
          </w:tcPr>
          <w:p w:rsidR="007D5748" w:rsidRPr="00D8556F"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C0C0C0"/>
            <w:vAlign w:val="center"/>
          </w:tcPr>
          <w:p w:rsidR="007D5748" w:rsidRPr="00D8556F"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C0C0C0"/>
            <w:vAlign w:val="center"/>
          </w:tcPr>
          <w:p w:rsidR="007D5748" w:rsidRPr="00D8556F"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C0C0C0"/>
            <w:vAlign w:val="center"/>
          </w:tcPr>
          <w:p w:rsidR="007D5748" w:rsidRPr="00D8556F" w:rsidRDefault="007D5748" w:rsidP="00C70B08">
            <w:pPr>
              <w:spacing w:after="0" w:line="240" w:lineRule="auto"/>
              <w:jc w:val="center"/>
              <w:rPr>
                <w:rFonts w:ascii="Times New Roman" w:hAnsi="Times New Roman"/>
                <w:b/>
                <w:bCs/>
                <w:sz w:val="24"/>
                <w:szCs w:val="24"/>
                <w:lang w:eastAsia="sk-SK"/>
              </w:rPr>
            </w:pPr>
          </w:p>
        </w:tc>
      </w:tr>
      <w:tr w:rsidR="007D5748" w:rsidRPr="003C289B" w:rsidTr="007B71A4">
        <w:trPr>
          <w:trHeight w:val="132"/>
          <w:jc w:val="center"/>
        </w:trPr>
        <w:tc>
          <w:tcPr>
            <w:tcW w:w="4661" w:type="dxa"/>
            <w:noWrap/>
            <w:vAlign w:val="center"/>
          </w:tcPr>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v tom: za každý subjekt verejnej správy zvlášť</w:t>
            </w:r>
          </w:p>
        </w:tc>
        <w:tc>
          <w:tcPr>
            <w:tcW w:w="1267" w:type="dxa"/>
            <w:noWrap/>
            <w:vAlign w:val="center"/>
          </w:tcPr>
          <w:p w:rsidR="007D5748" w:rsidRPr="001953A3"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CE09F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CE09F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CE09FB" w:rsidRDefault="007D5748" w:rsidP="00C70B08">
            <w:pPr>
              <w:spacing w:after="0" w:line="240" w:lineRule="auto"/>
              <w:jc w:val="center"/>
              <w:rPr>
                <w:rFonts w:ascii="Times New Roman" w:hAnsi="Times New Roman"/>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xml:space="preserve">z toho:  </w:t>
            </w:r>
          </w:p>
        </w:tc>
        <w:tc>
          <w:tcPr>
            <w:tcW w:w="1267" w:type="dxa"/>
            <w:noWrap/>
            <w:vAlign w:val="center"/>
          </w:tcPr>
          <w:p w:rsidR="007D5748" w:rsidRPr="001953A3"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CE09F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CE09F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CE09F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125"/>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noWrap/>
            <w:vAlign w:val="center"/>
          </w:tcPr>
          <w:p w:rsidR="007D5748" w:rsidRPr="00D8556F"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D8556F"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D8556F"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D8556F" w:rsidRDefault="007D5748" w:rsidP="00C70B08">
            <w:pPr>
              <w:spacing w:after="0" w:line="240" w:lineRule="auto"/>
              <w:jc w:val="center"/>
              <w:rPr>
                <w:rFonts w:ascii="Times New Roman" w:hAnsi="Times New Roman"/>
                <w:b/>
                <w:bCs/>
                <w:iCs/>
                <w:sz w:val="24"/>
                <w:szCs w:val="24"/>
                <w:lang w:eastAsia="sk-SK"/>
              </w:rPr>
            </w:pPr>
          </w:p>
        </w:tc>
      </w:tr>
      <w:tr w:rsidR="00A23B46" w:rsidRPr="003C289B" w:rsidTr="007B71A4">
        <w:trPr>
          <w:trHeight w:val="125"/>
          <w:jc w:val="center"/>
        </w:trPr>
        <w:tc>
          <w:tcPr>
            <w:tcW w:w="4661" w:type="dxa"/>
            <w:noWrap/>
            <w:vAlign w:val="center"/>
          </w:tcPr>
          <w:p w:rsidR="00A23B46" w:rsidRPr="003C289B" w:rsidRDefault="00A23B46" w:rsidP="00212894">
            <w:pPr>
              <w:spacing w:after="0" w:line="240" w:lineRule="auto"/>
              <w:ind w:left="259"/>
              <w:rPr>
                <w:rFonts w:ascii="Times New Roman" w:hAnsi="Times New Roman"/>
                <w:b/>
                <w:bCs/>
                <w:i/>
                <w:iCs/>
                <w:sz w:val="24"/>
                <w:szCs w:val="24"/>
                <w:lang w:eastAsia="sk-SK"/>
              </w:rPr>
            </w:pPr>
            <w:r w:rsidRPr="003C289B">
              <w:rPr>
                <w:rFonts w:ascii="Times New Roman" w:hAnsi="Times New Roman"/>
                <w:bCs/>
                <w:i/>
                <w:iCs/>
                <w:sz w:val="24"/>
                <w:szCs w:val="24"/>
                <w:lang w:eastAsia="sk-SK"/>
              </w:rPr>
              <w:t>Rozpočtové prostriedky (kapitola VPS FR SR)</w:t>
            </w:r>
          </w:p>
        </w:tc>
        <w:tc>
          <w:tcPr>
            <w:tcW w:w="1267" w:type="dxa"/>
            <w:noWrap/>
            <w:vAlign w:val="center"/>
          </w:tcPr>
          <w:p w:rsidR="00A23B46" w:rsidRPr="00D8556F" w:rsidRDefault="00A23B46"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A23B46" w:rsidRPr="00D8556F" w:rsidRDefault="00A23B46"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A23B46" w:rsidRPr="00D8556F" w:rsidRDefault="00A23B46"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A23B46" w:rsidRPr="00D8556F" w:rsidRDefault="00A23B46"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125"/>
          <w:jc w:val="center"/>
        </w:trPr>
        <w:tc>
          <w:tcPr>
            <w:tcW w:w="4661" w:type="dxa"/>
            <w:noWrap/>
            <w:vAlign w:val="center"/>
          </w:tcPr>
          <w:p w:rsidR="007D5748" w:rsidRPr="003C289B" w:rsidRDefault="007D5748" w:rsidP="00212894">
            <w:pPr>
              <w:spacing w:after="0" w:line="240" w:lineRule="auto"/>
              <w:ind w:left="259"/>
              <w:rPr>
                <w:rFonts w:ascii="Times New Roman" w:hAnsi="Times New Roman"/>
                <w:bCs/>
                <w:i/>
                <w:iCs/>
                <w:sz w:val="24"/>
                <w:szCs w:val="24"/>
                <w:lang w:eastAsia="sk-SK"/>
              </w:rPr>
            </w:pPr>
            <w:r w:rsidRPr="003C289B">
              <w:rPr>
                <w:rFonts w:ascii="Times New Roman" w:hAnsi="Times New Roman"/>
                <w:bCs/>
                <w:i/>
                <w:iCs/>
                <w:sz w:val="24"/>
                <w:szCs w:val="24"/>
                <w:lang w:eastAsia="sk-SK"/>
              </w:rPr>
              <w:t>EÚ zdroje</w:t>
            </w: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r>
      <w:tr w:rsidR="007D5748" w:rsidRPr="003C289B" w:rsidTr="007B71A4">
        <w:trPr>
          <w:trHeight w:val="125"/>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125"/>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125"/>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C70B08" w:rsidRPr="003C289B" w:rsidTr="007B71A4">
        <w:trPr>
          <w:trHeight w:val="125"/>
          <w:jc w:val="center"/>
        </w:trPr>
        <w:tc>
          <w:tcPr>
            <w:tcW w:w="4661" w:type="dxa"/>
            <w:shd w:val="clear" w:color="auto" w:fill="C0C0C0"/>
            <w:noWrap/>
            <w:vAlign w:val="center"/>
          </w:tcPr>
          <w:p w:rsidR="00C70B08" w:rsidRPr="003C289B" w:rsidRDefault="00C70B08" w:rsidP="00C70B08">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Výdavky verejnej správy celkom</w:t>
            </w:r>
          </w:p>
        </w:tc>
        <w:tc>
          <w:tcPr>
            <w:tcW w:w="1267" w:type="dxa"/>
            <w:shd w:val="clear" w:color="auto" w:fill="C0C0C0"/>
            <w:noWrap/>
            <w:vAlign w:val="center"/>
          </w:tcPr>
          <w:p w:rsidR="00C70B08" w:rsidRPr="003C289B" w:rsidRDefault="00C70B08" w:rsidP="00C70B0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165 528</w:t>
            </w:r>
          </w:p>
        </w:tc>
        <w:tc>
          <w:tcPr>
            <w:tcW w:w="1267" w:type="dxa"/>
            <w:shd w:val="clear" w:color="auto" w:fill="C0C0C0"/>
            <w:noWrap/>
            <w:vAlign w:val="center"/>
          </w:tcPr>
          <w:p w:rsidR="00C70B08" w:rsidRPr="003C289B" w:rsidRDefault="00C70B08" w:rsidP="00C70B08">
            <w:pPr>
              <w:spacing w:after="0" w:line="240" w:lineRule="auto"/>
              <w:jc w:val="center"/>
              <w:rPr>
                <w:rFonts w:ascii="Times New Roman" w:hAnsi="Times New Roman"/>
                <w:b/>
                <w:bCs/>
                <w:sz w:val="24"/>
                <w:szCs w:val="24"/>
                <w:lang w:eastAsia="sk-SK"/>
              </w:rPr>
            </w:pPr>
          </w:p>
        </w:tc>
        <w:tc>
          <w:tcPr>
            <w:tcW w:w="1267" w:type="dxa"/>
            <w:shd w:val="clear" w:color="auto" w:fill="C0C0C0"/>
            <w:noWrap/>
            <w:vAlign w:val="center"/>
          </w:tcPr>
          <w:p w:rsidR="00C70B08" w:rsidRPr="003C289B" w:rsidRDefault="00C70B08" w:rsidP="00C70B08">
            <w:pPr>
              <w:spacing w:after="0" w:line="240" w:lineRule="auto"/>
              <w:jc w:val="center"/>
              <w:rPr>
                <w:rFonts w:ascii="Times New Roman" w:hAnsi="Times New Roman"/>
                <w:b/>
                <w:bCs/>
                <w:sz w:val="24"/>
                <w:szCs w:val="24"/>
                <w:lang w:eastAsia="sk-SK"/>
              </w:rPr>
            </w:pPr>
          </w:p>
        </w:tc>
        <w:tc>
          <w:tcPr>
            <w:tcW w:w="1267" w:type="dxa"/>
            <w:shd w:val="clear" w:color="auto" w:fill="C0C0C0"/>
            <w:noWrap/>
            <w:vAlign w:val="center"/>
          </w:tcPr>
          <w:p w:rsidR="00C70B08" w:rsidRPr="003C289B" w:rsidRDefault="00C70B08" w:rsidP="00C70B08">
            <w:pPr>
              <w:spacing w:after="0" w:line="240" w:lineRule="auto"/>
              <w:jc w:val="center"/>
              <w:rPr>
                <w:rFonts w:ascii="Times New Roman" w:hAnsi="Times New Roman"/>
                <w:b/>
                <w:bCs/>
                <w:sz w:val="24"/>
                <w:szCs w:val="24"/>
                <w:lang w:eastAsia="sk-SK"/>
              </w:rPr>
            </w:pPr>
          </w:p>
        </w:tc>
      </w:tr>
      <w:tr w:rsidR="00C70B08" w:rsidRPr="003C289B" w:rsidTr="007B71A4">
        <w:trPr>
          <w:trHeight w:val="70"/>
          <w:jc w:val="center"/>
        </w:trPr>
        <w:tc>
          <w:tcPr>
            <w:tcW w:w="4661" w:type="dxa"/>
            <w:noWrap/>
            <w:vAlign w:val="center"/>
          </w:tcPr>
          <w:p w:rsidR="00C70B08" w:rsidRPr="003C289B" w:rsidRDefault="00C70B08" w:rsidP="00DB08DF">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v tom</w:t>
            </w:r>
            <w:r w:rsidRPr="00CD4432">
              <w:rPr>
                <w:rFonts w:ascii="Times New Roman" w:hAnsi="Times New Roman"/>
                <w:sz w:val="24"/>
                <w:szCs w:val="24"/>
                <w:lang w:eastAsia="sk-SK"/>
              </w:rPr>
              <w:t xml:space="preserve">: </w:t>
            </w:r>
            <w:r w:rsidR="002B79CE">
              <w:rPr>
                <w:rFonts w:ascii="Times New Roman" w:hAnsi="Times New Roman"/>
                <w:sz w:val="24"/>
                <w:szCs w:val="24"/>
              </w:rPr>
              <w:t>Kapitola MF SR (</w:t>
            </w:r>
            <w:r w:rsidR="00DB08DF">
              <w:rPr>
                <w:rFonts w:ascii="Times New Roman" w:hAnsi="Times New Roman"/>
                <w:sz w:val="24"/>
                <w:szCs w:val="24"/>
              </w:rPr>
              <w:t>MF SR - úrad</w:t>
            </w:r>
            <w:r w:rsidR="002B79CE">
              <w:rPr>
                <w:rFonts w:ascii="Times New Roman" w:hAnsi="Times New Roman"/>
                <w:sz w:val="24"/>
                <w:szCs w:val="24"/>
              </w:rPr>
              <w:t>) / program 0EK</w:t>
            </w:r>
          </w:p>
        </w:tc>
        <w:tc>
          <w:tcPr>
            <w:tcW w:w="1267" w:type="dxa"/>
            <w:noWrap/>
            <w:vAlign w:val="center"/>
          </w:tcPr>
          <w:p w:rsidR="00C70B08" w:rsidRPr="003C289B" w:rsidRDefault="00DB08DF" w:rsidP="00C70B08">
            <w:pPr>
              <w:spacing w:after="0" w:line="240" w:lineRule="auto"/>
              <w:jc w:val="center"/>
              <w:rPr>
                <w:rFonts w:ascii="Times New Roman" w:hAnsi="Times New Roman"/>
                <w:sz w:val="24"/>
                <w:szCs w:val="24"/>
                <w:lang w:eastAsia="sk-SK"/>
              </w:rPr>
            </w:pPr>
            <w:r>
              <w:rPr>
                <w:rFonts w:ascii="Times New Roman" w:hAnsi="Times New Roman"/>
                <w:b/>
                <w:bCs/>
                <w:sz w:val="24"/>
                <w:szCs w:val="24"/>
                <w:lang w:eastAsia="sk-SK"/>
              </w:rPr>
              <w:t>135 432</w:t>
            </w:r>
          </w:p>
        </w:tc>
        <w:tc>
          <w:tcPr>
            <w:tcW w:w="1267" w:type="dxa"/>
            <w:noWrap/>
            <w:vAlign w:val="center"/>
          </w:tcPr>
          <w:p w:rsidR="00C70B08" w:rsidRPr="003C289B" w:rsidRDefault="00C70B08" w:rsidP="00C70B08">
            <w:pPr>
              <w:spacing w:after="0" w:line="240" w:lineRule="auto"/>
              <w:jc w:val="center"/>
              <w:rPr>
                <w:rFonts w:ascii="Times New Roman" w:hAnsi="Times New Roman"/>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sz w:val="24"/>
                <w:szCs w:val="24"/>
                <w:lang w:eastAsia="sk-SK"/>
              </w:rPr>
            </w:pPr>
          </w:p>
        </w:tc>
      </w:tr>
      <w:tr w:rsidR="002B79CE" w:rsidRPr="003C289B" w:rsidTr="007B71A4">
        <w:trPr>
          <w:trHeight w:val="70"/>
          <w:jc w:val="center"/>
        </w:trPr>
        <w:tc>
          <w:tcPr>
            <w:tcW w:w="4661" w:type="dxa"/>
            <w:noWrap/>
            <w:vAlign w:val="center"/>
          </w:tcPr>
          <w:p w:rsidR="002B79CE" w:rsidRPr="003C289B" w:rsidRDefault="00DB08DF" w:rsidP="00C70B08">
            <w:pPr>
              <w:spacing w:after="0" w:line="240" w:lineRule="auto"/>
              <w:rPr>
                <w:rFonts w:ascii="Times New Roman" w:hAnsi="Times New Roman"/>
                <w:sz w:val="24"/>
                <w:szCs w:val="24"/>
                <w:lang w:eastAsia="sk-SK"/>
              </w:rPr>
            </w:pPr>
            <w:r>
              <w:rPr>
                <w:rFonts w:ascii="Times New Roman" w:hAnsi="Times New Roman"/>
                <w:sz w:val="24"/>
                <w:szCs w:val="24"/>
              </w:rPr>
              <w:t>Kapitola MF SR (Finančné riaditeľstvo SR) / program 0EK</w:t>
            </w:r>
          </w:p>
        </w:tc>
        <w:tc>
          <w:tcPr>
            <w:tcW w:w="1267" w:type="dxa"/>
            <w:noWrap/>
            <w:vAlign w:val="center"/>
          </w:tcPr>
          <w:p w:rsidR="002B79CE" w:rsidRDefault="00DB08DF" w:rsidP="00C70B0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30 096</w:t>
            </w:r>
          </w:p>
        </w:tc>
        <w:tc>
          <w:tcPr>
            <w:tcW w:w="1267" w:type="dxa"/>
            <w:noWrap/>
            <w:vAlign w:val="center"/>
          </w:tcPr>
          <w:p w:rsidR="002B79CE" w:rsidRPr="003C289B" w:rsidRDefault="002B79CE" w:rsidP="00C70B08">
            <w:pPr>
              <w:spacing w:after="0" w:line="240" w:lineRule="auto"/>
              <w:jc w:val="center"/>
              <w:rPr>
                <w:rFonts w:ascii="Times New Roman" w:hAnsi="Times New Roman"/>
                <w:sz w:val="24"/>
                <w:szCs w:val="24"/>
                <w:lang w:eastAsia="sk-SK"/>
              </w:rPr>
            </w:pPr>
          </w:p>
        </w:tc>
        <w:tc>
          <w:tcPr>
            <w:tcW w:w="1267" w:type="dxa"/>
            <w:noWrap/>
            <w:vAlign w:val="center"/>
          </w:tcPr>
          <w:p w:rsidR="002B79CE" w:rsidRPr="003C289B" w:rsidRDefault="002B79CE" w:rsidP="00C70B08">
            <w:pPr>
              <w:spacing w:after="0" w:line="240" w:lineRule="auto"/>
              <w:jc w:val="center"/>
              <w:rPr>
                <w:rFonts w:ascii="Times New Roman" w:hAnsi="Times New Roman"/>
                <w:sz w:val="24"/>
                <w:szCs w:val="24"/>
                <w:lang w:eastAsia="sk-SK"/>
              </w:rPr>
            </w:pPr>
          </w:p>
        </w:tc>
        <w:tc>
          <w:tcPr>
            <w:tcW w:w="1267" w:type="dxa"/>
            <w:noWrap/>
            <w:vAlign w:val="center"/>
          </w:tcPr>
          <w:p w:rsidR="002B79CE" w:rsidRPr="003C289B" w:rsidRDefault="002B79CE" w:rsidP="00C70B08">
            <w:pPr>
              <w:spacing w:after="0" w:line="240" w:lineRule="auto"/>
              <w:jc w:val="center"/>
              <w:rPr>
                <w:rFonts w:ascii="Times New Roman" w:hAnsi="Times New Roman"/>
                <w:sz w:val="24"/>
                <w:szCs w:val="24"/>
                <w:lang w:eastAsia="sk-SK"/>
              </w:rPr>
            </w:pPr>
          </w:p>
        </w:tc>
      </w:tr>
      <w:tr w:rsidR="00C70B08" w:rsidRPr="003C289B" w:rsidTr="007B71A4">
        <w:trPr>
          <w:trHeight w:val="70"/>
          <w:jc w:val="center"/>
        </w:trPr>
        <w:tc>
          <w:tcPr>
            <w:tcW w:w="4661" w:type="dxa"/>
            <w:noWrap/>
            <w:vAlign w:val="center"/>
          </w:tcPr>
          <w:p w:rsidR="00C70B08" w:rsidRPr="003C289B" w:rsidRDefault="00C70B08" w:rsidP="00C70B0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xml:space="preserve">z toho: </w:t>
            </w: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r>
      <w:tr w:rsidR="00C70B08" w:rsidRPr="003C289B" w:rsidTr="007B71A4">
        <w:trPr>
          <w:trHeight w:val="70"/>
          <w:jc w:val="center"/>
        </w:trPr>
        <w:tc>
          <w:tcPr>
            <w:tcW w:w="4661" w:type="dxa"/>
            <w:noWrap/>
            <w:vAlign w:val="center"/>
          </w:tcPr>
          <w:p w:rsidR="00C70B08" w:rsidRPr="003C289B" w:rsidRDefault="00C70B08" w:rsidP="00C70B0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r>
              <w:rPr>
                <w:rFonts w:ascii="Times New Roman" w:hAnsi="Times New Roman"/>
                <w:b/>
                <w:bCs/>
                <w:sz w:val="24"/>
                <w:szCs w:val="24"/>
                <w:lang w:eastAsia="sk-SK"/>
              </w:rPr>
              <w:t>165 528</w:t>
            </w: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r>
      <w:tr w:rsidR="00C70B08" w:rsidRPr="003C289B" w:rsidTr="007B71A4">
        <w:trPr>
          <w:trHeight w:val="70"/>
          <w:jc w:val="center"/>
        </w:trPr>
        <w:tc>
          <w:tcPr>
            <w:tcW w:w="4661" w:type="dxa"/>
            <w:noWrap/>
            <w:vAlign w:val="center"/>
          </w:tcPr>
          <w:p w:rsidR="00C70B08" w:rsidRPr="003C289B" w:rsidRDefault="00C70B08" w:rsidP="00C70B08">
            <w:pPr>
              <w:spacing w:after="0" w:line="240" w:lineRule="auto"/>
              <w:ind w:left="259"/>
              <w:rPr>
                <w:rFonts w:ascii="Times New Roman" w:hAnsi="Times New Roman"/>
                <w:b/>
                <w:bCs/>
                <w:i/>
                <w:iCs/>
                <w:sz w:val="24"/>
                <w:szCs w:val="24"/>
                <w:lang w:eastAsia="sk-SK"/>
              </w:rPr>
            </w:pPr>
            <w:r w:rsidRPr="003C289B">
              <w:rPr>
                <w:rFonts w:ascii="Times New Roman" w:hAnsi="Times New Roman"/>
                <w:bCs/>
                <w:i/>
                <w:iCs/>
                <w:sz w:val="24"/>
                <w:szCs w:val="24"/>
                <w:lang w:eastAsia="sk-SK"/>
              </w:rPr>
              <w:t>Rozpočtové prostriedky</w:t>
            </w: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r>
              <w:rPr>
                <w:rFonts w:ascii="Times New Roman" w:hAnsi="Times New Roman"/>
                <w:b/>
                <w:bCs/>
                <w:sz w:val="24"/>
                <w:szCs w:val="24"/>
                <w:lang w:eastAsia="sk-SK"/>
              </w:rPr>
              <w:t>165 528</w:t>
            </w: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C70B08" w:rsidRPr="003C289B" w:rsidRDefault="00C70B0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Cs/>
                <w:i/>
                <w:iCs/>
                <w:sz w:val="24"/>
                <w:szCs w:val="24"/>
                <w:lang w:eastAsia="sk-SK"/>
              </w:rPr>
            </w:pPr>
            <w:r w:rsidRPr="003C289B">
              <w:rPr>
                <w:rFonts w:ascii="Times New Roman" w:hAnsi="Times New Roman"/>
                <w:bCs/>
                <w:i/>
                <w:iCs/>
                <w:sz w:val="24"/>
                <w:szCs w:val="24"/>
                <w:lang w:eastAsia="sk-SK"/>
              </w:rPr>
              <w:t xml:space="preserve">    EÚ zdroje</w:t>
            </w: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Cs/>
                <w:i/>
                <w:iCs/>
                <w:sz w:val="24"/>
                <w:szCs w:val="24"/>
                <w:lang w:eastAsia="sk-SK"/>
              </w:rPr>
            </w:pPr>
            <w:r w:rsidRPr="003C289B">
              <w:rPr>
                <w:rFonts w:ascii="Times New Roman" w:hAnsi="Times New Roman"/>
                <w:bCs/>
                <w:i/>
                <w:iCs/>
                <w:sz w:val="24"/>
                <w:szCs w:val="24"/>
                <w:lang w:eastAsia="sk-SK"/>
              </w:rPr>
              <w:t xml:space="preserve">    spolufinancovanie</w:t>
            </w: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sz w:val="24"/>
                <w:szCs w:val="24"/>
                <w:lang w:eastAsia="sk-SK"/>
              </w:rPr>
            </w:pPr>
          </w:p>
        </w:tc>
      </w:tr>
      <w:tr w:rsidR="007D5748" w:rsidRPr="003C289B" w:rsidTr="007B71A4">
        <w:trPr>
          <w:trHeight w:val="125"/>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125"/>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shd w:val="clear" w:color="auto" w:fill="BFBFBF" w:themeFill="background1" w:themeFillShade="BF"/>
            <w:noWrap/>
            <w:vAlign w:val="center"/>
          </w:tcPr>
          <w:p w:rsidR="007D5748" w:rsidRPr="003C289B" w:rsidRDefault="007D5748" w:rsidP="007D5748">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shd w:val="clear" w:color="auto" w:fill="BFBFBF" w:themeFill="background1" w:themeFillShade="BF"/>
            <w:noWrap/>
            <w:vAlign w:val="center"/>
          </w:tcPr>
          <w:p w:rsidR="007D5748" w:rsidRPr="003C289B" w:rsidRDefault="007D5748" w:rsidP="007D5748">
            <w:pPr>
              <w:spacing w:after="0" w:line="240" w:lineRule="auto"/>
              <w:rPr>
                <w:rFonts w:ascii="Times New Roman" w:hAnsi="Times New Roman"/>
                <w:b/>
                <w:sz w:val="24"/>
                <w:szCs w:val="24"/>
                <w:lang w:eastAsia="sk-SK"/>
              </w:rPr>
            </w:pPr>
            <w:r w:rsidRPr="003C289B">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ŠR</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obce</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i/>
                <w:iCs/>
                <w:sz w:val="24"/>
                <w:szCs w:val="24"/>
                <w:lang w:eastAsia="sk-SK"/>
              </w:rPr>
            </w:pPr>
            <w:r w:rsidRPr="003C289B">
              <w:rPr>
                <w:rFonts w:ascii="Times New Roman" w:hAnsi="Times New Roman"/>
                <w:b/>
                <w:bCs/>
                <w:i/>
                <w:iCs/>
                <w:sz w:val="24"/>
                <w:szCs w:val="24"/>
                <w:lang w:eastAsia="sk-SK"/>
              </w:rPr>
              <w:t>- vplyv na vyššie územné celky</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noWrap/>
            <w:vAlign w:val="center"/>
          </w:tcPr>
          <w:p w:rsidR="007D5748" w:rsidRPr="003C289B" w:rsidRDefault="007D5748" w:rsidP="007D5748">
            <w:pPr>
              <w:spacing w:after="0" w:line="240" w:lineRule="auto"/>
              <w:rPr>
                <w:rFonts w:ascii="Times New Roman" w:hAnsi="Times New Roman"/>
                <w:b/>
                <w:bCs/>
                <w:sz w:val="24"/>
                <w:szCs w:val="24"/>
                <w:lang w:eastAsia="sk-SK"/>
              </w:rPr>
            </w:pPr>
            <w:r w:rsidRPr="003C289B">
              <w:rPr>
                <w:rFonts w:ascii="Times New Roman" w:hAnsi="Times New Roman"/>
                <w:b/>
                <w:bCs/>
                <w:i/>
                <w:iCs/>
                <w:sz w:val="24"/>
                <w:szCs w:val="24"/>
                <w:lang w:eastAsia="sk-SK"/>
              </w:rPr>
              <w:t>- vplyv na ostatné subjekty verejnej správy</w:t>
            </w: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c>
          <w:tcPr>
            <w:tcW w:w="1267" w:type="dxa"/>
            <w:noWrap/>
            <w:vAlign w:val="center"/>
          </w:tcPr>
          <w:p w:rsidR="007D5748" w:rsidRPr="003C289B" w:rsidRDefault="007D5748" w:rsidP="00C70B08">
            <w:pPr>
              <w:spacing w:after="0" w:line="240" w:lineRule="auto"/>
              <w:jc w:val="center"/>
              <w:rPr>
                <w:rFonts w:ascii="Times New Roman" w:hAnsi="Times New Roman"/>
                <w:b/>
                <w:bCs/>
                <w:iCs/>
                <w:sz w:val="24"/>
                <w:szCs w:val="24"/>
                <w:lang w:eastAsia="sk-SK"/>
              </w:rPr>
            </w:pPr>
          </w:p>
        </w:tc>
      </w:tr>
      <w:tr w:rsidR="007D5748" w:rsidRPr="003C289B" w:rsidTr="007B71A4">
        <w:trPr>
          <w:trHeight w:val="70"/>
          <w:jc w:val="center"/>
        </w:trPr>
        <w:tc>
          <w:tcPr>
            <w:tcW w:w="4661" w:type="dxa"/>
            <w:shd w:val="clear" w:color="auto" w:fill="C0C0C0"/>
            <w:noWrap/>
            <w:vAlign w:val="center"/>
          </w:tcPr>
          <w:p w:rsidR="007D5748" w:rsidRPr="003C289B" w:rsidRDefault="007D5748" w:rsidP="007D5748">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7D5748" w:rsidRPr="00CD4432" w:rsidRDefault="00CD4432" w:rsidP="00C70B08">
            <w:pPr>
              <w:spacing w:after="0" w:line="240" w:lineRule="auto"/>
              <w:jc w:val="center"/>
              <w:rPr>
                <w:rFonts w:ascii="Times New Roman" w:hAnsi="Times New Roman"/>
                <w:b/>
                <w:bCs/>
                <w:sz w:val="24"/>
                <w:szCs w:val="24"/>
                <w:lang w:eastAsia="sk-SK"/>
              </w:rPr>
            </w:pPr>
            <w:r w:rsidRPr="00CD4432">
              <w:rPr>
                <w:rFonts w:ascii="Times New Roman" w:hAnsi="Times New Roman"/>
                <w:b/>
                <w:sz w:val="24"/>
                <w:szCs w:val="24"/>
              </w:rPr>
              <w:t>15 048</w:t>
            </w:r>
          </w:p>
        </w:tc>
        <w:tc>
          <w:tcPr>
            <w:tcW w:w="1267" w:type="dxa"/>
            <w:shd w:val="clear" w:color="auto" w:fill="C0C0C0"/>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C0C0C0"/>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C0C0C0"/>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r>
      <w:tr w:rsidR="00DB08DF" w:rsidRPr="003C289B" w:rsidTr="007B71A4">
        <w:trPr>
          <w:trHeight w:val="70"/>
          <w:jc w:val="center"/>
        </w:trPr>
        <w:tc>
          <w:tcPr>
            <w:tcW w:w="4661" w:type="dxa"/>
            <w:noWrap/>
            <w:vAlign w:val="center"/>
          </w:tcPr>
          <w:p w:rsidR="00DB08DF" w:rsidRPr="003C289B" w:rsidRDefault="00DB08DF" w:rsidP="00DB08DF">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v tom</w:t>
            </w:r>
            <w:r w:rsidRPr="00CD4432">
              <w:rPr>
                <w:rFonts w:ascii="Times New Roman" w:hAnsi="Times New Roman"/>
                <w:sz w:val="24"/>
                <w:szCs w:val="24"/>
                <w:lang w:eastAsia="sk-SK"/>
              </w:rPr>
              <w:t xml:space="preserve">: </w:t>
            </w:r>
            <w:r>
              <w:rPr>
                <w:rFonts w:ascii="Times New Roman" w:hAnsi="Times New Roman"/>
                <w:sz w:val="24"/>
                <w:szCs w:val="24"/>
              </w:rPr>
              <w:t>Kapitola MF SR (MF SR - úrad) / program 0EK</w:t>
            </w:r>
          </w:p>
        </w:tc>
        <w:tc>
          <w:tcPr>
            <w:tcW w:w="1267" w:type="dxa"/>
            <w:noWrap/>
            <w:vAlign w:val="center"/>
          </w:tcPr>
          <w:p w:rsidR="00DB08DF" w:rsidRPr="003C289B" w:rsidRDefault="00DB08DF" w:rsidP="00DB08DF">
            <w:pPr>
              <w:spacing w:after="0" w:line="240" w:lineRule="auto"/>
              <w:jc w:val="center"/>
              <w:rPr>
                <w:rFonts w:ascii="Times New Roman" w:hAnsi="Times New Roman"/>
                <w:sz w:val="24"/>
                <w:szCs w:val="24"/>
                <w:lang w:eastAsia="sk-SK"/>
              </w:rPr>
            </w:pPr>
          </w:p>
        </w:tc>
        <w:tc>
          <w:tcPr>
            <w:tcW w:w="1267" w:type="dxa"/>
            <w:noWrap/>
            <w:vAlign w:val="center"/>
          </w:tcPr>
          <w:p w:rsidR="00DB08DF" w:rsidRPr="003C289B" w:rsidRDefault="00DB08DF" w:rsidP="00DB08DF">
            <w:pPr>
              <w:spacing w:after="0" w:line="240" w:lineRule="auto"/>
              <w:jc w:val="center"/>
              <w:rPr>
                <w:rFonts w:ascii="Times New Roman" w:hAnsi="Times New Roman"/>
                <w:sz w:val="24"/>
                <w:szCs w:val="24"/>
                <w:lang w:eastAsia="sk-SK"/>
              </w:rPr>
            </w:pPr>
          </w:p>
        </w:tc>
        <w:tc>
          <w:tcPr>
            <w:tcW w:w="1267" w:type="dxa"/>
            <w:noWrap/>
            <w:vAlign w:val="center"/>
          </w:tcPr>
          <w:p w:rsidR="00DB08DF" w:rsidRPr="003C289B" w:rsidRDefault="00DB08DF" w:rsidP="00DB08DF">
            <w:pPr>
              <w:spacing w:after="0" w:line="240" w:lineRule="auto"/>
              <w:jc w:val="center"/>
              <w:rPr>
                <w:rFonts w:ascii="Times New Roman" w:hAnsi="Times New Roman"/>
                <w:sz w:val="24"/>
                <w:szCs w:val="24"/>
                <w:lang w:eastAsia="sk-SK"/>
              </w:rPr>
            </w:pPr>
          </w:p>
        </w:tc>
        <w:tc>
          <w:tcPr>
            <w:tcW w:w="1267" w:type="dxa"/>
            <w:noWrap/>
            <w:vAlign w:val="center"/>
          </w:tcPr>
          <w:p w:rsidR="00DB08DF" w:rsidRPr="003C289B" w:rsidRDefault="00DB08DF" w:rsidP="00DB08DF">
            <w:pPr>
              <w:spacing w:after="0" w:line="240" w:lineRule="auto"/>
              <w:jc w:val="center"/>
              <w:rPr>
                <w:rFonts w:ascii="Times New Roman" w:hAnsi="Times New Roman"/>
                <w:sz w:val="24"/>
                <w:szCs w:val="24"/>
                <w:lang w:eastAsia="sk-SK"/>
              </w:rPr>
            </w:pPr>
          </w:p>
        </w:tc>
      </w:tr>
      <w:tr w:rsidR="00DB08DF" w:rsidRPr="003C289B" w:rsidTr="007B71A4">
        <w:trPr>
          <w:trHeight w:val="70"/>
          <w:jc w:val="center"/>
        </w:trPr>
        <w:tc>
          <w:tcPr>
            <w:tcW w:w="4661" w:type="dxa"/>
            <w:noWrap/>
            <w:vAlign w:val="center"/>
          </w:tcPr>
          <w:p w:rsidR="00DB08DF" w:rsidRPr="003C289B" w:rsidRDefault="00DB08DF" w:rsidP="00DB08DF">
            <w:pPr>
              <w:spacing w:after="0" w:line="240" w:lineRule="auto"/>
              <w:rPr>
                <w:rFonts w:ascii="Times New Roman" w:hAnsi="Times New Roman"/>
                <w:sz w:val="24"/>
                <w:szCs w:val="24"/>
                <w:lang w:eastAsia="sk-SK"/>
              </w:rPr>
            </w:pPr>
            <w:r>
              <w:rPr>
                <w:rFonts w:ascii="Times New Roman" w:hAnsi="Times New Roman"/>
                <w:sz w:val="24"/>
                <w:szCs w:val="24"/>
              </w:rPr>
              <w:t>Kapitola MF SR (Finančné riaditeľstvo SR) / program 0EK</w:t>
            </w:r>
          </w:p>
        </w:tc>
        <w:tc>
          <w:tcPr>
            <w:tcW w:w="1267" w:type="dxa"/>
            <w:noWrap/>
            <w:vAlign w:val="center"/>
          </w:tcPr>
          <w:p w:rsidR="00DB08DF" w:rsidRPr="003C289B" w:rsidRDefault="00DB08DF" w:rsidP="00DB08DF">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15 048</w:t>
            </w:r>
          </w:p>
        </w:tc>
        <w:tc>
          <w:tcPr>
            <w:tcW w:w="1267" w:type="dxa"/>
            <w:noWrap/>
            <w:vAlign w:val="center"/>
          </w:tcPr>
          <w:p w:rsidR="00DB08DF" w:rsidRPr="003C289B" w:rsidRDefault="00DB08DF" w:rsidP="00DB08DF">
            <w:pPr>
              <w:spacing w:after="0" w:line="240" w:lineRule="auto"/>
              <w:jc w:val="center"/>
              <w:rPr>
                <w:rFonts w:ascii="Times New Roman" w:hAnsi="Times New Roman"/>
                <w:sz w:val="24"/>
                <w:szCs w:val="24"/>
                <w:lang w:eastAsia="sk-SK"/>
              </w:rPr>
            </w:pPr>
          </w:p>
        </w:tc>
        <w:tc>
          <w:tcPr>
            <w:tcW w:w="1267" w:type="dxa"/>
            <w:noWrap/>
            <w:vAlign w:val="center"/>
          </w:tcPr>
          <w:p w:rsidR="00DB08DF" w:rsidRPr="003C289B" w:rsidRDefault="00DB08DF" w:rsidP="00DB08DF">
            <w:pPr>
              <w:spacing w:after="0" w:line="240" w:lineRule="auto"/>
              <w:jc w:val="center"/>
              <w:rPr>
                <w:rFonts w:ascii="Times New Roman" w:hAnsi="Times New Roman"/>
                <w:sz w:val="24"/>
                <w:szCs w:val="24"/>
                <w:lang w:eastAsia="sk-SK"/>
              </w:rPr>
            </w:pPr>
          </w:p>
        </w:tc>
        <w:tc>
          <w:tcPr>
            <w:tcW w:w="1267" w:type="dxa"/>
            <w:noWrap/>
            <w:vAlign w:val="center"/>
          </w:tcPr>
          <w:p w:rsidR="00DB08DF" w:rsidRPr="003C289B" w:rsidRDefault="00DB08DF" w:rsidP="00DB08DF">
            <w:pPr>
              <w:spacing w:after="0" w:line="240" w:lineRule="auto"/>
              <w:jc w:val="center"/>
              <w:rPr>
                <w:rFonts w:ascii="Times New Roman" w:hAnsi="Times New Roman"/>
                <w:sz w:val="24"/>
                <w:szCs w:val="24"/>
                <w:lang w:eastAsia="sk-SK"/>
              </w:rPr>
            </w:pPr>
          </w:p>
        </w:tc>
      </w:tr>
      <w:tr w:rsidR="007D5748" w:rsidRPr="003C289B" w:rsidTr="007B71A4">
        <w:trPr>
          <w:trHeight w:val="70"/>
          <w:jc w:val="center"/>
        </w:trPr>
        <w:tc>
          <w:tcPr>
            <w:tcW w:w="4661" w:type="dxa"/>
            <w:shd w:val="clear" w:color="auto" w:fill="BFBFBF" w:themeFill="background1" w:themeFillShade="BF"/>
            <w:noWrap/>
            <w:vAlign w:val="center"/>
          </w:tcPr>
          <w:p w:rsidR="007D5748" w:rsidRPr="003C289B" w:rsidRDefault="007D5748" w:rsidP="007D5748">
            <w:pPr>
              <w:spacing w:after="0" w:line="240" w:lineRule="auto"/>
              <w:rPr>
                <w:rFonts w:ascii="Times New Roman" w:hAnsi="Times New Roman"/>
                <w:b/>
                <w:sz w:val="24"/>
                <w:szCs w:val="24"/>
                <w:lang w:eastAsia="sk-SK"/>
              </w:rPr>
            </w:pPr>
            <w:r w:rsidRPr="003C289B">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r>
      <w:tr w:rsidR="007D5748" w:rsidRPr="003C289B" w:rsidTr="007B71A4">
        <w:trPr>
          <w:trHeight w:val="70"/>
          <w:jc w:val="center"/>
        </w:trPr>
        <w:tc>
          <w:tcPr>
            <w:tcW w:w="4661" w:type="dxa"/>
            <w:shd w:val="clear" w:color="auto" w:fill="A6A6A6" w:themeFill="background1" w:themeFillShade="A6"/>
            <w:noWrap/>
            <w:vAlign w:val="center"/>
          </w:tcPr>
          <w:p w:rsidR="007D5748" w:rsidRPr="003C289B" w:rsidRDefault="007D5748" w:rsidP="007D5748">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tcPr>
          <w:p w:rsidR="007D5748" w:rsidRPr="003C289B" w:rsidRDefault="00C70B08" w:rsidP="00C70B0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150 480</w:t>
            </w:r>
          </w:p>
        </w:tc>
        <w:tc>
          <w:tcPr>
            <w:tcW w:w="1267" w:type="dxa"/>
            <w:shd w:val="clear" w:color="auto" w:fill="A6A6A6" w:themeFill="background1" w:themeFillShade="A6"/>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A6A6A6" w:themeFill="background1" w:themeFillShade="A6"/>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c>
          <w:tcPr>
            <w:tcW w:w="1267" w:type="dxa"/>
            <w:shd w:val="clear" w:color="auto" w:fill="A6A6A6" w:themeFill="background1" w:themeFillShade="A6"/>
            <w:noWrap/>
            <w:vAlign w:val="center"/>
          </w:tcPr>
          <w:p w:rsidR="007D5748" w:rsidRPr="003C289B" w:rsidRDefault="007D5748" w:rsidP="00C70B08">
            <w:pPr>
              <w:spacing w:after="0" w:line="240" w:lineRule="auto"/>
              <w:jc w:val="center"/>
              <w:rPr>
                <w:rFonts w:ascii="Times New Roman" w:hAnsi="Times New Roman"/>
                <w:b/>
                <w:bCs/>
                <w:sz w:val="24"/>
                <w:szCs w:val="24"/>
                <w:lang w:eastAsia="sk-SK"/>
              </w:rPr>
            </w:pPr>
          </w:p>
        </w:tc>
      </w:tr>
      <w:bookmarkEnd w:id="1"/>
    </w:tbl>
    <w:p w:rsidR="007D5748" w:rsidRPr="003C289B" w:rsidRDefault="007D5748" w:rsidP="007D5748">
      <w:pPr>
        <w:spacing w:after="0" w:line="240" w:lineRule="auto"/>
        <w:rPr>
          <w:rFonts w:ascii="Times New Roman" w:hAnsi="Times New Roman"/>
          <w:b/>
          <w:bCs/>
          <w:sz w:val="24"/>
          <w:szCs w:val="24"/>
          <w:lang w:eastAsia="sk-SK"/>
        </w:rPr>
      </w:pPr>
    </w:p>
    <w:p w:rsidR="00E963A3" w:rsidRPr="003C289B" w:rsidRDefault="00E963A3">
      <w:pPr>
        <w:rPr>
          <w:rFonts w:ascii="Times New Roman" w:hAnsi="Times New Roman"/>
          <w:b/>
          <w:bCs/>
          <w:sz w:val="24"/>
          <w:szCs w:val="24"/>
          <w:lang w:eastAsia="sk-SK"/>
        </w:rPr>
      </w:pPr>
      <w:r w:rsidRPr="003C289B">
        <w:rPr>
          <w:rFonts w:ascii="Times New Roman" w:hAnsi="Times New Roman"/>
          <w:b/>
          <w:bCs/>
          <w:sz w:val="24"/>
          <w:szCs w:val="24"/>
          <w:lang w:eastAsia="sk-SK"/>
        </w:rPr>
        <w:lastRenderedPageBreak/>
        <w:br w:type="page"/>
      </w:r>
    </w:p>
    <w:p w:rsidR="00A23B46" w:rsidRDefault="007D5748" w:rsidP="00515511">
      <w:pPr>
        <w:spacing w:after="0" w:line="240" w:lineRule="auto"/>
        <w:jc w:val="both"/>
        <w:rPr>
          <w:rFonts w:ascii="Times New Roman" w:hAnsi="Times New Roman"/>
          <w:b/>
          <w:bCs/>
          <w:sz w:val="24"/>
          <w:szCs w:val="24"/>
          <w:lang w:eastAsia="sk-SK"/>
        </w:rPr>
      </w:pPr>
      <w:r w:rsidRPr="003C289B">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515511" w:rsidRDefault="00515511" w:rsidP="00515511">
      <w:pPr>
        <w:spacing w:after="0" w:line="240" w:lineRule="auto"/>
        <w:jc w:val="both"/>
        <w:rPr>
          <w:rFonts w:ascii="Times New Roman" w:hAnsi="Times New Roman"/>
          <w:b/>
          <w:bCs/>
          <w:sz w:val="24"/>
          <w:szCs w:val="24"/>
          <w:lang w:eastAsia="sk-SK"/>
        </w:rPr>
      </w:pPr>
    </w:p>
    <w:p w:rsidR="00515511" w:rsidRPr="00186E74" w:rsidRDefault="00515511" w:rsidP="00515511">
      <w:pPr>
        <w:spacing w:after="0" w:line="240" w:lineRule="auto"/>
        <w:jc w:val="both"/>
        <w:rPr>
          <w:rFonts w:ascii="Times New Roman" w:hAnsi="Times New Roman"/>
          <w:bCs/>
          <w:sz w:val="20"/>
          <w:szCs w:val="20"/>
          <w:lang w:eastAsia="sk-SK"/>
        </w:rPr>
      </w:pPr>
      <w:r w:rsidRPr="00186E74">
        <w:rPr>
          <w:rFonts w:ascii="Times New Roman" w:hAnsi="Times New Roman"/>
          <w:bCs/>
          <w:sz w:val="20"/>
          <w:szCs w:val="20"/>
          <w:lang w:eastAsia="sk-SK"/>
        </w:rPr>
        <w:t xml:space="preserve">Legislatívnou úpravou sa v zmysle ustanovenia „§15a Osobitné ustanovenie pre nabíjacie stanice“ zavádza </w:t>
      </w:r>
      <w:r w:rsidRPr="00186E74">
        <w:rPr>
          <w:rFonts w:ascii="Times New Roman" w:hAnsi="Times New Roman"/>
          <w:bCs/>
          <w:i/>
          <w:sz w:val="20"/>
          <w:szCs w:val="20"/>
          <w:lang w:eastAsia="sk-SK"/>
        </w:rPr>
        <w:t>nový typ daňového subjektu</w:t>
      </w:r>
      <w:r w:rsidRPr="00186E74">
        <w:rPr>
          <w:rFonts w:ascii="Times New Roman" w:hAnsi="Times New Roman"/>
          <w:bCs/>
          <w:sz w:val="20"/>
          <w:szCs w:val="20"/>
          <w:lang w:eastAsia="sk-SK"/>
        </w:rPr>
        <w:t xml:space="preserve">. Uvedený návrh bude vyžadovať vykonanie zmeny v APV SysNeD, ďalej bude nové tlačivo daňového priznania k spotrebnej dani z elektriny a zmeny bude nutné vykonať aj v registračnom formulári uvedenom na PFS. Obe tlačivá zverejní MF SR. </w:t>
      </w:r>
    </w:p>
    <w:p w:rsidR="00515511" w:rsidRPr="00186E74" w:rsidRDefault="00515511" w:rsidP="00515511">
      <w:pPr>
        <w:spacing w:after="0" w:line="240" w:lineRule="auto"/>
        <w:jc w:val="both"/>
        <w:rPr>
          <w:rFonts w:ascii="Times New Roman" w:hAnsi="Times New Roman"/>
          <w:bCs/>
          <w:sz w:val="20"/>
          <w:szCs w:val="20"/>
          <w:lang w:eastAsia="sk-SK"/>
        </w:rPr>
      </w:pPr>
    </w:p>
    <w:p w:rsidR="00515511" w:rsidRPr="00186E74" w:rsidRDefault="00515511" w:rsidP="00515511">
      <w:pPr>
        <w:spacing w:after="0" w:line="240" w:lineRule="auto"/>
        <w:jc w:val="both"/>
        <w:rPr>
          <w:rFonts w:ascii="Times New Roman" w:hAnsi="Times New Roman"/>
          <w:bCs/>
          <w:sz w:val="20"/>
          <w:szCs w:val="20"/>
          <w:lang w:eastAsia="sk-SK"/>
        </w:rPr>
      </w:pPr>
      <w:r w:rsidRPr="00186E74">
        <w:rPr>
          <w:rFonts w:ascii="Times New Roman" w:hAnsi="Times New Roman"/>
          <w:bCs/>
          <w:sz w:val="20"/>
          <w:szCs w:val="20"/>
          <w:lang w:eastAsia="sk-SK"/>
        </w:rPr>
        <w:t xml:space="preserve">Legislatívnou úpravou sa zavádza ustanovením </w:t>
      </w:r>
      <w:r w:rsidRPr="00186E74">
        <w:rPr>
          <w:rFonts w:ascii="Times New Roman" w:hAnsi="Times New Roman"/>
          <w:bCs/>
          <w:i/>
          <w:sz w:val="20"/>
          <w:szCs w:val="20"/>
          <w:lang w:eastAsia="sk-SK"/>
        </w:rPr>
        <w:t>§39b Osobitné ustanovenie pre skvapalnený zemný plyn</w:t>
      </w:r>
      <w:r w:rsidRPr="00186E74">
        <w:rPr>
          <w:rFonts w:ascii="Times New Roman" w:hAnsi="Times New Roman"/>
          <w:bCs/>
          <w:sz w:val="20"/>
          <w:szCs w:val="20"/>
          <w:lang w:eastAsia="sk-SK"/>
        </w:rPr>
        <w:t>. Uvedený návrh bude vyžadovať vykonanie zmeny v APV SysNeD, ďalej bude nové tlačivo daňového priznania k spotrebnej dani zo zemného plynu a zmeny bude nutné vykonať aj v registračnom formulári uvedenom na PFS. Obe tlačivá zverejní MF SR.</w:t>
      </w:r>
    </w:p>
    <w:p w:rsidR="00515511" w:rsidRPr="00186E74" w:rsidRDefault="00515511" w:rsidP="00515511">
      <w:pPr>
        <w:spacing w:after="0" w:line="240" w:lineRule="auto"/>
        <w:jc w:val="both"/>
        <w:rPr>
          <w:rFonts w:ascii="Times New Roman" w:hAnsi="Times New Roman"/>
          <w:bCs/>
          <w:sz w:val="20"/>
          <w:szCs w:val="20"/>
          <w:lang w:eastAsia="sk-SK"/>
        </w:rPr>
      </w:pPr>
    </w:p>
    <w:p w:rsidR="00515511" w:rsidRPr="00186E74" w:rsidRDefault="00515511" w:rsidP="00515511">
      <w:pPr>
        <w:spacing w:after="0" w:line="240" w:lineRule="auto"/>
        <w:jc w:val="both"/>
        <w:rPr>
          <w:rFonts w:ascii="Times New Roman" w:hAnsi="Times New Roman"/>
          <w:bCs/>
          <w:sz w:val="20"/>
          <w:szCs w:val="20"/>
          <w:lang w:eastAsia="sk-SK"/>
        </w:rPr>
      </w:pPr>
      <w:r w:rsidRPr="00186E74">
        <w:rPr>
          <w:rFonts w:ascii="Times New Roman" w:hAnsi="Times New Roman"/>
          <w:bCs/>
          <w:sz w:val="20"/>
          <w:szCs w:val="20"/>
          <w:lang w:eastAsia="sk-SK"/>
        </w:rPr>
        <w:t xml:space="preserve">Legislatívnou úpravou sa zavádza </w:t>
      </w:r>
      <w:r w:rsidRPr="00186E74">
        <w:rPr>
          <w:rFonts w:ascii="Times New Roman" w:hAnsi="Times New Roman"/>
          <w:bCs/>
          <w:i/>
          <w:sz w:val="20"/>
          <w:szCs w:val="20"/>
          <w:lang w:eastAsia="sk-SK"/>
        </w:rPr>
        <w:t>nový typ oslobodenia pri spotrebnej dani z uhlia</w:t>
      </w:r>
      <w:r w:rsidRPr="00186E74">
        <w:rPr>
          <w:rFonts w:ascii="Times New Roman" w:hAnsi="Times New Roman"/>
          <w:bCs/>
          <w:sz w:val="20"/>
          <w:szCs w:val="20"/>
          <w:lang w:eastAsia="sk-SK"/>
        </w:rPr>
        <w:t>. Ustanovenie § 19 sa dopĺňa novým odsekom 2 znenia: „Od dane je oslobodené aj uhlie maximálne do výšky technicky odôvodnených skutočných strát pri skladovaní a preprave, ak sú tieto straty uznané colným úradom ako oprávnené a zodpovedajú charakteru činnosti a obvyklej výške strát pri rovnakej alebo obdobnej činnosti“</w:t>
      </w:r>
    </w:p>
    <w:p w:rsidR="00515511" w:rsidRPr="00186E74" w:rsidRDefault="00515511" w:rsidP="00515511">
      <w:pPr>
        <w:spacing w:after="0" w:line="240" w:lineRule="auto"/>
        <w:jc w:val="both"/>
        <w:rPr>
          <w:rFonts w:ascii="Times New Roman" w:hAnsi="Times New Roman"/>
          <w:bCs/>
          <w:sz w:val="20"/>
          <w:szCs w:val="20"/>
          <w:lang w:eastAsia="sk-SK"/>
        </w:rPr>
      </w:pPr>
    </w:p>
    <w:p w:rsidR="00515511" w:rsidRPr="00186E74" w:rsidRDefault="00515511" w:rsidP="00515511">
      <w:pPr>
        <w:spacing w:after="0" w:line="240" w:lineRule="auto"/>
        <w:jc w:val="both"/>
        <w:rPr>
          <w:rFonts w:ascii="Times New Roman" w:hAnsi="Times New Roman"/>
          <w:bCs/>
          <w:sz w:val="20"/>
          <w:szCs w:val="20"/>
          <w:lang w:eastAsia="sk-SK"/>
        </w:rPr>
      </w:pPr>
      <w:r w:rsidRPr="00186E74">
        <w:rPr>
          <w:rFonts w:ascii="Times New Roman" w:hAnsi="Times New Roman"/>
          <w:bCs/>
          <w:sz w:val="20"/>
          <w:szCs w:val="20"/>
          <w:lang w:eastAsia="sk-SK"/>
        </w:rPr>
        <w:t xml:space="preserve">Uvedený návrh bude mať za následok úpravu daňového priznania k spotrebnej dani z uhlia a teda zmenu formulára uvedeného daňového priznania zverejneného na PFS ako aj vykonanie zmeny v APV SysNeD. Nové tlačivo daňového priznania zverejní MF SR. </w:t>
      </w:r>
    </w:p>
    <w:p w:rsidR="00515511" w:rsidRPr="00186E74" w:rsidRDefault="00515511" w:rsidP="00515511">
      <w:pPr>
        <w:spacing w:after="0" w:line="240" w:lineRule="auto"/>
        <w:jc w:val="both"/>
        <w:rPr>
          <w:rFonts w:ascii="Times New Roman" w:hAnsi="Times New Roman"/>
          <w:bCs/>
          <w:sz w:val="20"/>
          <w:szCs w:val="20"/>
          <w:lang w:eastAsia="sk-SK"/>
        </w:rPr>
      </w:pPr>
    </w:p>
    <w:p w:rsidR="00515511" w:rsidRPr="00186E74" w:rsidRDefault="00515511" w:rsidP="00515511">
      <w:pPr>
        <w:spacing w:after="0" w:line="240" w:lineRule="auto"/>
        <w:jc w:val="both"/>
        <w:rPr>
          <w:rFonts w:ascii="Times New Roman" w:hAnsi="Times New Roman"/>
          <w:bCs/>
          <w:sz w:val="20"/>
          <w:szCs w:val="20"/>
          <w:lang w:eastAsia="sk-SK"/>
        </w:rPr>
      </w:pPr>
      <w:r w:rsidRPr="00186E74">
        <w:rPr>
          <w:rFonts w:ascii="Times New Roman" w:hAnsi="Times New Roman"/>
          <w:bCs/>
          <w:sz w:val="20"/>
          <w:szCs w:val="20"/>
          <w:lang w:eastAsia="sk-SK"/>
        </w:rPr>
        <w:t xml:space="preserve">Legislatívnou úpravou sa zavádza </w:t>
      </w:r>
      <w:r w:rsidRPr="00186E74">
        <w:rPr>
          <w:rFonts w:ascii="Times New Roman" w:hAnsi="Times New Roman"/>
          <w:bCs/>
          <w:i/>
          <w:sz w:val="20"/>
          <w:szCs w:val="20"/>
          <w:lang w:eastAsia="sk-SK"/>
        </w:rPr>
        <w:t>sadzba dane pre skvapalnený zemný plyn</w:t>
      </w:r>
      <w:r w:rsidRPr="00186E74">
        <w:rPr>
          <w:rFonts w:ascii="Times New Roman" w:hAnsi="Times New Roman"/>
          <w:bCs/>
          <w:sz w:val="20"/>
          <w:szCs w:val="20"/>
          <w:lang w:eastAsia="sk-SK"/>
        </w:rPr>
        <w:t>. Uvedený návrh bude mať za následok úpravu daňového priznania k spotrebnej dani zo zemného plynu a teda zmenu formulára uvedeného daňového priznania zverejneného na PFS ako aj vykonanie zmeny v APV SysNeD. Nové tlačivo daňového priznania zverejní MF SR.</w:t>
      </w:r>
    </w:p>
    <w:p w:rsidR="00515511" w:rsidRPr="00186E74" w:rsidRDefault="00515511" w:rsidP="00515511">
      <w:pPr>
        <w:spacing w:after="0" w:line="240" w:lineRule="auto"/>
        <w:jc w:val="both"/>
        <w:rPr>
          <w:rFonts w:ascii="Times New Roman" w:hAnsi="Times New Roman"/>
          <w:bCs/>
          <w:sz w:val="20"/>
          <w:szCs w:val="20"/>
          <w:lang w:eastAsia="sk-SK"/>
        </w:rPr>
      </w:pPr>
    </w:p>
    <w:p w:rsidR="00515511" w:rsidRPr="00186E74" w:rsidRDefault="00515511" w:rsidP="00515511">
      <w:pPr>
        <w:spacing w:after="0" w:line="240" w:lineRule="auto"/>
        <w:jc w:val="both"/>
        <w:rPr>
          <w:rFonts w:ascii="Times New Roman" w:hAnsi="Times New Roman"/>
          <w:bCs/>
          <w:sz w:val="20"/>
          <w:szCs w:val="20"/>
          <w:lang w:eastAsia="sk-SK"/>
        </w:rPr>
      </w:pPr>
      <w:r w:rsidRPr="00186E74">
        <w:rPr>
          <w:rFonts w:ascii="Times New Roman" w:hAnsi="Times New Roman"/>
          <w:bCs/>
          <w:sz w:val="20"/>
          <w:szCs w:val="20"/>
          <w:lang w:eastAsia="sk-SK"/>
        </w:rPr>
        <w:t xml:space="preserve">Legislatívne úpravy rôznych ustanovení zákona si vyžiadajú </w:t>
      </w:r>
      <w:r w:rsidRPr="00186E74">
        <w:rPr>
          <w:rFonts w:ascii="Times New Roman" w:hAnsi="Times New Roman"/>
          <w:bCs/>
          <w:i/>
          <w:sz w:val="20"/>
          <w:szCs w:val="20"/>
          <w:lang w:eastAsia="sk-SK"/>
        </w:rPr>
        <w:t>zmeny údajov poskytnutých pri registrácii daňových subjektov</w:t>
      </w:r>
      <w:r w:rsidRPr="00186E74">
        <w:rPr>
          <w:rFonts w:ascii="Times New Roman" w:hAnsi="Times New Roman"/>
          <w:bCs/>
          <w:sz w:val="20"/>
          <w:szCs w:val="20"/>
          <w:lang w:eastAsia="sk-SK"/>
        </w:rPr>
        <w:t xml:space="preserve">, v nadväznosti na čo bude potrebné upraviť tlačivo na registráciu daňových subjektov na PFS, finálnu podobu tlačiva zverejní MF SR. </w:t>
      </w:r>
    </w:p>
    <w:p w:rsidR="00515511" w:rsidRPr="00186E74" w:rsidRDefault="00515511" w:rsidP="00515511">
      <w:pPr>
        <w:spacing w:after="0" w:line="240" w:lineRule="auto"/>
        <w:jc w:val="both"/>
        <w:rPr>
          <w:rFonts w:ascii="Times New Roman" w:hAnsi="Times New Roman"/>
          <w:bCs/>
          <w:sz w:val="20"/>
          <w:szCs w:val="20"/>
          <w:lang w:eastAsia="sk-SK"/>
        </w:rPr>
      </w:pPr>
    </w:p>
    <w:p w:rsidR="001C1544" w:rsidRPr="00186E74" w:rsidRDefault="001C1544" w:rsidP="001C1544">
      <w:pPr>
        <w:spacing w:after="0" w:line="240" w:lineRule="auto"/>
        <w:jc w:val="both"/>
        <w:rPr>
          <w:rFonts w:ascii="Times New Roman" w:hAnsi="Times New Roman"/>
          <w:bCs/>
          <w:sz w:val="20"/>
          <w:szCs w:val="20"/>
          <w:lang w:eastAsia="sk-SK"/>
        </w:rPr>
      </w:pPr>
      <w:r>
        <w:rPr>
          <w:rFonts w:ascii="Times New Roman" w:hAnsi="Times New Roman"/>
          <w:bCs/>
          <w:sz w:val="20"/>
          <w:szCs w:val="20"/>
          <w:lang w:eastAsia="sk-SK"/>
        </w:rPr>
        <w:t>N</w:t>
      </w:r>
      <w:r w:rsidRPr="00186E74">
        <w:rPr>
          <w:rFonts w:ascii="Times New Roman" w:hAnsi="Times New Roman"/>
          <w:bCs/>
          <w:sz w:val="20"/>
          <w:szCs w:val="20"/>
          <w:lang w:eastAsia="sk-SK"/>
        </w:rPr>
        <w:t xml:space="preserve">ávrh </w:t>
      </w:r>
      <w:r>
        <w:rPr>
          <w:rFonts w:ascii="Times New Roman" w:hAnsi="Times New Roman"/>
          <w:bCs/>
          <w:sz w:val="20"/>
          <w:szCs w:val="20"/>
          <w:lang w:eastAsia="sk-SK"/>
        </w:rPr>
        <w:t xml:space="preserve">zákona </w:t>
      </w:r>
      <w:r w:rsidRPr="00186E74">
        <w:rPr>
          <w:rFonts w:ascii="Times New Roman" w:hAnsi="Times New Roman"/>
          <w:bCs/>
          <w:sz w:val="20"/>
          <w:szCs w:val="20"/>
          <w:lang w:eastAsia="sk-SK"/>
        </w:rPr>
        <w:t xml:space="preserve">bude vyžadovať vykonanie zmeny v APV SysNeD, PFS. </w:t>
      </w:r>
    </w:p>
    <w:p w:rsidR="00E1514B" w:rsidRDefault="00515511" w:rsidP="00515511">
      <w:pPr>
        <w:spacing w:after="0" w:line="240" w:lineRule="auto"/>
        <w:jc w:val="both"/>
        <w:rPr>
          <w:rFonts w:ascii="Times New Roman" w:hAnsi="Times New Roman"/>
          <w:bCs/>
          <w:sz w:val="20"/>
          <w:szCs w:val="20"/>
          <w:lang w:eastAsia="sk-SK"/>
        </w:rPr>
      </w:pPr>
      <w:r w:rsidRPr="00186E74">
        <w:rPr>
          <w:rFonts w:ascii="Times New Roman" w:hAnsi="Times New Roman"/>
          <w:bCs/>
          <w:sz w:val="20"/>
          <w:szCs w:val="20"/>
          <w:lang w:eastAsia="sk-SK"/>
        </w:rPr>
        <w:t xml:space="preserve">Finančný dopad na </w:t>
      </w:r>
      <w:r w:rsidR="00DB08DF" w:rsidRPr="00186E74">
        <w:rPr>
          <w:rFonts w:ascii="Times New Roman" w:hAnsi="Times New Roman"/>
          <w:bCs/>
          <w:sz w:val="20"/>
          <w:szCs w:val="20"/>
          <w:lang w:eastAsia="sk-SK"/>
        </w:rPr>
        <w:t>informačn</w:t>
      </w:r>
      <w:r w:rsidR="00DB08DF">
        <w:rPr>
          <w:rFonts w:ascii="Times New Roman" w:hAnsi="Times New Roman"/>
          <w:bCs/>
          <w:sz w:val="20"/>
          <w:szCs w:val="20"/>
          <w:lang w:eastAsia="sk-SK"/>
        </w:rPr>
        <w:t>é</w:t>
      </w:r>
      <w:r w:rsidR="00DB08DF" w:rsidRPr="00186E74">
        <w:rPr>
          <w:rFonts w:ascii="Times New Roman" w:hAnsi="Times New Roman"/>
          <w:bCs/>
          <w:sz w:val="20"/>
          <w:szCs w:val="20"/>
          <w:lang w:eastAsia="sk-SK"/>
        </w:rPr>
        <w:t xml:space="preserve"> </w:t>
      </w:r>
      <w:r w:rsidRPr="00186E74">
        <w:rPr>
          <w:rFonts w:ascii="Times New Roman" w:hAnsi="Times New Roman"/>
          <w:bCs/>
          <w:sz w:val="20"/>
          <w:szCs w:val="20"/>
          <w:lang w:eastAsia="sk-SK"/>
        </w:rPr>
        <w:t>systém</w:t>
      </w:r>
      <w:r w:rsidR="00DB08DF">
        <w:rPr>
          <w:rFonts w:ascii="Times New Roman" w:hAnsi="Times New Roman"/>
          <w:bCs/>
          <w:sz w:val="20"/>
          <w:szCs w:val="20"/>
          <w:lang w:eastAsia="sk-SK"/>
        </w:rPr>
        <w:t>y</w:t>
      </w:r>
      <w:r w:rsidRPr="00186E74">
        <w:rPr>
          <w:rFonts w:ascii="Times New Roman" w:hAnsi="Times New Roman"/>
          <w:bCs/>
          <w:sz w:val="20"/>
          <w:szCs w:val="20"/>
          <w:lang w:eastAsia="sk-SK"/>
        </w:rPr>
        <w:t xml:space="preserve"> </w:t>
      </w:r>
      <w:r w:rsidR="00DB08DF">
        <w:rPr>
          <w:rFonts w:ascii="Times New Roman" w:hAnsi="Times New Roman"/>
          <w:bCs/>
          <w:sz w:val="20"/>
          <w:szCs w:val="20"/>
          <w:lang w:eastAsia="sk-SK"/>
        </w:rPr>
        <w:t xml:space="preserve">v rámci kapitoly MF SR </w:t>
      </w:r>
      <w:r w:rsidRPr="00186E74">
        <w:rPr>
          <w:rFonts w:ascii="Times New Roman" w:hAnsi="Times New Roman"/>
          <w:bCs/>
          <w:sz w:val="20"/>
          <w:szCs w:val="20"/>
          <w:lang w:eastAsia="sk-SK"/>
        </w:rPr>
        <w:t xml:space="preserve">predstavuje sumu </w:t>
      </w:r>
      <w:r w:rsidR="00AC7621">
        <w:rPr>
          <w:rFonts w:ascii="Times New Roman" w:hAnsi="Times New Roman"/>
          <w:b/>
          <w:bCs/>
          <w:sz w:val="20"/>
          <w:szCs w:val="20"/>
          <w:lang w:eastAsia="sk-SK"/>
        </w:rPr>
        <w:t>165 528</w:t>
      </w:r>
      <w:r w:rsidRPr="00186E74">
        <w:rPr>
          <w:rFonts w:ascii="Times New Roman" w:hAnsi="Times New Roman"/>
          <w:b/>
          <w:bCs/>
          <w:sz w:val="20"/>
          <w:szCs w:val="20"/>
          <w:lang w:eastAsia="sk-SK"/>
        </w:rPr>
        <w:t xml:space="preserve"> eur s</w:t>
      </w:r>
      <w:r w:rsidR="00DB08DF">
        <w:rPr>
          <w:rFonts w:ascii="Times New Roman" w:hAnsi="Times New Roman"/>
          <w:b/>
          <w:bCs/>
          <w:sz w:val="20"/>
          <w:szCs w:val="20"/>
          <w:lang w:eastAsia="sk-SK"/>
        </w:rPr>
        <w:t> </w:t>
      </w:r>
      <w:r w:rsidRPr="00186E74">
        <w:rPr>
          <w:rFonts w:ascii="Times New Roman" w:hAnsi="Times New Roman"/>
          <w:b/>
          <w:bCs/>
          <w:sz w:val="20"/>
          <w:szCs w:val="20"/>
          <w:lang w:eastAsia="sk-SK"/>
        </w:rPr>
        <w:t>DPH</w:t>
      </w:r>
      <w:r w:rsidR="00DB08DF">
        <w:rPr>
          <w:rFonts w:ascii="Times New Roman" w:hAnsi="Times New Roman"/>
          <w:b/>
          <w:bCs/>
          <w:sz w:val="20"/>
          <w:szCs w:val="20"/>
          <w:lang w:eastAsia="sk-SK"/>
        </w:rPr>
        <w:t>,</w:t>
      </w:r>
      <w:r w:rsidR="00AC7621">
        <w:rPr>
          <w:rFonts w:ascii="Times New Roman" w:hAnsi="Times New Roman"/>
          <w:bCs/>
          <w:sz w:val="20"/>
          <w:szCs w:val="20"/>
          <w:lang w:eastAsia="sk-SK"/>
        </w:rPr>
        <w:t xml:space="preserve"> z toho predstavujú výdavky </w:t>
      </w:r>
      <w:r w:rsidR="00DB08DF">
        <w:rPr>
          <w:rFonts w:ascii="Times New Roman" w:hAnsi="Times New Roman"/>
          <w:bCs/>
          <w:sz w:val="20"/>
          <w:szCs w:val="20"/>
          <w:lang w:eastAsia="sk-SK"/>
        </w:rPr>
        <w:t xml:space="preserve">Finančného riaditeľstva SR </w:t>
      </w:r>
      <w:r w:rsidR="00AC7621">
        <w:rPr>
          <w:rFonts w:ascii="Times New Roman" w:hAnsi="Times New Roman"/>
          <w:bCs/>
          <w:sz w:val="20"/>
          <w:szCs w:val="20"/>
          <w:lang w:eastAsia="sk-SK"/>
        </w:rPr>
        <w:t xml:space="preserve">na </w:t>
      </w:r>
      <w:r w:rsidRPr="00186E74">
        <w:rPr>
          <w:rFonts w:ascii="Times New Roman" w:hAnsi="Times New Roman"/>
          <w:bCs/>
          <w:sz w:val="20"/>
          <w:szCs w:val="20"/>
          <w:lang w:eastAsia="sk-SK"/>
        </w:rPr>
        <w:t>SysNeD 30 096 eur</w:t>
      </w:r>
      <w:r w:rsidR="00955965">
        <w:rPr>
          <w:rFonts w:ascii="Times New Roman" w:hAnsi="Times New Roman"/>
          <w:bCs/>
          <w:sz w:val="20"/>
          <w:szCs w:val="20"/>
          <w:lang w:eastAsia="sk-SK"/>
        </w:rPr>
        <w:t xml:space="preserve"> </w:t>
      </w:r>
      <w:r w:rsidRPr="00186E74">
        <w:rPr>
          <w:rFonts w:ascii="Times New Roman" w:hAnsi="Times New Roman"/>
          <w:bCs/>
          <w:sz w:val="20"/>
          <w:szCs w:val="20"/>
          <w:lang w:eastAsia="sk-SK"/>
        </w:rPr>
        <w:t>s</w:t>
      </w:r>
      <w:r w:rsidR="00186E74">
        <w:rPr>
          <w:rFonts w:ascii="Times New Roman" w:hAnsi="Times New Roman"/>
          <w:bCs/>
          <w:sz w:val="20"/>
          <w:szCs w:val="20"/>
          <w:lang w:eastAsia="sk-SK"/>
        </w:rPr>
        <w:t> </w:t>
      </w:r>
      <w:r w:rsidRPr="00186E74">
        <w:rPr>
          <w:rFonts w:ascii="Times New Roman" w:hAnsi="Times New Roman"/>
          <w:bCs/>
          <w:sz w:val="20"/>
          <w:szCs w:val="20"/>
          <w:lang w:eastAsia="sk-SK"/>
        </w:rPr>
        <w:t>DPH</w:t>
      </w:r>
      <w:r w:rsidR="00186E74">
        <w:rPr>
          <w:rFonts w:ascii="Times New Roman" w:hAnsi="Times New Roman"/>
          <w:bCs/>
          <w:sz w:val="20"/>
          <w:szCs w:val="20"/>
          <w:lang w:eastAsia="sk-SK"/>
        </w:rPr>
        <w:t xml:space="preserve"> a</w:t>
      </w:r>
      <w:r w:rsidR="00D957FB">
        <w:rPr>
          <w:rFonts w:ascii="Times New Roman" w:hAnsi="Times New Roman"/>
          <w:bCs/>
          <w:sz w:val="20"/>
          <w:szCs w:val="20"/>
          <w:lang w:eastAsia="sk-SK"/>
        </w:rPr>
        <w:t xml:space="preserve"> výdavky </w:t>
      </w:r>
      <w:r w:rsidR="00DB08DF">
        <w:rPr>
          <w:rFonts w:ascii="Times New Roman" w:hAnsi="Times New Roman"/>
          <w:bCs/>
          <w:sz w:val="20"/>
          <w:szCs w:val="20"/>
          <w:lang w:eastAsia="sk-SK"/>
        </w:rPr>
        <w:t xml:space="preserve">Ministerstva financií SR – úrad </w:t>
      </w:r>
      <w:r w:rsidR="00D957FB">
        <w:rPr>
          <w:rFonts w:ascii="Times New Roman" w:hAnsi="Times New Roman"/>
          <w:bCs/>
          <w:sz w:val="20"/>
          <w:szCs w:val="20"/>
          <w:lang w:eastAsia="sk-SK"/>
        </w:rPr>
        <w:t xml:space="preserve">na </w:t>
      </w:r>
      <w:r w:rsidR="00186E74">
        <w:rPr>
          <w:rFonts w:ascii="Times New Roman" w:hAnsi="Times New Roman"/>
          <w:bCs/>
          <w:sz w:val="20"/>
          <w:szCs w:val="20"/>
          <w:lang w:eastAsia="sk-SK"/>
        </w:rPr>
        <w:t xml:space="preserve">PFS </w:t>
      </w:r>
      <w:r w:rsidR="00D2715D">
        <w:rPr>
          <w:rFonts w:ascii="Times New Roman" w:hAnsi="Times New Roman"/>
          <w:bCs/>
          <w:sz w:val="20"/>
          <w:szCs w:val="20"/>
          <w:lang w:eastAsia="sk-SK"/>
        </w:rPr>
        <w:t>135</w:t>
      </w:r>
      <w:r w:rsidR="00DB08DF">
        <w:rPr>
          <w:rFonts w:ascii="Times New Roman" w:hAnsi="Times New Roman"/>
          <w:bCs/>
          <w:sz w:val="20"/>
          <w:szCs w:val="20"/>
          <w:lang w:eastAsia="sk-SK"/>
        </w:rPr>
        <w:t> </w:t>
      </w:r>
      <w:r w:rsidR="00D2715D">
        <w:rPr>
          <w:rFonts w:ascii="Times New Roman" w:hAnsi="Times New Roman"/>
          <w:bCs/>
          <w:sz w:val="20"/>
          <w:szCs w:val="20"/>
          <w:lang w:eastAsia="sk-SK"/>
        </w:rPr>
        <w:t xml:space="preserve">432 eur </w:t>
      </w:r>
      <w:r w:rsidRPr="00186E74">
        <w:rPr>
          <w:rFonts w:ascii="Times New Roman" w:hAnsi="Times New Roman"/>
          <w:bCs/>
          <w:sz w:val="20"/>
          <w:szCs w:val="20"/>
          <w:lang w:eastAsia="sk-SK"/>
        </w:rPr>
        <w:t>s</w:t>
      </w:r>
      <w:r w:rsidR="00186E74">
        <w:rPr>
          <w:rFonts w:ascii="Times New Roman" w:hAnsi="Times New Roman"/>
          <w:bCs/>
          <w:sz w:val="20"/>
          <w:szCs w:val="20"/>
          <w:lang w:eastAsia="sk-SK"/>
        </w:rPr>
        <w:t> </w:t>
      </w:r>
      <w:r w:rsidRPr="00186E74">
        <w:rPr>
          <w:rFonts w:ascii="Times New Roman" w:hAnsi="Times New Roman"/>
          <w:bCs/>
          <w:sz w:val="20"/>
          <w:szCs w:val="20"/>
          <w:lang w:eastAsia="sk-SK"/>
        </w:rPr>
        <w:t>DPH</w:t>
      </w:r>
      <w:r w:rsidR="00186E74">
        <w:rPr>
          <w:rFonts w:ascii="Times New Roman" w:hAnsi="Times New Roman"/>
          <w:bCs/>
          <w:sz w:val="20"/>
          <w:szCs w:val="20"/>
          <w:lang w:eastAsia="sk-SK"/>
        </w:rPr>
        <w:t>.</w:t>
      </w:r>
      <w:r w:rsidR="001C1544">
        <w:rPr>
          <w:rFonts w:ascii="Times New Roman" w:hAnsi="Times New Roman"/>
          <w:bCs/>
          <w:sz w:val="20"/>
          <w:szCs w:val="20"/>
          <w:lang w:eastAsia="sk-SK"/>
        </w:rPr>
        <w:t xml:space="preserve"> </w:t>
      </w:r>
      <w:r w:rsidR="00DB08DF">
        <w:rPr>
          <w:rFonts w:ascii="Times New Roman" w:hAnsi="Times New Roman"/>
          <w:bCs/>
          <w:sz w:val="20"/>
          <w:szCs w:val="20"/>
          <w:lang w:eastAsia="sk-SK"/>
        </w:rPr>
        <w:t xml:space="preserve">Finančné </w:t>
      </w:r>
      <w:r w:rsidR="00955965">
        <w:rPr>
          <w:rFonts w:ascii="Times New Roman" w:hAnsi="Times New Roman"/>
          <w:bCs/>
          <w:sz w:val="20"/>
          <w:szCs w:val="20"/>
          <w:lang w:eastAsia="sk-SK"/>
        </w:rPr>
        <w:t>riaditeľstvo</w:t>
      </w:r>
      <w:r w:rsidR="00DB08DF">
        <w:rPr>
          <w:rFonts w:ascii="Times New Roman" w:hAnsi="Times New Roman"/>
          <w:bCs/>
          <w:sz w:val="20"/>
          <w:szCs w:val="20"/>
          <w:lang w:eastAsia="sk-SK"/>
        </w:rPr>
        <w:t xml:space="preserve"> SR</w:t>
      </w:r>
      <w:r w:rsidR="001C1544">
        <w:rPr>
          <w:rFonts w:ascii="Times New Roman" w:hAnsi="Times New Roman"/>
          <w:bCs/>
          <w:sz w:val="20"/>
          <w:szCs w:val="20"/>
          <w:lang w:eastAsia="sk-SK"/>
        </w:rPr>
        <w:t xml:space="preserve"> má na zmeny vyčlenené finančné prostriedky len vo výške 15</w:t>
      </w:r>
      <w:r w:rsidR="00DB08DF">
        <w:rPr>
          <w:rFonts w:ascii="Times New Roman" w:hAnsi="Times New Roman"/>
          <w:bCs/>
          <w:sz w:val="20"/>
          <w:szCs w:val="20"/>
          <w:lang w:eastAsia="sk-SK"/>
        </w:rPr>
        <w:t> </w:t>
      </w:r>
      <w:r w:rsidR="001C1544">
        <w:rPr>
          <w:rFonts w:ascii="Times New Roman" w:hAnsi="Times New Roman"/>
          <w:bCs/>
          <w:sz w:val="20"/>
          <w:szCs w:val="20"/>
          <w:lang w:eastAsia="sk-SK"/>
        </w:rPr>
        <w:t>048</w:t>
      </w:r>
      <w:r w:rsidR="00DB08DF">
        <w:rPr>
          <w:rFonts w:ascii="Times New Roman" w:hAnsi="Times New Roman"/>
          <w:bCs/>
          <w:sz w:val="20"/>
          <w:szCs w:val="20"/>
          <w:lang w:eastAsia="sk-SK"/>
        </w:rPr>
        <w:t> </w:t>
      </w:r>
      <w:r w:rsidR="001C1544">
        <w:rPr>
          <w:rFonts w:ascii="Times New Roman" w:hAnsi="Times New Roman"/>
          <w:bCs/>
          <w:sz w:val="20"/>
          <w:szCs w:val="20"/>
          <w:lang w:eastAsia="sk-SK"/>
        </w:rPr>
        <w:t xml:space="preserve">eur. </w:t>
      </w:r>
      <w:r w:rsidR="00DB08DF" w:rsidRPr="001C1544">
        <w:rPr>
          <w:rFonts w:ascii="Times New Roman" w:hAnsi="Times New Roman"/>
          <w:bCs/>
          <w:sz w:val="20"/>
          <w:szCs w:val="20"/>
          <w:lang w:eastAsia="sk-SK"/>
        </w:rPr>
        <w:t>Zvyšn</w:t>
      </w:r>
      <w:r w:rsidR="00DB08DF">
        <w:rPr>
          <w:rFonts w:ascii="Times New Roman" w:hAnsi="Times New Roman"/>
          <w:bCs/>
          <w:sz w:val="20"/>
          <w:szCs w:val="20"/>
          <w:lang w:eastAsia="sk-SK"/>
        </w:rPr>
        <w:t>á</w:t>
      </w:r>
      <w:r w:rsidR="00DB08DF" w:rsidRPr="001C1544">
        <w:rPr>
          <w:rFonts w:ascii="Times New Roman" w:hAnsi="Times New Roman"/>
          <w:bCs/>
          <w:sz w:val="20"/>
          <w:szCs w:val="20"/>
          <w:lang w:eastAsia="sk-SK"/>
        </w:rPr>
        <w:t xml:space="preserve"> </w:t>
      </w:r>
      <w:r w:rsidR="00924991" w:rsidRPr="001C1544">
        <w:rPr>
          <w:rFonts w:ascii="Times New Roman" w:hAnsi="Times New Roman"/>
          <w:bCs/>
          <w:sz w:val="20"/>
          <w:szCs w:val="20"/>
          <w:lang w:eastAsia="sk-SK"/>
        </w:rPr>
        <w:t>sum</w:t>
      </w:r>
      <w:r w:rsidR="00924991">
        <w:rPr>
          <w:rFonts w:ascii="Times New Roman" w:hAnsi="Times New Roman"/>
          <w:bCs/>
          <w:sz w:val="20"/>
          <w:szCs w:val="20"/>
          <w:lang w:eastAsia="sk-SK"/>
        </w:rPr>
        <w:t>a</w:t>
      </w:r>
      <w:r w:rsidR="00924991" w:rsidRPr="001C1544">
        <w:rPr>
          <w:rFonts w:ascii="Times New Roman" w:hAnsi="Times New Roman"/>
          <w:bCs/>
          <w:sz w:val="20"/>
          <w:szCs w:val="20"/>
          <w:lang w:eastAsia="sk-SK"/>
        </w:rPr>
        <w:t xml:space="preserve"> </w:t>
      </w:r>
      <w:r w:rsidR="001C1544">
        <w:rPr>
          <w:rFonts w:ascii="Times New Roman" w:hAnsi="Times New Roman"/>
          <w:bCs/>
          <w:sz w:val="20"/>
          <w:szCs w:val="20"/>
          <w:lang w:eastAsia="sk-SK"/>
        </w:rPr>
        <w:t>150 480 eur</w:t>
      </w:r>
      <w:r w:rsidR="00DB08DF">
        <w:rPr>
          <w:rFonts w:ascii="Times New Roman" w:hAnsi="Times New Roman"/>
          <w:bCs/>
          <w:sz w:val="20"/>
          <w:szCs w:val="20"/>
          <w:lang w:eastAsia="sk-SK"/>
        </w:rPr>
        <w:t xml:space="preserve"> nie je v rozpočte kapitoly MF SR zabezpečená. </w:t>
      </w:r>
      <w:r w:rsidR="00DB08DF" w:rsidRPr="00DB08DF">
        <w:rPr>
          <w:rFonts w:ascii="Times New Roman" w:hAnsi="Times New Roman"/>
          <w:bCs/>
          <w:sz w:val="20"/>
          <w:szCs w:val="20"/>
          <w:lang w:eastAsia="sk-SK"/>
        </w:rPr>
        <w:t xml:space="preserve">Správca rozpočtovej kapitoly MF SR požiada Ministerstvo financií SR o rozpočtové opatrenie (povolené prekročenie limitu výdavkov) v sume </w:t>
      </w:r>
      <w:r w:rsidR="00DB08DF">
        <w:rPr>
          <w:rFonts w:ascii="Times New Roman" w:hAnsi="Times New Roman"/>
          <w:bCs/>
          <w:sz w:val="20"/>
          <w:szCs w:val="20"/>
          <w:lang w:eastAsia="sk-SK"/>
        </w:rPr>
        <w:t>150 480</w:t>
      </w:r>
      <w:r w:rsidR="00DB08DF" w:rsidRPr="00DB08DF">
        <w:rPr>
          <w:rFonts w:ascii="Times New Roman" w:hAnsi="Times New Roman"/>
          <w:bCs/>
          <w:sz w:val="20"/>
          <w:szCs w:val="20"/>
          <w:lang w:eastAsia="sk-SK"/>
        </w:rPr>
        <w:t xml:space="preserve"> eur (kapitálové výdavky, RP 718006, podprogram 0EK0D).</w:t>
      </w:r>
      <w:r w:rsidR="00E1514B">
        <w:rPr>
          <w:rFonts w:ascii="Times New Roman" w:hAnsi="Times New Roman"/>
          <w:bCs/>
          <w:sz w:val="20"/>
          <w:szCs w:val="20"/>
          <w:lang w:eastAsia="sk-SK"/>
        </w:rPr>
        <w:t xml:space="preserve"> </w:t>
      </w:r>
    </w:p>
    <w:p w:rsidR="00E1514B" w:rsidRDefault="00E1514B" w:rsidP="00515511">
      <w:pPr>
        <w:spacing w:after="0" w:line="240" w:lineRule="auto"/>
        <w:jc w:val="both"/>
        <w:rPr>
          <w:rFonts w:ascii="Times New Roman" w:hAnsi="Times New Roman"/>
          <w:bCs/>
          <w:sz w:val="20"/>
          <w:szCs w:val="20"/>
          <w:lang w:eastAsia="sk-SK"/>
        </w:rPr>
      </w:pPr>
    </w:p>
    <w:p w:rsidR="00020172" w:rsidRPr="00186E74" w:rsidRDefault="00020172" w:rsidP="00515511">
      <w:pPr>
        <w:spacing w:after="0" w:line="240" w:lineRule="auto"/>
        <w:jc w:val="both"/>
        <w:rPr>
          <w:rFonts w:ascii="Times New Roman" w:hAnsi="Times New Roman"/>
          <w:bCs/>
          <w:sz w:val="20"/>
          <w:szCs w:val="20"/>
          <w:lang w:eastAsia="sk-SK"/>
        </w:rPr>
      </w:pPr>
      <w:r>
        <w:rPr>
          <w:rFonts w:ascii="Times New Roman" w:hAnsi="Times New Roman"/>
          <w:bCs/>
          <w:sz w:val="20"/>
          <w:szCs w:val="20"/>
          <w:lang w:eastAsia="sk-SK"/>
        </w:rPr>
        <w:t>Súčasťou uvedeného vplyvu na rozpočet kapitoly MF SR nie je financovanie podpory informačných systémov</w:t>
      </w:r>
      <w:r w:rsidR="00E1514B">
        <w:rPr>
          <w:rFonts w:ascii="Times New Roman" w:hAnsi="Times New Roman"/>
          <w:bCs/>
          <w:sz w:val="20"/>
          <w:szCs w:val="20"/>
          <w:lang w:eastAsia="sk-SK"/>
        </w:rPr>
        <w:t xml:space="preserve"> v nasledujúcich rokoch</w:t>
      </w:r>
      <w:r>
        <w:rPr>
          <w:rFonts w:ascii="Times New Roman" w:hAnsi="Times New Roman"/>
          <w:bCs/>
          <w:sz w:val="20"/>
          <w:szCs w:val="20"/>
          <w:lang w:eastAsia="sk-SK"/>
        </w:rPr>
        <w:t>, ktoré nie je možné v súčasnosti vyčísliť. Podpora informačného systému sa zvyčajne pohybuje</w:t>
      </w:r>
      <w:r w:rsidR="00E1514B">
        <w:rPr>
          <w:rFonts w:ascii="Times New Roman" w:hAnsi="Times New Roman"/>
          <w:bCs/>
          <w:sz w:val="20"/>
          <w:szCs w:val="20"/>
          <w:lang w:eastAsia="sk-SK"/>
        </w:rPr>
        <w:t xml:space="preserve"> </w:t>
      </w:r>
      <w:r>
        <w:rPr>
          <w:rFonts w:ascii="Times New Roman" w:hAnsi="Times New Roman"/>
          <w:bCs/>
          <w:sz w:val="20"/>
          <w:szCs w:val="20"/>
          <w:lang w:eastAsia="sk-SK"/>
        </w:rPr>
        <w:t>na úrovni</w:t>
      </w:r>
      <w:r w:rsidR="00E1514B">
        <w:rPr>
          <w:rFonts w:ascii="Times New Roman" w:hAnsi="Times New Roman"/>
          <w:bCs/>
          <w:sz w:val="20"/>
          <w:szCs w:val="20"/>
          <w:lang w:eastAsia="sk-SK"/>
        </w:rPr>
        <w:t xml:space="preserve"> </w:t>
      </w:r>
      <w:r>
        <w:rPr>
          <w:rFonts w:ascii="Times New Roman" w:hAnsi="Times New Roman"/>
          <w:bCs/>
          <w:sz w:val="20"/>
          <w:szCs w:val="20"/>
          <w:lang w:eastAsia="sk-SK"/>
        </w:rPr>
        <w:t>20 – 25 % obstarávacej ceny informačného systému a závisí od konkrétnych zmluvných podmienok.</w:t>
      </w:r>
    </w:p>
    <w:p w:rsidR="00515511" w:rsidRDefault="00515511" w:rsidP="00515511">
      <w:pPr>
        <w:spacing w:after="0" w:line="240" w:lineRule="auto"/>
        <w:jc w:val="both"/>
        <w:rPr>
          <w:rFonts w:ascii="Times New Roman" w:hAnsi="Times New Roman"/>
          <w:bCs/>
          <w:sz w:val="24"/>
          <w:szCs w:val="24"/>
          <w:lang w:eastAsia="sk-SK"/>
        </w:rPr>
      </w:pPr>
    </w:p>
    <w:p w:rsidR="007D5748" w:rsidRPr="003C289B" w:rsidRDefault="007D5748" w:rsidP="007D5748">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 Popis a charakteristika návrhu</w:t>
      </w:r>
    </w:p>
    <w:p w:rsidR="007D5748" w:rsidRPr="003C289B" w:rsidRDefault="007D5748" w:rsidP="007D5748">
      <w:pPr>
        <w:spacing w:after="0" w:line="240" w:lineRule="auto"/>
        <w:rPr>
          <w:rFonts w:ascii="Times New Roman" w:hAnsi="Times New Roman"/>
          <w:sz w:val="24"/>
          <w:szCs w:val="24"/>
          <w:lang w:eastAsia="sk-SK"/>
        </w:rPr>
      </w:pPr>
    </w:p>
    <w:p w:rsidR="007D5748" w:rsidRPr="003C289B" w:rsidRDefault="007D5748" w:rsidP="007D5748">
      <w:pPr>
        <w:spacing w:after="0" w:line="240" w:lineRule="auto"/>
        <w:jc w:val="both"/>
        <w:rPr>
          <w:rFonts w:ascii="Times New Roman" w:hAnsi="Times New Roman"/>
          <w:b/>
          <w:bCs/>
          <w:sz w:val="24"/>
          <w:szCs w:val="24"/>
          <w:lang w:eastAsia="sk-SK"/>
        </w:rPr>
      </w:pPr>
      <w:r w:rsidRPr="003C289B">
        <w:rPr>
          <w:rFonts w:ascii="Times New Roman" w:hAnsi="Times New Roman"/>
          <w:b/>
          <w:bCs/>
          <w:sz w:val="24"/>
          <w:szCs w:val="24"/>
          <w:lang w:eastAsia="sk-SK"/>
        </w:rPr>
        <w:t>2.2.1. Popis návrhu:</w:t>
      </w:r>
    </w:p>
    <w:p w:rsidR="007D5748" w:rsidRPr="00186E74" w:rsidRDefault="00F53783" w:rsidP="00895DF3">
      <w:pPr>
        <w:spacing w:line="240" w:lineRule="auto"/>
        <w:jc w:val="both"/>
        <w:rPr>
          <w:rFonts w:ascii="Times New Roman" w:hAnsi="Times New Roman"/>
          <w:sz w:val="20"/>
          <w:szCs w:val="24"/>
        </w:rPr>
      </w:pPr>
      <w:r w:rsidRPr="00186E74">
        <w:rPr>
          <w:rFonts w:ascii="Times New Roman" w:hAnsi="Times New Roman"/>
          <w:sz w:val="20"/>
          <w:szCs w:val="24"/>
        </w:rPr>
        <w:t xml:space="preserve">Návrh zákona </w:t>
      </w:r>
      <w:r w:rsidR="00D8556F" w:rsidRPr="00186E74">
        <w:rPr>
          <w:rFonts w:ascii="Times New Roman" w:hAnsi="Times New Roman"/>
          <w:sz w:val="20"/>
          <w:szCs w:val="24"/>
        </w:rPr>
        <w:t>mení spresňuje a dopĺňa základné pojmy, zavádza osobitné ustanovenia pre nabíjacie stanice na nabíjanie elektrických vozidiel, zavádza ustanovenie pre oslobodenie od spotrebnej dane z uhlia pri te</w:t>
      </w:r>
      <w:r w:rsidR="009F75F0" w:rsidRPr="00186E74">
        <w:rPr>
          <w:rFonts w:ascii="Times New Roman" w:hAnsi="Times New Roman"/>
          <w:sz w:val="20"/>
          <w:szCs w:val="24"/>
        </w:rPr>
        <w:t xml:space="preserve">chnicky odôvodnených stratách a </w:t>
      </w:r>
      <w:r w:rsidR="00D8556F" w:rsidRPr="00186E74">
        <w:rPr>
          <w:rFonts w:ascii="Times New Roman" w:hAnsi="Times New Roman"/>
          <w:sz w:val="20"/>
          <w:szCs w:val="24"/>
        </w:rPr>
        <w:t>v nadväznosti na zvýšenie právnej istoty zaradiť bioplyn a biometán určený na použitie ako pohonná látka alebo ako palivo na výrobu tepla do predmetu dane.</w:t>
      </w:r>
      <w:r w:rsidR="00186E74">
        <w:rPr>
          <w:rFonts w:ascii="Times New Roman" w:hAnsi="Times New Roman"/>
          <w:sz w:val="20"/>
          <w:szCs w:val="24"/>
        </w:rPr>
        <w:t xml:space="preserve"> </w:t>
      </w:r>
      <w:r w:rsidR="00186E74" w:rsidRPr="00186E74">
        <w:rPr>
          <w:rFonts w:ascii="Times New Roman" w:hAnsi="Times New Roman"/>
          <w:sz w:val="20"/>
          <w:szCs w:val="24"/>
        </w:rPr>
        <w:t>Návrh zákona</w:t>
      </w:r>
      <w:r w:rsidR="00186E74">
        <w:rPr>
          <w:rFonts w:ascii="Times New Roman" w:hAnsi="Times New Roman"/>
          <w:sz w:val="20"/>
          <w:szCs w:val="24"/>
        </w:rPr>
        <w:t xml:space="preserve"> zároveň </w:t>
      </w:r>
      <w:r w:rsidR="00186E74" w:rsidRPr="00186E74">
        <w:rPr>
          <w:rFonts w:ascii="Times New Roman" w:hAnsi="Times New Roman"/>
          <w:sz w:val="20"/>
          <w:szCs w:val="24"/>
        </w:rPr>
        <w:t>spresňuje predmet dane a upravu</w:t>
      </w:r>
      <w:r w:rsidR="00186E74">
        <w:rPr>
          <w:rFonts w:ascii="Times New Roman" w:hAnsi="Times New Roman"/>
          <w:sz w:val="20"/>
          <w:szCs w:val="24"/>
        </w:rPr>
        <w:t>je</w:t>
      </w:r>
      <w:r w:rsidR="00186E74" w:rsidRPr="00186E74">
        <w:rPr>
          <w:rFonts w:ascii="Times New Roman" w:hAnsi="Times New Roman"/>
          <w:sz w:val="20"/>
          <w:szCs w:val="24"/>
        </w:rPr>
        <w:t xml:space="preserve"> podmienky na uplatnenie zníženej sadby dane na motorový benzín.</w:t>
      </w:r>
    </w:p>
    <w:p w:rsidR="007D5748" w:rsidRPr="003C289B" w:rsidRDefault="007D5748" w:rsidP="007D5748">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2.2.2. Charakteristika návrhu:</w:t>
      </w:r>
    </w:p>
    <w:p w:rsidR="007D5748" w:rsidRPr="003C289B" w:rsidRDefault="007D5748" w:rsidP="007D5748">
      <w:pPr>
        <w:spacing w:after="0" w:line="240" w:lineRule="auto"/>
        <w:rPr>
          <w:rFonts w:ascii="Times New Roman" w:hAnsi="Times New Roman"/>
          <w:sz w:val="24"/>
          <w:szCs w:val="24"/>
          <w:lang w:eastAsia="sk-SK"/>
        </w:rPr>
      </w:pPr>
    </w:p>
    <w:p w:rsidR="007D5748" w:rsidRPr="003C289B" w:rsidRDefault="00F53783" w:rsidP="007D5748">
      <w:pPr>
        <w:spacing w:after="0" w:line="240" w:lineRule="auto"/>
        <w:rPr>
          <w:rFonts w:ascii="Times New Roman" w:hAnsi="Times New Roman"/>
          <w:sz w:val="24"/>
          <w:szCs w:val="24"/>
          <w:lang w:eastAsia="sk-SK"/>
        </w:rPr>
      </w:pPr>
      <w:r>
        <w:rPr>
          <w:rFonts w:ascii="Times New Roman" w:hAnsi="Times New Roman"/>
          <w:b/>
          <w:sz w:val="24"/>
          <w:szCs w:val="24"/>
          <w:bdr w:val="single" w:sz="4" w:space="0" w:color="auto"/>
          <w:lang w:eastAsia="sk-SK"/>
        </w:rPr>
        <w:t xml:space="preserve">    </w:t>
      </w:r>
      <w:r w:rsidR="007D5748" w:rsidRPr="003C289B">
        <w:rPr>
          <w:rFonts w:ascii="Times New Roman" w:hAnsi="Times New Roman"/>
          <w:b/>
          <w:sz w:val="24"/>
          <w:szCs w:val="24"/>
          <w:bdr w:val="single" w:sz="4" w:space="0" w:color="auto"/>
          <w:lang w:eastAsia="sk-SK"/>
        </w:rPr>
        <w:t xml:space="preserve"> </w:t>
      </w:r>
      <w:r w:rsidR="007D5748" w:rsidRPr="003C289B">
        <w:rPr>
          <w:rFonts w:ascii="Times New Roman" w:hAnsi="Times New Roman"/>
          <w:b/>
          <w:sz w:val="24"/>
          <w:szCs w:val="24"/>
          <w:lang w:eastAsia="sk-SK"/>
        </w:rPr>
        <w:t xml:space="preserve">  </w:t>
      </w:r>
      <w:r w:rsidR="007D5748" w:rsidRPr="003C289B">
        <w:rPr>
          <w:rFonts w:ascii="Times New Roman" w:hAnsi="Times New Roman"/>
          <w:sz w:val="24"/>
          <w:szCs w:val="24"/>
          <w:lang w:eastAsia="sk-SK"/>
        </w:rPr>
        <w:t>zmena sadzby</w:t>
      </w:r>
    </w:p>
    <w:p w:rsidR="007D5748" w:rsidRPr="003C289B" w:rsidRDefault="00F53783" w:rsidP="00164337">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w:t>
      </w:r>
      <w:r w:rsidRPr="00F53783">
        <w:rPr>
          <w:rFonts w:ascii="Times New Roman" w:hAnsi="Times New Roman"/>
          <w:b/>
          <w:sz w:val="24"/>
          <w:szCs w:val="24"/>
          <w:bdr w:val="single" w:sz="4" w:space="0" w:color="auto"/>
          <w:lang w:eastAsia="sk-SK"/>
        </w:rPr>
        <w:t>X</w:t>
      </w:r>
      <w:r w:rsidR="007D5748" w:rsidRPr="003C289B">
        <w:rPr>
          <w:rFonts w:ascii="Times New Roman" w:hAnsi="Times New Roman"/>
          <w:sz w:val="24"/>
          <w:szCs w:val="24"/>
          <w:bdr w:val="single" w:sz="4" w:space="0" w:color="auto"/>
          <w:lang w:eastAsia="sk-SK"/>
        </w:rPr>
        <w:t xml:space="preserve"> </w:t>
      </w:r>
      <w:r w:rsidR="007D5748" w:rsidRPr="003C289B">
        <w:rPr>
          <w:rFonts w:ascii="Times New Roman" w:hAnsi="Times New Roman"/>
          <w:sz w:val="24"/>
          <w:szCs w:val="24"/>
          <w:lang w:eastAsia="sk-SK"/>
        </w:rPr>
        <w:t xml:space="preserve">  zmena v nároku</w:t>
      </w:r>
    </w:p>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bdr w:val="single" w:sz="4" w:space="0" w:color="auto"/>
          <w:lang w:eastAsia="sk-SK"/>
        </w:rPr>
        <w:t xml:space="preserve">     </w:t>
      </w:r>
      <w:r w:rsidRPr="003C289B">
        <w:rPr>
          <w:rFonts w:ascii="Times New Roman" w:hAnsi="Times New Roman"/>
          <w:sz w:val="24"/>
          <w:szCs w:val="24"/>
          <w:lang w:eastAsia="sk-SK"/>
        </w:rPr>
        <w:t xml:space="preserve">  nová služba alebo nariadenie (alebo ich zrušenie)</w:t>
      </w:r>
    </w:p>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bdr w:val="single" w:sz="4" w:space="0" w:color="auto"/>
          <w:lang w:eastAsia="sk-SK"/>
        </w:rPr>
        <w:t xml:space="preserve">     </w:t>
      </w:r>
      <w:r w:rsidRPr="003C289B">
        <w:rPr>
          <w:rFonts w:ascii="Times New Roman" w:hAnsi="Times New Roman"/>
          <w:sz w:val="24"/>
          <w:szCs w:val="24"/>
          <w:lang w:eastAsia="sk-SK"/>
        </w:rPr>
        <w:t xml:space="preserve">  kombinovaný návrh</w:t>
      </w:r>
    </w:p>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bdr w:val="single" w:sz="4" w:space="0" w:color="auto"/>
          <w:lang w:eastAsia="sk-SK"/>
        </w:rPr>
        <w:lastRenderedPageBreak/>
        <w:t xml:space="preserve"> </w:t>
      </w:r>
      <w:r w:rsidR="00575777" w:rsidRPr="00575777">
        <w:rPr>
          <w:rFonts w:ascii="Times New Roman" w:hAnsi="Times New Roman"/>
          <w:b/>
          <w:sz w:val="24"/>
          <w:szCs w:val="24"/>
          <w:bdr w:val="single" w:sz="4" w:space="0" w:color="auto"/>
          <w:lang w:eastAsia="sk-SK"/>
        </w:rPr>
        <w:t>X</w:t>
      </w:r>
      <w:r w:rsidRPr="003C289B">
        <w:rPr>
          <w:rFonts w:ascii="Times New Roman" w:hAnsi="Times New Roman"/>
          <w:sz w:val="24"/>
          <w:szCs w:val="24"/>
          <w:bdr w:val="single" w:sz="4" w:space="0" w:color="auto"/>
          <w:lang w:eastAsia="sk-SK"/>
        </w:rPr>
        <w:t xml:space="preserve"> </w:t>
      </w:r>
      <w:r w:rsidRPr="003C289B">
        <w:rPr>
          <w:rFonts w:ascii="Times New Roman" w:hAnsi="Times New Roman"/>
          <w:sz w:val="24"/>
          <w:szCs w:val="24"/>
          <w:lang w:eastAsia="sk-SK"/>
        </w:rPr>
        <w:t xml:space="preserve">  iné </w:t>
      </w:r>
    </w:p>
    <w:p w:rsidR="00703CD9" w:rsidRDefault="00703CD9" w:rsidP="007D5748">
      <w:pPr>
        <w:spacing w:after="0" w:line="240" w:lineRule="auto"/>
        <w:rPr>
          <w:rFonts w:ascii="Times New Roman" w:hAnsi="Times New Roman"/>
          <w:sz w:val="24"/>
          <w:szCs w:val="24"/>
          <w:lang w:eastAsia="sk-SK"/>
        </w:rPr>
      </w:pPr>
    </w:p>
    <w:p w:rsidR="001C1544" w:rsidRDefault="001C1544" w:rsidP="007D5748">
      <w:pPr>
        <w:spacing w:after="0" w:line="240" w:lineRule="auto"/>
        <w:rPr>
          <w:rFonts w:ascii="Times New Roman" w:hAnsi="Times New Roman"/>
          <w:sz w:val="24"/>
          <w:szCs w:val="24"/>
          <w:lang w:eastAsia="sk-SK"/>
        </w:rPr>
      </w:pPr>
    </w:p>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b/>
          <w:bCs/>
          <w:sz w:val="24"/>
          <w:szCs w:val="24"/>
          <w:lang w:eastAsia="sk-SK"/>
        </w:rPr>
        <w:t>2.2.3. Predpoklady vývoja objemu aktivít:</w:t>
      </w:r>
    </w:p>
    <w:p w:rsidR="007D5748" w:rsidRPr="003C289B" w:rsidRDefault="007D5748" w:rsidP="007D5748">
      <w:pPr>
        <w:spacing w:after="0" w:line="240" w:lineRule="auto"/>
        <w:rPr>
          <w:rFonts w:ascii="Times New Roman" w:hAnsi="Times New Roman"/>
          <w:sz w:val="24"/>
          <w:szCs w:val="24"/>
          <w:lang w:eastAsia="sk-SK"/>
        </w:rPr>
      </w:pPr>
    </w:p>
    <w:p w:rsidR="007D5748" w:rsidRPr="003C289B" w:rsidRDefault="007D5748" w:rsidP="007D5748">
      <w:pPr>
        <w:spacing w:after="0" w:line="240" w:lineRule="auto"/>
        <w:ind w:firstLine="708"/>
        <w:jc w:val="both"/>
        <w:rPr>
          <w:rFonts w:ascii="Times New Roman" w:hAnsi="Times New Roman"/>
          <w:sz w:val="24"/>
          <w:szCs w:val="24"/>
          <w:lang w:eastAsia="sk-SK"/>
        </w:rPr>
      </w:pPr>
      <w:r w:rsidRPr="003C289B">
        <w:rPr>
          <w:rFonts w:ascii="Times New Roman" w:hAnsi="Times New Roman"/>
          <w:sz w:val="24"/>
          <w:szCs w:val="24"/>
          <w:lang w:eastAsia="sk-SK"/>
        </w:rPr>
        <w:t>Jasne popíšte, v prípade potreby použite nižšie uvedenú tabuľku. Uveďte aj odhady základov daní a/alebo poplatkov, ak sa ich táto zmena týka.</w:t>
      </w:r>
    </w:p>
    <w:p w:rsidR="007D5748" w:rsidRPr="003C289B" w:rsidRDefault="007D5748" w:rsidP="007D5748">
      <w:pPr>
        <w:spacing w:after="0" w:line="240" w:lineRule="auto"/>
        <w:jc w:val="right"/>
        <w:rPr>
          <w:rFonts w:ascii="Times New Roman" w:hAnsi="Times New Roman"/>
          <w:sz w:val="20"/>
          <w:szCs w:val="20"/>
          <w:lang w:eastAsia="sk-SK"/>
        </w:rPr>
      </w:pPr>
      <w:r w:rsidRPr="003C289B">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3C289B" w:rsidTr="0098339F">
        <w:trPr>
          <w:cantSplit/>
          <w:trHeight w:val="70"/>
        </w:trPr>
        <w:tc>
          <w:tcPr>
            <w:tcW w:w="4530" w:type="dxa"/>
            <w:vMerge w:val="restart"/>
            <w:shd w:val="clear" w:color="auto" w:fill="BFBFBF" w:themeFill="background1" w:themeFillShade="BF"/>
            <w:vAlign w:val="center"/>
          </w:tcPr>
          <w:p w:rsidR="007D5748" w:rsidRPr="003C289B"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Objem aktivít</w:t>
            </w:r>
          </w:p>
        </w:tc>
        <w:tc>
          <w:tcPr>
            <w:tcW w:w="4536" w:type="dxa"/>
            <w:gridSpan w:val="4"/>
            <w:shd w:val="clear" w:color="auto" w:fill="BFBFBF" w:themeFill="background1" w:themeFillShade="BF"/>
            <w:vAlign w:val="center"/>
          </w:tcPr>
          <w:p w:rsidR="007D5748" w:rsidRPr="003C289B" w:rsidRDefault="007D5748" w:rsidP="007D5748">
            <w:pPr>
              <w:autoSpaceDE w:val="0"/>
              <w:autoSpaceDN w:val="0"/>
              <w:adjustRightInd w:val="0"/>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Odhadované objemy</w:t>
            </w:r>
          </w:p>
        </w:tc>
      </w:tr>
      <w:tr w:rsidR="0098339F" w:rsidRPr="003C289B" w:rsidTr="00892B48">
        <w:trPr>
          <w:cantSplit/>
          <w:trHeight w:val="70"/>
        </w:trPr>
        <w:tc>
          <w:tcPr>
            <w:tcW w:w="4530" w:type="dxa"/>
            <w:vMerge/>
            <w:shd w:val="clear" w:color="auto" w:fill="BFBFBF" w:themeFill="background1" w:themeFillShade="BF"/>
          </w:tcPr>
          <w:p w:rsidR="0098339F" w:rsidRPr="003C289B" w:rsidRDefault="0098339F" w:rsidP="0098339F">
            <w:pPr>
              <w:autoSpaceDE w:val="0"/>
              <w:autoSpaceDN w:val="0"/>
              <w:adjustRightInd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tcPr>
          <w:p w:rsidR="0098339F" w:rsidRPr="003C289B" w:rsidRDefault="001E438B" w:rsidP="0098339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134" w:type="dxa"/>
            <w:shd w:val="clear" w:color="auto" w:fill="BFBFBF" w:themeFill="background1" w:themeFillShade="BF"/>
          </w:tcPr>
          <w:p w:rsidR="0098339F" w:rsidRPr="003C289B" w:rsidRDefault="001E438B" w:rsidP="0098339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134" w:type="dxa"/>
            <w:shd w:val="clear" w:color="auto" w:fill="BFBFBF" w:themeFill="background1" w:themeFillShade="BF"/>
          </w:tcPr>
          <w:p w:rsidR="0098339F" w:rsidRPr="003C289B" w:rsidRDefault="001E438B" w:rsidP="0098339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134" w:type="dxa"/>
            <w:shd w:val="clear" w:color="auto" w:fill="BFBFBF" w:themeFill="background1" w:themeFillShade="BF"/>
          </w:tcPr>
          <w:p w:rsidR="0098339F" w:rsidRPr="003C289B" w:rsidRDefault="001E438B" w:rsidP="0098339F">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r>
      <w:tr w:rsidR="007D5748" w:rsidRPr="003C289B" w:rsidTr="007B71A4">
        <w:trPr>
          <w:trHeight w:val="70"/>
        </w:trPr>
        <w:tc>
          <w:tcPr>
            <w:tcW w:w="4530" w:type="dxa"/>
          </w:tcPr>
          <w:p w:rsidR="007D5748" w:rsidRPr="003C289B"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ABC</w:t>
            </w: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r w:rsidR="007D5748" w:rsidRPr="003C289B" w:rsidTr="007B71A4">
        <w:trPr>
          <w:trHeight w:val="70"/>
        </w:trPr>
        <w:tc>
          <w:tcPr>
            <w:tcW w:w="4530" w:type="dxa"/>
          </w:tcPr>
          <w:p w:rsidR="007D5748" w:rsidRPr="003C289B"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KLM</w:t>
            </w: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r w:rsidR="007D5748" w:rsidRPr="003C289B" w:rsidTr="007B71A4">
        <w:trPr>
          <w:trHeight w:val="70"/>
        </w:trPr>
        <w:tc>
          <w:tcPr>
            <w:tcW w:w="4530" w:type="dxa"/>
          </w:tcPr>
          <w:p w:rsidR="007D5748" w:rsidRPr="003C289B" w:rsidRDefault="007D5748" w:rsidP="007D5748">
            <w:pPr>
              <w:autoSpaceDE w:val="0"/>
              <w:autoSpaceDN w:val="0"/>
              <w:adjustRightInd w:val="0"/>
              <w:spacing w:after="0" w:line="240" w:lineRule="auto"/>
              <w:rPr>
                <w:rFonts w:ascii="Times New Roman" w:hAnsi="Times New Roman"/>
                <w:color w:val="000000"/>
                <w:sz w:val="24"/>
                <w:szCs w:val="24"/>
                <w:lang w:eastAsia="sk-SK"/>
              </w:rPr>
            </w:pPr>
            <w:r w:rsidRPr="003C289B">
              <w:rPr>
                <w:rFonts w:ascii="Times New Roman" w:hAnsi="Times New Roman"/>
                <w:color w:val="000000"/>
                <w:sz w:val="24"/>
                <w:szCs w:val="24"/>
                <w:lang w:eastAsia="sk-SK"/>
              </w:rPr>
              <w:t>Indikátor XYZ</w:t>
            </w: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7D5748" w:rsidRPr="003C289B" w:rsidRDefault="007D5748" w:rsidP="007D5748">
            <w:pPr>
              <w:autoSpaceDE w:val="0"/>
              <w:autoSpaceDN w:val="0"/>
              <w:adjustRightInd w:val="0"/>
              <w:spacing w:after="0" w:line="240" w:lineRule="auto"/>
              <w:jc w:val="right"/>
              <w:rPr>
                <w:rFonts w:ascii="Times New Roman" w:hAnsi="Times New Roman"/>
                <w:color w:val="000000"/>
                <w:sz w:val="24"/>
                <w:szCs w:val="24"/>
                <w:lang w:eastAsia="sk-SK"/>
              </w:rPr>
            </w:pPr>
          </w:p>
        </w:tc>
      </w:tr>
    </w:tbl>
    <w:p w:rsidR="008F375D" w:rsidRPr="003C289B" w:rsidRDefault="008F375D" w:rsidP="007D5748">
      <w:pPr>
        <w:spacing w:after="0" w:line="240" w:lineRule="auto"/>
        <w:rPr>
          <w:rFonts w:ascii="Times New Roman" w:hAnsi="Times New Roman"/>
          <w:sz w:val="24"/>
          <w:szCs w:val="24"/>
          <w:lang w:eastAsia="sk-SK"/>
        </w:rPr>
      </w:pPr>
    </w:p>
    <w:p w:rsidR="007D5748" w:rsidRPr="003C289B" w:rsidRDefault="007D5748" w:rsidP="007D5748">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2.2.4. Výpočty vplyvov na verejné financie</w:t>
      </w:r>
    </w:p>
    <w:p w:rsidR="007D5748" w:rsidRPr="003C289B" w:rsidRDefault="007D5748" w:rsidP="007D5748">
      <w:pPr>
        <w:spacing w:after="0" w:line="240" w:lineRule="auto"/>
        <w:rPr>
          <w:rFonts w:ascii="Times New Roman" w:hAnsi="Times New Roman"/>
          <w:sz w:val="24"/>
          <w:szCs w:val="24"/>
          <w:lang w:eastAsia="sk-SK"/>
        </w:rPr>
      </w:pPr>
    </w:p>
    <w:p w:rsidR="007D5748" w:rsidRPr="003C289B" w:rsidRDefault="007D5748" w:rsidP="00164337">
      <w:pPr>
        <w:spacing w:after="0" w:line="240" w:lineRule="auto"/>
        <w:ind w:firstLine="708"/>
        <w:jc w:val="both"/>
        <w:rPr>
          <w:rFonts w:ascii="Times New Roman" w:hAnsi="Times New Roman"/>
          <w:sz w:val="24"/>
          <w:szCs w:val="24"/>
          <w:lang w:eastAsia="sk-SK"/>
        </w:rPr>
      </w:pPr>
      <w:r w:rsidRPr="003C289B">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r w:rsidR="00164337" w:rsidRPr="003C289B">
        <w:rPr>
          <w:rFonts w:ascii="Times New Roman" w:hAnsi="Times New Roman"/>
          <w:sz w:val="24"/>
          <w:szCs w:val="24"/>
          <w:lang w:eastAsia="sk-SK"/>
        </w:rPr>
        <w:t xml:space="preserve"> </w:t>
      </w:r>
    </w:p>
    <w:p w:rsidR="007D5748" w:rsidRDefault="007D5748" w:rsidP="007D5748">
      <w:pPr>
        <w:tabs>
          <w:tab w:val="num" w:pos="1080"/>
        </w:tabs>
        <w:spacing w:after="0" w:line="240" w:lineRule="auto"/>
        <w:jc w:val="both"/>
        <w:rPr>
          <w:rFonts w:ascii="Times New Roman" w:hAnsi="Times New Roman"/>
          <w:bCs/>
          <w:sz w:val="24"/>
          <w:szCs w:val="20"/>
          <w:lang w:eastAsia="sk-SK"/>
        </w:rPr>
      </w:pPr>
    </w:p>
    <w:p w:rsidR="00C13F01" w:rsidRDefault="00C13F01" w:rsidP="007D5748">
      <w:pPr>
        <w:tabs>
          <w:tab w:val="num" w:pos="1080"/>
        </w:tabs>
        <w:spacing w:after="0" w:line="240" w:lineRule="auto"/>
        <w:jc w:val="both"/>
        <w:rPr>
          <w:rFonts w:ascii="Times New Roman" w:hAnsi="Times New Roman"/>
          <w:bCs/>
          <w:sz w:val="24"/>
          <w:szCs w:val="20"/>
          <w:lang w:eastAsia="sk-SK"/>
        </w:rPr>
      </w:pPr>
    </w:p>
    <w:p w:rsidR="00C13F01" w:rsidRPr="003C289B" w:rsidRDefault="00C13F01" w:rsidP="007D5748">
      <w:pPr>
        <w:tabs>
          <w:tab w:val="num" w:pos="1080"/>
        </w:tabs>
        <w:spacing w:after="0" w:line="240" w:lineRule="auto"/>
        <w:jc w:val="both"/>
        <w:rPr>
          <w:rFonts w:ascii="Times New Roman" w:hAnsi="Times New Roman"/>
          <w:bCs/>
          <w:sz w:val="24"/>
          <w:szCs w:val="20"/>
          <w:lang w:eastAsia="sk-SK"/>
        </w:rPr>
        <w:sectPr w:rsidR="00C13F01" w:rsidRPr="003C289B" w:rsidSect="003C289B">
          <w:headerReference w:type="even" r:id="rId11"/>
          <w:footerReference w:type="even" r:id="rId12"/>
          <w:footerReference w:type="default" r:id="rId13"/>
          <w:headerReference w:type="first" r:id="rId14"/>
          <w:footerReference w:type="first" r:id="rId15"/>
          <w:pgSz w:w="11906" w:h="16838"/>
          <w:pgMar w:top="1134" w:right="1418" w:bottom="1134" w:left="1418" w:header="709" w:footer="709" w:gutter="0"/>
          <w:pgNumType w:start="1"/>
          <w:cols w:space="708"/>
          <w:docGrid w:linePitch="360"/>
        </w:sectPr>
      </w:pPr>
    </w:p>
    <w:p w:rsidR="007D5748" w:rsidRPr="003C289B" w:rsidRDefault="007D5748" w:rsidP="007D5748">
      <w:pPr>
        <w:tabs>
          <w:tab w:val="num" w:pos="1080"/>
        </w:tabs>
        <w:spacing w:after="0" w:line="240" w:lineRule="auto"/>
        <w:jc w:val="right"/>
        <w:rPr>
          <w:rFonts w:ascii="Times New Roman" w:hAnsi="Times New Roman"/>
          <w:bCs/>
          <w:sz w:val="24"/>
          <w:szCs w:val="24"/>
          <w:lang w:eastAsia="sk-SK"/>
        </w:rPr>
      </w:pPr>
      <w:r w:rsidRPr="003C289B">
        <w:rPr>
          <w:rFonts w:ascii="Times New Roman" w:hAnsi="Times New Roman"/>
          <w:bCs/>
          <w:sz w:val="24"/>
          <w:szCs w:val="24"/>
          <w:lang w:eastAsia="sk-SK"/>
        </w:rPr>
        <w:lastRenderedPageBreak/>
        <w:t xml:space="preserve">Tabuľka č. 3 </w:t>
      </w:r>
    </w:p>
    <w:p w:rsidR="007D5748" w:rsidRPr="003C289B" w:rsidRDefault="007D5748" w:rsidP="007D5748">
      <w:pPr>
        <w:tabs>
          <w:tab w:val="num" w:pos="1080"/>
        </w:tabs>
        <w:spacing w:after="0" w:line="240" w:lineRule="auto"/>
        <w:jc w:val="both"/>
        <w:rPr>
          <w:rFonts w:ascii="Times New Roman" w:hAnsi="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3C289B" w:rsidTr="007B71A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3C289B" w:rsidRDefault="007D5748" w:rsidP="00846903">
            <w:pPr>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 xml:space="preserve">Príjmy (v </w:t>
            </w:r>
            <w:r w:rsidR="00846903">
              <w:rPr>
                <w:rFonts w:ascii="Times New Roman" w:hAnsi="Times New Roman"/>
                <w:b/>
                <w:bCs/>
                <w:sz w:val="24"/>
                <w:szCs w:val="24"/>
                <w:lang w:eastAsia="sk-SK"/>
              </w:rPr>
              <w:t>eurách</w:t>
            </w:r>
            <w:r w:rsidRPr="003C289B">
              <w:rPr>
                <w:rFonts w:ascii="Times New Roman" w:hAnsi="Times New Roman"/>
                <w:b/>
                <w:bCs/>
                <w:sz w:val="24"/>
                <w:szCs w:val="24"/>
                <w:lang w:eastAsia="sk-SK"/>
              </w:rPr>
              <w:t>)</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3C289B" w:rsidRDefault="007D5748" w:rsidP="007D5748">
            <w:pPr>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3C289B" w:rsidRDefault="007D5748" w:rsidP="007D5748">
            <w:pPr>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poznámka</w:t>
            </w:r>
          </w:p>
        </w:tc>
      </w:tr>
      <w:tr w:rsidR="007D5748" w:rsidRPr="003C289B" w:rsidTr="007B71A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3C289B" w:rsidRDefault="007D5748" w:rsidP="007D5748">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3C289B" w:rsidRDefault="009F75F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3C289B" w:rsidRDefault="009F75F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3C289B" w:rsidRDefault="009F75F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3C289B" w:rsidRDefault="009F75F0" w:rsidP="007D5748">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3C289B" w:rsidRDefault="007D5748" w:rsidP="007D5748">
            <w:pPr>
              <w:spacing w:after="0" w:line="240" w:lineRule="auto"/>
              <w:rPr>
                <w:rFonts w:ascii="Times New Roman" w:hAnsi="Times New Roman"/>
                <w:b/>
                <w:bCs/>
                <w:color w:val="FFFFFF"/>
                <w:sz w:val="24"/>
                <w:szCs w:val="24"/>
                <w:lang w:eastAsia="sk-SK"/>
              </w:rPr>
            </w:pPr>
          </w:p>
        </w:tc>
      </w:tr>
      <w:tr w:rsidR="00361970" w:rsidRPr="003C289B" w:rsidTr="009F75F0">
        <w:trPr>
          <w:trHeight w:val="255"/>
        </w:trPr>
        <w:tc>
          <w:tcPr>
            <w:tcW w:w="4950" w:type="dxa"/>
            <w:tcBorders>
              <w:top w:val="nil"/>
              <w:left w:val="single" w:sz="4" w:space="0" w:color="auto"/>
              <w:bottom w:val="single" w:sz="4" w:space="0" w:color="auto"/>
              <w:right w:val="single" w:sz="4" w:space="0" w:color="auto"/>
            </w:tcBorders>
          </w:tcPr>
          <w:p w:rsidR="00361970" w:rsidRPr="003C289B" w:rsidRDefault="00361970" w:rsidP="00361970">
            <w:pPr>
              <w:spacing w:after="0" w:line="240" w:lineRule="auto"/>
              <w:rPr>
                <w:rFonts w:ascii="Times New Roman" w:hAnsi="Times New Roman"/>
                <w:b/>
                <w:bCs/>
                <w:sz w:val="24"/>
                <w:szCs w:val="24"/>
                <w:vertAlign w:val="superscript"/>
                <w:lang w:eastAsia="sk-SK"/>
              </w:rPr>
            </w:pPr>
            <w:r w:rsidRPr="003C289B">
              <w:rPr>
                <w:rFonts w:ascii="Times New Roman" w:hAnsi="Times New Roman"/>
                <w:b/>
                <w:bCs/>
                <w:sz w:val="24"/>
                <w:szCs w:val="24"/>
                <w:lang w:eastAsia="sk-SK"/>
              </w:rPr>
              <w:t>Daňové príjmy (100)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vAlign w:val="center"/>
          </w:tcPr>
          <w:p w:rsidR="00361970" w:rsidRPr="009F75F0" w:rsidRDefault="009F75F0" w:rsidP="0084690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361970" w:rsidRPr="009F75F0" w:rsidRDefault="009F75F0" w:rsidP="0084690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361970" w:rsidRPr="009F75F0" w:rsidRDefault="009F75F0" w:rsidP="0084690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361970" w:rsidRPr="009F75F0" w:rsidRDefault="00361970" w:rsidP="00846903">
            <w:pPr>
              <w:spacing w:after="0" w:line="240" w:lineRule="auto"/>
              <w:jc w:val="center"/>
              <w:rPr>
                <w:rFonts w:ascii="Times New Roman" w:hAnsi="Times New Roman"/>
                <w:b/>
                <w:bCs/>
                <w:iCs/>
                <w:sz w:val="24"/>
                <w:szCs w:val="24"/>
                <w:lang w:eastAsia="sk-SK"/>
              </w:rPr>
            </w:pPr>
            <w:r w:rsidRPr="009F75F0">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rsidR="00361970" w:rsidRPr="003C289B" w:rsidRDefault="00361970" w:rsidP="00361970">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361970" w:rsidRPr="003C289B" w:rsidTr="009F75F0">
        <w:trPr>
          <w:trHeight w:val="255"/>
        </w:trPr>
        <w:tc>
          <w:tcPr>
            <w:tcW w:w="4950" w:type="dxa"/>
            <w:tcBorders>
              <w:top w:val="nil"/>
              <w:left w:val="single" w:sz="4" w:space="0" w:color="auto"/>
              <w:bottom w:val="single" w:sz="4" w:space="0" w:color="auto"/>
              <w:right w:val="single" w:sz="4" w:space="0" w:color="auto"/>
            </w:tcBorders>
          </w:tcPr>
          <w:p w:rsidR="00361970" w:rsidRPr="003C289B" w:rsidRDefault="00361970" w:rsidP="00361970">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Nedaňové príjmy (200)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61970" w:rsidRPr="003C289B" w:rsidRDefault="00361970" w:rsidP="00361970">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361970" w:rsidRPr="003C289B" w:rsidTr="009F75F0">
        <w:trPr>
          <w:trHeight w:val="255"/>
        </w:trPr>
        <w:tc>
          <w:tcPr>
            <w:tcW w:w="4950" w:type="dxa"/>
            <w:tcBorders>
              <w:top w:val="nil"/>
              <w:left w:val="single" w:sz="4" w:space="0" w:color="auto"/>
              <w:bottom w:val="single" w:sz="4" w:space="0" w:color="auto"/>
              <w:right w:val="single" w:sz="4" w:space="0" w:color="auto"/>
            </w:tcBorders>
          </w:tcPr>
          <w:p w:rsidR="00361970" w:rsidRPr="003C289B" w:rsidRDefault="00361970" w:rsidP="00361970">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Granty a transfery (300)</w:t>
            </w:r>
            <w:r w:rsidRPr="003C289B">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61970" w:rsidRPr="003C289B" w:rsidRDefault="00361970" w:rsidP="00361970">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361970" w:rsidRPr="003C289B" w:rsidTr="009F75F0">
        <w:trPr>
          <w:trHeight w:val="255"/>
        </w:trPr>
        <w:tc>
          <w:tcPr>
            <w:tcW w:w="4950" w:type="dxa"/>
            <w:tcBorders>
              <w:top w:val="nil"/>
              <w:left w:val="single" w:sz="4" w:space="0" w:color="auto"/>
              <w:bottom w:val="single" w:sz="4" w:space="0" w:color="auto"/>
              <w:right w:val="single" w:sz="4" w:space="0" w:color="auto"/>
            </w:tcBorders>
          </w:tcPr>
          <w:p w:rsidR="00361970" w:rsidRPr="003C289B" w:rsidRDefault="00361970" w:rsidP="00361970">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61970" w:rsidRPr="003C289B" w:rsidRDefault="00361970" w:rsidP="00361970">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361970" w:rsidRPr="003C289B" w:rsidTr="009F75F0">
        <w:trPr>
          <w:trHeight w:val="255"/>
        </w:trPr>
        <w:tc>
          <w:tcPr>
            <w:tcW w:w="4950" w:type="dxa"/>
            <w:tcBorders>
              <w:top w:val="nil"/>
              <w:left w:val="single" w:sz="4" w:space="0" w:color="auto"/>
              <w:bottom w:val="single" w:sz="4" w:space="0" w:color="auto"/>
              <w:right w:val="single" w:sz="4" w:space="0" w:color="auto"/>
            </w:tcBorders>
          </w:tcPr>
          <w:p w:rsidR="00361970" w:rsidRPr="003C289B" w:rsidRDefault="00361970" w:rsidP="00361970">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361970" w:rsidRPr="009F75F0" w:rsidRDefault="00361970" w:rsidP="00846903">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361970" w:rsidRPr="003C289B" w:rsidRDefault="00361970" w:rsidP="00361970">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361970" w:rsidRPr="003C289B" w:rsidTr="009F75F0">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361970" w:rsidRPr="003C289B" w:rsidRDefault="00361970" w:rsidP="00361970">
            <w:pPr>
              <w:spacing w:after="0" w:line="240" w:lineRule="auto"/>
              <w:rPr>
                <w:rFonts w:ascii="Times New Roman" w:hAnsi="Times New Roman"/>
                <w:b/>
                <w:bCs/>
                <w:sz w:val="24"/>
                <w:szCs w:val="24"/>
                <w:lang w:eastAsia="sk-SK"/>
              </w:rPr>
            </w:pPr>
            <w:r w:rsidRPr="003C289B">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vAlign w:val="center"/>
          </w:tcPr>
          <w:p w:rsidR="00361970" w:rsidRPr="009F75F0" w:rsidRDefault="009F75F0" w:rsidP="0084690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361970" w:rsidRPr="009F75F0" w:rsidRDefault="009F75F0" w:rsidP="0084690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361970" w:rsidRPr="009F75F0" w:rsidRDefault="009F75F0" w:rsidP="00846903">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vAlign w:val="center"/>
          </w:tcPr>
          <w:p w:rsidR="00361970" w:rsidRPr="009F75F0" w:rsidRDefault="00361970" w:rsidP="00846903">
            <w:pPr>
              <w:spacing w:after="0" w:line="240" w:lineRule="auto"/>
              <w:jc w:val="center"/>
              <w:rPr>
                <w:rFonts w:ascii="Times New Roman" w:hAnsi="Times New Roman"/>
                <w:b/>
                <w:bCs/>
                <w:iCs/>
                <w:sz w:val="24"/>
                <w:szCs w:val="24"/>
                <w:lang w:eastAsia="sk-SK"/>
              </w:rPr>
            </w:pPr>
            <w:r w:rsidRPr="009F75F0">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361970" w:rsidRPr="003C289B" w:rsidRDefault="00361970" w:rsidP="00361970">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bl>
    <w:p w:rsidR="007D5748" w:rsidRPr="003C289B" w:rsidRDefault="007D5748" w:rsidP="007D5748">
      <w:pPr>
        <w:tabs>
          <w:tab w:val="num" w:pos="1080"/>
        </w:tabs>
        <w:spacing w:after="0" w:line="240" w:lineRule="auto"/>
        <w:jc w:val="both"/>
        <w:rPr>
          <w:rFonts w:ascii="Times New Roman" w:hAnsi="Times New Roman"/>
          <w:bCs/>
          <w:sz w:val="20"/>
          <w:szCs w:val="20"/>
          <w:lang w:eastAsia="sk-SK"/>
        </w:rPr>
      </w:pPr>
      <w:r w:rsidRPr="003C289B">
        <w:rPr>
          <w:rFonts w:ascii="Times New Roman" w:hAnsi="Times New Roman"/>
          <w:bCs/>
          <w:sz w:val="20"/>
          <w:szCs w:val="20"/>
          <w:lang w:eastAsia="sk-SK"/>
        </w:rPr>
        <w:t>1 –  príjmy rozpísať až do položiek platnej ekonomickej klasifikácie</w:t>
      </w:r>
    </w:p>
    <w:p w:rsidR="007D5748" w:rsidRPr="003C289B" w:rsidRDefault="007D5748" w:rsidP="007D5748">
      <w:pPr>
        <w:tabs>
          <w:tab w:val="num" w:pos="1080"/>
        </w:tabs>
        <w:spacing w:after="0" w:line="240" w:lineRule="auto"/>
        <w:jc w:val="both"/>
        <w:rPr>
          <w:rFonts w:ascii="Times New Roman" w:hAnsi="Times New Roman"/>
          <w:bCs/>
          <w:sz w:val="24"/>
          <w:szCs w:val="20"/>
          <w:lang w:eastAsia="sk-SK"/>
        </w:rPr>
      </w:pPr>
    </w:p>
    <w:p w:rsidR="007D5748" w:rsidRPr="003C289B" w:rsidRDefault="007D5748" w:rsidP="007D5748">
      <w:pPr>
        <w:tabs>
          <w:tab w:val="num" w:pos="1080"/>
        </w:tabs>
        <w:spacing w:after="0" w:line="240" w:lineRule="auto"/>
        <w:jc w:val="both"/>
        <w:rPr>
          <w:rFonts w:ascii="Times New Roman" w:hAnsi="Times New Roman"/>
          <w:b/>
          <w:bCs/>
          <w:sz w:val="24"/>
          <w:szCs w:val="20"/>
          <w:lang w:eastAsia="sk-SK"/>
        </w:rPr>
      </w:pPr>
      <w:r w:rsidRPr="003C289B">
        <w:rPr>
          <w:rFonts w:ascii="Times New Roman" w:hAnsi="Times New Roman"/>
          <w:b/>
          <w:bCs/>
          <w:sz w:val="24"/>
          <w:szCs w:val="20"/>
          <w:lang w:eastAsia="sk-SK"/>
        </w:rPr>
        <w:t>Poznámka:</w:t>
      </w:r>
    </w:p>
    <w:p w:rsidR="00BA5E00" w:rsidRDefault="007D5748" w:rsidP="00C13F01">
      <w:pPr>
        <w:tabs>
          <w:tab w:val="num" w:pos="1080"/>
        </w:tabs>
        <w:spacing w:after="0" w:line="240" w:lineRule="auto"/>
        <w:jc w:val="both"/>
        <w:rPr>
          <w:rFonts w:ascii="Times New Roman" w:hAnsi="Times New Roman"/>
          <w:bCs/>
          <w:sz w:val="24"/>
          <w:szCs w:val="20"/>
          <w:lang w:eastAsia="sk-SK"/>
        </w:rPr>
      </w:pPr>
      <w:r w:rsidRPr="003C289B">
        <w:rPr>
          <w:rFonts w:ascii="Times New Roman" w:hAnsi="Times New Roman"/>
          <w:bCs/>
          <w:sz w:val="24"/>
          <w:szCs w:val="20"/>
          <w:lang w:eastAsia="sk-SK"/>
        </w:rPr>
        <w:t>Ak sa vplyv týka viacerých subjektov verejnej správy, vypĺňa sa samos</w:t>
      </w:r>
      <w:r w:rsidR="00C13F01">
        <w:rPr>
          <w:rFonts w:ascii="Times New Roman" w:hAnsi="Times New Roman"/>
          <w:bCs/>
          <w:sz w:val="24"/>
          <w:szCs w:val="20"/>
          <w:lang w:eastAsia="sk-SK"/>
        </w:rPr>
        <w:t>tatná tabuľka za každý subjekt.</w:t>
      </w: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9F75F0" w:rsidRDefault="009F75F0" w:rsidP="00C13F01">
      <w:pPr>
        <w:tabs>
          <w:tab w:val="num" w:pos="1080"/>
        </w:tabs>
        <w:spacing w:after="0" w:line="240" w:lineRule="auto"/>
        <w:jc w:val="both"/>
        <w:rPr>
          <w:rFonts w:ascii="Times New Roman" w:hAnsi="Times New Roman"/>
          <w:bCs/>
          <w:sz w:val="24"/>
          <w:szCs w:val="20"/>
          <w:lang w:eastAsia="sk-SK"/>
        </w:rPr>
      </w:pPr>
    </w:p>
    <w:p w:rsidR="009F75F0" w:rsidRDefault="009F75F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Default="00BA5E00" w:rsidP="00C13F01">
      <w:pPr>
        <w:tabs>
          <w:tab w:val="num" w:pos="1080"/>
        </w:tabs>
        <w:spacing w:after="0" w:line="240" w:lineRule="auto"/>
        <w:jc w:val="both"/>
        <w:rPr>
          <w:rFonts w:ascii="Times New Roman" w:hAnsi="Times New Roman"/>
          <w:bCs/>
          <w:sz w:val="24"/>
          <w:szCs w:val="20"/>
          <w:lang w:eastAsia="sk-SK"/>
        </w:rPr>
      </w:pPr>
    </w:p>
    <w:p w:rsidR="00BA5E00" w:rsidRPr="00C13F01" w:rsidRDefault="00BA5E00" w:rsidP="00C13F01">
      <w:pPr>
        <w:tabs>
          <w:tab w:val="num" w:pos="1080"/>
        </w:tabs>
        <w:spacing w:after="0" w:line="240" w:lineRule="auto"/>
        <w:jc w:val="both"/>
        <w:rPr>
          <w:rFonts w:ascii="Times New Roman" w:hAnsi="Times New Roman"/>
          <w:bCs/>
          <w:sz w:val="24"/>
          <w:szCs w:val="20"/>
          <w:lang w:eastAsia="sk-SK"/>
        </w:rPr>
      </w:pPr>
    </w:p>
    <w:p w:rsidR="007D5748" w:rsidRDefault="007D5748" w:rsidP="007D5748">
      <w:pPr>
        <w:tabs>
          <w:tab w:val="num" w:pos="1080"/>
        </w:tabs>
        <w:spacing w:after="0" w:line="240" w:lineRule="auto"/>
        <w:ind w:right="-32"/>
        <w:jc w:val="right"/>
        <w:rPr>
          <w:rFonts w:ascii="Times New Roman" w:hAnsi="Times New Roman"/>
          <w:bCs/>
          <w:sz w:val="24"/>
          <w:szCs w:val="24"/>
          <w:lang w:eastAsia="sk-SK"/>
        </w:rPr>
      </w:pPr>
      <w:r w:rsidRPr="003C289B">
        <w:rPr>
          <w:rFonts w:ascii="Times New Roman" w:hAnsi="Times New Roman"/>
          <w:bCs/>
          <w:sz w:val="24"/>
          <w:szCs w:val="24"/>
          <w:lang w:eastAsia="sk-SK"/>
        </w:rPr>
        <w:lastRenderedPageBreak/>
        <w:t xml:space="preserve">Tabuľka č. 4 </w:t>
      </w:r>
    </w:p>
    <w:p w:rsidR="00DB08DF" w:rsidRPr="00103747" w:rsidRDefault="00DB08DF" w:rsidP="00103747">
      <w:pPr>
        <w:tabs>
          <w:tab w:val="num" w:pos="1080"/>
        </w:tabs>
        <w:spacing w:after="0" w:line="240" w:lineRule="auto"/>
        <w:ind w:right="-32"/>
        <w:rPr>
          <w:rFonts w:ascii="Times New Roman" w:hAnsi="Times New Roman"/>
          <w:b/>
          <w:bCs/>
          <w:sz w:val="24"/>
          <w:szCs w:val="24"/>
          <w:lang w:eastAsia="sk-SK"/>
        </w:rPr>
      </w:pPr>
      <w:r w:rsidRPr="00103747">
        <w:rPr>
          <w:rFonts w:ascii="Times New Roman" w:hAnsi="Times New Roman"/>
          <w:b/>
          <w:bCs/>
          <w:sz w:val="24"/>
          <w:szCs w:val="24"/>
          <w:lang w:eastAsia="sk-SK"/>
        </w:rPr>
        <w:t>Kapitola MF SR</w:t>
      </w:r>
    </w:p>
    <w:p w:rsidR="007D5748" w:rsidRPr="003C289B" w:rsidRDefault="007D5748" w:rsidP="007D5748">
      <w:pPr>
        <w:tabs>
          <w:tab w:val="num" w:pos="1080"/>
        </w:tabs>
        <w:spacing w:after="0" w:line="240" w:lineRule="auto"/>
        <w:jc w:val="both"/>
        <w:rPr>
          <w:rFonts w:ascii="Times New Roman" w:hAnsi="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3C289B" w:rsidTr="007B71A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3C289B" w:rsidRDefault="007D5748" w:rsidP="007D5748">
            <w:pPr>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3C289B" w:rsidRDefault="007D5748" w:rsidP="007D5748">
            <w:pPr>
              <w:spacing w:after="0" w:line="240" w:lineRule="auto"/>
              <w:jc w:val="center"/>
              <w:rPr>
                <w:rFonts w:ascii="Times New Roman" w:hAnsi="Times New Roman"/>
                <w:b/>
                <w:bCs/>
                <w:sz w:val="20"/>
                <w:szCs w:val="20"/>
                <w:lang w:eastAsia="sk-SK"/>
              </w:rPr>
            </w:pPr>
            <w:r w:rsidRPr="003C289B">
              <w:rPr>
                <w:rFonts w:ascii="Times New Roman" w:hAnsi="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3C289B" w:rsidRDefault="007D5748" w:rsidP="007D5748">
            <w:pPr>
              <w:spacing w:after="0" w:line="240" w:lineRule="auto"/>
              <w:jc w:val="center"/>
              <w:rPr>
                <w:rFonts w:ascii="Times New Roman" w:hAnsi="Times New Roman"/>
                <w:b/>
                <w:bCs/>
                <w:sz w:val="24"/>
                <w:szCs w:val="24"/>
                <w:lang w:eastAsia="sk-SK"/>
              </w:rPr>
            </w:pPr>
            <w:r w:rsidRPr="003C289B">
              <w:rPr>
                <w:rFonts w:ascii="Times New Roman" w:hAnsi="Times New Roman"/>
                <w:b/>
                <w:bCs/>
                <w:sz w:val="24"/>
                <w:szCs w:val="24"/>
                <w:lang w:eastAsia="sk-SK"/>
              </w:rPr>
              <w:t>poznámka</w:t>
            </w:r>
          </w:p>
        </w:tc>
      </w:tr>
      <w:tr w:rsidR="0098339F" w:rsidRPr="003C289B" w:rsidTr="007B71A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98339F" w:rsidRPr="003C289B" w:rsidRDefault="0098339F" w:rsidP="0098339F">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98339F" w:rsidRPr="003C289B" w:rsidRDefault="00575777" w:rsidP="009F75F0">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201</w:t>
            </w:r>
            <w:r w:rsidR="009F75F0">
              <w:rPr>
                <w:rFonts w:ascii="Times New Roman" w:hAnsi="Times New Roman"/>
                <w:b/>
                <w:bCs/>
                <w:sz w:val="20"/>
                <w:szCs w:val="20"/>
                <w:lang w:eastAsia="sk-SK"/>
              </w:rPr>
              <w:t>9</w:t>
            </w:r>
          </w:p>
        </w:tc>
        <w:tc>
          <w:tcPr>
            <w:tcW w:w="1540" w:type="dxa"/>
            <w:tcBorders>
              <w:top w:val="nil"/>
              <w:left w:val="nil"/>
              <w:bottom w:val="single" w:sz="4" w:space="0" w:color="auto"/>
              <w:right w:val="single" w:sz="4" w:space="0" w:color="auto"/>
            </w:tcBorders>
            <w:shd w:val="clear" w:color="auto" w:fill="BFBFBF" w:themeFill="background1" w:themeFillShade="BF"/>
          </w:tcPr>
          <w:p w:rsidR="0098339F" w:rsidRPr="003C289B" w:rsidRDefault="00575777" w:rsidP="0098339F">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w:t>
            </w:r>
            <w:r w:rsidR="009F75F0">
              <w:rPr>
                <w:rFonts w:ascii="Times New Roman" w:hAnsi="Times New Roman"/>
                <w:b/>
                <w:bCs/>
                <w:sz w:val="20"/>
                <w:szCs w:val="20"/>
                <w:lang w:eastAsia="sk-SK"/>
              </w:rPr>
              <w:t>020</w:t>
            </w:r>
          </w:p>
        </w:tc>
        <w:tc>
          <w:tcPr>
            <w:tcW w:w="1540" w:type="dxa"/>
            <w:tcBorders>
              <w:top w:val="nil"/>
              <w:left w:val="nil"/>
              <w:bottom w:val="single" w:sz="4" w:space="0" w:color="auto"/>
              <w:right w:val="single" w:sz="4" w:space="0" w:color="auto"/>
            </w:tcBorders>
            <w:shd w:val="clear" w:color="auto" w:fill="BFBFBF" w:themeFill="background1" w:themeFillShade="BF"/>
          </w:tcPr>
          <w:p w:rsidR="0098339F" w:rsidRPr="003C289B" w:rsidRDefault="009F75F0" w:rsidP="0098339F">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98339F" w:rsidRPr="003C289B" w:rsidRDefault="009F75F0" w:rsidP="0098339F">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98339F" w:rsidRPr="003C289B" w:rsidRDefault="0098339F" w:rsidP="0098339F">
            <w:pPr>
              <w:spacing w:after="0" w:line="240" w:lineRule="auto"/>
              <w:rPr>
                <w:rFonts w:ascii="Times New Roman" w:hAnsi="Times New Roman"/>
                <w:b/>
                <w:bCs/>
                <w:color w:val="FFFFFF"/>
                <w:sz w:val="24"/>
                <w:szCs w:val="24"/>
                <w:lang w:eastAsia="sk-SK"/>
              </w:rPr>
            </w:pPr>
          </w:p>
        </w:tc>
      </w:tr>
      <w:tr w:rsidR="007D5748" w:rsidRPr="003C289B" w:rsidTr="007B71A4">
        <w:trPr>
          <w:trHeight w:val="255"/>
        </w:trPr>
        <w:tc>
          <w:tcPr>
            <w:tcW w:w="7070" w:type="dxa"/>
            <w:tcBorders>
              <w:top w:val="nil"/>
              <w:left w:val="single" w:sz="4" w:space="0" w:color="auto"/>
              <w:bottom w:val="single" w:sz="4" w:space="0" w:color="auto"/>
              <w:right w:val="single" w:sz="4" w:space="0" w:color="auto"/>
            </w:tcBorders>
          </w:tcPr>
          <w:p w:rsidR="007D5748" w:rsidRPr="003C289B" w:rsidRDefault="007D5748" w:rsidP="007D5748">
            <w:pPr>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7D5748" w:rsidRPr="003C289B" w:rsidTr="007B71A4">
        <w:trPr>
          <w:trHeight w:val="255"/>
        </w:trPr>
        <w:tc>
          <w:tcPr>
            <w:tcW w:w="7070" w:type="dxa"/>
            <w:tcBorders>
              <w:top w:val="nil"/>
              <w:left w:val="single" w:sz="4" w:space="0" w:color="auto"/>
              <w:bottom w:val="single" w:sz="4" w:space="0" w:color="auto"/>
              <w:right w:val="single" w:sz="4" w:space="0" w:color="auto"/>
            </w:tcBorders>
          </w:tcPr>
          <w:p w:rsidR="007D5748" w:rsidRPr="003C289B" w:rsidRDefault="007D5748" w:rsidP="007D5748">
            <w:pPr>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7D5748" w:rsidRPr="003C289B" w:rsidTr="007B71A4">
        <w:trPr>
          <w:trHeight w:val="255"/>
        </w:trPr>
        <w:tc>
          <w:tcPr>
            <w:tcW w:w="7070" w:type="dxa"/>
            <w:tcBorders>
              <w:top w:val="nil"/>
              <w:left w:val="single" w:sz="4" w:space="0" w:color="auto"/>
              <w:bottom w:val="single" w:sz="4" w:space="0" w:color="auto"/>
              <w:right w:val="single" w:sz="4" w:space="0" w:color="auto"/>
            </w:tcBorders>
          </w:tcPr>
          <w:p w:rsidR="007D5748" w:rsidRPr="003C289B" w:rsidRDefault="007D5748" w:rsidP="007D5748">
            <w:pPr>
              <w:spacing w:after="0" w:line="240" w:lineRule="auto"/>
              <w:rPr>
                <w:rFonts w:ascii="Times New Roman" w:hAnsi="Times New Roman"/>
                <w:sz w:val="20"/>
                <w:szCs w:val="20"/>
                <w:vertAlign w:val="superscript"/>
                <w:lang w:eastAsia="sk-SK"/>
              </w:rPr>
            </w:pPr>
            <w:r w:rsidRPr="003C289B">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7D5748" w:rsidRPr="003C289B" w:rsidTr="007B71A4">
        <w:trPr>
          <w:trHeight w:val="255"/>
        </w:trPr>
        <w:tc>
          <w:tcPr>
            <w:tcW w:w="7070" w:type="dxa"/>
            <w:tcBorders>
              <w:top w:val="nil"/>
              <w:left w:val="single" w:sz="4" w:space="0" w:color="auto"/>
              <w:bottom w:val="single" w:sz="4" w:space="0" w:color="auto"/>
              <w:right w:val="single" w:sz="4" w:space="0" w:color="auto"/>
            </w:tcBorders>
          </w:tcPr>
          <w:p w:rsidR="007D5748" w:rsidRPr="003C289B" w:rsidRDefault="007D5748" w:rsidP="007D5748">
            <w:pPr>
              <w:spacing w:after="0" w:line="240" w:lineRule="auto"/>
              <w:rPr>
                <w:rFonts w:ascii="Times New Roman" w:hAnsi="Times New Roman"/>
                <w:sz w:val="20"/>
                <w:szCs w:val="20"/>
                <w:vertAlign w:val="superscript"/>
                <w:lang w:eastAsia="sk-SK"/>
              </w:rPr>
            </w:pPr>
            <w:r w:rsidRPr="003C289B">
              <w:rPr>
                <w:rFonts w:ascii="Times New Roman" w:hAnsi="Times New Roman"/>
                <w:sz w:val="20"/>
                <w:szCs w:val="20"/>
                <w:lang w:eastAsia="sk-SK"/>
              </w:rPr>
              <w:t xml:space="preserve">  Tovary a služby (630)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7D5748" w:rsidRPr="003C289B" w:rsidTr="007B71A4">
        <w:trPr>
          <w:trHeight w:val="255"/>
        </w:trPr>
        <w:tc>
          <w:tcPr>
            <w:tcW w:w="7070" w:type="dxa"/>
            <w:tcBorders>
              <w:top w:val="nil"/>
              <w:left w:val="single" w:sz="4" w:space="0" w:color="auto"/>
              <w:bottom w:val="single" w:sz="4" w:space="0" w:color="auto"/>
              <w:right w:val="single" w:sz="4" w:space="0" w:color="auto"/>
            </w:tcBorders>
          </w:tcPr>
          <w:p w:rsidR="007D5748" w:rsidRPr="003C289B" w:rsidRDefault="007D5748" w:rsidP="007D5748">
            <w:pPr>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Bežné transfery (640)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3C289B" w:rsidRDefault="007D5748" w:rsidP="007D5748">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7D5748" w:rsidRPr="003C289B" w:rsidTr="007B71A4">
        <w:trPr>
          <w:trHeight w:val="255"/>
        </w:trPr>
        <w:tc>
          <w:tcPr>
            <w:tcW w:w="7070" w:type="dxa"/>
            <w:tcBorders>
              <w:top w:val="nil"/>
              <w:left w:val="single" w:sz="4" w:space="0" w:color="auto"/>
              <w:bottom w:val="single" w:sz="4" w:space="0" w:color="auto"/>
              <w:right w:val="single" w:sz="4" w:space="0" w:color="auto"/>
            </w:tcBorders>
            <w:vAlign w:val="center"/>
          </w:tcPr>
          <w:p w:rsidR="007D5748" w:rsidRPr="003C289B" w:rsidRDefault="007D5748" w:rsidP="008D339D">
            <w:pPr>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Splácanie úrokov a ostatné platby súvisiace s </w:t>
            </w:r>
            <w:r w:rsidR="008D339D" w:rsidRPr="003C289B">
              <w:rPr>
                <w:rFonts w:ascii="Times New Roman" w:hAnsi="Times New Roman"/>
              </w:rPr>
              <w:t xml:space="preserve"> </w:t>
            </w:r>
            <w:r w:rsidR="008D339D" w:rsidRPr="003C289B">
              <w:rPr>
                <w:rFonts w:ascii="Times New Roman" w:hAnsi="Times New Roman"/>
                <w:sz w:val="20"/>
                <w:szCs w:val="20"/>
                <w:lang w:eastAsia="sk-SK"/>
              </w:rPr>
              <w:t>úverom, pôžičkou, návratnou finančnou výpomocou a finančným prenájmom</w:t>
            </w:r>
            <w:r w:rsidRPr="003C289B">
              <w:rPr>
                <w:rFonts w:ascii="Times New Roman" w:hAnsi="Times New Roman"/>
                <w:sz w:val="20"/>
                <w:szCs w:val="20"/>
                <w:lang w:eastAsia="sk-SK"/>
              </w:rPr>
              <w:t xml:space="preserve"> (650)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7D5748" w:rsidRPr="003C289B" w:rsidRDefault="007D5748" w:rsidP="007D5748">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3C289B" w:rsidRDefault="007D5748" w:rsidP="007D5748">
            <w:pPr>
              <w:spacing w:after="0" w:line="240" w:lineRule="auto"/>
              <w:rPr>
                <w:rFonts w:ascii="Times New Roman" w:hAnsi="Times New Roman"/>
                <w:sz w:val="24"/>
                <w:szCs w:val="24"/>
                <w:lang w:eastAsia="sk-SK"/>
              </w:rPr>
            </w:pPr>
          </w:p>
        </w:tc>
      </w:tr>
      <w:tr w:rsidR="000932F5" w:rsidRPr="003C289B" w:rsidTr="007B71A4">
        <w:trPr>
          <w:trHeight w:val="255"/>
        </w:trPr>
        <w:tc>
          <w:tcPr>
            <w:tcW w:w="7070" w:type="dxa"/>
            <w:tcBorders>
              <w:top w:val="nil"/>
              <w:left w:val="single" w:sz="4" w:space="0" w:color="auto"/>
              <w:bottom w:val="single" w:sz="4" w:space="0" w:color="auto"/>
              <w:right w:val="single" w:sz="4" w:space="0" w:color="auto"/>
            </w:tcBorders>
          </w:tcPr>
          <w:p w:rsidR="000932F5" w:rsidRPr="003C289B" w:rsidRDefault="000932F5" w:rsidP="000932F5">
            <w:pPr>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165 528</w:t>
            </w: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b/>
                <w:bCs/>
                <w:sz w:val="24"/>
                <w:szCs w:val="24"/>
                <w:lang w:eastAsia="sk-SK"/>
              </w:rPr>
            </w:pPr>
          </w:p>
        </w:tc>
        <w:tc>
          <w:tcPr>
            <w:tcW w:w="2220" w:type="dxa"/>
            <w:tcBorders>
              <w:top w:val="nil"/>
              <w:left w:val="nil"/>
              <w:bottom w:val="single" w:sz="4" w:space="0" w:color="auto"/>
              <w:right w:val="single" w:sz="4" w:space="0" w:color="auto"/>
            </w:tcBorders>
            <w:noWrap/>
            <w:vAlign w:val="bottom"/>
          </w:tcPr>
          <w:p w:rsidR="000932F5" w:rsidRPr="003C289B" w:rsidRDefault="000932F5" w:rsidP="000932F5">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0932F5" w:rsidRPr="003C289B" w:rsidTr="007B71A4">
        <w:trPr>
          <w:trHeight w:val="255"/>
        </w:trPr>
        <w:tc>
          <w:tcPr>
            <w:tcW w:w="7070" w:type="dxa"/>
            <w:tcBorders>
              <w:top w:val="nil"/>
              <w:left w:val="single" w:sz="4" w:space="0" w:color="auto"/>
              <w:bottom w:val="single" w:sz="4" w:space="0" w:color="auto"/>
              <w:right w:val="single" w:sz="4" w:space="0" w:color="auto"/>
            </w:tcBorders>
          </w:tcPr>
          <w:p w:rsidR="000932F5" w:rsidRPr="003C289B" w:rsidRDefault="000932F5" w:rsidP="000932F5">
            <w:pPr>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Obstarávanie kapitálových aktív (710)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932F5" w:rsidRPr="003C289B" w:rsidRDefault="00DB08DF" w:rsidP="000932F5">
            <w:pPr>
              <w:spacing w:after="0" w:line="240" w:lineRule="auto"/>
              <w:jc w:val="center"/>
              <w:rPr>
                <w:rFonts w:ascii="Times New Roman" w:hAnsi="Times New Roman"/>
                <w:sz w:val="20"/>
                <w:szCs w:val="20"/>
                <w:lang w:eastAsia="sk-SK"/>
              </w:rPr>
            </w:pPr>
            <w:r>
              <w:rPr>
                <w:rFonts w:ascii="Times New Roman" w:hAnsi="Times New Roman"/>
                <w:sz w:val="20"/>
                <w:szCs w:val="20"/>
                <w:lang w:eastAsia="sk-SK"/>
              </w:rPr>
              <w:t>165 528</w:t>
            </w: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0932F5" w:rsidRPr="003C289B" w:rsidRDefault="000932F5" w:rsidP="000932F5">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0932F5" w:rsidRPr="003C289B" w:rsidTr="007B71A4">
        <w:trPr>
          <w:trHeight w:val="255"/>
        </w:trPr>
        <w:tc>
          <w:tcPr>
            <w:tcW w:w="7070" w:type="dxa"/>
            <w:tcBorders>
              <w:top w:val="nil"/>
              <w:left w:val="single" w:sz="4" w:space="0" w:color="auto"/>
              <w:bottom w:val="single" w:sz="4" w:space="0" w:color="auto"/>
              <w:right w:val="single" w:sz="4" w:space="0" w:color="auto"/>
            </w:tcBorders>
          </w:tcPr>
          <w:p w:rsidR="000932F5" w:rsidRPr="003C289B" w:rsidRDefault="000932F5" w:rsidP="000932F5">
            <w:pPr>
              <w:spacing w:after="0" w:line="240" w:lineRule="auto"/>
              <w:rPr>
                <w:rFonts w:ascii="Times New Roman" w:hAnsi="Times New Roman"/>
                <w:sz w:val="20"/>
                <w:szCs w:val="20"/>
                <w:lang w:eastAsia="sk-SK"/>
              </w:rPr>
            </w:pPr>
            <w:r w:rsidRPr="003C289B">
              <w:rPr>
                <w:rFonts w:ascii="Times New Roman" w:hAnsi="Times New Roman"/>
                <w:sz w:val="20"/>
                <w:szCs w:val="20"/>
                <w:lang w:eastAsia="sk-SK"/>
              </w:rPr>
              <w:t xml:space="preserve">  Kapitálové transfery (720)</w:t>
            </w:r>
            <w:r w:rsidRPr="003C289B">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0932F5" w:rsidRPr="003C289B" w:rsidRDefault="000932F5" w:rsidP="000932F5">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0932F5" w:rsidRPr="003C289B" w:rsidRDefault="000932F5" w:rsidP="000932F5">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r w:rsidR="000932F5" w:rsidRPr="003C289B" w:rsidTr="0095184B">
        <w:trPr>
          <w:trHeight w:val="255"/>
        </w:trPr>
        <w:tc>
          <w:tcPr>
            <w:tcW w:w="7070" w:type="dxa"/>
            <w:tcBorders>
              <w:top w:val="nil"/>
              <w:left w:val="single" w:sz="4" w:space="0" w:color="auto"/>
              <w:bottom w:val="single" w:sz="4" w:space="0" w:color="auto"/>
              <w:right w:val="single" w:sz="4" w:space="0" w:color="auto"/>
            </w:tcBorders>
          </w:tcPr>
          <w:p w:rsidR="000932F5" w:rsidRPr="003C289B" w:rsidRDefault="000932F5" w:rsidP="000932F5">
            <w:pPr>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tcPr>
          <w:p w:rsidR="000932F5" w:rsidRPr="0095184B" w:rsidRDefault="000932F5" w:rsidP="000932F5">
            <w:pPr>
              <w:spacing w:after="0" w:line="240" w:lineRule="auto"/>
              <w:jc w:val="center"/>
              <w:rPr>
                <w:rFonts w:ascii="Times New Roman" w:hAnsi="Times New Roman"/>
                <w:b/>
                <w:bCs/>
                <w:sz w:val="20"/>
                <w:szCs w:val="20"/>
                <w:lang w:eastAsia="sk-SK"/>
              </w:rPr>
            </w:pPr>
            <w:r w:rsidRPr="0095184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tcPr>
          <w:p w:rsidR="000932F5" w:rsidRPr="0095184B" w:rsidRDefault="000932F5" w:rsidP="000932F5">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0932F5" w:rsidRPr="0095184B" w:rsidRDefault="000932F5" w:rsidP="000932F5">
            <w:pPr>
              <w:spacing w:after="0" w:line="240" w:lineRule="auto"/>
              <w:jc w:val="center"/>
              <w:rPr>
                <w:rFonts w:ascii="Times New Roman" w:hAnsi="Times New Roman"/>
                <w:b/>
                <w:bCs/>
                <w:sz w:val="20"/>
                <w:szCs w:val="20"/>
                <w:lang w:eastAsia="sk-SK"/>
              </w:rPr>
            </w:pPr>
            <w:r w:rsidRPr="0095184B">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tcPr>
          <w:p w:rsidR="000932F5" w:rsidRPr="0095184B" w:rsidRDefault="000932F5" w:rsidP="000932F5">
            <w:pPr>
              <w:spacing w:after="0" w:line="240" w:lineRule="auto"/>
              <w:jc w:val="center"/>
              <w:rPr>
                <w:rFonts w:ascii="Times New Roman" w:hAnsi="Times New Roman"/>
                <w:b/>
                <w:bCs/>
                <w:sz w:val="24"/>
                <w:szCs w:val="24"/>
                <w:lang w:eastAsia="sk-SK"/>
              </w:rPr>
            </w:pPr>
            <w:r w:rsidRPr="0095184B">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0932F5" w:rsidRPr="0095184B" w:rsidRDefault="000932F5" w:rsidP="000932F5">
            <w:pPr>
              <w:spacing w:after="0" w:line="240" w:lineRule="auto"/>
              <w:rPr>
                <w:rFonts w:ascii="Times New Roman" w:hAnsi="Times New Roman"/>
                <w:sz w:val="24"/>
                <w:szCs w:val="24"/>
                <w:lang w:eastAsia="sk-SK"/>
              </w:rPr>
            </w:pPr>
            <w:r w:rsidRPr="0095184B">
              <w:rPr>
                <w:rFonts w:ascii="Times New Roman" w:hAnsi="Times New Roman"/>
                <w:sz w:val="24"/>
                <w:szCs w:val="24"/>
                <w:lang w:eastAsia="sk-SK"/>
              </w:rPr>
              <w:t> </w:t>
            </w:r>
          </w:p>
        </w:tc>
      </w:tr>
      <w:tr w:rsidR="000932F5" w:rsidRPr="003C289B" w:rsidTr="007B71A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32F5" w:rsidRPr="003C289B" w:rsidRDefault="000932F5" w:rsidP="000932F5">
            <w:pPr>
              <w:spacing w:after="0" w:line="240" w:lineRule="auto"/>
              <w:rPr>
                <w:rFonts w:ascii="Times New Roman" w:hAnsi="Times New Roman"/>
                <w:b/>
                <w:bCs/>
                <w:sz w:val="20"/>
                <w:szCs w:val="20"/>
                <w:lang w:eastAsia="sk-SK"/>
              </w:rPr>
            </w:pPr>
            <w:r w:rsidRPr="003C289B">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932F5" w:rsidRPr="003C289B" w:rsidRDefault="00DB08DF" w:rsidP="000932F5">
            <w:pPr>
              <w:spacing w:after="0" w:line="240" w:lineRule="auto"/>
              <w:jc w:val="center"/>
              <w:rPr>
                <w:rFonts w:ascii="Times New Roman" w:hAnsi="Times New Roman"/>
                <w:b/>
                <w:bCs/>
                <w:sz w:val="20"/>
                <w:szCs w:val="20"/>
                <w:lang w:eastAsia="sk-SK"/>
              </w:rPr>
            </w:pPr>
            <w:r>
              <w:rPr>
                <w:rFonts w:ascii="Times New Roman" w:hAnsi="Times New Roman"/>
                <w:b/>
                <w:bCs/>
                <w:sz w:val="20"/>
                <w:szCs w:val="20"/>
                <w:lang w:eastAsia="sk-SK"/>
              </w:rPr>
              <w:t>165 528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932F5" w:rsidRPr="003C289B" w:rsidRDefault="000932F5" w:rsidP="000932F5">
            <w:pPr>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932F5" w:rsidRPr="003C289B" w:rsidRDefault="000932F5" w:rsidP="000932F5">
            <w:pPr>
              <w:spacing w:after="0" w:line="240" w:lineRule="auto"/>
              <w:jc w:val="center"/>
              <w:rPr>
                <w:rFonts w:ascii="Times New Roman" w:hAnsi="Times New Roman"/>
                <w:b/>
                <w:bCs/>
                <w:sz w:val="20"/>
                <w:szCs w:val="20"/>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932F5" w:rsidRPr="003C289B" w:rsidRDefault="000932F5" w:rsidP="000932F5">
            <w:pPr>
              <w:spacing w:after="0" w:line="240" w:lineRule="auto"/>
              <w:jc w:val="center"/>
              <w:rPr>
                <w:rFonts w:ascii="Times New Roman" w:hAnsi="Times New Roman"/>
                <w:b/>
                <w:bCs/>
                <w:sz w:val="24"/>
                <w:szCs w:val="24"/>
                <w:lang w:eastAsia="sk-SK"/>
              </w:rPr>
            </w:pP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932F5" w:rsidRPr="003C289B" w:rsidRDefault="000932F5" w:rsidP="000932F5">
            <w:pPr>
              <w:spacing w:after="0" w:line="240" w:lineRule="auto"/>
              <w:rPr>
                <w:rFonts w:ascii="Times New Roman" w:hAnsi="Times New Roman"/>
                <w:sz w:val="24"/>
                <w:szCs w:val="24"/>
                <w:lang w:eastAsia="sk-SK"/>
              </w:rPr>
            </w:pPr>
            <w:r w:rsidRPr="003C289B">
              <w:rPr>
                <w:rFonts w:ascii="Times New Roman" w:hAnsi="Times New Roman"/>
                <w:sz w:val="24"/>
                <w:szCs w:val="24"/>
                <w:lang w:eastAsia="sk-SK"/>
              </w:rPr>
              <w:t> </w:t>
            </w:r>
          </w:p>
        </w:tc>
      </w:tr>
    </w:tbl>
    <w:p w:rsidR="007D5748" w:rsidRPr="003C289B" w:rsidRDefault="007D5748" w:rsidP="007D5748">
      <w:pPr>
        <w:tabs>
          <w:tab w:val="num" w:pos="1080"/>
        </w:tabs>
        <w:spacing w:after="0" w:line="240" w:lineRule="auto"/>
        <w:ind w:left="-900"/>
        <w:jc w:val="both"/>
        <w:rPr>
          <w:rFonts w:ascii="Times New Roman" w:hAnsi="Times New Roman"/>
          <w:bCs/>
          <w:sz w:val="20"/>
          <w:szCs w:val="20"/>
          <w:lang w:eastAsia="sk-SK"/>
        </w:rPr>
      </w:pPr>
      <w:r w:rsidRPr="003C289B">
        <w:rPr>
          <w:rFonts w:ascii="Times New Roman" w:hAnsi="Times New Roman"/>
          <w:bCs/>
          <w:sz w:val="20"/>
          <w:szCs w:val="20"/>
          <w:lang w:eastAsia="sk-SK"/>
        </w:rPr>
        <w:t>2 –  výdavky rozpísať až do položiek platnej ekonomickej klasifikácie</w:t>
      </w:r>
    </w:p>
    <w:p w:rsidR="007D5748" w:rsidRPr="003C289B" w:rsidRDefault="007D5748" w:rsidP="007D5748">
      <w:pPr>
        <w:tabs>
          <w:tab w:val="num" w:pos="1080"/>
        </w:tabs>
        <w:spacing w:after="0" w:line="240" w:lineRule="auto"/>
        <w:ind w:left="-900"/>
        <w:jc w:val="both"/>
        <w:rPr>
          <w:rFonts w:ascii="Times New Roman" w:hAnsi="Times New Roman"/>
          <w:bCs/>
          <w:sz w:val="24"/>
          <w:szCs w:val="20"/>
          <w:lang w:eastAsia="sk-SK"/>
        </w:rPr>
      </w:pPr>
    </w:p>
    <w:p w:rsidR="007D5748" w:rsidRPr="003C289B" w:rsidRDefault="007D5748" w:rsidP="007D5748">
      <w:pPr>
        <w:tabs>
          <w:tab w:val="num" w:pos="1080"/>
        </w:tabs>
        <w:spacing w:after="0" w:line="240" w:lineRule="auto"/>
        <w:ind w:left="-900"/>
        <w:jc w:val="both"/>
        <w:rPr>
          <w:rFonts w:ascii="Times New Roman" w:hAnsi="Times New Roman"/>
          <w:b/>
          <w:bCs/>
          <w:sz w:val="20"/>
          <w:szCs w:val="20"/>
          <w:lang w:eastAsia="sk-SK"/>
        </w:rPr>
      </w:pPr>
      <w:r w:rsidRPr="003C289B">
        <w:rPr>
          <w:rFonts w:ascii="Times New Roman" w:hAnsi="Times New Roman"/>
          <w:b/>
          <w:bCs/>
          <w:sz w:val="24"/>
          <w:szCs w:val="20"/>
          <w:lang w:eastAsia="sk-SK"/>
        </w:rPr>
        <w:t>Poznámka:</w:t>
      </w:r>
    </w:p>
    <w:p w:rsidR="007D5748" w:rsidRPr="003C289B" w:rsidRDefault="007D5748" w:rsidP="007D5748">
      <w:pPr>
        <w:tabs>
          <w:tab w:val="num" w:pos="1080"/>
        </w:tabs>
        <w:spacing w:after="0" w:line="240" w:lineRule="auto"/>
        <w:ind w:left="-900"/>
        <w:jc w:val="both"/>
        <w:rPr>
          <w:rFonts w:ascii="Times New Roman" w:hAnsi="Times New Roman"/>
          <w:bCs/>
          <w:sz w:val="20"/>
          <w:szCs w:val="20"/>
          <w:lang w:eastAsia="sk-SK"/>
        </w:rPr>
      </w:pPr>
      <w:r w:rsidRPr="003C289B">
        <w:rPr>
          <w:rFonts w:ascii="Times New Roman" w:hAnsi="Times New Roman"/>
          <w:bCs/>
          <w:sz w:val="24"/>
          <w:szCs w:val="20"/>
          <w:lang w:eastAsia="sk-SK"/>
        </w:rPr>
        <w:t>Ak sa vplyv týka viacerých subjektov verejnej správy, vypĺňa sa samostatná tabuľka za každý subjekt.</w:t>
      </w:r>
    </w:p>
    <w:p w:rsidR="007D5748" w:rsidRPr="003C289B"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3C289B"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3C289B" w:rsidRDefault="007D5748" w:rsidP="007D5748">
      <w:pPr>
        <w:tabs>
          <w:tab w:val="num" w:pos="1080"/>
        </w:tabs>
        <w:spacing w:after="0" w:line="240" w:lineRule="auto"/>
        <w:ind w:left="-900"/>
        <w:jc w:val="both"/>
        <w:rPr>
          <w:rFonts w:ascii="Times New Roman" w:hAnsi="Times New Roman"/>
          <w:bCs/>
          <w:sz w:val="20"/>
          <w:szCs w:val="20"/>
          <w:lang w:eastAsia="sk-SK"/>
        </w:rPr>
      </w:pPr>
    </w:p>
    <w:p w:rsidR="007D5748" w:rsidRPr="003C289B" w:rsidRDefault="007D5748" w:rsidP="007D5748">
      <w:pPr>
        <w:tabs>
          <w:tab w:val="num" w:pos="1080"/>
        </w:tabs>
        <w:spacing w:after="0" w:line="240" w:lineRule="auto"/>
        <w:ind w:left="-900"/>
        <w:jc w:val="both"/>
        <w:rPr>
          <w:rFonts w:ascii="Times New Roman" w:hAnsi="Times New Roman"/>
          <w:bCs/>
          <w:sz w:val="20"/>
          <w:szCs w:val="20"/>
          <w:lang w:eastAsia="sk-SK"/>
        </w:rPr>
      </w:pPr>
    </w:p>
    <w:sectPr w:rsidR="007D5748" w:rsidRPr="003C289B" w:rsidSect="0016433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7C" w:rsidRDefault="00BD607C">
      <w:pPr>
        <w:spacing w:after="0" w:line="240" w:lineRule="auto"/>
      </w:pPr>
      <w:r>
        <w:separator/>
      </w:r>
    </w:p>
  </w:endnote>
  <w:endnote w:type="continuationSeparator" w:id="0">
    <w:p w:rsidR="00BD607C" w:rsidRDefault="00BD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rinda">
    <w:altName w:val="Gadugi"/>
    <w:panose1 w:val="020B0502040204020203"/>
    <w:charset w:val="00"/>
    <w:family w:val="swiss"/>
    <w:pitch w:val="variable"/>
    <w:sig w:usb0="00010003" w:usb1="00000000" w:usb2="00000000" w:usb3="00000000" w:csb0="00000001" w:csb1="00000000"/>
  </w:font>
  <w:font w:name="Arial">
    <w:altName w:val="Times New Roman"/>
    <w:panose1 w:val="020B0604020202020204"/>
    <w:charset w:val="EE"/>
    <w:family w:val="swiss"/>
    <w:pitch w:val="variable"/>
    <w:sig w:usb0="E0002AFF" w:usb1="C0007843"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48" w:rsidRDefault="007D574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D5748" w:rsidRDefault="007D574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48" w:rsidRDefault="007D5748">
    <w:pPr>
      <w:pStyle w:val="Pta"/>
      <w:jc w:val="right"/>
    </w:pPr>
    <w:r>
      <w:fldChar w:fldCharType="begin"/>
    </w:r>
    <w:r>
      <w:instrText>PAGE   \* MERGEFORMAT</w:instrText>
    </w:r>
    <w:r>
      <w:fldChar w:fldCharType="separate"/>
    </w:r>
    <w:r w:rsidR="00E10664">
      <w:rPr>
        <w:noProof/>
      </w:rPr>
      <w:t>2</w:t>
    </w:r>
    <w:r>
      <w:fldChar w:fldCharType="end"/>
    </w:r>
  </w:p>
  <w:p w:rsidR="007D5748" w:rsidRDefault="007D5748">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48" w:rsidRDefault="007D5748">
    <w:pPr>
      <w:pStyle w:val="Pta"/>
      <w:jc w:val="right"/>
    </w:pPr>
    <w:r>
      <w:fldChar w:fldCharType="begin"/>
    </w:r>
    <w:r>
      <w:instrText>PAGE   \* MERGEFORMAT</w:instrText>
    </w:r>
    <w:r>
      <w:fldChar w:fldCharType="separate"/>
    </w:r>
    <w:r>
      <w:rPr>
        <w:noProof/>
      </w:rPr>
      <w:t>0</w:t>
    </w:r>
    <w:r>
      <w:fldChar w:fldCharType="end"/>
    </w:r>
  </w:p>
  <w:p w:rsidR="007D5748" w:rsidRDefault="007D574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7C" w:rsidRDefault="00BD607C">
      <w:pPr>
        <w:spacing w:after="0" w:line="240" w:lineRule="auto"/>
      </w:pPr>
      <w:r>
        <w:separator/>
      </w:r>
    </w:p>
  </w:footnote>
  <w:footnote w:type="continuationSeparator" w:id="0">
    <w:p w:rsidR="00BD607C" w:rsidRDefault="00BD6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48" w:rsidRDefault="007D5748" w:rsidP="00EB59C8">
    <w:pPr>
      <w:pStyle w:val="Hlavika"/>
      <w:jc w:val="right"/>
      <w:rPr>
        <w:sz w:val="24"/>
        <w:szCs w:val="24"/>
      </w:rPr>
    </w:pPr>
    <w:r>
      <w:rPr>
        <w:sz w:val="24"/>
        <w:szCs w:val="24"/>
      </w:rPr>
      <w:t>Príloha č. 2</w:t>
    </w:r>
  </w:p>
  <w:p w:rsidR="007D5748" w:rsidRPr="00EB59C8" w:rsidRDefault="007D5748" w:rsidP="00EB59C8">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48" w:rsidRPr="000A15AE" w:rsidRDefault="007D5748" w:rsidP="000A15A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5C32B79"/>
    <w:multiLevelType w:val="hybridMultilevel"/>
    <w:tmpl w:val="EA1CC516"/>
    <w:lvl w:ilvl="0" w:tplc="4EA685C2">
      <w:start w:val="1"/>
      <w:numFmt w:val="decimal"/>
      <w:lvlText w:val="(%1)"/>
      <w:lvlJc w:val="left"/>
      <w:pPr>
        <w:ind w:left="1050" w:hanging="360"/>
      </w:pPr>
      <w:rPr>
        <w:rFonts w:cs="Times New Roman" w:hint="default"/>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2" w15:restartNumberingAfterBreak="0">
    <w:nsid w:val="0B562028"/>
    <w:multiLevelType w:val="hybridMultilevel"/>
    <w:tmpl w:val="B3FA1F1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DF61D3"/>
    <w:multiLevelType w:val="hybridMultilevel"/>
    <w:tmpl w:val="AFCCC618"/>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C5582"/>
    <w:multiLevelType w:val="hybridMultilevel"/>
    <w:tmpl w:val="8E387646"/>
    <w:lvl w:ilvl="0" w:tplc="1EF4D4EA">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FD8091F"/>
    <w:multiLevelType w:val="hybridMultilevel"/>
    <w:tmpl w:val="2FECB8C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FB55BA8"/>
    <w:multiLevelType w:val="hybridMultilevel"/>
    <w:tmpl w:val="FEF82B9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70DC7C8E"/>
    <w:multiLevelType w:val="hybridMultilevel"/>
    <w:tmpl w:val="A14ECBF8"/>
    <w:lvl w:ilvl="0" w:tplc="48F406FE">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ED767A"/>
    <w:multiLevelType w:val="hybridMultilevel"/>
    <w:tmpl w:val="D48C767E"/>
    <w:lvl w:ilvl="0" w:tplc="BD0E3976">
      <w:start w:val="1"/>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4"/>
  </w:num>
  <w:num w:numId="2">
    <w:abstractNumId w:val="6"/>
  </w:num>
  <w:num w:numId="3">
    <w:abstractNumId w:val="3"/>
  </w:num>
  <w:num w:numId="4">
    <w:abstractNumId w:val="5"/>
  </w:num>
  <w:num w:numId="5">
    <w:abstractNumId w:val="13"/>
  </w:num>
  <w:num w:numId="6">
    <w:abstractNumId w:val="0"/>
  </w:num>
  <w:num w:numId="7">
    <w:abstractNumId w:val="2"/>
  </w:num>
  <w:num w:numId="8">
    <w:abstractNumId w:val="11"/>
  </w:num>
  <w:num w:numId="9">
    <w:abstractNumId w:val="8"/>
  </w:num>
  <w:num w:numId="10">
    <w:abstractNumId w:val="7"/>
  </w:num>
  <w:num w:numId="11">
    <w:abstractNumId w:val="1"/>
  </w:num>
  <w:num w:numId="12">
    <w:abstractNumId w:val="10"/>
  </w:num>
  <w:num w:numId="13">
    <w:abstractNumId w:val="9"/>
  </w:num>
  <w:num w:numId="14">
    <w:abstractNumId w:val="12"/>
  </w:num>
  <w:num w:numId="1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EC"/>
    <w:rsid w:val="00013C48"/>
    <w:rsid w:val="00020172"/>
    <w:rsid w:val="00035EB6"/>
    <w:rsid w:val="00055FDB"/>
    <w:rsid w:val="00057135"/>
    <w:rsid w:val="0006010E"/>
    <w:rsid w:val="000932F5"/>
    <w:rsid w:val="000A15AE"/>
    <w:rsid w:val="000A3DE2"/>
    <w:rsid w:val="000A52A1"/>
    <w:rsid w:val="000C7A77"/>
    <w:rsid w:val="000D2846"/>
    <w:rsid w:val="000E4C2B"/>
    <w:rsid w:val="00103747"/>
    <w:rsid w:val="00104A3D"/>
    <w:rsid w:val="00111A01"/>
    <w:rsid w:val="001127A8"/>
    <w:rsid w:val="00117B0F"/>
    <w:rsid w:val="00120BBA"/>
    <w:rsid w:val="00122E6C"/>
    <w:rsid w:val="00123E26"/>
    <w:rsid w:val="0012741B"/>
    <w:rsid w:val="00132FC0"/>
    <w:rsid w:val="00144A11"/>
    <w:rsid w:val="00151EA9"/>
    <w:rsid w:val="00157A54"/>
    <w:rsid w:val="00164337"/>
    <w:rsid w:val="00165233"/>
    <w:rsid w:val="00165BB0"/>
    <w:rsid w:val="00170D2B"/>
    <w:rsid w:val="00170DE4"/>
    <w:rsid w:val="00186A66"/>
    <w:rsid w:val="00186E74"/>
    <w:rsid w:val="0019163D"/>
    <w:rsid w:val="001953A3"/>
    <w:rsid w:val="00195E98"/>
    <w:rsid w:val="00195F78"/>
    <w:rsid w:val="001A7225"/>
    <w:rsid w:val="001B6627"/>
    <w:rsid w:val="001B737C"/>
    <w:rsid w:val="001C1544"/>
    <w:rsid w:val="001C46C1"/>
    <w:rsid w:val="001E3C51"/>
    <w:rsid w:val="001E438B"/>
    <w:rsid w:val="001F5765"/>
    <w:rsid w:val="001F7000"/>
    <w:rsid w:val="002007C4"/>
    <w:rsid w:val="00200898"/>
    <w:rsid w:val="00202D99"/>
    <w:rsid w:val="00212894"/>
    <w:rsid w:val="00220C47"/>
    <w:rsid w:val="00225A70"/>
    <w:rsid w:val="00227FF6"/>
    <w:rsid w:val="0024067A"/>
    <w:rsid w:val="00245D5F"/>
    <w:rsid w:val="002536FD"/>
    <w:rsid w:val="002657C2"/>
    <w:rsid w:val="002757AB"/>
    <w:rsid w:val="00286491"/>
    <w:rsid w:val="00286CA5"/>
    <w:rsid w:val="00294307"/>
    <w:rsid w:val="002A64FE"/>
    <w:rsid w:val="002B6ACE"/>
    <w:rsid w:val="002B79CE"/>
    <w:rsid w:val="002C4A6F"/>
    <w:rsid w:val="002F69FD"/>
    <w:rsid w:val="002F6D2A"/>
    <w:rsid w:val="00317B90"/>
    <w:rsid w:val="00327D9F"/>
    <w:rsid w:val="00334207"/>
    <w:rsid w:val="00334CEB"/>
    <w:rsid w:val="003426BD"/>
    <w:rsid w:val="00361970"/>
    <w:rsid w:val="0036251B"/>
    <w:rsid w:val="0037366A"/>
    <w:rsid w:val="00384E06"/>
    <w:rsid w:val="00392789"/>
    <w:rsid w:val="003C0D6D"/>
    <w:rsid w:val="003C289B"/>
    <w:rsid w:val="003C32CB"/>
    <w:rsid w:val="003C4CA2"/>
    <w:rsid w:val="003C54A1"/>
    <w:rsid w:val="003D56F5"/>
    <w:rsid w:val="003D78D7"/>
    <w:rsid w:val="003E740E"/>
    <w:rsid w:val="003F193D"/>
    <w:rsid w:val="00404703"/>
    <w:rsid w:val="004054E2"/>
    <w:rsid w:val="0041049A"/>
    <w:rsid w:val="00410B0A"/>
    <w:rsid w:val="0042700D"/>
    <w:rsid w:val="00427AB0"/>
    <w:rsid w:val="00434E7C"/>
    <w:rsid w:val="004406AC"/>
    <w:rsid w:val="0044169C"/>
    <w:rsid w:val="004504F1"/>
    <w:rsid w:val="00450A9C"/>
    <w:rsid w:val="00453013"/>
    <w:rsid w:val="00487203"/>
    <w:rsid w:val="00496B1A"/>
    <w:rsid w:val="004A4524"/>
    <w:rsid w:val="004B7DFC"/>
    <w:rsid w:val="004C263E"/>
    <w:rsid w:val="004C37C5"/>
    <w:rsid w:val="004C76B7"/>
    <w:rsid w:val="005005EC"/>
    <w:rsid w:val="00512687"/>
    <w:rsid w:val="00515511"/>
    <w:rsid w:val="005333BC"/>
    <w:rsid w:val="00544581"/>
    <w:rsid w:val="005724B9"/>
    <w:rsid w:val="00575777"/>
    <w:rsid w:val="005A4A85"/>
    <w:rsid w:val="005D0D02"/>
    <w:rsid w:val="005D3FB1"/>
    <w:rsid w:val="006109A7"/>
    <w:rsid w:val="00621B54"/>
    <w:rsid w:val="00673DA0"/>
    <w:rsid w:val="0069726B"/>
    <w:rsid w:val="006B449A"/>
    <w:rsid w:val="006C4E67"/>
    <w:rsid w:val="006C5E95"/>
    <w:rsid w:val="006D594B"/>
    <w:rsid w:val="006E561E"/>
    <w:rsid w:val="006E7E04"/>
    <w:rsid w:val="006F7DC7"/>
    <w:rsid w:val="00703CD9"/>
    <w:rsid w:val="00705DC0"/>
    <w:rsid w:val="007156FF"/>
    <w:rsid w:val="007246BD"/>
    <w:rsid w:val="00725EAF"/>
    <w:rsid w:val="00732337"/>
    <w:rsid w:val="0073565D"/>
    <w:rsid w:val="007449CF"/>
    <w:rsid w:val="00763513"/>
    <w:rsid w:val="00796471"/>
    <w:rsid w:val="007A0093"/>
    <w:rsid w:val="007B71A4"/>
    <w:rsid w:val="007D5748"/>
    <w:rsid w:val="007E23A5"/>
    <w:rsid w:val="007E4DEA"/>
    <w:rsid w:val="007F3AD9"/>
    <w:rsid w:val="007F70F8"/>
    <w:rsid w:val="0081399F"/>
    <w:rsid w:val="00846903"/>
    <w:rsid w:val="00846A61"/>
    <w:rsid w:val="00846C92"/>
    <w:rsid w:val="00847AAE"/>
    <w:rsid w:val="00892B48"/>
    <w:rsid w:val="00892CA4"/>
    <w:rsid w:val="00892E8E"/>
    <w:rsid w:val="00895DF3"/>
    <w:rsid w:val="008A39E5"/>
    <w:rsid w:val="008B3DED"/>
    <w:rsid w:val="008C6E6D"/>
    <w:rsid w:val="008D06F2"/>
    <w:rsid w:val="008D339D"/>
    <w:rsid w:val="008D4951"/>
    <w:rsid w:val="008E2736"/>
    <w:rsid w:val="008F375D"/>
    <w:rsid w:val="00900D22"/>
    <w:rsid w:val="00912A61"/>
    <w:rsid w:val="00924991"/>
    <w:rsid w:val="00932CF3"/>
    <w:rsid w:val="00935154"/>
    <w:rsid w:val="00935E92"/>
    <w:rsid w:val="0095184B"/>
    <w:rsid w:val="009548FF"/>
    <w:rsid w:val="00955965"/>
    <w:rsid w:val="00955F3E"/>
    <w:rsid w:val="00963CF2"/>
    <w:rsid w:val="00965EEA"/>
    <w:rsid w:val="009706B7"/>
    <w:rsid w:val="0098339F"/>
    <w:rsid w:val="00994D8D"/>
    <w:rsid w:val="009A30EB"/>
    <w:rsid w:val="009A4F10"/>
    <w:rsid w:val="009B0F8E"/>
    <w:rsid w:val="009B447B"/>
    <w:rsid w:val="009B484B"/>
    <w:rsid w:val="009C2C34"/>
    <w:rsid w:val="009D23E2"/>
    <w:rsid w:val="009D5E09"/>
    <w:rsid w:val="009E1EE9"/>
    <w:rsid w:val="009F60C3"/>
    <w:rsid w:val="009F75F0"/>
    <w:rsid w:val="00A2233B"/>
    <w:rsid w:val="00A23B46"/>
    <w:rsid w:val="00A24925"/>
    <w:rsid w:val="00A41559"/>
    <w:rsid w:val="00A4285A"/>
    <w:rsid w:val="00A64B01"/>
    <w:rsid w:val="00A740AF"/>
    <w:rsid w:val="00A81EE4"/>
    <w:rsid w:val="00A916DD"/>
    <w:rsid w:val="00AA0FB0"/>
    <w:rsid w:val="00AA6FC3"/>
    <w:rsid w:val="00AB4A24"/>
    <w:rsid w:val="00AB4C37"/>
    <w:rsid w:val="00AC1F90"/>
    <w:rsid w:val="00AC7621"/>
    <w:rsid w:val="00AD01F3"/>
    <w:rsid w:val="00AE3DF5"/>
    <w:rsid w:val="00AF0267"/>
    <w:rsid w:val="00AF0D32"/>
    <w:rsid w:val="00AF438D"/>
    <w:rsid w:val="00AF626E"/>
    <w:rsid w:val="00B5535C"/>
    <w:rsid w:val="00B60A7B"/>
    <w:rsid w:val="00B64C93"/>
    <w:rsid w:val="00B71481"/>
    <w:rsid w:val="00B74543"/>
    <w:rsid w:val="00B76289"/>
    <w:rsid w:val="00B97276"/>
    <w:rsid w:val="00BA5E00"/>
    <w:rsid w:val="00BC2D70"/>
    <w:rsid w:val="00BD0674"/>
    <w:rsid w:val="00BD4298"/>
    <w:rsid w:val="00BD607C"/>
    <w:rsid w:val="00BF5020"/>
    <w:rsid w:val="00BF60B2"/>
    <w:rsid w:val="00C072B0"/>
    <w:rsid w:val="00C119C5"/>
    <w:rsid w:val="00C13F01"/>
    <w:rsid w:val="00C15212"/>
    <w:rsid w:val="00C17238"/>
    <w:rsid w:val="00C1799A"/>
    <w:rsid w:val="00C2757C"/>
    <w:rsid w:val="00C34317"/>
    <w:rsid w:val="00C378B1"/>
    <w:rsid w:val="00C51FD4"/>
    <w:rsid w:val="00C669EA"/>
    <w:rsid w:val="00C70B08"/>
    <w:rsid w:val="00C90F49"/>
    <w:rsid w:val="00CA50D6"/>
    <w:rsid w:val="00CB3623"/>
    <w:rsid w:val="00CD05E8"/>
    <w:rsid w:val="00CD1E41"/>
    <w:rsid w:val="00CD4432"/>
    <w:rsid w:val="00CE09FB"/>
    <w:rsid w:val="00CE299A"/>
    <w:rsid w:val="00CE3322"/>
    <w:rsid w:val="00CF6AA2"/>
    <w:rsid w:val="00D04FCC"/>
    <w:rsid w:val="00D07AEE"/>
    <w:rsid w:val="00D101C0"/>
    <w:rsid w:val="00D2715D"/>
    <w:rsid w:val="00D44C08"/>
    <w:rsid w:val="00D56B63"/>
    <w:rsid w:val="00D57A01"/>
    <w:rsid w:val="00D61FD3"/>
    <w:rsid w:val="00D71C83"/>
    <w:rsid w:val="00D828CF"/>
    <w:rsid w:val="00D8556F"/>
    <w:rsid w:val="00D86BDA"/>
    <w:rsid w:val="00D957FB"/>
    <w:rsid w:val="00DB08DF"/>
    <w:rsid w:val="00DC042E"/>
    <w:rsid w:val="00DC6952"/>
    <w:rsid w:val="00DE5BF1"/>
    <w:rsid w:val="00E07CE9"/>
    <w:rsid w:val="00E10664"/>
    <w:rsid w:val="00E13FF8"/>
    <w:rsid w:val="00E1514B"/>
    <w:rsid w:val="00E30315"/>
    <w:rsid w:val="00E314B9"/>
    <w:rsid w:val="00E34448"/>
    <w:rsid w:val="00E3607C"/>
    <w:rsid w:val="00E55BCB"/>
    <w:rsid w:val="00E63C3B"/>
    <w:rsid w:val="00E752E5"/>
    <w:rsid w:val="00E77E1D"/>
    <w:rsid w:val="00E83B8B"/>
    <w:rsid w:val="00E94A7C"/>
    <w:rsid w:val="00E963A3"/>
    <w:rsid w:val="00EA1976"/>
    <w:rsid w:val="00EA1E90"/>
    <w:rsid w:val="00EA7EEF"/>
    <w:rsid w:val="00EB42B5"/>
    <w:rsid w:val="00EB59C8"/>
    <w:rsid w:val="00EB6516"/>
    <w:rsid w:val="00EB79ED"/>
    <w:rsid w:val="00ED2374"/>
    <w:rsid w:val="00ED55B0"/>
    <w:rsid w:val="00EF3080"/>
    <w:rsid w:val="00EF6661"/>
    <w:rsid w:val="00F0048A"/>
    <w:rsid w:val="00F07DDF"/>
    <w:rsid w:val="00F1007E"/>
    <w:rsid w:val="00F40136"/>
    <w:rsid w:val="00F4653D"/>
    <w:rsid w:val="00F50CFA"/>
    <w:rsid w:val="00F53783"/>
    <w:rsid w:val="00F623AA"/>
    <w:rsid w:val="00F669A1"/>
    <w:rsid w:val="00F764B4"/>
    <w:rsid w:val="00F76F3D"/>
    <w:rsid w:val="00F80140"/>
    <w:rsid w:val="00F82F67"/>
    <w:rsid w:val="00FA4569"/>
    <w:rsid w:val="00FD389E"/>
    <w:rsid w:val="00FE010A"/>
    <w:rsid w:val="00FE0B99"/>
    <w:rsid w:val="00FE51FD"/>
    <w:rsid w:val="00FF362A"/>
    <w:rsid w:val="00FF4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7371AE-1AF1-4060-9EB7-223E4B9A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paragraph" w:styleId="Nadpis1">
    <w:name w:val="heading 1"/>
    <w:basedOn w:val="Normlny"/>
    <w:next w:val="Normlny"/>
    <w:link w:val="Nadpis1Char"/>
    <w:uiPriority w:val="9"/>
    <w:qFormat/>
    <w:rsid w:val="003C289B"/>
    <w:pPr>
      <w:numPr>
        <w:numId w:val="6"/>
      </w:numPr>
      <w:overflowPunct w:val="0"/>
      <w:autoSpaceDE w:val="0"/>
      <w:autoSpaceDN w:val="0"/>
      <w:adjustRightInd w:val="0"/>
      <w:spacing w:after="0" w:line="288" w:lineRule="auto"/>
      <w:jc w:val="both"/>
      <w:textAlignment w:val="baseline"/>
      <w:outlineLvl w:val="0"/>
    </w:pPr>
    <w:rPr>
      <w:rFonts w:ascii="Times New Roman" w:hAnsi="Times New Roman"/>
      <w:kern w:val="28"/>
      <w:lang w:val="nl-BE" w:eastAsia="sk-SK"/>
    </w:rPr>
  </w:style>
  <w:style w:type="paragraph" w:styleId="Nadpis2">
    <w:name w:val="heading 2"/>
    <w:basedOn w:val="Normlny"/>
    <w:next w:val="Normlny"/>
    <w:link w:val="Nadpis2Char"/>
    <w:uiPriority w:val="9"/>
    <w:qFormat/>
    <w:rsid w:val="003C289B"/>
    <w:pPr>
      <w:numPr>
        <w:ilvl w:val="1"/>
        <w:numId w:val="6"/>
      </w:numPr>
      <w:overflowPunct w:val="0"/>
      <w:autoSpaceDE w:val="0"/>
      <w:autoSpaceDN w:val="0"/>
      <w:adjustRightInd w:val="0"/>
      <w:spacing w:after="0" w:line="288" w:lineRule="auto"/>
      <w:jc w:val="both"/>
      <w:textAlignment w:val="baseline"/>
      <w:outlineLvl w:val="1"/>
    </w:pPr>
    <w:rPr>
      <w:rFonts w:ascii="Times New Roman" w:hAnsi="Times New Roman"/>
      <w:lang w:val="nl-BE" w:eastAsia="sk-SK"/>
    </w:rPr>
  </w:style>
  <w:style w:type="paragraph" w:styleId="Nadpis3">
    <w:name w:val="heading 3"/>
    <w:basedOn w:val="Normlny"/>
    <w:next w:val="Normlny"/>
    <w:link w:val="Nadpis3Char"/>
    <w:uiPriority w:val="9"/>
    <w:qFormat/>
    <w:rsid w:val="003C289B"/>
    <w:pPr>
      <w:numPr>
        <w:ilvl w:val="2"/>
        <w:numId w:val="6"/>
      </w:numPr>
      <w:overflowPunct w:val="0"/>
      <w:autoSpaceDE w:val="0"/>
      <w:autoSpaceDN w:val="0"/>
      <w:adjustRightInd w:val="0"/>
      <w:spacing w:after="0" w:line="288" w:lineRule="auto"/>
      <w:jc w:val="both"/>
      <w:textAlignment w:val="baseline"/>
      <w:outlineLvl w:val="2"/>
    </w:pPr>
    <w:rPr>
      <w:rFonts w:ascii="Times New Roman" w:hAnsi="Times New Roman"/>
      <w:lang w:val="nl-BE" w:eastAsia="sk-SK"/>
    </w:rPr>
  </w:style>
  <w:style w:type="paragraph" w:styleId="Nadpis4">
    <w:name w:val="heading 4"/>
    <w:basedOn w:val="Normlny"/>
    <w:next w:val="Normlny"/>
    <w:link w:val="Nadpis4Char"/>
    <w:uiPriority w:val="9"/>
    <w:qFormat/>
    <w:rsid w:val="003C289B"/>
    <w:pPr>
      <w:numPr>
        <w:ilvl w:val="3"/>
        <w:numId w:val="6"/>
      </w:numPr>
      <w:overflowPunct w:val="0"/>
      <w:autoSpaceDE w:val="0"/>
      <w:autoSpaceDN w:val="0"/>
      <w:adjustRightInd w:val="0"/>
      <w:spacing w:after="0" w:line="288" w:lineRule="auto"/>
      <w:jc w:val="both"/>
      <w:textAlignment w:val="baseline"/>
      <w:outlineLvl w:val="3"/>
    </w:pPr>
    <w:rPr>
      <w:rFonts w:ascii="Times New Roman" w:hAnsi="Times New Roman"/>
      <w:lang w:val="nl-BE" w:eastAsia="sk-SK"/>
    </w:rPr>
  </w:style>
  <w:style w:type="paragraph" w:styleId="Nadpis5">
    <w:name w:val="heading 5"/>
    <w:basedOn w:val="Normlny"/>
    <w:next w:val="Normlny"/>
    <w:link w:val="Nadpis5Char"/>
    <w:uiPriority w:val="9"/>
    <w:qFormat/>
    <w:rsid w:val="003C289B"/>
    <w:pPr>
      <w:numPr>
        <w:ilvl w:val="4"/>
        <w:numId w:val="6"/>
      </w:numPr>
      <w:overflowPunct w:val="0"/>
      <w:autoSpaceDE w:val="0"/>
      <w:autoSpaceDN w:val="0"/>
      <w:adjustRightInd w:val="0"/>
      <w:spacing w:after="0" w:line="288" w:lineRule="auto"/>
      <w:jc w:val="both"/>
      <w:textAlignment w:val="baseline"/>
      <w:outlineLvl w:val="4"/>
    </w:pPr>
    <w:rPr>
      <w:rFonts w:ascii="Times New Roman" w:hAnsi="Times New Roman"/>
      <w:lang w:val="nl-BE" w:eastAsia="sk-SK"/>
    </w:rPr>
  </w:style>
  <w:style w:type="paragraph" w:styleId="Nadpis6">
    <w:name w:val="heading 6"/>
    <w:basedOn w:val="Normlny"/>
    <w:next w:val="Normlny"/>
    <w:link w:val="Nadpis6Char"/>
    <w:uiPriority w:val="9"/>
    <w:qFormat/>
    <w:rsid w:val="003C289B"/>
    <w:pPr>
      <w:numPr>
        <w:ilvl w:val="5"/>
        <w:numId w:val="6"/>
      </w:numPr>
      <w:overflowPunct w:val="0"/>
      <w:autoSpaceDE w:val="0"/>
      <w:autoSpaceDN w:val="0"/>
      <w:adjustRightInd w:val="0"/>
      <w:spacing w:after="0" w:line="288" w:lineRule="auto"/>
      <w:jc w:val="both"/>
      <w:textAlignment w:val="baseline"/>
      <w:outlineLvl w:val="5"/>
    </w:pPr>
    <w:rPr>
      <w:rFonts w:ascii="Times New Roman" w:hAnsi="Times New Roman"/>
      <w:lang w:val="nl-BE" w:eastAsia="sk-SK"/>
    </w:rPr>
  </w:style>
  <w:style w:type="paragraph" w:styleId="Nadpis7">
    <w:name w:val="heading 7"/>
    <w:basedOn w:val="Normlny"/>
    <w:next w:val="Normlny"/>
    <w:link w:val="Nadpis7Char"/>
    <w:uiPriority w:val="9"/>
    <w:qFormat/>
    <w:rsid w:val="003C289B"/>
    <w:pPr>
      <w:numPr>
        <w:ilvl w:val="6"/>
        <w:numId w:val="6"/>
      </w:numPr>
      <w:overflowPunct w:val="0"/>
      <w:autoSpaceDE w:val="0"/>
      <w:autoSpaceDN w:val="0"/>
      <w:adjustRightInd w:val="0"/>
      <w:spacing w:after="0" w:line="288" w:lineRule="auto"/>
      <w:jc w:val="both"/>
      <w:textAlignment w:val="baseline"/>
      <w:outlineLvl w:val="6"/>
    </w:pPr>
    <w:rPr>
      <w:rFonts w:ascii="Times New Roman" w:hAnsi="Times New Roman"/>
      <w:lang w:val="nl-BE" w:eastAsia="sk-SK"/>
    </w:rPr>
  </w:style>
  <w:style w:type="paragraph" w:styleId="Nadpis8">
    <w:name w:val="heading 8"/>
    <w:basedOn w:val="Normlny"/>
    <w:next w:val="Normlny"/>
    <w:link w:val="Nadpis8Char"/>
    <w:uiPriority w:val="9"/>
    <w:qFormat/>
    <w:rsid w:val="003C289B"/>
    <w:pPr>
      <w:numPr>
        <w:ilvl w:val="7"/>
        <w:numId w:val="6"/>
      </w:numPr>
      <w:overflowPunct w:val="0"/>
      <w:autoSpaceDE w:val="0"/>
      <w:autoSpaceDN w:val="0"/>
      <w:adjustRightInd w:val="0"/>
      <w:spacing w:after="0" w:line="288" w:lineRule="auto"/>
      <w:jc w:val="both"/>
      <w:textAlignment w:val="baseline"/>
      <w:outlineLvl w:val="7"/>
    </w:pPr>
    <w:rPr>
      <w:rFonts w:ascii="Times New Roman" w:hAnsi="Times New Roman"/>
      <w:lang w:val="nl-BE" w:eastAsia="sk-SK"/>
    </w:rPr>
  </w:style>
  <w:style w:type="paragraph" w:styleId="Nadpis9">
    <w:name w:val="heading 9"/>
    <w:basedOn w:val="Normlny"/>
    <w:next w:val="Normlny"/>
    <w:link w:val="Nadpis9Char"/>
    <w:uiPriority w:val="9"/>
    <w:qFormat/>
    <w:rsid w:val="003C289B"/>
    <w:pPr>
      <w:numPr>
        <w:ilvl w:val="8"/>
        <w:numId w:val="6"/>
      </w:numPr>
      <w:overflowPunct w:val="0"/>
      <w:autoSpaceDE w:val="0"/>
      <w:autoSpaceDN w:val="0"/>
      <w:adjustRightInd w:val="0"/>
      <w:spacing w:after="0" w:line="288" w:lineRule="auto"/>
      <w:jc w:val="both"/>
      <w:textAlignment w:val="baseline"/>
      <w:outlineLvl w:val="8"/>
    </w:pPr>
    <w:rPr>
      <w:rFonts w:ascii="Times New Roman" w:hAnsi="Times New Roman"/>
      <w:lang w:val="nl-BE"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C289B"/>
    <w:rPr>
      <w:rFonts w:ascii="Times New Roman" w:hAnsi="Times New Roman" w:cs="Times New Roman"/>
      <w:kern w:val="28"/>
      <w:lang w:val="nl-BE" w:eastAsia="sk-SK"/>
    </w:rPr>
  </w:style>
  <w:style w:type="character" w:customStyle="1" w:styleId="Nadpis2Char">
    <w:name w:val="Nadpis 2 Char"/>
    <w:basedOn w:val="Predvolenpsmoodseku"/>
    <w:link w:val="Nadpis2"/>
    <w:uiPriority w:val="9"/>
    <w:locked/>
    <w:rsid w:val="003C289B"/>
    <w:rPr>
      <w:rFonts w:ascii="Times New Roman" w:hAnsi="Times New Roman" w:cs="Times New Roman"/>
      <w:lang w:val="nl-BE" w:eastAsia="sk-SK"/>
    </w:rPr>
  </w:style>
  <w:style w:type="character" w:customStyle="1" w:styleId="Nadpis3Char">
    <w:name w:val="Nadpis 3 Char"/>
    <w:basedOn w:val="Predvolenpsmoodseku"/>
    <w:link w:val="Nadpis3"/>
    <w:uiPriority w:val="9"/>
    <w:locked/>
    <w:rsid w:val="003C289B"/>
    <w:rPr>
      <w:rFonts w:ascii="Times New Roman" w:hAnsi="Times New Roman" w:cs="Times New Roman"/>
      <w:lang w:val="nl-BE" w:eastAsia="sk-SK"/>
    </w:rPr>
  </w:style>
  <w:style w:type="character" w:customStyle="1" w:styleId="Nadpis4Char">
    <w:name w:val="Nadpis 4 Char"/>
    <w:basedOn w:val="Predvolenpsmoodseku"/>
    <w:link w:val="Nadpis4"/>
    <w:uiPriority w:val="9"/>
    <w:locked/>
    <w:rsid w:val="003C289B"/>
    <w:rPr>
      <w:rFonts w:ascii="Times New Roman" w:hAnsi="Times New Roman" w:cs="Times New Roman"/>
      <w:lang w:val="nl-BE" w:eastAsia="sk-SK"/>
    </w:rPr>
  </w:style>
  <w:style w:type="character" w:customStyle="1" w:styleId="Nadpis5Char">
    <w:name w:val="Nadpis 5 Char"/>
    <w:basedOn w:val="Predvolenpsmoodseku"/>
    <w:link w:val="Nadpis5"/>
    <w:uiPriority w:val="9"/>
    <w:locked/>
    <w:rsid w:val="003C289B"/>
    <w:rPr>
      <w:rFonts w:ascii="Times New Roman" w:hAnsi="Times New Roman" w:cs="Times New Roman"/>
      <w:lang w:val="nl-BE" w:eastAsia="sk-SK"/>
    </w:rPr>
  </w:style>
  <w:style w:type="character" w:customStyle="1" w:styleId="Nadpis6Char">
    <w:name w:val="Nadpis 6 Char"/>
    <w:basedOn w:val="Predvolenpsmoodseku"/>
    <w:link w:val="Nadpis6"/>
    <w:uiPriority w:val="9"/>
    <w:locked/>
    <w:rsid w:val="003C289B"/>
    <w:rPr>
      <w:rFonts w:ascii="Times New Roman" w:hAnsi="Times New Roman" w:cs="Times New Roman"/>
      <w:lang w:val="nl-BE" w:eastAsia="sk-SK"/>
    </w:rPr>
  </w:style>
  <w:style w:type="character" w:customStyle="1" w:styleId="Nadpis7Char">
    <w:name w:val="Nadpis 7 Char"/>
    <w:basedOn w:val="Predvolenpsmoodseku"/>
    <w:link w:val="Nadpis7"/>
    <w:uiPriority w:val="9"/>
    <w:locked/>
    <w:rsid w:val="003C289B"/>
    <w:rPr>
      <w:rFonts w:ascii="Times New Roman" w:hAnsi="Times New Roman" w:cs="Times New Roman"/>
      <w:lang w:val="nl-BE" w:eastAsia="sk-SK"/>
    </w:rPr>
  </w:style>
  <w:style w:type="character" w:customStyle="1" w:styleId="Nadpis8Char">
    <w:name w:val="Nadpis 8 Char"/>
    <w:basedOn w:val="Predvolenpsmoodseku"/>
    <w:link w:val="Nadpis8"/>
    <w:uiPriority w:val="9"/>
    <w:locked/>
    <w:rsid w:val="003C289B"/>
    <w:rPr>
      <w:rFonts w:ascii="Times New Roman" w:hAnsi="Times New Roman" w:cs="Times New Roman"/>
      <w:lang w:val="nl-BE" w:eastAsia="sk-SK"/>
    </w:rPr>
  </w:style>
  <w:style w:type="character" w:customStyle="1" w:styleId="Nadpis9Char">
    <w:name w:val="Nadpis 9 Char"/>
    <w:basedOn w:val="Predvolenpsmoodseku"/>
    <w:link w:val="Nadpis9"/>
    <w:uiPriority w:val="9"/>
    <w:locked/>
    <w:rsid w:val="003C289B"/>
    <w:rPr>
      <w:rFonts w:ascii="Times New Roman" w:hAnsi="Times New Roman" w:cs="Times New Roman"/>
      <w:lang w:val="nl-BE" w:eastAsia="sk-SK"/>
    </w:rPr>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locked/>
    <w:rsid w:val="007D5748"/>
    <w:rPr>
      <w:rFonts w:ascii="Times New Roman" w:hAnsi="Times New Roman" w:cs="Times New Roman"/>
      <w:sz w:val="20"/>
      <w:szCs w:val="20"/>
      <w:lang w:val="x-none"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hAnsi="Times New Roman"/>
      <w:sz w:val="20"/>
      <w:szCs w:val="20"/>
      <w:lang w:eastAsia="sk-SK"/>
    </w:rPr>
  </w:style>
  <w:style w:type="character" w:customStyle="1" w:styleId="PtaChar">
    <w:name w:val="Päta Char"/>
    <w:basedOn w:val="Predvolenpsmoodseku"/>
    <w:link w:val="Pta"/>
    <w:uiPriority w:val="99"/>
    <w:locked/>
    <w:rsid w:val="007D5748"/>
    <w:rPr>
      <w:rFonts w:ascii="Times New Roman" w:hAnsi="Times New Roman" w:cs="Times New Roman"/>
      <w:sz w:val="20"/>
      <w:szCs w:val="20"/>
      <w:lang w:val="x-none"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17B90"/>
    <w:rPr>
      <w:rFonts w:ascii="Tahoma" w:hAnsi="Tahoma" w:cs="Tahoma"/>
      <w:sz w:val="16"/>
      <w:szCs w:val="16"/>
    </w:rPr>
  </w:style>
  <w:style w:type="table" w:styleId="Mriekatabuky">
    <w:name w:val="Table Grid"/>
    <w:basedOn w:val="Normlnatabuka"/>
    <w:uiPriority w:val="59"/>
    <w:rsid w:val="003C289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3C289B"/>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locked/>
    <w:rsid w:val="003C289B"/>
    <w:rPr>
      <w:rFonts w:ascii="Calibri" w:hAnsi="Calibri" w:cs="Times New Roman"/>
      <w:sz w:val="21"/>
      <w:szCs w:val="21"/>
    </w:rPr>
  </w:style>
  <w:style w:type="paragraph" w:styleId="Odsekzoznamu">
    <w:name w:val="List Paragraph"/>
    <w:basedOn w:val="Normlny"/>
    <w:uiPriority w:val="34"/>
    <w:qFormat/>
    <w:rsid w:val="003C289B"/>
    <w:pPr>
      <w:ind w:left="720"/>
      <w:contextualSpacing/>
    </w:pPr>
  </w:style>
  <w:style w:type="character" w:styleId="Zstupntext">
    <w:name w:val="Placeholder Text"/>
    <w:basedOn w:val="Predvolenpsmoodseku"/>
    <w:uiPriority w:val="99"/>
    <w:semiHidden/>
    <w:rsid w:val="003C289B"/>
    <w:rPr>
      <w:rFonts w:ascii="Times New Roman" w:hAnsi="Times New Roman" w:cs="Times New Roman"/>
      <w:color w:val="808080"/>
    </w:rPr>
  </w:style>
  <w:style w:type="character" w:styleId="Odkaznakomentr">
    <w:name w:val="annotation reference"/>
    <w:basedOn w:val="Predvolenpsmoodseku"/>
    <w:uiPriority w:val="99"/>
    <w:rsid w:val="00A916DD"/>
    <w:rPr>
      <w:rFonts w:cs="Times New Roman"/>
      <w:sz w:val="16"/>
      <w:szCs w:val="16"/>
    </w:rPr>
  </w:style>
  <w:style w:type="paragraph" w:styleId="Textkomentra">
    <w:name w:val="annotation text"/>
    <w:basedOn w:val="Normlny"/>
    <w:link w:val="TextkomentraChar"/>
    <w:uiPriority w:val="99"/>
    <w:rsid w:val="00A916DD"/>
    <w:pPr>
      <w:spacing w:line="240" w:lineRule="auto"/>
    </w:pPr>
    <w:rPr>
      <w:sz w:val="20"/>
      <w:szCs w:val="20"/>
    </w:rPr>
  </w:style>
  <w:style w:type="character" w:customStyle="1" w:styleId="TextkomentraChar">
    <w:name w:val="Text komentára Char"/>
    <w:basedOn w:val="Predvolenpsmoodseku"/>
    <w:link w:val="Textkomentra"/>
    <w:uiPriority w:val="99"/>
    <w:locked/>
    <w:rsid w:val="00A916DD"/>
    <w:rPr>
      <w:rFonts w:cs="Times New Roman"/>
      <w:sz w:val="20"/>
      <w:szCs w:val="20"/>
    </w:rPr>
  </w:style>
  <w:style w:type="paragraph" w:styleId="Predmetkomentra">
    <w:name w:val="annotation subject"/>
    <w:basedOn w:val="Textkomentra"/>
    <w:next w:val="Textkomentra"/>
    <w:link w:val="PredmetkomentraChar"/>
    <w:uiPriority w:val="99"/>
    <w:rsid w:val="00A916DD"/>
    <w:rPr>
      <w:b/>
      <w:bCs/>
    </w:rPr>
  </w:style>
  <w:style w:type="character" w:customStyle="1" w:styleId="PredmetkomentraChar">
    <w:name w:val="Predmet komentára Char"/>
    <w:basedOn w:val="TextkomentraChar"/>
    <w:link w:val="Predmetkomentra"/>
    <w:uiPriority w:val="99"/>
    <w:locked/>
    <w:rsid w:val="00A916D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91475">
      <w:marLeft w:val="0"/>
      <w:marRight w:val="0"/>
      <w:marTop w:val="0"/>
      <w:marBottom w:val="0"/>
      <w:divBdr>
        <w:top w:val="none" w:sz="0" w:space="0" w:color="auto"/>
        <w:left w:val="none" w:sz="0" w:space="0" w:color="auto"/>
        <w:bottom w:val="none" w:sz="0" w:space="0" w:color="auto"/>
        <w:right w:val="none" w:sz="0" w:space="0" w:color="auto"/>
      </w:divBdr>
    </w:div>
    <w:div w:id="773591476">
      <w:marLeft w:val="0"/>
      <w:marRight w:val="0"/>
      <w:marTop w:val="0"/>
      <w:marBottom w:val="0"/>
      <w:divBdr>
        <w:top w:val="none" w:sz="0" w:space="0" w:color="auto"/>
        <w:left w:val="none" w:sz="0" w:space="0" w:color="auto"/>
        <w:bottom w:val="none" w:sz="0" w:space="0" w:color="auto"/>
        <w:right w:val="none" w:sz="0" w:space="0" w:color="auto"/>
      </w:divBdr>
    </w:div>
    <w:div w:id="773591477">
      <w:marLeft w:val="0"/>
      <w:marRight w:val="0"/>
      <w:marTop w:val="0"/>
      <w:marBottom w:val="0"/>
      <w:divBdr>
        <w:top w:val="none" w:sz="0" w:space="0" w:color="auto"/>
        <w:left w:val="none" w:sz="0" w:space="0" w:color="auto"/>
        <w:bottom w:val="none" w:sz="0" w:space="0" w:color="auto"/>
        <w:right w:val="none" w:sz="0" w:space="0" w:color="auto"/>
      </w:divBdr>
    </w:div>
    <w:div w:id="773591478">
      <w:marLeft w:val="0"/>
      <w:marRight w:val="0"/>
      <w:marTop w:val="0"/>
      <w:marBottom w:val="0"/>
      <w:divBdr>
        <w:top w:val="none" w:sz="0" w:space="0" w:color="auto"/>
        <w:left w:val="none" w:sz="0" w:space="0" w:color="auto"/>
        <w:bottom w:val="none" w:sz="0" w:space="0" w:color="auto"/>
        <w:right w:val="none" w:sz="0" w:space="0" w:color="auto"/>
      </w:divBdr>
    </w:div>
    <w:div w:id="773591479">
      <w:marLeft w:val="0"/>
      <w:marRight w:val="0"/>
      <w:marTop w:val="0"/>
      <w:marBottom w:val="0"/>
      <w:divBdr>
        <w:top w:val="none" w:sz="0" w:space="0" w:color="auto"/>
        <w:left w:val="none" w:sz="0" w:space="0" w:color="auto"/>
        <w:bottom w:val="none" w:sz="0" w:space="0" w:color="auto"/>
        <w:right w:val="none" w:sz="0" w:space="0" w:color="auto"/>
      </w:divBdr>
    </w:div>
    <w:div w:id="773591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3.xml><?xml version="1.0" encoding="utf-8"?>
<ds:datastoreItem xmlns:ds="http://schemas.openxmlformats.org/officeDocument/2006/customXml" ds:itemID="{9FCEDEA3-170C-4299-A7C6-BD1D3DC9EF0C}">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7318044-782B-41AB-B8B3-50E6B6DE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4516</Words>
  <Characters>25744</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30200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Simoncicova Iveta</dc:creator>
  <cp:keywords/>
  <dc:description/>
  <cp:lastModifiedBy>Juskova Martina</cp:lastModifiedBy>
  <cp:revision>2</cp:revision>
  <cp:lastPrinted>2019-08-01T10:22:00Z</cp:lastPrinted>
  <dcterms:created xsi:type="dcterms:W3CDTF">2019-08-01T13:39:00Z</dcterms:created>
  <dcterms:modified xsi:type="dcterms:W3CDTF">2019-08-01T13:39:00Z</dcterms:modified>
</cp:coreProperties>
</file>