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83B" w:rsidRPr="00F77C54" w:rsidRDefault="00FE483B" w:rsidP="00FE483B">
      <w:pPr>
        <w:pStyle w:val="Nzov"/>
        <w:rPr>
          <w:noProof/>
        </w:rPr>
      </w:pPr>
      <w:bookmarkStart w:id="0" w:name="_GoBack"/>
      <w:bookmarkEnd w:id="0"/>
      <w:r w:rsidRPr="00F77C54">
        <w:rPr>
          <w:noProof/>
        </w:rPr>
        <w:t>DOLOŽKA  ZLUČITEĽNOSTI</w:t>
      </w:r>
    </w:p>
    <w:p w:rsidR="006C6DC8" w:rsidRDefault="00AC2222" w:rsidP="00AC2222">
      <w:pPr>
        <w:jc w:val="center"/>
        <w:rPr>
          <w:b/>
          <w:noProof/>
        </w:rPr>
      </w:pPr>
      <w:r w:rsidRPr="00F77C54">
        <w:rPr>
          <w:b/>
          <w:noProof/>
        </w:rPr>
        <w:t>n</w:t>
      </w:r>
      <w:r w:rsidR="009C5467" w:rsidRPr="00F77C54">
        <w:rPr>
          <w:b/>
          <w:noProof/>
        </w:rPr>
        <w:t>ávrh</w:t>
      </w:r>
      <w:r w:rsidRPr="00F77C54">
        <w:rPr>
          <w:b/>
          <w:noProof/>
        </w:rPr>
        <w:t>u</w:t>
      </w:r>
      <w:r w:rsidR="009C5467" w:rsidRPr="00F77C54">
        <w:rPr>
          <w:b/>
          <w:noProof/>
        </w:rPr>
        <w:t xml:space="preserve"> zákona, ktorým sa mení a dopĺňa zákon č. 609/2007 Z. z. o spotrebnej dani </w:t>
      </w:r>
      <w:r w:rsidR="00B3372B">
        <w:rPr>
          <w:b/>
          <w:noProof/>
        </w:rPr>
        <w:br/>
      </w:r>
      <w:r w:rsidR="009C5467" w:rsidRPr="00F77C54">
        <w:rPr>
          <w:b/>
          <w:noProof/>
        </w:rPr>
        <w:t xml:space="preserve">z elektriny, uhlia a zemného plynu </w:t>
      </w:r>
      <w:r w:rsidR="0090502D" w:rsidRPr="00F77C54">
        <w:rPr>
          <w:b/>
          <w:noProof/>
        </w:rPr>
        <w:t xml:space="preserve">a o zmene a doplnení zákona č. 98/2004 Z. z. </w:t>
      </w:r>
    </w:p>
    <w:p w:rsidR="009C5467" w:rsidRPr="00F77C54" w:rsidRDefault="0090502D" w:rsidP="00AC2222">
      <w:pPr>
        <w:jc w:val="center"/>
        <w:rPr>
          <w:b/>
          <w:noProof/>
        </w:rPr>
      </w:pPr>
      <w:r w:rsidRPr="00F77C54">
        <w:rPr>
          <w:b/>
          <w:noProof/>
        </w:rPr>
        <w:t>o spotrebnej dani z mineráln</w:t>
      </w:r>
      <w:r w:rsidR="00A06EDF" w:rsidRPr="00F77C54">
        <w:rPr>
          <w:b/>
          <w:noProof/>
        </w:rPr>
        <w:t xml:space="preserve">eho </w:t>
      </w:r>
      <w:r w:rsidRPr="00F77C54">
        <w:rPr>
          <w:b/>
          <w:noProof/>
        </w:rPr>
        <w:t>olej</w:t>
      </w:r>
      <w:r w:rsidR="00A06EDF" w:rsidRPr="00F77C54">
        <w:rPr>
          <w:b/>
          <w:noProof/>
        </w:rPr>
        <w:t>a</w:t>
      </w:r>
      <w:r w:rsidRPr="00F77C54">
        <w:rPr>
          <w:b/>
          <w:noProof/>
        </w:rPr>
        <w:t xml:space="preserve"> </w:t>
      </w:r>
      <w:r w:rsidR="009C5467" w:rsidRPr="00F77C54">
        <w:rPr>
          <w:b/>
          <w:noProof/>
        </w:rPr>
        <w:t xml:space="preserve">v znení neskorších predpisov </w:t>
      </w:r>
      <w:r w:rsidR="00AC2222" w:rsidRPr="00F77C54">
        <w:rPr>
          <w:b/>
          <w:bCs/>
          <w:noProof/>
        </w:rPr>
        <w:t xml:space="preserve">a ktorým sa mení </w:t>
      </w:r>
      <w:r w:rsidR="00C85E21" w:rsidRPr="00F77C54">
        <w:rPr>
          <w:b/>
          <w:bCs/>
          <w:noProof/>
        </w:rPr>
        <w:t xml:space="preserve">a dopĺňa </w:t>
      </w:r>
      <w:r w:rsidR="00AC2222" w:rsidRPr="00F77C54">
        <w:rPr>
          <w:b/>
          <w:bCs/>
          <w:noProof/>
        </w:rPr>
        <w:t>zákon č. 98/2004 Z. z. o spotrebnej dani z minerálneho oleja v znení neskorších predpisov s právom Európskej únie</w:t>
      </w:r>
    </w:p>
    <w:p w:rsidR="00FE483B" w:rsidRPr="00F77C54" w:rsidRDefault="00FE483B" w:rsidP="006F7BA1">
      <w:pPr>
        <w:pBdr>
          <w:bottom w:val="single" w:sz="12" w:space="1" w:color="auto"/>
        </w:pBdr>
        <w:jc w:val="center"/>
        <w:rPr>
          <w:noProof/>
        </w:rPr>
      </w:pPr>
    </w:p>
    <w:p w:rsidR="00FE483B" w:rsidRPr="00F77C54" w:rsidRDefault="00FE483B" w:rsidP="00FE483B">
      <w:pPr>
        <w:pStyle w:val="Zkladntext0"/>
        <w:tabs>
          <w:tab w:val="left" w:pos="284"/>
        </w:tabs>
        <w:spacing w:before="120"/>
        <w:rPr>
          <w:b/>
          <w:bCs/>
          <w:noProof/>
          <w:sz w:val="24"/>
          <w:szCs w:val="24"/>
        </w:rPr>
      </w:pPr>
    </w:p>
    <w:p w:rsidR="00FE483B" w:rsidRPr="00F77C54" w:rsidRDefault="00AC2222" w:rsidP="00FE483B">
      <w:pPr>
        <w:pStyle w:val="Zkladntext0"/>
        <w:tabs>
          <w:tab w:val="left" w:pos="284"/>
        </w:tabs>
        <w:spacing w:before="120"/>
        <w:rPr>
          <w:b/>
          <w:bCs/>
          <w:noProof/>
          <w:sz w:val="24"/>
          <w:szCs w:val="24"/>
        </w:rPr>
      </w:pPr>
      <w:r w:rsidRPr="00F77C54">
        <w:rPr>
          <w:b/>
          <w:bCs/>
          <w:noProof/>
          <w:sz w:val="24"/>
          <w:szCs w:val="24"/>
        </w:rPr>
        <w:t>1.</w:t>
      </w:r>
      <w:r w:rsidRPr="00F77C54">
        <w:rPr>
          <w:b/>
          <w:bCs/>
          <w:noProof/>
          <w:sz w:val="24"/>
          <w:szCs w:val="24"/>
        </w:rPr>
        <w:tab/>
        <w:t xml:space="preserve">Navrhovateľ </w:t>
      </w:r>
      <w:r w:rsidR="00FE483B" w:rsidRPr="00F77C54">
        <w:rPr>
          <w:b/>
          <w:bCs/>
          <w:noProof/>
          <w:sz w:val="24"/>
          <w:szCs w:val="24"/>
        </w:rPr>
        <w:t xml:space="preserve">zákona: </w:t>
      </w:r>
    </w:p>
    <w:p w:rsidR="00FE483B" w:rsidRPr="00F77C54" w:rsidRDefault="00FE483B" w:rsidP="00FE483B">
      <w:pPr>
        <w:pStyle w:val="Zkladntext0"/>
        <w:spacing w:before="120"/>
        <w:ind w:left="284"/>
        <w:jc w:val="both"/>
        <w:rPr>
          <w:noProof/>
          <w:sz w:val="24"/>
          <w:szCs w:val="24"/>
        </w:rPr>
      </w:pPr>
      <w:r w:rsidRPr="00F77C54">
        <w:rPr>
          <w:noProof/>
          <w:sz w:val="24"/>
          <w:szCs w:val="24"/>
        </w:rPr>
        <w:t>Vláda Slovenskej republiky.</w:t>
      </w:r>
    </w:p>
    <w:p w:rsidR="00FE483B" w:rsidRPr="00F77C54" w:rsidRDefault="00FE483B" w:rsidP="00FE483B">
      <w:pPr>
        <w:pStyle w:val="Zkladntext0"/>
        <w:numPr>
          <w:ilvl w:val="0"/>
          <w:numId w:val="2"/>
        </w:numPr>
        <w:tabs>
          <w:tab w:val="clear" w:pos="360"/>
          <w:tab w:val="left" w:pos="284"/>
        </w:tabs>
        <w:spacing w:before="120" w:after="120"/>
        <w:ind w:left="0" w:firstLine="0"/>
        <w:jc w:val="both"/>
        <w:rPr>
          <w:b/>
          <w:bCs/>
          <w:noProof/>
          <w:sz w:val="24"/>
          <w:szCs w:val="24"/>
        </w:rPr>
      </w:pPr>
      <w:r w:rsidRPr="00F77C54">
        <w:rPr>
          <w:b/>
          <w:bCs/>
          <w:noProof/>
          <w:sz w:val="24"/>
          <w:szCs w:val="24"/>
        </w:rPr>
        <w:t xml:space="preserve">Názov návrhu zákona: </w:t>
      </w:r>
    </w:p>
    <w:p w:rsidR="00FE483B" w:rsidRPr="00F77C54" w:rsidRDefault="009C5467" w:rsidP="00897796">
      <w:pPr>
        <w:spacing w:line="276" w:lineRule="auto"/>
        <w:ind w:left="284"/>
        <w:jc w:val="both"/>
        <w:rPr>
          <w:noProof/>
        </w:rPr>
      </w:pPr>
      <w:r w:rsidRPr="00F77C54">
        <w:rPr>
          <w:noProof/>
        </w:rPr>
        <w:t xml:space="preserve">Návrh zákona, ktorým sa mení a dopĺňa zákon č. 609/2007 Z. z. o spotrebnej dani z elektriny, uhlia a zemného plynu </w:t>
      </w:r>
      <w:r w:rsidR="00AC2222" w:rsidRPr="00F77C54">
        <w:rPr>
          <w:noProof/>
        </w:rPr>
        <w:t xml:space="preserve">a o zmene a doplnení zákona č. 98/2004 Z. z. o spotrebnej dani </w:t>
      </w:r>
      <w:r w:rsidR="00B3372B">
        <w:rPr>
          <w:noProof/>
        </w:rPr>
        <w:br/>
      </w:r>
      <w:r w:rsidR="00AC2222" w:rsidRPr="00F77C54">
        <w:rPr>
          <w:noProof/>
        </w:rPr>
        <w:t>z mineráln</w:t>
      </w:r>
      <w:r w:rsidR="00A06EDF" w:rsidRPr="00F77C54">
        <w:rPr>
          <w:noProof/>
        </w:rPr>
        <w:t>eho</w:t>
      </w:r>
      <w:r w:rsidR="00AC2222" w:rsidRPr="00F77C54">
        <w:rPr>
          <w:noProof/>
        </w:rPr>
        <w:t xml:space="preserve"> olej</w:t>
      </w:r>
      <w:r w:rsidR="00A06EDF" w:rsidRPr="00F77C54">
        <w:rPr>
          <w:noProof/>
        </w:rPr>
        <w:t>a</w:t>
      </w:r>
      <w:r w:rsidR="00AC2222" w:rsidRPr="00F77C54">
        <w:rPr>
          <w:noProof/>
        </w:rPr>
        <w:t xml:space="preserve"> v znení neskorších predpisov </w:t>
      </w:r>
      <w:r w:rsidR="00AC2222" w:rsidRPr="00F77C54">
        <w:rPr>
          <w:bCs/>
          <w:noProof/>
        </w:rPr>
        <w:t xml:space="preserve">a ktorým sa mení </w:t>
      </w:r>
      <w:r w:rsidR="00C85E21" w:rsidRPr="00F77C54">
        <w:rPr>
          <w:bCs/>
          <w:noProof/>
        </w:rPr>
        <w:t xml:space="preserve">a dopĺňa </w:t>
      </w:r>
      <w:r w:rsidR="00AC2222" w:rsidRPr="00F77C54">
        <w:rPr>
          <w:bCs/>
          <w:noProof/>
        </w:rPr>
        <w:t xml:space="preserve">zákon </w:t>
      </w:r>
      <w:r w:rsidR="00B3372B">
        <w:rPr>
          <w:bCs/>
          <w:noProof/>
        </w:rPr>
        <w:br/>
      </w:r>
      <w:r w:rsidR="00AC2222" w:rsidRPr="00F77C54">
        <w:rPr>
          <w:bCs/>
          <w:noProof/>
        </w:rPr>
        <w:t>č. 98/2004 Z. z. o spotrebnej dani z minerálneho oleja v znení neskorších predpisov</w:t>
      </w:r>
      <w:r w:rsidR="00FE483B" w:rsidRPr="00F77C54">
        <w:rPr>
          <w:noProof/>
        </w:rPr>
        <w:t>.</w:t>
      </w:r>
    </w:p>
    <w:p w:rsidR="00FE483B" w:rsidRPr="00F77C54" w:rsidRDefault="00FE483B" w:rsidP="00AC2222">
      <w:pPr>
        <w:pStyle w:val="Zkladntext0"/>
        <w:numPr>
          <w:ilvl w:val="0"/>
          <w:numId w:val="2"/>
        </w:numPr>
        <w:tabs>
          <w:tab w:val="clear" w:pos="360"/>
          <w:tab w:val="left" w:pos="284"/>
        </w:tabs>
        <w:spacing w:before="120" w:after="120"/>
        <w:ind w:left="0" w:firstLine="0"/>
        <w:jc w:val="both"/>
        <w:rPr>
          <w:b/>
          <w:bCs/>
          <w:noProof/>
          <w:sz w:val="24"/>
          <w:szCs w:val="24"/>
        </w:rPr>
      </w:pPr>
      <w:r w:rsidRPr="00F77C54">
        <w:rPr>
          <w:b/>
          <w:bCs/>
          <w:noProof/>
          <w:sz w:val="24"/>
          <w:szCs w:val="24"/>
        </w:rPr>
        <w:t>Pr</w:t>
      </w:r>
      <w:r w:rsidR="00AC2222" w:rsidRPr="00F77C54">
        <w:rPr>
          <w:b/>
          <w:bCs/>
          <w:noProof/>
          <w:sz w:val="24"/>
          <w:szCs w:val="24"/>
        </w:rPr>
        <w:t xml:space="preserve">edmet </w:t>
      </w:r>
      <w:r w:rsidRPr="00F77C54">
        <w:rPr>
          <w:b/>
          <w:bCs/>
          <w:noProof/>
          <w:sz w:val="24"/>
          <w:szCs w:val="24"/>
        </w:rPr>
        <w:t>návrhu zákona</w:t>
      </w:r>
      <w:r w:rsidR="00AC2222" w:rsidRPr="00F77C54">
        <w:rPr>
          <w:b/>
          <w:bCs/>
          <w:noProof/>
          <w:sz w:val="24"/>
          <w:szCs w:val="24"/>
        </w:rPr>
        <w:t xml:space="preserve"> </w:t>
      </w:r>
      <w:r w:rsidRPr="00F77C54">
        <w:rPr>
          <w:b/>
          <w:noProof/>
          <w:sz w:val="24"/>
          <w:szCs w:val="24"/>
        </w:rPr>
        <w:t>je upraven</w:t>
      </w:r>
      <w:r w:rsidR="00AC2222" w:rsidRPr="00F77C54">
        <w:rPr>
          <w:b/>
          <w:noProof/>
          <w:sz w:val="24"/>
          <w:szCs w:val="24"/>
        </w:rPr>
        <w:t>ý</w:t>
      </w:r>
      <w:r w:rsidRPr="00F77C54">
        <w:rPr>
          <w:b/>
          <w:noProof/>
          <w:sz w:val="24"/>
          <w:szCs w:val="24"/>
        </w:rPr>
        <w:t xml:space="preserve"> v práve Európskej únie: </w:t>
      </w:r>
    </w:p>
    <w:p w:rsidR="00FE483B" w:rsidRPr="00F77C54" w:rsidRDefault="00FE483B" w:rsidP="00897796">
      <w:pPr>
        <w:pStyle w:val="Zkladntext0"/>
        <w:numPr>
          <w:ilvl w:val="0"/>
          <w:numId w:val="6"/>
        </w:numPr>
        <w:spacing w:after="120"/>
        <w:ind w:left="641" w:hanging="357"/>
        <w:rPr>
          <w:b/>
          <w:noProof/>
          <w:sz w:val="24"/>
          <w:szCs w:val="24"/>
        </w:rPr>
      </w:pPr>
      <w:r w:rsidRPr="00F77C54">
        <w:rPr>
          <w:b/>
          <w:noProof/>
          <w:sz w:val="24"/>
          <w:szCs w:val="24"/>
        </w:rPr>
        <w:t>Primárne právo:</w:t>
      </w:r>
    </w:p>
    <w:p w:rsidR="004839D9" w:rsidRPr="00F77C54" w:rsidRDefault="00FE483B" w:rsidP="00FE483B">
      <w:pPr>
        <w:pStyle w:val="Zkladntext0"/>
        <w:numPr>
          <w:ilvl w:val="0"/>
          <w:numId w:val="1"/>
        </w:numPr>
        <w:spacing w:after="120"/>
        <w:ind w:left="658" w:hanging="357"/>
        <w:rPr>
          <w:noProof/>
          <w:sz w:val="24"/>
          <w:szCs w:val="24"/>
        </w:rPr>
      </w:pPr>
      <w:r w:rsidRPr="00F77C54">
        <w:rPr>
          <w:noProof/>
          <w:sz w:val="24"/>
          <w:szCs w:val="24"/>
        </w:rPr>
        <w:t xml:space="preserve">čl. </w:t>
      </w:r>
      <w:r w:rsidR="004839D9" w:rsidRPr="00F77C54">
        <w:rPr>
          <w:noProof/>
          <w:sz w:val="24"/>
          <w:szCs w:val="24"/>
        </w:rPr>
        <w:t>52 Zmluvy o Európskej únii,</w:t>
      </w:r>
    </w:p>
    <w:p w:rsidR="00FE483B" w:rsidRPr="00F77C54" w:rsidRDefault="005A5A28" w:rsidP="00920E2F">
      <w:pPr>
        <w:pStyle w:val="Zkladntext0"/>
        <w:numPr>
          <w:ilvl w:val="0"/>
          <w:numId w:val="1"/>
        </w:numPr>
        <w:spacing w:after="240"/>
        <w:ind w:left="658" w:hanging="357"/>
        <w:rPr>
          <w:noProof/>
          <w:sz w:val="24"/>
          <w:szCs w:val="24"/>
        </w:rPr>
      </w:pPr>
      <w:r w:rsidRPr="00F77C54">
        <w:rPr>
          <w:noProof/>
          <w:sz w:val="24"/>
          <w:szCs w:val="24"/>
        </w:rPr>
        <w:t xml:space="preserve">čl. </w:t>
      </w:r>
      <w:r w:rsidR="00FE483B" w:rsidRPr="00F77C54">
        <w:rPr>
          <w:noProof/>
          <w:sz w:val="24"/>
          <w:szCs w:val="24"/>
        </w:rPr>
        <w:t>110 až 113</w:t>
      </w:r>
      <w:r w:rsidR="00A055C8" w:rsidRPr="00F77C54">
        <w:rPr>
          <w:noProof/>
          <w:sz w:val="24"/>
          <w:szCs w:val="24"/>
        </w:rPr>
        <w:t xml:space="preserve"> a</w:t>
      </w:r>
      <w:r w:rsidRPr="00F77C54">
        <w:rPr>
          <w:noProof/>
          <w:sz w:val="24"/>
          <w:szCs w:val="24"/>
        </w:rPr>
        <w:t xml:space="preserve"> čl. </w:t>
      </w:r>
      <w:r w:rsidR="00A055C8" w:rsidRPr="00F77C54">
        <w:rPr>
          <w:noProof/>
          <w:sz w:val="24"/>
          <w:szCs w:val="24"/>
        </w:rPr>
        <w:t>355</w:t>
      </w:r>
      <w:r w:rsidR="00FE483B" w:rsidRPr="00F77C54">
        <w:rPr>
          <w:noProof/>
          <w:sz w:val="24"/>
          <w:szCs w:val="24"/>
        </w:rPr>
        <w:t xml:space="preserve"> Zm</w:t>
      </w:r>
      <w:r w:rsidR="004839D9" w:rsidRPr="00F77C54">
        <w:rPr>
          <w:noProof/>
          <w:sz w:val="24"/>
          <w:szCs w:val="24"/>
        </w:rPr>
        <w:t>luvy o fungovaní Európskej únie.</w:t>
      </w:r>
    </w:p>
    <w:p w:rsidR="00FE483B" w:rsidRPr="00F77C54" w:rsidRDefault="00FE483B" w:rsidP="00AC2222">
      <w:pPr>
        <w:pStyle w:val="Odsekzoznamu"/>
        <w:numPr>
          <w:ilvl w:val="0"/>
          <w:numId w:val="6"/>
        </w:numPr>
        <w:autoSpaceDE w:val="0"/>
        <w:autoSpaceDN w:val="0"/>
        <w:jc w:val="both"/>
        <w:rPr>
          <w:noProof/>
        </w:rPr>
      </w:pPr>
      <w:r w:rsidRPr="00F77C54">
        <w:rPr>
          <w:b/>
          <w:noProof/>
        </w:rPr>
        <w:t>Sekundárne právo</w:t>
      </w:r>
      <w:r w:rsidR="00A055C8" w:rsidRPr="00F77C54">
        <w:rPr>
          <w:noProof/>
        </w:rPr>
        <w:t>:</w:t>
      </w:r>
    </w:p>
    <w:p w:rsidR="00A055C8" w:rsidRPr="00F77C54" w:rsidRDefault="00A055C8" w:rsidP="00A055C8">
      <w:pPr>
        <w:autoSpaceDE w:val="0"/>
        <w:autoSpaceDN w:val="0"/>
        <w:ind w:left="454"/>
        <w:jc w:val="both"/>
        <w:rPr>
          <w:noProof/>
        </w:rPr>
      </w:pPr>
    </w:p>
    <w:p w:rsidR="00FE483B" w:rsidRPr="00F77C54" w:rsidRDefault="00FE483B" w:rsidP="00897796">
      <w:pPr>
        <w:widowControl/>
        <w:numPr>
          <w:ilvl w:val="0"/>
          <w:numId w:val="1"/>
        </w:numPr>
        <w:adjustRightInd/>
        <w:spacing w:after="120" w:line="276" w:lineRule="auto"/>
        <w:ind w:left="658" w:hanging="357"/>
        <w:jc w:val="both"/>
        <w:rPr>
          <w:rStyle w:val="Zvraznenie"/>
          <w:iCs w:val="0"/>
          <w:noProof/>
        </w:rPr>
      </w:pPr>
      <w:r w:rsidRPr="00F77C54">
        <w:rPr>
          <w:noProof/>
        </w:rPr>
        <w:t xml:space="preserve">smernica Rady </w:t>
      </w:r>
      <w:r w:rsidR="005C73F4" w:rsidRPr="00F77C54">
        <w:rPr>
          <w:noProof/>
          <w:u w:val="single"/>
        </w:rPr>
        <w:t>2003</w:t>
      </w:r>
      <w:r w:rsidRPr="00F77C54">
        <w:rPr>
          <w:noProof/>
          <w:u w:val="single"/>
        </w:rPr>
        <w:t>/</w:t>
      </w:r>
      <w:r w:rsidR="005C73F4" w:rsidRPr="00F77C54">
        <w:rPr>
          <w:noProof/>
          <w:u w:val="single"/>
        </w:rPr>
        <w:t>96/E</w:t>
      </w:r>
      <w:r w:rsidRPr="00F77C54">
        <w:rPr>
          <w:noProof/>
          <w:u w:val="single"/>
        </w:rPr>
        <w:t>S</w:t>
      </w:r>
      <w:r w:rsidRPr="00F77C54">
        <w:rPr>
          <w:noProof/>
        </w:rPr>
        <w:t xml:space="preserve"> </w:t>
      </w:r>
      <w:r w:rsidR="00D424BD" w:rsidRPr="00F77C54">
        <w:rPr>
          <w:noProof/>
        </w:rPr>
        <w:t>z 27. októbra 2003 o reštrukturalizácii právneho rámca spoločenstva pre zdaňovanie energetických výrobkov a elektriny</w:t>
      </w:r>
      <w:r w:rsidRPr="00F77C54">
        <w:rPr>
          <w:noProof/>
        </w:rPr>
        <w:t xml:space="preserve"> (</w:t>
      </w:r>
      <w:r w:rsidRPr="00F77C54">
        <w:rPr>
          <w:rStyle w:val="Zvraznenie"/>
          <w:i w:val="0"/>
          <w:noProof/>
        </w:rPr>
        <w:t>M</w:t>
      </w:r>
      <w:r w:rsidR="006F7BA1" w:rsidRPr="00F77C54">
        <w:rPr>
          <w:rStyle w:val="Zvraznenie"/>
          <w:i w:val="0"/>
          <w:noProof/>
        </w:rPr>
        <w:t>imoriadne vydanie Ú.v. EÚ kap. 9</w:t>
      </w:r>
      <w:r w:rsidR="00AC2222" w:rsidRPr="00F77C54">
        <w:rPr>
          <w:rStyle w:val="Zvraznenie"/>
          <w:i w:val="0"/>
          <w:noProof/>
        </w:rPr>
        <w:t>/zv. 1</w:t>
      </w:r>
      <w:r w:rsidR="00D753D0" w:rsidRPr="00F77C54">
        <w:rPr>
          <w:rStyle w:val="Zvraznenie"/>
          <w:i w:val="0"/>
          <w:noProof/>
        </w:rPr>
        <w:t xml:space="preserve">, </w:t>
      </w:r>
      <w:r w:rsidR="00D753D0" w:rsidRPr="00F77C54">
        <w:rPr>
          <w:noProof/>
        </w:rPr>
        <w:t>Ú. v. ES L 283 31.10.2003</w:t>
      </w:r>
      <w:r w:rsidR="00AC2222" w:rsidRPr="00F77C54">
        <w:rPr>
          <w:rStyle w:val="Zvraznenie"/>
          <w:i w:val="0"/>
          <w:noProof/>
        </w:rPr>
        <w:t xml:space="preserve">) </w:t>
      </w:r>
      <w:r w:rsidR="00AC2222" w:rsidRPr="00F77C54">
        <w:rPr>
          <w:noProof/>
        </w:rPr>
        <w:t>v platnom znení</w:t>
      </w:r>
      <w:r w:rsidRPr="00F77C54">
        <w:rPr>
          <w:rStyle w:val="Zvraznenie"/>
          <w:i w:val="0"/>
          <w:noProof/>
        </w:rPr>
        <w:t>,</w:t>
      </w:r>
      <w:r w:rsidR="00BB2AEC" w:rsidRPr="00F77C54">
        <w:rPr>
          <w:rStyle w:val="Zvraznenie"/>
          <w:i w:val="0"/>
          <w:noProof/>
        </w:rPr>
        <w:t xml:space="preserve"> gestor:</w:t>
      </w:r>
      <w:r w:rsidR="002650ED" w:rsidRPr="00F77C54">
        <w:rPr>
          <w:rStyle w:val="Zvraznenie"/>
          <w:i w:val="0"/>
          <w:noProof/>
        </w:rPr>
        <w:t xml:space="preserve"> </w:t>
      </w:r>
      <w:r w:rsidR="002650ED" w:rsidRPr="00F77C54">
        <w:rPr>
          <w:noProof/>
        </w:rPr>
        <w:t>MF SR, spolugestor: Ministerstvo hospodárstva SR</w:t>
      </w:r>
      <w:r w:rsidR="002650ED" w:rsidRPr="00F77C54">
        <w:rPr>
          <w:rStyle w:val="Zvraznenie"/>
          <w:i w:val="0"/>
          <w:noProof/>
        </w:rPr>
        <w:t>,</w:t>
      </w:r>
    </w:p>
    <w:p w:rsidR="00FE483B" w:rsidRPr="00F77C54" w:rsidRDefault="00FE483B" w:rsidP="00897796">
      <w:pPr>
        <w:widowControl/>
        <w:numPr>
          <w:ilvl w:val="0"/>
          <w:numId w:val="1"/>
        </w:numPr>
        <w:adjustRightInd/>
        <w:spacing w:after="120" w:line="276" w:lineRule="auto"/>
        <w:ind w:left="658" w:hanging="357"/>
        <w:jc w:val="both"/>
        <w:rPr>
          <w:i/>
          <w:noProof/>
        </w:rPr>
      </w:pPr>
      <w:r w:rsidRPr="00F77C54">
        <w:rPr>
          <w:noProof/>
        </w:rPr>
        <w:t xml:space="preserve">smernica Rady </w:t>
      </w:r>
      <w:r w:rsidRPr="00F77C54">
        <w:rPr>
          <w:noProof/>
          <w:u w:val="single"/>
        </w:rPr>
        <w:t>2008/118/ES</w:t>
      </w:r>
      <w:r w:rsidRPr="00F77C54">
        <w:rPr>
          <w:noProof/>
        </w:rPr>
        <w:t xml:space="preserve"> z 16. decembra 2008 o všeobecnom systéme spotrebných daní a o zrušení smernice 92/12/EHS </w:t>
      </w:r>
      <w:r w:rsidR="000E2DB0" w:rsidRPr="00F77C54">
        <w:rPr>
          <w:noProof/>
        </w:rPr>
        <w:t xml:space="preserve"> </w:t>
      </w:r>
      <w:r w:rsidR="005A5A28" w:rsidRPr="00F77C54">
        <w:rPr>
          <w:noProof/>
        </w:rPr>
        <w:t>(Ú. v. EÚ L 9, 14.1. 2009)</w:t>
      </w:r>
      <w:r w:rsidR="00AC2222" w:rsidRPr="00F77C54">
        <w:rPr>
          <w:noProof/>
        </w:rPr>
        <w:t xml:space="preserve"> v platnom znení</w:t>
      </w:r>
      <w:r w:rsidR="005A5A28" w:rsidRPr="00F77C54">
        <w:rPr>
          <w:noProof/>
        </w:rPr>
        <w:t>,</w:t>
      </w:r>
      <w:r w:rsidR="00BB2AEC" w:rsidRPr="00F77C54">
        <w:rPr>
          <w:noProof/>
        </w:rPr>
        <w:t xml:space="preserve"> </w:t>
      </w:r>
      <w:r w:rsidR="00BB2AEC" w:rsidRPr="00F77C54">
        <w:rPr>
          <w:rStyle w:val="Zvraznenie"/>
          <w:i w:val="0"/>
          <w:noProof/>
        </w:rPr>
        <w:t xml:space="preserve">gestor: </w:t>
      </w:r>
      <w:r w:rsidR="002650ED" w:rsidRPr="00F77C54">
        <w:rPr>
          <w:noProof/>
        </w:rPr>
        <w:t>MF SR,</w:t>
      </w:r>
    </w:p>
    <w:p w:rsidR="005A5A28" w:rsidRPr="00F77C54" w:rsidRDefault="005A5A28" w:rsidP="00897796">
      <w:pPr>
        <w:widowControl/>
        <w:numPr>
          <w:ilvl w:val="0"/>
          <w:numId w:val="1"/>
        </w:numPr>
        <w:adjustRightInd/>
        <w:spacing w:after="120" w:line="276" w:lineRule="auto"/>
        <w:ind w:left="658" w:hanging="357"/>
        <w:jc w:val="both"/>
        <w:rPr>
          <w:rStyle w:val="Zvraznenie"/>
          <w:iCs w:val="0"/>
          <w:noProof/>
        </w:rPr>
      </w:pPr>
      <w:r w:rsidRPr="00F77C54">
        <w:rPr>
          <w:noProof/>
        </w:rPr>
        <w:t xml:space="preserve">nariadenie Komisie (ES) č. </w:t>
      </w:r>
      <w:r w:rsidRPr="00F77C54">
        <w:rPr>
          <w:noProof/>
          <w:u w:val="single"/>
        </w:rPr>
        <w:t>684/2009</w:t>
      </w:r>
      <w:r w:rsidRPr="00F77C54">
        <w:rPr>
          <w:noProof/>
        </w:rPr>
        <w:t xml:space="preserve"> z 24. júla 2009, ktorým sa implementuje smernica Rady 2008/118/ES, pokiaľ ide o elektronické postupy pri preprave tovaru podliehajúceho spotrebnej dani v režime pozastavenia dane (Ú. v. EÚ L 197, 29.7.2009)</w:t>
      </w:r>
      <w:r w:rsidR="00606B29" w:rsidRPr="00F77C54">
        <w:rPr>
          <w:noProof/>
        </w:rPr>
        <w:t xml:space="preserve"> v platnom znení</w:t>
      </w:r>
      <w:r w:rsidR="00D753D0" w:rsidRPr="00F77C54">
        <w:rPr>
          <w:noProof/>
        </w:rPr>
        <w:t>,</w:t>
      </w:r>
      <w:r w:rsidR="00BB2AEC" w:rsidRPr="00F77C54">
        <w:rPr>
          <w:noProof/>
        </w:rPr>
        <w:t xml:space="preserve"> </w:t>
      </w:r>
      <w:r w:rsidR="00BB2AEC" w:rsidRPr="00F77C54">
        <w:rPr>
          <w:rStyle w:val="Zvraznenie"/>
          <w:i w:val="0"/>
          <w:noProof/>
        </w:rPr>
        <w:t>gestor:</w:t>
      </w:r>
      <w:r w:rsidR="0032323C" w:rsidRPr="00F77C54">
        <w:rPr>
          <w:rStyle w:val="Zvraznenie"/>
          <w:i w:val="0"/>
          <w:noProof/>
        </w:rPr>
        <w:t xml:space="preserve"> MF SR,</w:t>
      </w:r>
      <w:r w:rsidR="00BB2AEC" w:rsidRPr="00F77C54">
        <w:rPr>
          <w:rStyle w:val="Zvraznenie"/>
          <w:i w:val="0"/>
          <w:noProof/>
        </w:rPr>
        <w:t xml:space="preserve"> </w:t>
      </w:r>
    </w:p>
    <w:p w:rsidR="00B64B62" w:rsidRPr="00F77C54" w:rsidRDefault="00B64B62" w:rsidP="00B64B62">
      <w:pPr>
        <w:pStyle w:val="Odsekzoznamu"/>
        <w:numPr>
          <w:ilvl w:val="0"/>
          <w:numId w:val="1"/>
        </w:numPr>
        <w:tabs>
          <w:tab w:val="left" w:pos="1134"/>
        </w:tabs>
        <w:autoSpaceDE w:val="0"/>
        <w:autoSpaceDN w:val="0"/>
        <w:spacing w:after="120" w:line="276" w:lineRule="auto"/>
        <w:ind w:left="641" w:hanging="357"/>
        <w:jc w:val="both"/>
        <w:rPr>
          <w:noProof/>
        </w:rPr>
      </w:pPr>
      <w:r w:rsidRPr="00F77C54">
        <w:rPr>
          <w:bCs/>
          <w:iCs/>
          <w:noProof/>
        </w:rPr>
        <w:t xml:space="preserve">nariadenie </w:t>
      </w:r>
      <w:r w:rsidRPr="00F77C54">
        <w:rPr>
          <w:noProof/>
        </w:rPr>
        <w:t xml:space="preserve">Európskeho parlamentu a Rady (EÚ) č. </w:t>
      </w:r>
      <w:r w:rsidRPr="00F77C54">
        <w:rPr>
          <w:noProof/>
          <w:u w:val="single"/>
        </w:rPr>
        <w:t>952/2013</w:t>
      </w:r>
      <w:r w:rsidRPr="00F77C54">
        <w:rPr>
          <w:noProof/>
        </w:rPr>
        <w:t xml:space="preserve"> z 9. októbra 2013, ktorým sa ustanovuje Colný kódex Únie (prepracované znenie) (Ú. v. EÚ L 269, 10. 10. 2013) v platnom znení, gestor: MF SR,</w:t>
      </w:r>
    </w:p>
    <w:p w:rsidR="00D753D0" w:rsidRPr="00F77C54" w:rsidRDefault="00D753D0" w:rsidP="00920E2F">
      <w:pPr>
        <w:widowControl/>
        <w:numPr>
          <w:ilvl w:val="0"/>
          <w:numId w:val="1"/>
        </w:numPr>
        <w:adjustRightInd/>
        <w:spacing w:after="240" w:line="276" w:lineRule="auto"/>
        <w:ind w:left="658" w:hanging="357"/>
        <w:jc w:val="both"/>
        <w:rPr>
          <w:i/>
          <w:noProof/>
        </w:rPr>
      </w:pPr>
      <w:r w:rsidRPr="00F77C54">
        <w:rPr>
          <w:noProof/>
        </w:rPr>
        <w:t>nariadenie Rady (EÚ) č. </w:t>
      </w:r>
      <w:r w:rsidRPr="00F77C54">
        <w:rPr>
          <w:noProof/>
          <w:u w:val="single"/>
        </w:rPr>
        <w:t>389/2012</w:t>
      </w:r>
      <w:r w:rsidRPr="00F77C54">
        <w:rPr>
          <w:noProof/>
        </w:rPr>
        <w:t xml:space="preserve"> z  2. mája 2012 o administratívnej spolupráci v oblasti spotrebných daní a zrušení nariadenia (ES) č. 2073/2004 (</w:t>
      </w:r>
      <w:r w:rsidRPr="00F77C54">
        <w:rPr>
          <w:iCs/>
          <w:noProof/>
        </w:rPr>
        <w:t xml:space="preserve">Ú. v. EÚ L 121, 8.5.2012) </w:t>
      </w:r>
      <w:r w:rsidRPr="00F77C54">
        <w:rPr>
          <w:noProof/>
        </w:rPr>
        <w:t>v platnom znení</w:t>
      </w:r>
      <w:r w:rsidR="00BB2AEC" w:rsidRPr="00F77C54">
        <w:rPr>
          <w:noProof/>
        </w:rPr>
        <w:t xml:space="preserve">, </w:t>
      </w:r>
      <w:r w:rsidR="00BB2AEC" w:rsidRPr="00F77C54">
        <w:rPr>
          <w:rStyle w:val="Zvraznenie"/>
          <w:i w:val="0"/>
          <w:noProof/>
        </w:rPr>
        <w:t xml:space="preserve">gestor: </w:t>
      </w:r>
      <w:r w:rsidR="00B64B62" w:rsidRPr="00F77C54">
        <w:rPr>
          <w:noProof/>
        </w:rPr>
        <w:t>MF SR.</w:t>
      </w:r>
    </w:p>
    <w:p w:rsidR="00FE483B" w:rsidRPr="00F77C54" w:rsidRDefault="00AC2222" w:rsidP="00FE483B">
      <w:pPr>
        <w:pStyle w:val="Zkladntext"/>
        <w:ind w:left="681" w:hanging="397"/>
        <w:rPr>
          <w:b/>
          <w:noProof/>
          <w:lang w:val="sk-SK"/>
        </w:rPr>
      </w:pPr>
      <w:r w:rsidRPr="00F77C54">
        <w:rPr>
          <w:b/>
          <w:noProof/>
          <w:lang w:val="sk-SK"/>
        </w:rPr>
        <w:t>c</w:t>
      </w:r>
      <w:r w:rsidR="00FE483B" w:rsidRPr="00F77C54">
        <w:rPr>
          <w:b/>
          <w:noProof/>
          <w:lang w:val="sk-SK"/>
        </w:rPr>
        <w:t>)</w:t>
      </w:r>
      <w:r w:rsidR="00FE483B" w:rsidRPr="00F77C54">
        <w:rPr>
          <w:b/>
          <w:noProof/>
          <w:lang w:val="sk-SK"/>
        </w:rPr>
        <w:tab/>
      </w:r>
      <w:r w:rsidRPr="00F77C54">
        <w:rPr>
          <w:b/>
          <w:noProof/>
          <w:lang w:val="sk-SK"/>
        </w:rPr>
        <w:t>J</w:t>
      </w:r>
      <w:r w:rsidR="00FE483B" w:rsidRPr="00F77C54">
        <w:rPr>
          <w:b/>
          <w:noProof/>
          <w:lang w:val="sk-SK"/>
        </w:rPr>
        <w:t>udikatú</w:t>
      </w:r>
      <w:r w:rsidRPr="00F77C54">
        <w:rPr>
          <w:b/>
          <w:noProof/>
          <w:lang w:val="sk-SK"/>
        </w:rPr>
        <w:t>ra</w:t>
      </w:r>
      <w:r w:rsidR="00E54EE2" w:rsidRPr="00F77C54">
        <w:rPr>
          <w:b/>
          <w:noProof/>
          <w:lang w:val="sk-SK"/>
        </w:rPr>
        <w:t xml:space="preserve"> Súdneho dvora Európskej únie</w:t>
      </w:r>
      <w:r w:rsidR="00FE483B" w:rsidRPr="00F77C54">
        <w:rPr>
          <w:b/>
          <w:noProof/>
          <w:lang w:val="sk-SK"/>
        </w:rPr>
        <w:t>:</w:t>
      </w:r>
    </w:p>
    <w:p w:rsidR="00B64B62" w:rsidRPr="00F77C54" w:rsidRDefault="00B64B62" w:rsidP="004C0574">
      <w:pPr>
        <w:widowControl/>
        <w:numPr>
          <w:ilvl w:val="0"/>
          <w:numId w:val="1"/>
        </w:numPr>
        <w:tabs>
          <w:tab w:val="clear" w:pos="644"/>
          <w:tab w:val="num" w:pos="1134"/>
        </w:tabs>
        <w:adjustRightInd/>
        <w:spacing w:line="276" w:lineRule="auto"/>
        <w:ind w:left="567" w:hanging="280"/>
        <w:jc w:val="both"/>
        <w:rPr>
          <w:noProof/>
        </w:rPr>
      </w:pPr>
      <w:r w:rsidRPr="00F77C54">
        <w:rPr>
          <w:noProof/>
        </w:rPr>
        <w:lastRenderedPageBreak/>
        <w:t xml:space="preserve">rozhodnutie Súdneho dvora vo veci C - 82/12, </w:t>
      </w:r>
      <w:r w:rsidRPr="00F77C54">
        <w:rPr>
          <w:bCs/>
          <w:noProof/>
        </w:rPr>
        <w:t>Transportes Jordi Besora SL</w:t>
      </w:r>
      <w:r w:rsidRPr="00F77C54">
        <w:rPr>
          <w:noProof/>
        </w:rPr>
        <w:t xml:space="preserve"> proti </w:t>
      </w:r>
      <w:r w:rsidRPr="00F77C54">
        <w:rPr>
          <w:bCs/>
          <w:noProof/>
        </w:rPr>
        <w:t>Generalitat de Catalunya</w:t>
      </w:r>
      <w:r w:rsidRPr="00F77C54">
        <w:rPr>
          <w:noProof/>
        </w:rPr>
        <w:t>, [2014].</w:t>
      </w:r>
    </w:p>
    <w:p w:rsidR="00B64B62" w:rsidRPr="00F77C54" w:rsidRDefault="00B64B62" w:rsidP="00B64B62">
      <w:pPr>
        <w:spacing w:line="276" w:lineRule="auto"/>
        <w:ind w:hanging="357"/>
        <w:jc w:val="both"/>
        <w:rPr>
          <w:noProof/>
        </w:rPr>
      </w:pPr>
    </w:p>
    <w:p w:rsidR="00B64B62" w:rsidRPr="00F77C54" w:rsidRDefault="00F77C54" w:rsidP="004C0574">
      <w:pPr>
        <w:tabs>
          <w:tab w:val="left" w:pos="567"/>
        </w:tabs>
        <w:spacing w:line="276" w:lineRule="auto"/>
        <w:jc w:val="both"/>
        <w:rPr>
          <w:b/>
          <w:noProof/>
        </w:rPr>
      </w:pPr>
      <w:r>
        <w:rPr>
          <w:b/>
          <w:noProof/>
        </w:rPr>
        <w:t xml:space="preserve">          </w:t>
      </w:r>
      <w:r w:rsidR="00B64B62" w:rsidRPr="00F77C54">
        <w:rPr>
          <w:b/>
          <w:noProof/>
        </w:rPr>
        <w:t>Výrok rozhodnutia:</w:t>
      </w:r>
    </w:p>
    <w:p w:rsidR="00B64B62" w:rsidRPr="00F77C54" w:rsidRDefault="00B64B62" w:rsidP="00A173F4">
      <w:pPr>
        <w:pStyle w:val="Zkladntext"/>
        <w:spacing w:after="0"/>
        <w:ind w:left="567"/>
        <w:jc w:val="both"/>
        <w:rPr>
          <w:bCs/>
          <w:noProof/>
          <w:lang w:val="sk-SK"/>
        </w:rPr>
      </w:pPr>
      <w:r w:rsidRPr="00F77C54">
        <w:rPr>
          <w:bCs/>
          <w:noProof/>
          <w:lang w:val="sk-SK"/>
        </w:rPr>
        <w:t>Článok 3 ods. 2 smernice Rady 92/12/EHS z 25. februára 1992 o všeobecnom systéme, držbe, preprave a kontrole tovarov podliehajúcich spotrebným daniam sa má vykladať v tom zmysle, že bráni vnútroštátnej právnej úprave, ktorá zavádza daň z maloobchodného predaja minerálnych olejov, akou je daň z predaja určitých minerálnych olejov dotknutá vo veci samej, keďže takúto daň nemožno považovať za daň, ktorá sleduje špecifický účel v zmysle tohto ustanovenia, pretože cieľ tejto dane, určenej na financovanie výkonu právomocí v oblasti zdravotníctva a životného prostredia dotknutými územnými samosprávnymi celkami, sám osebe nesmeruje k zabezpečeniu ochrany zdravia a životného prostredia.</w:t>
      </w:r>
    </w:p>
    <w:p w:rsidR="002608AE" w:rsidRPr="00F77C54" w:rsidRDefault="002608AE" w:rsidP="00B64B62">
      <w:pPr>
        <w:pStyle w:val="Zkladntext"/>
        <w:spacing w:after="0" w:line="276" w:lineRule="auto"/>
        <w:ind w:left="567"/>
        <w:jc w:val="both"/>
        <w:rPr>
          <w:bCs/>
          <w:noProof/>
          <w:lang w:val="sk-SK"/>
        </w:rPr>
      </w:pPr>
    </w:p>
    <w:p w:rsidR="002608AE" w:rsidRPr="00F77C54" w:rsidRDefault="002608AE" w:rsidP="004C0574">
      <w:pPr>
        <w:widowControl/>
        <w:numPr>
          <w:ilvl w:val="0"/>
          <w:numId w:val="1"/>
        </w:numPr>
        <w:tabs>
          <w:tab w:val="clear" w:pos="644"/>
          <w:tab w:val="num" w:pos="567"/>
          <w:tab w:val="num" w:pos="1134"/>
        </w:tabs>
        <w:adjustRightInd/>
        <w:spacing w:line="276" w:lineRule="auto"/>
        <w:ind w:hanging="357"/>
        <w:jc w:val="both"/>
        <w:rPr>
          <w:noProof/>
        </w:rPr>
      </w:pPr>
      <w:r w:rsidRPr="00F77C54">
        <w:rPr>
          <w:noProof/>
        </w:rPr>
        <w:t xml:space="preserve">rozhodnutie Súdneho dvora vo veci C </w:t>
      </w:r>
      <w:r w:rsidR="00FD0F1D" w:rsidRPr="00F77C54">
        <w:rPr>
          <w:noProof/>
        </w:rPr>
        <w:t>-</w:t>
      </w:r>
      <w:r w:rsidRPr="00F77C54">
        <w:rPr>
          <w:noProof/>
        </w:rPr>
        <w:t xml:space="preserve"> 103/17, </w:t>
      </w:r>
      <w:r w:rsidR="00A173F4" w:rsidRPr="00F77C54">
        <w:rPr>
          <w:bCs/>
        </w:rPr>
        <w:t>Messer France SAS</w:t>
      </w:r>
      <w:r w:rsidR="00A173F4" w:rsidRPr="00F77C54">
        <w:t xml:space="preserve"> </w:t>
      </w:r>
      <w:r w:rsidRPr="00F77C54">
        <w:rPr>
          <w:noProof/>
        </w:rPr>
        <w:t xml:space="preserve">proti </w:t>
      </w:r>
      <w:r w:rsidR="00A173F4" w:rsidRPr="00F77C54">
        <w:t>Premier ministre a i.</w:t>
      </w:r>
      <w:r w:rsidRPr="00F77C54">
        <w:rPr>
          <w:noProof/>
        </w:rPr>
        <w:t>, [201</w:t>
      </w:r>
      <w:r w:rsidR="00A173F4" w:rsidRPr="00F77C54">
        <w:rPr>
          <w:noProof/>
        </w:rPr>
        <w:t>8</w:t>
      </w:r>
      <w:r w:rsidRPr="00F77C54">
        <w:rPr>
          <w:noProof/>
        </w:rPr>
        <w:t>].</w:t>
      </w:r>
    </w:p>
    <w:p w:rsidR="002608AE" w:rsidRPr="00F77C54" w:rsidRDefault="002608AE" w:rsidP="00FE483B">
      <w:pPr>
        <w:pStyle w:val="Zkladntext"/>
        <w:ind w:left="301" w:right="-108"/>
        <w:rPr>
          <w:b/>
          <w:noProof/>
          <w:lang w:val="sk-SK"/>
        </w:rPr>
      </w:pPr>
    </w:p>
    <w:p w:rsidR="00FE483B" w:rsidRPr="00F77C54" w:rsidRDefault="002608AE" w:rsidP="004C0574">
      <w:pPr>
        <w:pStyle w:val="Zkladntext"/>
        <w:ind w:left="301" w:right="-108" w:firstLine="266"/>
        <w:rPr>
          <w:b/>
          <w:noProof/>
          <w:lang w:val="sk-SK"/>
        </w:rPr>
      </w:pPr>
      <w:r w:rsidRPr="00F77C54">
        <w:rPr>
          <w:b/>
          <w:noProof/>
          <w:lang w:val="sk-SK"/>
        </w:rPr>
        <w:t>Výrok rozhodnutia:</w:t>
      </w:r>
    </w:p>
    <w:p w:rsidR="00A173F4" w:rsidRPr="00F77C54" w:rsidRDefault="00A173F4" w:rsidP="00A173F4">
      <w:pPr>
        <w:pStyle w:val="c08dispositif"/>
        <w:ind w:left="567" w:firstLine="0"/>
        <w:rPr>
          <w:b w:val="0"/>
        </w:rPr>
      </w:pPr>
      <w:r w:rsidRPr="00F77C54">
        <w:rPr>
          <w:b w:val="0"/>
        </w:rPr>
        <w:t>1.      Článok 18 ods. 10 druhý pododsek smernice Rady 2003/96/ES z 27. októbra 2003 o reštrukturalizácii právneho rámca spoločenstva pre zdaňovanie energetických výrobkov a elektriny sa má vykladať v tom zmysle, že až do 1. januára 2009 predstavovalo dodržiavanie minimálnych úrovní zdanenia stanovených touto smernicou spomedzi pravidiel zdanenia elektriny stanovených právom Únie jedinú povinnosť, ktorá prináležala Francúzskej republike.</w:t>
      </w:r>
    </w:p>
    <w:p w:rsidR="00A173F4" w:rsidRPr="00F77C54" w:rsidRDefault="00A173F4" w:rsidP="00A173F4">
      <w:pPr>
        <w:pStyle w:val="c08dispositif"/>
        <w:ind w:left="567" w:firstLine="0"/>
        <w:rPr>
          <w:b w:val="0"/>
        </w:rPr>
      </w:pPr>
      <w:r w:rsidRPr="00F77C54">
        <w:rPr>
          <w:b w:val="0"/>
        </w:rPr>
        <w:t>2.      Článok 3 ods. 2 smernice Rady 92/12/EHS z 25. februára 1992 o všeobecných systémoch pre výrobky podliehajúce spotrebnej dani a o vlastníctve, pohybe a monitorovaní takýchto výrobkov sa má vykladať v tom zmysle, že zavedenie inej nepriamej dane z elektriny nie je podmienené zavedením harmonizovanej spotrebnej dane a keďže taká daň, o akú ide vo veci samej, nepredstavuje takúto spotrebnú daň, jej zlučiteľnosť so smernicami 92/12 a 2003/96 sa musí posúdiť vzhľadom na podmienky stanovené v článku 3 ods. 2 smernice 92/12 pre existenciu iných nepriamych daní sledujúcich osobitné účely.</w:t>
      </w:r>
    </w:p>
    <w:p w:rsidR="00A173F4" w:rsidRPr="00F77C54" w:rsidRDefault="00A173F4" w:rsidP="00A173F4">
      <w:pPr>
        <w:pStyle w:val="c08dispositif"/>
        <w:ind w:left="567" w:firstLine="0"/>
        <w:rPr>
          <w:b w:val="0"/>
        </w:rPr>
      </w:pPr>
      <w:r w:rsidRPr="00F77C54">
        <w:rPr>
          <w:b w:val="0"/>
        </w:rPr>
        <w:t>3.      Článok 3 ods. 2 smernice 92/12 sa má vykladať v tom zmysle, že taká daň, o akú ide vo veci samej, môže byť považovaná za „inú nepriamu daň“ vzhľadom na jej environmentálny účel, ktorého cieľom je financovať dodatočné náklady spojené s povinnosťou nákupu zelenej energie, vylúčiac však účely tejto dane týkajúce sa územnej a sociálnej kohézie, ako je realizácia geografického vyrovnania sadzieb a zníženie ceny elektriny pre domácnosti postihnuté chudobou, a čisto administratívne účely, ako je najmä financovanie nákladov na administratívne fungovanie verejných orgánov a inštitúcií, ako je Médiateur national de l’énergie (Národný energetický mediátor) a Caisse de dépôts et consignations (Štátna depozitná pokladnica), pod podmienkou, že vnútroštátny súd overí dodržiavanie pravidiel zdanenia uplatniteľných na účely spotrebných daní.</w:t>
      </w:r>
    </w:p>
    <w:p w:rsidR="00A173F4" w:rsidRPr="00F77C54" w:rsidRDefault="00A173F4" w:rsidP="00A173F4">
      <w:pPr>
        <w:pStyle w:val="c08dispositif"/>
        <w:ind w:left="567" w:firstLine="0"/>
        <w:rPr>
          <w:b w:val="0"/>
        </w:rPr>
      </w:pPr>
      <w:r w:rsidRPr="00F77C54">
        <w:rPr>
          <w:b w:val="0"/>
        </w:rPr>
        <w:t xml:space="preserve">4.      Právo Únie sa má vykladať v tom zmysle, že daňovníci môžu žiadať o vrátenie časti takej dane, o akú ide vo veci samej, v závislosti od toho, aká časť z príjmov z tejto dane </w:t>
      </w:r>
      <w:r w:rsidRPr="00F77C54">
        <w:rPr>
          <w:b w:val="0"/>
        </w:rPr>
        <w:lastRenderedPageBreak/>
        <w:t>je určená na financovanie účelov, ktoré nie sú osobitné, pod podmienkou, že túto daň nepreniesli títo daňovníci na svojich vlastných zákazníkov, čo prináleží overiť vnútroštátnemu súdu.</w:t>
      </w:r>
    </w:p>
    <w:p w:rsidR="00A173F4" w:rsidRPr="00F77C54" w:rsidRDefault="0032323C" w:rsidP="0022297E">
      <w:pPr>
        <w:pStyle w:val="Zkladntext"/>
        <w:numPr>
          <w:ilvl w:val="0"/>
          <w:numId w:val="1"/>
        </w:numPr>
        <w:tabs>
          <w:tab w:val="clear" w:pos="644"/>
          <w:tab w:val="num" w:pos="567"/>
        </w:tabs>
        <w:ind w:right="-108"/>
        <w:jc w:val="both"/>
        <w:rPr>
          <w:noProof/>
          <w:lang w:val="sk-SK"/>
        </w:rPr>
      </w:pPr>
      <w:r w:rsidRPr="00F77C54">
        <w:rPr>
          <w:noProof/>
          <w:lang w:val="sk-SK"/>
        </w:rPr>
        <w:t xml:space="preserve">rozhodnutie Súdneho dvora vo veci </w:t>
      </w:r>
      <w:r w:rsidRPr="00F77C54">
        <w:rPr>
          <w:lang w:val="sk-SK"/>
        </w:rPr>
        <w:t xml:space="preserve">C </w:t>
      </w:r>
      <w:r w:rsidRPr="00F77C54">
        <w:rPr>
          <w:lang w:val="sk-SK"/>
        </w:rPr>
        <w:noBreakHyphen/>
        <w:t xml:space="preserve"> 355/14 </w:t>
      </w:r>
      <w:r w:rsidRPr="00F77C54">
        <w:rPr>
          <w:bCs/>
          <w:lang w:val="sk-SK"/>
        </w:rPr>
        <w:t>„Polichim</w:t>
      </w:r>
      <w:r w:rsidRPr="00F77C54">
        <w:rPr>
          <w:bCs/>
          <w:lang w:val="sk-SK"/>
        </w:rPr>
        <w:noBreakHyphen/>
        <w:t xml:space="preserve">SS“ EOOD proti Načalnik na Mitnica Svištov, </w:t>
      </w:r>
      <w:r w:rsidRPr="00F77C54">
        <w:rPr>
          <w:noProof/>
          <w:lang w:val="sk-SK"/>
        </w:rPr>
        <w:t>[2016].</w:t>
      </w:r>
    </w:p>
    <w:p w:rsidR="0032323C" w:rsidRPr="00F77C54" w:rsidRDefault="0032323C" w:rsidP="0022297E">
      <w:pPr>
        <w:pStyle w:val="Zkladntext"/>
        <w:ind w:left="567" w:right="-108"/>
        <w:rPr>
          <w:b/>
          <w:noProof/>
          <w:lang w:val="sk-SK"/>
        </w:rPr>
      </w:pPr>
      <w:r w:rsidRPr="00F77C54">
        <w:rPr>
          <w:b/>
          <w:noProof/>
          <w:lang w:val="sk-SK"/>
        </w:rPr>
        <w:t>Výrok rozhodnutia:</w:t>
      </w:r>
    </w:p>
    <w:p w:rsidR="0032323C" w:rsidRPr="00F77C54" w:rsidRDefault="0032323C" w:rsidP="0022297E">
      <w:pPr>
        <w:widowControl/>
        <w:adjustRightInd/>
        <w:spacing w:before="100" w:beforeAutospacing="1" w:after="240"/>
        <w:ind w:left="567"/>
        <w:jc w:val="both"/>
        <w:rPr>
          <w:bCs/>
        </w:rPr>
      </w:pPr>
      <w:r w:rsidRPr="00F77C54">
        <w:rPr>
          <w:bCs/>
        </w:rPr>
        <w:t xml:space="preserve">1.      Článok 7 ods. 2 smernice Rady </w:t>
      </w:r>
      <w:bookmarkStart w:id="1" w:name="ctx27"/>
      <w:r w:rsidRPr="00F77C54">
        <w:rPr>
          <w:bCs/>
        </w:rPr>
        <w:t>2008/118</w:t>
      </w:r>
      <w:bookmarkEnd w:id="1"/>
      <w:r w:rsidRPr="00F77C54">
        <w:rPr>
          <w:bCs/>
        </w:rPr>
        <w:t>/ES zo 16. decembra 2008 o všeobecnom systéme spotrebných daní a o zrušení smernice 92/12/EHS sa má vykladať v tom zmysle, že predaj výrobku podliehajúceho spotrebnej dani držaného oprávneným prevádzkovateľom daňového skladu v daňovom sklade vedie k prepusteniu do daňového voľného obehu až v momente, keď tento výrobok fyzicky opustí daňový sklad.</w:t>
      </w:r>
    </w:p>
    <w:p w:rsidR="0032323C" w:rsidRPr="00F77C54" w:rsidRDefault="0032323C" w:rsidP="0022297E">
      <w:pPr>
        <w:widowControl/>
        <w:adjustRightInd/>
        <w:spacing w:before="100" w:beforeAutospacing="1" w:after="240"/>
        <w:ind w:left="567"/>
        <w:jc w:val="both"/>
        <w:rPr>
          <w:bCs/>
        </w:rPr>
      </w:pPr>
      <w:r w:rsidRPr="00F77C54">
        <w:rPr>
          <w:bCs/>
        </w:rPr>
        <w:t xml:space="preserve">2.      Článok 14 ods. 1 písm. a) smernice Rady 2003/96/ES z 27. októbra 2003 o reštrukturalizácii právneho rámca spoločenstva pre zdaňovanie energetických výrobkov a elektriny v spojení s článkom 7 smernice </w:t>
      </w:r>
      <w:bookmarkStart w:id="2" w:name="ctx28"/>
      <w:r w:rsidRPr="00F77C54">
        <w:rPr>
          <w:bCs/>
        </w:rPr>
        <w:t>2008/118</w:t>
      </w:r>
      <w:bookmarkEnd w:id="2"/>
      <w:r w:rsidRPr="00F77C54">
        <w:rPr>
          <w:bCs/>
        </w:rPr>
        <w:t xml:space="preserve"> sa má vykladať v tom zmysle, že bráni tomu, aby vnútroštátne orgány odmietli oslobodiť od spotrebnej dane energetické výrobky, ktoré potom, ako boli oprávneným prevádzkovateľom daňového skladu predané sprostredkujúcemu kupujúcemu, ich tento kupujúci predal konečnému spotrebiteľovi, ktorý spĺňa všetky požiadavky vnútroštátneho práva na oslobodenie týchto výrobkov od spotrebnej dane a ktorému boli tieto výrobky dodané priamo týmto oprávneným prevádzkovateľom daňového skladu z daňového skladu, len z toho dôvodu, že sprostredkujúci kupujúci označený týmto oprávneným prevádzkovateľom daňového skladu ako príjemca uvedených výrobkov nie je konečným spotrebiteľom oprávneným podľa vnútroštátneho práva prijímať energetické výrobky oslobodené od spotrebnej dane.</w:t>
      </w:r>
    </w:p>
    <w:p w:rsidR="00FD0C44" w:rsidRPr="00F77C54" w:rsidRDefault="00FD0C44" w:rsidP="0022297E">
      <w:pPr>
        <w:pStyle w:val="Zkladntext"/>
        <w:numPr>
          <w:ilvl w:val="0"/>
          <w:numId w:val="1"/>
        </w:numPr>
        <w:tabs>
          <w:tab w:val="clear" w:pos="644"/>
          <w:tab w:val="num" w:pos="567"/>
        </w:tabs>
        <w:ind w:right="-108"/>
        <w:jc w:val="both"/>
        <w:rPr>
          <w:noProof/>
          <w:lang w:val="sk-SK"/>
        </w:rPr>
      </w:pPr>
      <w:r w:rsidRPr="00F77C54">
        <w:rPr>
          <w:noProof/>
          <w:lang w:val="sk-SK"/>
        </w:rPr>
        <w:t xml:space="preserve">rozhodnutie Súdneho dvora vo veci </w:t>
      </w:r>
      <w:r w:rsidRPr="00F77C54">
        <w:rPr>
          <w:lang w:val="sk-SK"/>
        </w:rPr>
        <w:t xml:space="preserve">C </w:t>
      </w:r>
      <w:r w:rsidRPr="00F77C54">
        <w:rPr>
          <w:lang w:val="sk-SK"/>
        </w:rPr>
        <w:noBreakHyphen/>
        <w:t xml:space="preserve"> 349/13 </w:t>
      </w:r>
      <w:r w:rsidRPr="00F77C54">
        <w:rPr>
          <w:bCs/>
          <w:lang w:val="sk-SK"/>
        </w:rPr>
        <w:t>Minister Finansów proti Oil Trading Poland sp. z o.</w:t>
      </w:r>
      <w:r w:rsidR="003B3E17">
        <w:rPr>
          <w:bCs/>
          <w:lang w:val="sk-SK"/>
        </w:rPr>
        <w:t xml:space="preserve"> </w:t>
      </w:r>
      <w:r w:rsidRPr="00F77C54">
        <w:rPr>
          <w:bCs/>
          <w:lang w:val="sk-SK"/>
        </w:rPr>
        <w:t xml:space="preserve">o., </w:t>
      </w:r>
      <w:r w:rsidRPr="00F77C54">
        <w:rPr>
          <w:noProof/>
          <w:lang w:val="sk-SK"/>
        </w:rPr>
        <w:t>[2015].</w:t>
      </w:r>
    </w:p>
    <w:p w:rsidR="00FD0C44" w:rsidRPr="00F77C54" w:rsidRDefault="00FD0C44" w:rsidP="0022297E">
      <w:pPr>
        <w:pStyle w:val="Zkladntext"/>
        <w:ind w:left="567" w:right="-108"/>
        <w:rPr>
          <w:b/>
          <w:noProof/>
          <w:lang w:val="sk-SK"/>
        </w:rPr>
      </w:pPr>
      <w:r w:rsidRPr="00F77C54">
        <w:rPr>
          <w:b/>
          <w:noProof/>
          <w:lang w:val="sk-SK"/>
        </w:rPr>
        <w:t>Výrok rozhodnutia:</w:t>
      </w:r>
    </w:p>
    <w:p w:rsidR="002608AE" w:rsidRPr="00F77C54" w:rsidRDefault="00FD0C44" w:rsidP="00FD0C44">
      <w:pPr>
        <w:pStyle w:val="Zkladntext"/>
        <w:ind w:left="567" w:right="-108"/>
        <w:jc w:val="both"/>
        <w:rPr>
          <w:lang w:val="sk-SK"/>
        </w:rPr>
      </w:pPr>
      <w:r w:rsidRPr="00F77C54">
        <w:rPr>
          <w:bCs/>
          <w:lang w:val="sk-SK"/>
        </w:rPr>
        <w:t xml:space="preserve">Článok 3 ods. 3 smernice Rady 92/12/EHS z 25. februára 1992 o všeobecných systémoch pre výrobky podliehajúce spotrebnej dani a o vlastníctve, pohybe a monitorovaní takýchto výrobkov a článok 1 ods. 3 smernice Rady </w:t>
      </w:r>
      <w:bookmarkStart w:id="3" w:name="ctx21"/>
      <w:r w:rsidRPr="00F77C54">
        <w:rPr>
          <w:bCs/>
          <w:lang w:val="sk-SK"/>
        </w:rPr>
        <w:t>2008/118</w:t>
      </w:r>
      <w:bookmarkEnd w:id="3"/>
      <w:r w:rsidRPr="00F77C54">
        <w:rPr>
          <w:bCs/>
          <w:lang w:val="sk-SK"/>
        </w:rPr>
        <w:t>/ES zo 16. decembra 2008 o všeobecnom systéme spotrebných daní a o zrušení smernice 92/12/EHS sa majú vykladať v tom zmysle, že nebránia tomu, aby výrobky, ktoré nespadajú do pôsobnosti uvedených smerníc, ako sú mazacie oleje určené na iné účely ako motorové palivá alebo vykurovacie palivá, podliehali dani upravenej rovnakými pravidlami ako režim zosúladenej spotrebnej dane vyplývajúci z uvedených smerníc, pretože skutočnosť, že uvedené výrobky tejto dani podliehajú, nepredstavuje v obchode medzi členskými štátmi formality spojené s prekročením hraníc.</w:t>
      </w:r>
    </w:p>
    <w:p w:rsidR="002608AE" w:rsidRPr="00F77C54" w:rsidRDefault="002608AE" w:rsidP="00FE483B">
      <w:pPr>
        <w:pStyle w:val="Zkladntext"/>
        <w:ind w:left="301" w:right="-108"/>
        <w:rPr>
          <w:noProof/>
          <w:lang w:val="sk-SK"/>
        </w:rPr>
      </w:pPr>
    </w:p>
    <w:p w:rsidR="00FE483B" w:rsidRPr="00F77C54" w:rsidRDefault="00FE483B" w:rsidP="0022297E">
      <w:pPr>
        <w:pStyle w:val="Zkladntext0"/>
        <w:tabs>
          <w:tab w:val="left" w:pos="284"/>
        </w:tabs>
        <w:spacing w:before="120" w:after="120"/>
        <w:ind w:left="3"/>
        <w:jc w:val="both"/>
        <w:rPr>
          <w:b/>
          <w:bCs/>
          <w:noProof/>
          <w:sz w:val="24"/>
          <w:szCs w:val="24"/>
        </w:rPr>
      </w:pPr>
      <w:r w:rsidRPr="00F77C54">
        <w:rPr>
          <w:b/>
          <w:bCs/>
          <w:noProof/>
          <w:sz w:val="24"/>
          <w:szCs w:val="24"/>
        </w:rPr>
        <w:t>4.</w:t>
      </w:r>
      <w:r w:rsidRPr="00F77C54">
        <w:rPr>
          <w:b/>
          <w:bCs/>
          <w:noProof/>
          <w:sz w:val="24"/>
          <w:szCs w:val="24"/>
        </w:rPr>
        <w:tab/>
        <w:t>Záväzky Slovenskej republiky vo vzťahu Európskej únii:</w:t>
      </w:r>
    </w:p>
    <w:p w:rsidR="00BB2AEC" w:rsidRPr="00F77C54" w:rsidRDefault="00BB2AEC" w:rsidP="00897796">
      <w:pPr>
        <w:widowControl/>
        <w:numPr>
          <w:ilvl w:val="0"/>
          <w:numId w:val="5"/>
        </w:numPr>
        <w:tabs>
          <w:tab w:val="clear" w:pos="720"/>
          <w:tab w:val="left" w:pos="709"/>
        </w:tabs>
        <w:adjustRightInd/>
        <w:spacing w:after="120" w:line="276" w:lineRule="auto"/>
        <w:ind w:left="709" w:hanging="425"/>
        <w:jc w:val="both"/>
        <w:rPr>
          <w:noProof/>
          <w:lang w:eastAsia="cs-CZ"/>
        </w:rPr>
      </w:pPr>
      <w:r w:rsidRPr="00F77C54">
        <w:rPr>
          <w:noProof/>
          <w:lang w:eastAsia="cs-CZ"/>
        </w:rPr>
        <w:t>Lehota na prebratie smernice 2003/96/ES: do dňa pristúpenia Slovenskej republiky k Európskej únii, t.j. do 1.5. 2004</w:t>
      </w:r>
      <w:r w:rsidR="00A055C8" w:rsidRPr="00F77C54">
        <w:rPr>
          <w:noProof/>
          <w:lang w:eastAsia="cs-CZ"/>
        </w:rPr>
        <w:t>.</w:t>
      </w:r>
    </w:p>
    <w:p w:rsidR="00BB2AEC" w:rsidRPr="00F77C54" w:rsidRDefault="00FD0F1D" w:rsidP="00897796">
      <w:pPr>
        <w:widowControl/>
        <w:tabs>
          <w:tab w:val="left" w:pos="709"/>
        </w:tabs>
        <w:adjustRightInd/>
        <w:spacing w:after="120" w:line="276" w:lineRule="auto"/>
        <w:ind w:left="709" w:hanging="425"/>
        <w:jc w:val="both"/>
        <w:rPr>
          <w:noProof/>
          <w:lang w:eastAsia="cs-CZ"/>
        </w:rPr>
      </w:pPr>
      <w:r w:rsidRPr="00F77C54">
        <w:rPr>
          <w:noProof/>
          <w:lang w:eastAsia="cs-CZ"/>
        </w:rPr>
        <w:tab/>
      </w:r>
      <w:r w:rsidR="00BB2AEC" w:rsidRPr="00F77C54">
        <w:rPr>
          <w:noProof/>
          <w:lang w:eastAsia="cs-CZ"/>
        </w:rPr>
        <w:t xml:space="preserve">Lehota na prebratie smernice 2008/118/ES bola </w:t>
      </w:r>
      <w:r w:rsidR="00BB2AEC" w:rsidRPr="00F77C54">
        <w:rPr>
          <w:bCs/>
          <w:noProof/>
        </w:rPr>
        <w:t>stanovená do 1.1. 2010.</w:t>
      </w:r>
    </w:p>
    <w:p w:rsidR="00FE483B" w:rsidRPr="00F77C54" w:rsidRDefault="00BB2AEC" w:rsidP="00897796">
      <w:pPr>
        <w:widowControl/>
        <w:numPr>
          <w:ilvl w:val="0"/>
          <w:numId w:val="5"/>
        </w:numPr>
        <w:tabs>
          <w:tab w:val="clear" w:pos="720"/>
          <w:tab w:val="left" w:pos="709"/>
        </w:tabs>
        <w:adjustRightInd/>
        <w:spacing w:after="120" w:line="276" w:lineRule="auto"/>
        <w:ind w:left="709" w:hanging="425"/>
        <w:jc w:val="both"/>
        <w:rPr>
          <w:noProof/>
          <w:lang w:eastAsia="cs-CZ"/>
        </w:rPr>
      </w:pPr>
      <w:r w:rsidRPr="00F77C54">
        <w:rPr>
          <w:noProof/>
          <w:lang w:eastAsia="cs-CZ"/>
        </w:rPr>
        <w:lastRenderedPageBreak/>
        <w:t xml:space="preserve">Proti SR nebolo </w:t>
      </w:r>
      <w:r w:rsidRPr="00F77C54">
        <w:rPr>
          <w:noProof/>
        </w:rPr>
        <w:t xml:space="preserve">začaté konanie v rámci „EÚ Pilot“, ani nebol začatý postup EK ako aj nebolo </w:t>
      </w:r>
      <w:r w:rsidRPr="00F77C54">
        <w:rPr>
          <w:noProof/>
          <w:lang w:eastAsia="cs-CZ"/>
        </w:rPr>
        <w:t xml:space="preserve">začaté konanie o porušení </w:t>
      </w:r>
      <w:r w:rsidR="00FE483B" w:rsidRPr="00F77C54">
        <w:rPr>
          <w:noProof/>
        </w:rPr>
        <w:t>podľa čl. 258 až 260 Zmluvy o fungovaní Európskej únie.</w:t>
      </w:r>
    </w:p>
    <w:p w:rsidR="00B64B62" w:rsidRPr="00F77C54" w:rsidRDefault="00B64B62" w:rsidP="00B64B62">
      <w:pPr>
        <w:widowControl/>
        <w:numPr>
          <w:ilvl w:val="0"/>
          <w:numId w:val="5"/>
        </w:numPr>
        <w:tabs>
          <w:tab w:val="clear" w:pos="720"/>
          <w:tab w:val="left" w:pos="709"/>
        </w:tabs>
        <w:adjustRightInd/>
        <w:spacing w:after="120" w:line="276" w:lineRule="auto"/>
        <w:ind w:left="709" w:hanging="425"/>
        <w:jc w:val="both"/>
        <w:rPr>
          <w:noProof/>
          <w:lang w:eastAsia="cs-CZ"/>
        </w:rPr>
      </w:pPr>
      <w:r w:rsidRPr="00F77C54">
        <w:rPr>
          <w:noProof/>
        </w:rPr>
        <w:t xml:space="preserve">Smernica 2003/96/ES bola prebratá do zákona č. 609/2007 Z. z. o spotrebnej dani z elektriny, uhlia a zemného plynu a o zmene a doplnení zákona č. 98/2004 Z.z. o spotrebnej dani z minerálneho oleja v znení neskorších predpisov a do zákona </w:t>
      </w:r>
      <w:r w:rsidR="006C6DC8">
        <w:rPr>
          <w:noProof/>
        </w:rPr>
        <w:t xml:space="preserve">               </w:t>
      </w:r>
      <w:r w:rsidRPr="00F77C54">
        <w:rPr>
          <w:noProof/>
        </w:rPr>
        <w:t>č. 98/2004 Z.z. o spotrebnej dani z minerálneho oleja v znení neskorších predpisov.</w:t>
      </w:r>
    </w:p>
    <w:p w:rsidR="00B64B62" w:rsidRPr="00F77C54" w:rsidRDefault="00B64B62" w:rsidP="00B64B62">
      <w:pPr>
        <w:pStyle w:val="Zkladntext1"/>
        <w:suppressAutoHyphens/>
        <w:jc w:val="both"/>
        <w:rPr>
          <w:noProof/>
          <w:color w:val="auto"/>
          <w:sz w:val="24"/>
          <w:szCs w:val="24"/>
          <w:lang w:val="sk-SK"/>
        </w:rPr>
      </w:pPr>
    </w:p>
    <w:p w:rsidR="00B64B62" w:rsidRPr="00F77C54" w:rsidRDefault="00B64B62" w:rsidP="00FD0C44">
      <w:pPr>
        <w:pStyle w:val="Zkladntext1"/>
        <w:suppressAutoHyphens/>
        <w:spacing w:line="276" w:lineRule="auto"/>
        <w:ind w:left="709"/>
        <w:jc w:val="both"/>
        <w:rPr>
          <w:bCs/>
          <w:noProof/>
          <w:color w:val="auto"/>
          <w:sz w:val="24"/>
          <w:szCs w:val="24"/>
          <w:lang w:val="sk-SK"/>
        </w:rPr>
      </w:pPr>
      <w:r w:rsidRPr="00F77C54">
        <w:rPr>
          <w:noProof/>
          <w:color w:val="auto"/>
          <w:sz w:val="24"/>
          <w:szCs w:val="24"/>
          <w:lang w:val="sk-SK"/>
        </w:rPr>
        <w:t>Smernica 2008/118</w:t>
      </w:r>
      <w:r w:rsidRPr="00F77C54">
        <w:rPr>
          <w:noProof/>
          <w:color w:val="auto"/>
          <w:sz w:val="24"/>
          <w:szCs w:val="24"/>
          <w:lang w:val="sk-SK" w:eastAsia="cs-CZ"/>
        </w:rPr>
        <w:t>/ES</w:t>
      </w:r>
      <w:r w:rsidRPr="00F77C54">
        <w:rPr>
          <w:noProof/>
          <w:color w:val="auto"/>
          <w:sz w:val="24"/>
          <w:szCs w:val="24"/>
          <w:lang w:val="sk-SK"/>
        </w:rPr>
        <w:t xml:space="preserve"> bola prebratá do zákona č.</w:t>
      </w:r>
      <w:r w:rsidRPr="00F77C54">
        <w:rPr>
          <w:b/>
          <w:noProof/>
          <w:color w:val="auto"/>
          <w:sz w:val="24"/>
          <w:szCs w:val="24"/>
          <w:lang w:val="sk-SK"/>
        </w:rPr>
        <w:t xml:space="preserve"> </w:t>
      </w:r>
      <w:r w:rsidRPr="00F77C54">
        <w:rPr>
          <w:noProof/>
          <w:color w:val="auto"/>
          <w:sz w:val="24"/>
          <w:szCs w:val="24"/>
          <w:lang w:val="sk-SK"/>
        </w:rPr>
        <w:t xml:space="preserve">530/2011 Z. z. </w:t>
      </w:r>
      <w:r w:rsidRPr="00F77C54">
        <w:rPr>
          <w:bCs/>
          <w:noProof/>
          <w:color w:val="auto"/>
          <w:sz w:val="24"/>
          <w:szCs w:val="24"/>
          <w:lang w:val="sk-SK"/>
        </w:rPr>
        <w:t xml:space="preserve">o spotrebnej dani z alkoholických nápojov v znení neskorších predpisov, </w:t>
      </w:r>
      <w:r w:rsidRPr="00F77C54">
        <w:rPr>
          <w:noProof/>
          <w:color w:val="auto"/>
          <w:sz w:val="24"/>
          <w:szCs w:val="24"/>
          <w:lang w:val="sk-SK"/>
        </w:rPr>
        <w:t xml:space="preserve">do zákona č. 98/2004 Z. z.o spotrebnej dani z minerálneho oleja </w:t>
      </w:r>
      <w:r w:rsidRPr="00F77C54">
        <w:rPr>
          <w:bCs/>
          <w:noProof/>
          <w:color w:val="auto"/>
          <w:sz w:val="24"/>
          <w:szCs w:val="24"/>
          <w:lang w:val="sk-SK"/>
        </w:rPr>
        <w:t xml:space="preserve">v znení neskorších predpisov, </w:t>
      </w:r>
      <w:r w:rsidRPr="00F77C54">
        <w:rPr>
          <w:noProof/>
          <w:color w:val="auto"/>
          <w:sz w:val="24"/>
          <w:szCs w:val="24"/>
          <w:lang w:val="sk-SK"/>
        </w:rPr>
        <w:t xml:space="preserve">do zákona </w:t>
      </w:r>
      <w:r w:rsidR="003B3E17">
        <w:rPr>
          <w:noProof/>
          <w:color w:val="auto"/>
          <w:sz w:val="24"/>
          <w:szCs w:val="24"/>
          <w:lang w:val="sk-SK"/>
        </w:rPr>
        <w:t xml:space="preserve">                      </w:t>
      </w:r>
      <w:r w:rsidRPr="00F77C54">
        <w:rPr>
          <w:noProof/>
          <w:color w:val="auto"/>
          <w:sz w:val="24"/>
          <w:szCs w:val="24"/>
          <w:lang w:val="sk-SK"/>
        </w:rPr>
        <w:t xml:space="preserve">č. 106/2004 Z. z. o spotrebnej dani z tabakových výrobkov </w:t>
      </w:r>
      <w:r w:rsidRPr="00F77C54">
        <w:rPr>
          <w:bCs/>
          <w:noProof/>
          <w:color w:val="auto"/>
          <w:sz w:val="24"/>
          <w:szCs w:val="24"/>
          <w:lang w:val="sk-SK"/>
        </w:rPr>
        <w:t xml:space="preserve">v znení neskorších predpisov a </w:t>
      </w:r>
      <w:r w:rsidRPr="00F77C54">
        <w:rPr>
          <w:noProof/>
          <w:color w:val="auto"/>
          <w:sz w:val="24"/>
          <w:szCs w:val="24"/>
          <w:lang w:val="sk-SK"/>
        </w:rPr>
        <w:t>do zákona č. 609/2007 Z. z. o spotrebnej dani z elektriny, uhlia a zemného plynu a o zmene a doplnení zákona č. 98/2004 Z. z. o spotrebnej dani z minerálneho oleja v znení neskorších predpisov v znení neskorších predpisov</w:t>
      </w:r>
      <w:r w:rsidRPr="00F77C54">
        <w:rPr>
          <w:bCs/>
          <w:noProof/>
          <w:color w:val="auto"/>
          <w:sz w:val="24"/>
          <w:szCs w:val="24"/>
          <w:lang w:val="sk-SK"/>
        </w:rPr>
        <w:t>.</w:t>
      </w:r>
    </w:p>
    <w:p w:rsidR="00B64B62" w:rsidRPr="00F77C54" w:rsidRDefault="00B64B62" w:rsidP="00FD0C44">
      <w:pPr>
        <w:widowControl/>
        <w:adjustRightInd/>
        <w:spacing w:after="120" w:line="276" w:lineRule="auto"/>
        <w:ind w:left="709"/>
        <w:jc w:val="both"/>
        <w:rPr>
          <w:noProof/>
          <w:lang w:eastAsia="cs-CZ"/>
        </w:rPr>
      </w:pPr>
    </w:p>
    <w:p w:rsidR="00FE483B" w:rsidRPr="00F77C54" w:rsidRDefault="00FE483B" w:rsidP="00FE483B">
      <w:pPr>
        <w:pStyle w:val="Zkladntext0"/>
        <w:tabs>
          <w:tab w:val="left" w:pos="284"/>
        </w:tabs>
        <w:spacing w:before="120"/>
        <w:ind w:firstLine="11"/>
        <w:jc w:val="both"/>
        <w:rPr>
          <w:b/>
          <w:noProof/>
          <w:sz w:val="24"/>
          <w:szCs w:val="24"/>
        </w:rPr>
      </w:pPr>
      <w:r w:rsidRPr="00F77C54">
        <w:rPr>
          <w:b/>
          <w:noProof/>
          <w:sz w:val="24"/>
          <w:szCs w:val="24"/>
        </w:rPr>
        <w:t>5.</w:t>
      </w:r>
      <w:r w:rsidRPr="00F77C54">
        <w:rPr>
          <w:b/>
          <w:noProof/>
          <w:sz w:val="24"/>
          <w:szCs w:val="24"/>
        </w:rPr>
        <w:tab/>
      </w:r>
      <w:r w:rsidR="00BB2AEC" w:rsidRPr="00F77C54">
        <w:rPr>
          <w:b/>
          <w:noProof/>
          <w:sz w:val="24"/>
          <w:szCs w:val="24"/>
        </w:rPr>
        <w:t xml:space="preserve">Návrh zákona je zlučiteľný </w:t>
      </w:r>
      <w:r w:rsidRPr="00F77C54">
        <w:rPr>
          <w:b/>
          <w:noProof/>
          <w:sz w:val="24"/>
          <w:szCs w:val="24"/>
        </w:rPr>
        <w:t>s právom Európskej únie:</w:t>
      </w:r>
    </w:p>
    <w:p w:rsidR="00FE483B" w:rsidRPr="00F77C54" w:rsidRDefault="00FE483B" w:rsidP="00B64B62">
      <w:pPr>
        <w:pStyle w:val="Zkladntext0"/>
        <w:spacing w:before="120"/>
        <w:ind w:left="284"/>
        <w:jc w:val="both"/>
        <w:rPr>
          <w:noProof/>
          <w:sz w:val="24"/>
          <w:szCs w:val="24"/>
        </w:rPr>
      </w:pPr>
      <w:r w:rsidRPr="00F77C54">
        <w:rPr>
          <w:noProof/>
          <w:sz w:val="24"/>
          <w:szCs w:val="24"/>
        </w:rPr>
        <w:t>Úpln</w:t>
      </w:r>
      <w:r w:rsidR="00BB2AEC" w:rsidRPr="00F77C54">
        <w:rPr>
          <w:noProof/>
          <w:sz w:val="24"/>
          <w:szCs w:val="24"/>
        </w:rPr>
        <w:t>e</w:t>
      </w:r>
      <w:r w:rsidRPr="00F77C54">
        <w:rPr>
          <w:noProof/>
          <w:sz w:val="24"/>
          <w:szCs w:val="24"/>
        </w:rPr>
        <w:t>.</w:t>
      </w:r>
    </w:p>
    <w:p w:rsidR="00B01218" w:rsidRPr="00F77C54" w:rsidRDefault="00B01218">
      <w:pPr>
        <w:rPr>
          <w:noProof/>
        </w:rPr>
      </w:pPr>
    </w:p>
    <w:sectPr w:rsidR="00B01218" w:rsidRPr="00F77C54" w:rsidSect="00B0121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318" w:rsidRDefault="00402318" w:rsidP="00886039">
      <w:r>
        <w:separator/>
      </w:r>
    </w:p>
  </w:endnote>
  <w:endnote w:type="continuationSeparator" w:id="0">
    <w:p w:rsidR="00402318" w:rsidRDefault="00402318" w:rsidP="0088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829765"/>
      <w:docPartObj>
        <w:docPartGallery w:val="Page Numbers (Bottom of Page)"/>
        <w:docPartUnique/>
      </w:docPartObj>
    </w:sdtPr>
    <w:sdtEndPr/>
    <w:sdtContent>
      <w:p w:rsidR="00886039" w:rsidRDefault="00886039">
        <w:pPr>
          <w:pStyle w:val="Pta"/>
          <w:jc w:val="center"/>
        </w:pPr>
        <w:r>
          <w:fldChar w:fldCharType="begin"/>
        </w:r>
        <w:r>
          <w:instrText>PAGE   \* MERGEFORMAT</w:instrText>
        </w:r>
        <w:r>
          <w:fldChar w:fldCharType="separate"/>
        </w:r>
        <w:r w:rsidR="003F78B4">
          <w:rPr>
            <w:noProof/>
          </w:rPr>
          <w:t>2</w:t>
        </w:r>
        <w:r>
          <w:fldChar w:fldCharType="end"/>
        </w:r>
      </w:p>
    </w:sdtContent>
  </w:sdt>
  <w:p w:rsidR="00886039" w:rsidRDefault="0088603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318" w:rsidRDefault="00402318" w:rsidP="00886039">
      <w:r>
        <w:separator/>
      </w:r>
    </w:p>
  </w:footnote>
  <w:footnote w:type="continuationSeparator" w:id="0">
    <w:p w:rsidR="00402318" w:rsidRDefault="00402318" w:rsidP="00886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146C"/>
    <w:multiLevelType w:val="hybridMultilevel"/>
    <w:tmpl w:val="44528930"/>
    <w:lvl w:ilvl="0" w:tplc="041B0017">
      <w:start w:val="1"/>
      <w:numFmt w:val="lowerLetter"/>
      <w:lvlText w:val="%1)"/>
      <w:lvlJc w:val="left"/>
      <w:pPr>
        <w:tabs>
          <w:tab w:val="num" w:pos="785"/>
        </w:tabs>
        <w:ind w:left="785" w:hanging="360"/>
      </w:pPr>
      <w:rPr>
        <w:rFonts w:cs="Times New Roman" w:hint="default"/>
      </w:rPr>
    </w:lvl>
    <w:lvl w:ilvl="1" w:tplc="041B0019">
      <w:start w:val="1"/>
      <w:numFmt w:val="lowerLetter"/>
      <w:lvlText w:val="%2."/>
      <w:lvlJc w:val="left"/>
      <w:pPr>
        <w:tabs>
          <w:tab w:val="num" w:pos="1505"/>
        </w:tabs>
        <w:ind w:left="1505" w:hanging="360"/>
      </w:pPr>
      <w:rPr>
        <w:rFonts w:cs="Times New Roman"/>
      </w:rPr>
    </w:lvl>
    <w:lvl w:ilvl="2" w:tplc="041B001B" w:tentative="1">
      <w:start w:val="1"/>
      <w:numFmt w:val="lowerRoman"/>
      <w:lvlText w:val="%3."/>
      <w:lvlJc w:val="right"/>
      <w:pPr>
        <w:tabs>
          <w:tab w:val="num" w:pos="2225"/>
        </w:tabs>
        <w:ind w:left="2225" w:hanging="180"/>
      </w:pPr>
      <w:rPr>
        <w:rFonts w:cs="Times New Roman"/>
      </w:rPr>
    </w:lvl>
    <w:lvl w:ilvl="3" w:tplc="041B000F" w:tentative="1">
      <w:start w:val="1"/>
      <w:numFmt w:val="decimal"/>
      <w:lvlText w:val="%4."/>
      <w:lvlJc w:val="left"/>
      <w:pPr>
        <w:tabs>
          <w:tab w:val="num" w:pos="2945"/>
        </w:tabs>
        <w:ind w:left="2945" w:hanging="360"/>
      </w:pPr>
      <w:rPr>
        <w:rFonts w:cs="Times New Roman"/>
      </w:rPr>
    </w:lvl>
    <w:lvl w:ilvl="4" w:tplc="041B0019" w:tentative="1">
      <w:start w:val="1"/>
      <w:numFmt w:val="lowerLetter"/>
      <w:lvlText w:val="%5."/>
      <w:lvlJc w:val="left"/>
      <w:pPr>
        <w:tabs>
          <w:tab w:val="num" w:pos="3665"/>
        </w:tabs>
        <w:ind w:left="3665" w:hanging="360"/>
      </w:pPr>
      <w:rPr>
        <w:rFonts w:cs="Times New Roman"/>
      </w:rPr>
    </w:lvl>
    <w:lvl w:ilvl="5" w:tplc="041B001B" w:tentative="1">
      <w:start w:val="1"/>
      <w:numFmt w:val="lowerRoman"/>
      <w:lvlText w:val="%6."/>
      <w:lvlJc w:val="right"/>
      <w:pPr>
        <w:tabs>
          <w:tab w:val="num" w:pos="4385"/>
        </w:tabs>
        <w:ind w:left="4385" w:hanging="180"/>
      </w:pPr>
      <w:rPr>
        <w:rFonts w:cs="Times New Roman"/>
      </w:rPr>
    </w:lvl>
    <w:lvl w:ilvl="6" w:tplc="041B000F" w:tentative="1">
      <w:start w:val="1"/>
      <w:numFmt w:val="decimal"/>
      <w:lvlText w:val="%7."/>
      <w:lvlJc w:val="left"/>
      <w:pPr>
        <w:tabs>
          <w:tab w:val="num" w:pos="5105"/>
        </w:tabs>
        <w:ind w:left="5105" w:hanging="360"/>
      </w:pPr>
      <w:rPr>
        <w:rFonts w:cs="Times New Roman"/>
      </w:rPr>
    </w:lvl>
    <w:lvl w:ilvl="7" w:tplc="041B0019" w:tentative="1">
      <w:start w:val="1"/>
      <w:numFmt w:val="lowerLetter"/>
      <w:lvlText w:val="%8."/>
      <w:lvlJc w:val="left"/>
      <w:pPr>
        <w:tabs>
          <w:tab w:val="num" w:pos="5825"/>
        </w:tabs>
        <w:ind w:left="5825" w:hanging="360"/>
      </w:pPr>
      <w:rPr>
        <w:rFonts w:cs="Times New Roman"/>
      </w:rPr>
    </w:lvl>
    <w:lvl w:ilvl="8" w:tplc="041B001B" w:tentative="1">
      <w:start w:val="1"/>
      <w:numFmt w:val="lowerRoman"/>
      <w:lvlText w:val="%9."/>
      <w:lvlJc w:val="right"/>
      <w:pPr>
        <w:tabs>
          <w:tab w:val="num" w:pos="6545"/>
        </w:tabs>
        <w:ind w:left="6545" w:hanging="180"/>
      </w:pPr>
      <w:rPr>
        <w:rFonts w:cs="Times New Roman"/>
      </w:rPr>
    </w:lvl>
  </w:abstractNum>
  <w:abstractNum w:abstractNumId="1" w15:restartNumberingAfterBreak="0">
    <w:nsid w:val="0CF261C3"/>
    <w:multiLevelType w:val="hybridMultilevel"/>
    <w:tmpl w:val="C4488A20"/>
    <w:lvl w:ilvl="0" w:tplc="041B0017">
      <w:start w:val="1"/>
      <w:numFmt w:val="lowerLetter"/>
      <w:lvlText w:val="%1)"/>
      <w:lvlJc w:val="left"/>
      <w:pPr>
        <w:tabs>
          <w:tab w:val="num" w:pos="357"/>
        </w:tabs>
        <w:ind w:left="2277" w:hanging="360"/>
      </w:pPr>
      <w:rPr>
        <w:rFonts w:cs="Times New Roman" w:hint="default"/>
      </w:rPr>
    </w:lvl>
    <w:lvl w:ilvl="1" w:tplc="041B0017">
      <w:start w:val="1"/>
      <w:numFmt w:val="lowerLetter"/>
      <w:lvlText w:val="%2)"/>
      <w:lvlJc w:val="left"/>
      <w:pPr>
        <w:tabs>
          <w:tab w:val="num" w:pos="1294"/>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0BB08A6"/>
    <w:multiLevelType w:val="hybridMultilevel"/>
    <w:tmpl w:val="1FB241BC"/>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5D0B44FF"/>
    <w:multiLevelType w:val="hybridMultilevel"/>
    <w:tmpl w:val="8C3E8A70"/>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AB62683"/>
    <w:multiLevelType w:val="singleLevel"/>
    <w:tmpl w:val="768E8086"/>
    <w:lvl w:ilvl="0">
      <w:start w:val="1"/>
      <w:numFmt w:val="bullet"/>
      <w:lvlText w:val="-"/>
      <w:lvlJc w:val="left"/>
      <w:pPr>
        <w:tabs>
          <w:tab w:val="num" w:pos="644"/>
        </w:tabs>
        <w:ind w:left="644" w:hanging="360"/>
      </w:pPr>
      <w:rPr>
        <w:rFonts w:hint="default"/>
      </w:rPr>
    </w:lvl>
  </w:abstractNum>
  <w:abstractNum w:abstractNumId="5" w15:restartNumberingAfterBreak="0">
    <w:nsid w:val="6B625AE5"/>
    <w:multiLevelType w:val="singleLevel"/>
    <w:tmpl w:val="0405000F"/>
    <w:lvl w:ilvl="0">
      <w:start w:val="2"/>
      <w:numFmt w:val="decimal"/>
      <w:lvlText w:val="%1."/>
      <w:lvlJc w:val="left"/>
      <w:pPr>
        <w:tabs>
          <w:tab w:val="num" w:pos="360"/>
        </w:tabs>
        <w:ind w:left="360" w:hanging="360"/>
      </w:pPr>
      <w:rPr>
        <w:rFonts w:cs="Times New Roman" w:hint="default"/>
      </w:rPr>
    </w:lvl>
  </w:abstractNum>
  <w:abstractNum w:abstractNumId="6" w15:restartNumberingAfterBreak="0">
    <w:nsid w:val="74011C4B"/>
    <w:multiLevelType w:val="hybridMultilevel"/>
    <w:tmpl w:val="3F1EC88E"/>
    <w:lvl w:ilvl="0" w:tplc="71D8E1E8">
      <w:start w:val="1"/>
      <w:numFmt w:val="lowerLetter"/>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7F1E6760"/>
    <w:multiLevelType w:val="hybridMultilevel"/>
    <w:tmpl w:val="CD34C702"/>
    <w:lvl w:ilvl="0" w:tplc="0F162244">
      <w:start w:val="1"/>
      <w:numFmt w:val="lowerLetter"/>
      <w:lvlText w:val="%1)"/>
      <w:lvlJc w:val="left"/>
      <w:pPr>
        <w:tabs>
          <w:tab w:val="num" w:pos="644"/>
        </w:tabs>
        <w:ind w:left="644" w:hanging="360"/>
      </w:pPr>
      <w:rPr>
        <w:rFonts w:cs="Times New Roman" w:hint="default"/>
      </w:rPr>
    </w:lvl>
    <w:lvl w:ilvl="1" w:tplc="041B0019" w:tentative="1">
      <w:start w:val="1"/>
      <w:numFmt w:val="lowerLetter"/>
      <w:lvlText w:val="%2."/>
      <w:lvlJc w:val="left"/>
      <w:pPr>
        <w:tabs>
          <w:tab w:val="num" w:pos="1364"/>
        </w:tabs>
        <w:ind w:left="1364" w:hanging="360"/>
      </w:pPr>
      <w:rPr>
        <w:rFonts w:cs="Times New Roman"/>
      </w:rPr>
    </w:lvl>
    <w:lvl w:ilvl="2" w:tplc="041B001B" w:tentative="1">
      <w:start w:val="1"/>
      <w:numFmt w:val="lowerRoman"/>
      <w:lvlText w:val="%3."/>
      <w:lvlJc w:val="right"/>
      <w:pPr>
        <w:tabs>
          <w:tab w:val="num" w:pos="2084"/>
        </w:tabs>
        <w:ind w:left="2084" w:hanging="180"/>
      </w:pPr>
      <w:rPr>
        <w:rFonts w:cs="Times New Roman"/>
      </w:rPr>
    </w:lvl>
    <w:lvl w:ilvl="3" w:tplc="041B000F" w:tentative="1">
      <w:start w:val="1"/>
      <w:numFmt w:val="decimal"/>
      <w:lvlText w:val="%4."/>
      <w:lvlJc w:val="left"/>
      <w:pPr>
        <w:tabs>
          <w:tab w:val="num" w:pos="2804"/>
        </w:tabs>
        <w:ind w:left="2804" w:hanging="360"/>
      </w:pPr>
      <w:rPr>
        <w:rFonts w:cs="Times New Roman"/>
      </w:rPr>
    </w:lvl>
    <w:lvl w:ilvl="4" w:tplc="041B0019" w:tentative="1">
      <w:start w:val="1"/>
      <w:numFmt w:val="lowerLetter"/>
      <w:lvlText w:val="%5."/>
      <w:lvlJc w:val="left"/>
      <w:pPr>
        <w:tabs>
          <w:tab w:val="num" w:pos="3524"/>
        </w:tabs>
        <w:ind w:left="3524" w:hanging="360"/>
      </w:pPr>
      <w:rPr>
        <w:rFonts w:cs="Times New Roman"/>
      </w:rPr>
    </w:lvl>
    <w:lvl w:ilvl="5" w:tplc="041B001B" w:tentative="1">
      <w:start w:val="1"/>
      <w:numFmt w:val="lowerRoman"/>
      <w:lvlText w:val="%6."/>
      <w:lvlJc w:val="right"/>
      <w:pPr>
        <w:tabs>
          <w:tab w:val="num" w:pos="4244"/>
        </w:tabs>
        <w:ind w:left="4244" w:hanging="180"/>
      </w:pPr>
      <w:rPr>
        <w:rFonts w:cs="Times New Roman"/>
      </w:rPr>
    </w:lvl>
    <w:lvl w:ilvl="6" w:tplc="041B000F" w:tentative="1">
      <w:start w:val="1"/>
      <w:numFmt w:val="decimal"/>
      <w:lvlText w:val="%7."/>
      <w:lvlJc w:val="left"/>
      <w:pPr>
        <w:tabs>
          <w:tab w:val="num" w:pos="4964"/>
        </w:tabs>
        <w:ind w:left="4964" w:hanging="360"/>
      </w:pPr>
      <w:rPr>
        <w:rFonts w:cs="Times New Roman"/>
      </w:rPr>
    </w:lvl>
    <w:lvl w:ilvl="7" w:tplc="041B0019" w:tentative="1">
      <w:start w:val="1"/>
      <w:numFmt w:val="lowerLetter"/>
      <w:lvlText w:val="%8."/>
      <w:lvlJc w:val="left"/>
      <w:pPr>
        <w:tabs>
          <w:tab w:val="num" w:pos="5684"/>
        </w:tabs>
        <w:ind w:left="5684" w:hanging="360"/>
      </w:pPr>
      <w:rPr>
        <w:rFonts w:cs="Times New Roman"/>
      </w:rPr>
    </w:lvl>
    <w:lvl w:ilvl="8" w:tplc="041B001B" w:tentative="1">
      <w:start w:val="1"/>
      <w:numFmt w:val="lowerRoman"/>
      <w:lvlText w:val="%9."/>
      <w:lvlJc w:val="right"/>
      <w:pPr>
        <w:tabs>
          <w:tab w:val="num" w:pos="6404"/>
        </w:tabs>
        <w:ind w:left="6404" w:hanging="180"/>
      </w:pPr>
      <w:rPr>
        <w:rFonts w:cs="Times New Roman"/>
      </w:rPr>
    </w:lvl>
  </w:abstractNum>
  <w:num w:numId="1">
    <w:abstractNumId w:val="4"/>
  </w:num>
  <w:num w:numId="2">
    <w:abstractNumId w:val="5"/>
  </w:num>
  <w:num w:numId="3">
    <w:abstractNumId w:val="7"/>
  </w:num>
  <w:num w:numId="4">
    <w:abstractNumId w:val="1"/>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3B"/>
    <w:rsid w:val="000E2DB0"/>
    <w:rsid w:val="0022297E"/>
    <w:rsid w:val="002553B5"/>
    <w:rsid w:val="002608AE"/>
    <w:rsid w:val="002650ED"/>
    <w:rsid w:val="00285631"/>
    <w:rsid w:val="00302A8C"/>
    <w:rsid w:val="0032323C"/>
    <w:rsid w:val="00332139"/>
    <w:rsid w:val="003B3E17"/>
    <w:rsid w:val="003D366C"/>
    <w:rsid w:val="003F78B4"/>
    <w:rsid w:val="0040070D"/>
    <w:rsid w:val="00402318"/>
    <w:rsid w:val="00414936"/>
    <w:rsid w:val="004570D9"/>
    <w:rsid w:val="004839D9"/>
    <w:rsid w:val="004C0574"/>
    <w:rsid w:val="00562771"/>
    <w:rsid w:val="005A5A28"/>
    <w:rsid w:val="005B416D"/>
    <w:rsid w:val="005C73F4"/>
    <w:rsid w:val="006003AA"/>
    <w:rsid w:val="00606B29"/>
    <w:rsid w:val="00637235"/>
    <w:rsid w:val="00684421"/>
    <w:rsid w:val="00684669"/>
    <w:rsid w:val="006C6DC8"/>
    <w:rsid w:val="006F7BA1"/>
    <w:rsid w:val="0071559E"/>
    <w:rsid w:val="007440EC"/>
    <w:rsid w:val="00886039"/>
    <w:rsid w:val="00897796"/>
    <w:rsid w:val="0090502D"/>
    <w:rsid w:val="00920E2F"/>
    <w:rsid w:val="009737B7"/>
    <w:rsid w:val="009C5467"/>
    <w:rsid w:val="009E3766"/>
    <w:rsid w:val="00A055C8"/>
    <w:rsid w:val="00A06EDF"/>
    <w:rsid w:val="00A173F4"/>
    <w:rsid w:val="00AB6B7D"/>
    <w:rsid w:val="00AC2222"/>
    <w:rsid w:val="00B01218"/>
    <w:rsid w:val="00B3372B"/>
    <w:rsid w:val="00B5369F"/>
    <w:rsid w:val="00B64B62"/>
    <w:rsid w:val="00B811E5"/>
    <w:rsid w:val="00BB2AEC"/>
    <w:rsid w:val="00C003B1"/>
    <w:rsid w:val="00C54F6B"/>
    <w:rsid w:val="00C85E21"/>
    <w:rsid w:val="00D27249"/>
    <w:rsid w:val="00D424BD"/>
    <w:rsid w:val="00D753D0"/>
    <w:rsid w:val="00E46233"/>
    <w:rsid w:val="00E47E18"/>
    <w:rsid w:val="00E54EE2"/>
    <w:rsid w:val="00E63E09"/>
    <w:rsid w:val="00E82BD2"/>
    <w:rsid w:val="00E84E73"/>
    <w:rsid w:val="00EB5BF1"/>
    <w:rsid w:val="00EC093A"/>
    <w:rsid w:val="00F77C54"/>
    <w:rsid w:val="00FD0C44"/>
    <w:rsid w:val="00FD0F1D"/>
    <w:rsid w:val="00FE483B"/>
    <w:rsid w:val="00FE7F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342572-719E-45E0-8B0C-8BBE9EB4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483B"/>
    <w:pPr>
      <w:widowControl w:val="0"/>
      <w:adjustRightInd w:val="0"/>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FE483B"/>
    <w:pPr>
      <w:widowControl/>
      <w:adjustRightInd/>
      <w:spacing w:after="120"/>
    </w:pPr>
    <w:rPr>
      <w:lang w:val="cs-CZ" w:eastAsia="cs-CZ"/>
    </w:rPr>
  </w:style>
  <w:style w:type="character" w:customStyle="1" w:styleId="ZkladntextChar">
    <w:name w:val="Základný text Char"/>
    <w:basedOn w:val="Predvolenpsmoodseku"/>
    <w:link w:val="Zkladntext"/>
    <w:uiPriority w:val="99"/>
    <w:locked/>
    <w:rsid w:val="00FE483B"/>
    <w:rPr>
      <w:rFonts w:ascii="Times New Roman" w:hAnsi="Times New Roman" w:cs="Times New Roman"/>
      <w:sz w:val="24"/>
      <w:szCs w:val="24"/>
      <w:lang w:val="cs-CZ" w:eastAsia="cs-CZ"/>
    </w:rPr>
  </w:style>
  <w:style w:type="paragraph" w:customStyle="1" w:styleId="Zkladntext0">
    <w:name w:val="Zkladn text"/>
    <w:rsid w:val="00FE483B"/>
    <w:pPr>
      <w:widowControl w:val="0"/>
      <w:autoSpaceDE w:val="0"/>
      <w:autoSpaceDN w:val="0"/>
      <w:spacing w:after="0" w:line="240" w:lineRule="auto"/>
    </w:pPr>
    <w:rPr>
      <w:rFonts w:ascii="Times New Roman" w:hAnsi="Times New Roman" w:cs="Times New Roman"/>
      <w:color w:val="000000"/>
      <w:sz w:val="20"/>
      <w:szCs w:val="20"/>
      <w:lang w:eastAsia="sk-SK"/>
    </w:rPr>
  </w:style>
  <w:style w:type="paragraph" w:customStyle="1" w:styleId="dka">
    <w:name w:val="dka"/>
    <w:rsid w:val="00FE483B"/>
    <w:pPr>
      <w:widowControl w:val="0"/>
      <w:autoSpaceDE w:val="0"/>
      <w:autoSpaceDN w:val="0"/>
      <w:spacing w:after="0" w:line="240" w:lineRule="auto"/>
    </w:pPr>
    <w:rPr>
      <w:rFonts w:ascii="Times New Roman" w:hAnsi="Times New Roman" w:cs="Times New Roman"/>
      <w:color w:val="000000"/>
      <w:sz w:val="20"/>
      <w:szCs w:val="20"/>
      <w:lang w:eastAsia="sk-SK"/>
    </w:rPr>
  </w:style>
  <w:style w:type="paragraph" w:customStyle="1" w:styleId="Zkladntext1">
    <w:name w:val="Základní text"/>
    <w:aliases w:val="Základný text Char Char"/>
    <w:uiPriority w:val="99"/>
    <w:rsid w:val="00FE483B"/>
    <w:pPr>
      <w:widowControl w:val="0"/>
      <w:spacing w:after="0" w:line="240" w:lineRule="auto"/>
    </w:pPr>
    <w:rPr>
      <w:rFonts w:ascii="Times New Roman" w:hAnsi="Times New Roman" w:cs="Times New Roman"/>
      <w:color w:val="000000"/>
      <w:sz w:val="20"/>
      <w:szCs w:val="20"/>
      <w:lang w:val="cs-CZ" w:eastAsia="sk-SK"/>
    </w:rPr>
  </w:style>
  <w:style w:type="paragraph" w:styleId="Nzov">
    <w:name w:val="Title"/>
    <w:basedOn w:val="Normlny"/>
    <w:link w:val="NzovChar"/>
    <w:uiPriority w:val="10"/>
    <w:qFormat/>
    <w:rsid w:val="00FE483B"/>
    <w:pPr>
      <w:widowControl/>
      <w:autoSpaceDE w:val="0"/>
      <w:autoSpaceDN w:val="0"/>
      <w:adjustRightInd/>
      <w:jc w:val="center"/>
    </w:pPr>
    <w:rPr>
      <w:b/>
      <w:bCs/>
    </w:rPr>
  </w:style>
  <w:style w:type="character" w:customStyle="1" w:styleId="NzovChar">
    <w:name w:val="Názov Char"/>
    <w:basedOn w:val="Predvolenpsmoodseku"/>
    <w:link w:val="Nzov"/>
    <w:uiPriority w:val="10"/>
    <w:locked/>
    <w:rsid w:val="00FE483B"/>
    <w:rPr>
      <w:rFonts w:ascii="Times New Roman" w:hAnsi="Times New Roman" w:cs="Times New Roman"/>
      <w:b/>
      <w:bCs/>
      <w:sz w:val="24"/>
      <w:szCs w:val="24"/>
      <w:lang w:val="x-none" w:eastAsia="sk-SK"/>
    </w:rPr>
  </w:style>
  <w:style w:type="character" w:styleId="Zvraznenie">
    <w:name w:val="Emphasis"/>
    <w:basedOn w:val="Predvolenpsmoodseku"/>
    <w:uiPriority w:val="20"/>
    <w:qFormat/>
    <w:rsid w:val="00FE483B"/>
    <w:rPr>
      <w:rFonts w:cs="Times New Roman"/>
      <w:i/>
      <w:iCs/>
    </w:rPr>
  </w:style>
  <w:style w:type="character" w:styleId="Siln">
    <w:name w:val="Strong"/>
    <w:basedOn w:val="Predvolenpsmoodseku"/>
    <w:uiPriority w:val="22"/>
    <w:qFormat/>
    <w:rsid w:val="00D27249"/>
    <w:rPr>
      <w:rFonts w:cs="Times New Roman"/>
      <w:b/>
      <w:bCs/>
    </w:rPr>
  </w:style>
  <w:style w:type="paragraph" w:styleId="Normlnywebov">
    <w:name w:val="Normal (Web)"/>
    <w:basedOn w:val="Normlny"/>
    <w:uiPriority w:val="99"/>
    <w:rsid w:val="00D27249"/>
    <w:pPr>
      <w:widowControl/>
      <w:adjustRightInd/>
      <w:spacing w:before="100" w:beforeAutospacing="1" w:after="100" w:afterAutospacing="1"/>
    </w:pPr>
  </w:style>
  <w:style w:type="paragraph" w:styleId="Odsekzoznamu">
    <w:name w:val="List Paragraph"/>
    <w:basedOn w:val="Normlny"/>
    <w:uiPriority w:val="34"/>
    <w:qFormat/>
    <w:rsid w:val="009C5467"/>
    <w:pPr>
      <w:ind w:left="720"/>
      <w:contextualSpacing/>
    </w:pPr>
  </w:style>
  <w:style w:type="paragraph" w:customStyle="1" w:styleId="c08dispositif">
    <w:name w:val="c08dispositif"/>
    <w:basedOn w:val="Normlny"/>
    <w:rsid w:val="00A173F4"/>
    <w:pPr>
      <w:widowControl/>
      <w:adjustRightInd/>
      <w:spacing w:before="100" w:beforeAutospacing="1" w:after="240"/>
      <w:ind w:left="1134" w:hanging="567"/>
      <w:jc w:val="both"/>
    </w:pPr>
    <w:rPr>
      <w:b/>
      <w:bCs/>
    </w:rPr>
  </w:style>
  <w:style w:type="paragraph" w:styleId="Hlavika">
    <w:name w:val="header"/>
    <w:basedOn w:val="Normlny"/>
    <w:link w:val="HlavikaChar"/>
    <w:uiPriority w:val="99"/>
    <w:rsid w:val="00886039"/>
    <w:pPr>
      <w:tabs>
        <w:tab w:val="center" w:pos="4536"/>
        <w:tab w:val="right" w:pos="9072"/>
      </w:tabs>
    </w:pPr>
  </w:style>
  <w:style w:type="character" w:customStyle="1" w:styleId="HlavikaChar">
    <w:name w:val="Hlavička Char"/>
    <w:basedOn w:val="Predvolenpsmoodseku"/>
    <w:link w:val="Hlavika"/>
    <w:uiPriority w:val="99"/>
    <w:rsid w:val="00886039"/>
    <w:rPr>
      <w:rFonts w:ascii="Times New Roman" w:hAnsi="Times New Roman" w:cs="Times New Roman"/>
      <w:sz w:val="24"/>
      <w:szCs w:val="24"/>
      <w:lang w:eastAsia="sk-SK"/>
    </w:rPr>
  </w:style>
  <w:style w:type="paragraph" w:styleId="Pta">
    <w:name w:val="footer"/>
    <w:basedOn w:val="Normlny"/>
    <w:link w:val="PtaChar"/>
    <w:uiPriority w:val="99"/>
    <w:rsid w:val="00886039"/>
    <w:pPr>
      <w:tabs>
        <w:tab w:val="center" w:pos="4536"/>
        <w:tab w:val="right" w:pos="9072"/>
      </w:tabs>
    </w:pPr>
  </w:style>
  <w:style w:type="character" w:customStyle="1" w:styleId="PtaChar">
    <w:name w:val="Päta Char"/>
    <w:basedOn w:val="Predvolenpsmoodseku"/>
    <w:link w:val="Pta"/>
    <w:uiPriority w:val="99"/>
    <w:rsid w:val="00886039"/>
    <w:rPr>
      <w:rFonts w:ascii="Times New Roman" w:hAnsi="Times New Roman" w:cs="Times New Roman"/>
      <w:sz w:val="24"/>
      <w:szCs w:val="24"/>
      <w:lang w:eastAsia="sk-SK"/>
    </w:rPr>
  </w:style>
  <w:style w:type="paragraph" w:styleId="Textbubliny">
    <w:name w:val="Balloon Text"/>
    <w:basedOn w:val="Normlny"/>
    <w:link w:val="TextbublinyChar"/>
    <w:uiPriority w:val="99"/>
    <w:rsid w:val="00AB6B7D"/>
    <w:rPr>
      <w:rFonts w:ascii="Segoe UI" w:hAnsi="Segoe UI" w:cs="Segoe UI"/>
      <w:sz w:val="18"/>
      <w:szCs w:val="18"/>
    </w:rPr>
  </w:style>
  <w:style w:type="character" w:customStyle="1" w:styleId="TextbublinyChar">
    <w:name w:val="Text bubliny Char"/>
    <w:basedOn w:val="Predvolenpsmoodseku"/>
    <w:link w:val="Textbubliny"/>
    <w:uiPriority w:val="99"/>
    <w:rsid w:val="00AB6B7D"/>
    <w:rPr>
      <w:rFonts w:ascii="Segoe UI"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036098">
      <w:bodyDiv w:val="1"/>
      <w:marLeft w:val="0"/>
      <w:marRight w:val="0"/>
      <w:marTop w:val="0"/>
      <w:marBottom w:val="0"/>
      <w:divBdr>
        <w:top w:val="none" w:sz="0" w:space="0" w:color="auto"/>
        <w:left w:val="none" w:sz="0" w:space="0" w:color="auto"/>
        <w:bottom w:val="none" w:sz="0" w:space="0" w:color="auto"/>
        <w:right w:val="none" w:sz="0" w:space="0" w:color="auto"/>
      </w:divBdr>
      <w:divsChild>
        <w:div w:id="1800222268">
          <w:marLeft w:val="0"/>
          <w:marRight w:val="0"/>
          <w:marTop w:val="0"/>
          <w:marBottom w:val="0"/>
          <w:divBdr>
            <w:top w:val="none" w:sz="0" w:space="0" w:color="auto"/>
            <w:left w:val="none" w:sz="0" w:space="0" w:color="auto"/>
            <w:bottom w:val="none" w:sz="0" w:space="0" w:color="auto"/>
            <w:right w:val="none" w:sz="0" w:space="0" w:color="auto"/>
          </w:divBdr>
          <w:divsChild>
            <w:div w:id="906037968">
              <w:marLeft w:val="0"/>
              <w:marRight w:val="0"/>
              <w:marTop w:val="0"/>
              <w:marBottom w:val="0"/>
              <w:divBdr>
                <w:top w:val="none" w:sz="0" w:space="0" w:color="auto"/>
                <w:left w:val="none" w:sz="0" w:space="0" w:color="auto"/>
                <w:bottom w:val="none" w:sz="0" w:space="0" w:color="auto"/>
                <w:right w:val="none" w:sz="0" w:space="0" w:color="auto"/>
              </w:divBdr>
              <w:divsChild>
                <w:div w:id="2094933663">
                  <w:marLeft w:val="0"/>
                  <w:marRight w:val="0"/>
                  <w:marTop w:val="0"/>
                  <w:marBottom w:val="0"/>
                  <w:divBdr>
                    <w:top w:val="none" w:sz="0" w:space="0" w:color="auto"/>
                    <w:left w:val="none" w:sz="0" w:space="0" w:color="auto"/>
                    <w:bottom w:val="none" w:sz="0" w:space="0" w:color="auto"/>
                    <w:right w:val="none" w:sz="0" w:space="0" w:color="auto"/>
                  </w:divBdr>
                  <w:divsChild>
                    <w:div w:id="20481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788495">
      <w:bodyDiv w:val="1"/>
      <w:marLeft w:val="0"/>
      <w:marRight w:val="0"/>
      <w:marTop w:val="0"/>
      <w:marBottom w:val="0"/>
      <w:divBdr>
        <w:top w:val="none" w:sz="0" w:space="0" w:color="auto"/>
        <w:left w:val="none" w:sz="0" w:space="0" w:color="auto"/>
        <w:bottom w:val="none" w:sz="0" w:space="0" w:color="auto"/>
        <w:right w:val="none" w:sz="0" w:space="0" w:color="auto"/>
      </w:divBdr>
      <w:divsChild>
        <w:div w:id="353386125">
          <w:marLeft w:val="0"/>
          <w:marRight w:val="0"/>
          <w:marTop w:val="0"/>
          <w:marBottom w:val="0"/>
          <w:divBdr>
            <w:top w:val="none" w:sz="0" w:space="0" w:color="auto"/>
            <w:left w:val="none" w:sz="0" w:space="0" w:color="auto"/>
            <w:bottom w:val="none" w:sz="0" w:space="0" w:color="auto"/>
            <w:right w:val="none" w:sz="0" w:space="0" w:color="auto"/>
          </w:divBdr>
          <w:divsChild>
            <w:div w:id="1268849186">
              <w:marLeft w:val="0"/>
              <w:marRight w:val="0"/>
              <w:marTop w:val="0"/>
              <w:marBottom w:val="0"/>
              <w:divBdr>
                <w:top w:val="none" w:sz="0" w:space="0" w:color="auto"/>
                <w:left w:val="none" w:sz="0" w:space="0" w:color="auto"/>
                <w:bottom w:val="none" w:sz="0" w:space="0" w:color="auto"/>
                <w:right w:val="none" w:sz="0" w:space="0" w:color="auto"/>
              </w:divBdr>
              <w:divsChild>
                <w:div w:id="1501431293">
                  <w:marLeft w:val="0"/>
                  <w:marRight w:val="0"/>
                  <w:marTop w:val="0"/>
                  <w:marBottom w:val="0"/>
                  <w:divBdr>
                    <w:top w:val="none" w:sz="0" w:space="0" w:color="auto"/>
                    <w:left w:val="none" w:sz="0" w:space="0" w:color="auto"/>
                    <w:bottom w:val="none" w:sz="0" w:space="0" w:color="auto"/>
                    <w:right w:val="none" w:sz="0" w:space="0" w:color="auto"/>
                  </w:divBdr>
                  <w:divsChild>
                    <w:div w:id="41845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7794</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mfsr</Company>
  <LinksUpToDate>false</LinksUpToDate>
  <CharactersWithSpaces>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Juskova Martina</dc:creator>
  <cp:keywords/>
  <dc:description/>
  <cp:lastModifiedBy>Juskova Martina</cp:lastModifiedBy>
  <cp:revision>2</cp:revision>
  <cp:lastPrinted>2019-07-25T09:21:00Z</cp:lastPrinted>
  <dcterms:created xsi:type="dcterms:W3CDTF">2019-08-01T13:40:00Z</dcterms:created>
  <dcterms:modified xsi:type="dcterms:W3CDTF">2019-08-01T13:40:00Z</dcterms:modified>
</cp:coreProperties>
</file>