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0B" w:rsidRPr="003551DE" w:rsidRDefault="00697A13" w:rsidP="00697A13">
      <w:pPr>
        <w:pStyle w:val="Nadpis1"/>
        <w:spacing w:after="0"/>
        <w:jc w:val="center"/>
        <w:rPr>
          <w:sz w:val="20"/>
          <w:szCs w:val="20"/>
        </w:rPr>
      </w:pPr>
      <w:r w:rsidRPr="003551DE">
        <w:rPr>
          <w:sz w:val="20"/>
          <w:szCs w:val="20"/>
        </w:rPr>
        <w:t>TABUĽKA  ZHODY</w:t>
      </w:r>
    </w:p>
    <w:tbl>
      <w:tblPr>
        <w:tblW w:w="150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3"/>
      </w:tblGrid>
      <w:tr w:rsidR="00E2370B" w:rsidRPr="003551DE" w:rsidTr="006443AF">
        <w:trPr>
          <w:cantSplit/>
          <w:trHeight w:val="724"/>
        </w:trPr>
        <w:tc>
          <w:tcPr>
            <w:tcW w:w="15093" w:type="dxa"/>
          </w:tcPr>
          <w:p w:rsidR="00E2370B" w:rsidRPr="003551DE" w:rsidRDefault="00E2370B" w:rsidP="006443AF">
            <w:pPr>
              <w:spacing w:after="0"/>
              <w:rPr>
                <w:b/>
                <w:bCs/>
                <w:sz w:val="20"/>
                <w:szCs w:val="20"/>
                <w:lang w:val="sk-SK"/>
              </w:rPr>
            </w:pPr>
            <w:r w:rsidRPr="003551DE">
              <w:rPr>
                <w:b/>
                <w:bCs/>
                <w:sz w:val="20"/>
                <w:szCs w:val="20"/>
                <w:lang w:val="sk-SK"/>
              </w:rPr>
              <w:t>Názov smernice:</w:t>
            </w:r>
            <w:r w:rsidRPr="003551DE">
              <w:rPr>
                <w:sz w:val="20"/>
                <w:szCs w:val="20"/>
                <w:lang w:val="sk-SK"/>
              </w:rPr>
              <w:t xml:space="preserve">          </w:t>
            </w:r>
            <w:r w:rsidRPr="003551DE">
              <w:rPr>
                <w:b/>
                <w:bCs/>
                <w:sz w:val="20"/>
                <w:szCs w:val="20"/>
                <w:lang w:val="sk-SK"/>
              </w:rPr>
              <w:t xml:space="preserve">Smernica Rady </w:t>
            </w:r>
            <w:r w:rsidRPr="003551DE">
              <w:rPr>
                <w:b/>
                <w:bCs/>
                <w:sz w:val="20"/>
                <w:szCs w:val="20"/>
                <w:u w:val="single"/>
                <w:lang w:val="sk-SK"/>
              </w:rPr>
              <w:t>2003/96/ES</w:t>
            </w:r>
            <w:r w:rsidRPr="003551DE">
              <w:rPr>
                <w:b/>
                <w:bCs/>
                <w:sz w:val="20"/>
                <w:szCs w:val="20"/>
                <w:lang w:val="sk-SK"/>
              </w:rPr>
              <w:t xml:space="preserve"> z 27. októbra 2003 o reštrukturalizácii právneho rámca spoločenstva pre zdaňovanie energetických výrobkov a elektriny</w:t>
            </w:r>
          </w:p>
          <w:p w:rsidR="00E2370B" w:rsidRPr="003551DE" w:rsidRDefault="00E2370B" w:rsidP="00D5737F">
            <w:pPr>
              <w:spacing w:after="160" w:line="259" w:lineRule="auto"/>
              <w:jc w:val="left"/>
              <w:rPr>
                <w:sz w:val="20"/>
                <w:szCs w:val="20"/>
                <w:lang w:val="sk-SK"/>
              </w:rPr>
            </w:pPr>
            <w:r w:rsidRPr="003551DE">
              <w:rPr>
                <w:sz w:val="20"/>
                <w:szCs w:val="20"/>
              </w:rPr>
              <w:t>k </w:t>
            </w:r>
            <w:proofErr w:type="spellStart"/>
            <w:r w:rsidRPr="003551DE">
              <w:rPr>
                <w:sz w:val="20"/>
                <w:szCs w:val="20"/>
              </w:rPr>
              <w:t>návrhu</w:t>
            </w:r>
            <w:proofErr w:type="spellEnd"/>
            <w:r w:rsidRPr="003551DE">
              <w:rPr>
                <w:sz w:val="20"/>
                <w:szCs w:val="20"/>
              </w:rPr>
              <w:t xml:space="preserve"> </w:t>
            </w:r>
            <w:proofErr w:type="spellStart"/>
            <w:r w:rsidRPr="003551DE">
              <w:rPr>
                <w:sz w:val="20"/>
                <w:szCs w:val="20"/>
              </w:rPr>
              <w:t>zákona</w:t>
            </w:r>
            <w:proofErr w:type="spellEnd"/>
            <w:r w:rsidRPr="003551DE">
              <w:rPr>
                <w:sz w:val="20"/>
                <w:szCs w:val="20"/>
              </w:rPr>
              <w:t xml:space="preserve">, </w:t>
            </w:r>
            <w:proofErr w:type="spellStart"/>
            <w:r w:rsidRPr="003551DE">
              <w:rPr>
                <w:sz w:val="20"/>
                <w:szCs w:val="20"/>
              </w:rPr>
              <w:t>ktorým</w:t>
            </w:r>
            <w:proofErr w:type="spellEnd"/>
            <w:r w:rsidRPr="003551DE">
              <w:rPr>
                <w:sz w:val="20"/>
                <w:szCs w:val="20"/>
              </w:rPr>
              <w:t xml:space="preserve"> </w:t>
            </w:r>
            <w:proofErr w:type="spellStart"/>
            <w:r w:rsidRPr="003551DE">
              <w:rPr>
                <w:sz w:val="20"/>
                <w:szCs w:val="20"/>
              </w:rPr>
              <w:t>sa</w:t>
            </w:r>
            <w:proofErr w:type="spellEnd"/>
            <w:r w:rsidRPr="003551DE">
              <w:rPr>
                <w:sz w:val="20"/>
                <w:szCs w:val="20"/>
              </w:rPr>
              <w:t xml:space="preserve"> mení a dopĺňa zákon č. 609/2007 Z. z. o spotrebnej dani z elektriny, uhlia a zemného plynu </w:t>
            </w:r>
            <w:bookmarkStart w:id="0" w:name="_GoBack"/>
            <w:bookmarkEnd w:id="0"/>
            <w:r w:rsidRPr="003551DE">
              <w:rPr>
                <w:sz w:val="20"/>
                <w:szCs w:val="20"/>
              </w:rPr>
              <w:t xml:space="preserve">a o zmene a doplnení zákona č. 98/2004 Z. z. o spotrebnej dani z minerálneho oleja v znení neskorších predpisov a ktorým sa mení </w:t>
            </w:r>
            <w:r>
              <w:rPr>
                <w:sz w:val="20"/>
                <w:szCs w:val="20"/>
              </w:rPr>
              <w:t xml:space="preserve">a dopĺňa </w:t>
            </w:r>
            <w:r w:rsidRPr="003551DE">
              <w:rPr>
                <w:sz w:val="20"/>
                <w:szCs w:val="20"/>
              </w:rPr>
              <w:t xml:space="preserve">zákon č. 98/2004 Z. z. o spotrebnej dani z minerálneho oleja v znení </w:t>
            </w:r>
            <w:proofErr w:type="spellStart"/>
            <w:r w:rsidRPr="003551DE">
              <w:rPr>
                <w:sz w:val="20"/>
                <w:szCs w:val="20"/>
              </w:rPr>
              <w:t>neskorších</w:t>
            </w:r>
            <w:proofErr w:type="spellEnd"/>
            <w:r w:rsidRPr="003551DE">
              <w:rPr>
                <w:sz w:val="20"/>
                <w:szCs w:val="20"/>
              </w:rPr>
              <w:t xml:space="preserve"> </w:t>
            </w:r>
            <w:proofErr w:type="spellStart"/>
            <w:r w:rsidRPr="003551DE">
              <w:rPr>
                <w:sz w:val="20"/>
                <w:szCs w:val="20"/>
              </w:rPr>
              <w:t>predpisov</w:t>
            </w:r>
            <w:proofErr w:type="spellEnd"/>
            <w:r w:rsidRPr="003551DE">
              <w:rPr>
                <w:sz w:val="20"/>
                <w:szCs w:val="20"/>
              </w:rPr>
              <w:t xml:space="preserve"> s </w:t>
            </w:r>
            <w:proofErr w:type="spellStart"/>
            <w:r w:rsidRPr="003551DE">
              <w:rPr>
                <w:sz w:val="20"/>
                <w:szCs w:val="20"/>
              </w:rPr>
              <w:t>právom</w:t>
            </w:r>
            <w:proofErr w:type="spellEnd"/>
            <w:r w:rsidRPr="003551DE">
              <w:rPr>
                <w:sz w:val="20"/>
                <w:szCs w:val="20"/>
              </w:rPr>
              <w:t xml:space="preserve"> </w:t>
            </w:r>
            <w:proofErr w:type="spellStart"/>
            <w:r w:rsidRPr="003551DE">
              <w:rPr>
                <w:sz w:val="20"/>
                <w:szCs w:val="20"/>
              </w:rPr>
              <w:t>Európskej</w:t>
            </w:r>
            <w:proofErr w:type="spellEnd"/>
            <w:r w:rsidRPr="003551DE">
              <w:rPr>
                <w:sz w:val="20"/>
                <w:szCs w:val="20"/>
              </w:rPr>
              <w:t xml:space="preserve"> </w:t>
            </w:r>
            <w:proofErr w:type="spellStart"/>
            <w:r w:rsidRPr="003551DE">
              <w:rPr>
                <w:sz w:val="20"/>
                <w:szCs w:val="20"/>
              </w:rPr>
              <w:t>únie</w:t>
            </w:r>
            <w:proofErr w:type="spellEnd"/>
          </w:p>
        </w:tc>
      </w:tr>
    </w:tbl>
    <w:p w:rsidR="00697A13" w:rsidRPr="003551DE" w:rsidRDefault="00697A13" w:rsidP="00697A13">
      <w:pPr>
        <w:pStyle w:val="Nadpis1"/>
        <w:spacing w:after="0"/>
        <w:jc w:val="center"/>
        <w:rPr>
          <w:sz w:val="20"/>
          <w:szCs w:val="20"/>
        </w:rPr>
      </w:pPr>
    </w:p>
    <w:p w:rsidR="00697A13" w:rsidRPr="003551DE" w:rsidRDefault="00697A13" w:rsidP="00697A13">
      <w:pPr>
        <w:pStyle w:val="TABUKA-nadpis"/>
        <w:rPr>
          <w:sz w:val="20"/>
          <w:szCs w:val="20"/>
        </w:rPr>
      </w:pPr>
    </w:p>
    <w:tbl>
      <w:tblPr>
        <w:tblW w:w="150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807"/>
        <w:gridCol w:w="425"/>
        <w:gridCol w:w="854"/>
        <w:gridCol w:w="847"/>
        <w:gridCol w:w="5248"/>
        <w:gridCol w:w="425"/>
        <w:gridCol w:w="993"/>
      </w:tblGrid>
      <w:tr w:rsidR="0021056D" w:rsidRPr="003551DE" w:rsidTr="000C3CCD">
        <w:trPr>
          <w:cantSplit/>
          <w:trHeight w:val="724"/>
        </w:trPr>
        <w:tc>
          <w:tcPr>
            <w:tcW w:w="6726" w:type="dxa"/>
            <w:gridSpan w:val="3"/>
          </w:tcPr>
          <w:p w:rsidR="0021056D" w:rsidRPr="003551DE" w:rsidRDefault="0021056D">
            <w:pPr>
              <w:pStyle w:val="TABUKA-nadpismal"/>
              <w:rPr>
                <w:sz w:val="20"/>
                <w:szCs w:val="20"/>
                <w:u w:val="single"/>
              </w:rPr>
            </w:pPr>
            <w:r w:rsidRPr="003551DE">
              <w:rPr>
                <w:sz w:val="20"/>
                <w:szCs w:val="20"/>
                <w:u w:val="single"/>
              </w:rPr>
              <w:t>Právny akt ES/EÚ</w:t>
            </w:r>
          </w:p>
          <w:p w:rsidR="0021056D" w:rsidRPr="003551DE" w:rsidRDefault="0021056D">
            <w:pPr>
              <w:pStyle w:val="TABUKA-nadpismal"/>
              <w:rPr>
                <w:sz w:val="20"/>
                <w:szCs w:val="20"/>
              </w:rPr>
            </w:pPr>
          </w:p>
          <w:p w:rsidR="0021056D" w:rsidRPr="003551DE" w:rsidRDefault="0021056D">
            <w:pPr>
              <w:spacing w:after="0"/>
              <w:rPr>
                <w:b/>
                <w:bCs/>
                <w:sz w:val="20"/>
                <w:szCs w:val="20"/>
                <w:lang w:val="sk-SK"/>
              </w:rPr>
            </w:pPr>
            <w:r w:rsidRPr="003551DE">
              <w:rPr>
                <w:b/>
                <w:bCs/>
                <w:sz w:val="20"/>
                <w:szCs w:val="20"/>
                <w:lang w:val="sk-SK"/>
              </w:rPr>
              <w:t xml:space="preserve">Smernica Rady </w:t>
            </w:r>
            <w:r w:rsidRPr="003551DE">
              <w:rPr>
                <w:b/>
                <w:bCs/>
                <w:sz w:val="20"/>
                <w:szCs w:val="20"/>
                <w:u w:val="single"/>
                <w:lang w:val="sk-SK"/>
              </w:rPr>
              <w:t>2003/96/ES</w:t>
            </w:r>
            <w:r w:rsidRPr="003551DE">
              <w:rPr>
                <w:b/>
                <w:bCs/>
                <w:sz w:val="20"/>
                <w:szCs w:val="20"/>
                <w:lang w:val="sk-SK"/>
              </w:rPr>
              <w:t xml:space="preserve"> z 27. októbra 2003 o reštrukturalizácii právneho rámca spoločenstva pre zdaňovanie energetických výrobkov a elektriny</w:t>
            </w:r>
          </w:p>
          <w:p w:rsidR="0021056D" w:rsidRPr="003551DE" w:rsidRDefault="0021056D">
            <w:pPr>
              <w:pStyle w:val="TABUKA-nadpismal"/>
              <w:rPr>
                <w:sz w:val="20"/>
                <w:szCs w:val="20"/>
              </w:rPr>
            </w:pPr>
          </w:p>
        </w:tc>
        <w:tc>
          <w:tcPr>
            <w:tcW w:w="8367" w:type="dxa"/>
            <w:gridSpan w:val="5"/>
          </w:tcPr>
          <w:p w:rsidR="0021056D" w:rsidRPr="003551DE" w:rsidRDefault="0021056D" w:rsidP="00CB4D08">
            <w:pPr>
              <w:pStyle w:val="TABUKA-nadpismal"/>
              <w:jc w:val="both"/>
              <w:rPr>
                <w:sz w:val="20"/>
                <w:szCs w:val="20"/>
                <w:u w:val="single"/>
              </w:rPr>
            </w:pPr>
            <w:r w:rsidRPr="003551DE">
              <w:rPr>
                <w:sz w:val="20"/>
                <w:szCs w:val="20"/>
                <w:u w:val="single"/>
              </w:rPr>
              <w:t>Všeobecne záväzné právne predpisy SR</w:t>
            </w:r>
          </w:p>
          <w:p w:rsidR="0021056D" w:rsidRPr="003551DE" w:rsidRDefault="0021056D" w:rsidP="00661FDA">
            <w:pPr>
              <w:pStyle w:val="TABUKA-nadpismal"/>
              <w:jc w:val="both"/>
              <w:rPr>
                <w:sz w:val="20"/>
                <w:szCs w:val="20"/>
              </w:rPr>
            </w:pPr>
          </w:p>
          <w:p w:rsidR="0021056D" w:rsidRPr="003551DE" w:rsidRDefault="0021056D" w:rsidP="000E4923">
            <w:pPr>
              <w:pStyle w:val="Zkladntext0"/>
              <w:jc w:val="both"/>
              <w:rPr>
                <w:b/>
                <w:sz w:val="20"/>
                <w:szCs w:val="20"/>
              </w:rPr>
            </w:pPr>
            <w:r w:rsidRPr="003551DE">
              <w:rPr>
                <w:b/>
                <w:sz w:val="20"/>
                <w:szCs w:val="20"/>
              </w:rPr>
              <w:t xml:space="preserve">Návrh zákona, </w:t>
            </w:r>
            <w:r w:rsidR="00BE4BED" w:rsidRPr="003551DE">
              <w:rPr>
                <w:b/>
                <w:bCs/>
                <w:color w:val="auto"/>
                <w:sz w:val="20"/>
                <w:szCs w:val="20"/>
              </w:rPr>
              <w:t xml:space="preserve">ktorým sa mení a dopĺňa zákon č. 609/2007 Z. z. o spotrebnej dani z elektriny, uhlia a zemného plynu a o zmene a doplnení zákona č. 98/2004 Z. z. o spotrebnej dani z minerálneho oleja v znení neskorších predpisov a ktorým sa mení zákon č. 98/2004 Z. z. o spotrebnej dani z minerálneho oleja v znení neskorších predpisov </w:t>
            </w:r>
            <w:r w:rsidRPr="003551DE">
              <w:rPr>
                <w:b/>
                <w:sz w:val="20"/>
                <w:szCs w:val="20"/>
              </w:rPr>
              <w:t>(ďalej „návrh zákona“)</w:t>
            </w:r>
          </w:p>
          <w:p w:rsidR="0021056D" w:rsidRDefault="0021056D" w:rsidP="00661FDA">
            <w:pPr>
              <w:pStyle w:val="Zkladntext0"/>
              <w:jc w:val="both"/>
              <w:rPr>
                <w:b/>
                <w:sz w:val="20"/>
                <w:szCs w:val="20"/>
              </w:rPr>
            </w:pPr>
          </w:p>
          <w:p w:rsidR="0045567F" w:rsidRPr="0045567F" w:rsidRDefault="0045567F" w:rsidP="0045567F">
            <w:pPr>
              <w:pStyle w:val="Zkladntext0"/>
              <w:jc w:val="both"/>
              <w:rPr>
                <w:sz w:val="20"/>
                <w:szCs w:val="20"/>
              </w:rPr>
            </w:pPr>
            <w:r w:rsidRPr="0045567F">
              <w:rPr>
                <w:bCs/>
                <w:color w:val="auto"/>
                <w:sz w:val="20"/>
                <w:szCs w:val="20"/>
              </w:rPr>
              <w:t xml:space="preserve">Zákon č. 609/2007 Z. z. o spotrebnej dani z elektriny, uhlia a zemného plynu a o zmene a doplnení zákona č. 98/2004 Z. z. o spotrebnej dani z minerálneho oleja v znení neskorších predpisov v znení neskorších predpisov </w:t>
            </w:r>
            <w:r w:rsidRPr="0045567F">
              <w:rPr>
                <w:sz w:val="20"/>
                <w:szCs w:val="20"/>
              </w:rPr>
              <w:t>(ďalej „609/2007“)</w:t>
            </w:r>
          </w:p>
          <w:p w:rsidR="0021056D" w:rsidRPr="003551DE" w:rsidRDefault="0021056D" w:rsidP="00572B68">
            <w:pPr>
              <w:pStyle w:val="Zkladntext0"/>
              <w:jc w:val="both"/>
              <w:rPr>
                <w:sz w:val="20"/>
                <w:szCs w:val="20"/>
              </w:rPr>
            </w:pPr>
          </w:p>
        </w:tc>
      </w:tr>
      <w:tr w:rsidR="00661FDA" w:rsidRPr="003551DE" w:rsidTr="001665D4">
        <w:tc>
          <w:tcPr>
            <w:tcW w:w="494" w:type="dxa"/>
          </w:tcPr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  <w:r w:rsidRPr="003551DE">
              <w:rPr>
                <w:sz w:val="20"/>
                <w:szCs w:val="20"/>
              </w:rPr>
              <w:t>Čl.</w:t>
            </w:r>
          </w:p>
        </w:tc>
        <w:tc>
          <w:tcPr>
            <w:tcW w:w="5807" w:type="dxa"/>
          </w:tcPr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  <w:r w:rsidRPr="003551DE">
              <w:rPr>
                <w:sz w:val="20"/>
                <w:szCs w:val="20"/>
              </w:rPr>
              <w:t>Text</w:t>
            </w:r>
          </w:p>
        </w:tc>
        <w:tc>
          <w:tcPr>
            <w:tcW w:w="425" w:type="dxa"/>
          </w:tcPr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  <w:r w:rsidRPr="003551DE">
              <w:rPr>
                <w:sz w:val="20"/>
                <w:szCs w:val="20"/>
              </w:rPr>
              <w:t>Spôsob transpozície</w:t>
            </w:r>
          </w:p>
        </w:tc>
        <w:tc>
          <w:tcPr>
            <w:tcW w:w="854" w:type="dxa"/>
          </w:tcPr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  <w:r w:rsidRPr="003551DE">
              <w:rPr>
                <w:sz w:val="20"/>
                <w:szCs w:val="20"/>
              </w:rPr>
              <w:t>Číslo</w:t>
            </w:r>
          </w:p>
        </w:tc>
        <w:tc>
          <w:tcPr>
            <w:tcW w:w="847" w:type="dxa"/>
          </w:tcPr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  <w:r w:rsidRPr="003551DE">
              <w:rPr>
                <w:sz w:val="20"/>
                <w:szCs w:val="20"/>
              </w:rPr>
              <w:t>Článok</w:t>
            </w:r>
          </w:p>
        </w:tc>
        <w:tc>
          <w:tcPr>
            <w:tcW w:w="5248" w:type="dxa"/>
          </w:tcPr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  <w:r w:rsidRPr="003551DE">
              <w:rPr>
                <w:sz w:val="20"/>
                <w:szCs w:val="20"/>
              </w:rPr>
              <w:t>Text</w:t>
            </w:r>
          </w:p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</w:p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</w:p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  <w:r w:rsidRPr="003551DE">
              <w:rPr>
                <w:sz w:val="20"/>
                <w:szCs w:val="20"/>
              </w:rPr>
              <w:t>Zhoda</w:t>
            </w:r>
          </w:p>
        </w:tc>
        <w:tc>
          <w:tcPr>
            <w:tcW w:w="993" w:type="dxa"/>
          </w:tcPr>
          <w:p w:rsidR="00661FDA" w:rsidRPr="003551DE" w:rsidRDefault="00661FDA">
            <w:pPr>
              <w:pStyle w:val="TABUKA-nadpisstpcov"/>
              <w:rPr>
                <w:sz w:val="20"/>
                <w:szCs w:val="20"/>
              </w:rPr>
            </w:pPr>
            <w:r w:rsidRPr="003551DE">
              <w:rPr>
                <w:sz w:val="20"/>
                <w:szCs w:val="20"/>
              </w:rPr>
              <w:t>Poznámky</w:t>
            </w:r>
          </w:p>
        </w:tc>
      </w:tr>
      <w:tr w:rsidR="00DC1A21" w:rsidRPr="003551DE" w:rsidTr="001665D4">
        <w:tc>
          <w:tcPr>
            <w:tcW w:w="494" w:type="dxa"/>
          </w:tcPr>
          <w:p w:rsidR="00DC1A21" w:rsidRPr="003551DE" w:rsidRDefault="00DC1A21" w:rsidP="00DC5351">
            <w:pPr>
              <w:pStyle w:val="TABUKA-nadpisstpcov"/>
              <w:rPr>
                <w:b w:val="0"/>
                <w:sz w:val="20"/>
                <w:szCs w:val="20"/>
              </w:rPr>
            </w:pPr>
            <w:r w:rsidRPr="003551DE">
              <w:rPr>
                <w:b w:val="0"/>
                <w:sz w:val="20"/>
                <w:szCs w:val="20"/>
              </w:rPr>
              <w:t xml:space="preserve">Čl. 2 ods.1 </w:t>
            </w:r>
            <w:proofErr w:type="spellStart"/>
            <w:r w:rsidRPr="003551DE">
              <w:rPr>
                <w:b w:val="0"/>
                <w:sz w:val="20"/>
                <w:szCs w:val="20"/>
              </w:rPr>
              <w:t>pís.b</w:t>
            </w:r>
            <w:proofErr w:type="spellEnd"/>
            <w:r w:rsidRPr="003551DE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5807" w:type="dxa"/>
          </w:tcPr>
          <w:p w:rsidR="00DC1A21" w:rsidRPr="003551DE" w:rsidRDefault="00DC1A21" w:rsidP="00DC5351">
            <w:pPr>
              <w:pStyle w:val="norm2"/>
              <w:spacing w:before="0" w:line="240" w:lineRule="auto"/>
              <w:rPr>
                <w:rFonts w:eastAsia="Arial Unicode MS"/>
                <w:sz w:val="20"/>
                <w:szCs w:val="20"/>
              </w:rPr>
            </w:pPr>
            <w:r w:rsidRPr="003551DE">
              <w:rPr>
                <w:rFonts w:eastAsia="Arial Unicode MS"/>
                <w:color w:val="444444"/>
                <w:sz w:val="20"/>
                <w:szCs w:val="20"/>
              </w:rPr>
              <w:t> </w:t>
            </w:r>
            <w:r w:rsidRPr="003551DE">
              <w:rPr>
                <w:rFonts w:eastAsia="Arial Unicode MS"/>
                <w:sz w:val="20"/>
                <w:szCs w:val="20"/>
              </w:rPr>
              <w:t>Na účely tejto smernice sa termín „energetické výrobky“ uplatňuje na výrobky:</w:t>
            </w:r>
          </w:p>
          <w:p w:rsidR="00DC1A21" w:rsidRPr="003551DE" w:rsidRDefault="00DC1A21" w:rsidP="00DC5351">
            <w:pPr>
              <w:pStyle w:val="norm2"/>
              <w:spacing w:before="0" w:line="240" w:lineRule="auto"/>
              <w:rPr>
                <w:rFonts w:eastAsia="Arial Unicode MS"/>
                <w:sz w:val="20"/>
                <w:szCs w:val="20"/>
              </w:rPr>
            </w:pPr>
            <w:r w:rsidRPr="003551DE">
              <w:rPr>
                <w:rFonts w:eastAsia="Arial Unicode MS"/>
                <w:sz w:val="20"/>
                <w:szCs w:val="20"/>
              </w:rPr>
              <w:t>b) na ktoré sa vzťahujú číselné znaky KN 2701 , 2702 a 2704 až 2715;</w:t>
            </w:r>
          </w:p>
          <w:p w:rsidR="00DC1A21" w:rsidRPr="003551DE" w:rsidRDefault="00DC1A21" w:rsidP="00DC5351">
            <w:pPr>
              <w:pStyle w:val="TABUKA-nadpisstpcov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1A21" w:rsidRPr="003551DE" w:rsidRDefault="00DC1A21" w:rsidP="00DC5351">
            <w:pPr>
              <w:pStyle w:val="TABUKA-nadpisstpcov"/>
              <w:rPr>
                <w:b w:val="0"/>
                <w:sz w:val="20"/>
                <w:szCs w:val="20"/>
              </w:rPr>
            </w:pPr>
            <w:r w:rsidRPr="003551DE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854" w:type="dxa"/>
          </w:tcPr>
          <w:p w:rsidR="0045567F" w:rsidRPr="00E2370B" w:rsidRDefault="0045567F" w:rsidP="007C3A92">
            <w:pPr>
              <w:pStyle w:val="TABUKA-textsmernice"/>
              <w:jc w:val="center"/>
              <w:rPr>
                <w:b/>
              </w:rPr>
            </w:pPr>
            <w:r w:rsidRPr="00E2370B">
              <w:rPr>
                <w:b/>
              </w:rPr>
              <w:t>609/</w:t>
            </w:r>
          </w:p>
          <w:p w:rsidR="0045567F" w:rsidRPr="0045567F" w:rsidRDefault="0045567F" w:rsidP="0045567F">
            <w:pPr>
              <w:pStyle w:val="TABUKA-textsmernice"/>
              <w:jc w:val="center"/>
              <w:rPr>
                <w:b/>
                <w:bCs/>
              </w:rPr>
            </w:pPr>
            <w:r w:rsidRPr="00E2370B">
              <w:rPr>
                <w:b/>
              </w:rPr>
              <w:t xml:space="preserve">2007 </w:t>
            </w:r>
            <w:r w:rsidRPr="00E2370B">
              <w:rPr>
                <w:b/>
                <w:bCs/>
              </w:rPr>
              <w:t xml:space="preserve">a </w:t>
            </w:r>
            <w:r w:rsidRPr="0045567F">
              <w:rPr>
                <w:b/>
                <w:bCs/>
              </w:rPr>
              <w:t xml:space="preserve">návrh zákona </w:t>
            </w:r>
            <w:proofErr w:type="spellStart"/>
            <w:r w:rsidRPr="0045567F">
              <w:rPr>
                <w:b/>
                <w:bCs/>
              </w:rPr>
              <w:t>č.I</w:t>
            </w:r>
            <w:proofErr w:type="spellEnd"/>
          </w:p>
          <w:p w:rsidR="0045567F" w:rsidRDefault="0045567F" w:rsidP="007C3A92">
            <w:pPr>
              <w:pStyle w:val="TABUKA-textsmernice"/>
              <w:jc w:val="center"/>
              <w:rPr>
                <w:bCs/>
                <w:highlight w:val="yellow"/>
              </w:rPr>
            </w:pPr>
          </w:p>
          <w:p w:rsidR="0045567F" w:rsidRDefault="0045567F" w:rsidP="007C3A92">
            <w:pPr>
              <w:pStyle w:val="TABUKA-textsmernice"/>
              <w:jc w:val="center"/>
              <w:rPr>
                <w:bCs/>
                <w:highlight w:val="yellow"/>
              </w:rPr>
            </w:pPr>
          </w:p>
          <w:p w:rsidR="0045567F" w:rsidRDefault="0045567F" w:rsidP="007C3A92">
            <w:pPr>
              <w:pStyle w:val="TABUKA-textsmernice"/>
              <w:jc w:val="center"/>
              <w:rPr>
                <w:bCs/>
                <w:highlight w:val="yellow"/>
              </w:rPr>
            </w:pPr>
          </w:p>
          <w:p w:rsidR="00DC1A21" w:rsidRPr="003551DE" w:rsidRDefault="00DC1A21" w:rsidP="0045567F">
            <w:pPr>
              <w:pStyle w:val="TABUKA-textsmernice"/>
              <w:jc w:val="center"/>
            </w:pPr>
          </w:p>
        </w:tc>
        <w:tc>
          <w:tcPr>
            <w:tcW w:w="847" w:type="dxa"/>
          </w:tcPr>
          <w:p w:rsidR="001A7B48" w:rsidRPr="00E2370B" w:rsidRDefault="0045567F" w:rsidP="00E319EF">
            <w:pPr>
              <w:pStyle w:val="TABUKA-nadpisstpcov"/>
              <w:jc w:val="center"/>
              <w:rPr>
                <w:b w:val="0"/>
                <w:sz w:val="20"/>
                <w:szCs w:val="20"/>
              </w:rPr>
            </w:pPr>
            <w:r w:rsidRPr="00E2370B">
              <w:rPr>
                <w:b w:val="0"/>
                <w:sz w:val="20"/>
                <w:szCs w:val="20"/>
              </w:rPr>
              <w:t xml:space="preserve">§ 16 </w:t>
            </w:r>
          </w:p>
          <w:p w:rsidR="001A7B48" w:rsidRPr="00E2370B" w:rsidRDefault="001A7B48" w:rsidP="00E319EF">
            <w:pPr>
              <w:pStyle w:val="TABUKA-nadpisstpcov"/>
              <w:jc w:val="center"/>
              <w:rPr>
                <w:b w:val="0"/>
                <w:sz w:val="20"/>
                <w:szCs w:val="20"/>
              </w:rPr>
            </w:pPr>
          </w:p>
          <w:p w:rsidR="0045567F" w:rsidRPr="00E2370B" w:rsidRDefault="0045567F" w:rsidP="00E319EF">
            <w:pPr>
              <w:pStyle w:val="TABUKA-nadpisstpcov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E2370B">
              <w:rPr>
                <w:b w:val="0"/>
                <w:sz w:val="20"/>
                <w:szCs w:val="20"/>
              </w:rPr>
              <w:t>pís.d</w:t>
            </w:r>
            <w:proofErr w:type="spellEnd"/>
            <w:r w:rsidRPr="00E2370B">
              <w:rPr>
                <w:b w:val="0"/>
                <w:sz w:val="20"/>
                <w:szCs w:val="20"/>
              </w:rPr>
              <w:t>)</w:t>
            </w:r>
          </w:p>
          <w:p w:rsidR="0045567F" w:rsidRPr="00E2370B" w:rsidRDefault="0045567F" w:rsidP="00E319EF">
            <w:pPr>
              <w:pStyle w:val="TABUKA-nadpisstpcov"/>
              <w:jc w:val="center"/>
              <w:rPr>
                <w:b w:val="0"/>
                <w:sz w:val="20"/>
                <w:szCs w:val="20"/>
              </w:rPr>
            </w:pPr>
          </w:p>
          <w:p w:rsidR="0045567F" w:rsidRPr="00E2370B" w:rsidRDefault="0045567F" w:rsidP="00E319EF">
            <w:pPr>
              <w:pStyle w:val="TABUKA-nadpisstpcov"/>
              <w:jc w:val="center"/>
              <w:rPr>
                <w:b w:val="0"/>
                <w:sz w:val="20"/>
                <w:szCs w:val="20"/>
              </w:rPr>
            </w:pPr>
          </w:p>
          <w:p w:rsidR="0045567F" w:rsidRPr="00E2370B" w:rsidRDefault="0045567F" w:rsidP="00E319EF">
            <w:pPr>
              <w:pStyle w:val="TABUKA-nadpisstpcov"/>
              <w:jc w:val="center"/>
              <w:rPr>
                <w:b w:val="0"/>
                <w:sz w:val="20"/>
                <w:szCs w:val="20"/>
              </w:rPr>
            </w:pPr>
          </w:p>
          <w:p w:rsidR="0045567F" w:rsidRPr="00E2370B" w:rsidRDefault="0045567F" w:rsidP="00E319EF">
            <w:pPr>
              <w:pStyle w:val="TABUKA-nadpisstpcov"/>
              <w:jc w:val="center"/>
              <w:rPr>
                <w:b w:val="0"/>
                <w:sz w:val="20"/>
                <w:szCs w:val="20"/>
              </w:rPr>
            </w:pPr>
          </w:p>
          <w:p w:rsidR="00DC1A21" w:rsidRPr="00E2370B" w:rsidRDefault="00DC1A21" w:rsidP="001A7B48">
            <w:pPr>
              <w:pStyle w:val="TABUKA-nadpisstpcov"/>
              <w:rPr>
                <w:b w:val="0"/>
                <w:sz w:val="20"/>
                <w:szCs w:val="20"/>
              </w:rPr>
            </w:pPr>
          </w:p>
        </w:tc>
        <w:tc>
          <w:tcPr>
            <w:tcW w:w="5248" w:type="dxa"/>
          </w:tcPr>
          <w:p w:rsidR="0045567F" w:rsidRPr="00E2370B" w:rsidRDefault="0045567F" w:rsidP="0045567F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E2370B">
              <w:rPr>
                <w:sz w:val="20"/>
                <w:szCs w:val="20"/>
              </w:rPr>
              <w:t>Predmetom dane je uhlie, ktorým sa na účely tohto zákona rozumie</w:t>
            </w:r>
          </w:p>
          <w:p w:rsidR="00DC1A21" w:rsidRPr="001A7B48" w:rsidRDefault="0045567F" w:rsidP="00E319EF">
            <w:pPr>
              <w:pStyle w:val="TABUKA-nadpisstpcov"/>
              <w:jc w:val="both"/>
              <w:rPr>
                <w:b w:val="0"/>
                <w:sz w:val="20"/>
                <w:szCs w:val="20"/>
                <w:highlight w:val="yellow"/>
              </w:rPr>
            </w:pPr>
            <w:r w:rsidRPr="00E2370B">
              <w:rPr>
                <w:sz w:val="20"/>
                <w:szCs w:val="20"/>
              </w:rPr>
              <w:t xml:space="preserve">ostatné pevné uhľovodíky kódu kombinovanej nomenklatúry 2706 až 2715, </w:t>
            </w:r>
            <w:r w:rsidRPr="0045567F">
              <w:rPr>
                <w:sz w:val="20"/>
                <w:szCs w:val="20"/>
              </w:rPr>
              <w:t>ak sú použité, dodané alebo ponúkané na použitie ako pohonná látka alebo palivo na výrobu tepla, okrem tovaru kódu kombinovanej nomenklatúry 2713 20 00, ktorý je predmetom dane podľa osobitného predpisu</w:t>
            </w:r>
            <w:r w:rsidRPr="0045567F">
              <w:rPr>
                <w:sz w:val="20"/>
                <w:szCs w:val="20"/>
                <w:vertAlign w:val="superscript"/>
              </w:rPr>
              <w:t>27</w:t>
            </w:r>
            <w:r w:rsidRPr="0045567F">
              <w:rPr>
                <w:sz w:val="20"/>
                <w:szCs w:val="20"/>
              </w:rPr>
              <w:t>) bez ohľadu na účel jeho použitia.</w:t>
            </w:r>
          </w:p>
        </w:tc>
        <w:tc>
          <w:tcPr>
            <w:tcW w:w="425" w:type="dxa"/>
          </w:tcPr>
          <w:p w:rsidR="00DC1A21" w:rsidRPr="003551DE" w:rsidRDefault="00DC1A21" w:rsidP="00DC5351">
            <w:pPr>
              <w:pStyle w:val="TABUKA-nadpisstpcov"/>
              <w:rPr>
                <w:b w:val="0"/>
                <w:sz w:val="20"/>
                <w:szCs w:val="20"/>
                <w:highlight w:val="yellow"/>
              </w:rPr>
            </w:pPr>
            <w:r w:rsidRPr="003551DE">
              <w:rPr>
                <w:b w:val="0"/>
                <w:sz w:val="20"/>
                <w:szCs w:val="20"/>
              </w:rPr>
              <w:t>Ú</w:t>
            </w:r>
          </w:p>
        </w:tc>
        <w:tc>
          <w:tcPr>
            <w:tcW w:w="993" w:type="dxa"/>
          </w:tcPr>
          <w:p w:rsidR="00DC1A21" w:rsidRPr="003551DE" w:rsidRDefault="00DC1A21" w:rsidP="00DC5351">
            <w:pPr>
              <w:pStyle w:val="TABUKA-nadpisstpcov"/>
              <w:rPr>
                <w:sz w:val="20"/>
                <w:szCs w:val="20"/>
                <w:highlight w:val="yellow"/>
              </w:rPr>
            </w:pPr>
          </w:p>
        </w:tc>
      </w:tr>
      <w:tr w:rsidR="00661FDA" w:rsidRPr="003551DE" w:rsidTr="001665D4">
        <w:tc>
          <w:tcPr>
            <w:tcW w:w="494" w:type="dxa"/>
          </w:tcPr>
          <w:p w:rsidR="00661FDA" w:rsidRPr="003551DE" w:rsidRDefault="00661FDA" w:rsidP="00DC5351">
            <w:pPr>
              <w:pStyle w:val="TABUKA-textsmernice"/>
            </w:pPr>
            <w:r w:rsidRPr="003551DE">
              <w:t>Čl. 4 ods.1</w:t>
            </w:r>
          </w:p>
        </w:tc>
        <w:tc>
          <w:tcPr>
            <w:tcW w:w="5807" w:type="dxa"/>
          </w:tcPr>
          <w:p w:rsidR="00661FDA" w:rsidRPr="003551DE" w:rsidRDefault="00661FDA" w:rsidP="00DC5351">
            <w:pPr>
              <w:spacing w:after="0"/>
              <w:rPr>
                <w:sz w:val="20"/>
                <w:szCs w:val="20"/>
                <w:lang w:val="sk-SK"/>
              </w:rPr>
            </w:pPr>
            <w:r w:rsidRPr="003551DE">
              <w:rPr>
                <w:sz w:val="20"/>
                <w:szCs w:val="20"/>
                <w:lang w:val="sk-SK"/>
              </w:rPr>
              <w:t>1. Úrovne zdaňovania, ktoré členské štáty uplatňujú na energetické výroby a elektrinu vymenované v článku 2 nemôžu byť nižšie ako minimálne úrovne zdaňovania predpísané touto smernicou.</w:t>
            </w:r>
          </w:p>
          <w:p w:rsidR="00661FDA" w:rsidRPr="003551DE" w:rsidRDefault="00661FDA" w:rsidP="00DC5351">
            <w:pPr>
              <w:spacing w:after="0"/>
              <w:rPr>
                <w:sz w:val="20"/>
                <w:szCs w:val="20"/>
                <w:lang w:val="sk-SK"/>
              </w:rPr>
            </w:pPr>
          </w:p>
        </w:tc>
        <w:tc>
          <w:tcPr>
            <w:tcW w:w="425" w:type="dxa"/>
          </w:tcPr>
          <w:p w:rsidR="00661FDA" w:rsidRPr="003551DE" w:rsidRDefault="00661FDA" w:rsidP="00DC5351">
            <w:pPr>
              <w:pStyle w:val="TABUKA-textsmernice"/>
            </w:pPr>
            <w:r w:rsidRPr="003551DE">
              <w:t>N</w:t>
            </w: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</w:tc>
        <w:tc>
          <w:tcPr>
            <w:tcW w:w="854" w:type="dxa"/>
          </w:tcPr>
          <w:p w:rsidR="00661FDA" w:rsidRPr="003551DE" w:rsidRDefault="00366D8F" w:rsidP="00DC5351">
            <w:pPr>
              <w:pStyle w:val="TABUKA-textsmernice"/>
              <w:jc w:val="center"/>
              <w:rPr>
                <w:b/>
                <w:bCs/>
              </w:rPr>
            </w:pPr>
            <w:r w:rsidRPr="003551DE">
              <w:rPr>
                <w:b/>
                <w:bCs/>
              </w:rPr>
              <w:t>N</w:t>
            </w:r>
            <w:r w:rsidR="00661FDA" w:rsidRPr="003551DE">
              <w:rPr>
                <w:b/>
                <w:bCs/>
              </w:rPr>
              <w:t>ávrh zákona č.</w:t>
            </w:r>
            <w:r w:rsidR="001665D4">
              <w:rPr>
                <w:b/>
                <w:bCs/>
              </w:rPr>
              <w:t xml:space="preserve"> </w:t>
            </w:r>
            <w:r w:rsidR="00661FDA" w:rsidRPr="003551DE">
              <w:rPr>
                <w:b/>
                <w:bCs/>
              </w:rPr>
              <w:t>I</w:t>
            </w:r>
          </w:p>
          <w:p w:rsidR="00661FDA" w:rsidRPr="003551DE" w:rsidRDefault="00661FDA" w:rsidP="00DC5351">
            <w:pPr>
              <w:pStyle w:val="TABUKA-textsmernice"/>
              <w:jc w:val="center"/>
            </w:pPr>
          </w:p>
          <w:p w:rsidR="00366D8F" w:rsidRPr="003551DE" w:rsidRDefault="00366D8F" w:rsidP="00DC5351">
            <w:pPr>
              <w:pStyle w:val="TABUKA-textsmernice"/>
              <w:jc w:val="center"/>
            </w:pPr>
          </w:p>
          <w:p w:rsidR="00366D8F" w:rsidRPr="003551DE" w:rsidRDefault="00366D8F" w:rsidP="00DC5351">
            <w:pPr>
              <w:pStyle w:val="TABUKA-textsmernice"/>
              <w:jc w:val="center"/>
            </w:pPr>
          </w:p>
        </w:tc>
        <w:tc>
          <w:tcPr>
            <w:tcW w:w="847" w:type="dxa"/>
          </w:tcPr>
          <w:p w:rsidR="00661FDA" w:rsidRPr="00E2370B" w:rsidRDefault="00661FDA" w:rsidP="001665D4">
            <w:pPr>
              <w:pStyle w:val="TABUKA-textsmernice"/>
              <w:jc w:val="center"/>
              <w:rPr>
                <w:b/>
              </w:rPr>
            </w:pPr>
            <w:r w:rsidRPr="00E2370B">
              <w:rPr>
                <w:b/>
              </w:rPr>
              <w:t>§ 6</w:t>
            </w:r>
          </w:p>
          <w:p w:rsidR="00661FDA" w:rsidRPr="00E2370B" w:rsidRDefault="00661FDA" w:rsidP="001665D4">
            <w:pPr>
              <w:pStyle w:val="TABUKA-textsmernice"/>
              <w:jc w:val="center"/>
            </w:pPr>
          </w:p>
          <w:p w:rsidR="00661FDA" w:rsidRPr="00E2370B" w:rsidRDefault="00661FDA" w:rsidP="001665D4">
            <w:pPr>
              <w:pStyle w:val="TABUKA-textsmernice"/>
              <w:jc w:val="center"/>
            </w:pPr>
          </w:p>
          <w:p w:rsidR="00C8799F" w:rsidRPr="00E2370B" w:rsidRDefault="00C8799F" w:rsidP="001665D4">
            <w:pPr>
              <w:pStyle w:val="TABUKA-textsmernice"/>
              <w:jc w:val="center"/>
            </w:pPr>
          </w:p>
          <w:p w:rsidR="00C8799F" w:rsidRPr="00E2370B" w:rsidRDefault="00C8799F" w:rsidP="001665D4">
            <w:pPr>
              <w:pStyle w:val="TABUKA-textsmernice"/>
              <w:jc w:val="center"/>
            </w:pPr>
            <w:r w:rsidRPr="00E2370B">
              <w:t>§ 15</w:t>
            </w:r>
            <w:r w:rsidR="007C3A92" w:rsidRPr="00E2370B">
              <w:t>b</w:t>
            </w:r>
            <w:r w:rsidRPr="00E2370B">
              <w:t xml:space="preserve"> ods.4</w:t>
            </w:r>
          </w:p>
          <w:p w:rsidR="00661FDA" w:rsidRPr="00E2370B" w:rsidRDefault="00661FDA" w:rsidP="00DC5351">
            <w:pPr>
              <w:pStyle w:val="TABUKA-textsmernice"/>
            </w:pPr>
          </w:p>
          <w:p w:rsidR="00661FDA" w:rsidRPr="00E2370B" w:rsidRDefault="00661FDA" w:rsidP="00DC5351">
            <w:pPr>
              <w:pStyle w:val="TABUKA-textsmernice"/>
            </w:pPr>
          </w:p>
        </w:tc>
        <w:tc>
          <w:tcPr>
            <w:tcW w:w="5248" w:type="dxa"/>
          </w:tcPr>
          <w:p w:rsidR="00661FDA" w:rsidRPr="003551DE" w:rsidRDefault="00661FDA" w:rsidP="00DC5351">
            <w:pPr>
              <w:pStyle w:val="TABUKA-textsmernice"/>
              <w:rPr>
                <w:b/>
                <w:bCs/>
              </w:rPr>
            </w:pPr>
            <w:r w:rsidRPr="003551DE">
              <w:rPr>
                <w:b/>
              </w:rPr>
              <w:t>Sadzba dane na elektrinu sa ustanovuje vo výške 1,32 eura/MWh.</w:t>
            </w:r>
            <w:r w:rsidRPr="003551DE">
              <w:rPr>
                <w:b/>
                <w:bCs/>
              </w:rPr>
              <w:t xml:space="preserve"> </w:t>
            </w:r>
          </w:p>
          <w:p w:rsidR="00C8799F" w:rsidRPr="003551DE" w:rsidRDefault="00C8799F" w:rsidP="00DC5351">
            <w:pPr>
              <w:pStyle w:val="TABUKA-textsmernice"/>
              <w:rPr>
                <w:bCs/>
              </w:rPr>
            </w:pPr>
          </w:p>
          <w:p w:rsidR="00661FDA" w:rsidRPr="003551DE" w:rsidRDefault="00661FDA" w:rsidP="00DC5351">
            <w:pPr>
              <w:pStyle w:val="TABUKA-textsmernice"/>
              <w:rPr>
                <w:bCs/>
              </w:rPr>
            </w:pPr>
          </w:p>
          <w:p w:rsidR="00661FDA" w:rsidRPr="00E319EF" w:rsidRDefault="00C8799F" w:rsidP="00E319EF">
            <w:pPr>
              <w:spacing w:after="0" w:line="259" w:lineRule="auto"/>
              <w:rPr>
                <w:b/>
                <w:sz w:val="20"/>
                <w:szCs w:val="20"/>
                <w:lang w:val="sk-SK"/>
              </w:rPr>
            </w:pPr>
            <w:r w:rsidRPr="003551DE">
              <w:rPr>
                <w:b/>
                <w:sz w:val="20"/>
                <w:szCs w:val="20"/>
                <w:lang w:val="sk-SK"/>
              </w:rPr>
              <w:t>Základom dane je množstvo elektriny vyjadrené v </w:t>
            </w:r>
            <w:proofErr w:type="spellStart"/>
            <w:r w:rsidRPr="003551DE">
              <w:rPr>
                <w:b/>
                <w:sz w:val="20"/>
                <w:szCs w:val="20"/>
                <w:lang w:val="sk-SK"/>
              </w:rPr>
              <w:t>megawatthodinách</w:t>
            </w:r>
            <w:proofErr w:type="spellEnd"/>
            <w:r w:rsidRPr="003551DE">
              <w:rPr>
                <w:b/>
                <w:sz w:val="20"/>
                <w:szCs w:val="20"/>
                <w:lang w:val="sk-SK"/>
              </w:rPr>
              <w:t xml:space="preserve"> (MWh). Daň sa vypočíta ako súčin základu dane a sadzby dane podľa § 6.</w:t>
            </w:r>
          </w:p>
        </w:tc>
        <w:tc>
          <w:tcPr>
            <w:tcW w:w="425" w:type="dxa"/>
          </w:tcPr>
          <w:p w:rsidR="00661FDA" w:rsidRPr="003551DE" w:rsidRDefault="00661FDA" w:rsidP="00DC5351">
            <w:pPr>
              <w:pStyle w:val="TABUKA-textsmernice"/>
            </w:pPr>
            <w:r w:rsidRPr="003551DE">
              <w:t>Ú</w:t>
            </w: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</w:tc>
        <w:tc>
          <w:tcPr>
            <w:tcW w:w="993" w:type="dxa"/>
          </w:tcPr>
          <w:p w:rsidR="00661FDA" w:rsidRPr="003551DE" w:rsidRDefault="00661FDA" w:rsidP="00DC5351">
            <w:pPr>
              <w:pStyle w:val="TABUKA-textsmernice"/>
            </w:pPr>
          </w:p>
        </w:tc>
      </w:tr>
      <w:tr w:rsidR="00661FDA" w:rsidRPr="003551DE" w:rsidTr="001665D4">
        <w:trPr>
          <w:trHeight w:val="1410"/>
        </w:trPr>
        <w:tc>
          <w:tcPr>
            <w:tcW w:w="494" w:type="dxa"/>
          </w:tcPr>
          <w:p w:rsidR="00661FDA" w:rsidRPr="003551DE" w:rsidRDefault="00661FDA" w:rsidP="00DC5351">
            <w:pPr>
              <w:pStyle w:val="TABUKA-textsmernice"/>
            </w:pPr>
            <w:r w:rsidRPr="003551DE">
              <w:lastRenderedPageBreak/>
              <w:t>Čl. 6</w:t>
            </w:r>
          </w:p>
        </w:tc>
        <w:tc>
          <w:tcPr>
            <w:tcW w:w="5807" w:type="dxa"/>
          </w:tcPr>
          <w:p w:rsidR="00661FDA" w:rsidRPr="003551DE" w:rsidRDefault="00661FDA" w:rsidP="00DC5351">
            <w:pPr>
              <w:spacing w:after="0"/>
              <w:rPr>
                <w:sz w:val="20"/>
                <w:szCs w:val="20"/>
                <w:lang w:val="sk-SK"/>
              </w:rPr>
            </w:pPr>
            <w:r w:rsidRPr="003551DE">
              <w:rPr>
                <w:sz w:val="20"/>
                <w:szCs w:val="20"/>
                <w:lang w:val="sk-SK"/>
              </w:rPr>
              <w:t>Členské štáty môžu slobodne zavádzať oslobodenie od daní alebo daňové úľavy v úrovni zdaňovania predpísanej touto smernicou buď:</w:t>
            </w:r>
          </w:p>
          <w:p w:rsidR="00661FDA" w:rsidRPr="003551DE" w:rsidRDefault="00661FDA" w:rsidP="00DC5351">
            <w:pPr>
              <w:spacing w:after="0"/>
              <w:rPr>
                <w:sz w:val="20"/>
                <w:szCs w:val="20"/>
                <w:lang w:val="sk-SK"/>
              </w:rPr>
            </w:pPr>
          </w:p>
          <w:p w:rsidR="00661FDA" w:rsidRPr="003551DE" w:rsidRDefault="00661FDA" w:rsidP="00DC5351">
            <w:pPr>
              <w:spacing w:after="0"/>
              <w:rPr>
                <w:sz w:val="20"/>
                <w:szCs w:val="20"/>
                <w:lang w:val="sk-SK"/>
              </w:rPr>
            </w:pPr>
            <w:r w:rsidRPr="003551DE">
              <w:rPr>
                <w:sz w:val="20"/>
                <w:szCs w:val="20"/>
                <w:lang w:val="sk-SK"/>
              </w:rPr>
              <w:t>(a)</w:t>
            </w:r>
            <w:r w:rsidRPr="003551DE">
              <w:rPr>
                <w:sz w:val="20"/>
                <w:szCs w:val="20"/>
                <w:lang w:val="sk-SK"/>
              </w:rPr>
              <w:tab/>
              <w:t>priamo,</w:t>
            </w:r>
          </w:p>
          <w:p w:rsidR="00661FDA" w:rsidRPr="003551DE" w:rsidRDefault="00661FDA" w:rsidP="00DC5351">
            <w:pPr>
              <w:spacing w:after="0"/>
              <w:rPr>
                <w:sz w:val="20"/>
                <w:szCs w:val="20"/>
                <w:lang w:val="sk-SK"/>
              </w:rPr>
            </w:pPr>
          </w:p>
          <w:p w:rsidR="00661FDA" w:rsidRPr="003551DE" w:rsidRDefault="00661FDA" w:rsidP="00DC5351">
            <w:pPr>
              <w:spacing w:after="0"/>
              <w:rPr>
                <w:sz w:val="20"/>
                <w:szCs w:val="20"/>
                <w:lang w:val="sk-SK"/>
              </w:rPr>
            </w:pPr>
            <w:r w:rsidRPr="003551DE">
              <w:rPr>
                <w:sz w:val="20"/>
                <w:szCs w:val="20"/>
                <w:lang w:val="sk-SK"/>
              </w:rPr>
              <w:t xml:space="preserve">(b) </w:t>
            </w:r>
            <w:r w:rsidRPr="003551DE">
              <w:rPr>
                <w:sz w:val="20"/>
                <w:szCs w:val="20"/>
                <w:lang w:val="sk-SK"/>
              </w:rPr>
              <w:tab/>
              <w:t>prostredníctvom odstupňovanej sadzby, alebo</w:t>
            </w:r>
          </w:p>
          <w:p w:rsidR="00661FDA" w:rsidRPr="003551DE" w:rsidRDefault="00661FDA" w:rsidP="00DC5351">
            <w:pPr>
              <w:spacing w:after="0"/>
              <w:rPr>
                <w:sz w:val="20"/>
                <w:szCs w:val="20"/>
                <w:lang w:val="sk-SK"/>
              </w:rPr>
            </w:pPr>
          </w:p>
          <w:p w:rsidR="00661FDA" w:rsidRPr="003551DE" w:rsidRDefault="00661FDA" w:rsidP="00DC5351">
            <w:pPr>
              <w:numPr>
                <w:ilvl w:val="0"/>
                <w:numId w:val="39"/>
              </w:numPr>
              <w:tabs>
                <w:tab w:val="clear" w:pos="1065"/>
              </w:tabs>
              <w:spacing w:after="0"/>
              <w:ind w:left="635" w:hanging="635"/>
              <w:rPr>
                <w:sz w:val="20"/>
                <w:szCs w:val="20"/>
                <w:lang w:val="sk-SK"/>
              </w:rPr>
            </w:pPr>
            <w:r w:rsidRPr="003551DE">
              <w:rPr>
                <w:sz w:val="20"/>
                <w:szCs w:val="20"/>
                <w:lang w:val="sk-SK"/>
              </w:rPr>
              <w:t>kompenzáciou celej výšky zdaňovania alebo jeho časti.</w:t>
            </w:r>
          </w:p>
          <w:p w:rsidR="00661FDA" w:rsidRPr="003551DE" w:rsidRDefault="00661FDA" w:rsidP="00DC5351">
            <w:pPr>
              <w:tabs>
                <w:tab w:val="left" w:pos="4511"/>
              </w:tabs>
              <w:rPr>
                <w:sz w:val="20"/>
                <w:szCs w:val="20"/>
                <w:lang w:val="sk-SK"/>
              </w:rPr>
            </w:pPr>
          </w:p>
        </w:tc>
        <w:tc>
          <w:tcPr>
            <w:tcW w:w="425" w:type="dxa"/>
          </w:tcPr>
          <w:p w:rsidR="00661FDA" w:rsidRPr="003551DE" w:rsidRDefault="00661FDA" w:rsidP="00DC5351">
            <w:pPr>
              <w:pStyle w:val="TABUKA-textsmernice"/>
            </w:pPr>
            <w:r w:rsidRPr="003551DE">
              <w:t>D</w:t>
            </w: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</w:tc>
        <w:tc>
          <w:tcPr>
            <w:tcW w:w="854" w:type="dxa"/>
          </w:tcPr>
          <w:p w:rsidR="00661FDA" w:rsidRPr="003551DE" w:rsidRDefault="00366D8F" w:rsidP="00DC5351">
            <w:pPr>
              <w:pStyle w:val="TABUKA-textsmernice"/>
              <w:jc w:val="center"/>
              <w:rPr>
                <w:b/>
                <w:bCs/>
              </w:rPr>
            </w:pPr>
            <w:r w:rsidRPr="003551DE">
              <w:rPr>
                <w:b/>
                <w:bCs/>
              </w:rPr>
              <w:t>N</w:t>
            </w:r>
            <w:r w:rsidR="00661FDA" w:rsidRPr="003551DE">
              <w:rPr>
                <w:b/>
                <w:bCs/>
              </w:rPr>
              <w:t>ávrh zákona č.</w:t>
            </w:r>
            <w:r w:rsidR="00F500E5">
              <w:rPr>
                <w:b/>
                <w:bCs/>
              </w:rPr>
              <w:t xml:space="preserve"> </w:t>
            </w:r>
            <w:r w:rsidR="00661FDA" w:rsidRPr="003551DE">
              <w:rPr>
                <w:b/>
                <w:bCs/>
              </w:rPr>
              <w:t>I</w:t>
            </w: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</w:tc>
        <w:tc>
          <w:tcPr>
            <w:tcW w:w="847" w:type="dxa"/>
          </w:tcPr>
          <w:p w:rsidR="00661FDA" w:rsidRPr="003551DE" w:rsidRDefault="00661FDA" w:rsidP="001665D4">
            <w:pPr>
              <w:pStyle w:val="TABUKA-textsmernice"/>
              <w:jc w:val="center"/>
            </w:pPr>
            <w:r w:rsidRPr="003551DE">
              <w:t>§ 19 ods. 2</w:t>
            </w:r>
          </w:p>
          <w:p w:rsidR="00661FDA" w:rsidRPr="003551DE" w:rsidRDefault="00661FDA" w:rsidP="001665D4">
            <w:pPr>
              <w:pStyle w:val="TABUKA-textsmernice"/>
              <w:jc w:val="center"/>
            </w:pPr>
          </w:p>
          <w:p w:rsidR="00661FDA" w:rsidRPr="003551DE" w:rsidRDefault="00661FDA" w:rsidP="001665D4">
            <w:pPr>
              <w:pStyle w:val="TABUKA-textsmernice"/>
              <w:jc w:val="center"/>
            </w:pPr>
          </w:p>
          <w:p w:rsidR="00B96AE0" w:rsidRPr="003551DE" w:rsidRDefault="00B96AE0" w:rsidP="001665D4">
            <w:pPr>
              <w:pStyle w:val="TABUKA-textsmernice"/>
              <w:jc w:val="center"/>
            </w:pPr>
          </w:p>
          <w:p w:rsidR="00C8799F" w:rsidRPr="003551DE" w:rsidRDefault="00C8799F" w:rsidP="001665D4">
            <w:pPr>
              <w:pStyle w:val="TABUKA-textsmernice"/>
              <w:jc w:val="center"/>
            </w:pPr>
          </w:p>
          <w:p w:rsidR="000C3CCD" w:rsidRPr="003551DE" w:rsidRDefault="000C3CCD" w:rsidP="00DC5351">
            <w:pPr>
              <w:pStyle w:val="TABUKA-textsmernice"/>
              <w:jc w:val="center"/>
            </w:pPr>
          </w:p>
        </w:tc>
        <w:tc>
          <w:tcPr>
            <w:tcW w:w="5248" w:type="dxa"/>
          </w:tcPr>
          <w:p w:rsidR="00661FDA" w:rsidRPr="003551DE" w:rsidRDefault="00661FDA" w:rsidP="00DC5351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  <w:lang w:val="sk-SK"/>
              </w:rPr>
            </w:pPr>
            <w:r w:rsidRPr="003551DE">
              <w:rPr>
                <w:rFonts w:eastAsia="Calibri"/>
                <w:sz w:val="20"/>
                <w:szCs w:val="20"/>
                <w:lang w:val="sk-SK" w:eastAsia="en-US"/>
              </w:rPr>
              <w:t>(</w:t>
            </w:r>
            <w:r w:rsidRPr="003551DE">
              <w:rPr>
                <w:rFonts w:eastAsia="Calibri"/>
                <w:b/>
                <w:sz w:val="20"/>
                <w:szCs w:val="20"/>
                <w:lang w:val="sk-SK" w:eastAsia="en-US"/>
              </w:rPr>
              <w:t>2) Od dane je oslobodené aj uhlie maximálne do výšky technicky odôvodnených skutočných strát pri skladovaní a preprave, ak sú tieto straty uznané colným úradom ako oprávnené a zodpovedajú charakteru činnosti a obvyklej výške strát pri rovnakej alebo obdobnej činnosti.</w:t>
            </w:r>
          </w:p>
          <w:p w:rsidR="0052343F" w:rsidRPr="003551DE" w:rsidRDefault="0052343F" w:rsidP="00DC535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sk-SK"/>
              </w:rPr>
            </w:pPr>
          </w:p>
          <w:p w:rsidR="000C3CCD" w:rsidRPr="003551DE" w:rsidRDefault="000C3CCD" w:rsidP="00DC5351">
            <w:pPr>
              <w:pStyle w:val="NormlnyWWW"/>
              <w:rPr>
                <w:sz w:val="20"/>
                <w:szCs w:val="20"/>
                <w:lang w:val="sk-SK"/>
              </w:rPr>
            </w:pPr>
          </w:p>
        </w:tc>
        <w:tc>
          <w:tcPr>
            <w:tcW w:w="425" w:type="dxa"/>
          </w:tcPr>
          <w:p w:rsidR="00661FDA" w:rsidRPr="003551DE" w:rsidRDefault="00661FDA" w:rsidP="00DC5351">
            <w:pPr>
              <w:pStyle w:val="TABUKA-textsmernice"/>
            </w:pPr>
            <w:r w:rsidRPr="003551DE">
              <w:t>Ú</w:t>
            </w: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  <w:p w:rsidR="00661FDA" w:rsidRPr="003551DE" w:rsidRDefault="00661FDA" w:rsidP="00DC5351">
            <w:pPr>
              <w:pStyle w:val="TABUKA-textsmernice"/>
            </w:pPr>
          </w:p>
        </w:tc>
        <w:tc>
          <w:tcPr>
            <w:tcW w:w="993" w:type="dxa"/>
          </w:tcPr>
          <w:p w:rsidR="00661FDA" w:rsidRPr="003551DE" w:rsidRDefault="00661FDA" w:rsidP="00DC5351">
            <w:pPr>
              <w:pStyle w:val="TABUKA-textsmernice"/>
            </w:pPr>
          </w:p>
          <w:p w:rsidR="000C3CCD" w:rsidRPr="003551DE" w:rsidRDefault="000C3CCD" w:rsidP="00DC5351">
            <w:pPr>
              <w:pStyle w:val="TABUKA-textsmernice"/>
            </w:pPr>
          </w:p>
          <w:p w:rsidR="000C3CCD" w:rsidRPr="003551DE" w:rsidRDefault="000C3CCD" w:rsidP="00DC5351">
            <w:pPr>
              <w:pStyle w:val="TABUKA-textsmernice"/>
            </w:pPr>
          </w:p>
          <w:p w:rsidR="000C3CCD" w:rsidRPr="003551DE" w:rsidRDefault="000C3CCD" w:rsidP="00DC5351">
            <w:pPr>
              <w:pStyle w:val="TABUKA-textsmernice"/>
            </w:pPr>
          </w:p>
          <w:p w:rsidR="000C3CCD" w:rsidRPr="003551DE" w:rsidRDefault="000C3CCD" w:rsidP="00DC5351">
            <w:pPr>
              <w:pStyle w:val="TABUKA-textsmernice"/>
            </w:pPr>
          </w:p>
          <w:p w:rsidR="000C3CCD" w:rsidRPr="003551DE" w:rsidRDefault="000C3CCD" w:rsidP="00DC5351">
            <w:pPr>
              <w:pStyle w:val="TABUKA-textsmernice"/>
            </w:pPr>
          </w:p>
          <w:p w:rsidR="000C3CCD" w:rsidRPr="003551DE" w:rsidRDefault="000C3CCD" w:rsidP="00DC5351">
            <w:pPr>
              <w:pStyle w:val="TABUKA-textsmernice"/>
            </w:pPr>
          </w:p>
        </w:tc>
      </w:tr>
      <w:tr w:rsidR="00661FDA" w:rsidRPr="003551DE" w:rsidTr="001665D4">
        <w:tc>
          <w:tcPr>
            <w:tcW w:w="494" w:type="dxa"/>
          </w:tcPr>
          <w:p w:rsidR="00661FDA" w:rsidRPr="005066ED" w:rsidRDefault="00661FDA" w:rsidP="00DC5351">
            <w:pPr>
              <w:pStyle w:val="TABUKA-textsmernice"/>
            </w:pPr>
            <w:r w:rsidRPr="005066ED">
              <w:t>Čl. 10</w:t>
            </w:r>
            <w:r w:rsidR="00B96AE0" w:rsidRPr="005066ED">
              <w:t xml:space="preserve"> ods.1</w:t>
            </w:r>
          </w:p>
        </w:tc>
        <w:tc>
          <w:tcPr>
            <w:tcW w:w="5807" w:type="dxa"/>
          </w:tcPr>
          <w:p w:rsidR="00661FDA" w:rsidRPr="005066ED" w:rsidRDefault="00661FDA" w:rsidP="00DC5351">
            <w:pPr>
              <w:spacing w:after="0"/>
              <w:rPr>
                <w:sz w:val="20"/>
                <w:szCs w:val="20"/>
                <w:lang w:val="sk-SK"/>
              </w:rPr>
            </w:pPr>
            <w:r w:rsidRPr="005066ED">
              <w:rPr>
                <w:sz w:val="20"/>
                <w:szCs w:val="20"/>
                <w:lang w:val="sk-SK"/>
              </w:rPr>
              <w:t>1. Minimálne úrovne zdaňovania uplatňované na elektrinu od 1. januára 2004 sú stanovené v tabuľke C prílohy I.</w:t>
            </w:r>
          </w:p>
          <w:p w:rsidR="00661FDA" w:rsidRPr="005066ED" w:rsidRDefault="00661FDA" w:rsidP="00DC5351">
            <w:pPr>
              <w:pStyle w:val="TABUKA-textsmernice"/>
            </w:pPr>
            <w:r w:rsidRPr="005066ED">
              <w:br/>
            </w:r>
          </w:p>
        </w:tc>
        <w:tc>
          <w:tcPr>
            <w:tcW w:w="425" w:type="dxa"/>
          </w:tcPr>
          <w:p w:rsidR="00661FDA" w:rsidRPr="005066ED" w:rsidRDefault="00661FDA" w:rsidP="00DC5351">
            <w:pPr>
              <w:pStyle w:val="TABUKA-textsmernice"/>
            </w:pPr>
            <w:r w:rsidRPr="005066ED">
              <w:t>N</w:t>
            </w:r>
          </w:p>
          <w:p w:rsidR="00661FDA" w:rsidRPr="005066ED" w:rsidRDefault="00661FDA" w:rsidP="00DC5351">
            <w:pPr>
              <w:pStyle w:val="TABUKA-textsmernice"/>
            </w:pPr>
          </w:p>
          <w:p w:rsidR="00661FDA" w:rsidRPr="005066ED" w:rsidRDefault="00661FDA" w:rsidP="00DC5351">
            <w:pPr>
              <w:pStyle w:val="TABUKA-textsmernice"/>
            </w:pPr>
          </w:p>
          <w:p w:rsidR="00661FDA" w:rsidRPr="005066ED" w:rsidRDefault="00661FDA" w:rsidP="00DC5351">
            <w:pPr>
              <w:pStyle w:val="TABUKA-textsmernice"/>
            </w:pPr>
          </w:p>
        </w:tc>
        <w:tc>
          <w:tcPr>
            <w:tcW w:w="854" w:type="dxa"/>
            <w:shd w:val="clear" w:color="auto" w:fill="auto"/>
          </w:tcPr>
          <w:p w:rsidR="001665D4" w:rsidRDefault="00DC1A21" w:rsidP="00DC5351">
            <w:pPr>
              <w:pStyle w:val="TABUKA-textsmernice"/>
              <w:jc w:val="center"/>
              <w:rPr>
                <w:b/>
                <w:bCs/>
              </w:rPr>
            </w:pPr>
            <w:r w:rsidRPr="005066ED">
              <w:rPr>
                <w:b/>
                <w:bCs/>
              </w:rPr>
              <w:t>N</w:t>
            </w:r>
            <w:r w:rsidR="001A5AA9" w:rsidRPr="005066ED">
              <w:rPr>
                <w:b/>
                <w:bCs/>
              </w:rPr>
              <w:t xml:space="preserve">ávrh zákona </w:t>
            </w:r>
          </w:p>
          <w:p w:rsidR="00661FDA" w:rsidRPr="005066ED" w:rsidRDefault="001A5AA9" w:rsidP="00DC5351">
            <w:pPr>
              <w:pStyle w:val="TABUKA-textsmernice"/>
              <w:jc w:val="center"/>
              <w:rPr>
                <w:b/>
                <w:bCs/>
              </w:rPr>
            </w:pPr>
            <w:r w:rsidRPr="005066ED">
              <w:rPr>
                <w:b/>
                <w:bCs/>
              </w:rPr>
              <w:t>č.</w:t>
            </w:r>
            <w:r w:rsidR="001665D4">
              <w:rPr>
                <w:b/>
                <w:bCs/>
              </w:rPr>
              <w:t xml:space="preserve"> </w:t>
            </w:r>
            <w:r w:rsidRPr="005066ED">
              <w:rPr>
                <w:b/>
                <w:bCs/>
              </w:rPr>
              <w:t>I</w:t>
            </w:r>
          </w:p>
        </w:tc>
        <w:tc>
          <w:tcPr>
            <w:tcW w:w="847" w:type="dxa"/>
            <w:shd w:val="clear" w:color="auto" w:fill="auto"/>
          </w:tcPr>
          <w:p w:rsidR="00661FDA" w:rsidRPr="005066ED" w:rsidRDefault="00661FDA" w:rsidP="001665D4">
            <w:pPr>
              <w:pStyle w:val="TABUKA-textsmernice"/>
              <w:jc w:val="center"/>
              <w:rPr>
                <w:b/>
              </w:rPr>
            </w:pPr>
            <w:r w:rsidRPr="005066ED">
              <w:rPr>
                <w:b/>
              </w:rPr>
              <w:t>§ 6</w:t>
            </w:r>
          </w:p>
          <w:p w:rsidR="00661FDA" w:rsidRPr="005066ED" w:rsidRDefault="00661FDA" w:rsidP="00DC5351">
            <w:pPr>
              <w:pStyle w:val="TABUKA-textsmernice"/>
            </w:pPr>
          </w:p>
          <w:p w:rsidR="00661FDA" w:rsidRPr="005066ED" w:rsidRDefault="00661FDA" w:rsidP="00DC5351">
            <w:pPr>
              <w:pStyle w:val="TABUKA-textsmernice"/>
            </w:pPr>
          </w:p>
        </w:tc>
        <w:tc>
          <w:tcPr>
            <w:tcW w:w="5248" w:type="dxa"/>
          </w:tcPr>
          <w:p w:rsidR="00661FDA" w:rsidRPr="005066ED" w:rsidRDefault="00661FDA" w:rsidP="00DC5351">
            <w:pPr>
              <w:rPr>
                <w:b/>
                <w:sz w:val="20"/>
                <w:szCs w:val="20"/>
                <w:lang w:val="sk-SK"/>
              </w:rPr>
            </w:pPr>
            <w:r w:rsidRPr="005066ED">
              <w:rPr>
                <w:b/>
                <w:sz w:val="20"/>
                <w:szCs w:val="20"/>
                <w:lang w:val="sk-SK"/>
              </w:rPr>
              <w:t xml:space="preserve">Sadzba dane na elektrinu sa ustanovuje vo výške 1,32 eura/MWh. </w:t>
            </w:r>
          </w:p>
          <w:p w:rsidR="00661FDA" w:rsidRPr="005066ED" w:rsidRDefault="00661FDA" w:rsidP="00DC5351">
            <w:pPr>
              <w:pStyle w:val="TABUKA-textsmernice"/>
            </w:pPr>
          </w:p>
        </w:tc>
        <w:tc>
          <w:tcPr>
            <w:tcW w:w="425" w:type="dxa"/>
          </w:tcPr>
          <w:p w:rsidR="00661FDA" w:rsidRPr="005066ED" w:rsidRDefault="00661FDA" w:rsidP="00DC5351">
            <w:pPr>
              <w:pStyle w:val="TABUKA-textsmernice"/>
            </w:pPr>
            <w:r w:rsidRPr="005066ED">
              <w:t>Ú</w:t>
            </w:r>
          </w:p>
          <w:p w:rsidR="00661FDA" w:rsidRPr="005066ED" w:rsidRDefault="00661FDA" w:rsidP="00DC5351">
            <w:pPr>
              <w:pStyle w:val="TABUKA-textsmernice"/>
            </w:pPr>
          </w:p>
        </w:tc>
        <w:tc>
          <w:tcPr>
            <w:tcW w:w="993" w:type="dxa"/>
          </w:tcPr>
          <w:p w:rsidR="00661FDA" w:rsidRPr="005066ED" w:rsidRDefault="00661FDA" w:rsidP="00DC5351">
            <w:pPr>
              <w:pStyle w:val="TABUKA-textsmernice"/>
              <w:jc w:val="left"/>
            </w:pPr>
          </w:p>
        </w:tc>
      </w:tr>
    </w:tbl>
    <w:p w:rsidR="00FC2AB3" w:rsidRPr="003551DE" w:rsidRDefault="00FC2AB3" w:rsidP="00DC5351">
      <w:pPr>
        <w:rPr>
          <w:i/>
          <w:iCs/>
          <w:sz w:val="20"/>
          <w:szCs w:val="20"/>
          <w:lang w:val="sk-SK"/>
        </w:rPr>
      </w:pPr>
    </w:p>
    <w:sectPr w:rsidR="00FC2AB3" w:rsidRPr="003551DE" w:rsidSect="00841824">
      <w:footerReference w:type="default" r:id="rId7"/>
      <w:pgSz w:w="15840" w:h="12240" w:orient="landscape" w:code="1"/>
      <w:pgMar w:top="851" w:right="851" w:bottom="851" w:left="851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15" w:rsidRDefault="00B24E15">
      <w:pPr>
        <w:spacing w:after="0"/>
      </w:pPr>
      <w:r>
        <w:separator/>
      </w:r>
    </w:p>
  </w:endnote>
  <w:endnote w:type="continuationSeparator" w:id="0">
    <w:p w:rsidR="00B24E15" w:rsidRDefault="00B24E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CD" w:rsidRDefault="000C3CCD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5737F">
      <w:rPr>
        <w:rStyle w:val="slostrany"/>
        <w:noProof/>
      </w:rPr>
      <w:t>2</w:t>
    </w:r>
    <w:r>
      <w:rPr>
        <w:rStyle w:val="slostrany"/>
      </w:rPr>
      <w:fldChar w:fldCharType="end"/>
    </w:r>
  </w:p>
  <w:p w:rsidR="000C3CCD" w:rsidRDefault="000C3CC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15" w:rsidRDefault="00B24E15">
      <w:pPr>
        <w:spacing w:after="0"/>
      </w:pPr>
      <w:r>
        <w:separator/>
      </w:r>
    </w:p>
  </w:footnote>
  <w:footnote w:type="continuationSeparator" w:id="0">
    <w:p w:rsidR="00B24E15" w:rsidRDefault="00B24E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37F"/>
    <w:multiLevelType w:val="hybridMultilevel"/>
    <w:tmpl w:val="DD22F7DE"/>
    <w:lvl w:ilvl="0" w:tplc="70F4DA84">
      <w:start w:val="1"/>
      <w:numFmt w:val="none"/>
      <w:lvlText w:val="a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D2289"/>
    <w:multiLevelType w:val="hybridMultilevel"/>
    <w:tmpl w:val="97C26A9E"/>
    <w:lvl w:ilvl="0" w:tplc="04050017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16F5A"/>
    <w:multiLevelType w:val="hybridMultilevel"/>
    <w:tmpl w:val="94DC417A"/>
    <w:lvl w:ilvl="0" w:tplc="041B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66291"/>
    <w:multiLevelType w:val="hybridMultilevel"/>
    <w:tmpl w:val="8AC87BF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D4740"/>
    <w:multiLevelType w:val="hybridMultilevel"/>
    <w:tmpl w:val="4EBE328C"/>
    <w:lvl w:ilvl="0" w:tplc="BD224FEA">
      <w:start w:val="1"/>
      <w:numFmt w:val="lowerLetter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263BB"/>
    <w:multiLevelType w:val="hybridMultilevel"/>
    <w:tmpl w:val="25B62988"/>
    <w:lvl w:ilvl="0" w:tplc="D286DE0C">
      <w:start w:val="3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F55493"/>
    <w:multiLevelType w:val="hybridMultilevel"/>
    <w:tmpl w:val="867A7246"/>
    <w:lvl w:ilvl="0" w:tplc="BF1657C6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6E72A7"/>
    <w:multiLevelType w:val="hybridMultilevel"/>
    <w:tmpl w:val="A3CC5D86"/>
    <w:lvl w:ilvl="0" w:tplc="C58ADD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E12787"/>
    <w:multiLevelType w:val="hybridMultilevel"/>
    <w:tmpl w:val="D6900C94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EF021D"/>
    <w:multiLevelType w:val="hybridMultilevel"/>
    <w:tmpl w:val="E126ED7C"/>
    <w:lvl w:ilvl="0" w:tplc="79648858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E8BAD2E4">
      <w:start w:val="1"/>
      <w:numFmt w:val="lowerLetter"/>
      <w:lvlText w:val="%2)"/>
      <w:lvlJc w:val="left"/>
      <w:pPr>
        <w:tabs>
          <w:tab w:val="num" w:pos="1421"/>
        </w:tabs>
        <w:ind w:left="1137" w:hanging="57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BB1470"/>
    <w:multiLevelType w:val="hybridMultilevel"/>
    <w:tmpl w:val="9156303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E5338AE"/>
    <w:multiLevelType w:val="hybridMultilevel"/>
    <w:tmpl w:val="EAAEDAD0"/>
    <w:lvl w:ilvl="0" w:tplc="CB2E5C5E">
      <w:start w:val="3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6C11C2E"/>
    <w:multiLevelType w:val="hybridMultilevel"/>
    <w:tmpl w:val="706EAB7A"/>
    <w:lvl w:ilvl="0" w:tplc="AF06EB26">
      <w:start w:val="1"/>
      <w:numFmt w:val="decimal"/>
      <w:lvlText w:val="(%1)"/>
      <w:lvlJc w:val="left"/>
      <w:pPr>
        <w:tabs>
          <w:tab w:val="num" w:pos="0"/>
        </w:tabs>
        <w:ind w:left="0"/>
      </w:pPr>
      <w:rPr>
        <w:rFonts w:hint="default"/>
      </w:rPr>
    </w:lvl>
    <w:lvl w:ilvl="1" w:tplc="E7624816">
      <w:start w:val="1"/>
      <w:numFmt w:val="lowerLetter"/>
      <w:lvlText w:val="%2)"/>
      <w:lvlJc w:val="left"/>
      <w:pPr>
        <w:tabs>
          <w:tab w:val="num" w:pos="-340"/>
        </w:tabs>
        <w:ind w:left="0" w:hanging="340"/>
      </w:pPr>
      <w:rPr>
        <w:rFonts w:hint="default"/>
      </w:rPr>
    </w:lvl>
    <w:lvl w:ilvl="2" w:tplc="136A4DF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 w15:restartNumberingAfterBreak="0">
    <w:nsid w:val="18355CDE"/>
    <w:multiLevelType w:val="hybridMultilevel"/>
    <w:tmpl w:val="1708F868"/>
    <w:lvl w:ilvl="0" w:tplc="FFF0221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59370D"/>
    <w:multiLevelType w:val="hybridMultilevel"/>
    <w:tmpl w:val="A3963088"/>
    <w:lvl w:ilvl="0" w:tplc="76F8A820">
      <w:start w:val="1"/>
      <w:numFmt w:val="lowerLetter"/>
      <w:lvlText w:val="%1)"/>
      <w:lvlJc w:val="left"/>
      <w:pPr>
        <w:tabs>
          <w:tab w:val="num" w:pos="623"/>
        </w:tabs>
        <w:ind w:left="623" w:hanging="340"/>
      </w:pPr>
      <w:rPr>
        <w:rFonts w:hint="default"/>
      </w:rPr>
    </w:lvl>
    <w:lvl w:ilvl="1" w:tplc="D530131E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B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 w15:restartNumberingAfterBreak="0">
    <w:nsid w:val="1F2D3AB9"/>
    <w:multiLevelType w:val="hybridMultilevel"/>
    <w:tmpl w:val="473AE18C"/>
    <w:lvl w:ilvl="0" w:tplc="4C2A62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460363"/>
    <w:multiLevelType w:val="hybridMultilevel"/>
    <w:tmpl w:val="4D80A764"/>
    <w:lvl w:ilvl="0" w:tplc="F38ABA9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202260"/>
    <w:multiLevelType w:val="multilevel"/>
    <w:tmpl w:val="DD22F7DE"/>
    <w:lvl w:ilvl="0">
      <w:start w:val="1"/>
      <w:numFmt w:val="none"/>
      <w:lvlText w:val="a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4D36A6"/>
    <w:multiLevelType w:val="multilevel"/>
    <w:tmpl w:val="4EBE328C"/>
    <w:lvl w:ilvl="0">
      <w:start w:val="1"/>
      <w:numFmt w:val="lowerLetter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6D6E55"/>
    <w:multiLevelType w:val="hybridMultilevel"/>
    <w:tmpl w:val="CFE06EF8"/>
    <w:lvl w:ilvl="0" w:tplc="E75E97D8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E278A9A6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2E6348"/>
    <w:multiLevelType w:val="hybridMultilevel"/>
    <w:tmpl w:val="2ACAF972"/>
    <w:lvl w:ilvl="0" w:tplc="7F7899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3C11CD"/>
    <w:multiLevelType w:val="hybridMultilevel"/>
    <w:tmpl w:val="17300B0E"/>
    <w:lvl w:ilvl="0" w:tplc="03D0B50E">
      <w:start w:val="18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F15062"/>
    <w:multiLevelType w:val="hybridMultilevel"/>
    <w:tmpl w:val="0BF2C156"/>
    <w:lvl w:ilvl="0" w:tplc="792C1ED4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432047"/>
    <w:multiLevelType w:val="hybridMultilevel"/>
    <w:tmpl w:val="1884DAE4"/>
    <w:lvl w:ilvl="0" w:tplc="D4B831D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7C1365"/>
    <w:multiLevelType w:val="singleLevel"/>
    <w:tmpl w:val="8CA86D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3AD52A69"/>
    <w:multiLevelType w:val="hybridMultilevel"/>
    <w:tmpl w:val="80F230D0"/>
    <w:lvl w:ilvl="0" w:tplc="CFF0C32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401185"/>
    <w:multiLevelType w:val="hybridMultilevel"/>
    <w:tmpl w:val="B05E7B1C"/>
    <w:lvl w:ilvl="0" w:tplc="D62E31B2">
      <w:start w:val="2"/>
      <w:numFmt w:val="decimal"/>
      <w:lvlText w:val="(%1)"/>
      <w:lvlJc w:val="left"/>
      <w:pPr>
        <w:tabs>
          <w:tab w:val="num" w:pos="0"/>
        </w:tabs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640F0E"/>
    <w:multiLevelType w:val="hybridMultilevel"/>
    <w:tmpl w:val="9342CA84"/>
    <w:lvl w:ilvl="0" w:tplc="CCDCA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AE60FD"/>
    <w:multiLevelType w:val="hybridMultilevel"/>
    <w:tmpl w:val="60F63D64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345C46"/>
    <w:multiLevelType w:val="hybridMultilevel"/>
    <w:tmpl w:val="7A8CD986"/>
    <w:lvl w:ilvl="0" w:tplc="7F74F3B2">
      <w:start w:val="8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46F02436"/>
    <w:multiLevelType w:val="hybridMultilevel"/>
    <w:tmpl w:val="5712E29C"/>
    <w:lvl w:ilvl="0" w:tplc="EF983122">
      <w:start w:val="3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801078"/>
    <w:multiLevelType w:val="hybridMultilevel"/>
    <w:tmpl w:val="8334F7BC"/>
    <w:lvl w:ilvl="0" w:tplc="24763A34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FC40A82C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05C2876">
      <w:start w:val="1"/>
      <w:numFmt w:val="decimal"/>
      <w:lvlText w:val="(%3)"/>
      <w:lvlJc w:val="left"/>
      <w:pPr>
        <w:tabs>
          <w:tab w:val="num" w:pos="340"/>
        </w:tabs>
        <w:ind w:left="34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264687"/>
    <w:multiLevelType w:val="hybridMultilevel"/>
    <w:tmpl w:val="99CEF048"/>
    <w:lvl w:ilvl="0" w:tplc="4646575A">
      <w:start w:val="1"/>
      <w:numFmt w:val="decimal"/>
      <w:lvlText w:val="(%1)"/>
      <w:lvlJc w:val="left"/>
      <w:pPr>
        <w:tabs>
          <w:tab w:val="num" w:pos="340"/>
        </w:tabs>
        <w:ind w:left="340"/>
      </w:pPr>
      <w:rPr>
        <w:rFonts w:hint="default"/>
      </w:rPr>
    </w:lvl>
    <w:lvl w:ilvl="1" w:tplc="037E3D0C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AF4D66"/>
    <w:multiLevelType w:val="hybridMultilevel"/>
    <w:tmpl w:val="45E618A6"/>
    <w:lvl w:ilvl="0" w:tplc="76F8A82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2FAA9D0">
      <w:start w:val="1"/>
      <w:numFmt w:val="decimal"/>
      <w:lvlText w:val="%2.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2" w:tplc="547A3C96">
      <w:start w:val="1"/>
      <w:numFmt w:val="decimal"/>
      <w:lvlText w:val="%3.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F9953F8"/>
    <w:multiLevelType w:val="hybridMultilevel"/>
    <w:tmpl w:val="6D6E9AF6"/>
    <w:lvl w:ilvl="0" w:tplc="00622A1A">
      <w:start w:val="1"/>
      <w:numFmt w:val="decimal"/>
      <w:lvlText w:val="(%1)"/>
      <w:lvlJc w:val="left"/>
      <w:pPr>
        <w:tabs>
          <w:tab w:val="num" w:pos="454"/>
        </w:tabs>
        <w:ind w:firstLine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BE479B"/>
    <w:multiLevelType w:val="hybridMultilevel"/>
    <w:tmpl w:val="B802976A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3F0F40"/>
    <w:multiLevelType w:val="hybridMultilevel"/>
    <w:tmpl w:val="9BCA070A"/>
    <w:lvl w:ilvl="0" w:tplc="EA44DE52">
      <w:start w:val="3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9C352DC"/>
    <w:multiLevelType w:val="multilevel"/>
    <w:tmpl w:val="0BF2C156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BD5123"/>
    <w:multiLevelType w:val="hybridMultilevel"/>
    <w:tmpl w:val="F63AA436"/>
    <w:lvl w:ilvl="0" w:tplc="0C8CA51E">
      <w:start w:val="1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4433C2"/>
    <w:multiLevelType w:val="hybridMultilevel"/>
    <w:tmpl w:val="DAE63418"/>
    <w:lvl w:ilvl="0" w:tplc="6930D846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7F789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1" w15:restartNumberingAfterBreak="0">
    <w:nsid w:val="783D1829"/>
    <w:multiLevelType w:val="hybridMultilevel"/>
    <w:tmpl w:val="C01EB36E"/>
    <w:lvl w:ilvl="0" w:tplc="6B7AC18C">
      <w:start w:val="3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BD2AEF"/>
    <w:multiLevelType w:val="hybridMultilevel"/>
    <w:tmpl w:val="9E5E23C6"/>
    <w:lvl w:ilvl="0" w:tplc="136A4DF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8B0EFD"/>
    <w:multiLevelType w:val="hybridMultilevel"/>
    <w:tmpl w:val="28D861EE"/>
    <w:lvl w:ilvl="0" w:tplc="E1762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4"/>
  </w:num>
  <w:num w:numId="4">
    <w:abstractNumId w:val="21"/>
  </w:num>
  <w:num w:numId="5">
    <w:abstractNumId w:val="40"/>
  </w:num>
  <w:num w:numId="6">
    <w:abstractNumId w:val="30"/>
  </w:num>
  <w:num w:numId="7">
    <w:abstractNumId w:val="39"/>
  </w:num>
  <w:num w:numId="8">
    <w:abstractNumId w:val="1"/>
  </w:num>
  <w:num w:numId="9">
    <w:abstractNumId w:val="22"/>
  </w:num>
  <w:num w:numId="10">
    <w:abstractNumId w:val="23"/>
  </w:num>
  <w:num w:numId="11">
    <w:abstractNumId w:val="38"/>
  </w:num>
  <w:num w:numId="12">
    <w:abstractNumId w:val="0"/>
  </w:num>
  <w:num w:numId="13">
    <w:abstractNumId w:val="18"/>
  </w:num>
  <w:num w:numId="14">
    <w:abstractNumId w:val="4"/>
  </w:num>
  <w:num w:numId="15">
    <w:abstractNumId w:val="19"/>
  </w:num>
  <w:num w:numId="16">
    <w:abstractNumId w:val="26"/>
  </w:num>
  <w:num w:numId="17">
    <w:abstractNumId w:val="3"/>
  </w:num>
  <w:num w:numId="18">
    <w:abstractNumId w:val="5"/>
  </w:num>
  <w:num w:numId="19">
    <w:abstractNumId w:val="13"/>
  </w:num>
  <w:num w:numId="20">
    <w:abstractNumId w:val="28"/>
  </w:num>
  <w:num w:numId="21">
    <w:abstractNumId w:val="35"/>
  </w:num>
  <w:num w:numId="22">
    <w:abstractNumId w:val="7"/>
  </w:num>
  <w:num w:numId="23">
    <w:abstractNumId w:val="42"/>
  </w:num>
  <w:num w:numId="24">
    <w:abstractNumId w:val="20"/>
  </w:num>
  <w:num w:numId="25">
    <w:abstractNumId w:val="27"/>
  </w:num>
  <w:num w:numId="26">
    <w:abstractNumId w:val="14"/>
  </w:num>
  <w:num w:numId="27">
    <w:abstractNumId w:val="24"/>
  </w:num>
  <w:num w:numId="28">
    <w:abstractNumId w:val="2"/>
  </w:num>
  <w:num w:numId="29">
    <w:abstractNumId w:val="33"/>
  </w:num>
  <w:num w:numId="30">
    <w:abstractNumId w:val="17"/>
  </w:num>
  <w:num w:numId="31">
    <w:abstractNumId w:val="10"/>
  </w:num>
  <w:num w:numId="32">
    <w:abstractNumId w:val="8"/>
  </w:num>
  <w:num w:numId="33">
    <w:abstractNumId w:val="9"/>
  </w:num>
  <w:num w:numId="34">
    <w:abstractNumId w:val="32"/>
  </w:num>
  <w:num w:numId="35">
    <w:abstractNumId w:val="6"/>
  </w:num>
  <w:num w:numId="36">
    <w:abstractNumId w:val="37"/>
  </w:num>
  <w:num w:numId="37">
    <w:abstractNumId w:val="31"/>
  </w:num>
  <w:num w:numId="38">
    <w:abstractNumId w:val="12"/>
  </w:num>
  <w:num w:numId="39">
    <w:abstractNumId w:val="41"/>
  </w:num>
  <w:num w:numId="40">
    <w:abstractNumId w:val="29"/>
  </w:num>
  <w:num w:numId="41">
    <w:abstractNumId w:val="36"/>
  </w:num>
  <w:num w:numId="42">
    <w:abstractNumId w:val="43"/>
  </w:num>
  <w:num w:numId="43">
    <w:abstractNumId w:val="1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AB"/>
    <w:rsid w:val="000111F1"/>
    <w:rsid w:val="00012A4B"/>
    <w:rsid w:val="000153AA"/>
    <w:rsid w:val="00017BF9"/>
    <w:rsid w:val="00022516"/>
    <w:rsid w:val="00032BE6"/>
    <w:rsid w:val="00035377"/>
    <w:rsid w:val="00050ACF"/>
    <w:rsid w:val="00052072"/>
    <w:rsid w:val="000924F3"/>
    <w:rsid w:val="000962EA"/>
    <w:rsid w:val="000A2C66"/>
    <w:rsid w:val="000B42A3"/>
    <w:rsid w:val="000C3CCD"/>
    <w:rsid w:val="000C424F"/>
    <w:rsid w:val="000E460E"/>
    <w:rsid w:val="000E4923"/>
    <w:rsid w:val="000E61D3"/>
    <w:rsid w:val="0010006E"/>
    <w:rsid w:val="001120B0"/>
    <w:rsid w:val="00115EA9"/>
    <w:rsid w:val="001274D5"/>
    <w:rsid w:val="001540A1"/>
    <w:rsid w:val="00154AC5"/>
    <w:rsid w:val="00161E91"/>
    <w:rsid w:val="001665D4"/>
    <w:rsid w:val="001672E4"/>
    <w:rsid w:val="001721AD"/>
    <w:rsid w:val="00173D54"/>
    <w:rsid w:val="00197F2E"/>
    <w:rsid w:val="001A5AA9"/>
    <w:rsid w:val="001A7B48"/>
    <w:rsid w:val="001C1646"/>
    <w:rsid w:val="001D69F0"/>
    <w:rsid w:val="001F5A6E"/>
    <w:rsid w:val="001F62CD"/>
    <w:rsid w:val="0020736F"/>
    <w:rsid w:val="0021056D"/>
    <w:rsid w:val="002130F8"/>
    <w:rsid w:val="0022205D"/>
    <w:rsid w:val="0022246B"/>
    <w:rsid w:val="002409B6"/>
    <w:rsid w:val="002538F7"/>
    <w:rsid w:val="00283D0A"/>
    <w:rsid w:val="002942C3"/>
    <w:rsid w:val="002A010B"/>
    <w:rsid w:val="002A77AF"/>
    <w:rsid w:val="002B25FE"/>
    <w:rsid w:val="002B3776"/>
    <w:rsid w:val="002C49DF"/>
    <w:rsid w:val="002D03D1"/>
    <w:rsid w:val="002D317F"/>
    <w:rsid w:val="002E0F8C"/>
    <w:rsid w:val="002E1027"/>
    <w:rsid w:val="002F28B9"/>
    <w:rsid w:val="00320FCB"/>
    <w:rsid w:val="00335332"/>
    <w:rsid w:val="00346ACC"/>
    <w:rsid w:val="003551DE"/>
    <w:rsid w:val="00355F08"/>
    <w:rsid w:val="003640A6"/>
    <w:rsid w:val="00366D8F"/>
    <w:rsid w:val="00374CDC"/>
    <w:rsid w:val="003861EE"/>
    <w:rsid w:val="00396E9B"/>
    <w:rsid w:val="00397486"/>
    <w:rsid w:val="003A16F4"/>
    <w:rsid w:val="003A2F34"/>
    <w:rsid w:val="003C258C"/>
    <w:rsid w:val="003C5E1B"/>
    <w:rsid w:val="003C6302"/>
    <w:rsid w:val="003D087B"/>
    <w:rsid w:val="003E35B1"/>
    <w:rsid w:val="003E733C"/>
    <w:rsid w:val="00436686"/>
    <w:rsid w:val="00444D67"/>
    <w:rsid w:val="00454E00"/>
    <w:rsid w:val="0045567F"/>
    <w:rsid w:val="0046203C"/>
    <w:rsid w:val="004655CA"/>
    <w:rsid w:val="004669CF"/>
    <w:rsid w:val="00467C0B"/>
    <w:rsid w:val="00483E5E"/>
    <w:rsid w:val="004906F8"/>
    <w:rsid w:val="004B5857"/>
    <w:rsid w:val="004C02B3"/>
    <w:rsid w:val="004E1CE5"/>
    <w:rsid w:val="004F2106"/>
    <w:rsid w:val="005040B5"/>
    <w:rsid w:val="005066ED"/>
    <w:rsid w:val="00514A8D"/>
    <w:rsid w:val="00515AE7"/>
    <w:rsid w:val="005221C4"/>
    <w:rsid w:val="0052343F"/>
    <w:rsid w:val="00524E0A"/>
    <w:rsid w:val="00532031"/>
    <w:rsid w:val="0053454D"/>
    <w:rsid w:val="00534F71"/>
    <w:rsid w:val="00550D20"/>
    <w:rsid w:val="00560920"/>
    <w:rsid w:val="00565465"/>
    <w:rsid w:val="005701A3"/>
    <w:rsid w:val="00572B68"/>
    <w:rsid w:val="00586932"/>
    <w:rsid w:val="005972F3"/>
    <w:rsid w:val="00597530"/>
    <w:rsid w:val="005A02D2"/>
    <w:rsid w:val="005A4251"/>
    <w:rsid w:val="005B4534"/>
    <w:rsid w:val="005B7794"/>
    <w:rsid w:val="005C3895"/>
    <w:rsid w:val="005C7820"/>
    <w:rsid w:val="005D0896"/>
    <w:rsid w:val="005D16F2"/>
    <w:rsid w:val="005D3CF3"/>
    <w:rsid w:val="005F5AE1"/>
    <w:rsid w:val="00614BE8"/>
    <w:rsid w:val="00614E49"/>
    <w:rsid w:val="006152AA"/>
    <w:rsid w:val="00617B14"/>
    <w:rsid w:val="00620072"/>
    <w:rsid w:val="00661FDA"/>
    <w:rsid w:val="00665D92"/>
    <w:rsid w:val="006859F3"/>
    <w:rsid w:val="00693E21"/>
    <w:rsid w:val="00697A13"/>
    <w:rsid w:val="006A03B8"/>
    <w:rsid w:val="006A6557"/>
    <w:rsid w:val="006B4000"/>
    <w:rsid w:val="006B5694"/>
    <w:rsid w:val="006F56F7"/>
    <w:rsid w:val="0074486C"/>
    <w:rsid w:val="00744B76"/>
    <w:rsid w:val="0075274E"/>
    <w:rsid w:val="00752B84"/>
    <w:rsid w:val="00755157"/>
    <w:rsid w:val="00767F59"/>
    <w:rsid w:val="00780243"/>
    <w:rsid w:val="00783134"/>
    <w:rsid w:val="0078491F"/>
    <w:rsid w:val="00786C5C"/>
    <w:rsid w:val="00795545"/>
    <w:rsid w:val="007A64B2"/>
    <w:rsid w:val="007B10E6"/>
    <w:rsid w:val="007B4C4A"/>
    <w:rsid w:val="007C3A92"/>
    <w:rsid w:val="007D466F"/>
    <w:rsid w:val="007D53CA"/>
    <w:rsid w:val="007E1DC9"/>
    <w:rsid w:val="007F6C34"/>
    <w:rsid w:val="0081730B"/>
    <w:rsid w:val="00832326"/>
    <w:rsid w:val="00840D39"/>
    <w:rsid w:val="00841824"/>
    <w:rsid w:val="0085503B"/>
    <w:rsid w:val="00866C25"/>
    <w:rsid w:val="00874AA3"/>
    <w:rsid w:val="008834AA"/>
    <w:rsid w:val="008918AB"/>
    <w:rsid w:val="008966BF"/>
    <w:rsid w:val="008A2205"/>
    <w:rsid w:val="008A5B3D"/>
    <w:rsid w:val="008B16A3"/>
    <w:rsid w:val="008B7C91"/>
    <w:rsid w:val="008D707E"/>
    <w:rsid w:val="008E6456"/>
    <w:rsid w:val="00903AE6"/>
    <w:rsid w:val="0090652D"/>
    <w:rsid w:val="00907872"/>
    <w:rsid w:val="0091324F"/>
    <w:rsid w:val="00916CE6"/>
    <w:rsid w:val="00946246"/>
    <w:rsid w:val="009707EB"/>
    <w:rsid w:val="00977373"/>
    <w:rsid w:val="00980940"/>
    <w:rsid w:val="00984308"/>
    <w:rsid w:val="0098631D"/>
    <w:rsid w:val="00992002"/>
    <w:rsid w:val="00993914"/>
    <w:rsid w:val="00993ED1"/>
    <w:rsid w:val="00994A4F"/>
    <w:rsid w:val="00995EDC"/>
    <w:rsid w:val="00996EA2"/>
    <w:rsid w:val="00997ADE"/>
    <w:rsid w:val="009A4373"/>
    <w:rsid w:val="009C1782"/>
    <w:rsid w:val="009F08CF"/>
    <w:rsid w:val="009F17ED"/>
    <w:rsid w:val="00A01CAF"/>
    <w:rsid w:val="00A10295"/>
    <w:rsid w:val="00A1358F"/>
    <w:rsid w:val="00A172DB"/>
    <w:rsid w:val="00A22550"/>
    <w:rsid w:val="00A3007C"/>
    <w:rsid w:val="00A31909"/>
    <w:rsid w:val="00A354B0"/>
    <w:rsid w:val="00A56026"/>
    <w:rsid w:val="00A74AF1"/>
    <w:rsid w:val="00A813F8"/>
    <w:rsid w:val="00A94F2A"/>
    <w:rsid w:val="00AB4903"/>
    <w:rsid w:val="00AC3EBB"/>
    <w:rsid w:val="00AC7862"/>
    <w:rsid w:val="00AC7F6D"/>
    <w:rsid w:val="00AE6F4B"/>
    <w:rsid w:val="00AF7233"/>
    <w:rsid w:val="00B118BC"/>
    <w:rsid w:val="00B24E15"/>
    <w:rsid w:val="00B26DCC"/>
    <w:rsid w:val="00B37213"/>
    <w:rsid w:val="00B412A9"/>
    <w:rsid w:val="00B619A3"/>
    <w:rsid w:val="00B73217"/>
    <w:rsid w:val="00B77874"/>
    <w:rsid w:val="00B9109C"/>
    <w:rsid w:val="00B93190"/>
    <w:rsid w:val="00B96AE0"/>
    <w:rsid w:val="00BE4030"/>
    <w:rsid w:val="00BE4BED"/>
    <w:rsid w:val="00C00842"/>
    <w:rsid w:val="00C0102B"/>
    <w:rsid w:val="00C0112D"/>
    <w:rsid w:val="00C072A7"/>
    <w:rsid w:val="00C13B52"/>
    <w:rsid w:val="00C20E01"/>
    <w:rsid w:val="00C46FEA"/>
    <w:rsid w:val="00C567FF"/>
    <w:rsid w:val="00C743EB"/>
    <w:rsid w:val="00C76875"/>
    <w:rsid w:val="00C8799F"/>
    <w:rsid w:val="00CA6CBE"/>
    <w:rsid w:val="00CB4D08"/>
    <w:rsid w:val="00CB6BAE"/>
    <w:rsid w:val="00CB7D90"/>
    <w:rsid w:val="00CE49D6"/>
    <w:rsid w:val="00CE7821"/>
    <w:rsid w:val="00CF0CFB"/>
    <w:rsid w:val="00D0113C"/>
    <w:rsid w:val="00D039EF"/>
    <w:rsid w:val="00D5737F"/>
    <w:rsid w:val="00D80FDF"/>
    <w:rsid w:val="00D85A03"/>
    <w:rsid w:val="00D929EF"/>
    <w:rsid w:val="00DC0BDD"/>
    <w:rsid w:val="00DC1A21"/>
    <w:rsid w:val="00DC5351"/>
    <w:rsid w:val="00DC6223"/>
    <w:rsid w:val="00DD6A2A"/>
    <w:rsid w:val="00DF062B"/>
    <w:rsid w:val="00DF6DE3"/>
    <w:rsid w:val="00E1550C"/>
    <w:rsid w:val="00E20478"/>
    <w:rsid w:val="00E2370B"/>
    <w:rsid w:val="00E319EF"/>
    <w:rsid w:val="00E37BC3"/>
    <w:rsid w:val="00E40CD1"/>
    <w:rsid w:val="00E41E38"/>
    <w:rsid w:val="00E75ADD"/>
    <w:rsid w:val="00E75EBF"/>
    <w:rsid w:val="00E9171F"/>
    <w:rsid w:val="00E962ED"/>
    <w:rsid w:val="00EA0248"/>
    <w:rsid w:val="00EB378E"/>
    <w:rsid w:val="00EB746E"/>
    <w:rsid w:val="00ED3756"/>
    <w:rsid w:val="00EE08EA"/>
    <w:rsid w:val="00EF4A35"/>
    <w:rsid w:val="00F034FD"/>
    <w:rsid w:val="00F0738A"/>
    <w:rsid w:val="00F07F65"/>
    <w:rsid w:val="00F348DE"/>
    <w:rsid w:val="00F500E5"/>
    <w:rsid w:val="00F51504"/>
    <w:rsid w:val="00F52347"/>
    <w:rsid w:val="00F550E4"/>
    <w:rsid w:val="00F769FD"/>
    <w:rsid w:val="00F94711"/>
    <w:rsid w:val="00F978B7"/>
    <w:rsid w:val="00FC2AB3"/>
    <w:rsid w:val="00FC577E"/>
    <w:rsid w:val="00FD3534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CF753C-5F4C-4137-AC98-ADA2F3C7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ormlnyWWW"/>
    <w:qFormat/>
    <w:pPr>
      <w:spacing w:after="120" w:line="240" w:lineRule="auto"/>
      <w:jc w:val="both"/>
    </w:pPr>
    <w:rPr>
      <w:sz w:val="24"/>
      <w:szCs w:val="24"/>
      <w:lang w:val="en-US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cs-CZ"/>
    </w:rPr>
  </w:style>
  <w:style w:type="paragraph" w:customStyle="1" w:styleId="TABUKA-nadpis">
    <w:name w:val="TABUĽKA-nadpis"/>
    <w:uiPriority w:val="99"/>
    <w:pPr>
      <w:spacing w:after="0" w:line="240" w:lineRule="auto"/>
      <w:jc w:val="center"/>
    </w:pPr>
    <w:rPr>
      <w:b/>
      <w:bCs/>
      <w:sz w:val="24"/>
      <w:szCs w:val="24"/>
      <w:lang w:eastAsia="cs-CZ"/>
    </w:rPr>
  </w:style>
  <w:style w:type="paragraph" w:customStyle="1" w:styleId="NormlnyWWW">
    <w:name w:val="Normálny (WWW)"/>
    <w:basedOn w:val="Normlny"/>
    <w:uiPriority w:val="99"/>
  </w:style>
  <w:style w:type="paragraph" w:customStyle="1" w:styleId="TABUKA-nadpismal">
    <w:name w:val="TABUĽKA-nadpis malý"/>
    <w:uiPriority w:val="99"/>
    <w:pPr>
      <w:spacing w:after="0" w:line="240" w:lineRule="auto"/>
    </w:pPr>
    <w:rPr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pPr>
      <w:spacing w:after="0"/>
      <w:jc w:val="center"/>
    </w:pPr>
    <w:rPr>
      <w:b/>
      <w:bCs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  <w:lang w:val="en-US" w:eastAsia="cs-CZ"/>
    </w:rPr>
  </w:style>
  <w:style w:type="character" w:styleId="slostrany">
    <w:name w:val="page number"/>
    <w:basedOn w:val="Predvolenpsmoodseku"/>
    <w:uiPriority w:val="99"/>
  </w:style>
  <w:style w:type="paragraph" w:customStyle="1" w:styleId="TABUKA-nadpisstpcov">
    <w:name w:val="TABUĽKA-nadpis stĺpcov"/>
    <w:uiPriority w:val="99"/>
    <w:pPr>
      <w:spacing w:after="0" w:line="240" w:lineRule="auto"/>
    </w:pPr>
    <w:rPr>
      <w:b/>
      <w:bCs/>
      <w:sz w:val="24"/>
      <w:szCs w:val="24"/>
      <w:lang w:eastAsia="cs-CZ"/>
    </w:rPr>
  </w:style>
  <w:style w:type="paragraph" w:customStyle="1" w:styleId="TABUKA-textsmernice">
    <w:name w:val="TABUĽKA-text smernice"/>
    <w:uiPriority w:val="99"/>
    <w:pPr>
      <w:spacing w:after="0" w:line="240" w:lineRule="auto"/>
      <w:jc w:val="both"/>
    </w:pPr>
    <w:rPr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spacing w:after="0"/>
      <w:jc w:val="left"/>
    </w:pPr>
    <w:rPr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semiHidden/>
    <w:rPr>
      <w:vertAlign w:val="superscript"/>
    </w:rPr>
  </w:style>
  <w:style w:type="character" w:customStyle="1" w:styleId="DONOTTRANSLATE">
    <w:name w:val="DO_NOT_TRANSLATE"/>
    <w:uiPriority w:val="99"/>
    <w:rPr>
      <w:rFonts w:ascii="Courier New" w:hAnsi="Courier New" w:cs="Courier New"/>
      <w:noProof/>
      <w:color w:val="800000"/>
    </w:rPr>
  </w:style>
  <w:style w:type="paragraph" w:styleId="Zarkazkladnhotextu2">
    <w:name w:val="Body Text Indent 2"/>
    <w:basedOn w:val="Normlny"/>
    <w:link w:val="Zarkazkladnhotextu2Char"/>
    <w:uiPriority w:val="99"/>
    <w:pPr>
      <w:spacing w:after="0"/>
      <w:ind w:hanging="180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sz w:val="24"/>
      <w:szCs w:val="24"/>
      <w:lang w:val="en-US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Pr>
      <w:sz w:val="16"/>
      <w:szCs w:val="16"/>
      <w:lang w:val="en-US" w:eastAsia="cs-CZ"/>
    </w:rPr>
  </w:style>
  <w:style w:type="paragraph" w:styleId="Zkladntext">
    <w:name w:val="Body Text"/>
    <w:basedOn w:val="Normlny"/>
    <w:link w:val="ZkladntextChar"/>
    <w:uiPriority w:val="99"/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  <w:lang w:val="en-US" w:eastAsia="cs-CZ"/>
    </w:rPr>
  </w:style>
  <w:style w:type="paragraph" w:styleId="Zkladntext2">
    <w:name w:val="Body Text 2"/>
    <w:basedOn w:val="Normlny"/>
    <w:link w:val="Zkladntext2Char"/>
    <w:uiPriority w:val="99"/>
    <w:pPr>
      <w:spacing w:after="0"/>
    </w:pPr>
    <w:rPr>
      <w:sz w:val="18"/>
      <w:szCs w:val="1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  <w:lang w:val="en-US" w:eastAsia="cs-CZ"/>
    </w:rPr>
  </w:style>
  <w:style w:type="paragraph" w:customStyle="1" w:styleId="Normlny0">
    <w:name w:val="_Normálny"/>
    <w:basedOn w:val="Normlny"/>
    <w:uiPriority w:val="99"/>
    <w:rsid w:val="00697A13"/>
    <w:pPr>
      <w:autoSpaceDE w:val="0"/>
      <w:autoSpaceDN w:val="0"/>
      <w:spacing w:after="0"/>
      <w:jc w:val="left"/>
    </w:pPr>
    <w:rPr>
      <w:sz w:val="20"/>
      <w:szCs w:val="20"/>
      <w:lang w:val="sk-SK" w:eastAsia="en-US"/>
    </w:rPr>
  </w:style>
  <w:style w:type="paragraph" w:customStyle="1" w:styleId="abc">
    <w:name w:val="abc"/>
    <w:basedOn w:val="Normlny"/>
    <w:uiPriority w:val="99"/>
    <w:rsid w:val="00697A13"/>
    <w:pPr>
      <w:widowControl w:val="0"/>
      <w:tabs>
        <w:tab w:val="left" w:pos="360"/>
        <w:tab w:val="left" w:pos="680"/>
      </w:tabs>
      <w:autoSpaceDE w:val="0"/>
      <w:autoSpaceDN w:val="0"/>
      <w:spacing w:after="0"/>
    </w:pPr>
    <w:rPr>
      <w:sz w:val="20"/>
      <w:szCs w:val="20"/>
      <w:lang w:val="sk-SK" w:eastAsia="en-US"/>
    </w:rPr>
  </w:style>
  <w:style w:type="paragraph" w:styleId="Zkladntext3">
    <w:name w:val="Body Text 3"/>
    <w:basedOn w:val="Normlny"/>
    <w:link w:val="Zkladntext3Char"/>
    <w:uiPriority w:val="99"/>
    <w:rsid w:val="00697A13"/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  <w:lang w:val="en-US" w:eastAsia="cs-CZ"/>
    </w:rPr>
  </w:style>
  <w:style w:type="paragraph" w:customStyle="1" w:styleId="Zkladntext0">
    <w:name w:val="Základní text"/>
    <w:aliases w:val="Základný text Char Char"/>
    <w:rsid w:val="005C7820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972F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972F3"/>
    <w:rPr>
      <w:sz w:val="24"/>
      <w:szCs w:val="24"/>
      <w:lang w:val="en-US" w:eastAsia="cs-CZ"/>
    </w:rPr>
  </w:style>
  <w:style w:type="paragraph" w:styleId="Odsekzoznamu">
    <w:name w:val="List Paragraph"/>
    <w:basedOn w:val="Normlny"/>
    <w:uiPriority w:val="34"/>
    <w:qFormat/>
    <w:rsid w:val="009C17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25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550"/>
    <w:rPr>
      <w:rFonts w:ascii="Segoe UI" w:hAnsi="Segoe UI" w:cs="Segoe UI"/>
      <w:sz w:val="18"/>
      <w:szCs w:val="18"/>
      <w:lang w:val="en-US" w:eastAsia="cs-CZ"/>
    </w:rPr>
  </w:style>
  <w:style w:type="paragraph" w:customStyle="1" w:styleId="norm2">
    <w:name w:val="norm2"/>
    <w:basedOn w:val="Normlny"/>
    <w:rsid w:val="00DC1A21"/>
    <w:pPr>
      <w:spacing w:before="120" w:after="0" w:line="312" w:lineRule="atLeast"/>
    </w:pPr>
    <w:rPr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19E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319EF"/>
    <w:rPr>
      <w:sz w:val="20"/>
      <w:szCs w:val="20"/>
      <w:lang w:val="en-US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19EF"/>
    <w:pPr>
      <w:spacing w:after="160"/>
      <w:jc w:val="left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19EF"/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46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9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9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9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6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02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475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47398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TABUĹKA ZHODY</vt:lpstr>
    </vt:vector>
  </TitlesOfParts>
  <Company>Ministry of Finance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TABUĹKA ZHODY</dc:title>
  <dc:subject/>
  <dc:creator>Zamecnikova Petra</dc:creator>
  <cp:keywords/>
  <dc:description/>
  <cp:lastModifiedBy>Prokesova Veronika</cp:lastModifiedBy>
  <cp:revision>9</cp:revision>
  <cp:lastPrinted>2019-08-01T14:06:00Z</cp:lastPrinted>
  <dcterms:created xsi:type="dcterms:W3CDTF">2019-07-29T07:57:00Z</dcterms:created>
  <dcterms:modified xsi:type="dcterms:W3CDTF">2019-08-01T14:06:00Z</dcterms:modified>
</cp:coreProperties>
</file>